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rsidRPr="00BD7CEA" w:rsidTr="00B909F2">
        <w:trPr>
          <w:trHeight w:val="4063"/>
        </w:trPr>
        <w:tc>
          <w:tcPr>
            <w:tcW w:w="5951" w:type="dxa"/>
            <w:tcBorders>
              <w:bottom w:val="single" w:sz="18" w:space="0" w:color="808080"/>
              <w:right w:val="single" w:sz="18" w:space="0" w:color="808080"/>
            </w:tcBorders>
            <w:vAlign w:val="center"/>
          </w:tcPr>
          <w:p w:rsidR="00023FE7" w:rsidRPr="00AF64E2" w:rsidRDefault="00023FE7" w:rsidP="0041078A">
            <w:pPr>
              <w:pStyle w:val="Title"/>
              <w:rPr>
                <w:rFonts w:cs="Tahoma"/>
                <w:b w:val="0"/>
                <w:sz w:val="76"/>
                <w:szCs w:val="76"/>
              </w:rPr>
            </w:pPr>
            <w:bookmarkStart w:id="0" w:name="_Toc336337837"/>
            <w:bookmarkStart w:id="1" w:name="_Toc353375619"/>
            <w:r w:rsidRPr="00AF64E2">
              <w:rPr>
                <w:rFonts w:cs="Tahoma"/>
                <w:b w:val="0"/>
                <w:sz w:val="76"/>
                <w:szCs w:val="76"/>
              </w:rPr>
              <w:t>Microsoft</w:t>
            </w:r>
            <w:r w:rsidR="00700C4B" w:rsidRPr="00AF64E2">
              <w:rPr>
                <w:rFonts w:cs="Tahoma"/>
                <w:b w:val="0"/>
                <w:sz w:val="76"/>
                <w:szCs w:val="76"/>
                <w:vertAlign w:val="superscript"/>
              </w:rPr>
              <w:t>®</w:t>
            </w:r>
            <w:bookmarkEnd w:id="0"/>
            <w:bookmarkEnd w:id="1"/>
          </w:p>
          <w:p w:rsidR="00023FE7" w:rsidRPr="00BD7CEA" w:rsidRDefault="00023FE7" w:rsidP="00AF64E2">
            <w:pPr>
              <w:pStyle w:val="NoSpacing1"/>
              <w:ind w:left="990" w:right="929"/>
              <w:rPr>
                <w:rFonts w:ascii="Cambria" w:hAnsi="Cambria" w:cs="Calibri"/>
                <w:sz w:val="76"/>
                <w:szCs w:val="72"/>
              </w:rPr>
            </w:pPr>
            <w:r w:rsidRPr="00AF64E2">
              <w:rPr>
                <w:rFonts w:ascii="Cambria" w:hAnsi="Cambria" w:cs="Tahoma"/>
                <w:sz w:val="76"/>
                <w:szCs w:val="76"/>
                <w:lang w:val="it-IT"/>
              </w:rPr>
              <w:t>Lista dei Prodotti</w:t>
            </w:r>
          </w:p>
        </w:tc>
        <w:tc>
          <w:tcPr>
            <w:tcW w:w="4615" w:type="dxa"/>
            <w:tcBorders>
              <w:left w:val="single" w:sz="18" w:space="0" w:color="808080"/>
              <w:bottom w:val="single" w:sz="18" w:space="0" w:color="808080"/>
            </w:tcBorders>
            <w:vAlign w:val="center"/>
          </w:tcPr>
          <w:p w:rsidR="005E6107" w:rsidRPr="00BD7CEA" w:rsidRDefault="005E6107" w:rsidP="005E6107">
            <w:pPr>
              <w:pStyle w:val="NoSpacing1"/>
              <w:ind w:right="-1797"/>
              <w:rPr>
                <w:rFonts w:ascii="Tahoma" w:hAnsi="Tahoma" w:cs="Tahoma"/>
                <w:sz w:val="72"/>
                <w:szCs w:val="72"/>
              </w:rPr>
            </w:pPr>
          </w:p>
          <w:p w:rsidR="00023FE7" w:rsidRPr="00BD7CEA" w:rsidRDefault="00290FC1">
            <w:pPr>
              <w:pStyle w:val="NoSpacing1"/>
              <w:ind w:right="-1797"/>
              <w:rPr>
                <w:sz w:val="72"/>
                <w:szCs w:val="72"/>
              </w:rPr>
            </w:pPr>
            <w:bookmarkStart w:id="2" w:name="_GoBack"/>
            <w:bookmarkEnd w:id="2"/>
            <w:r w:rsidRPr="00BD7CEA">
              <w:rPr>
                <w:rFonts w:ascii="Tahoma" w:hAnsi="Tahoma" w:cs="Tahoma"/>
                <w:sz w:val="72"/>
                <w:szCs w:val="72"/>
              </w:rPr>
              <w:t xml:space="preserve">1 </w:t>
            </w:r>
            <w:r w:rsidR="009E5D7E" w:rsidRPr="00BD7CEA">
              <w:rPr>
                <w:rFonts w:ascii="Tahoma" w:hAnsi="Tahoma" w:cs="Tahoma"/>
                <w:sz w:val="72"/>
                <w:szCs w:val="72"/>
              </w:rPr>
              <w:t>M</w:t>
            </w:r>
            <w:r w:rsidRPr="00BD7CEA">
              <w:rPr>
                <w:rFonts w:ascii="Tahoma" w:hAnsi="Tahoma" w:cs="Tahoma"/>
                <w:sz w:val="72"/>
                <w:szCs w:val="72"/>
              </w:rPr>
              <w:t>aggio</w:t>
            </w:r>
          </w:p>
          <w:p w:rsidR="00023FE7" w:rsidRPr="00BD7CEA" w:rsidRDefault="0077167D" w:rsidP="00A04495">
            <w:pPr>
              <w:pStyle w:val="NoSpacing1"/>
              <w:ind w:rightChars="-103" w:right="-185"/>
              <w:rPr>
                <w:rFonts w:ascii="Tahoma" w:hAnsi="Tahoma" w:cs="Tahoma"/>
                <w:color w:val="4F81BD"/>
                <w:sz w:val="200"/>
                <w:szCs w:val="200"/>
              </w:rPr>
            </w:pPr>
            <w:r w:rsidRPr="00BD7CEA">
              <w:rPr>
                <w:rFonts w:ascii="Tahoma" w:hAnsi="Tahoma" w:cs="Tahoma"/>
                <w:color w:val="4F81BD"/>
                <w:sz w:val="180"/>
                <w:szCs w:val="200"/>
              </w:rPr>
              <w:t>2013</w:t>
            </w:r>
          </w:p>
        </w:tc>
      </w:tr>
      <w:tr w:rsidR="00023FE7" w:rsidRPr="007B74B7" w:rsidTr="00B909F2">
        <w:trPr>
          <w:trHeight w:val="412"/>
        </w:trPr>
        <w:tc>
          <w:tcPr>
            <w:tcW w:w="5951" w:type="dxa"/>
            <w:tcBorders>
              <w:top w:val="single" w:sz="18" w:space="0" w:color="808080"/>
            </w:tcBorders>
            <w:vAlign w:val="center"/>
          </w:tcPr>
          <w:p w:rsidR="00023FE7" w:rsidRPr="007B74B7" w:rsidRDefault="00023FE7" w:rsidP="00095F5D">
            <w:pPr>
              <w:pStyle w:val="NoSpacing1"/>
              <w:ind w:leftChars="122" w:left="220" w:firstLine="2"/>
              <w:rPr>
                <w:rFonts w:ascii="Tahoma" w:hAnsi="Tahoma" w:cs="Tahoma"/>
                <w:sz w:val="22"/>
                <w:szCs w:val="22"/>
                <w:lang w:val="it-IT"/>
              </w:rPr>
            </w:pPr>
            <w:r w:rsidRPr="007B74B7">
              <w:rPr>
                <w:rFonts w:ascii="Tahoma" w:hAnsi="Tahoma" w:cs="Tahoma"/>
                <w:szCs w:val="22"/>
                <w:lang w:val="it-IT"/>
              </w:rPr>
              <w:t>La Lista dei Prodotti Microsoft fornisce mensilmente informazioni sul software Microsoft e sui Servizi Online</w:t>
            </w:r>
            <w:r w:rsidR="00095F5D" w:rsidRPr="007B74B7">
              <w:rPr>
                <w:rFonts w:ascii="Tahoma" w:hAnsi="Tahoma" w:cs="Tahoma"/>
                <w:szCs w:val="22"/>
                <w:lang w:val="it-IT"/>
              </w:rPr>
              <w:t> </w:t>
            </w:r>
            <w:r w:rsidRPr="007B74B7">
              <w:rPr>
                <w:rFonts w:ascii="Tahoma" w:hAnsi="Tahoma" w:cs="Tahoma"/>
                <w:szCs w:val="22"/>
                <w:lang w:val="it-IT"/>
              </w:rPr>
              <w:t>concessi in licenza tramite i programmi Microsoft</w:t>
            </w:r>
            <w:r w:rsidR="00095F5D" w:rsidRPr="007B74B7">
              <w:rPr>
                <w:rFonts w:ascii="Tahoma" w:hAnsi="Tahoma" w:cs="Tahoma"/>
                <w:szCs w:val="22"/>
                <w:lang w:val="it-IT"/>
              </w:rPr>
              <w:t> </w:t>
            </w:r>
            <w:r w:rsidRPr="007B74B7">
              <w:rPr>
                <w:rFonts w:ascii="Tahoma" w:hAnsi="Tahoma" w:cs="Tahoma"/>
                <w:szCs w:val="22"/>
                <w:lang w:val="it-IT"/>
              </w:rPr>
              <w:t>Volume Licensing.</w:t>
            </w:r>
          </w:p>
        </w:tc>
        <w:tc>
          <w:tcPr>
            <w:tcW w:w="4615" w:type="dxa"/>
            <w:tcBorders>
              <w:top w:val="single" w:sz="18" w:space="0" w:color="808080"/>
            </w:tcBorders>
            <w:vAlign w:val="center"/>
          </w:tcPr>
          <w:p w:rsidR="00023FE7" w:rsidRPr="007B74B7" w:rsidRDefault="00023FE7" w:rsidP="00A04495">
            <w:pPr>
              <w:pStyle w:val="NoSpacing1"/>
              <w:ind w:rightChars="-15" w:right="-27"/>
              <w:rPr>
                <w:rFonts w:ascii="Tahoma" w:hAnsi="Tahoma" w:cs="Tahoma"/>
                <w:sz w:val="32"/>
                <w:szCs w:val="32"/>
                <w:lang w:val="it-IT"/>
              </w:rPr>
            </w:pPr>
          </w:p>
        </w:tc>
      </w:tr>
    </w:tbl>
    <w:p w:rsidR="00023FE7" w:rsidRPr="007B74B7" w:rsidRDefault="00023FE7" w:rsidP="003B23CC">
      <w:pPr>
        <w:pStyle w:val="Heading1"/>
        <w:rPr>
          <w:lang w:val="it-IT"/>
        </w:rPr>
        <w:sectPr w:rsidR="00023FE7" w:rsidRPr="007B74B7"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rsidR="00023FE7" w:rsidRPr="007B74B7" w:rsidRDefault="00023FE7" w:rsidP="003B23CC">
      <w:pPr>
        <w:pStyle w:val="Heading1"/>
        <w:rPr>
          <w:lang w:val="it-IT"/>
        </w:rPr>
      </w:pPr>
      <w:bookmarkStart w:id="3" w:name="_Toc336337838"/>
      <w:bookmarkStart w:id="4" w:name="_Toc353375620"/>
      <w:r w:rsidRPr="007B74B7">
        <w:rPr>
          <w:lang w:val="it-IT"/>
        </w:rPr>
        <w:lastRenderedPageBreak/>
        <w:t>INFORMAZIONI SUL PRESENTE Documento</w:t>
      </w:r>
      <w:bookmarkEnd w:id="3"/>
      <w:bookmarkEnd w:id="4"/>
    </w:p>
    <w:p w:rsidR="00023FE7" w:rsidRPr="007B74B7" w:rsidRDefault="00023FE7">
      <w:pPr>
        <w:pStyle w:val="Body"/>
        <w:ind w:right="720"/>
        <w:rPr>
          <w:lang w:val="it-IT"/>
        </w:rPr>
      </w:pPr>
    </w:p>
    <w:p w:rsidR="00023FE7" w:rsidRPr="007B74B7" w:rsidRDefault="00023FE7">
      <w:pPr>
        <w:pStyle w:val="Body"/>
        <w:ind w:right="720"/>
        <w:rPr>
          <w:lang w:val="it-IT"/>
        </w:rPr>
      </w:pPr>
      <w:r w:rsidRPr="007B74B7">
        <w:rPr>
          <w:rFonts w:ascii="Tahoma" w:hAnsi="Tahoma" w:cs="Tahoma"/>
          <w:sz w:val="18"/>
          <w:szCs w:val="18"/>
          <w:lang w:val="it-IT"/>
        </w:rPr>
        <w:t>La Lista dei Prodotti Microsoft fornisce mensilmente informazioni sul software Microsoft e sui Servizi Online concessi in licenza tramite i programmi Microsoft Volume Licensing. Le informazioni riportate nella Lista dei Prodotti Microsoft includono:</w:t>
      </w:r>
    </w:p>
    <w:p w:rsidR="00023FE7" w:rsidRPr="007B74B7" w:rsidRDefault="00023FE7">
      <w:pPr>
        <w:pStyle w:val="Body"/>
        <w:ind w:right="720"/>
        <w:rPr>
          <w:lang w:val="it-IT"/>
        </w:rPr>
      </w:pPr>
    </w:p>
    <w:p w:rsidR="00023FE7" w:rsidRPr="007B74B7" w:rsidRDefault="00023FE7">
      <w:pPr>
        <w:pStyle w:val="BulletedList"/>
        <w:ind w:right="720"/>
        <w:rPr>
          <w:lang w:val="it-IT"/>
        </w:rPr>
      </w:pPr>
      <w:r w:rsidRPr="007B74B7">
        <w:rPr>
          <w:rFonts w:ascii="Tahoma" w:hAnsi="Tahoma" w:cs="Tahoma"/>
          <w:sz w:val="18"/>
          <w:szCs w:val="18"/>
          <w:lang w:val="it-IT"/>
        </w:rPr>
        <w:t>Disponibilità di software e prodotti nuovi offerti tramite Microsoft Volume Licensing</w:t>
      </w:r>
    </w:p>
    <w:p w:rsidR="00023FE7" w:rsidRPr="007B74B7" w:rsidRDefault="00023FE7" w:rsidP="00024C3C">
      <w:pPr>
        <w:pStyle w:val="BulletedList"/>
        <w:numPr>
          <w:ilvl w:val="0"/>
          <w:numId w:val="16"/>
        </w:numPr>
        <w:ind w:right="720"/>
        <w:rPr>
          <w:lang w:val="it-IT"/>
        </w:rPr>
      </w:pPr>
      <w:r w:rsidRPr="007B74B7">
        <w:rPr>
          <w:rFonts w:ascii="Tahoma" w:hAnsi="Tahoma" w:cs="Tahoma"/>
          <w:sz w:val="18"/>
          <w:szCs w:val="18"/>
          <w:lang w:val="it-IT"/>
        </w:rPr>
        <w:t>Interruzione della fornitura di software e prodotti offerti tramite Microsoft Volume Licensing</w:t>
      </w:r>
    </w:p>
    <w:p w:rsidR="00023FE7" w:rsidRPr="007B74B7" w:rsidRDefault="00023FE7" w:rsidP="00024C3C">
      <w:pPr>
        <w:pStyle w:val="BulletedList"/>
        <w:numPr>
          <w:ilvl w:val="0"/>
          <w:numId w:val="16"/>
        </w:numPr>
        <w:ind w:right="720"/>
        <w:rPr>
          <w:lang w:val="it-IT"/>
        </w:rPr>
      </w:pPr>
      <w:r w:rsidRPr="007B74B7">
        <w:rPr>
          <w:rFonts w:ascii="Tahoma" w:hAnsi="Tahoma" w:cs="Tahoma"/>
          <w:sz w:val="18"/>
          <w:szCs w:val="18"/>
          <w:lang w:val="it-IT"/>
        </w:rPr>
        <w:t xml:space="preserve">Classificazione di software e prodotti relativa al pool di prodotti con Contratti Multilicenza Microsoft (Volume Licensing) </w:t>
      </w:r>
    </w:p>
    <w:p w:rsidR="00023FE7" w:rsidRPr="007B74B7" w:rsidRDefault="00023FE7" w:rsidP="00024C3C">
      <w:pPr>
        <w:pStyle w:val="BulletedList"/>
        <w:numPr>
          <w:ilvl w:val="0"/>
          <w:numId w:val="16"/>
        </w:numPr>
        <w:ind w:right="720"/>
        <w:rPr>
          <w:lang w:val="it-IT"/>
        </w:rPr>
      </w:pPr>
      <w:r w:rsidRPr="007B74B7">
        <w:rPr>
          <w:rFonts w:ascii="Tahoma" w:hAnsi="Tahoma" w:cs="Tahoma"/>
          <w:sz w:val="18"/>
          <w:szCs w:val="18"/>
          <w:lang w:val="it-IT"/>
        </w:rPr>
        <w:t>Valore di punti per la tecnologia di ciascun software e prodotto</w:t>
      </w:r>
    </w:p>
    <w:p w:rsidR="00023FE7" w:rsidRPr="00BD7CEA" w:rsidRDefault="00023FE7" w:rsidP="00024C3C">
      <w:pPr>
        <w:pStyle w:val="BulletedList"/>
        <w:numPr>
          <w:ilvl w:val="0"/>
          <w:numId w:val="16"/>
        </w:numPr>
        <w:ind w:right="720"/>
      </w:pPr>
      <w:r w:rsidRPr="00BD7CEA">
        <w:rPr>
          <w:rFonts w:ascii="Tahoma" w:hAnsi="Tahoma" w:cs="Tahoma"/>
          <w:sz w:val="18"/>
          <w:szCs w:val="18"/>
        </w:rPr>
        <w:t>Promozioni disponibili</w:t>
      </w:r>
    </w:p>
    <w:p w:rsidR="00023FE7" w:rsidRPr="007B74B7" w:rsidRDefault="00023FE7" w:rsidP="00024C3C">
      <w:pPr>
        <w:pStyle w:val="BulletedList"/>
        <w:numPr>
          <w:ilvl w:val="0"/>
          <w:numId w:val="16"/>
        </w:numPr>
        <w:ind w:right="720"/>
        <w:rPr>
          <w:lang w:val="it-IT"/>
        </w:rPr>
      </w:pPr>
      <w:r w:rsidRPr="007B74B7">
        <w:rPr>
          <w:rFonts w:ascii="Tahoma" w:hAnsi="Tahoma" w:cs="Tahoma"/>
          <w:sz w:val="18"/>
          <w:szCs w:val="18"/>
          <w:lang w:val="it-IT"/>
        </w:rPr>
        <w:t>Percorsi di migrazione da una versione di software a un</w:t>
      </w:r>
      <w:r w:rsidR="007A1415" w:rsidRPr="007B74B7">
        <w:rPr>
          <w:rFonts w:ascii="Tahoma" w:hAnsi="Tahoma" w:cs="Tahoma"/>
          <w:sz w:val="18"/>
          <w:szCs w:val="18"/>
          <w:lang w:val="it-IT"/>
        </w:rPr>
        <w:t>’</w:t>
      </w:r>
      <w:r w:rsidRPr="007B74B7">
        <w:rPr>
          <w:rFonts w:ascii="Tahoma" w:hAnsi="Tahoma" w:cs="Tahoma"/>
          <w:sz w:val="18"/>
          <w:szCs w:val="18"/>
          <w:lang w:val="it-IT"/>
        </w:rPr>
        <w:t>altra versione dello stesso software</w:t>
      </w:r>
    </w:p>
    <w:p w:rsidR="00023FE7" w:rsidRPr="007B74B7" w:rsidRDefault="00023FE7" w:rsidP="00024C3C">
      <w:pPr>
        <w:pStyle w:val="BulletedList"/>
        <w:numPr>
          <w:ilvl w:val="0"/>
          <w:numId w:val="16"/>
        </w:numPr>
        <w:ind w:right="720"/>
        <w:rPr>
          <w:lang w:val="it-IT"/>
        </w:rPr>
      </w:pPr>
      <w:r w:rsidRPr="007B74B7">
        <w:rPr>
          <w:rFonts w:ascii="Tahoma" w:hAnsi="Tahoma" w:cs="Tahoma"/>
          <w:sz w:val="18"/>
          <w:szCs w:val="18"/>
          <w:lang w:val="it-IT"/>
        </w:rPr>
        <w:t>Percorsi di migrazione da un software interrotto a nuove versioni di software</w:t>
      </w:r>
    </w:p>
    <w:p w:rsidR="00023FE7" w:rsidRPr="00BD7CEA" w:rsidRDefault="00023FE7" w:rsidP="00024C3C">
      <w:pPr>
        <w:pStyle w:val="BulletedList"/>
        <w:numPr>
          <w:ilvl w:val="0"/>
          <w:numId w:val="16"/>
        </w:numPr>
        <w:ind w:right="720"/>
      </w:pPr>
      <w:r w:rsidRPr="00BD7CEA">
        <w:rPr>
          <w:rFonts w:ascii="Tahoma" w:hAnsi="Tahoma" w:cs="Tahoma"/>
          <w:sz w:val="18"/>
          <w:szCs w:val="18"/>
        </w:rPr>
        <w:t>Vantaggi di Software Assurance</w:t>
      </w:r>
    </w:p>
    <w:p w:rsidR="00023FE7" w:rsidRPr="007B74B7" w:rsidRDefault="00023FE7" w:rsidP="00024C3C">
      <w:pPr>
        <w:pStyle w:val="BulletedList"/>
        <w:numPr>
          <w:ilvl w:val="0"/>
          <w:numId w:val="16"/>
        </w:numPr>
        <w:ind w:right="720"/>
        <w:rPr>
          <w:lang w:val="it-IT"/>
        </w:rPr>
      </w:pPr>
      <w:r w:rsidRPr="007B74B7">
        <w:rPr>
          <w:rFonts w:ascii="Tahoma" w:hAnsi="Tahoma" w:cs="Tahoma"/>
          <w:sz w:val="18"/>
          <w:szCs w:val="18"/>
          <w:lang w:val="it-IT"/>
        </w:rPr>
        <w:t>Altre Note e informazioni specifiche del software e dei prodotti</w:t>
      </w:r>
    </w:p>
    <w:p w:rsidR="00023FE7" w:rsidRPr="007B74B7" w:rsidRDefault="00023FE7">
      <w:pPr>
        <w:ind w:right="720"/>
        <w:rPr>
          <w:lang w:val="it-IT"/>
        </w:rPr>
      </w:pPr>
    </w:p>
    <w:p w:rsidR="00023FE7" w:rsidRPr="007B74B7" w:rsidRDefault="00023FE7">
      <w:pPr>
        <w:ind w:right="720"/>
        <w:rPr>
          <w:lang w:val="it-IT"/>
        </w:rPr>
      </w:pPr>
    </w:p>
    <w:p w:rsidR="00023FE7" w:rsidRPr="007B74B7" w:rsidRDefault="00023FE7" w:rsidP="003B23CC">
      <w:pPr>
        <w:pStyle w:val="Heading1"/>
        <w:rPr>
          <w:lang w:val="it-IT"/>
        </w:rPr>
      </w:pPr>
      <w:bookmarkStart w:id="5" w:name="_Toc336337839"/>
      <w:bookmarkStart w:id="6" w:name="_Toc353375621"/>
      <w:r w:rsidRPr="007B74B7">
        <w:rPr>
          <w:lang w:val="it-IT"/>
        </w:rPr>
        <w:t>MODALITà DI Utilizzo deLLA LISTA DEI Prodotti Microsoft</w:t>
      </w:r>
      <w:bookmarkEnd w:id="5"/>
      <w:bookmarkEnd w:id="6"/>
    </w:p>
    <w:p w:rsidR="00023FE7" w:rsidRPr="007B74B7" w:rsidRDefault="00023FE7">
      <w:pPr>
        <w:pStyle w:val="Body"/>
        <w:ind w:right="-1890"/>
        <w:rPr>
          <w:lang w:val="it-IT"/>
        </w:rPr>
      </w:pPr>
    </w:p>
    <w:p w:rsidR="00023FE7" w:rsidRPr="007B74B7" w:rsidRDefault="00023FE7">
      <w:pPr>
        <w:pStyle w:val="Body"/>
        <w:ind w:right="-1890"/>
        <w:rPr>
          <w:lang w:val="it-IT"/>
        </w:rPr>
      </w:pPr>
      <w:r w:rsidRPr="007B74B7">
        <w:rPr>
          <w:rFonts w:ascii="Tahoma" w:hAnsi="Tahoma" w:cs="Tahoma"/>
          <w:b/>
          <w:lang w:val="it-IT"/>
        </w:rPr>
        <w:t xml:space="preserve">Si consiglia di familiarizzare con i codici della tabella riportati dopo i passaggi </w:t>
      </w:r>
      <w:r w:rsidR="00BF1DDF" w:rsidRPr="007B74B7">
        <w:rPr>
          <w:rFonts w:ascii="Tahoma" w:hAnsi="Tahoma" w:cs="Tahoma"/>
          <w:b/>
          <w:lang w:val="it-IT"/>
        </w:rPr>
        <w:br/>
      </w:r>
      <w:r w:rsidRPr="007B74B7">
        <w:rPr>
          <w:rFonts w:ascii="Tahoma" w:hAnsi="Tahoma" w:cs="Tahoma"/>
          <w:b/>
          <w:lang w:val="it-IT"/>
        </w:rPr>
        <w:t>che seguono.</w:t>
      </w:r>
    </w:p>
    <w:p w:rsidR="00023FE7" w:rsidRPr="007B74B7" w:rsidRDefault="00023FE7">
      <w:pPr>
        <w:pStyle w:val="Body"/>
        <w:ind w:right="-1890"/>
        <w:rPr>
          <w:lang w:val="it-IT"/>
        </w:rPr>
      </w:pPr>
    </w:p>
    <w:p w:rsidR="00023FE7" w:rsidRPr="007B74B7" w:rsidRDefault="00023FE7">
      <w:pPr>
        <w:pStyle w:val="Body"/>
        <w:ind w:right="-1890"/>
        <w:rPr>
          <w:lang w:val="it-IT"/>
        </w:rPr>
      </w:pPr>
      <w:r w:rsidRPr="007B74B7">
        <w:rPr>
          <w:rStyle w:val="BodyChar"/>
          <w:rFonts w:ascii="Tahoma" w:hAnsi="Tahoma" w:cs="Tahoma"/>
          <w:b/>
          <w:sz w:val="18"/>
          <w:szCs w:val="18"/>
          <w:lang w:val="it-IT"/>
        </w:rPr>
        <w:t>Punto 1:</w:t>
      </w:r>
      <w:r w:rsidR="008D782D" w:rsidRPr="007B74B7">
        <w:rPr>
          <w:rStyle w:val="BodyChar"/>
          <w:rFonts w:ascii="Tahoma" w:hAnsi="Tahoma" w:cs="Tahoma"/>
          <w:b/>
          <w:sz w:val="18"/>
          <w:szCs w:val="18"/>
          <w:lang w:val="it-IT"/>
        </w:rPr>
        <w:t xml:space="preserve"> </w:t>
      </w:r>
      <w:r w:rsidRPr="007B74B7">
        <w:rPr>
          <w:rFonts w:ascii="Tahoma" w:hAnsi="Tahoma" w:cs="Tahoma"/>
          <w:sz w:val="18"/>
          <w:szCs w:val="18"/>
          <w:lang w:val="it-IT"/>
        </w:rPr>
        <w:t xml:space="preserve">individuare nella tabella il software che interessa. </w:t>
      </w:r>
    </w:p>
    <w:p w:rsidR="00023FE7" w:rsidRPr="007B74B7" w:rsidRDefault="00023FE7">
      <w:pPr>
        <w:pStyle w:val="Body"/>
        <w:ind w:right="-1890"/>
        <w:rPr>
          <w:lang w:val="it-IT"/>
        </w:rPr>
      </w:pPr>
    </w:p>
    <w:p w:rsidR="00023FE7" w:rsidRPr="00BD7CEA" w:rsidRDefault="004A59D9" w:rsidP="0013361B">
      <w:pPr>
        <w:pStyle w:val="NumberedSteps"/>
        <w:ind w:left="-180" w:right="720"/>
      </w:pPr>
      <w:r>
        <w:rPr>
          <w:rFonts w:ascii="Tahoma" w:hAnsi="Tahoma" w:cs="Tahoma"/>
          <w:noProof/>
          <w:sz w:val="18"/>
          <w:szCs w:val="18"/>
        </w:rPr>
        <mc:AlternateContent>
          <mc:Choice Requires="wps">
            <w:drawing>
              <wp:anchor distT="0" distB="0" distL="114300" distR="114300" simplePos="0" relativeHeight="251665920" behindDoc="0" locked="0" layoutInCell="1" allowOverlap="1">
                <wp:simplePos x="0" y="0"/>
                <wp:positionH relativeFrom="column">
                  <wp:posOffset>-190500</wp:posOffset>
                </wp:positionH>
                <wp:positionV relativeFrom="paragraph">
                  <wp:posOffset>1819275</wp:posOffset>
                </wp:positionV>
                <wp:extent cx="1704975" cy="228600"/>
                <wp:effectExtent l="9525" t="9525" r="9525" b="9525"/>
                <wp:wrapNone/>
                <wp:docPr id="16"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04975" cy="228600"/>
                        </a:xfrm>
                        <a:prstGeom prst="ellipse">
                          <a:avLst/>
                        </a:prstGeom>
                        <a:noFill/>
                        <a:ln w="1905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546C342" id="Oval 9" o:spid="_x0000_s1026" style="position:absolute;margin-left:-15pt;margin-top:143.25pt;width:134.25pt;height:18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oo+JcwIAAOwEAAAOAAAAZHJzL2Uyb0RvYy54bWysVMuO2yAU3VfqPyD2Gdup87AVZxTFcVVp&#10;2hlp2g8gGMeoGCiQONOq/94LTtKks6mqeoEvXDiccx8s7o+dQAdmLFeywMldjBGTVNVc7gr85XM1&#10;mmNkHZE1EUqyAr8wi++Xb98sep2zsWqVqJlBACJt3usCt87pPIosbVlH7J3STIKzUaYjDqZmF9WG&#10;9IDeiWgcx9OoV6bWRlFmLayWgxMvA37TMOoem8Yyh0SBgZsLownj1o/RckHynSG65fREg/wDi45w&#10;CZdeoEriCNob/gqq49Qoqxp3R1UXqabhlAUNoCaJ/1Dz3BLNghYIjtWXMNn/B0s/HZ4M4jXkboqR&#10;JB3k6PFABMp8aHptc9jxrJ+MF2f1g6JfLZJq3RK5YytjVN8yUgOhxO+Pbg74iYWjaNt/VDUAk71T&#10;IUrHxnQeEPSjY0jGyyUZ7OgQhcVkFqfZbIIRBd94PJ/GIVsRyc+ntbHuPVMd8kaBmRBcWx8vkpPD&#10;g3WeEMnPu/yyVBUXIuRcSNTDJVk8icMJqwSvvTcINbvtWhgEgShwVcXwBXkQguttRu1lHdB8EDYn&#10;2xEuBhtuF9LjgSbgc7KGuviRxdlmvpmno3Q83YzSuCxHq2qdjqZVMpuU78r1ukx+empJmre8rpn0&#10;7M41mqR/VwOnbhmq61KlNyrsrdgKvtdio1saIbKg6vwP6kL2fcKHwtmq+gWSb9TQdPBIgNEq8x2j&#10;HhquwPbbnhiGkfggoYBm6TiDbLswmc8z6FZz7dheOYikAFRgh9Fgrt3Q03tt+K6Fe5KQVKlWUHIN&#10;D6Xgy3HgdCpUaKnA/9T+vmev52HX70dq+QsAAP//AwBQSwMEFAAGAAgAAAAhAOi+2vPiAAAACwEA&#10;AA8AAABkcnMvZG93bnJldi54bWxMj8FOwzAQRO9I/QdrK3FBrRNHraIQp6JIvYAEofQDtrGbRI3t&#10;YLtt+HuWE9xmNaPZN+VmMgO7ah96ZyWkywSYto1TvW0lHD53ixxYiGgVDs5qCd86wKaa3ZVYKHez&#10;H/q6jy2jEhsKlNDFOBach6bTBsPSjdqSd3LeYKTTt1x5vFG5GbhIkjU32Fv60OGonzvdnPcXI8GP&#10;9aF+223r9Pz68qDet3jq0y8p7+fT0yOwqKf4F4ZffEKHipiO7mJVYIOERZbQlihB5OsVMEqILCdx&#10;lJAJsQJelfz/huoHAAD//wMAUEsBAi0AFAAGAAgAAAAhALaDOJL+AAAA4QEAABMAAAAAAAAAAAAA&#10;AAAAAAAAAFtDb250ZW50X1R5cGVzXS54bWxQSwECLQAUAAYACAAAACEAOP0h/9YAAACUAQAACwAA&#10;AAAAAAAAAAAAAAAvAQAAX3JlbHMvLnJlbHNQSwECLQAUAAYACAAAACEAz6KPiXMCAADsBAAADgAA&#10;AAAAAAAAAAAAAAAuAgAAZHJzL2Uyb0RvYy54bWxQSwECLQAUAAYACAAAACEA6L7a8+IAAAALAQAA&#10;DwAAAAAAAAAAAAAAAADNBAAAZHJzL2Rvd25yZXYueG1sUEsFBgAAAAAEAAQA8wAAANwFAAAAAA==&#10;" filled="f" strokecolor="red" strokeweight="1.5pt">
                <v:textbox inset="5.85pt,.7pt,5.85pt,.7pt"/>
              </v:oval>
            </w:pict>
          </mc:Fallback>
        </mc:AlternateContent>
      </w:r>
      <w:r w:rsidR="00D11F66" w:rsidRPr="00D12FE5">
        <w:rPr>
          <w:rFonts w:ascii="Tahoma" w:hAnsi="Tahoma" w:cs="Tahoma"/>
          <w:noProof/>
          <w:sz w:val="18"/>
          <w:szCs w:val="18"/>
        </w:rPr>
        <w:drawing>
          <wp:inline distT="0" distB="0" distL="0" distR="0" wp14:anchorId="1DA692AE" wp14:editId="1A55D7F5">
            <wp:extent cx="5760720" cy="2514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6507" t="27564" r="14263" b="27137"/>
                    <a:stretch/>
                  </pic:blipFill>
                  <pic:spPr bwMode="auto">
                    <a:xfrm>
                      <a:off x="0" y="0"/>
                      <a:ext cx="5760720" cy="2514600"/>
                    </a:xfrm>
                    <a:prstGeom prst="rect">
                      <a:avLst/>
                    </a:prstGeom>
                    <a:ln>
                      <a:noFill/>
                    </a:ln>
                    <a:extLst>
                      <a:ext uri="{53640926-AAD7-44D8-BBD7-CCE9431645EC}">
                        <a14:shadowObscured xmlns:a14="http://schemas.microsoft.com/office/drawing/2010/main"/>
                      </a:ext>
                    </a:extLst>
                  </pic:spPr>
                </pic:pic>
              </a:graphicData>
            </a:graphic>
          </wp:inline>
        </w:drawing>
      </w:r>
    </w:p>
    <w:p w:rsidR="00023FE7" w:rsidRDefault="00023FE7">
      <w:pPr>
        <w:pStyle w:val="NumberedSteps"/>
        <w:ind w:right="720"/>
      </w:pPr>
    </w:p>
    <w:p w:rsidR="003D6D98" w:rsidRDefault="003D6D98">
      <w:pPr>
        <w:pStyle w:val="NumberedSteps"/>
        <w:ind w:right="720"/>
      </w:pPr>
    </w:p>
    <w:p w:rsidR="003D6D98" w:rsidRPr="00D12FE5" w:rsidRDefault="003D6D98">
      <w:pPr>
        <w:pStyle w:val="NumberedSteps"/>
        <w:ind w:right="720"/>
        <w:rPr>
          <w:rFonts w:ascii="Tahoma" w:hAnsi="Tahoma" w:cs="Tahoma"/>
        </w:rPr>
      </w:pPr>
    </w:p>
    <w:p w:rsidR="00023FE7" w:rsidRPr="007B74B7" w:rsidRDefault="00023FE7">
      <w:pPr>
        <w:pStyle w:val="NumberedSteps"/>
        <w:ind w:right="720"/>
        <w:rPr>
          <w:lang w:val="it-IT"/>
        </w:rPr>
      </w:pPr>
      <w:r w:rsidRPr="007B74B7">
        <w:rPr>
          <w:rStyle w:val="BodyChar"/>
          <w:rFonts w:ascii="Tahoma" w:hAnsi="Tahoma" w:cs="Tahoma"/>
          <w:b/>
          <w:sz w:val="18"/>
          <w:szCs w:val="18"/>
          <w:lang w:val="it-IT"/>
        </w:rPr>
        <w:lastRenderedPageBreak/>
        <w:t>Punto 2:</w:t>
      </w:r>
      <w:r w:rsidR="008D782D" w:rsidRPr="007B74B7">
        <w:rPr>
          <w:rFonts w:ascii="Tahoma" w:hAnsi="Tahoma" w:cs="Tahoma"/>
          <w:sz w:val="18"/>
          <w:szCs w:val="18"/>
          <w:lang w:val="it-IT"/>
        </w:rPr>
        <w:t xml:space="preserve"> </w:t>
      </w:r>
      <w:r w:rsidRPr="007B74B7">
        <w:rPr>
          <w:rFonts w:ascii="Tahoma" w:hAnsi="Tahoma" w:cs="Tahoma"/>
          <w:sz w:val="18"/>
          <w:szCs w:val="18"/>
          <w:lang w:val="it-IT"/>
        </w:rPr>
        <w:t>esaminare le informazioni nelle colonne relative alle promozioni disponibili, ai vantaggi di Software Assurance, ai punti accumulati, alla disponibilità dei programmi, ecc.</w:t>
      </w:r>
    </w:p>
    <w:p w:rsidR="00023FE7" w:rsidRPr="007B74B7" w:rsidRDefault="00023FE7" w:rsidP="000E5145">
      <w:pPr>
        <w:pStyle w:val="NumberedSteps"/>
        <w:ind w:right="720"/>
        <w:rPr>
          <w:lang w:val="it-IT"/>
        </w:rPr>
      </w:pPr>
      <w:r w:rsidRPr="007B74B7">
        <w:rPr>
          <w:rStyle w:val="BodyChar"/>
          <w:rFonts w:ascii="Tahoma" w:hAnsi="Tahoma" w:cs="Tahoma"/>
          <w:b/>
          <w:sz w:val="18"/>
          <w:szCs w:val="18"/>
          <w:lang w:val="it-IT"/>
        </w:rPr>
        <w:t>Punto 3:</w:t>
      </w:r>
      <w:r w:rsidR="008D782D" w:rsidRPr="007B74B7">
        <w:rPr>
          <w:rFonts w:ascii="Tahoma" w:hAnsi="Tahoma" w:cs="Tahoma"/>
          <w:sz w:val="18"/>
          <w:szCs w:val="18"/>
          <w:lang w:val="it-IT"/>
        </w:rPr>
        <w:t xml:space="preserve"> </w:t>
      </w:r>
      <w:r w:rsidRPr="007B74B7">
        <w:rPr>
          <w:rFonts w:ascii="Tahoma" w:hAnsi="Tahoma" w:cs="Tahoma"/>
          <w:sz w:val="18"/>
          <w:szCs w:val="18"/>
          <w:lang w:val="it-IT"/>
        </w:rPr>
        <w:t>alcuni software saranno anche corredati di note a piè di pagina riguardanti informazioni aggiuntive. Per leggerle, se applicabile, “fare clic” (Ctrl + clic) sul numero della nota a piè di pagina, che indirizzerà immediatamente al testo corrispondente oppure fare riferimento alla nota</w:t>
      </w:r>
      <w:r w:rsidR="00BF1DDF" w:rsidRPr="007B74B7">
        <w:rPr>
          <w:rFonts w:ascii="Tahoma" w:hAnsi="Tahoma" w:cs="Tahoma"/>
          <w:sz w:val="18"/>
          <w:szCs w:val="18"/>
          <w:lang w:val="it-IT"/>
        </w:rPr>
        <w:t> </w:t>
      </w:r>
      <w:r w:rsidRPr="007B74B7">
        <w:rPr>
          <w:rFonts w:ascii="Tahoma" w:hAnsi="Tahoma" w:cs="Tahoma"/>
          <w:sz w:val="18"/>
          <w:szCs w:val="18"/>
          <w:lang w:val="it-IT"/>
        </w:rPr>
        <w:t>a</w:t>
      </w:r>
      <w:r w:rsidR="00BF1DDF" w:rsidRPr="007B74B7">
        <w:rPr>
          <w:rFonts w:ascii="Tahoma" w:hAnsi="Tahoma" w:cs="Tahoma"/>
          <w:sz w:val="18"/>
          <w:szCs w:val="18"/>
          <w:lang w:val="it-IT"/>
        </w:rPr>
        <w:t> </w:t>
      </w:r>
      <w:r w:rsidRPr="007B74B7">
        <w:rPr>
          <w:rFonts w:ascii="Tahoma" w:hAnsi="Tahoma" w:cs="Tahoma"/>
          <w:sz w:val="18"/>
          <w:szCs w:val="18"/>
          <w:lang w:val="it-IT"/>
        </w:rPr>
        <w:t>piè di pagina identificata nelle pagine che seguono la tabella. Le informazioni aggiuntive includono i dettagli riguardanti le offerte di migrazione o i criteri di idoneità illustrati nell</w:t>
      </w:r>
      <w:r w:rsidR="007A1415" w:rsidRPr="007B74B7">
        <w:rPr>
          <w:rFonts w:ascii="Tahoma" w:hAnsi="Tahoma" w:cs="Tahoma"/>
          <w:sz w:val="18"/>
          <w:szCs w:val="18"/>
          <w:lang w:val="it-IT"/>
        </w:rPr>
        <w:t>’</w:t>
      </w:r>
      <w:r w:rsidRPr="007B74B7">
        <w:rPr>
          <w:rFonts w:ascii="Tahoma" w:hAnsi="Tahoma" w:cs="Tahoma"/>
          <w:sz w:val="18"/>
          <w:szCs w:val="18"/>
          <w:lang w:val="it-IT"/>
        </w:rPr>
        <w:t>esempio che segue.</w:t>
      </w:r>
    </w:p>
    <w:p w:rsidR="00023FE7" w:rsidRPr="00BD7CEA" w:rsidRDefault="004A59D9">
      <w:pPr>
        <w:pStyle w:val="NumberedSteps"/>
        <w:tabs>
          <w:tab w:val="left" w:pos="9360"/>
        </w:tabs>
        <w:ind w:right="720"/>
      </w:pPr>
      <w:r>
        <w:rPr>
          <w:rFonts w:ascii="Tahoma" w:hAnsi="Tahoma" w:cs="Tahoma"/>
          <w:b/>
          <w:noProof/>
          <w:sz w:val="18"/>
          <w:szCs w:val="18"/>
        </w:rPr>
        <mc:AlternateContent>
          <mc:Choice Requires="wps">
            <w:drawing>
              <wp:anchor distT="0" distB="0" distL="114300" distR="114300" simplePos="0" relativeHeight="251667968" behindDoc="0" locked="0" layoutInCell="1" allowOverlap="1">
                <wp:simplePos x="0" y="0"/>
                <wp:positionH relativeFrom="column">
                  <wp:posOffset>1828800</wp:posOffset>
                </wp:positionH>
                <wp:positionV relativeFrom="paragraph">
                  <wp:posOffset>1635125</wp:posOffset>
                </wp:positionV>
                <wp:extent cx="257175" cy="180975"/>
                <wp:effectExtent l="9525" t="9525" r="9525" b="9525"/>
                <wp:wrapNone/>
                <wp:docPr id="15"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7175" cy="180975"/>
                        </a:xfrm>
                        <a:prstGeom prst="ellipse">
                          <a:avLst/>
                        </a:prstGeom>
                        <a:noFill/>
                        <a:ln w="1905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DE6FFCE" id="Oval 11" o:spid="_x0000_s1026" style="position:absolute;margin-left:2in;margin-top:128.75pt;width:20.25pt;height:14.25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5PJcAIAAOwEAAAOAAAAZHJzL2Uyb0RvYy54bWysVF1v0zAUfUfiP1h+75KUbGujpdPUNAhp&#10;sEmDH+DGTmPh+BrbbToQ/51rpy0re0GIPDjXudfH59yP3Nzue0V2wjoJuqTZRUqJ0A1wqTcl/fK5&#10;nswocZ5pzhRoUdJn4ejt4u2bm8EUYgodKC4sQRDtisGUtPPeFEnimk70zF2AERqdLdieedzaTcIt&#10;GxC9V8k0Ta+SASw3FhrhHH6tRiddRPy2FY1/aFsnPFElRW4+rjau67AmixtWbCwznWwONNg/sOiZ&#10;1HjpCapinpGtla+getlYcND6iwb6BNpWNiJqQDVZ+oeap44ZEbVgcpw5pcn9P9jm0+7REsmxdpeU&#10;aNZjjR52TJEsC7kZjCsw5Mk82qDOmXtovjqiYdkxvRF31sLQCcaRUYxPzg6EjcOjZD18BI7IbOsh&#10;pmnf2j4AYgLIPlbj+VQNsfekwY/Ty+vsGkk16Mpm6RxtZJSw4njYWOffC+hJMEoqlJLGhXyxgu3u&#10;nR+jj1Hhs4ZaKhVrrjQZEHeeXqbxhAMlefBGnXazXipLMBElresUn8PdZ2EWtppHtJCD1cH2TKrR&#10;Rq5KBzyUhHwO1tgXP+bpfDVbzfJJPr1aTfK0qiZ39TKfXNWounpXLZdV9jNQy/Kik5wLHdgdezTL&#10;/64HDtMydtepS89UuHOxNT6vxSbnNGIdUNXxHdXF4od6j32zBv6MtbcwDh3+JNDowH6nZMCBK6n7&#10;tmVWUKI+aOyf63w6x2r7uJnN5jit9qVj/cLBdINAJfWUjObSjzO9NVZuOrwni0XVcIcd18rYCqEb&#10;R07IOmxwpCL/w/iHmX25j1G/f1KLXwAAAP//AwBQSwMEFAAGAAgAAAAhAMtEn/LgAAAACwEAAA8A&#10;AABkcnMvZG93bnJldi54bWxMj8FOwzAQRO9I/IO1SFwQdRLUEoU4FUXqBSQIpR+wjd0karwOttuG&#10;v2d7gtusZjT7plxOdhAn40PvSEE6S0AYapzuqVWw/Vrf5yBCRNI4ODIKfkyAZXV9VWKh3Zk+zWkT&#10;W8ElFApU0MU4FlKGpjMWw8yNhtjbO28x8ulbqT2eudwOMkuShbTYE3/ocDQvnWkOm6NV4Md6W7+v&#10;V3V6eHu90x8r3Pfpt1K3N9PzE4hopvgXhgs+o0PFTDt3JB3EoCDLc94SWcwf5yA48ZDlLHYXa5GA&#10;rEr5f0P1CwAA//8DAFBLAQItABQABgAIAAAAIQC2gziS/gAAAOEBAAATAAAAAAAAAAAAAAAAAAAA&#10;AABbQ29udGVudF9UeXBlc10ueG1sUEsBAi0AFAAGAAgAAAAhADj9If/WAAAAlAEAAAsAAAAAAAAA&#10;AAAAAAAALwEAAF9yZWxzLy5yZWxzUEsBAi0AFAAGAAgAAAAhAGxzk8lwAgAA7AQAAA4AAAAAAAAA&#10;AAAAAAAALgIAAGRycy9lMm9Eb2MueG1sUEsBAi0AFAAGAAgAAAAhAMtEn/LgAAAACwEAAA8AAAAA&#10;AAAAAAAAAAAAygQAAGRycy9kb3ducmV2LnhtbFBLBQYAAAAABAAEAPMAAADXBQAAAAA=&#10;" filled="f" strokecolor="red" strokeweight="1.5pt">
                <v:textbox inset="5.85pt,.7pt,5.85pt,.7pt"/>
              </v:oval>
            </w:pict>
          </mc:Fallback>
        </mc:AlternateContent>
      </w:r>
      <w:r>
        <w:rPr>
          <w:rFonts w:ascii="Tahoma" w:hAnsi="Tahoma" w:cs="Tahoma"/>
          <w:b/>
          <w:noProof/>
          <w:sz w:val="18"/>
          <w:szCs w:val="18"/>
        </w:rPr>
        <mc:AlternateContent>
          <mc:Choice Requires="wps">
            <w:drawing>
              <wp:anchor distT="0" distB="0" distL="114300" distR="114300" simplePos="0" relativeHeight="251666944" behindDoc="0" locked="0" layoutInCell="1" allowOverlap="1">
                <wp:simplePos x="0" y="0"/>
                <wp:positionH relativeFrom="column">
                  <wp:posOffset>409575</wp:posOffset>
                </wp:positionH>
                <wp:positionV relativeFrom="paragraph">
                  <wp:posOffset>1616075</wp:posOffset>
                </wp:positionV>
                <wp:extent cx="952500" cy="180975"/>
                <wp:effectExtent l="9525" t="9525" r="9525" b="9525"/>
                <wp:wrapNone/>
                <wp:docPr id="14"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0" cy="180975"/>
                        </a:xfrm>
                        <a:prstGeom prst="ellipse">
                          <a:avLst/>
                        </a:prstGeom>
                        <a:noFill/>
                        <a:ln w="1905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9F60408" id="Oval 10" o:spid="_x0000_s1026" style="position:absolute;margin-left:32.25pt;margin-top:127.25pt;width:75pt;height:14.2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czVzcQIAAOwEAAAOAAAAZHJzL2Uyb0RvYy54bWysVFFv2yAQfp+0/4B4T2xnThtbdaoojqdJ&#10;3Vqp2w8gGMdoGBiQON3U/74DO2mzvkzT/IAPDj7uu++Om9tjJ9CBGcuVLHAyjTFikqqay12Bv32t&#10;JguMrCOyJkJJVuAnZvHt8v27m17nbKZaJWpmEIBIm/e6wK1zOo8iS1vWETtVmklwNsp0xMHU7KLa&#10;kB7QOxHN4vgq6pWptVGUWQur5eDEy4DfNIy6+6axzCFRYIjNhdGEcevHaHlD8p0huuV0DIP8QxQd&#10;4RIuPUOVxBG0N/wNVMepUVY1bkpVF6mm4ZQFDsAmif9g89gSzQIXSI7V5zTZ/wdLvxweDOI1aJdi&#10;JEkHGt0fiEBJyE2vbQ5bHvWD8eysvlP0u0VSrVsid2xljOpbRmqIKPG5jC4O+ImFo2jbf1Y1IJO9&#10;UyFNx8Z0HhASgI5BjaezGuzoEIXFbD6bx6AZBVeyiLPrebiB5KfD2lj3kakOeaPATAiurc8Xycnh&#10;zjofD8lPu/yyVBUXImguJOoBN4vncThhleC19waeZrddC4MgEQWuqhi+8e6LbUbtZR3QfA42o+0I&#10;F4MNtwvp8YASxDNaQ138yuJss9gs0kk6u9pM0rgsJ6tqnU6uquR6Xn4o1+syefahJWne8rpm0kd3&#10;qtEk/bsaGLtlqK5zlV6wsJdkK/jeko0uwwiZBVanf2AXxPd6++6z+VbVT6C9UUPTwSMBRqvMT4x6&#10;aLgC2x97YhhG4pOE+rlOZ9kcOjRMFosMlDevHdtXDiIpABXYYTSYazf09F4bvmvhniSIKtUKKq7h&#10;oRReYhrrFFoqxD+2v+/Z1/Ow6+WRWv4GAAD//wMAUEsDBBQABgAIAAAAIQCRGmoQ3wAAAAoBAAAP&#10;AAAAZHJzL2Rvd25yZXYueG1sTI/BTsMwDIbvSLxDZCQuiKUtbJpK04kh7QISlLEH8JqsrdY4Jcm2&#10;8va4J7h9ln/9/lysRtuLs/Ghc6QgnSUgDNVOd9Qo2H1t7pcgQkTS2DsyCn5MgFV5fVVgrt2FPs15&#10;GxvBJRRyVNDGOORShro1FsPMDYZ4d3DeYuTRN1J7vHC57WWWJAtpsSO+0OJgXlpTH7cnq8AP1a56&#10;36yr9Pj2eqc/1njo0m+lbm/G5ycQ0YzxLwyTPqtDyU57dyIdRK9g8TjnpIJsPgEHsnSCPcPyIQFZ&#10;FvL/C+UvAAAA//8DAFBLAQItABQABgAIAAAAIQC2gziS/gAAAOEBAAATAAAAAAAAAAAAAAAAAAAA&#10;AABbQ29udGVudF9UeXBlc10ueG1sUEsBAi0AFAAGAAgAAAAhADj9If/WAAAAlAEAAAsAAAAAAAAA&#10;AAAAAAAALwEAAF9yZWxzLy5yZWxzUEsBAi0AFAAGAAgAAAAhAOJzNXNxAgAA7AQAAA4AAAAAAAAA&#10;AAAAAAAALgIAAGRycy9lMm9Eb2MueG1sUEsBAi0AFAAGAAgAAAAhAJEaahDfAAAACgEAAA8AAAAA&#10;AAAAAAAAAAAAywQAAGRycy9kb3ducmV2LnhtbFBLBQYAAAAABAAEAPMAAADXBQAAAAA=&#10;" filled="f" strokecolor="red" strokeweight="1.5pt">
                <v:textbox inset="5.85pt,.7pt,5.85pt,.7pt"/>
              </v:oval>
            </w:pict>
          </mc:Fallback>
        </mc:AlternateContent>
      </w:r>
      <w:r w:rsidR="00D11F66" w:rsidRPr="00D12FE5">
        <w:rPr>
          <w:rFonts w:ascii="Tahoma" w:hAnsi="Tahoma" w:cs="Tahoma"/>
          <w:noProof/>
          <w:sz w:val="18"/>
          <w:szCs w:val="18"/>
        </w:rPr>
        <w:drawing>
          <wp:inline distT="0" distB="0" distL="0" distR="0" wp14:anchorId="2B012C7E" wp14:editId="6714A614">
            <wp:extent cx="2029968" cy="239572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6507" t="27564" r="58493" b="27137"/>
                    <a:stretch/>
                  </pic:blipFill>
                  <pic:spPr bwMode="auto">
                    <a:xfrm>
                      <a:off x="0" y="0"/>
                      <a:ext cx="2029968" cy="2395728"/>
                    </a:xfrm>
                    <a:prstGeom prst="rect">
                      <a:avLst/>
                    </a:prstGeom>
                    <a:ln>
                      <a:noFill/>
                    </a:ln>
                    <a:extLst>
                      <a:ext uri="{53640926-AAD7-44D8-BBD7-CCE9431645EC}">
                        <a14:shadowObscured xmlns:a14="http://schemas.microsoft.com/office/drawing/2010/main"/>
                      </a:ext>
                    </a:extLst>
                  </pic:spPr>
                </pic:pic>
              </a:graphicData>
            </a:graphic>
          </wp:inline>
        </w:drawing>
      </w:r>
    </w:p>
    <w:p w:rsidR="0013361B" w:rsidRDefault="0013361B">
      <w:pPr>
        <w:pStyle w:val="NumberedSteps"/>
        <w:tabs>
          <w:tab w:val="left" w:pos="9360"/>
        </w:tabs>
        <w:ind w:right="720"/>
      </w:pPr>
    </w:p>
    <w:p w:rsidR="00D11F66" w:rsidRPr="00BD7CEA" w:rsidRDefault="003D6D98">
      <w:pPr>
        <w:pStyle w:val="NumberedSteps"/>
        <w:tabs>
          <w:tab w:val="left" w:pos="9360"/>
        </w:tabs>
        <w:ind w:right="720"/>
      </w:pPr>
      <w:r w:rsidRPr="00D12FE5">
        <w:rPr>
          <w:rFonts w:ascii="Tahoma" w:hAnsi="Tahoma" w:cs="Tahoma"/>
          <w:noProof/>
          <w:sz w:val="18"/>
          <w:szCs w:val="18"/>
        </w:rPr>
        <w:drawing>
          <wp:inline distT="0" distB="0" distL="0" distR="0" wp14:anchorId="39AAFC6F" wp14:editId="6FA30B02">
            <wp:extent cx="5239512" cy="1033272"/>
            <wp:effectExtent l="19050" t="1905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4974" t="50803" r="13101" b="30659"/>
                    <a:stretch/>
                  </pic:blipFill>
                  <pic:spPr bwMode="auto">
                    <a:xfrm>
                      <a:off x="0" y="0"/>
                      <a:ext cx="5239512" cy="1033272"/>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rsidR="0013361B" w:rsidRPr="00BD7CEA" w:rsidRDefault="0013361B">
      <w:pPr>
        <w:pStyle w:val="NumberedSteps"/>
        <w:ind w:right="720"/>
      </w:pPr>
    </w:p>
    <w:p w:rsidR="00023FE7" w:rsidRPr="007B74B7" w:rsidRDefault="00023FE7">
      <w:pPr>
        <w:pStyle w:val="NumberedSteps"/>
        <w:ind w:right="720"/>
        <w:rPr>
          <w:lang w:val="it-IT"/>
        </w:rPr>
      </w:pPr>
      <w:r w:rsidRPr="007B74B7">
        <w:rPr>
          <w:rStyle w:val="BodyChar"/>
          <w:rFonts w:ascii="Tahoma" w:hAnsi="Tahoma" w:cs="Tahoma"/>
          <w:b/>
          <w:sz w:val="18"/>
          <w:szCs w:val="18"/>
          <w:lang w:val="it-IT"/>
        </w:rPr>
        <w:t>Punto 4:</w:t>
      </w:r>
      <w:r w:rsidR="008D782D" w:rsidRPr="007B74B7">
        <w:rPr>
          <w:rStyle w:val="BodyChar"/>
          <w:rFonts w:ascii="Tahoma" w:hAnsi="Tahoma" w:cs="Tahoma"/>
          <w:b/>
          <w:sz w:val="18"/>
          <w:szCs w:val="18"/>
          <w:lang w:val="it-IT"/>
        </w:rPr>
        <w:t xml:space="preserve"> </w:t>
      </w:r>
      <w:r w:rsidRPr="007B74B7">
        <w:rPr>
          <w:rFonts w:ascii="Tahoma" w:hAnsi="Tahoma" w:cs="Tahoma"/>
          <w:sz w:val="18"/>
          <w:szCs w:val="18"/>
          <w:lang w:val="it-IT"/>
        </w:rPr>
        <w:t>per ulteriori informazioni sui vantaggi di Software Assurance e sulle modalità di acquisto e di rinnovo di Software Assurance, vedere le Appendici 5 e 6.</w:t>
      </w:r>
    </w:p>
    <w:p w:rsidR="00023FE7" w:rsidRPr="007B74B7" w:rsidRDefault="00023FE7">
      <w:pPr>
        <w:pStyle w:val="Body"/>
        <w:ind w:right="720"/>
        <w:rPr>
          <w:lang w:val="it-IT"/>
        </w:rPr>
      </w:pPr>
      <w:r w:rsidRPr="007B74B7">
        <w:rPr>
          <w:rFonts w:ascii="Tahoma" w:hAnsi="Tahoma" w:cs="Tahoma"/>
          <w:b/>
          <w:sz w:val="18"/>
          <w:szCs w:val="18"/>
          <w:lang w:val="it-IT"/>
        </w:rPr>
        <w:t>Nota:</w:t>
      </w:r>
      <w:r w:rsidR="008D782D" w:rsidRPr="007B74B7">
        <w:rPr>
          <w:rFonts w:ascii="Tahoma" w:hAnsi="Tahoma" w:cs="Tahoma"/>
          <w:sz w:val="18"/>
          <w:szCs w:val="18"/>
          <w:lang w:val="it-IT"/>
        </w:rPr>
        <w:t xml:space="preserve"> </w:t>
      </w:r>
      <w:r w:rsidRPr="007B74B7">
        <w:rPr>
          <w:rFonts w:ascii="Tahoma" w:hAnsi="Tahoma" w:cs="Tahoma"/>
          <w:sz w:val="18"/>
          <w:szCs w:val="18"/>
          <w:lang w:val="it-IT"/>
        </w:rPr>
        <w:t>la presente Lista dei Prodotti identifica, in base al programma, il software che è disponibile e</w:t>
      </w:r>
      <w:r w:rsidR="00A872B3" w:rsidRPr="007B74B7">
        <w:rPr>
          <w:rFonts w:ascii="Tahoma" w:hAnsi="Tahoma" w:cs="Tahoma"/>
          <w:sz w:val="18"/>
          <w:szCs w:val="18"/>
          <w:lang w:val="it-IT"/>
        </w:rPr>
        <w:t> </w:t>
      </w:r>
      <w:r w:rsidRPr="007B74B7">
        <w:rPr>
          <w:rFonts w:ascii="Tahoma" w:hAnsi="Tahoma" w:cs="Tahoma"/>
          <w:sz w:val="18"/>
          <w:szCs w:val="18"/>
          <w:lang w:val="it-IT"/>
        </w:rPr>
        <w:t>le informazioni specifiche riguardanti l</w:t>
      </w:r>
      <w:r w:rsidR="007A1415" w:rsidRPr="007B74B7">
        <w:rPr>
          <w:rFonts w:ascii="Tahoma" w:hAnsi="Tahoma" w:cs="Tahoma"/>
          <w:sz w:val="18"/>
          <w:szCs w:val="18"/>
          <w:lang w:val="it-IT"/>
        </w:rPr>
        <w:t>’</w:t>
      </w:r>
      <w:r w:rsidRPr="007B74B7">
        <w:rPr>
          <w:rFonts w:ascii="Tahoma" w:hAnsi="Tahoma" w:cs="Tahoma"/>
          <w:sz w:val="18"/>
          <w:szCs w:val="18"/>
          <w:lang w:val="it-IT"/>
        </w:rPr>
        <w:t>acquisto di Licenze per tale software. È incorporato nel contratto Microsoft Volume Licensing. La disponibilità del software può variare in base al paese. Le</w:t>
      </w:r>
      <w:r w:rsidR="005C112F" w:rsidRPr="007B74B7">
        <w:rPr>
          <w:rFonts w:ascii="Tahoma" w:hAnsi="Tahoma" w:cs="Tahoma"/>
          <w:sz w:val="18"/>
          <w:szCs w:val="18"/>
          <w:lang w:val="it-IT"/>
        </w:rPr>
        <w:t> </w:t>
      </w:r>
      <w:r w:rsidRPr="007B74B7">
        <w:rPr>
          <w:rFonts w:ascii="Tahoma" w:hAnsi="Tahoma" w:cs="Tahoma"/>
          <w:sz w:val="18"/>
          <w:szCs w:val="18"/>
          <w:lang w:val="it-IT"/>
        </w:rPr>
        <w:t>società dovranno contattare il loro rivenditore o l</w:t>
      </w:r>
      <w:r w:rsidR="007A1415" w:rsidRPr="007B74B7">
        <w:rPr>
          <w:rFonts w:ascii="Tahoma" w:hAnsi="Tahoma" w:cs="Tahoma"/>
          <w:sz w:val="18"/>
          <w:szCs w:val="18"/>
          <w:lang w:val="it-IT"/>
        </w:rPr>
        <w:t>’</w:t>
      </w:r>
      <w:r w:rsidRPr="007B74B7">
        <w:rPr>
          <w:rFonts w:ascii="Tahoma" w:hAnsi="Tahoma" w:cs="Tahoma"/>
          <w:sz w:val="18"/>
          <w:szCs w:val="18"/>
          <w:lang w:val="it-IT"/>
        </w:rPr>
        <w:t>Account Manager designato da Microsoft per</w:t>
      </w:r>
      <w:r w:rsidR="005C112F" w:rsidRPr="007B74B7">
        <w:rPr>
          <w:rFonts w:ascii="Tahoma" w:hAnsi="Tahoma" w:cs="Tahoma"/>
          <w:sz w:val="18"/>
          <w:szCs w:val="18"/>
          <w:lang w:val="it-IT"/>
        </w:rPr>
        <w:t> </w:t>
      </w:r>
      <w:r w:rsidRPr="007B74B7">
        <w:rPr>
          <w:rFonts w:ascii="Tahoma" w:hAnsi="Tahoma" w:cs="Tahoma"/>
          <w:sz w:val="18"/>
          <w:szCs w:val="18"/>
          <w:lang w:val="it-IT"/>
        </w:rPr>
        <w:t>informazioni relative alla disponibilità di un determinato software in base al paese.</w:t>
      </w:r>
    </w:p>
    <w:p w:rsidR="00023FE7" w:rsidRPr="007B74B7" w:rsidRDefault="00023FE7">
      <w:pPr>
        <w:pStyle w:val="Body"/>
        <w:ind w:right="720"/>
        <w:rPr>
          <w:lang w:val="it-IT"/>
        </w:rPr>
      </w:pPr>
    </w:p>
    <w:p w:rsidR="00023FE7" w:rsidRPr="007B74B7" w:rsidRDefault="00023FE7">
      <w:pPr>
        <w:pStyle w:val="Body"/>
        <w:ind w:right="720"/>
        <w:rPr>
          <w:lang w:val="it-IT"/>
        </w:rPr>
      </w:pPr>
      <w:r w:rsidRPr="007B74B7">
        <w:rPr>
          <w:rFonts w:ascii="Tahoma" w:hAnsi="Tahoma" w:cs="Tahoma"/>
          <w:sz w:val="18"/>
          <w:szCs w:val="18"/>
          <w:lang w:val="it-IT"/>
        </w:rPr>
        <w:t>Sarà anche possibile prendere in visione il documento Diritti di Utilizzo del Prodotto (Product Use Rights o PUR). Il PUR viene prodotto ogni trimestre e fornisce informazioni sugli ultimi diritti sull</w:t>
      </w:r>
      <w:r w:rsidR="007A1415" w:rsidRPr="007B74B7">
        <w:rPr>
          <w:rFonts w:ascii="Tahoma" w:hAnsi="Tahoma" w:cs="Tahoma"/>
          <w:sz w:val="18"/>
          <w:szCs w:val="18"/>
          <w:lang w:val="it-IT"/>
        </w:rPr>
        <w:t>’</w:t>
      </w:r>
      <w:r w:rsidRPr="007B74B7">
        <w:rPr>
          <w:rFonts w:ascii="Tahoma" w:hAnsi="Tahoma" w:cs="Tahoma"/>
          <w:sz w:val="18"/>
          <w:szCs w:val="18"/>
          <w:lang w:val="it-IT"/>
        </w:rPr>
        <w:t>utilizzo del software Microsoft ai sensi dei programmi Microsoft Volume Licensing. Il documento</w:t>
      </w:r>
      <w:r w:rsidR="005C112F" w:rsidRPr="007B74B7">
        <w:rPr>
          <w:rFonts w:ascii="Tahoma" w:hAnsi="Tahoma" w:cs="Tahoma"/>
          <w:sz w:val="18"/>
          <w:szCs w:val="18"/>
          <w:lang w:val="it-IT"/>
        </w:rPr>
        <w:t> </w:t>
      </w:r>
      <w:r w:rsidRPr="007B74B7">
        <w:rPr>
          <w:rFonts w:ascii="Tahoma" w:hAnsi="Tahoma" w:cs="Tahoma"/>
          <w:sz w:val="18"/>
          <w:szCs w:val="18"/>
          <w:lang w:val="it-IT"/>
        </w:rPr>
        <w:t>si trova all</w:t>
      </w:r>
      <w:r w:rsidR="007A1415" w:rsidRPr="007B74B7">
        <w:rPr>
          <w:rFonts w:ascii="Tahoma" w:hAnsi="Tahoma" w:cs="Tahoma"/>
          <w:sz w:val="18"/>
          <w:szCs w:val="18"/>
          <w:lang w:val="it-IT"/>
        </w:rPr>
        <w:t>’</w:t>
      </w:r>
      <w:r w:rsidRPr="007B74B7">
        <w:rPr>
          <w:rFonts w:ascii="Tahoma" w:hAnsi="Tahoma" w:cs="Tahoma"/>
          <w:sz w:val="18"/>
          <w:szCs w:val="18"/>
          <w:lang w:val="it-IT"/>
        </w:rPr>
        <w:t>indirizzo:</w:t>
      </w:r>
      <w:r w:rsidR="008D782D" w:rsidRPr="007B74B7">
        <w:rPr>
          <w:rFonts w:ascii="Tahoma" w:hAnsi="Tahoma" w:cs="Tahoma"/>
          <w:sz w:val="18"/>
          <w:szCs w:val="18"/>
          <w:lang w:val="it-IT"/>
        </w:rPr>
        <w:t xml:space="preserve"> </w:t>
      </w:r>
      <w:r w:rsidRPr="007B74B7">
        <w:rPr>
          <w:rFonts w:ascii="Tahoma" w:hAnsi="Tahoma" w:cs="Tahoma"/>
          <w:sz w:val="18"/>
          <w:szCs w:val="18"/>
          <w:lang w:val="it-IT"/>
        </w:rPr>
        <w:t>http://www.microsoftvolumelicensing.com/userights/Default.aspx</w:t>
      </w:r>
      <w:hyperlink w:history="1"/>
    </w:p>
    <w:p w:rsidR="00465757" w:rsidRPr="007B74B7" w:rsidRDefault="00465757" w:rsidP="00465757">
      <w:pPr>
        <w:rPr>
          <w:lang w:val="it-IT"/>
        </w:rPr>
      </w:pPr>
    </w:p>
    <w:p w:rsidR="00465757" w:rsidRPr="007B74B7" w:rsidRDefault="00465757" w:rsidP="00465757">
      <w:pPr>
        <w:rPr>
          <w:lang w:val="it-IT"/>
        </w:rPr>
      </w:pPr>
    </w:p>
    <w:p w:rsidR="00BD7CEA" w:rsidRPr="007B74B7" w:rsidRDefault="00023FE7" w:rsidP="00836D9F">
      <w:pPr>
        <w:pStyle w:val="TOC1"/>
        <w:rPr>
          <w:color w:val="000000" w:themeColor="text1"/>
          <w:lang w:val="it-IT"/>
        </w:rPr>
      </w:pPr>
      <w:r w:rsidRPr="007B74B7">
        <w:rPr>
          <w:lang w:val="it-IT"/>
        </w:rPr>
        <w:br w:type="page"/>
      </w:r>
      <w:r w:rsidR="00955428" w:rsidRPr="00B900C1">
        <w:rPr>
          <w:color w:val="000000" w:themeColor="text1"/>
        </w:rPr>
        <w:fldChar w:fldCharType="begin"/>
      </w:r>
      <w:r w:rsidRPr="007B74B7">
        <w:rPr>
          <w:color w:val="000000" w:themeColor="text1"/>
          <w:lang w:val="it-IT"/>
        </w:rPr>
        <w:instrText xml:space="preserve"> TOC \o "1-2" \t "Heading 3,3,Heading 4,4,Product Names,2" </w:instrText>
      </w:r>
      <w:r w:rsidR="00955428" w:rsidRPr="00B900C1">
        <w:rPr>
          <w:color w:val="000000" w:themeColor="text1"/>
        </w:rPr>
        <w:fldChar w:fldCharType="separate"/>
      </w:r>
    </w:p>
    <w:p w:rsidR="00BD7CEA" w:rsidRPr="007B74B7" w:rsidRDefault="00BD7CEA">
      <w:pPr>
        <w:pStyle w:val="TOC1"/>
        <w:rPr>
          <w:rFonts w:asciiTheme="minorHAnsi" w:eastAsiaTheme="minorEastAsia" w:hAnsiTheme="minorHAnsi" w:cstheme="minorBidi"/>
          <w:b w:val="0"/>
          <w:caps w:val="0"/>
          <w:color w:val="000000" w:themeColor="text1"/>
          <w:szCs w:val="22"/>
          <w:lang w:val="it-IT"/>
        </w:rPr>
      </w:pPr>
      <w:r w:rsidRPr="007B74B7">
        <w:rPr>
          <w:b w:val="0"/>
          <w:color w:val="000000" w:themeColor="text1"/>
          <w:lang w:val="it-IT"/>
        </w:rPr>
        <w:lastRenderedPageBreak/>
        <w:t>Microsoft</w:t>
      </w:r>
      <w:r w:rsidRPr="007B74B7">
        <w:rPr>
          <w:b w:val="0"/>
          <w:color w:val="000000" w:themeColor="text1"/>
          <w:vertAlign w:val="superscript"/>
          <w:lang w:val="it-IT"/>
        </w:rPr>
        <w:t>®</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_Toc353375619 \h </w:instrText>
      </w:r>
      <w:r w:rsidRPr="00B900C1">
        <w:rPr>
          <w:color w:val="000000" w:themeColor="text1"/>
        </w:rPr>
      </w:r>
      <w:r w:rsidRPr="00B900C1">
        <w:rPr>
          <w:color w:val="000000" w:themeColor="text1"/>
        </w:rPr>
        <w:fldChar w:fldCharType="separate"/>
      </w:r>
      <w:r w:rsidR="007B74B7">
        <w:rPr>
          <w:color w:val="000000" w:themeColor="text1"/>
          <w:lang w:val="it-IT"/>
        </w:rPr>
        <w:t>1</w:t>
      </w:r>
      <w:r w:rsidRPr="00B900C1">
        <w:rPr>
          <w:color w:val="000000" w:themeColor="text1"/>
        </w:rPr>
        <w:fldChar w:fldCharType="end"/>
      </w:r>
    </w:p>
    <w:p w:rsidR="00BD7CEA" w:rsidRPr="007B74B7" w:rsidRDefault="00BD7CEA">
      <w:pPr>
        <w:pStyle w:val="TOC1"/>
        <w:rPr>
          <w:rFonts w:asciiTheme="minorHAnsi" w:eastAsiaTheme="minorEastAsia" w:hAnsiTheme="minorHAnsi" w:cstheme="minorBidi"/>
          <w:b w:val="0"/>
          <w:caps w:val="0"/>
          <w:color w:val="000000" w:themeColor="text1"/>
          <w:szCs w:val="22"/>
          <w:lang w:val="it-IT"/>
        </w:rPr>
      </w:pPr>
      <w:r w:rsidRPr="007B74B7">
        <w:rPr>
          <w:color w:val="000000" w:themeColor="text1"/>
          <w:lang w:val="it-IT"/>
        </w:rPr>
        <w:t>INFORMAZIONI SUL PRESENTE Documento</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_Toc353375620 \h </w:instrText>
      </w:r>
      <w:r w:rsidRPr="00B900C1">
        <w:rPr>
          <w:color w:val="000000" w:themeColor="text1"/>
        </w:rPr>
      </w:r>
      <w:r w:rsidRPr="00B900C1">
        <w:rPr>
          <w:color w:val="000000" w:themeColor="text1"/>
        </w:rPr>
        <w:fldChar w:fldCharType="separate"/>
      </w:r>
      <w:r w:rsidR="007B74B7">
        <w:rPr>
          <w:color w:val="000000" w:themeColor="text1"/>
          <w:lang w:val="it-IT"/>
        </w:rPr>
        <w:t>2</w:t>
      </w:r>
      <w:r w:rsidRPr="00B900C1">
        <w:rPr>
          <w:color w:val="000000" w:themeColor="text1"/>
        </w:rPr>
        <w:fldChar w:fldCharType="end"/>
      </w:r>
    </w:p>
    <w:p w:rsidR="00BD7CEA" w:rsidRPr="007B74B7" w:rsidRDefault="00BD7CEA">
      <w:pPr>
        <w:pStyle w:val="TOC1"/>
        <w:rPr>
          <w:rFonts w:asciiTheme="minorHAnsi" w:eastAsiaTheme="minorEastAsia" w:hAnsiTheme="minorHAnsi" w:cstheme="minorBidi"/>
          <w:b w:val="0"/>
          <w:caps w:val="0"/>
          <w:color w:val="000000" w:themeColor="text1"/>
          <w:szCs w:val="22"/>
          <w:lang w:val="it-IT"/>
        </w:rPr>
      </w:pPr>
      <w:r w:rsidRPr="007B74B7">
        <w:rPr>
          <w:color w:val="000000" w:themeColor="text1"/>
          <w:lang w:val="it-IT"/>
        </w:rPr>
        <w:t>MODALITà DI Utilizzo deLLA LISTA DEI Prodotti Microsoft</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_Toc353375621 \h </w:instrText>
      </w:r>
      <w:r w:rsidRPr="00B900C1">
        <w:rPr>
          <w:color w:val="000000" w:themeColor="text1"/>
        </w:rPr>
      </w:r>
      <w:r w:rsidRPr="00B900C1">
        <w:rPr>
          <w:color w:val="000000" w:themeColor="text1"/>
        </w:rPr>
        <w:fldChar w:fldCharType="separate"/>
      </w:r>
      <w:r w:rsidR="007B74B7">
        <w:rPr>
          <w:color w:val="000000" w:themeColor="text1"/>
          <w:lang w:val="it-IT"/>
        </w:rPr>
        <w:t>2</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Codici Tabella</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_Toc353375622 \h </w:instrText>
      </w:r>
      <w:r w:rsidRPr="00B900C1">
        <w:rPr>
          <w:color w:val="000000" w:themeColor="text1"/>
        </w:rPr>
      </w:r>
      <w:r w:rsidRPr="00B900C1">
        <w:rPr>
          <w:color w:val="000000" w:themeColor="text1"/>
        </w:rPr>
        <w:fldChar w:fldCharType="separate"/>
      </w:r>
      <w:r w:rsidR="007B74B7">
        <w:rPr>
          <w:color w:val="000000" w:themeColor="text1"/>
          <w:lang w:val="it-IT"/>
        </w:rPr>
        <w:t>14</w:t>
      </w:r>
      <w:r w:rsidRPr="00B900C1">
        <w:rPr>
          <w:color w:val="000000" w:themeColor="text1"/>
        </w:rPr>
        <w:fldChar w:fldCharType="end"/>
      </w:r>
    </w:p>
    <w:p w:rsidR="00BD7CEA" w:rsidRPr="007B74B7" w:rsidRDefault="00BD7CEA">
      <w:pPr>
        <w:pStyle w:val="TOC1"/>
        <w:rPr>
          <w:rFonts w:asciiTheme="minorHAnsi" w:eastAsiaTheme="minorEastAsia" w:hAnsiTheme="minorHAnsi" w:cstheme="minorBidi"/>
          <w:b w:val="0"/>
          <w:caps w:val="0"/>
          <w:color w:val="000000" w:themeColor="text1"/>
          <w:szCs w:val="22"/>
          <w:lang w:val="it-IT"/>
        </w:rPr>
      </w:pPr>
      <w:r w:rsidRPr="007B74B7">
        <w:rPr>
          <w:color w:val="000000" w:themeColor="text1"/>
          <w:lang w:val="it-IT"/>
        </w:rPr>
        <w:t>LISTA DEI ProdottI</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_Toc353375623 \h </w:instrText>
      </w:r>
      <w:r w:rsidRPr="00B900C1">
        <w:rPr>
          <w:color w:val="000000" w:themeColor="text1"/>
        </w:rPr>
      </w:r>
      <w:r w:rsidRPr="00B900C1">
        <w:rPr>
          <w:color w:val="000000" w:themeColor="text1"/>
        </w:rPr>
        <w:fldChar w:fldCharType="separate"/>
      </w:r>
      <w:r w:rsidR="007B74B7">
        <w:rPr>
          <w:color w:val="000000" w:themeColor="text1"/>
          <w:lang w:val="it-IT"/>
        </w:rPr>
        <w:t>16</w:t>
      </w:r>
      <w:r w:rsidRPr="00B900C1">
        <w:rPr>
          <w:color w:val="000000" w:themeColor="text1"/>
        </w:rPr>
        <w:fldChar w:fldCharType="end"/>
      </w:r>
    </w:p>
    <w:p w:rsidR="00BD7CEA" w:rsidRPr="007B74B7" w:rsidRDefault="00BD7CEA" w:rsidP="00B900C1">
      <w:pPr>
        <w:pStyle w:val="TOC3"/>
        <w:rPr>
          <w:rFonts w:asciiTheme="minorHAnsi" w:eastAsiaTheme="minorEastAsia" w:hAnsiTheme="minorHAnsi" w:cstheme="minorBidi"/>
          <w:color w:val="000000" w:themeColor="text1"/>
          <w:sz w:val="22"/>
          <w:szCs w:val="22"/>
          <w:lang w:val="it-IT"/>
        </w:rPr>
      </w:pPr>
      <w:r w:rsidRPr="007B74B7">
        <w:rPr>
          <w:color w:val="000000" w:themeColor="text1"/>
          <w:lang w:val="it-IT"/>
        </w:rPr>
        <w:t>POOL DI APPLICAZIONI</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_Toc353375624 \h </w:instrText>
      </w:r>
      <w:r w:rsidRPr="00B900C1">
        <w:rPr>
          <w:color w:val="000000" w:themeColor="text1"/>
        </w:rPr>
      </w:r>
      <w:r w:rsidRPr="00B900C1">
        <w:rPr>
          <w:color w:val="000000" w:themeColor="text1"/>
        </w:rPr>
        <w:fldChar w:fldCharType="separate"/>
      </w:r>
      <w:r w:rsidR="007B74B7">
        <w:rPr>
          <w:color w:val="000000" w:themeColor="text1"/>
          <w:lang w:val="it-IT"/>
        </w:rPr>
        <w:t>16</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Access 2013</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_Toc353375625 \h </w:instrText>
      </w:r>
      <w:r w:rsidRPr="00B900C1">
        <w:rPr>
          <w:color w:val="000000" w:themeColor="text1"/>
        </w:rPr>
      </w:r>
      <w:r w:rsidRPr="00B900C1">
        <w:rPr>
          <w:color w:val="000000" w:themeColor="text1"/>
        </w:rPr>
        <w:fldChar w:fldCharType="separate"/>
      </w:r>
      <w:r w:rsidR="007B74B7">
        <w:rPr>
          <w:color w:val="000000" w:themeColor="text1"/>
          <w:lang w:val="it-IT"/>
        </w:rPr>
        <w:t>16</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AutoRoute 2013</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_Toc353375626 \h </w:instrText>
      </w:r>
      <w:r w:rsidRPr="00B900C1">
        <w:rPr>
          <w:color w:val="000000" w:themeColor="text1"/>
        </w:rPr>
      </w:r>
      <w:r w:rsidRPr="00B900C1">
        <w:rPr>
          <w:color w:val="000000" w:themeColor="text1"/>
        </w:rPr>
        <w:fldChar w:fldCharType="separate"/>
      </w:r>
      <w:r w:rsidR="007B74B7">
        <w:rPr>
          <w:color w:val="000000" w:themeColor="text1"/>
          <w:lang w:val="it-IT"/>
        </w:rPr>
        <w:t>16</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Excel 2013</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_Toc353375627 \h </w:instrText>
      </w:r>
      <w:r w:rsidRPr="00B900C1">
        <w:rPr>
          <w:color w:val="000000" w:themeColor="text1"/>
        </w:rPr>
      </w:r>
      <w:r w:rsidRPr="00B900C1">
        <w:rPr>
          <w:color w:val="000000" w:themeColor="text1"/>
        </w:rPr>
        <w:fldChar w:fldCharType="separate"/>
      </w:r>
      <w:r w:rsidR="007B74B7">
        <w:rPr>
          <w:color w:val="000000" w:themeColor="text1"/>
        </w:rPr>
        <w:t>16</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Excel per Mac 2011</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_Toc353375628 \h </w:instrText>
      </w:r>
      <w:r w:rsidRPr="00B900C1">
        <w:rPr>
          <w:color w:val="000000" w:themeColor="text1"/>
        </w:rPr>
      </w:r>
      <w:r w:rsidRPr="00B900C1">
        <w:rPr>
          <w:color w:val="000000" w:themeColor="text1"/>
        </w:rPr>
        <w:fldChar w:fldCharType="separate"/>
      </w:r>
      <w:r w:rsidR="007B74B7">
        <w:rPr>
          <w:color w:val="000000" w:themeColor="text1"/>
        </w:rPr>
        <w:t>16</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Expression Encoder Pro 4</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_Toc353375629 \h </w:instrText>
      </w:r>
      <w:r w:rsidRPr="00B900C1">
        <w:rPr>
          <w:color w:val="000000" w:themeColor="text1"/>
        </w:rPr>
      </w:r>
      <w:r w:rsidRPr="00B900C1">
        <w:rPr>
          <w:color w:val="000000" w:themeColor="text1"/>
        </w:rPr>
        <w:fldChar w:fldCharType="separate"/>
      </w:r>
      <w:r w:rsidR="007B74B7">
        <w:rPr>
          <w:color w:val="000000" w:themeColor="text1"/>
        </w:rPr>
        <w:t>16</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GeoSynther 3.0</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_Toc353375630 \h </w:instrText>
      </w:r>
      <w:r w:rsidRPr="00B900C1">
        <w:rPr>
          <w:color w:val="000000" w:themeColor="text1"/>
        </w:rPr>
      </w:r>
      <w:r w:rsidRPr="00B900C1">
        <w:rPr>
          <w:color w:val="000000" w:themeColor="text1"/>
        </w:rPr>
        <w:fldChar w:fldCharType="separate"/>
      </w:r>
      <w:r w:rsidR="007B74B7">
        <w:rPr>
          <w:color w:val="000000" w:themeColor="text1"/>
        </w:rPr>
        <w:t>16</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GeoSynth Viewer 3.0</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_Toc353375631 \h </w:instrText>
      </w:r>
      <w:r w:rsidRPr="00B900C1">
        <w:rPr>
          <w:color w:val="000000" w:themeColor="text1"/>
        </w:rPr>
      </w:r>
      <w:r w:rsidRPr="00B900C1">
        <w:rPr>
          <w:color w:val="000000" w:themeColor="text1"/>
        </w:rPr>
        <w:fldChar w:fldCharType="separate"/>
      </w:r>
      <w:r w:rsidR="007B74B7">
        <w:rPr>
          <w:color w:val="000000" w:themeColor="text1"/>
        </w:rPr>
        <w:t>16</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InfoPath</w:t>
      </w:r>
      <w:r w:rsidRPr="00B900C1">
        <w:rPr>
          <w:rFonts w:cs="Tahoma"/>
          <w:color w:val="000000" w:themeColor="text1"/>
          <w:vertAlign w:val="superscript"/>
        </w:rPr>
        <w:t>®</w:t>
      </w:r>
      <w:r w:rsidRPr="00B900C1">
        <w:rPr>
          <w:rFonts w:cs="Tahoma"/>
          <w:color w:val="000000" w:themeColor="text1"/>
        </w:rPr>
        <w:t xml:space="preserve"> 2013</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_Toc353375632 \h </w:instrText>
      </w:r>
      <w:r w:rsidRPr="00B900C1">
        <w:rPr>
          <w:color w:val="000000" w:themeColor="text1"/>
        </w:rPr>
      </w:r>
      <w:r w:rsidRPr="00B900C1">
        <w:rPr>
          <w:color w:val="000000" w:themeColor="text1"/>
        </w:rPr>
        <w:fldChar w:fldCharType="separate"/>
      </w:r>
      <w:r w:rsidR="007B74B7">
        <w:rPr>
          <w:color w:val="000000" w:themeColor="text1"/>
        </w:rPr>
        <w:t>16</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Lync 2013</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_Toc353375633 \h </w:instrText>
      </w:r>
      <w:r w:rsidRPr="00B900C1">
        <w:rPr>
          <w:color w:val="000000" w:themeColor="text1"/>
        </w:rPr>
      </w:r>
      <w:r w:rsidRPr="00B900C1">
        <w:rPr>
          <w:color w:val="000000" w:themeColor="text1"/>
        </w:rPr>
        <w:fldChar w:fldCharType="separate"/>
      </w:r>
      <w:r w:rsidR="007B74B7">
        <w:rPr>
          <w:color w:val="000000" w:themeColor="text1"/>
        </w:rPr>
        <w:t>16</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Lync per Mac 2011</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_Toc353375634 \h </w:instrText>
      </w:r>
      <w:r w:rsidRPr="00B900C1">
        <w:rPr>
          <w:color w:val="000000" w:themeColor="text1"/>
        </w:rPr>
      </w:r>
      <w:r w:rsidRPr="00B900C1">
        <w:rPr>
          <w:color w:val="000000" w:themeColor="text1"/>
        </w:rPr>
        <w:fldChar w:fldCharType="separate"/>
      </w:r>
      <w:r w:rsidR="007B74B7">
        <w:rPr>
          <w:color w:val="000000" w:themeColor="text1"/>
        </w:rPr>
        <w:t>16</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MapPoint</w:t>
      </w:r>
      <w:r w:rsidRPr="00B900C1">
        <w:rPr>
          <w:rFonts w:cs="Tahoma"/>
          <w:color w:val="000000" w:themeColor="text1"/>
          <w:vertAlign w:val="superscript"/>
        </w:rPr>
        <w:t>®</w:t>
      </w:r>
      <w:r w:rsidRPr="00B900C1">
        <w:rPr>
          <w:rFonts w:cs="Tahoma"/>
          <w:color w:val="000000" w:themeColor="text1"/>
        </w:rPr>
        <w:t xml:space="preserve"> Fleet Edition 2013</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_Toc353375635 \h </w:instrText>
      </w:r>
      <w:r w:rsidRPr="00B900C1">
        <w:rPr>
          <w:color w:val="000000" w:themeColor="text1"/>
        </w:rPr>
      </w:r>
      <w:r w:rsidRPr="00B900C1">
        <w:rPr>
          <w:color w:val="000000" w:themeColor="text1"/>
        </w:rPr>
        <w:fldChar w:fldCharType="separate"/>
      </w:r>
      <w:r w:rsidR="007B74B7">
        <w:rPr>
          <w:color w:val="000000" w:themeColor="text1"/>
        </w:rPr>
        <w:t>16</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MapPoint</w:t>
      </w:r>
      <w:r w:rsidRPr="00B900C1">
        <w:rPr>
          <w:rFonts w:cs="Tahoma"/>
          <w:color w:val="000000" w:themeColor="text1"/>
          <w:vertAlign w:val="superscript"/>
        </w:rPr>
        <w:t>®</w:t>
      </w:r>
      <w:r w:rsidRPr="00B900C1">
        <w:rPr>
          <w:rFonts w:cs="Tahoma"/>
          <w:color w:val="000000" w:themeColor="text1"/>
        </w:rPr>
        <w:t xml:space="preserve"> 2013 per Windows</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_Toc353375636 \h </w:instrText>
      </w:r>
      <w:r w:rsidRPr="00B900C1">
        <w:rPr>
          <w:color w:val="000000" w:themeColor="text1"/>
        </w:rPr>
      </w:r>
      <w:r w:rsidRPr="00B900C1">
        <w:rPr>
          <w:color w:val="000000" w:themeColor="text1"/>
        </w:rPr>
        <w:fldChar w:fldCharType="separate"/>
      </w:r>
      <w:r w:rsidR="007B74B7">
        <w:rPr>
          <w:color w:val="000000" w:themeColor="text1"/>
        </w:rPr>
        <w:t>16</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Sistemi Operativi MSDN</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_Toc353375637 \h </w:instrText>
      </w:r>
      <w:r w:rsidRPr="00B900C1">
        <w:rPr>
          <w:color w:val="000000" w:themeColor="text1"/>
        </w:rPr>
      </w:r>
      <w:r w:rsidRPr="00B900C1">
        <w:rPr>
          <w:color w:val="000000" w:themeColor="text1"/>
        </w:rPr>
        <w:fldChar w:fldCharType="separate"/>
      </w:r>
      <w:r w:rsidR="007B74B7">
        <w:rPr>
          <w:color w:val="000000" w:themeColor="text1"/>
          <w:lang w:val="it-IT"/>
        </w:rPr>
        <w:t>16</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Office 365 A2 (SL per Utente)</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_Toc353375638 \h </w:instrText>
      </w:r>
      <w:r w:rsidRPr="00B900C1">
        <w:rPr>
          <w:color w:val="000000" w:themeColor="text1"/>
        </w:rPr>
      </w:r>
      <w:r w:rsidRPr="00B900C1">
        <w:rPr>
          <w:color w:val="000000" w:themeColor="text1"/>
        </w:rPr>
        <w:fldChar w:fldCharType="separate"/>
      </w:r>
      <w:r w:rsidR="007B74B7">
        <w:rPr>
          <w:color w:val="000000" w:themeColor="text1"/>
          <w:lang w:val="it-IT"/>
        </w:rPr>
        <w:t>16</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Office 365 A3 (SL per Utente)</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_Toc353375639 \h </w:instrText>
      </w:r>
      <w:r w:rsidRPr="00B900C1">
        <w:rPr>
          <w:color w:val="000000" w:themeColor="text1"/>
        </w:rPr>
      </w:r>
      <w:r w:rsidRPr="00B900C1">
        <w:rPr>
          <w:color w:val="000000" w:themeColor="text1"/>
        </w:rPr>
        <w:fldChar w:fldCharType="separate"/>
      </w:r>
      <w:r w:rsidR="007B74B7">
        <w:rPr>
          <w:color w:val="000000" w:themeColor="text1"/>
          <w:lang w:val="it-IT"/>
        </w:rPr>
        <w:t>16</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Office 365 A4 (SL per Utente)</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_Toc353375640 \h </w:instrText>
      </w:r>
      <w:r w:rsidRPr="00B900C1">
        <w:rPr>
          <w:color w:val="000000" w:themeColor="text1"/>
        </w:rPr>
      </w:r>
      <w:r w:rsidRPr="00B900C1">
        <w:rPr>
          <w:color w:val="000000" w:themeColor="text1"/>
        </w:rPr>
        <w:fldChar w:fldCharType="separate"/>
      </w:r>
      <w:r w:rsidR="007B74B7">
        <w:rPr>
          <w:color w:val="000000" w:themeColor="text1"/>
          <w:lang w:val="it-IT"/>
        </w:rPr>
        <w:t>16</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Office 365 Midsize Business (SL per Utente)</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_Toc353375641 \h </w:instrText>
      </w:r>
      <w:r w:rsidRPr="00B900C1">
        <w:rPr>
          <w:color w:val="000000" w:themeColor="text1"/>
        </w:rPr>
      </w:r>
      <w:r w:rsidRPr="00B900C1">
        <w:rPr>
          <w:color w:val="000000" w:themeColor="text1"/>
        </w:rPr>
        <w:fldChar w:fldCharType="separate"/>
      </w:r>
      <w:r w:rsidR="007B74B7">
        <w:rPr>
          <w:color w:val="000000" w:themeColor="text1"/>
        </w:rPr>
        <w:t>16</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Office 365 Enterprise E1 (SL per Utente)</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_Toc353375642 \h </w:instrText>
      </w:r>
      <w:r w:rsidRPr="00B900C1">
        <w:rPr>
          <w:color w:val="000000" w:themeColor="text1"/>
        </w:rPr>
      </w:r>
      <w:r w:rsidRPr="00B900C1">
        <w:rPr>
          <w:color w:val="000000" w:themeColor="text1"/>
        </w:rPr>
        <w:fldChar w:fldCharType="separate"/>
      </w:r>
      <w:r w:rsidR="007B74B7">
        <w:rPr>
          <w:color w:val="000000" w:themeColor="text1"/>
          <w:lang w:val="it-IT"/>
        </w:rPr>
        <w:t>16</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Office 365 Enterprise E2 (SL per Utente)</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_Toc353375643 \h </w:instrText>
      </w:r>
      <w:r w:rsidRPr="00B900C1">
        <w:rPr>
          <w:color w:val="000000" w:themeColor="text1"/>
        </w:rPr>
      </w:r>
      <w:r w:rsidRPr="00B900C1">
        <w:rPr>
          <w:color w:val="000000" w:themeColor="text1"/>
        </w:rPr>
        <w:fldChar w:fldCharType="separate"/>
      </w:r>
      <w:r w:rsidR="007B74B7">
        <w:rPr>
          <w:color w:val="000000" w:themeColor="text1"/>
          <w:lang w:val="it-IT"/>
        </w:rPr>
        <w:t>16</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Office 365 Enterprise E3 (SL per Utente)</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_Toc353375644 \h </w:instrText>
      </w:r>
      <w:r w:rsidRPr="00B900C1">
        <w:rPr>
          <w:color w:val="000000" w:themeColor="text1"/>
        </w:rPr>
      </w:r>
      <w:r w:rsidRPr="00B900C1">
        <w:rPr>
          <w:color w:val="000000" w:themeColor="text1"/>
        </w:rPr>
        <w:fldChar w:fldCharType="separate"/>
      </w:r>
      <w:r w:rsidR="007B74B7">
        <w:rPr>
          <w:color w:val="000000" w:themeColor="text1"/>
          <w:lang w:val="it-IT"/>
        </w:rPr>
        <w:t>16</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Office 365 Enterprise E4 (SL per Utente)</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_Toc353375645 \h </w:instrText>
      </w:r>
      <w:r w:rsidRPr="00B900C1">
        <w:rPr>
          <w:color w:val="000000" w:themeColor="text1"/>
        </w:rPr>
      </w:r>
      <w:r w:rsidRPr="00B900C1">
        <w:rPr>
          <w:color w:val="000000" w:themeColor="text1"/>
        </w:rPr>
        <w:fldChar w:fldCharType="separate"/>
      </w:r>
      <w:r w:rsidR="007B74B7">
        <w:rPr>
          <w:color w:val="000000" w:themeColor="text1"/>
          <w:lang w:val="it-IT"/>
        </w:rPr>
        <w:t>16</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Diritti di Utilizzo Commerciale di Office Home and Student RT 2013</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_Toc353375646 \h </w:instrText>
      </w:r>
      <w:r w:rsidRPr="00B900C1">
        <w:rPr>
          <w:color w:val="000000" w:themeColor="text1"/>
        </w:rPr>
      </w:r>
      <w:r w:rsidRPr="00B900C1">
        <w:rPr>
          <w:color w:val="000000" w:themeColor="text1"/>
        </w:rPr>
        <w:fldChar w:fldCharType="separate"/>
      </w:r>
      <w:r w:rsidR="007B74B7">
        <w:rPr>
          <w:color w:val="000000" w:themeColor="text1"/>
          <w:lang w:val="it-IT"/>
        </w:rPr>
        <w:t>16</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Office per Mac Standard 2011</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_Toc353375647 \h </w:instrText>
      </w:r>
      <w:r w:rsidRPr="00B900C1">
        <w:rPr>
          <w:color w:val="000000" w:themeColor="text1"/>
        </w:rPr>
      </w:r>
      <w:r w:rsidRPr="00B900C1">
        <w:rPr>
          <w:color w:val="000000" w:themeColor="text1"/>
        </w:rPr>
        <w:fldChar w:fldCharType="separate"/>
      </w:r>
      <w:r w:rsidR="007B74B7">
        <w:rPr>
          <w:color w:val="000000" w:themeColor="text1"/>
          <w:lang w:val="it-IT"/>
        </w:rPr>
        <w:t>16</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Office Multi-Language Pack 2013</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_Toc353375648 \h </w:instrText>
      </w:r>
      <w:r w:rsidRPr="00B900C1">
        <w:rPr>
          <w:color w:val="000000" w:themeColor="text1"/>
        </w:rPr>
      </w:r>
      <w:r w:rsidRPr="00B900C1">
        <w:rPr>
          <w:color w:val="000000" w:themeColor="text1"/>
        </w:rPr>
        <w:fldChar w:fldCharType="separate"/>
      </w:r>
      <w:r w:rsidR="007B74B7">
        <w:rPr>
          <w:color w:val="000000" w:themeColor="text1"/>
          <w:lang w:val="it-IT"/>
        </w:rPr>
        <w:t>16</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Office Professional Plus 2013</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_Toc353375649 \h </w:instrText>
      </w:r>
      <w:r w:rsidRPr="00B900C1">
        <w:rPr>
          <w:color w:val="000000" w:themeColor="text1"/>
        </w:rPr>
      </w:r>
      <w:r w:rsidRPr="00B900C1">
        <w:rPr>
          <w:color w:val="000000" w:themeColor="text1"/>
        </w:rPr>
        <w:fldChar w:fldCharType="separate"/>
      </w:r>
      <w:r w:rsidR="007B74B7">
        <w:rPr>
          <w:color w:val="000000" w:themeColor="text1"/>
          <w:lang w:val="it-IT"/>
        </w:rPr>
        <w:t>16</w:t>
      </w:r>
      <w:r w:rsidRPr="00B900C1">
        <w:rPr>
          <w:color w:val="000000" w:themeColor="text1"/>
        </w:rPr>
        <w:fldChar w:fldCharType="end"/>
      </w:r>
    </w:p>
    <w:p w:rsidR="00BD7CEA" w:rsidRPr="007B74B7" w:rsidRDefault="00BD7CEA" w:rsidP="00B900C1">
      <w:pPr>
        <w:pStyle w:val="TOC3"/>
        <w:rPr>
          <w:rFonts w:asciiTheme="minorHAnsi" w:eastAsiaTheme="minorEastAsia" w:hAnsiTheme="minorHAnsi" w:cstheme="minorBidi"/>
          <w:color w:val="000000" w:themeColor="text1"/>
          <w:sz w:val="22"/>
          <w:szCs w:val="22"/>
          <w:lang w:val="it-IT"/>
        </w:rPr>
      </w:pPr>
      <w:r w:rsidRPr="007B74B7">
        <w:rPr>
          <w:color w:val="000000" w:themeColor="text1"/>
          <w:lang w:val="it-IT"/>
        </w:rPr>
        <w:t>Office Standard 2013</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_Toc353375650 \h </w:instrText>
      </w:r>
      <w:r w:rsidRPr="00B900C1">
        <w:rPr>
          <w:color w:val="000000" w:themeColor="text1"/>
        </w:rPr>
      </w:r>
      <w:r w:rsidRPr="00B900C1">
        <w:rPr>
          <w:color w:val="000000" w:themeColor="text1"/>
        </w:rPr>
        <w:fldChar w:fldCharType="separate"/>
      </w:r>
      <w:r w:rsidR="007B74B7">
        <w:rPr>
          <w:color w:val="000000" w:themeColor="text1"/>
          <w:lang w:val="it-IT"/>
        </w:rPr>
        <w:t>16</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Office 365 ProPlus (SL per Utente)</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_Toc353375651 \h </w:instrText>
      </w:r>
      <w:r w:rsidRPr="00B900C1">
        <w:rPr>
          <w:color w:val="000000" w:themeColor="text1"/>
        </w:rPr>
      </w:r>
      <w:r w:rsidRPr="00B900C1">
        <w:rPr>
          <w:color w:val="000000" w:themeColor="text1"/>
        </w:rPr>
        <w:fldChar w:fldCharType="separate"/>
      </w:r>
      <w:r w:rsidR="007B74B7">
        <w:rPr>
          <w:color w:val="000000" w:themeColor="text1"/>
          <w:lang w:val="it-IT"/>
        </w:rPr>
        <w:t>16</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Office 365 ProPlus SA Transition</w:t>
      </w:r>
      <w:r w:rsidR="007E508E" w:rsidRPr="007B74B7">
        <w:rPr>
          <w:rFonts w:cs="Tahoma"/>
          <w:color w:val="000000" w:themeColor="text1"/>
          <w:lang w:val="it-IT"/>
        </w:rPr>
        <w:t xml:space="preserve"> </w:t>
      </w:r>
      <w:r w:rsidRPr="007B74B7">
        <w:rPr>
          <w:rFonts w:cs="Tahoma"/>
          <w:color w:val="000000" w:themeColor="text1"/>
          <w:lang w:val="it-IT"/>
        </w:rPr>
        <w:t>(SL per Utente)</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_Toc353375652 \h </w:instrText>
      </w:r>
      <w:r w:rsidRPr="00B900C1">
        <w:rPr>
          <w:color w:val="000000" w:themeColor="text1"/>
        </w:rPr>
      </w:r>
      <w:r w:rsidRPr="00B900C1">
        <w:rPr>
          <w:color w:val="000000" w:themeColor="text1"/>
        </w:rPr>
        <w:fldChar w:fldCharType="separate"/>
      </w:r>
      <w:r w:rsidR="007B74B7">
        <w:rPr>
          <w:color w:val="000000" w:themeColor="text1"/>
          <w:lang w:val="it-IT"/>
        </w:rPr>
        <w:t>16</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Sottoscrizione Office Professional Plus A (SL per Utente)</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_Toc353375653 \h </w:instrText>
      </w:r>
      <w:r w:rsidRPr="00B900C1">
        <w:rPr>
          <w:color w:val="000000" w:themeColor="text1"/>
        </w:rPr>
      </w:r>
      <w:r w:rsidRPr="00B900C1">
        <w:rPr>
          <w:color w:val="000000" w:themeColor="text1"/>
        </w:rPr>
        <w:fldChar w:fldCharType="separate"/>
      </w:r>
      <w:r w:rsidR="007B74B7">
        <w:rPr>
          <w:color w:val="000000" w:themeColor="text1"/>
          <w:lang w:val="it-IT"/>
        </w:rPr>
        <w:t>17</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OneNote</w:t>
      </w:r>
      <w:r w:rsidRPr="00B900C1">
        <w:rPr>
          <w:rFonts w:cs="Tahoma"/>
          <w:color w:val="000000" w:themeColor="text1"/>
          <w:vertAlign w:val="superscript"/>
        </w:rPr>
        <w:t>®</w:t>
      </w:r>
      <w:r w:rsidRPr="00B900C1">
        <w:rPr>
          <w:rFonts w:cs="Tahoma"/>
          <w:color w:val="000000" w:themeColor="text1"/>
        </w:rPr>
        <w:t xml:space="preserve"> 2013</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_Toc353375654 \h </w:instrText>
      </w:r>
      <w:r w:rsidRPr="00B900C1">
        <w:rPr>
          <w:color w:val="000000" w:themeColor="text1"/>
        </w:rPr>
      </w:r>
      <w:r w:rsidRPr="00B900C1">
        <w:rPr>
          <w:color w:val="000000" w:themeColor="text1"/>
        </w:rPr>
        <w:fldChar w:fldCharType="separate"/>
      </w:r>
      <w:r w:rsidR="007B74B7">
        <w:rPr>
          <w:color w:val="000000" w:themeColor="text1"/>
        </w:rPr>
        <w:t>17</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Outlook</w:t>
      </w:r>
      <w:r w:rsidRPr="00B900C1">
        <w:rPr>
          <w:rFonts w:cs="Tahoma"/>
          <w:color w:val="000000" w:themeColor="text1"/>
          <w:vertAlign w:val="superscript"/>
        </w:rPr>
        <w:t>®</w:t>
      </w:r>
      <w:r w:rsidRPr="00B900C1">
        <w:rPr>
          <w:rFonts w:cs="Tahoma"/>
          <w:color w:val="000000" w:themeColor="text1"/>
        </w:rPr>
        <w:t xml:space="preserve"> 2013</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_Toc353375655 \h </w:instrText>
      </w:r>
      <w:r w:rsidRPr="00B900C1">
        <w:rPr>
          <w:color w:val="000000" w:themeColor="text1"/>
        </w:rPr>
      </w:r>
      <w:r w:rsidRPr="00B900C1">
        <w:rPr>
          <w:color w:val="000000" w:themeColor="text1"/>
        </w:rPr>
        <w:fldChar w:fldCharType="separate"/>
      </w:r>
      <w:r w:rsidR="007B74B7">
        <w:rPr>
          <w:color w:val="000000" w:themeColor="text1"/>
        </w:rPr>
        <w:t>17</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Outlook per Mac 2011</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_Toc353375656 \h </w:instrText>
      </w:r>
      <w:r w:rsidRPr="00B900C1">
        <w:rPr>
          <w:color w:val="000000" w:themeColor="text1"/>
        </w:rPr>
      </w:r>
      <w:r w:rsidRPr="00B900C1">
        <w:rPr>
          <w:color w:val="000000" w:themeColor="text1"/>
        </w:rPr>
        <w:fldChar w:fldCharType="separate"/>
      </w:r>
      <w:r w:rsidR="007B74B7">
        <w:rPr>
          <w:color w:val="000000" w:themeColor="text1"/>
        </w:rPr>
        <w:t>17</w:t>
      </w:r>
      <w:r w:rsidRPr="00B900C1">
        <w:rPr>
          <w:color w:val="000000" w:themeColor="text1"/>
        </w:rPr>
        <w:fldChar w:fldCharType="end"/>
      </w:r>
    </w:p>
    <w:p w:rsidR="00BD7CEA" w:rsidRPr="00B900C1" w:rsidRDefault="00BD7CEA" w:rsidP="00B900C1">
      <w:pPr>
        <w:pStyle w:val="TOC3"/>
        <w:rPr>
          <w:rFonts w:asciiTheme="minorHAnsi" w:eastAsiaTheme="minorEastAsia" w:hAnsiTheme="minorHAnsi" w:cstheme="minorBidi"/>
          <w:color w:val="000000" w:themeColor="text1"/>
          <w:sz w:val="22"/>
          <w:szCs w:val="22"/>
        </w:rPr>
      </w:pPr>
      <w:r w:rsidRPr="00B900C1">
        <w:rPr>
          <w:color w:val="000000" w:themeColor="text1"/>
        </w:rPr>
        <w:t>PowerPoint 2013</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_Toc353375657 \h </w:instrText>
      </w:r>
      <w:r w:rsidRPr="00B900C1">
        <w:rPr>
          <w:color w:val="000000" w:themeColor="text1"/>
        </w:rPr>
      </w:r>
      <w:r w:rsidRPr="00B900C1">
        <w:rPr>
          <w:color w:val="000000" w:themeColor="text1"/>
        </w:rPr>
        <w:fldChar w:fldCharType="separate"/>
      </w:r>
      <w:r w:rsidR="007B74B7">
        <w:rPr>
          <w:color w:val="000000" w:themeColor="text1"/>
        </w:rPr>
        <w:t>17</w:t>
      </w:r>
      <w:r w:rsidRPr="00B900C1">
        <w:rPr>
          <w:color w:val="000000" w:themeColor="text1"/>
        </w:rPr>
        <w:fldChar w:fldCharType="end"/>
      </w:r>
    </w:p>
    <w:p w:rsidR="00BD7CEA" w:rsidRPr="00B900C1" w:rsidRDefault="00BD7CEA" w:rsidP="00B900C1">
      <w:pPr>
        <w:pStyle w:val="TOC3"/>
        <w:rPr>
          <w:rFonts w:asciiTheme="minorHAnsi" w:eastAsiaTheme="minorEastAsia" w:hAnsiTheme="minorHAnsi" w:cstheme="minorBidi"/>
          <w:color w:val="000000" w:themeColor="text1"/>
          <w:sz w:val="22"/>
          <w:szCs w:val="22"/>
        </w:rPr>
      </w:pPr>
      <w:r w:rsidRPr="00B900C1">
        <w:rPr>
          <w:color w:val="000000" w:themeColor="text1"/>
        </w:rPr>
        <w:t>Powerpoint per Mac 2011</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_Toc353375658 \h </w:instrText>
      </w:r>
      <w:r w:rsidRPr="00B900C1">
        <w:rPr>
          <w:color w:val="000000" w:themeColor="text1"/>
        </w:rPr>
      </w:r>
      <w:r w:rsidRPr="00B900C1">
        <w:rPr>
          <w:color w:val="000000" w:themeColor="text1"/>
        </w:rPr>
        <w:fldChar w:fldCharType="separate"/>
      </w:r>
      <w:r w:rsidR="007B74B7">
        <w:rPr>
          <w:color w:val="000000" w:themeColor="text1"/>
        </w:rPr>
        <w:t>17</w:t>
      </w:r>
      <w:r w:rsidRPr="00B900C1">
        <w:rPr>
          <w:color w:val="000000" w:themeColor="text1"/>
        </w:rPr>
        <w:fldChar w:fldCharType="end"/>
      </w:r>
    </w:p>
    <w:p w:rsidR="00BD7CEA" w:rsidRPr="00B900C1" w:rsidRDefault="00BD7CEA" w:rsidP="00B900C1">
      <w:pPr>
        <w:pStyle w:val="TOC3"/>
        <w:rPr>
          <w:rFonts w:asciiTheme="minorHAnsi" w:eastAsiaTheme="minorEastAsia" w:hAnsiTheme="minorHAnsi" w:cstheme="minorBidi"/>
          <w:color w:val="000000" w:themeColor="text1"/>
          <w:sz w:val="22"/>
          <w:szCs w:val="22"/>
        </w:rPr>
      </w:pPr>
      <w:r w:rsidRPr="00B900C1">
        <w:rPr>
          <w:color w:val="000000" w:themeColor="text1"/>
        </w:rPr>
        <w:t>Project 2013 Standard</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_Toc353375659 \h </w:instrText>
      </w:r>
      <w:r w:rsidRPr="00B900C1">
        <w:rPr>
          <w:color w:val="000000" w:themeColor="text1"/>
        </w:rPr>
      </w:r>
      <w:r w:rsidRPr="00B900C1">
        <w:rPr>
          <w:color w:val="000000" w:themeColor="text1"/>
        </w:rPr>
        <w:fldChar w:fldCharType="separate"/>
      </w:r>
      <w:r w:rsidR="007B74B7">
        <w:rPr>
          <w:color w:val="000000" w:themeColor="text1"/>
        </w:rPr>
        <w:t>17</w:t>
      </w:r>
      <w:r w:rsidRPr="00B900C1">
        <w:rPr>
          <w:color w:val="000000" w:themeColor="text1"/>
        </w:rPr>
        <w:fldChar w:fldCharType="end"/>
      </w:r>
    </w:p>
    <w:p w:rsidR="00BD7CEA" w:rsidRPr="00B900C1" w:rsidRDefault="00BD7CEA" w:rsidP="00B900C1">
      <w:pPr>
        <w:pStyle w:val="TOC3"/>
        <w:rPr>
          <w:rFonts w:asciiTheme="minorHAnsi" w:eastAsiaTheme="minorEastAsia" w:hAnsiTheme="minorHAnsi" w:cstheme="minorBidi"/>
          <w:color w:val="000000" w:themeColor="text1"/>
          <w:sz w:val="22"/>
          <w:szCs w:val="22"/>
        </w:rPr>
      </w:pPr>
      <w:r w:rsidRPr="00B900C1">
        <w:rPr>
          <w:color w:val="000000" w:themeColor="text1"/>
        </w:rPr>
        <w:t>Project 2013 Professional</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_Toc353375660 \h </w:instrText>
      </w:r>
      <w:r w:rsidRPr="00B900C1">
        <w:rPr>
          <w:color w:val="000000" w:themeColor="text1"/>
        </w:rPr>
      </w:r>
      <w:r w:rsidRPr="00B900C1">
        <w:rPr>
          <w:color w:val="000000" w:themeColor="text1"/>
        </w:rPr>
        <w:fldChar w:fldCharType="separate"/>
      </w:r>
      <w:r w:rsidR="007B74B7">
        <w:rPr>
          <w:color w:val="000000" w:themeColor="text1"/>
        </w:rPr>
        <w:t>17</w:t>
      </w:r>
      <w:r w:rsidRPr="00B900C1">
        <w:rPr>
          <w:color w:val="000000" w:themeColor="text1"/>
        </w:rPr>
        <w:fldChar w:fldCharType="end"/>
      </w:r>
    </w:p>
    <w:p w:rsidR="00BD7CEA" w:rsidRPr="00B900C1" w:rsidRDefault="00BD7CEA" w:rsidP="00B900C1">
      <w:pPr>
        <w:pStyle w:val="TOC3"/>
        <w:rPr>
          <w:rFonts w:asciiTheme="minorHAnsi" w:eastAsiaTheme="minorEastAsia" w:hAnsiTheme="minorHAnsi" w:cstheme="minorBidi"/>
          <w:color w:val="000000" w:themeColor="text1"/>
          <w:sz w:val="22"/>
          <w:szCs w:val="22"/>
        </w:rPr>
      </w:pPr>
      <w:r w:rsidRPr="00B900C1">
        <w:rPr>
          <w:color w:val="000000" w:themeColor="text1"/>
        </w:rPr>
        <w:t>Project Pro per Office 365</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_Toc353375661 \h </w:instrText>
      </w:r>
      <w:r w:rsidRPr="00B900C1">
        <w:rPr>
          <w:color w:val="000000" w:themeColor="text1"/>
        </w:rPr>
      </w:r>
      <w:r w:rsidRPr="00B900C1">
        <w:rPr>
          <w:color w:val="000000" w:themeColor="text1"/>
        </w:rPr>
        <w:fldChar w:fldCharType="separate"/>
      </w:r>
      <w:r w:rsidR="007B74B7">
        <w:rPr>
          <w:color w:val="000000" w:themeColor="text1"/>
        </w:rPr>
        <w:t>17</w:t>
      </w:r>
      <w:r w:rsidRPr="00B900C1">
        <w:rPr>
          <w:color w:val="000000" w:themeColor="text1"/>
        </w:rPr>
        <w:fldChar w:fldCharType="end"/>
      </w:r>
    </w:p>
    <w:p w:rsidR="00BD7CEA" w:rsidRPr="00B900C1" w:rsidRDefault="00BD7CEA" w:rsidP="00B900C1">
      <w:pPr>
        <w:pStyle w:val="TOC3"/>
        <w:rPr>
          <w:rFonts w:asciiTheme="minorHAnsi" w:eastAsiaTheme="minorEastAsia" w:hAnsiTheme="minorHAnsi" w:cstheme="minorBidi"/>
          <w:color w:val="000000" w:themeColor="text1"/>
          <w:sz w:val="22"/>
          <w:szCs w:val="22"/>
        </w:rPr>
      </w:pPr>
      <w:r w:rsidRPr="00B900C1">
        <w:rPr>
          <w:color w:val="000000" w:themeColor="text1"/>
        </w:rPr>
        <w:t>Project Pro per Office 365 A</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_Toc353375662 \h </w:instrText>
      </w:r>
      <w:r w:rsidRPr="00B900C1">
        <w:rPr>
          <w:color w:val="000000" w:themeColor="text1"/>
        </w:rPr>
      </w:r>
      <w:r w:rsidRPr="00B900C1">
        <w:rPr>
          <w:color w:val="000000" w:themeColor="text1"/>
        </w:rPr>
        <w:fldChar w:fldCharType="separate"/>
      </w:r>
      <w:r w:rsidR="007B74B7">
        <w:rPr>
          <w:color w:val="000000" w:themeColor="text1"/>
        </w:rPr>
        <w:t>17</w:t>
      </w:r>
      <w:r w:rsidRPr="00B900C1">
        <w:rPr>
          <w:color w:val="000000" w:themeColor="text1"/>
        </w:rPr>
        <w:fldChar w:fldCharType="end"/>
      </w:r>
    </w:p>
    <w:p w:rsidR="00BD7CEA" w:rsidRPr="007B74B7" w:rsidRDefault="00BD7CEA" w:rsidP="00B900C1">
      <w:pPr>
        <w:pStyle w:val="TOC3"/>
        <w:rPr>
          <w:rFonts w:asciiTheme="minorHAnsi" w:eastAsiaTheme="minorEastAsia" w:hAnsiTheme="minorHAnsi" w:cstheme="minorBidi"/>
          <w:color w:val="000000" w:themeColor="text1"/>
          <w:sz w:val="22"/>
          <w:szCs w:val="22"/>
          <w:lang w:val="it-IT"/>
        </w:rPr>
      </w:pPr>
      <w:r w:rsidRPr="007B74B7">
        <w:rPr>
          <w:color w:val="000000" w:themeColor="text1"/>
          <w:lang w:val="it-IT"/>
        </w:rPr>
        <w:t>Publisher 2013</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_Toc353375663 \h </w:instrText>
      </w:r>
      <w:r w:rsidRPr="00B900C1">
        <w:rPr>
          <w:color w:val="000000" w:themeColor="text1"/>
        </w:rPr>
      </w:r>
      <w:r w:rsidRPr="00B900C1">
        <w:rPr>
          <w:color w:val="000000" w:themeColor="text1"/>
        </w:rPr>
        <w:fldChar w:fldCharType="separate"/>
      </w:r>
      <w:r w:rsidR="007B74B7">
        <w:rPr>
          <w:color w:val="000000" w:themeColor="text1"/>
          <w:lang w:val="it-IT"/>
        </w:rPr>
        <w:t>17</w:t>
      </w:r>
      <w:r w:rsidRPr="00B900C1">
        <w:rPr>
          <w:color w:val="000000" w:themeColor="text1"/>
        </w:rPr>
        <w:fldChar w:fldCharType="end"/>
      </w:r>
    </w:p>
    <w:p w:rsidR="00BD7CEA" w:rsidRPr="007B74B7" w:rsidRDefault="00BD7CEA" w:rsidP="00B900C1">
      <w:pPr>
        <w:pStyle w:val="TOC3"/>
        <w:rPr>
          <w:rFonts w:asciiTheme="minorHAnsi" w:eastAsiaTheme="minorEastAsia" w:hAnsiTheme="minorHAnsi" w:cstheme="minorBidi"/>
          <w:color w:val="000000" w:themeColor="text1"/>
          <w:sz w:val="22"/>
          <w:szCs w:val="22"/>
          <w:lang w:val="it-IT"/>
        </w:rPr>
      </w:pPr>
      <w:r w:rsidRPr="007B74B7">
        <w:rPr>
          <w:color w:val="000000" w:themeColor="text1"/>
          <w:lang w:val="it-IT"/>
        </w:rPr>
        <w:t>Diritti di Noleggio per Office Standard</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_Toc353375664 \h </w:instrText>
      </w:r>
      <w:r w:rsidRPr="00B900C1">
        <w:rPr>
          <w:color w:val="000000" w:themeColor="text1"/>
        </w:rPr>
      </w:r>
      <w:r w:rsidRPr="00B900C1">
        <w:rPr>
          <w:color w:val="000000" w:themeColor="text1"/>
        </w:rPr>
        <w:fldChar w:fldCharType="separate"/>
      </w:r>
      <w:r w:rsidR="007B74B7">
        <w:rPr>
          <w:color w:val="000000" w:themeColor="text1"/>
          <w:lang w:val="it-IT"/>
        </w:rPr>
        <w:t>17</w:t>
      </w:r>
      <w:r w:rsidRPr="00B900C1">
        <w:rPr>
          <w:color w:val="000000" w:themeColor="text1"/>
        </w:rPr>
        <w:fldChar w:fldCharType="end"/>
      </w:r>
    </w:p>
    <w:p w:rsidR="00BD7CEA" w:rsidRPr="007B74B7" w:rsidRDefault="00BD7CEA" w:rsidP="00B900C1">
      <w:pPr>
        <w:pStyle w:val="TOC3"/>
        <w:rPr>
          <w:rFonts w:asciiTheme="minorHAnsi" w:eastAsiaTheme="minorEastAsia" w:hAnsiTheme="minorHAnsi" w:cstheme="minorBidi"/>
          <w:color w:val="000000" w:themeColor="text1"/>
          <w:sz w:val="22"/>
          <w:szCs w:val="22"/>
          <w:lang w:val="it-IT"/>
        </w:rPr>
      </w:pPr>
      <w:r w:rsidRPr="007B74B7">
        <w:rPr>
          <w:color w:val="000000" w:themeColor="text1"/>
          <w:lang w:val="it-IT"/>
        </w:rPr>
        <w:t>Diritto di Noleggio per Office Professional Plus</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_Toc353375665 \h </w:instrText>
      </w:r>
      <w:r w:rsidRPr="00B900C1">
        <w:rPr>
          <w:color w:val="000000" w:themeColor="text1"/>
        </w:rPr>
      </w:r>
      <w:r w:rsidRPr="00B900C1">
        <w:rPr>
          <w:color w:val="000000" w:themeColor="text1"/>
        </w:rPr>
        <w:fldChar w:fldCharType="separate"/>
      </w:r>
      <w:r w:rsidR="007B74B7">
        <w:rPr>
          <w:color w:val="000000" w:themeColor="text1"/>
          <w:lang w:val="it-IT"/>
        </w:rPr>
        <w:t>17</w:t>
      </w:r>
      <w:r w:rsidRPr="00B900C1">
        <w:rPr>
          <w:color w:val="000000" w:themeColor="text1"/>
        </w:rPr>
        <w:fldChar w:fldCharType="end"/>
      </w:r>
    </w:p>
    <w:p w:rsidR="00BD7CEA" w:rsidRPr="00B900C1" w:rsidRDefault="00BD7CEA" w:rsidP="00B900C1">
      <w:pPr>
        <w:pStyle w:val="TOC3"/>
        <w:rPr>
          <w:rFonts w:asciiTheme="minorHAnsi" w:eastAsiaTheme="minorEastAsia" w:hAnsiTheme="minorHAnsi" w:cstheme="minorBidi"/>
          <w:color w:val="000000" w:themeColor="text1"/>
          <w:sz w:val="22"/>
          <w:szCs w:val="22"/>
        </w:rPr>
      </w:pPr>
      <w:r w:rsidRPr="00B900C1">
        <w:rPr>
          <w:color w:val="000000" w:themeColor="text1"/>
        </w:rPr>
        <w:t>Streets and Trips 2013</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_Toc353375666 \h </w:instrText>
      </w:r>
      <w:r w:rsidRPr="00B900C1">
        <w:rPr>
          <w:color w:val="000000" w:themeColor="text1"/>
        </w:rPr>
      </w:r>
      <w:r w:rsidRPr="00B900C1">
        <w:rPr>
          <w:color w:val="000000" w:themeColor="text1"/>
        </w:rPr>
        <w:fldChar w:fldCharType="separate"/>
      </w:r>
      <w:r w:rsidR="007B74B7">
        <w:rPr>
          <w:color w:val="000000" w:themeColor="text1"/>
        </w:rPr>
        <w:t>17</w:t>
      </w:r>
      <w:r w:rsidRPr="00B900C1">
        <w:rPr>
          <w:color w:val="000000" w:themeColor="text1"/>
        </w:rPr>
        <w:fldChar w:fldCharType="end"/>
      </w:r>
    </w:p>
    <w:p w:rsidR="00BD7CEA" w:rsidRPr="00B900C1" w:rsidRDefault="00BD7CEA" w:rsidP="00B900C1">
      <w:pPr>
        <w:pStyle w:val="TOC3"/>
        <w:rPr>
          <w:rFonts w:asciiTheme="minorHAnsi" w:eastAsiaTheme="minorEastAsia" w:hAnsiTheme="minorHAnsi" w:cstheme="minorBidi"/>
          <w:color w:val="000000" w:themeColor="text1"/>
          <w:sz w:val="22"/>
          <w:szCs w:val="22"/>
        </w:rPr>
      </w:pPr>
      <w:r w:rsidRPr="00B900C1">
        <w:rPr>
          <w:color w:val="000000" w:themeColor="text1"/>
        </w:rPr>
        <w:t>TechNet Plus Direct</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_Toc353375667 \h </w:instrText>
      </w:r>
      <w:r w:rsidRPr="00B900C1">
        <w:rPr>
          <w:color w:val="000000" w:themeColor="text1"/>
        </w:rPr>
      </w:r>
      <w:r w:rsidRPr="00B900C1">
        <w:rPr>
          <w:color w:val="000000" w:themeColor="text1"/>
        </w:rPr>
        <w:fldChar w:fldCharType="separate"/>
      </w:r>
      <w:r w:rsidR="007B74B7">
        <w:rPr>
          <w:color w:val="000000" w:themeColor="text1"/>
        </w:rPr>
        <w:t>17</w:t>
      </w:r>
      <w:r w:rsidRPr="00B900C1">
        <w:rPr>
          <w:color w:val="000000" w:themeColor="text1"/>
        </w:rPr>
        <w:fldChar w:fldCharType="end"/>
      </w:r>
    </w:p>
    <w:p w:rsidR="00BD7CEA" w:rsidRPr="007B74B7" w:rsidRDefault="00BD7CEA" w:rsidP="00B900C1">
      <w:pPr>
        <w:pStyle w:val="TOC3"/>
        <w:rPr>
          <w:rFonts w:asciiTheme="minorHAnsi" w:eastAsiaTheme="minorEastAsia" w:hAnsiTheme="minorHAnsi" w:cstheme="minorBidi"/>
          <w:color w:val="000000" w:themeColor="text1"/>
          <w:sz w:val="22"/>
          <w:szCs w:val="22"/>
          <w:lang w:val="it-IT"/>
        </w:rPr>
      </w:pPr>
      <w:r w:rsidRPr="007B74B7">
        <w:rPr>
          <w:color w:val="000000" w:themeColor="text1"/>
          <w:lang w:val="it-IT"/>
        </w:rPr>
        <w:t>Vexcel Desktop con Enhanced Content Pack</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_Toc353375668 \h </w:instrText>
      </w:r>
      <w:r w:rsidRPr="00B900C1">
        <w:rPr>
          <w:color w:val="000000" w:themeColor="text1"/>
        </w:rPr>
      </w:r>
      <w:r w:rsidRPr="00B900C1">
        <w:rPr>
          <w:color w:val="000000" w:themeColor="text1"/>
        </w:rPr>
        <w:fldChar w:fldCharType="separate"/>
      </w:r>
      <w:r w:rsidR="007B74B7">
        <w:rPr>
          <w:color w:val="000000" w:themeColor="text1"/>
          <w:lang w:val="it-IT"/>
        </w:rPr>
        <w:t>17</w:t>
      </w:r>
      <w:r w:rsidRPr="00B900C1">
        <w:rPr>
          <w:color w:val="000000" w:themeColor="text1"/>
        </w:rPr>
        <w:fldChar w:fldCharType="end"/>
      </w:r>
    </w:p>
    <w:p w:rsidR="00BD7CEA" w:rsidRPr="007B74B7" w:rsidRDefault="00BD7CEA" w:rsidP="00B900C1">
      <w:pPr>
        <w:pStyle w:val="TOC3"/>
        <w:rPr>
          <w:rFonts w:asciiTheme="minorHAnsi" w:eastAsiaTheme="minorEastAsia" w:hAnsiTheme="minorHAnsi" w:cstheme="minorBidi"/>
          <w:color w:val="000000" w:themeColor="text1"/>
          <w:sz w:val="22"/>
          <w:szCs w:val="22"/>
          <w:lang w:val="it-IT"/>
        </w:rPr>
      </w:pPr>
      <w:r w:rsidRPr="007B74B7">
        <w:rPr>
          <w:color w:val="000000" w:themeColor="text1"/>
          <w:lang w:val="it-IT"/>
        </w:rPr>
        <w:t>Visio</w:t>
      </w:r>
      <w:r w:rsidRPr="007B74B7">
        <w:rPr>
          <w:color w:val="000000" w:themeColor="text1"/>
          <w:vertAlign w:val="superscript"/>
          <w:lang w:val="it-IT"/>
        </w:rPr>
        <w:t>®</w:t>
      </w:r>
      <w:r w:rsidRPr="007B74B7">
        <w:rPr>
          <w:color w:val="000000" w:themeColor="text1"/>
          <w:lang w:val="it-IT"/>
        </w:rPr>
        <w:t xml:space="preserve"> 2013 Professional</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_Toc353375669 \h </w:instrText>
      </w:r>
      <w:r w:rsidRPr="00B900C1">
        <w:rPr>
          <w:color w:val="000000" w:themeColor="text1"/>
        </w:rPr>
      </w:r>
      <w:r w:rsidRPr="00B900C1">
        <w:rPr>
          <w:color w:val="000000" w:themeColor="text1"/>
        </w:rPr>
        <w:fldChar w:fldCharType="separate"/>
      </w:r>
      <w:r w:rsidR="007B74B7">
        <w:rPr>
          <w:color w:val="000000" w:themeColor="text1"/>
          <w:lang w:val="it-IT"/>
        </w:rPr>
        <w:t>17</w:t>
      </w:r>
      <w:r w:rsidRPr="00B900C1">
        <w:rPr>
          <w:color w:val="000000" w:themeColor="text1"/>
        </w:rPr>
        <w:fldChar w:fldCharType="end"/>
      </w:r>
    </w:p>
    <w:p w:rsidR="00BD7CEA" w:rsidRPr="007B74B7" w:rsidRDefault="00BD7CEA" w:rsidP="00B900C1">
      <w:pPr>
        <w:pStyle w:val="TOC3"/>
        <w:rPr>
          <w:rFonts w:asciiTheme="minorHAnsi" w:eastAsiaTheme="minorEastAsia" w:hAnsiTheme="minorHAnsi" w:cstheme="minorBidi"/>
          <w:color w:val="000000" w:themeColor="text1"/>
          <w:sz w:val="22"/>
          <w:szCs w:val="22"/>
          <w:lang w:val="it-IT"/>
        </w:rPr>
      </w:pPr>
      <w:r w:rsidRPr="007B74B7">
        <w:rPr>
          <w:color w:val="000000" w:themeColor="text1"/>
          <w:lang w:val="it-IT"/>
        </w:rPr>
        <w:t>Visio</w:t>
      </w:r>
      <w:r w:rsidRPr="007B74B7">
        <w:rPr>
          <w:color w:val="000000" w:themeColor="text1"/>
          <w:vertAlign w:val="superscript"/>
          <w:lang w:val="it-IT"/>
        </w:rPr>
        <w:t>®</w:t>
      </w:r>
      <w:r w:rsidRPr="007B74B7">
        <w:rPr>
          <w:color w:val="000000" w:themeColor="text1"/>
          <w:lang w:val="it-IT"/>
        </w:rPr>
        <w:t xml:space="preserve"> 2013 Standard</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_Toc353375670 \h </w:instrText>
      </w:r>
      <w:r w:rsidRPr="00B900C1">
        <w:rPr>
          <w:color w:val="000000" w:themeColor="text1"/>
        </w:rPr>
      </w:r>
      <w:r w:rsidRPr="00B900C1">
        <w:rPr>
          <w:color w:val="000000" w:themeColor="text1"/>
        </w:rPr>
        <w:fldChar w:fldCharType="separate"/>
      </w:r>
      <w:r w:rsidR="007B74B7">
        <w:rPr>
          <w:color w:val="000000" w:themeColor="text1"/>
          <w:lang w:val="it-IT"/>
        </w:rPr>
        <w:t>17</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Visio Pro per Office 365</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_Toc353375671 \h </w:instrText>
      </w:r>
      <w:r w:rsidRPr="00B900C1">
        <w:rPr>
          <w:color w:val="000000" w:themeColor="text1"/>
        </w:rPr>
      </w:r>
      <w:r w:rsidRPr="00B900C1">
        <w:rPr>
          <w:color w:val="000000" w:themeColor="text1"/>
        </w:rPr>
        <w:fldChar w:fldCharType="separate"/>
      </w:r>
      <w:r w:rsidR="007B74B7">
        <w:rPr>
          <w:color w:val="000000" w:themeColor="text1"/>
          <w:lang w:val="it-IT"/>
        </w:rPr>
        <w:t>17</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Visio Pro per Office 365 A</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_Toc353375672 \h </w:instrText>
      </w:r>
      <w:r w:rsidRPr="00B900C1">
        <w:rPr>
          <w:color w:val="000000" w:themeColor="text1"/>
        </w:rPr>
      </w:r>
      <w:r w:rsidRPr="00B900C1">
        <w:rPr>
          <w:color w:val="000000" w:themeColor="text1"/>
        </w:rPr>
        <w:fldChar w:fldCharType="separate"/>
      </w:r>
      <w:r w:rsidR="007B74B7">
        <w:rPr>
          <w:color w:val="000000" w:themeColor="text1"/>
          <w:lang w:val="it-IT"/>
        </w:rPr>
        <w:t>17</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Visual Studio</w:t>
      </w:r>
      <w:r w:rsidRPr="007B74B7">
        <w:rPr>
          <w:rFonts w:cs="Tahoma"/>
          <w:color w:val="000000" w:themeColor="text1"/>
          <w:vertAlign w:val="superscript"/>
          <w:lang w:val="it-IT"/>
        </w:rPr>
        <w:t>®</w:t>
      </w:r>
      <w:r w:rsidRPr="007B74B7">
        <w:rPr>
          <w:rFonts w:cs="Tahoma"/>
          <w:color w:val="000000" w:themeColor="text1"/>
          <w:lang w:val="it-IT"/>
        </w:rPr>
        <w:t xml:space="preserve"> Professional 2012</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_Toc353375673 \h </w:instrText>
      </w:r>
      <w:r w:rsidRPr="00B900C1">
        <w:rPr>
          <w:color w:val="000000" w:themeColor="text1"/>
        </w:rPr>
      </w:r>
      <w:r w:rsidRPr="00B900C1">
        <w:rPr>
          <w:color w:val="000000" w:themeColor="text1"/>
        </w:rPr>
        <w:fldChar w:fldCharType="separate"/>
      </w:r>
      <w:r w:rsidR="007B74B7">
        <w:rPr>
          <w:color w:val="000000" w:themeColor="text1"/>
          <w:lang w:val="it-IT"/>
        </w:rPr>
        <w:t>17</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Visual Studio</w:t>
      </w:r>
      <w:r w:rsidRPr="007B74B7">
        <w:rPr>
          <w:rFonts w:cs="Tahoma"/>
          <w:color w:val="000000" w:themeColor="text1"/>
          <w:vertAlign w:val="superscript"/>
          <w:lang w:val="it-IT"/>
        </w:rPr>
        <w:t>®</w:t>
      </w:r>
      <w:r w:rsidRPr="007B74B7">
        <w:rPr>
          <w:rFonts w:cs="Tahoma"/>
          <w:color w:val="000000" w:themeColor="text1"/>
          <w:lang w:val="it-IT"/>
        </w:rPr>
        <w:t xml:space="preserve"> Professional 2012 con MSDN</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_Toc353375674 \h </w:instrText>
      </w:r>
      <w:r w:rsidRPr="00B900C1">
        <w:rPr>
          <w:color w:val="000000" w:themeColor="text1"/>
        </w:rPr>
      </w:r>
      <w:r w:rsidRPr="00B900C1">
        <w:rPr>
          <w:color w:val="000000" w:themeColor="text1"/>
        </w:rPr>
        <w:fldChar w:fldCharType="separate"/>
      </w:r>
      <w:r w:rsidR="007B74B7">
        <w:rPr>
          <w:color w:val="000000" w:themeColor="text1"/>
          <w:lang w:val="it-IT"/>
        </w:rPr>
        <w:t>17</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lastRenderedPageBreak/>
        <w:t>Visual Studio</w:t>
      </w:r>
      <w:r w:rsidRPr="007B74B7">
        <w:rPr>
          <w:rFonts w:cs="Tahoma"/>
          <w:color w:val="000000" w:themeColor="text1"/>
          <w:vertAlign w:val="superscript"/>
          <w:lang w:val="it-IT"/>
        </w:rPr>
        <w:t>®</w:t>
      </w:r>
      <w:r w:rsidRPr="007B74B7">
        <w:rPr>
          <w:rFonts w:cs="Tahoma"/>
          <w:color w:val="000000" w:themeColor="text1"/>
          <w:lang w:val="it-IT"/>
        </w:rPr>
        <w:t xml:space="preserve"> Premium 2012 con MSDN</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_Toc353375675 \h </w:instrText>
      </w:r>
      <w:r w:rsidRPr="00B900C1">
        <w:rPr>
          <w:color w:val="000000" w:themeColor="text1"/>
        </w:rPr>
      </w:r>
      <w:r w:rsidRPr="00B900C1">
        <w:rPr>
          <w:color w:val="000000" w:themeColor="text1"/>
        </w:rPr>
        <w:fldChar w:fldCharType="separate"/>
      </w:r>
      <w:r w:rsidR="007B74B7">
        <w:rPr>
          <w:color w:val="000000" w:themeColor="text1"/>
          <w:lang w:val="it-IT"/>
        </w:rPr>
        <w:t>17</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Visual Studio</w:t>
      </w:r>
      <w:r w:rsidRPr="007B74B7">
        <w:rPr>
          <w:rFonts w:cs="Tahoma"/>
          <w:color w:val="000000" w:themeColor="text1"/>
          <w:vertAlign w:val="superscript"/>
          <w:lang w:val="it-IT"/>
        </w:rPr>
        <w:t>®</w:t>
      </w:r>
      <w:r w:rsidRPr="007B74B7">
        <w:rPr>
          <w:rFonts w:cs="Tahoma"/>
          <w:color w:val="000000" w:themeColor="text1"/>
          <w:lang w:val="it-IT"/>
        </w:rPr>
        <w:t xml:space="preserve"> Ultimate 2012 con MSDN</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_Toc353375676 \h </w:instrText>
      </w:r>
      <w:r w:rsidRPr="00B900C1">
        <w:rPr>
          <w:color w:val="000000" w:themeColor="text1"/>
        </w:rPr>
      </w:r>
      <w:r w:rsidRPr="00B900C1">
        <w:rPr>
          <w:color w:val="000000" w:themeColor="text1"/>
        </w:rPr>
        <w:fldChar w:fldCharType="separate"/>
      </w:r>
      <w:r w:rsidR="007B74B7">
        <w:rPr>
          <w:color w:val="000000" w:themeColor="text1"/>
          <w:lang w:val="it-IT"/>
        </w:rPr>
        <w:t>17</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Visual Studio</w:t>
      </w:r>
      <w:r w:rsidRPr="007B74B7">
        <w:rPr>
          <w:rFonts w:cs="Tahoma"/>
          <w:color w:val="000000" w:themeColor="text1"/>
          <w:vertAlign w:val="superscript"/>
          <w:lang w:val="it-IT"/>
        </w:rPr>
        <w:t>®</w:t>
      </w:r>
      <w:r w:rsidRPr="007B74B7">
        <w:rPr>
          <w:rFonts w:cs="Tahoma"/>
          <w:color w:val="000000" w:themeColor="text1"/>
          <w:lang w:val="it-IT"/>
        </w:rPr>
        <w:t xml:space="preserve"> Test Professional 2012 con MSDN</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_Toc353375677 \h </w:instrText>
      </w:r>
      <w:r w:rsidRPr="00B900C1">
        <w:rPr>
          <w:color w:val="000000" w:themeColor="text1"/>
        </w:rPr>
      </w:r>
      <w:r w:rsidRPr="00B900C1">
        <w:rPr>
          <w:color w:val="000000" w:themeColor="text1"/>
        </w:rPr>
        <w:fldChar w:fldCharType="separate"/>
      </w:r>
      <w:r w:rsidR="007B74B7">
        <w:rPr>
          <w:color w:val="000000" w:themeColor="text1"/>
          <w:lang w:val="it-IT"/>
        </w:rPr>
        <w:t>17</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Word 2013</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_Toc353375678 \h </w:instrText>
      </w:r>
      <w:r w:rsidRPr="00B900C1">
        <w:rPr>
          <w:color w:val="000000" w:themeColor="text1"/>
        </w:rPr>
      </w:r>
      <w:r w:rsidRPr="00B900C1">
        <w:rPr>
          <w:color w:val="000000" w:themeColor="text1"/>
        </w:rPr>
        <w:fldChar w:fldCharType="separate"/>
      </w:r>
      <w:r w:rsidR="007B74B7">
        <w:rPr>
          <w:color w:val="000000" w:themeColor="text1"/>
        </w:rPr>
        <w:t>17</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Word per Mac 2011</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_Toc353375679 \h </w:instrText>
      </w:r>
      <w:r w:rsidRPr="00B900C1">
        <w:rPr>
          <w:color w:val="000000" w:themeColor="text1"/>
        </w:rPr>
      </w:r>
      <w:r w:rsidRPr="00B900C1">
        <w:rPr>
          <w:color w:val="000000" w:themeColor="text1"/>
        </w:rPr>
        <w:fldChar w:fldCharType="separate"/>
      </w:r>
      <w:r w:rsidR="007B74B7">
        <w:rPr>
          <w:color w:val="000000" w:themeColor="text1"/>
        </w:rPr>
        <w:t>17</w:t>
      </w:r>
      <w:r w:rsidRPr="00B900C1">
        <w:rPr>
          <w:color w:val="000000" w:themeColor="text1"/>
        </w:rPr>
        <w:fldChar w:fldCharType="end"/>
      </w:r>
    </w:p>
    <w:p w:rsidR="00BD7CEA" w:rsidRPr="00B900C1" w:rsidRDefault="00BD7CEA" w:rsidP="00B900C1">
      <w:pPr>
        <w:pStyle w:val="TOC3"/>
        <w:rPr>
          <w:rFonts w:asciiTheme="minorHAnsi" w:eastAsiaTheme="minorEastAsia" w:hAnsiTheme="minorHAnsi" w:cstheme="minorBidi"/>
          <w:color w:val="000000" w:themeColor="text1"/>
          <w:sz w:val="22"/>
          <w:szCs w:val="22"/>
        </w:rPr>
      </w:pPr>
      <w:r w:rsidRPr="00B900C1">
        <w:rPr>
          <w:color w:val="000000" w:themeColor="text1"/>
        </w:rPr>
        <w:t>POOL DI SISTEMI</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_Toc353375680 \h </w:instrText>
      </w:r>
      <w:r w:rsidRPr="00B900C1">
        <w:rPr>
          <w:color w:val="000000" w:themeColor="text1"/>
        </w:rPr>
      </w:r>
      <w:r w:rsidRPr="00B900C1">
        <w:rPr>
          <w:color w:val="000000" w:themeColor="text1"/>
        </w:rPr>
        <w:fldChar w:fldCharType="separate"/>
      </w:r>
      <w:r w:rsidR="007B74B7">
        <w:rPr>
          <w:color w:val="000000" w:themeColor="text1"/>
        </w:rPr>
        <w:t>18</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Microsoft Desktop Optimization Pack per Software Assurance.</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_Toc353375681 \h </w:instrText>
      </w:r>
      <w:r w:rsidRPr="00B900C1">
        <w:rPr>
          <w:color w:val="000000" w:themeColor="text1"/>
        </w:rPr>
      </w:r>
      <w:r w:rsidRPr="00B900C1">
        <w:rPr>
          <w:color w:val="000000" w:themeColor="text1"/>
        </w:rPr>
        <w:fldChar w:fldCharType="separate"/>
      </w:r>
      <w:r w:rsidR="007B74B7">
        <w:rPr>
          <w:color w:val="000000" w:themeColor="text1"/>
        </w:rPr>
        <w:t>18</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Licenza “Subscription” per Windows Companion</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_Toc353375682 \h </w:instrText>
      </w:r>
      <w:r w:rsidRPr="00B900C1">
        <w:rPr>
          <w:color w:val="000000" w:themeColor="text1"/>
        </w:rPr>
      </w:r>
      <w:r w:rsidRPr="00B900C1">
        <w:rPr>
          <w:color w:val="000000" w:themeColor="text1"/>
        </w:rPr>
        <w:fldChar w:fldCharType="separate"/>
      </w:r>
      <w:r w:rsidR="007B74B7">
        <w:rPr>
          <w:color w:val="000000" w:themeColor="text1"/>
        </w:rPr>
        <w:t>18</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Windows Vista DVD Playback Pack</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_Toc353375683 \h </w:instrText>
      </w:r>
      <w:r w:rsidRPr="00B900C1">
        <w:rPr>
          <w:color w:val="000000" w:themeColor="text1"/>
        </w:rPr>
      </w:r>
      <w:r w:rsidRPr="00B900C1">
        <w:rPr>
          <w:color w:val="000000" w:themeColor="text1"/>
        </w:rPr>
        <w:fldChar w:fldCharType="separate"/>
      </w:r>
      <w:r w:rsidR="007B74B7">
        <w:rPr>
          <w:color w:val="000000" w:themeColor="text1"/>
        </w:rPr>
        <w:t>18</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Diritti di Noleggio per Windows</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_Toc353375684 \h </w:instrText>
      </w:r>
      <w:r w:rsidRPr="00B900C1">
        <w:rPr>
          <w:color w:val="000000" w:themeColor="text1"/>
        </w:rPr>
      </w:r>
      <w:r w:rsidRPr="00B900C1">
        <w:rPr>
          <w:color w:val="000000" w:themeColor="text1"/>
        </w:rPr>
        <w:fldChar w:fldCharType="separate"/>
      </w:r>
      <w:r w:rsidR="007B74B7">
        <w:rPr>
          <w:color w:val="000000" w:themeColor="text1"/>
          <w:lang w:val="it-IT"/>
        </w:rPr>
        <w:t>18</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Windows 8 Enterprise Sideloading (100 Confezioni)</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_Toc353375685 \h </w:instrText>
      </w:r>
      <w:r w:rsidRPr="00B900C1">
        <w:rPr>
          <w:color w:val="000000" w:themeColor="text1"/>
        </w:rPr>
      </w:r>
      <w:r w:rsidRPr="00B900C1">
        <w:rPr>
          <w:color w:val="000000" w:themeColor="text1"/>
        </w:rPr>
        <w:fldChar w:fldCharType="separate"/>
      </w:r>
      <w:r w:rsidR="007B74B7">
        <w:rPr>
          <w:color w:val="000000" w:themeColor="text1"/>
        </w:rPr>
        <w:t>18</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Windows</w:t>
      </w:r>
      <w:r w:rsidRPr="00B900C1">
        <w:rPr>
          <w:rFonts w:cs="Tahoma"/>
          <w:color w:val="000000" w:themeColor="text1"/>
          <w:vertAlign w:val="superscript"/>
        </w:rPr>
        <w:t>®</w:t>
      </w:r>
      <w:r w:rsidRPr="00B900C1">
        <w:rPr>
          <w:rFonts w:cs="Tahoma"/>
          <w:color w:val="000000" w:themeColor="text1"/>
        </w:rPr>
        <w:t xml:space="preserve"> 7 Partners in Learning</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_Toc353375686 \h </w:instrText>
      </w:r>
      <w:r w:rsidRPr="00B900C1">
        <w:rPr>
          <w:color w:val="000000" w:themeColor="text1"/>
        </w:rPr>
      </w:r>
      <w:r w:rsidRPr="00B900C1">
        <w:rPr>
          <w:color w:val="000000" w:themeColor="text1"/>
        </w:rPr>
        <w:fldChar w:fldCharType="separate"/>
      </w:r>
      <w:r w:rsidR="007B74B7">
        <w:rPr>
          <w:color w:val="000000" w:themeColor="text1"/>
        </w:rPr>
        <w:t>18</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Windows</w:t>
      </w:r>
      <w:r w:rsidRPr="00B900C1">
        <w:rPr>
          <w:rFonts w:cs="Tahoma"/>
          <w:color w:val="000000" w:themeColor="text1"/>
          <w:vertAlign w:val="superscript"/>
        </w:rPr>
        <w:t>®</w:t>
      </w:r>
      <w:r w:rsidRPr="00B900C1">
        <w:rPr>
          <w:rFonts w:cs="Tahoma"/>
          <w:color w:val="000000" w:themeColor="text1"/>
        </w:rPr>
        <w:t xml:space="preserve"> 8 Pro</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_Toc353375687 \h </w:instrText>
      </w:r>
      <w:r w:rsidRPr="00B900C1">
        <w:rPr>
          <w:color w:val="000000" w:themeColor="text1"/>
        </w:rPr>
      </w:r>
      <w:r w:rsidRPr="00B900C1">
        <w:rPr>
          <w:color w:val="000000" w:themeColor="text1"/>
        </w:rPr>
        <w:fldChar w:fldCharType="separate"/>
      </w:r>
      <w:r w:rsidR="007B74B7">
        <w:rPr>
          <w:color w:val="000000" w:themeColor="text1"/>
        </w:rPr>
        <w:t>18</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Windows</w:t>
      </w:r>
      <w:r w:rsidRPr="00B900C1">
        <w:rPr>
          <w:rFonts w:cs="Tahoma"/>
          <w:color w:val="000000" w:themeColor="text1"/>
          <w:vertAlign w:val="superscript"/>
        </w:rPr>
        <w:t>®</w:t>
      </w:r>
      <w:r w:rsidRPr="00B900C1">
        <w:rPr>
          <w:rFonts w:cs="Tahoma"/>
          <w:color w:val="000000" w:themeColor="text1"/>
        </w:rPr>
        <w:t xml:space="preserve"> 8 Pro con MDOP</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_Toc353375688 \h </w:instrText>
      </w:r>
      <w:r w:rsidRPr="00B900C1">
        <w:rPr>
          <w:color w:val="000000" w:themeColor="text1"/>
        </w:rPr>
      </w:r>
      <w:r w:rsidRPr="00B900C1">
        <w:rPr>
          <w:color w:val="000000" w:themeColor="text1"/>
        </w:rPr>
        <w:fldChar w:fldCharType="separate"/>
      </w:r>
      <w:r w:rsidR="007B74B7">
        <w:rPr>
          <w:color w:val="000000" w:themeColor="text1"/>
        </w:rPr>
        <w:t>18</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Windows Virtual Desktop Access (VDA)</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_Toc353375689 \h </w:instrText>
      </w:r>
      <w:r w:rsidRPr="00B900C1">
        <w:rPr>
          <w:color w:val="000000" w:themeColor="text1"/>
        </w:rPr>
      </w:r>
      <w:r w:rsidRPr="00B900C1">
        <w:rPr>
          <w:color w:val="000000" w:themeColor="text1"/>
        </w:rPr>
        <w:fldChar w:fldCharType="separate"/>
      </w:r>
      <w:r w:rsidR="007B74B7">
        <w:rPr>
          <w:color w:val="000000" w:themeColor="text1"/>
        </w:rPr>
        <w:t>18</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Windows Intune (Per Dispositivo)</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_Toc353375690 \h </w:instrText>
      </w:r>
      <w:r w:rsidRPr="00B900C1">
        <w:rPr>
          <w:color w:val="000000" w:themeColor="text1"/>
        </w:rPr>
      </w:r>
      <w:r w:rsidRPr="00B900C1">
        <w:rPr>
          <w:color w:val="000000" w:themeColor="text1"/>
        </w:rPr>
        <w:fldChar w:fldCharType="separate"/>
      </w:r>
      <w:r w:rsidR="007B74B7">
        <w:rPr>
          <w:color w:val="000000" w:themeColor="text1"/>
          <w:lang w:val="it-IT"/>
        </w:rPr>
        <w:t>18</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Componente Aggiuntivo per Windows Intune (Per Dispositivo)</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_Toc353375691 \h </w:instrText>
      </w:r>
      <w:r w:rsidRPr="00B900C1">
        <w:rPr>
          <w:color w:val="000000" w:themeColor="text1"/>
        </w:rPr>
      </w:r>
      <w:r w:rsidRPr="00B900C1">
        <w:rPr>
          <w:color w:val="000000" w:themeColor="text1"/>
        </w:rPr>
        <w:fldChar w:fldCharType="separate"/>
      </w:r>
      <w:r w:rsidR="007B74B7">
        <w:rPr>
          <w:color w:val="000000" w:themeColor="text1"/>
          <w:lang w:val="it-IT"/>
        </w:rPr>
        <w:t>18</w:t>
      </w:r>
      <w:r w:rsidRPr="00B900C1">
        <w:rPr>
          <w:color w:val="000000" w:themeColor="text1"/>
        </w:rPr>
        <w:fldChar w:fldCharType="end"/>
      </w:r>
    </w:p>
    <w:p w:rsidR="00BD7CEA" w:rsidRPr="00B900C1" w:rsidRDefault="00BD7CEA" w:rsidP="00B900C1">
      <w:pPr>
        <w:pStyle w:val="TOC3"/>
        <w:rPr>
          <w:rFonts w:asciiTheme="minorHAnsi" w:eastAsiaTheme="minorEastAsia" w:hAnsiTheme="minorHAnsi" w:cstheme="minorBidi"/>
          <w:color w:val="000000" w:themeColor="text1"/>
          <w:sz w:val="22"/>
          <w:szCs w:val="22"/>
        </w:rPr>
      </w:pPr>
      <w:r w:rsidRPr="00B900C1">
        <w:rPr>
          <w:color w:val="000000" w:themeColor="text1"/>
        </w:rPr>
        <w:t>POOL DI SERVER</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_Toc353375692 \h </w:instrText>
      </w:r>
      <w:r w:rsidRPr="00B900C1">
        <w:rPr>
          <w:color w:val="000000" w:themeColor="text1"/>
        </w:rPr>
      </w:r>
      <w:r w:rsidRPr="00B900C1">
        <w:rPr>
          <w:color w:val="000000" w:themeColor="text1"/>
        </w:rPr>
        <w:fldChar w:fldCharType="separate"/>
      </w:r>
      <w:r w:rsidR="007B74B7">
        <w:rPr>
          <w:color w:val="000000" w:themeColor="text1"/>
        </w:rPr>
        <w:t>18</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Bing Maps Consumer Tracked Per Asset Monthly Sub</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_Toc353375693 \h </w:instrText>
      </w:r>
      <w:r w:rsidRPr="00B900C1">
        <w:rPr>
          <w:color w:val="000000" w:themeColor="text1"/>
        </w:rPr>
      </w:r>
      <w:r w:rsidRPr="00B900C1">
        <w:rPr>
          <w:color w:val="000000" w:themeColor="text1"/>
        </w:rPr>
        <w:fldChar w:fldCharType="separate"/>
      </w:r>
      <w:r w:rsidR="007B74B7">
        <w:rPr>
          <w:color w:val="000000" w:themeColor="text1"/>
        </w:rPr>
        <w:t>18</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Bing Maps for Enterprise Platform Fee Monthly Sub</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_Toc353375694 \h </w:instrText>
      </w:r>
      <w:r w:rsidRPr="00B900C1">
        <w:rPr>
          <w:color w:val="000000" w:themeColor="text1"/>
        </w:rPr>
      </w:r>
      <w:r w:rsidRPr="00B900C1">
        <w:rPr>
          <w:color w:val="000000" w:themeColor="text1"/>
        </w:rPr>
        <w:fldChar w:fldCharType="separate"/>
      </w:r>
      <w:r w:rsidR="007B74B7">
        <w:rPr>
          <w:color w:val="000000" w:themeColor="text1"/>
        </w:rPr>
        <w:t>18</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Bing Maps Public Website Usage 100K Transactions Monthly Sub</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_Toc353375695 \h </w:instrText>
      </w:r>
      <w:r w:rsidRPr="00B900C1">
        <w:rPr>
          <w:color w:val="000000" w:themeColor="text1"/>
        </w:rPr>
      </w:r>
      <w:r w:rsidRPr="00B900C1">
        <w:rPr>
          <w:color w:val="000000" w:themeColor="text1"/>
        </w:rPr>
        <w:fldChar w:fldCharType="separate"/>
      </w:r>
      <w:r w:rsidR="007B74B7">
        <w:rPr>
          <w:color w:val="000000" w:themeColor="text1"/>
        </w:rPr>
        <w:t>18</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Bing Maps Public Website Usage 250K Transactions Monthly Sub</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_Toc353375696 \h </w:instrText>
      </w:r>
      <w:r w:rsidRPr="00B900C1">
        <w:rPr>
          <w:color w:val="000000" w:themeColor="text1"/>
        </w:rPr>
      </w:r>
      <w:r w:rsidRPr="00B900C1">
        <w:rPr>
          <w:color w:val="000000" w:themeColor="text1"/>
        </w:rPr>
        <w:fldChar w:fldCharType="separate"/>
      </w:r>
      <w:r w:rsidR="007B74B7">
        <w:rPr>
          <w:color w:val="000000" w:themeColor="text1"/>
        </w:rPr>
        <w:t>18</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Bing Maps Public Website Usage 420K Transactions Monthly Sub</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_Toc353375697 \h </w:instrText>
      </w:r>
      <w:r w:rsidRPr="00B900C1">
        <w:rPr>
          <w:color w:val="000000" w:themeColor="text1"/>
        </w:rPr>
      </w:r>
      <w:r w:rsidRPr="00B900C1">
        <w:rPr>
          <w:color w:val="000000" w:themeColor="text1"/>
        </w:rPr>
        <w:fldChar w:fldCharType="separate"/>
      </w:r>
      <w:r w:rsidR="007B74B7">
        <w:rPr>
          <w:color w:val="000000" w:themeColor="text1"/>
        </w:rPr>
        <w:t>18</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Bing Maps Public Website Usage 840K Transactions Monthly Sub</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_Toc353375698 \h </w:instrText>
      </w:r>
      <w:r w:rsidRPr="00B900C1">
        <w:rPr>
          <w:color w:val="000000" w:themeColor="text1"/>
        </w:rPr>
      </w:r>
      <w:r w:rsidRPr="00B900C1">
        <w:rPr>
          <w:color w:val="000000" w:themeColor="text1"/>
        </w:rPr>
        <w:fldChar w:fldCharType="separate"/>
      </w:r>
      <w:r w:rsidR="007B74B7">
        <w:rPr>
          <w:color w:val="000000" w:themeColor="text1"/>
        </w:rPr>
        <w:t>18</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Bing Maps Public Website Usage 2.5m Transactions Monthly Sub</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_Toc353375699 \h </w:instrText>
      </w:r>
      <w:r w:rsidRPr="00B900C1">
        <w:rPr>
          <w:color w:val="000000" w:themeColor="text1"/>
        </w:rPr>
      </w:r>
      <w:r w:rsidRPr="00B900C1">
        <w:rPr>
          <w:color w:val="000000" w:themeColor="text1"/>
        </w:rPr>
        <w:fldChar w:fldCharType="separate"/>
      </w:r>
      <w:r w:rsidR="007B74B7">
        <w:rPr>
          <w:color w:val="000000" w:themeColor="text1"/>
        </w:rPr>
        <w:t>18</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Bing Maps Public Website Usage 4.2m Transactions Monthly Sub</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_Toc353375700 \h </w:instrText>
      </w:r>
      <w:r w:rsidRPr="00B900C1">
        <w:rPr>
          <w:color w:val="000000" w:themeColor="text1"/>
        </w:rPr>
      </w:r>
      <w:r w:rsidRPr="00B900C1">
        <w:rPr>
          <w:color w:val="000000" w:themeColor="text1"/>
        </w:rPr>
        <w:fldChar w:fldCharType="separate"/>
      </w:r>
      <w:r w:rsidR="007B74B7">
        <w:rPr>
          <w:color w:val="000000" w:themeColor="text1"/>
        </w:rPr>
        <w:t>18</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Bing Maps Public Website Usage 8.4m Transactions Monthly Sub</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_Toc353375701 \h </w:instrText>
      </w:r>
      <w:r w:rsidRPr="00B900C1">
        <w:rPr>
          <w:color w:val="000000" w:themeColor="text1"/>
        </w:rPr>
      </w:r>
      <w:r w:rsidRPr="00B900C1">
        <w:rPr>
          <w:color w:val="000000" w:themeColor="text1"/>
        </w:rPr>
        <w:fldChar w:fldCharType="separate"/>
      </w:r>
      <w:r w:rsidR="007B74B7">
        <w:rPr>
          <w:color w:val="000000" w:themeColor="text1"/>
        </w:rPr>
        <w:t>18</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Bing Maps Public Website Usage Unlimited Transactions Monthly Sub</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_Toc353375702 \h </w:instrText>
      </w:r>
      <w:r w:rsidRPr="00B900C1">
        <w:rPr>
          <w:color w:val="000000" w:themeColor="text1"/>
        </w:rPr>
      </w:r>
      <w:r w:rsidRPr="00B900C1">
        <w:rPr>
          <w:color w:val="000000" w:themeColor="text1"/>
        </w:rPr>
        <w:fldChar w:fldCharType="separate"/>
      </w:r>
      <w:r w:rsidR="007B74B7">
        <w:rPr>
          <w:color w:val="000000" w:themeColor="text1"/>
        </w:rPr>
        <w:t>18</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Bing Maps Internal Website Usage 100K Transactions Monthly Sub</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_Toc353375703 \h </w:instrText>
      </w:r>
      <w:r w:rsidRPr="00B900C1">
        <w:rPr>
          <w:color w:val="000000" w:themeColor="text1"/>
        </w:rPr>
      </w:r>
      <w:r w:rsidRPr="00B900C1">
        <w:rPr>
          <w:color w:val="000000" w:themeColor="text1"/>
        </w:rPr>
        <w:fldChar w:fldCharType="separate"/>
      </w:r>
      <w:r w:rsidR="007B74B7">
        <w:rPr>
          <w:color w:val="000000" w:themeColor="text1"/>
        </w:rPr>
        <w:t>18</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Bing Maps Internal Website Usage 250K Transactions Monthly Sub</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_Toc353375704 \h </w:instrText>
      </w:r>
      <w:r w:rsidRPr="00B900C1">
        <w:rPr>
          <w:color w:val="000000" w:themeColor="text1"/>
        </w:rPr>
      </w:r>
      <w:r w:rsidRPr="00B900C1">
        <w:rPr>
          <w:color w:val="000000" w:themeColor="text1"/>
        </w:rPr>
        <w:fldChar w:fldCharType="separate"/>
      </w:r>
      <w:r w:rsidR="007B74B7">
        <w:rPr>
          <w:color w:val="000000" w:themeColor="text1"/>
        </w:rPr>
        <w:t>18</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Bing Maps Internal Website Usage 420K Transactions Monthly Sub</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_Toc353375705 \h </w:instrText>
      </w:r>
      <w:r w:rsidRPr="00B900C1">
        <w:rPr>
          <w:color w:val="000000" w:themeColor="text1"/>
        </w:rPr>
      </w:r>
      <w:r w:rsidRPr="00B900C1">
        <w:rPr>
          <w:color w:val="000000" w:themeColor="text1"/>
        </w:rPr>
        <w:fldChar w:fldCharType="separate"/>
      </w:r>
      <w:r w:rsidR="007B74B7">
        <w:rPr>
          <w:color w:val="000000" w:themeColor="text1"/>
        </w:rPr>
        <w:t>18</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Bing Maps Internal Website Usage 1.25m Transactions Monthly Sub</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_Toc353375706 \h </w:instrText>
      </w:r>
      <w:r w:rsidRPr="00B900C1">
        <w:rPr>
          <w:color w:val="000000" w:themeColor="text1"/>
        </w:rPr>
      </w:r>
      <w:r w:rsidRPr="00B900C1">
        <w:rPr>
          <w:color w:val="000000" w:themeColor="text1"/>
        </w:rPr>
        <w:fldChar w:fldCharType="separate"/>
      </w:r>
      <w:r w:rsidR="007B74B7">
        <w:rPr>
          <w:color w:val="000000" w:themeColor="text1"/>
        </w:rPr>
        <w:t>19</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Bing Maps Internal Website Usage 2.1m Transactions Monthly Sub</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_Toc353375707 \h </w:instrText>
      </w:r>
      <w:r w:rsidRPr="00B900C1">
        <w:rPr>
          <w:color w:val="000000" w:themeColor="text1"/>
        </w:rPr>
      </w:r>
      <w:r w:rsidRPr="00B900C1">
        <w:rPr>
          <w:color w:val="000000" w:themeColor="text1"/>
        </w:rPr>
        <w:fldChar w:fldCharType="separate"/>
      </w:r>
      <w:r w:rsidR="007B74B7">
        <w:rPr>
          <w:color w:val="000000" w:themeColor="text1"/>
        </w:rPr>
        <w:t>19</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Bing Maps Internal Website Usage Unlimited Transactions Monthly Sub</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_Toc353375708 \h </w:instrText>
      </w:r>
      <w:r w:rsidRPr="00B900C1">
        <w:rPr>
          <w:color w:val="000000" w:themeColor="text1"/>
        </w:rPr>
      </w:r>
      <w:r w:rsidRPr="00B900C1">
        <w:rPr>
          <w:color w:val="000000" w:themeColor="text1"/>
        </w:rPr>
        <w:fldChar w:fldCharType="separate"/>
      </w:r>
      <w:r w:rsidR="007B74B7">
        <w:rPr>
          <w:color w:val="000000" w:themeColor="text1"/>
        </w:rPr>
        <w:t>19</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Bing Maps Per Known User Monthly Sub</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_Toc353375709 \h </w:instrText>
      </w:r>
      <w:r w:rsidRPr="00B900C1">
        <w:rPr>
          <w:color w:val="000000" w:themeColor="text1"/>
        </w:rPr>
      </w:r>
      <w:r w:rsidRPr="00B900C1">
        <w:rPr>
          <w:color w:val="000000" w:themeColor="text1"/>
        </w:rPr>
        <w:fldChar w:fldCharType="separate"/>
      </w:r>
      <w:r w:rsidR="007B74B7">
        <w:rPr>
          <w:color w:val="000000" w:themeColor="text1"/>
        </w:rPr>
        <w:t>19</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Bing Maps Known User 5K Bundle</w:t>
      </w:r>
      <w:r w:rsidR="007E508E">
        <w:rPr>
          <w:rFonts w:cs="Tahoma"/>
          <w:color w:val="000000" w:themeColor="text1"/>
        </w:rPr>
        <w:t xml:space="preserve"> </w:t>
      </w:r>
      <w:r w:rsidRPr="00B900C1">
        <w:rPr>
          <w:rFonts w:cs="Tahoma"/>
          <w:color w:val="000000" w:themeColor="text1"/>
        </w:rPr>
        <w:t>Monthly Sub</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_Toc353375710 \h </w:instrText>
      </w:r>
      <w:r w:rsidRPr="00B900C1">
        <w:rPr>
          <w:color w:val="000000" w:themeColor="text1"/>
        </w:rPr>
      </w:r>
      <w:r w:rsidRPr="00B900C1">
        <w:rPr>
          <w:color w:val="000000" w:themeColor="text1"/>
        </w:rPr>
        <w:fldChar w:fldCharType="separate"/>
      </w:r>
      <w:r w:rsidR="007B74B7">
        <w:rPr>
          <w:color w:val="000000" w:themeColor="text1"/>
        </w:rPr>
        <w:t>19</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Bing Maps Light Known Per User</w:t>
      </w:r>
      <w:r w:rsidR="007E508E">
        <w:rPr>
          <w:rFonts w:cs="Tahoma"/>
          <w:color w:val="000000" w:themeColor="text1"/>
        </w:rPr>
        <w:t xml:space="preserve"> </w:t>
      </w:r>
      <w:r w:rsidRPr="00B900C1">
        <w:rPr>
          <w:rFonts w:cs="Tahoma"/>
          <w:color w:val="000000" w:themeColor="text1"/>
        </w:rPr>
        <w:t>Monthly Sub</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_Toc353375711 \h </w:instrText>
      </w:r>
      <w:r w:rsidRPr="00B900C1">
        <w:rPr>
          <w:color w:val="000000" w:themeColor="text1"/>
        </w:rPr>
      </w:r>
      <w:r w:rsidRPr="00B900C1">
        <w:rPr>
          <w:color w:val="000000" w:themeColor="text1"/>
        </w:rPr>
        <w:fldChar w:fldCharType="separate"/>
      </w:r>
      <w:r w:rsidR="007B74B7">
        <w:rPr>
          <w:color w:val="000000" w:themeColor="text1"/>
        </w:rPr>
        <w:t>19</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Bing Maps Light Known 5K User Bundle Monthly Sub</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_Toc353375712 \h </w:instrText>
      </w:r>
      <w:r w:rsidRPr="00B900C1">
        <w:rPr>
          <w:color w:val="000000" w:themeColor="text1"/>
        </w:rPr>
      </w:r>
      <w:r w:rsidRPr="00B900C1">
        <w:rPr>
          <w:color w:val="000000" w:themeColor="text1"/>
        </w:rPr>
        <w:fldChar w:fldCharType="separate"/>
      </w:r>
      <w:r w:rsidR="007B74B7">
        <w:rPr>
          <w:color w:val="000000" w:themeColor="text1"/>
        </w:rPr>
        <w:t>19</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Bing Maps Mobile Asset Management Platform Fee Monthly Sub</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_Toc353375713 \h </w:instrText>
      </w:r>
      <w:r w:rsidRPr="00B900C1">
        <w:rPr>
          <w:color w:val="000000" w:themeColor="text1"/>
        </w:rPr>
      </w:r>
      <w:r w:rsidRPr="00B900C1">
        <w:rPr>
          <w:color w:val="000000" w:themeColor="text1"/>
        </w:rPr>
        <w:fldChar w:fldCharType="separate"/>
      </w:r>
      <w:r w:rsidR="007B74B7">
        <w:rPr>
          <w:color w:val="000000" w:themeColor="text1"/>
        </w:rPr>
        <w:t>19</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Bing Maps Mobile Asset Management NA w routing Per Asset Monthly Sub</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_Toc353375714 \h </w:instrText>
      </w:r>
      <w:r w:rsidRPr="00B900C1">
        <w:rPr>
          <w:color w:val="000000" w:themeColor="text1"/>
        </w:rPr>
      </w:r>
      <w:r w:rsidRPr="00B900C1">
        <w:rPr>
          <w:color w:val="000000" w:themeColor="text1"/>
        </w:rPr>
        <w:fldChar w:fldCharType="separate"/>
      </w:r>
      <w:r w:rsidR="007B74B7">
        <w:rPr>
          <w:color w:val="000000" w:themeColor="text1"/>
        </w:rPr>
        <w:t>19</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Bing Maps Mobile Asset Management NA w/o routing Per Asset Monthly Sub</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_Toc353375715 \h </w:instrText>
      </w:r>
      <w:r w:rsidRPr="00B900C1">
        <w:rPr>
          <w:color w:val="000000" w:themeColor="text1"/>
        </w:rPr>
      </w:r>
      <w:r w:rsidRPr="00B900C1">
        <w:rPr>
          <w:color w:val="000000" w:themeColor="text1"/>
        </w:rPr>
        <w:fldChar w:fldCharType="separate"/>
      </w:r>
      <w:r w:rsidR="007B74B7">
        <w:rPr>
          <w:color w:val="000000" w:themeColor="text1"/>
        </w:rPr>
        <w:t>19</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Bing Maps Mobile Asset Management Europe w routing Per Asset Monthly Sub</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_Toc353375716 \h </w:instrText>
      </w:r>
      <w:r w:rsidRPr="00B900C1">
        <w:rPr>
          <w:color w:val="000000" w:themeColor="text1"/>
        </w:rPr>
      </w:r>
      <w:r w:rsidRPr="00B900C1">
        <w:rPr>
          <w:color w:val="000000" w:themeColor="text1"/>
        </w:rPr>
        <w:fldChar w:fldCharType="separate"/>
      </w:r>
      <w:r w:rsidR="007B74B7">
        <w:rPr>
          <w:color w:val="000000" w:themeColor="text1"/>
        </w:rPr>
        <w:t>19</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Bing Maps Mobile Asset Management Europe w/o routing Per Asset Monthly Sub</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_Toc353375717 \h </w:instrText>
      </w:r>
      <w:r w:rsidRPr="00B900C1">
        <w:rPr>
          <w:color w:val="000000" w:themeColor="text1"/>
        </w:rPr>
      </w:r>
      <w:r w:rsidRPr="00B900C1">
        <w:rPr>
          <w:color w:val="000000" w:themeColor="text1"/>
        </w:rPr>
        <w:fldChar w:fldCharType="separate"/>
      </w:r>
      <w:r w:rsidR="007B74B7">
        <w:rPr>
          <w:color w:val="000000" w:themeColor="text1"/>
        </w:rPr>
        <w:t>19</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CAL per Bing Maps Server</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_Toc353375718 \h </w:instrText>
      </w:r>
      <w:r w:rsidRPr="00B900C1">
        <w:rPr>
          <w:color w:val="000000" w:themeColor="text1"/>
        </w:rPr>
      </w:r>
      <w:r w:rsidRPr="00B900C1">
        <w:rPr>
          <w:color w:val="000000" w:themeColor="text1"/>
        </w:rPr>
        <w:fldChar w:fldCharType="separate"/>
      </w:r>
      <w:r w:rsidR="007B74B7">
        <w:rPr>
          <w:color w:val="000000" w:themeColor="text1"/>
        </w:rPr>
        <w:t>19</w:t>
      </w:r>
      <w:r w:rsidRPr="00B900C1">
        <w:rPr>
          <w:color w:val="000000" w:themeColor="text1"/>
        </w:rPr>
        <w:fldChar w:fldCharType="end"/>
      </w:r>
    </w:p>
    <w:p w:rsidR="00BD7CEA" w:rsidRPr="00B900C1" w:rsidRDefault="00BD7CEA" w:rsidP="00B900C1">
      <w:pPr>
        <w:pStyle w:val="TOC3"/>
        <w:rPr>
          <w:rFonts w:asciiTheme="minorHAnsi" w:eastAsiaTheme="minorEastAsia" w:hAnsiTheme="minorHAnsi" w:cstheme="minorBidi"/>
          <w:color w:val="000000" w:themeColor="text1"/>
          <w:sz w:val="22"/>
          <w:szCs w:val="22"/>
        </w:rPr>
      </w:pPr>
      <w:r w:rsidRPr="00B900C1">
        <w:rPr>
          <w:color w:val="000000" w:themeColor="text1"/>
        </w:rPr>
        <w:t>CAL per Bing Maps Server con Enhanced Content Pack</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_Toc353375719 \h </w:instrText>
      </w:r>
      <w:r w:rsidRPr="00B900C1">
        <w:rPr>
          <w:color w:val="000000" w:themeColor="text1"/>
        </w:rPr>
      </w:r>
      <w:r w:rsidRPr="00B900C1">
        <w:rPr>
          <w:color w:val="000000" w:themeColor="text1"/>
        </w:rPr>
        <w:fldChar w:fldCharType="separate"/>
      </w:r>
      <w:r w:rsidR="007B74B7">
        <w:rPr>
          <w:color w:val="000000" w:themeColor="text1"/>
        </w:rPr>
        <w:t>19</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nb-NO"/>
        </w:rPr>
      </w:pPr>
      <w:r w:rsidRPr="007B74B7">
        <w:rPr>
          <w:color w:val="000000" w:themeColor="text1"/>
          <w:lang w:val="nb-NO"/>
        </w:rPr>
        <w:t>Bing Maps Standard (SL per Utente)</w:t>
      </w:r>
      <w:r w:rsidRPr="007B74B7">
        <w:rPr>
          <w:color w:val="000000" w:themeColor="text1"/>
          <w:lang w:val="nb-NO"/>
        </w:rPr>
        <w:tab/>
      </w:r>
      <w:r w:rsidRPr="00B900C1">
        <w:rPr>
          <w:color w:val="000000" w:themeColor="text1"/>
        </w:rPr>
        <w:fldChar w:fldCharType="begin"/>
      </w:r>
      <w:r w:rsidRPr="007B74B7">
        <w:rPr>
          <w:color w:val="000000" w:themeColor="text1"/>
          <w:lang w:val="nb-NO"/>
        </w:rPr>
        <w:instrText xml:space="preserve"> PAGEREF _Toc353375720 \h </w:instrText>
      </w:r>
      <w:r w:rsidRPr="00B900C1">
        <w:rPr>
          <w:color w:val="000000" w:themeColor="text1"/>
        </w:rPr>
      </w:r>
      <w:r w:rsidRPr="00B900C1">
        <w:rPr>
          <w:color w:val="000000" w:themeColor="text1"/>
        </w:rPr>
        <w:fldChar w:fldCharType="separate"/>
      </w:r>
      <w:r w:rsidR="007B74B7">
        <w:rPr>
          <w:color w:val="000000" w:themeColor="text1"/>
          <w:lang w:val="nb-NO"/>
        </w:rPr>
        <w:t>19</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color w:val="000000" w:themeColor="text1"/>
        </w:rPr>
        <w:t>Bing Maps Standard (SL Servizi)</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_Toc353375721 \h </w:instrText>
      </w:r>
      <w:r w:rsidRPr="00B900C1">
        <w:rPr>
          <w:color w:val="000000" w:themeColor="text1"/>
        </w:rPr>
      </w:r>
      <w:r w:rsidRPr="00B900C1">
        <w:rPr>
          <w:color w:val="000000" w:themeColor="text1"/>
        </w:rPr>
        <w:fldChar w:fldCharType="separate"/>
      </w:r>
      <w:r w:rsidR="007B74B7">
        <w:rPr>
          <w:color w:val="000000" w:themeColor="text1"/>
        </w:rPr>
        <w:t>19</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BizTalk</w:t>
      </w:r>
      <w:r w:rsidRPr="00B900C1">
        <w:rPr>
          <w:rFonts w:cs="Tahoma"/>
          <w:color w:val="000000" w:themeColor="text1"/>
          <w:vertAlign w:val="superscript"/>
        </w:rPr>
        <w:t>®</w:t>
      </w:r>
      <w:r w:rsidRPr="00B900C1">
        <w:rPr>
          <w:rFonts w:cs="Tahoma"/>
          <w:color w:val="000000" w:themeColor="text1"/>
        </w:rPr>
        <w:t xml:space="preserve"> Server 2013 Branch Edition</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_Toc353375722 \h </w:instrText>
      </w:r>
      <w:r w:rsidRPr="00B900C1">
        <w:rPr>
          <w:color w:val="000000" w:themeColor="text1"/>
        </w:rPr>
      </w:r>
      <w:r w:rsidRPr="00B900C1">
        <w:rPr>
          <w:color w:val="000000" w:themeColor="text1"/>
        </w:rPr>
        <w:fldChar w:fldCharType="separate"/>
      </w:r>
      <w:r w:rsidR="007B74B7">
        <w:rPr>
          <w:color w:val="000000" w:themeColor="text1"/>
        </w:rPr>
        <w:t>19</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BizTalk</w:t>
      </w:r>
      <w:r w:rsidRPr="00B900C1">
        <w:rPr>
          <w:rFonts w:cs="Tahoma"/>
          <w:color w:val="000000" w:themeColor="text1"/>
          <w:vertAlign w:val="superscript"/>
        </w:rPr>
        <w:t>®</w:t>
      </w:r>
      <w:r w:rsidRPr="00B900C1">
        <w:rPr>
          <w:rFonts w:cs="Tahoma"/>
          <w:color w:val="000000" w:themeColor="text1"/>
        </w:rPr>
        <w:t xml:space="preserve"> Server 2013 Enterprise Edition</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_Toc353375723 \h </w:instrText>
      </w:r>
      <w:r w:rsidRPr="00B900C1">
        <w:rPr>
          <w:color w:val="000000" w:themeColor="text1"/>
        </w:rPr>
      </w:r>
      <w:r w:rsidRPr="00B900C1">
        <w:rPr>
          <w:color w:val="000000" w:themeColor="text1"/>
        </w:rPr>
        <w:fldChar w:fldCharType="separate"/>
      </w:r>
      <w:r w:rsidR="007B74B7">
        <w:rPr>
          <w:color w:val="000000" w:themeColor="text1"/>
        </w:rPr>
        <w:t>19</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BizTalk</w:t>
      </w:r>
      <w:r w:rsidRPr="00B900C1">
        <w:rPr>
          <w:rFonts w:cs="Tahoma"/>
          <w:color w:val="000000" w:themeColor="text1"/>
          <w:vertAlign w:val="superscript"/>
        </w:rPr>
        <w:t>®</w:t>
      </w:r>
      <w:r w:rsidRPr="00B900C1">
        <w:rPr>
          <w:rFonts w:cs="Tahoma"/>
          <w:color w:val="000000" w:themeColor="text1"/>
        </w:rPr>
        <w:t xml:space="preserve"> Server 2013 Branch IDC</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_Toc353375724 \h </w:instrText>
      </w:r>
      <w:r w:rsidRPr="00B900C1">
        <w:rPr>
          <w:color w:val="000000" w:themeColor="text1"/>
        </w:rPr>
      </w:r>
      <w:r w:rsidRPr="00B900C1">
        <w:rPr>
          <w:color w:val="000000" w:themeColor="text1"/>
        </w:rPr>
        <w:fldChar w:fldCharType="separate"/>
      </w:r>
      <w:r w:rsidR="007B74B7">
        <w:rPr>
          <w:color w:val="000000" w:themeColor="text1"/>
        </w:rPr>
        <w:t>19</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BizTalk</w:t>
      </w:r>
      <w:r w:rsidRPr="00B900C1">
        <w:rPr>
          <w:rFonts w:cs="Tahoma"/>
          <w:color w:val="000000" w:themeColor="text1"/>
          <w:vertAlign w:val="superscript"/>
        </w:rPr>
        <w:t>®</w:t>
      </w:r>
      <w:r w:rsidRPr="00B900C1">
        <w:rPr>
          <w:rFonts w:cs="Tahoma"/>
          <w:color w:val="000000" w:themeColor="text1"/>
        </w:rPr>
        <w:t xml:space="preserve"> Server 2013 Standard Edition</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_Toc353375725 \h </w:instrText>
      </w:r>
      <w:r w:rsidRPr="00B900C1">
        <w:rPr>
          <w:color w:val="000000" w:themeColor="text1"/>
        </w:rPr>
      </w:r>
      <w:r w:rsidRPr="00B900C1">
        <w:rPr>
          <w:color w:val="000000" w:themeColor="text1"/>
        </w:rPr>
        <w:fldChar w:fldCharType="separate"/>
      </w:r>
      <w:r w:rsidR="007B74B7">
        <w:rPr>
          <w:color w:val="000000" w:themeColor="text1"/>
        </w:rPr>
        <w:t>19</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BizTalk</w:t>
      </w:r>
      <w:r w:rsidRPr="00B900C1">
        <w:rPr>
          <w:rFonts w:cs="Tahoma"/>
          <w:color w:val="000000" w:themeColor="text1"/>
          <w:vertAlign w:val="superscript"/>
        </w:rPr>
        <w:t>®</w:t>
      </w:r>
      <w:r w:rsidRPr="00B900C1">
        <w:rPr>
          <w:rFonts w:cs="Tahoma"/>
          <w:color w:val="000000" w:themeColor="text1"/>
        </w:rPr>
        <w:t xml:space="preserve"> Server 2013 Standard Edition IDC</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_Toc353375726 \h </w:instrText>
      </w:r>
      <w:r w:rsidRPr="00B900C1">
        <w:rPr>
          <w:color w:val="000000" w:themeColor="text1"/>
        </w:rPr>
      </w:r>
      <w:r w:rsidRPr="00B900C1">
        <w:rPr>
          <w:color w:val="000000" w:themeColor="text1"/>
        </w:rPr>
        <w:fldChar w:fldCharType="separate"/>
      </w:r>
      <w:r w:rsidR="007B74B7">
        <w:rPr>
          <w:color w:val="000000" w:themeColor="text1"/>
        </w:rPr>
        <w:t>19</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Business Intelligence Appliance 2012</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_Toc353375727 \h </w:instrText>
      </w:r>
      <w:r w:rsidRPr="00B900C1">
        <w:rPr>
          <w:color w:val="000000" w:themeColor="text1"/>
        </w:rPr>
      </w:r>
      <w:r w:rsidRPr="00B900C1">
        <w:rPr>
          <w:color w:val="000000" w:themeColor="text1"/>
        </w:rPr>
        <w:fldChar w:fldCharType="separate"/>
      </w:r>
      <w:r w:rsidR="007B74B7">
        <w:rPr>
          <w:color w:val="000000" w:themeColor="text1"/>
        </w:rPr>
        <w:t>19</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Core CAL Suite Bridge per Office 365 (Utente e Dispositivo)</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_Toc353375728 \h </w:instrText>
      </w:r>
      <w:r w:rsidRPr="00B900C1">
        <w:rPr>
          <w:color w:val="000000" w:themeColor="text1"/>
        </w:rPr>
      </w:r>
      <w:r w:rsidRPr="00B900C1">
        <w:rPr>
          <w:color w:val="000000" w:themeColor="text1"/>
        </w:rPr>
        <w:fldChar w:fldCharType="separate"/>
      </w:r>
      <w:r w:rsidR="007B74B7">
        <w:rPr>
          <w:color w:val="000000" w:themeColor="text1"/>
          <w:lang w:val="it-IT"/>
        </w:rPr>
        <w:t>19</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Core CAL Suite Bridge per Office 365 e Windows</w:t>
      </w:r>
      <w:r w:rsidRPr="007B74B7">
        <w:rPr>
          <w:rFonts w:cs="Tahoma"/>
          <w:color w:val="000000" w:themeColor="text1"/>
          <w:vertAlign w:val="superscript"/>
          <w:lang w:val="it-IT"/>
        </w:rPr>
        <w:t>®</w:t>
      </w:r>
      <w:r w:rsidRPr="007B74B7">
        <w:rPr>
          <w:rFonts w:cs="Tahoma"/>
          <w:color w:val="000000" w:themeColor="text1"/>
          <w:lang w:val="it-IT"/>
        </w:rPr>
        <w:t xml:space="preserve"> Intune (Utente e Dispositivo)</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_Toc353375729 \h </w:instrText>
      </w:r>
      <w:r w:rsidRPr="00B900C1">
        <w:rPr>
          <w:color w:val="000000" w:themeColor="text1"/>
        </w:rPr>
      </w:r>
      <w:r w:rsidRPr="00B900C1">
        <w:rPr>
          <w:color w:val="000000" w:themeColor="text1"/>
        </w:rPr>
        <w:fldChar w:fldCharType="separate"/>
      </w:r>
      <w:r w:rsidR="007B74B7">
        <w:rPr>
          <w:color w:val="000000" w:themeColor="text1"/>
          <w:lang w:val="it-IT"/>
        </w:rPr>
        <w:t>19</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Core CAL Bridge per Windows</w:t>
      </w:r>
      <w:r w:rsidRPr="007B74B7">
        <w:rPr>
          <w:rFonts w:cs="Tahoma"/>
          <w:color w:val="000000" w:themeColor="text1"/>
          <w:vertAlign w:val="superscript"/>
          <w:lang w:val="it-IT"/>
        </w:rPr>
        <w:t>®</w:t>
      </w:r>
      <w:r w:rsidRPr="007B74B7">
        <w:rPr>
          <w:rFonts w:cs="Tahoma"/>
          <w:color w:val="000000" w:themeColor="text1"/>
          <w:lang w:val="it-IT"/>
        </w:rPr>
        <w:t xml:space="preserve"> Intune (Utente e Dispositivo)</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_Toc353375730 \h </w:instrText>
      </w:r>
      <w:r w:rsidRPr="00B900C1">
        <w:rPr>
          <w:color w:val="000000" w:themeColor="text1"/>
        </w:rPr>
      </w:r>
      <w:r w:rsidRPr="00B900C1">
        <w:rPr>
          <w:color w:val="000000" w:themeColor="text1"/>
        </w:rPr>
        <w:fldChar w:fldCharType="separate"/>
      </w:r>
      <w:r w:rsidR="007B74B7">
        <w:rPr>
          <w:color w:val="000000" w:themeColor="text1"/>
          <w:lang w:val="it-IT"/>
        </w:rPr>
        <w:t>19</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Core CAL Suite (Utente e Dispositivo)</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_Toc353375731 \h </w:instrText>
      </w:r>
      <w:r w:rsidRPr="00B900C1">
        <w:rPr>
          <w:color w:val="000000" w:themeColor="text1"/>
        </w:rPr>
      </w:r>
      <w:r w:rsidRPr="00B900C1">
        <w:rPr>
          <w:color w:val="000000" w:themeColor="text1"/>
        </w:rPr>
        <w:fldChar w:fldCharType="separate"/>
      </w:r>
      <w:r w:rsidR="007B74B7">
        <w:rPr>
          <w:color w:val="000000" w:themeColor="text1"/>
          <w:lang w:val="it-IT"/>
        </w:rPr>
        <w:t>19</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fr-FR"/>
        </w:rPr>
      </w:pPr>
      <w:r w:rsidRPr="007B74B7">
        <w:rPr>
          <w:rFonts w:cs="Tahoma"/>
          <w:color w:val="000000" w:themeColor="text1"/>
          <w:lang w:val="fr-FR"/>
        </w:rPr>
        <w:t>Core Infrastructure Server Suite Standard</w:t>
      </w:r>
      <w:r w:rsidRPr="007B74B7">
        <w:rPr>
          <w:color w:val="000000" w:themeColor="text1"/>
          <w:lang w:val="fr-FR"/>
        </w:rPr>
        <w:tab/>
      </w:r>
      <w:r w:rsidRPr="00B900C1">
        <w:rPr>
          <w:color w:val="000000" w:themeColor="text1"/>
        </w:rPr>
        <w:fldChar w:fldCharType="begin"/>
      </w:r>
      <w:r w:rsidRPr="007B74B7">
        <w:rPr>
          <w:color w:val="000000" w:themeColor="text1"/>
          <w:lang w:val="fr-FR"/>
        </w:rPr>
        <w:instrText xml:space="preserve"> PAGEREF _Toc353375732 \h </w:instrText>
      </w:r>
      <w:r w:rsidRPr="00B900C1">
        <w:rPr>
          <w:color w:val="000000" w:themeColor="text1"/>
        </w:rPr>
      </w:r>
      <w:r w:rsidRPr="00B900C1">
        <w:rPr>
          <w:color w:val="000000" w:themeColor="text1"/>
        </w:rPr>
        <w:fldChar w:fldCharType="separate"/>
      </w:r>
      <w:r w:rsidR="007B74B7">
        <w:rPr>
          <w:color w:val="000000" w:themeColor="text1"/>
          <w:lang w:val="fr-FR"/>
        </w:rPr>
        <w:t>19</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fr-FR"/>
        </w:rPr>
      </w:pPr>
      <w:r w:rsidRPr="007B74B7">
        <w:rPr>
          <w:rFonts w:cs="Tahoma"/>
          <w:color w:val="000000" w:themeColor="text1"/>
          <w:lang w:val="fr-FR"/>
        </w:rPr>
        <w:t>Core Infrastructure Server Suite Enterprise</w:t>
      </w:r>
      <w:r w:rsidRPr="007B74B7">
        <w:rPr>
          <w:color w:val="000000" w:themeColor="text1"/>
          <w:lang w:val="fr-FR"/>
        </w:rPr>
        <w:tab/>
      </w:r>
      <w:r w:rsidRPr="00B900C1">
        <w:rPr>
          <w:color w:val="000000" w:themeColor="text1"/>
        </w:rPr>
        <w:fldChar w:fldCharType="begin"/>
      </w:r>
      <w:r w:rsidRPr="007B74B7">
        <w:rPr>
          <w:color w:val="000000" w:themeColor="text1"/>
          <w:lang w:val="fr-FR"/>
        </w:rPr>
        <w:instrText xml:space="preserve"> PAGEREF _Toc353375733 \h </w:instrText>
      </w:r>
      <w:r w:rsidRPr="00B900C1">
        <w:rPr>
          <w:color w:val="000000" w:themeColor="text1"/>
        </w:rPr>
      </w:r>
      <w:r w:rsidRPr="00B900C1">
        <w:rPr>
          <w:color w:val="000000" w:themeColor="text1"/>
        </w:rPr>
        <w:fldChar w:fldCharType="separate"/>
      </w:r>
      <w:r w:rsidR="007B74B7">
        <w:rPr>
          <w:color w:val="000000" w:themeColor="text1"/>
          <w:lang w:val="fr-FR"/>
        </w:rPr>
        <w:t>19</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fr-FR"/>
        </w:rPr>
      </w:pPr>
      <w:r w:rsidRPr="007B74B7">
        <w:rPr>
          <w:rFonts w:cs="Tahoma"/>
          <w:color w:val="000000" w:themeColor="text1"/>
          <w:lang w:val="fr-FR"/>
        </w:rPr>
        <w:lastRenderedPageBreak/>
        <w:t>Core Infrastructure Server Suite Datacenter</w:t>
      </w:r>
      <w:r w:rsidRPr="007B74B7">
        <w:rPr>
          <w:color w:val="000000" w:themeColor="text1"/>
          <w:lang w:val="fr-FR"/>
        </w:rPr>
        <w:tab/>
      </w:r>
      <w:r w:rsidRPr="00B900C1">
        <w:rPr>
          <w:color w:val="000000" w:themeColor="text1"/>
        </w:rPr>
        <w:fldChar w:fldCharType="begin"/>
      </w:r>
      <w:r w:rsidRPr="007B74B7">
        <w:rPr>
          <w:color w:val="000000" w:themeColor="text1"/>
          <w:lang w:val="fr-FR"/>
        </w:rPr>
        <w:instrText xml:space="preserve"> PAGEREF _Toc353375734 \h </w:instrText>
      </w:r>
      <w:r w:rsidRPr="00B900C1">
        <w:rPr>
          <w:color w:val="000000" w:themeColor="text1"/>
        </w:rPr>
      </w:r>
      <w:r w:rsidRPr="00B900C1">
        <w:rPr>
          <w:color w:val="000000" w:themeColor="text1"/>
        </w:rPr>
        <w:fldChar w:fldCharType="separate"/>
      </w:r>
      <w:r w:rsidR="007B74B7">
        <w:rPr>
          <w:color w:val="000000" w:themeColor="text1"/>
          <w:lang w:val="fr-FR"/>
        </w:rPr>
        <w:t>19</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fr-FR"/>
        </w:rPr>
      </w:pPr>
      <w:r w:rsidRPr="007B74B7">
        <w:rPr>
          <w:rFonts w:cs="Tahoma"/>
          <w:color w:val="000000" w:themeColor="text1"/>
          <w:lang w:val="fr-FR"/>
        </w:rPr>
        <w:t>Duet Enterprise 2.0</w:t>
      </w:r>
      <w:r w:rsidRPr="007B74B7">
        <w:rPr>
          <w:color w:val="000000" w:themeColor="text1"/>
          <w:lang w:val="fr-FR"/>
        </w:rPr>
        <w:tab/>
      </w:r>
      <w:r w:rsidRPr="00B900C1">
        <w:rPr>
          <w:color w:val="000000" w:themeColor="text1"/>
        </w:rPr>
        <w:fldChar w:fldCharType="begin"/>
      </w:r>
      <w:r w:rsidRPr="007B74B7">
        <w:rPr>
          <w:color w:val="000000" w:themeColor="text1"/>
          <w:lang w:val="fr-FR"/>
        </w:rPr>
        <w:instrText xml:space="preserve"> PAGEREF _Toc353375735 \h </w:instrText>
      </w:r>
      <w:r w:rsidRPr="00B900C1">
        <w:rPr>
          <w:color w:val="000000" w:themeColor="text1"/>
        </w:rPr>
      </w:r>
      <w:r w:rsidRPr="00B900C1">
        <w:rPr>
          <w:color w:val="000000" w:themeColor="text1"/>
        </w:rPr>
        <w:fldChar w:fldCharType="separate"/>
      </w:r>
      <w:r w:rsidR="007B74B7">
        <w:rPr>
          <w:color w:val="000000" w:themeColor="text1"/>
          <w:lang w:val="fr-FR"/>
        </w:rPr>
        <w:t>19</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fr-FR"/>
        </w:rPr>
      </w:pPr>
      <w:r w:rsidRPr="007B74B7">
        <w:rPr>
          <w:rFonts w:cs="Tahoma"/>
          <w:color w:val="000000" w:themeColor="text1"/>
          <w:lang w:val="fr-FR"/>
        </w:rPr>
        <w:t>Dynamics CRM Online Extra Storage</w:t>
      </w:r>
      <w:r w:rsidRPr="007B74B7">
        <w:rPr>
          <w:color w:val="000000" w:themeColor="text1"/>
          <w:lang w:val="fr-FR"/>
        </w:rPr>
        <w:tab/>
      </w:r>
      <w:r w:rsidRPr="00B900C1">
        <w:rPr>
          <w:color w:val="000000" w:themeColor="text1"/>
        </w:rPr>
        <w:fldChar w:fldCharType="begin"/>
      </w:r>
      <w:r w:rsidRPr="007B74B7">
        <w:rPr>
          <w:color w:val="000000" w:themeColor="text1"/>
          <w:lang w:val="fr-FR"/>
        </w:rPr>
        <w:instrText xml:space="preserve"> PAGEREF _Toc353375736 \h </w:instrText>
      </w:r>
      <w:r w:rsidRPr="00B900C1">
        <w:rPr>
          <w:color w:val="000000" w:themeColor="text1"/>
        </w:rPr>
      </w:r>
      <w:r w:rsidRPr="00B900C1">
        <w:rPr>
          <w:color w:val="000000" w:themeColor="text1"/>
        </w:rPr>
        <w:fldChar w:fldCharType="separate"/>
      </w:r>
      <w:r w:rsidR="007B74B7">
        <w:rPr>
          <w:color w:val="000000" w:themeColor="text1"/>
          <w:lang w:val="fr-FR"/>
        </w:rPr>
        <w:t>19</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fr-FR"/>
        </w:rPr>
      </w:pPr>
      <w:r w:rsidRPr="007B74B7">
        <w:rPr>
          <w:rFonts w:cs="Tahoma"/>
          <w:color w:val="000000" w:themeColor="text1"/>
          <w:lang w:val="fr-FR"/>
        </w:rPr>
        <w:t>Dynamics CRM Online Per Utente</w:t>
      </w:r>
      <w:r w:rsidRPr="007B74B7">
        <w:rPr>
          <w:color w:val="000000" w:themeColor="text1"/>
          <w:lang w:val="fr-FR"/>
        </w:rPr>
        <w:tab/>
      </w:r>
      <w:r w:rsidRPr="00B900C1">
        <w:rPr>
          <w:color w:val="000000" w:themeColor="text1"/>
        </w:rPr>
        <w:fldChar w:fldCharType="begin"/>
      </w:r>
      <w:r w:rsidRPr="007B74B7">
        <w:rPr>
          <w:color w:val="000000" w:themeColor="text1"/>
          <w:lang w:val="fr-FR"/>
        </w:rPr>
        <w:instrText xml:space="preserve"> PAGEREF _Toc353375737 \h </w:instrText>
      </w:r>
      <w:r w:rsidRPr="00B900C1">
        <w:rPr>
          <w:color w:val="000000" w:themeColor="text1"/>
        </w:rPr>
      </w:r>
      <w:r w:rsidRPr="00B900C1">
        <w:rPr>
          <w:color w:val="000000" w:themeColor="text1"/>
        </w:rPr>
        <w:fldChar w:fldCharType="separate"/>
      </w:r>
      <w:r w:rsidR="007B74B7">
        <w:rPr>
          <w:color w:val="000000" w:themeColor="text1"/>
          <w:lang w:val="fr-FR"/>
        </w:rPr>
        <w:t>20</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Dynamics CRM Online per SA</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_Toc353375738 \h </w:instrText>
      </w:r>
      <w:r w:rsidRPr="00B900C1">
        <w:rPr>
          <w:color w:val="000000" w:themeColor="text1"/>
        </w:rPr>
      </w:r>
      <w:r w:rsidRPr="00B900C1">
        <w:rPr>
          <w:color w:val="000000" w:themeColor="text1"/>
        </w:rPr>
        <w:fldChar w:fldCharType="separate"/>
      </w:r>
      <w:r w:rsidR="007B74B7">
        <w:rPr>
          <w:color w:val="000000" w:themeColor="text1"/>
          <w:lang w:val="it-IT"/>
        </w:rPr>
        <w:t>20</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Enterprise CAL Suite Bridge per Office 365 (Utente e Dispositivo)</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_Toc353375739 \h </w:instrText>
      </w:r>
      <w:r w:rsidRPr="00B900C1">
        <w:rPr>
          <w:color w:val="000000" w:themeColor="text1"/>
        </w:rPr>
      </w:r>
      <w:r w:rsidRPr="00B900C1">
        <w:rPr>
          <w:color w:val="000000" w:themeColor="text1"/>
        </w:rPr>
        <w:fldChar w:fldCharType="separate"/>
      </w:r>
      <w:r w:rsidR="007B74B7">
        <w:rPr>
          <w:color w:val="000000" w:themeColor="text1"/>
          <w:lang w:val="it-IT"/>
        </w:rPr>
        <w:t>20</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Enterprise CAL Suite Bridge per Office 365 e Windows</w:t>
      </w:r>
      <w:r w:rsidRPr="007B74B7">
        <w:rPr>
          <w:rFonts w:cs="Tahoma"/>
          <w:color w:val="000000" w:themeColor="text1"/>
          <w:vertAlign w:val="superscript"/>
          <w:lang w:val="it-IT"/>
        </w:rPr>
        <w:t>®</w:t>
      </w:r>
      <w:r w:rsidRPr="007B74B7">
        <w:rPr>
          <w:rFonts w:cs="Tahoma"/>
          <w:color w:val="000000" w:themeColor="text1"/>
          <w:lang w:val="it-IT"/>
        </w:rPr>
        <w:t xml:space="preserve"> Intune (Utente e Dispositivo)</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_Toc353375740 \h </w:instrText>
      </w:r>
      <w:r w:rsidRPr="00B900C1">
        <w:rPr>
          <w:color w:val="000000" w:themeColor="text1"/>
        </w:rPr>
      </w:r>
      <w:r w:rsidRPr="00B900C1">
        <w:rPr>
          <w:color w:val="000000" w:themeColor="text1"/>
        </w:rPr>
        <w:fldChar w:fldCharType="separate"/>
      </w:r>
      <w:r w:rsidR="007B74B7">
        <w:rPr>
          <w:color w:val="000000" w:themeColor="text1"/>
          <w:lang w:val="it-IT"/>
        </w:rPr>
        <w:t>20</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Enterprise CAL Suite Bridge per Windows</w:t>
      </w:r>
      <w:r w:rsidRPr="007B74B7">
        <w:rPr>
          <w:rFonts w:cs="Tahoma"/>
          <w:color w:val="000000" w:themeColor="text1"/>
          <w:vertAlign w:val="superscript"/>
          <w:lang w:val="it-IT"/>
        </w:rPr>
        <w:t>®</w:t>
      </w:r>
      <w:r w:rsidRPr="007B74B7">
        <w:rPr>
          <w:rFonts w:cs="Tahoma"/>
          <w:color w:val="000000" w:themeColor="text1"/>
          <w:lang w:val="it-IT"/>
        </w:rPr>
        <w:t xml:space="preserve"> Intune (Utente e Dispositivo)</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_Toc353375741 \h </w:instrText>
      </w:r>
      <w:r w:rsidRPr="00B900C1">
        <w:rPr>
          <w:color w:val="000000" w:themeColor="text1"/>
        </w:rPr>
      </w:r>
      <w:r w:rsidRPr="00B900C1">
        <w:rPr>
          <w:color w:val="000000" w:themeColor="text1"/>
        </w:rPr>
        <w:fldChar w:fldCharType="separate"/>
      </w:r>
      <w:r w:rsidR="007B74B7">
        <w:rPr>
          <w:color w:val="000000" w:themeColor="text1"/>
          <w:lang w:val="it-IT"/>
        </w:rPr>
        <w:t>20</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Enterprise CAL Suite (Utente e Dispositivo)</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_Toc353375742 \h </w:instrText>
      </w:r>
      <w:r w:rsidRPr="00B900C1">
        <w:rPr>
          <w:color w:val="000000" w:themeColor="text1"/>
        </w:rPr>
      </w:r>
      <w:r w:rsidRPr="00B900C1">
        <w:rPr>
          <w:color w:val="000000" w:themeColor="text1"/>
        </w:rPr>
        <w:fldChar w:fldCharType="separate"/>
      </w:r>
      <w:r w:rsidR="007B74B7">
        <w:rPr>
          <w:color w:val="000000" w:themeColor="text1"/>
          <w:lang w:val="it-IT"/>
        </w:rPr>
        <w:t>20</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Enterprise CAL per Exchange 2013 con Servizi</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_Toc353375743 \h </w:instrText>
      </w:r>
      <w:r w:rsidRPr="00B900C1">
        <w:rPr>
          <w:color w:val="000000" w:themeColor="text1"/>
        </w:rPr>
      </w:r>
      <w:r w:rsidRPr="00B900C1">
        <w:rPr>
          <w:color w:val="000000" w:themeColor="text1"/>
        </w:rPr>
        <w:fldChar w:fldCharType="separate"/>
      </w:r>
      <w:r w:rsidR="007B74B7">
        <w:rPr>
          <w:color w:val="000000" w:themeColor="text1"/>
          <w:lang w:val="it-IT"/>
        </w:rPr>
        <w:t>20</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Enterprise CAL per Exchange 2013 senza Servizi</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_Toc353375744 \h </w:instrText>
      </w:r>
      <w:r w:rsidRPr="00B900C1">
        <w:rPr>
          <w:color w:val="000000" w:themeColor="text1"/>
        </w:rPr>
      </w:r>
      <w:r w:rsidRPr="00B900C1">
        <w:rPr>
          <w:color w:val="000000" w:themeColor="text1"/>
        </w:rPr>
        <w:fldChar w:fldCharType="separate"/>
      </w:r>
      <w:r w:rsidR="007B74B7">
        <w:rPr>
          <w:color w:val="000000" w:themeColor="text1"/>
          <w:lang w:val="it-IT"/>
        </w:rPr>
        <w:t>20</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Archiviazione Exchange Online per Exchange Server A (SL per Utente)</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_Toc353375745 \h </w:instrText>
      </w:r>
      <w:r w:rsidRPr="00B900C1">
        <w:rPr>
          <w:color w:val="000000" w:themeColor="text1"/>
        </w:rPr>
      </w:r>
      <w:r w:rsidRPr="00B900C1">
        <w:rPr>
          <w:color w:val="000000" w:themeColor="text1"/>
        </w:rPr>
        <w:fldChar w:fldCharType="separate"/>
      </w:r>
      <w:r w:rsidR="007B74B7">
        <w:rPr>
          <w:color w:val="000000" w:themeColor="text1"/>
          <w:lang w:val="it-IT"/>
        </w:rPr>
        <w:t>20</w:t>
      </w:r>
      <w:r w:rsidRPr="00B900C1">
        <w:rPr>
          <w:color w:val="000000" w:themeColor="text1"/>
        </w:rPr>
        <w:fldChar w:fldCharType="end"/>
      </w:r>
    </w:p>
    <w:p w:rsidR="00BD7CEA" w:rsidRPr="007B74B7" w:rsidRDefault="00BD7CEA" w:rsidP="00B900C1">
      <w:pPr>
        <w:pStyle w:val="TOC3"/>
        <w:rPr>
          <w:rFonts w:asciiTheme="minorHAnsi" w:eastAsiaTheme="minorEastAsia" w:hAnsiTheme="minorHAnsi" w:cstheme="minorBidi"/>
          <w:color w:val="000000" w:themeColor="text1"/>
          <w:sz w:val="22"/>
          <w:szCs w:val="22"/>
          <w:lang w:val="it-IT"/>
        </w:rPr>
      </w:pPr>
      <w:r w:rsidRPr="007B74B7">
        <w:rPr>
          <w:color w:val="000000" w:themeColor="text1"/>
          <w:lang w:val="it-IT"/>
        </w:rPr>
        <w:t>Archiviazione Exchange Online per Exchange Server A (SL per Utente)</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_Toc353375746 \h </w:instrText>
      </w:r>
      <w:r w:rsidRPr="00B900C1">
        <w:rPr>
          <w:color w:val="000000" w:themeColor="text1"/>
        </w:rPr>
      </w:r>
      <w:r w:rsidRPr="00B900C1">
        <w:rPr>
          <w:color w:val="000000" w:themeColor="text1"/>
        </w:rPr>
        <w:fldChar w:fldCharType="separate"/>
      </w:r>
      <w:r w:rsidR="007B74B7">
        <w:rPr>
          <w:color w:val="000000" w:themeColor="text1"/>
          <w:lang w:val="it-IT"/>
        </w:rPr>
        <w:t>20</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Exchange Hosted Archive (SL per Utente)</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_Toc353375747 \h </w:instrText>
      </w:r>
      <w:r w:rsidRPr="00B900C1">
        <w:rPr>
          <w:color w:val="000000" w:themeColor="text1"/>
        </w:rPr>
      </w:r>
      <w:r w:rsidRPr="00B900C1">
        <w:rPr>
          <w:color w:val="000000" w:themeColor="text1"/>
        </w:rPr>
        <w:fldChar w:fldCharType="separate"/>
      </w:r>
      <w:r w:rsidR="007B74B7">
        <w:rPr>
          <w:color w:val="000000" w:themeColor="text1"/>
          <w:lang w:val="it-IT"/>
        </w:rPr>
        <w:t>20</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Exchange Hosted Archive Extra Storage (SL per Utente)</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_Toc353375748 \h </w:instrText>
      </w:r>
      <w:r w:rsidRPr="00B900C1">
        <w:rPr>
          <w:color w:val="000000" w:themeColor="text1"/>
        </w:rPr>
      </w:r>
      <w:r w:rsidRPr="00B900C1">
        <w:rPr>
          <w:color w:val="000000" w:themeColor="text1"/>
        </w:rPr>
        <w:fldChar w:fldCharType="separate"/>
      </w:r>
      <w:r w:rsidR="007B74B7">
        <w:rPr>
          <w:color w:val="000000" w:themeColor="text1"/>
          <w:lang w:val="it-IT"/>
        </w:rPr>
        <w:t>20</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Exchange Hosted Encryption</w:t>
      </w:r>
      <w:r w:rsidR="007E508E" w:rsidRPr="007B74B7">
        <w:rPr>
          <w:rFonts w:cs="Tahoma"/>
          <w:color w:val="000000" w:themeColor="text1"/>
          <w:lang w:val="it-IT"/>
        </w:rPr>
        <w:t xml:space="preserve"> </w:t>
      </w:r>
      <w:r w:rsidRPr="007B74B7">
        <w:rPr>
          <w:rFonts w:cs="Tahoma"/>
          <w:color w:val="000000" w:themeColor="text1"/>
          <w:lang w:val="it-IT"/>
        </w:rPr>
        <w:t>(SL per Utente)</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_Toc353375749 \h </w:instrText>
      </w:r>
      <w:r w:rsidRPr="00B900C1">
        <w:rPr>
          <w:color w:val="000000" w:themeColor="text1"/>
        </w:rPr>
      </w:r>
      <w:r w:rsidRPr="00B900C1">
        <w:rPr>
          <w:color w:val="000000" w:themeColor="text1"/>
        </w:rPr>
        <w:fldChar w:fldCharType="separate"/>
      </w:r>
      <w:r w:rsidR="007B74B7">
        <w:rPr>
          <w:color w:val="000000" w:themeColor="text1"/>
          <w:lang w:val="it-IT"/>
        </w:rPr>
        <w:t>20</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Archiviazione Exchange Online per Exchange Online A</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_Toc353375750 \h </w:instrText>
      </w:r>
      <w:r w:rsidRPr="00B900C1">
        <w:rPr>
          <w:color w:val="000000" w:themeColor="text1"/>
        </w:rPr>
      </w:r>
      <w:r w:rsidRPr="00B900C1">
        <w:rPr>
          <w:color w:val="000000" w:themeColor="text1"/>
        </w:rPr>
        <w:fldChar w:fldCharType="separate"/>
      </w:r>
      <w:r w:rsidR="007B74B7">
        <w:rPr>
          <w:color w:val="000000" w:themeColor="text1"/>
          <w:lang w:val="it-IT"/>
        </w:rPr>
        <w:t>20</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Archiviazione Exchange Online per Exchange Online</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_Toc353375751 \h </w:instrText>
      </w:r>
      <w:r w:rsidRPr="00B900C1">
        <w:rPr>
          <w:color w:val="000000" w:themeColor="text1"/>
        </w:rPr>
      </w:r>
      <w:r w:rsidRPr="00B900C1">
        <w:rPr>
          <w:color w:val="000000" w:themeColor="text1"/>
        </w:rPr>
        <w:fldChar w:fldCharType="separate"/>
      </w:r>
      <w:r w:rsidR="007B74B7">
        <w:rPr>
          <w:color w:val="000000" w:themeColor="text1"/>
          <w:lang w:val="it-IT"/>
        </w:rPr>
        <w:t>20</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Chiosco Exchange Online (SL per Utente)</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_Toc353375752 \h </w:instrText>
      </w:r>
      <w:r w:rsidRPr="00B900C1">
        <w:rPr>
          <w:color w:val="000000" w:themeColor="text1"/>
        </w:rPr>
      </w:r>
      <w:r w:rsidRPr="00B900C1">
        <w:rPr>
          <w:color w:val="000000" w:themeColor="text1"/>
        </w:rPr>
        <w:fldChar w:fldCharType="separate"/>
      </w:r>
      <w:r w:rsidR="007B74B7">
        <w:rPr>
          <w:color w:val="000000" w:themeColor="text1"/>
          <w:lang w:val="it-IT"/>
        </w:rPr>
        <w:t>20</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Exchange Online Piano 1 (SL per Utente)</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_Toc353375753 \h </w:instrText>
      </w:r>
      <w:r w:rsidRPr="00B900C1">
        <w:rPr>
          <w:color w:val="000000" w:themeColor="text1"/>
        </w:rPr>
      </w:r>
      <w:r w:rsidRPr="00B900C1">
        <w:rPr>
          <w:color w:val="000000" w:themeColor="text1"/>
        </w:rPr>
        <w:fldChar w:fldCharType="separate"/>
      </w:r>
      <w:r w:rsidR="007B74B7">
        <w:rPr>
          <w:color w:val="000000" w:themeColor="text1"/>
          <w:lang w:val="it-IT"/>
        </w:rPr>
        <w:t>20</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Exchange Online Piano 2 (SL per Utente)</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_Toc353375754 \h </w:instrText>
      </w:r>
      <w:r w:rsidRPr="00B900C1">
        <w:rPr>
          <w:color w:val="000000" w:themeColor="text1"/>
        </w:rPr>
      </w:r>
      <w:r w:rsidRPr="00B900C1">
        <w:rPr>
          <w:color w:val="000000" w:themeColor="text1"/>
        </w:rPr>
        <w:fldChar w:fldCharType="separate"/>
      </w:r>
      <w:r w:rsidR="007B74B7">
        <w:rPr>
          <w:color w:val="000000" w:themeColor="text1"/>
          <w:lang w:val="it-IT"/>
        </w:rPr>
        <w:t>20</w:t>
      </w:r>
      <w:r w:rsidRPr="00B900C1">
        <w:rPr>
          <w:color w:val="000000" w:themeColor="text1"/>
        </w:rPr>
        <w:fldChar w:fldCharType="end"/>
      </w:r>
    </w:p>
    <w:p w:rsidR="00BD7CEA" w:rsidRPr="007B74B7" w:rsidRDefault="00BD7CEA" w:rsidP="00B900C1">
      <w:pPr>
        <w:pStyle w:val="TOC3"/>
        <w:rPr>
          <w:rFonts w:asciiTheme="minorHAnsi" w:eastAsiaTheme="minorEastAsia" w:hAnsiTheme="minorHAnsi" w:cstheme="minorBidi"/>
          <w:color w:val="000000" w:themeColor="text1"/>
          <w:sz w:val="22"/>
          <w:szCs w:val="22"/>
          <w:lang w:val="it-IT"/>
        </w:rPr>
      </w:pPr>
      <w:r w:rsidRPr="007B74B7">
        <w:rPr>
          <w:color w:val="000000" w:themeColor="text1"/>
          <w:lang w:val="it-IT"/>
        </w:rPr>
        <w:t>Exchange Online Piano 1A per Ex Allievi (SL per Utente)</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_Toc353375755 \h </w:instrText>
      </w:r>
      <w:r w:rsidRPr="00B900C1">
        <w:rPr>
          <w:color w:val="000000" w:themeColor="text1"/>
        </w:rPr>
      </w:r>
      <w:r w:rsidRPr="00B900C1">
        <w:rPr>
          <w:color w:val="000000" w:themeColor="text1"/>
        </w:rPr>
        <w:fldChar w:fldCharType="separate"/>
      </w:r>
      <w:r w:rsidR="007B74B7">
        <w:rPr>
          <w:color w:val="000000" w:themeColor="text1"/>
          <w:lang w:val="it-IT"/>
        </w:rPr>
        <w:t>20</w:t>
      </w:r>
      <w:r w:rsidRPr="00B900C1">
        <w:rPr>
          <w:color w:val="000000" w:themeColor="text1"/>
        </w:rPr>
        <w:fldChar w:fldCharType="end"/>
      </w:r>
    </w:p>
    <w:p w:rsidR="00BD7CEA" w:rsidRPr="007B74B7" w:rsidRDefault="00BD7CEA" w:rsidP="00B900C1">
      <w:pPr>
        <w:pStyle w:val="TOC3"/>
        <w:rPr>
          <w:rFonts w:asciiTheme="minorHAnsi" w:eastAsiaTheme="minorEastAsia" w:hAnsiTheme="minorHAnsi" w:cstheme="minorBidi"/>
          <w:color w:val="000000" w:themeColor="text1"/>
          <w:sz w:val="22"/>
          <w:szCs w:val="22"/>
          <w:lang w:val="it-IT"/>
        </w:rPr>
      </w:pPr>
      <w:r w:rsidRPr="007B74B7">
        <w:rPr>
          <w:color w:val="000000" w:themeColor="text1"/>
          <w:lang w:val="it-IT"/>
        </w:rPr>
        <w:t>Exchange Online Piano 2A (SL per Utente)</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_Toc353375756 \h </w:instrText>
      </w:r>
      <w:r w:rsidRPr="00B900C1">
        <w:rPr>
          <w:color w:val="000000" w:themeColor="text1"/>
        </w:rPr>
      </w:r>
      <w:r w:rsidRPr="00B900C1">
        <w:rPr>
          <w:color w:val="000000" w:themeColor="text1"/>
        </w:rPr>
        <w:fldChar w:fldCharType="separate"/>
      </w:r>
      <w:r w:rsidR="007B74B7">
        <w:rPr>
          <w:color w:val="000000" w:themeColor="text1"/>
          <w:lang w:val="it-IT"/>
        </w:rPr>
        <w:t>20</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fr-FR"/>
        </w:rPr>
      </w:pPr>
      <w:r w:rsidRPr="007B74B7">
        <w:rPr>
          <w:rFonts w:cs="Tahoma"/>
          <w:color w:val="000000" w:themeColor="text1"/>
          <w:lang w:val="fr-FR"/>
        </w:rPr>
        <w:t>Exchange Online Protection</w:t>
      </w:r>
      <w:r w:rsidR="007E508E" w:rsidRPr="007B74B7">
        <w:rPr>
          <w:rFonts w:cs="Tahoma"/>
          <w:color w:val="000000" w:themeColor="text1"/>
          <w:lang w:val="fr-FR"/>
        </w:rPr>
        <w:t xml:space="preserve"> </w:t>
      </w:r>
      <w:r w:rsidRPr="007B74B7">
        <w:rPr>
          <w:rFonts w:cs="Tahoma"/>
          <w:color w:val="000000" w:themeColor="text1"/>
          <w:lang w:val="fr-FR"/>
        </w:rPr>
        <w:t>(SL per Utente)</w:t>
      </w:r>
      <w:r w:rsidRPr="007B74B7">
        <w:rPr>
          <w:color w:val="000000" w:themeColor="text1"/>
          <w:lang w:val="fr-FR"/>
        </w:rPr>
        <w:tab/>
      </w:r>
      <w:r w:rsidRPr="00B900C1">
        <w:rPr>
          <w:color w:val="000000" w:themeColor="text1"/>
        </w:rPr>
        <w:fldChar w:fldCharType="begin"/>
      </w:r>
      <w:r w:rsidRPr="007B74B7">
        <w:rPr>
          <w:color w:val="000000" w:themeColor="text1"/>
          <w:lang w:val="fr-FR"/>
        </w:rPr>
        <w:instrText xml:space="preserve"> PAGEREF _Toc353375757 \h </w:instrText>
      </w:r>
      <w:r w:rsidRPr="00B900C1">
        <w:rPr>
          <w:color w:val="000000" w:themeColor="text1"/>
        </w:rPr>
      </w:r>
      <w:r w:rsidRPr="00B900C1">
        <w:rPr>
          <w:color w:val="000000" w:themeColor="text1"/>
        </w:rPr>
        <w:fldChar w:fldCharType="separate"/>
      </w:r>
      <w:r w:rsidR="007B74B7">
        <w:rPr>
          <w:color w:val="000000" w:themeColor="text1"/>
          <w:lang w:val="fr-FR"/>
        </w:rPr>
        <w:t>20</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fr-FR"/>
        </w:rPr>
      </w:pPr>
      <w:r w:rsidRPr="007B74B7">
        <w:rPr>
          <w:rFonts w:cs="Tahoma"/>
          <w:color w:val="000000" w:themeColor="text1"/>
          <w:lang w:val="fr-FR"/>
        </w:rPr>
        <w:t>Exchange Server Enterprise 2013</w:t>
      </w:r>
      <w:r w:rsidRPr="007B74B7">
        <w:rPr>
          <w:color w:val="000000" w:themeColor="text1"/>
          <w:lang w:val="fr-FR"/>
        </w:rPr>
        <w:tab/>
      </w:r>
      <w:r w:rsidRPr="00B900C1">
        <w:rPr>
          <w:color w:val="000000" w:themeColor="text1"/>
        </w:rPr>
        <w:fldChar w:fldCharType="begin"/>
      </w:r>
      <w:r w:rsidRPr="007B74B7">
        <w:rPr>
          <w:color w:val="000000" w:themeColor="text1"/>
          <w:lang w:val="fr-FR"/>
        </w:rPr>
        <w:instrText xml:space="preserve"> PAGEREF _Toc353375758 \h </w:instrText>
      </w:r>
      <w:r w:rsidRPr="00B900C1">
        <w:rPr>
          <w:color w:val="000000" w:themeColor="text1"/>
        </w:rPr>
      </w:r>
      <w:r w:rsidRPr="00B900C1">
        <w:rPr>
          <w:color w:val="000000" w:themeColor="text1"/>
        </w:rPr>
        <w:fldChar w:fldCharType="separate"/>
      </w:r>
      <w:r w:rsidR="007B74B7">
        <w:rPr>
          <w:color w:val="000000" w:themeColor="text1"/>
          <w:lang w:val="fr-FR"/>
        </w:rPr>
        <w:t>20</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Exchange Server Standard 2013</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_Toc353375759 \h </w:instrText>
      </w:r>
      <w:r w:rsidRPr="00B900C1">
        <w:rPr>
          <w:color w:val="000000" w:themeColor="text1"/>
        </w:rPr>
      </w:r>
      <w:r w:rsidRPr="00B900C1">
        <w:rPr>
          <w:color w:val="000000" w:themeColor="text1"/>
        </w:rPr>
        <w:fldChar w:fldCharType="separate"/>
      </w:r>
      <w:r w:rsidR="007B74B7">
        <w:rPr>
          <w:color w:val="000000" w:themeColor="text1"/>
        </w:rPr>
        <w:t>20</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Exchange Server 2007 Standard for Small Business</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_Toc353375760 \h </w:instrText>
      </w:r>
      <w:r w:rsidRPr="00B900C1">
        <w:rPr>
          <w:color w:val="000000" w:themeColor="text1"/>
        </w:rPr>
      </w:r>
      <w:r w:rsidRPr="00B900C1">
        <w:rPr>
          <w:color w:val="000000" w:themeColor="text1"/>
        </w:rPr>
        <w:fldChar w:fldCharType="separate"/>
      </w:r>
      <w:r w:rsidR="007B74B7">
        <w:rPr>
          <w:color w:val="000000" w:themeColor="text1"/>
        </w:rPr>
        <w:t>20</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CAL per Exchange Server 2007 Standard for Small Business</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_Toc353375761 \h </w:instrText>
      </w:r>
      <w:r w:rsidRPr="00B900C1">
        <w:rPr>
          <w:color w:val="000000" w:themeColor="text1"/>
        </w:rPr>
      </w:r>
      <w:r w:rsidRPr="00B900C1">
        <w:rPr>
          <w:color w:val="000000" w:themeColor="text1"/>
        </w:rPr>
        <w:fldChar w:fldCharType="separate"/>
      </w:r>
      <w:r w:rsidR="007B74B7">
        <w:rPr>
          <w:color w:val="000000" w:themeColor="text1"/>
        </w:rPr>
        <w:t>20</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fr-FR"/>
        </w:rPr>
      </w:pPr>
      <w:r w:rsidRPr="007B74B7">
        <w:rPr>
          <w:rFonts w:cs="Tahoma"/>
          <w:color w:val="000000" w:themeColor="text1"/>
          <w:lang w:val="fr-FR"/>
        </w:rPr>
        <w:t>Exchange Server 2010 Standard CAL (Dispositivo e Utente)</w:t>
      </w:r>
      <w:r w:rsidRPr="007B74B7">
        <w:rPr>
          <w:color w:val="000000" w:themeColor="text1"/>
          <w:lang w:val="fr-FR"/>
        </w:rPr>
        <w:tab/>
      </w:r>
      <w:r w:rsidRPr="00B900C1">
        <w:rPr>
          <w:color w:val="000000" w:themeColor="text1"/>
        </w:rPr>
        <w:fldChar w:fldCharType="begin"/>
      </w:r>
      <w:r w:rsidRPr="007B74B7">
        <w:rPr>
          <w:color w:val="000000" w:themeColor="text1"/>
          <w:lang w:val="fr-FR"/>
        </w:rPr>
        <w:instrText xml:space="preserve"> PAGEREF _Toc353375762 \h </w:instrText>
      </w:r>
      <w:r w:rsidRPr="00B900C1">
        <w:rPr>
          <w:color w:val="000000" w:themeColor="text1"/>
        </w:rPr>
      </w:r>
      <w:r w:rsidRPr="00B900C1">
        <w:rPr>
          <w:color w:val="000000" w:themeColor="text1"/>
        </w:rPr>
        <w:fldChar w:fldCharType="separate"/>
      </w:r>
      <w:r w:rsidR="007B74B7">
        <w:rPr>
          <w:color w:val="000000" w:themeColor="text1"/>
          <w:lang w:val="fr-FR"/>
        </w:rPr>
        <w:t>20</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fr-FR"/>
        </w:rPr>
      </w:pPr>
      <w:r w:rsidRPr="007B74B7">
        <w:rPr>
          <w:rFonts w:cs="Tahoma"/>
          <w:color w:val="000000" w:themeColor="text1"/>
          <w:lang w:val="fr-FR"/>
        </w:rPr>
        <w:t>Forefront Endpoint Protection</w:t>
      </w:r>
      <w:r w:rsidRPr="007B74B7">
        <w:rPr>
          <w:color w:val="000000" w:themeColor="text1"/>
          <w:lang w:val="fr-FR"/>
        </w:rPr>
        <w:tab/>
      </w:r>
      <w:r w:rsidRPr="00B900C1">
        <w:rPr>
          <w:color w:val="000000" w:themeColor="text1"/>
        </w:rPr>
        <w:fldChar w:fldCharType="begin"/>
      </w:r>
      <w:r w:rsidRPr="007B74B7">
        <w:rPr>
          <w:color w:val="000000" w:themeColor="text1"/>
          <w:lang w:val="fr-FR"/>
        </w:rPr>
        <w:instrText xml:space="preserve"> PAGEREF _Toc353375763 \h </w:instrText>
      </w:r>
      <w:r w:rsidRPr="00B900C1">
        <w:rPr>
          <w:color w:val="000000" w:themeColor="text1"/>
        </w:rPr>
      </w:r>
      <w:r w:rsidRPr="00B900C1">
        <w:rPr>
          <w:color w:val="000000" w:themeColor="text1"/>
        </w:rPr>
        <w:fldChar w:fldCharType="separate"/>
      </w:r>
      <w:r w:rsidR="007B74B7">
        <w:rPr>
          <w:color w:val="000000" w:themeColor="text1"/>
          <w:lang w:val="fr-FR"/>
        </w:rPr>
        <w:t>20</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CAL per Forefront Identity Manager 2010 R2 (solo Utente)</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_Toc353375764 \h </w:instrText>
      </w:r>
      <w:r w:rsidRPr="00B900C1">
        <w:rPr>
          <w:color w:val="000000" w:themeColor="text1"/>
        </w:rPr>
      </w:r>
      <w:r w:rsidRPr="00B900C1">
        <w:rPr>
          <w:color w:val="000000" w:themeColor="text1"/>
        </w:rPr>
        <w:fldChar w:fldCharType="separate"/>
      </w:r>
      <w:r w:rsidR="007B74B7">
        <w:rPr>
          <w:color w:val="000000" w:themeColor="text1"/>
          <w:lang w:val="it-IT"/>
        </w:rPr>
        <w:t>20</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External Connector per Forefront Identity Manager 2010 R2</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_Toc353375765 \h </w:instrText>
      </w:r>
      <w:r w:rsidRPr="00B900C1">
        <w:rPr>
          <w:color w:val="000000" w:themeColor="text1"/>
        </w:rPr>
      </w:r>
      <w:r w:rsidRPr="00B900C1">
        <w:rPr>
          <w:color w:val="000000" w:themeColor="text1"/>
        </w:rPr>
        <w:fldChar w:fldCharType="separate"/>
      </w:r>
      <w:r w:rsidR="007B74B7">
        <w:rPr>
          <w:color w:val="000000" w:themeColor="text1"/>
        </w:rPr>
        <w:t>20</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Forefront Identity Manager 2010 R2 Server</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_Toc353375766 \h </w:instrText>
      </w:r>
      <w:r w:rsidRPr="00B900C1">
        <w:rPr>
          <w:color w:val="000000" w:themeColor="text1"/>
        </w:rPr>
      </w:r>
      <w:r w:rsidRPr="00B900C1">
        <w:rPr>
          <w:color w:val="000000" w:themeColor="text1"/>
        </w:rPr>
        <w:fldChar w:fldCharType="separate"/>
      </w:r>
      <w:r w:rsidR="007B74B7">
        <w:rPr>
          <w:color w:val="000000" w:themeColor="text1"/>
        </w:rPr>
        <w:t>20</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Forefront Identity Manager 2010 R2</w:t>
      </w:r>
      <w:r w:rsidR="00FD7C0D">
        <w:rPr>
          <w:rFonts w:cs="Tahoma"/>
          <w:color w:val="000000" w:themeColor="text1"/>
        </w:rPr>
        <w:t xml:space="preserve"> – </w:t>
      </w:r>
      <w:r w:rsidRPr="00B900C1">
        <w:rPr>
          <w:rFonts w:cs="Tahoma"/>
          <w:color w:val="000000" w:themeColor="text1"/>
        </w:rPr>
        <w:t>Windows Live Edition</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_Toc353375767 \h </w:instrText>
      </w:r>
      <w:r w:rsidRPr="00B900C1">
        <w:rPr>
          <w:color w:val="000000" w:themeColor="text1"/>
        </w:rPr>
      </w:r>
      <w:r w:rsidRPr="00B900C1">
        <w:rPr>
          <w:color w:val="000000" w:themeColor="text1"/>
        </w:rPr>
        <w:fldChar w:fldCharType="separate"/>
      </w:r>
      <w:r w:rsidR="007B74B7">
        <w:rPr>
          <w:color w:val="000000" w:themeColor="text1"/>
        </w:rPr>
        <w:t>20</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Forefront Protection 2010 for Exchange Server (SL per Dispositivo e Utente)</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_Toc353375768 \h </w:instrText>
      </w:r>
      <w:r w:rsidRPr="00B900C1">
        <w:rPr>
          <w:color w:val="000000" w:themeColor="text1"/>
        </w:rPr>
      </w:r>
      <w:r w:rsidRPr="00B900C1">
        <w:rPr>
          <w:color w:val="000000" w:themeColor="text1"/>
        </w:rPr>
        <w:fldChar w:fldCharType="separate"/>
      </w:r>
      <w:r w:rsidR="007B74B7">
        <w:rPr>
          <w:color w:val="000000" w:themeColor="text1"/>
        </w:rPr>
        <w:t>21</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Forefront Protection Suite (SL per Dispositivo e Utente)</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_Toc353375769 \h </w:instrText>
      </w:r>
      <w:r w:rsidRPr="00B900C1">
        <w:rPr>
          <w:color w:val="000000" w:themeColor="text1"/>
        </w:rPr>
      </w:r>
      <w:r w:rsidRPr="00B900C1">
        <w:rPr>
          <w:color w:val="000000" w:themeColor="text1"/>
        </w:rPr>
        <w:fldChar w:fldCharType="separate"/>
      </w:r>
      <w:r w:rsidR="007B74B7">
        <w:rPr>
          <w:color w:val="000000" w:themeColor="text1"/>
        </w:rPr>
        <w:t>21</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Forefront Security for Office Communications Server (SL per Dispositivo e Utente)</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_Toc353375770 \h </w:instrText>
      </w:r>
      <w:r w:rsidRPr="00B900C1">
        <w:rPr>
          <w:color w:val="000000" w:themeColor="text1"/>
        </w:rPr>
      </w:r>
      <w:r w:rsidRPr="00B900C1">
        <w:rPr>
          <w:color w:val="000000" w:themeColor="text1"/>
        </w:rPr>
        <w:fldChar w:fldCharType="separate"/>
      </w:r>
      <w:r w:rsidR="007B74B7">
        <w:rPr>
          <w:color w:val="000000" w:themeColor="text1"/>
        </w:rPr>
        <w:t>21</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Forefront Protection 2010 for SharePoint (SL per Dispositivo e Utente)</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_Toc353375771 \h </w:instrText>
      </w:r>
      <w:r w:rsidRPr="00B900C1">
        <w:rPr>
          <w:color w:val="000000" w:themeColor="text1"/>
        </w:rPr>
      </w:r>
      <w:r w:rsidRPr="00B900C1">
        <w:rPr>
          <w:color w:val="000000" w:themeColor="text1"/>
        </w:rPr>
        <w:fldChar w:fldCharType="separate"/>
      </w:r>
      <w:r w:rsidR="007B74B7">
        <w:rPr>
          <w:color w:val="000000" w:themeColor="text1"/>
        </w:rPr>
        <w:t>21</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Forefront Protection 2010 for SharePoint per Siti Internet (SL Add-on)</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_Toc353375772 \h </w:instrText>
      </w:r>
      <w:r w:rsidRPr="00B900C1">
        <w:rPr>
          <w:color w:val="000000" w:themeColor="text1"/>
        </w:rPr>
      </w:r>
      <w:r w:rsidRPr="00B900C1">
        <w:rPr>
          <w:color w:val="000000" w:themeColor="text1"/>
        </w:rPr>
        <w:fldChar w:fldCharType="separate"/>
      </w:r>
      <w:r w:rsidR="007B74B7">
        <w:rPr>
          <w:color w:val="000000" w:themeColor="text1"/>
        </w:rPr>
        <w:t>21</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Forefront Threat Management Gateway Web Protection Services</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_Toc353375773 \h </w:instrText>
      </w:r>
      <w:r w:rsidRPr="00B900C1">
        <w:rPr>
          <w:color w:val="000000" w:themeColor="text1"/>
        </w:rPr>
      </w:r>
      <w:r w:rsidRPr="00B900C1">
        <w:rPr>
          <w:color w:val="000000" w:themeColor="text1"/>
        </w:rPr>
        <w:fldChar w:fldCharType="separate"/>
      </w:r>
      <w:r w:rsidR="007B74B7">
        <w:rPr>
          <w:color w:val="000000" w:themeColor="text1"/>
        </w:rPr>
        <w:t>21</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Forefront Unified Access Gateway Server 2010</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_Toc353375774 \h </w:instrText>
      </w:r>
      <w:r w:rsidRPr="00B900C1">
        <w:rPr>
          <w:color w:val="000000" w:themeColor="text1"/>
        </w:rPr>
      </w:r>
      <w:r w:rsidRPr="00B900C1">
        <w:rPr>
          <w:color w:val="000000" w:themeColor="text1"/>
        </w:rPr>
        <w:fldChar w:fldCharType="separate"/>
      </w:r>
      <w:r w:rsidR="007B74B7">
        <w:rPr>
          <w:color w:val="000000" w:themeColor="text1"/>
        </w:rPr>
        <w:t>21</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External Connector per Forefront Unified Access Gateway 2010</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_Toc353375775 \h </w:instrText>
      </w:r>
      <w:r w:rsidRPr="00B900C1">
        <w:rPr>
          <w:color w:val="000000" w:themeColor="text1"/>
        </w:rPr>
      </w:r>
      <w:r w:rsidRPr="00B900C1">
        <w:rPr>
          <w:color w:val="000000" w:themeColor="text1"/>
        </w:rPr>
        <w:fldChar w:fldCharType="separate"/>
      </w:r>
      <w:r w:rsidR="007B74B7">
        <w:rPr>
          <w:color w:val="000000" w:themeColor="text1"/>
        </w:rPr>
        <w:t>21</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CAL per Forefront Unified Access Gateway 2010</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_Toc353375776 \h </w:instrText>
      </w:r>
      <w:r w:rsidRPr="00B900C1">
        <w:rPr>
          <w:color w:val="000000" w:themeColor="text1"/>
        </w:rPr>
      </w:r>
      <w:r w:rsidRPr="00B900C1">
        <w:rPr>
          <w:color w:val="000000" w:themeColor="text1"/>
        </w:rPr>
        <w:fldChar w:fldCharType="separate"/>
      </w:r>
      <w:r w:rsidR="007B74B7">
        <w:rPr>
          <w:color w:val="000000" w:themeColor="text1"/>
        </w:rPr>
        <w:t>21</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Pacchetto di 10.000 CAL per Forefront Unified Access Gateway 2010</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_Toc353375777 \h </w:instrText>
      </w:r>
      <w:r w:rsidRPr="00B900C1">
        <w:rPr>
          <w:color w:val="000000" w:themeColor="text1"/>
        </w:rPr>
      </w:r>
      <w:r w:rsidRPr="00B900C1">
        <w:rPr>
          <w:color w:val="000000" w:themeColor="text1"/>
        </w:rPr>
        <w:fldChar w:fldCharType="separate"/>
      </w:r>
      <w:r w:rsidR="007B74B7">
        <w:rPr>
          <w:color w:val="000000" w:themeColor="text1"/>
          <w:lang w:val="it-IT"/>
        </w:rPr>
        <w:t>21</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GeoSynth Server</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_Toc353375778 \h </w:instrText>
      </w:r>
      <w:r w:rsidRPr="00B900C1">
        <w:rPr>
          <w:color w:val="000000" w:themeColor="text1"/>
        </w:rPr>
      </w:r>
      <w:r w:rsidRPr="00B900C1">
        <w:rPr>
          <w:color w:val="000000" w:themeColor="text1"/>
        </w:rPr>
        <w:fldChar w:fldCharType="separate"/>
      </w:r>
      <w:r w:rsidR="007B74B7">
        <w:rPr>
          <w:color w:val="000000" w:themeColor="text1"/>
        </w:rPr>
        <w:t>21</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HPC Pack 2008 R2 Enterprise</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_Toc353375779 \h </w:instrText>
      </w:r>
      <w:r w:rsidRPr="00B900C1">
        <w:rPr>
          <w:color w:val="000000" w:themeColor="text1"/>
        </w:rPr>
      </w:r>
      <w:r w:rsidRPr="00B900C1">
        <w:rPr>
          <w:color w:val="000000" w:themeColor="text1"/>
        </w:rPr>
        <w:fldChar w:fldCharType="separate"/>
      </w:r>
      <w:r w:rsidR="007B74B7">
        <w:rPr>
          <w:color w:val="000000" w:themeColor="text1"/>
        </w:rPr>
        <w:t>21</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HPC Pack 2008 R2 per Workstation</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_Toc353375780 \h </w:instrText>
      </w:r>
      <w:r w:rsidRPr="00B900C1">
        <w:rPr>
          <w:color w:val="000000" w:themeColor="text1"/>
        </w:rPr>
      </w:r>
      <w:r w:rsidRPr="00B900C1">
        <w:rPr>
          <w:color w:val="000000" w:themeColor="text1"/>
        </w:rPr>
        <w:fldChar w:fldCharType="separate"/>
      </w:r>
      <w:r w:rsidR="007B74B7">
        <w:rPr>
          <w:color w:val="000000" w:themeColor="text1"/>
        </w:rPr>
        <w:t>21</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Learning Solutions Combination</w:t>
      </w:r>
      <w:r w:rsidR="007E508E">
        <w:rPr>
          <w:rFonts w:cs="Tahoma"/>
          <w:color w:val="000000" w:themeColor="text1"/>
        </w:rPr>
        <w:t xml:space="preserve"> </w:t>
      </w:r>
      <w:r w:rsidRPr="00B900C1">
        <w:rPr>
          <w:rFonts w:cs="Tahoma"/>
          <w:color w:val="000000" w:themeColor="text1"/>
        </w:rPr>
        <w:t>E-Reference Library (SL per Utente)</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_Toc353375781 \h </w:instrText>
      </w:r>
      <w:r w:rsidRPr="00B900C1">
        <w:rPr>
          <w:color w:val="000000" w:themeColor="text1"/>
        </w:rPr>
      </w:r>
      <w:r w:rsidRPr="00B900C1">
        <w:rPr>
          <w:color w:val="000000" w:themeColor="text1"/>
        </w:rPr>
        <w:fldChar w:fldCharType="separate"/>
      </w:r>
      <w:r w:rsidR="007B74B7">
        <w:rPr>
          <w:color w:val="000000" w:themeColor="text1"/>
        </w:rPr>
        <w:t>21</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Learning Solutions IT Academy (SL Servizi)</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_Toc353375782 \h </w:instrText>
      </w:r>
      <w:r w:rsidRPr="00B900C1">
        <w:rPr>
          <w:color w:val="000000" w:themeColor="text1"/>
        </w:rPr>
      </w:r>
      <w:r w:rsidRPr="00B900C1">
        <w:rPr>
          <w:color w:val="000000" w:themeColor="text1"/>
        </w:rPr>
        <w:fldChar w:fldCharType="separate"/>
      </w:r>
      <w:r w:rsidR="007B74B7">
        <w:rPr>
          <w:color w:val="000000" w:themeColor="text1"/>
        </w:rPr>
        <w:t>21</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Learning Solutions MCP 1 Exam Vouchers (SL Servizi)</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_Toc353375783 \h </w:instrText>
      </w:r>
      <w:r w:rsidRPr="00B900C1">
        <w:rPr>
          <w:color w:val="000000" w:themeColor="text1"/>
        </w:rPr>
      </w:r>
      <w:r w:rsidRPr="00B900C1">
        <w:rPr>
          <w:color w:val="000000" w:themeColor="text1"/>
        </w:rPr>
        <w:fldChar w:fldCharType="separate"/>
      </w:r>
      <w:r w:rsidR="007B74B7">
        <w:rPr>
          <w:color w:val="000000" w:themeColor="text1"/>
        </w:rPr>
        <w:t>21</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Learning Solutions MCP 30 Exam Vouchers (SL Utente)</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_Toc353375784 \h </w:instrText>
      </w:r>
      <w:r w:rsidRPr="00B900C1">
        <w:rPr>
          <w:color w:val="000000" w:themeColor="text1"/>
        </w:rPr>
      </w:r>
      <w:r w:rsidRPr="00B900C1">
        <w:rPr>
          <w:color w:val="000000" w:themeColor="text1"/>
        </w:rPr>
        <w:fldChar w:fldCharType="separate"/>
      </w:r>
      <w:r w:rsidR="007B74B7">
        <w:rPr>
          <w:color w:val="000000" w:themeColor="text1"/>
        </w:rPr>
        <w:t>21</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Learning Solutions MOS 500 Exam Site License (SL Servizi)</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_Toc353375785 \h </w:instrText>
      </w:r>
      <w:r w:rsidRPr="00B900C1">
        <w:rPr>
          <w:color w:val="000000" w:themeColor="text1"/>
        </w:rPr>
      </w:r>
      <w:r w:rsidRPr="00B900C1">
        <w:rPr>
          <w:color w:val="000000" w:themeColor="text1"/>
        </w:rPr>
        <w:fldChar w:fldCharType="separate"/>
      </w:r>
      <w:r w:rsidR="007B74B7">
        <w:rPr>
          <w:color w:val="000000" w:themeColor="text1"/>
        </w:rPr>
        <w:t>21</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Learning Solutions MTA 250 Exam Site License (SL Servizi)</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_Toc353375786 \h </w:instrText>
      </w:r>
      <w:r w:rsidRPr="00B900C1">
        <w:rPr>
          <w:color w:val="000000" w:themeColor="text1"/>
        </w:rPr>
      </w:r>
      <w:r w:rsidRPr="00B900C1">
        <w:rPr>
          <w:color w:val="000000" w:themeColor="text1"/>
        </w:rPr>
        <w:fldChar w:fldCharType="separate"/>
      </w:r>
      <w:r w:rsidR="007B74B7">
        <w:rPr>
          <w:color w:val="000000" w:themeColor="text1"/>
        </w:rPr>
        <w:t>21</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Lync Online Piano 1 (SL per Utente)</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_Toc353375787 \h </w:instrText>
      </w:r>
      <w:r w:rsidRPr="00B900C1">
        <w:rPr>
          <w:color w:val="000000" w:themeColor="text1"/>
        </w:rPr>
      </w:r>
      <w:r w:rsidRPr="00B900C1">
        <w:rPr>
          <w:color w:val="000000" w:themeColor="text1"/>
        </w:rPr>
        <w:fldChar w:fldCharType="separate"/>
      </w:r>
      <w:r w:rsidR="007B74B7">
        <w:rPr>
          <w:color w:val="000000" w:themeColor="text1"/>
          <w:lang w:val="it-IT"/>
        </w:rPr>
        <w:t>21</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Lync Online Piano 2 (SL per Utente)</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_Toc353375788 \h </w:instrText>
      </w:r>
      <w:r w:rsidRPr="00B900C1">
        <w:rPr>
          <w:color w:val="000000" w:themeColor="text1"/>
        </w:rPr>
      </w:r>
      <w:r w:rsidRPr="00B900C1">
        <w:rPr>
          <w:color w:val="000000" w:themeColor="text1"/>
        </w:rPr>
        <w:fldChar w:fldCharType="separate"/>
      </w:r>
      <w:r w:rsidR="007B74B7">
        <w:rPr>
          <w:color w:val="000000" w:themeColor="text1"/>
          <w:lang w:val="it-IT"/>
        </w:rPr>
        <w:t>21</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Lync Online Piano 3 (SL per Utente)</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_Toc353375789 \h </w:instrText>
      </w:r>
      <w:r w:rsidRPr="00B900C1">
        <w:rPr>
          <w:color w:val="000000" w:themeColor="text1"/>
        </w:rPr>
      </w:r>
      <w:r w:rsidRPr="00B900C1">
        <w:rPr>
          <w:color w:val="000000" w:themeColor="text1"/>
        </w:rPr>
        <w:fldChar w:fldCharType="separate"/>
      </w:r>
      <w:r w:rsidR="007B74B7">
        <w:rPr>
          <w:color w:val="000000" w:themeColor="text1"/>
          <w:lang w:val="it-IT"/>
        </w:rPr>
        <w:t>21</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Lync Online Piano 3A (SL per Utente)</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_Toc353375790 \h </w:instrText>
      </w:r>
      <w:r w:rsidRPr="00B900C1">
        <w:rPr>
          <w:color w:val="000000" w:themeColor="text1"/>
        </w:rPr>
      </w:r>
      <w:r w:rsidRPr="00B900C1">
        <w:rPr>
          <w:color w:val="000000" w:themeColor="text1"/>
        </w:rPr>
        <w:fldChar w:fldCharType="separate"/>
      </w:r>
      <w:r w:rsidR="007B74B7">
        <w:rPr>
          <w:color w:val="000000" w:themeColor="text1"/>
          <w:lang w:val="it-IT"/>
        </w:rPr>
        <w:t>21</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fr-FR"/>
        </w:rPr>
      </w:pPr>
      <w:r w:rsidRPr="007B74B7">
        <w:rPr>
          <w:rFonts w:cs="Tahoma"/>
          <w:color w:val="000000" w:themeColor="text1"/>
          <w:lang w:val="fr-FR"/>
        </w:rPr>
        <w:t>Lync Server 2013</w:t>
      </w:r>
      <w:r w:rsidRPr="007B74B7">
        <w:rPr>
          <w:color w:val="000000" w:themeColor="text1"/>
          <w:lang w:val="fr-FR"/>
        </w:rPr>
        <w:tab/>
      </w:r>
      <w:r w:rsidRPr="00B900C1">
        <w:rPr>
          <w:color w:val="000000" w:themeColor="text1"/>
        </w:rPr>
        <w:fldChar w:fldCharType="begin"/>
      </w:r>
      <w:r w:rsidRPr="007B74B7">
        <w:rPr>
          <w:color w:val="000000" w:themeColor="text1"/>
          <w:lang w:val="fr-FR"/>
        </w:rPr>
        <w:instrText xml:space="preserve"> PAGEREF _Toc353375791 \h </w:instrText>
      </w:r>
      <w:r w:rsidRPr="00B900C1">
        <w:rPr>
          <w:color w:val="000000" w:themeColor="text1"/>
        </w:rPr>
      </w:r>
      <w:r w:rsidRPr="00B900C1">
        <w:rPr>
          <w:color w:val="000000" w:themeColor="text1"/>
        </w:rPr>
        <w:fldChar w:fldCharType="separate"/>
      </w:r>
      <w:r w:rsidR="007B74B7">
        <w:rPr>
          <w:color w:val="000000" w:themeColor="text1"/>
          <w:lang w:val="fr-FR"/>
        </w:rPr>
        <w:t>21</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fr-FR"/>
        </w:rPr>
      </w:pPr>
      <w:r w:rsidRPr="007B74B7">
        <w:rPr>
          <w:rFonts w:cs="Tahoma"/>
          <w:color w:val="000000" w:themeColor="text1"/>
          <w:lang w:val="fr-FR"/>
        </w:rPr>
        <w:t>Enterprise CAL per Lync Server 2013</w:t>
      </w:r>
      <w:r w:rsidRPr="007B74B7">
        <w:rPr>
          <w:color w:val="000000" w:themeColor="text1"/>
          <w:lang w:val="fr-FR"/>
        </w:rPr>
        <w:tab/>
      </w:r>
      <w:r w:rsidRPr="00B900C1">
        <w:rPr>
          <w:color w:val="000000" w:themeColor="text1"/>
        </w:rPr>
        <w:fldChar w:fldCharType="begin"/>
      </w:r>
      <w:r w:rsidRPr="007B74B7">
        <w:rPr>
          <w:color w:val="000000" w:themeColor="text1"/>
          <w:lang w:val="fr-FR"/>
        </w:rPr>
        <w:instrText xml:space="preserve"> PAGEREF _Toc353375792 \h </w:instrText>
      </w:r>
      <w:r w:rsidRPr="00B900C1">
        <w:rPr>
          <w:color w:val="000000" w:themeColor="text1"/>
        </w:rPr>
      </w:r>
      <w:r w:rsidRPr="00B900C1">
        <w:rPr>
          <w:color w:val="000000" w:themeColor="text1"/>
        </w:rPr>
        <w:fldChar w:fldCharType="separate"/>
      </w:r>
      <w:r w:rsidR="007B74B7">
        <w:rPr>
          <w:color w:val="000000" w:themeColor="text1"/>
          <w:lang w:val="fr-FR"/>
        </w:rPr>
        <w:t>21</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fr-FR"/>
        </w:rPr>
      </w:pPr>
      <w:r w:rsidRPr="007B74B7">
        <w:rPr>
          <w:rFonts w:cs="Tahoma"/>
          <w:color w:val="000000" w:themeColor="text1"/>
          <w:lang w:val="fr-FR"/>
        </w:rPr>
        <w:lastRenderedPageBreak/>
        <w:t>Plus CAL per Lync Server 2013</w:t>
      </w:r>
      <w:r w:rsidRPr="007B74B7">
        <w:rPr>
          <w:color w:val="000000" w:themeColor="text1"/>
          <w:lang w:val="fr-FR"/>
        </w:rPr>
        <w:tab/>
      </w:r>
      <w:r w:rsidRPr="00B900C1">
        <w:rPr>
          <w:color w:val="000000" w:themeColor="text1"/>
        </w:rPr>
        <w:fldChar w:fldCharType="begin"/>
      </w:r>
      <w:r w:rsidRPr="007B74B7">
        <w:rPr>
          <w:color w:val="000000" w:themeColor="text1"/>
          <w:lang w:val="fr-FR"/>
        </w:rPr>
        <w:instrText xml:space="preserve"> PAGEREF _Toc353375793 \h </w:instrText>
      </w:r>
      <w:r w:rsidRPr="00B900C1">
        <w:rPr>
          <w:color w:val="000000" w:themeColor="text1"/>
        </w:rPr>
      </w:r>
      <w:r w:rsidRPr="00B900C1">
        <w:rPr>
          <w:color w:val="000000" w:themeColor="text1"/>
        </w:rPr>
        <w:fldChar w:fldCharType="separate"/>
      </w:r>
      <w:r w:rsidR="007B74B7">
        <w:rPr>
          <w:color w:val="000000" w:themeColor="text1"/>
          <w:lang w:val="fr-FR"/>
        </w:rPr>
        <w:t>21</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Standard CAL per Lync Server 2013</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_Toc353375794 \h </w:instrText>
      </w:r>
      <w:r w:rsidRPr="00B900C1">
        <w:rPr>
          <w:color w:val="000000" w:themeColor="text1"/>
        </w:rPr>
      </w:r>
      <w:r w:rsidRPr="00B900C1">
        <w:rPr>
          <w:color w:val="000000" w:themeColor="text1"/>
        </w:rPr>
        <w:fldChar w:fldCharType="separate"/>
      </w:r>
      <w:r w:rsidR="007B74B7">
        <w:rPr>
          <w:color w:val="000000" w:themeColor="text1"/>
          <w:lang w:val="it-IT"/>
        </w:rPr>
        <w:t>21</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Enterprise Additive CAL per Microsoft Dynamics AX 2012 R2 (Utente e Dispositivo)</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_Toc353375795 \h </w:instrText>
      </w:r>
      <w:r w:rsidRPr="00B900C1">
        <w:rPr>
          <w:color w:val="000000" w:themeColor="text1"/>
        </w:rPr>
      </w:r>
      <w:r w:rsidRPr="00B900C1">
        <w:rPr>
          <w:color w:val="000000" w:themeColor="text1"/>
        </w:rPr>
        <w:fldChar w:fldCharType="separate"/>
      </w:r>
      <w:r w:rsidR="007B74B7">
        <w:rPr>
          <w:color w:val="000000" w:themeColor="text1"/>
          <w:lang w:val="it-IT"/>
        </w:rPr>
        <w:t>21</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Enterprise CAL per Microsoft Dynamics AX 2012 R2 (Utente e Dispositivo)</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_Toc353375796 \h </w:instrText>
      </w:r>
      <w:r w:rsidRPr="00B900C1">
        <w:rPr>
          <w:color w:val="000000" w:themeColor="text1"/>
        </w:rPr>
      </w:r>
      <w:r w:rsidRPr="00B900C1">
        <w:rPr>
          <w:color w:val="000000" w:themeColor="text1"/>
        </w:rPr>
        <w:fldChar w:fldCharType="separate"/>
      </w:r>
      <w:r w:rsidR="007B74B7">
        <w:rPr>
          <w:color w:val="000000" w:themeColor="text1"/>
          <w:lang w:val="it-IT"/>
        </w:rPr>
        <w:t>21</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Functional Additive CAL per Microsoft Dynamics AX 2012 R2 (Utente e Dispositivo)</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_Toc353375797 \h </w:instrText>
      </w:r>
      <w:r w:rsidRPr="00B900C1">
        <w:rPr>
          <w:color w:val="000000" w:themeColor="text1"/>
        </w:rPr>
      </w:r>
      <w:r w:rsidRPr="00B900C1">
        <w:rPr>
          <w:color w:val="000000" w:themeColor="text1"/>
        </w:rPr>
        <w:fldChar w:fldCharType="separate"/>
      </w:r>
      <w:r w:rsidR="007B74B7">
        <w:rPr>
          <w:color w:val="000000" w:themeColor="text1"/>
          <w:lang w:val="it-IT"/>
        </w:rPr>
        <w:t>21</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Functional CAL per Microsoft Dynamics AX 2012 R2 (Utente e Dispositivo)</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_Toc353375798 \h </w:instrText>
      </w:r>
      <w:r w:rsidRPr="00B900C1">
        <w:rPr>
          <w:color w:val="000000" w:themeColor="text1"/>
        </w:rPr>
      </w:r>
      <w:r w:rsidRPr="00B900C1">
        <w:rPr>
          <w:color w:val="000000" w:themeColor="text1"/>
        </w:rPr>
        <w:fldChar w:fldCharType="separate"/>
      </w:r>
      <w:r w:rsidR="007B74B7">
        <w:rPr>
          <w:color w:val="000000" w:themeColor="text1"/>
          <w:lang w:val="it-IT"/>
        </w:rPr>
        <w:t>22</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Self Serve CAL per Microsoft Dynamics AX 2012 R2 (Utente e Dispositivo)</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_Toc353375799 \h </w:instrText>
      </w:r>
      <w:r w:rsidRPr="00B900C1">
        <w:rPr>
          <w:color w:val="000000" w:themeColor="text1"/>
        </w:rPr>
      </w:r>
      <w:r w:rsidRPr="00B900C1">
        <w:rPr>
          <w:color w:val="000000" w:themeColor="text1"/>
        </w:rPr>
        <w:fldChar w:fldCharType="separate"/>
      </w:r>
      <w:r w:rsidR="007B74B7">
        <w:rPr>
          <w:color w:val="000000" w:themeColor="text1"/>
          <w:lang w:val="it-IT"/>
        </w:rPr>
        <w:t>22</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pt-BR"/>
        </w:rPr>
      </w:pPr>
      <w:r w:rsidRPr="007B74B7">
        <w:rPr>
          <w:rFonts w:cs="Tahoma"/>
          <w:color w:val="000000" w:themeColor="text1"/>
          <w:lang w:val="pt-BR"/>
        </w:rPr>
        <w:t>Microsoft Dynamics AX 2012 R2 Server</w:t>
      </w:r>
      <w:r w:rsidRPr="007B74B7">
        <w:rPr>
          <w:color w:val="000000" w:themeColor="text1"/>
          <w:lang w:val="pt-BR"/>
        </w:rPr>
        <w:tab/>
      </w:r>
      <w:r w:rsidRPr="00B900C1">
        <w:rPr>
          <w:color w:val="000000" w:themeColor="text1"/>
        </w:rPr>
        <w:fldChar w:fldCharType="begin"/>
      </w:r>
      <w:r w:rsidRPr="007B74B7">
        <w:rPr>
          <w:color w:val="000000" w:themeColor="text1"/>
          <w:lang w:val="pt-BR"/>
        </w:rPr>
        <w:instrText xml:space="preserve"> PAGEREF _Toc353375800 \h </w:instrText>
      </w:r>
      <w:r w:rsidRPr="00B900C1">
        <w:rPr>
          <w:color w:val="000000" w:themeColor="text1"/>
        </w:rPr>
      </w:r>
      <w:r w:rsidRPr="00B900C1">
        <w:rPr>
          <w:color w:val="000000" w:themeColor="text1"/>
        </w:rPr>
        <w:fldChar w:fldCharType="separate"/>
      </w:r>
      <w:r w:rsidR="007B74B7">
        <w:rPr>
          <w:color w:val="000000" w:themeColor="text1"/>
          <w:lang w:val="pt-BR"/>
        </w:rPr>
        <w:t>22</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Task Additive CAL per Microsoft Dynamics AX 2012 R2 (Utente e Dispositivo)</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_Toc353375801 \h </w:instrText>
      </w:r>
      <w:r w:rsidRPr="00B900C1">
        <w:rPr>
          <w:color w:val="000000" w:themeColor="text1"/>
        </w:rPr>
      </w:r>
      <w:r w:rsidRPr="00B900C1">
        <w:rPr>
          <w:color w:val="000000" w:themeColor="text1"/>
        </w:rPr>
        <w:fldChar w:fldCharType="separate"/>
      </w:r>
      <w:r w:rsidR="007B74B7">
        <w:rPr>
          <w:color w:val="000000" w:themeColor="text1"/>
          <w:lang w:val="it-IT"/>
        </w:rPr>
        <w:t>22</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Task CAL per Microsoft Dynamics AX 2012 R2 (Utente e Dispositivo)</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_Toc353375802 \h </w:instrText>
      </w:r>
      <w:r w:rsidRPr="00B900C1">
        <w:rPr>
          <w:color w:val="000000" w:themeColor="text1"/>
        </w:rPr>
      </w:r>
      <w:r w:rsidRPr="00B900C1">
        <w:rPr>
          <w:color w:val="000000" w:themeColor="text1"/>
        </w:rPr>
        <w:fldChar w:fldCharType="separate"/>
      </w:r>
      <w:r w:rsidR="007B74B7">
        <w:rPr>
          <w:color w:val="000000" w:themeColor="text1"/>
          <w:lang w:val="it-IT"/>
        </w:rPr>
        <w:t>22</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CAL per Microsoft Dynamics CRM 2011 (Utente e Dispositivo)</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_Toc353375803 \h </w:instrText>
      </w:r>
      <w:r w:rsidRPr="00B900C1">
        <w:rPr>
          <w:color w:val="000000" w:themeColor="text1"/>
        </w:rPr>
      </w:r>
      <w:r w:rsidRPr="00B900C1">
        <w:rPr>
          <w:color w:val="000000" w:themeColor="text1"/>
        </w:rPr>
        <w:fldChar w:fldCharType="separate"/>
      </w:r>
      <w:r w:rsidR="007B74B7">
        <w:rPr>
          <w:color w:val="000000" w:themeColor="text1"/>
          <w:lang w:val="it-IT"/>
        </w:rPr>
        <w:t>22</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CAL per Employee Self Service di Microsoft Dynamics CRM 2011 (Utente e Dispositivo)</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_Toc353375804 \h </w:instrText>
      </w:r>
      <w:r w:rsidRPr="00B900C1">
        <w:rPr>
          <w:color w:val="000000" w:themeColor="text1"/>
        </w:rPr>
      </w:r>
      <w:r w:rsidRPr="00B900C1">
        <w:rPr>
          <w:color w:val="000000" w:themeColor="text1"/>
        </w:rPr>
        <w:fldChar w:fldCharType="separate"/>
      </w:r>
      <w:r w:rsidR="007B74B7">
        <w:rPr>
          <w:color w:val="000000" w:themeColor="text1"/>
          <w:lang w:val="it-IT"/>
        </w:rPr>
        <w:t>22</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Microsoft Dynamics CRM 2011 External Connector</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_Toc353375805 \h </w:instrText>
      </w:r>
      <w:r w:rsidRPr="00B900C1">
        <w:rPr>
          <w:color w:val="000000" w:themeColor="text1"/>
        </w:rPr>
      </w:r>
      <w:r w:rsidRPr="00B900C1">
        <w:rPr>
          <w:color w:val="000000" w:themeColor="text1"/>
        </w:rPr>
        <w:fldChar w:fldCharType="separate"/>
      </w:r>
      <w:r w:rsidR="007B74B7">
        <w:rPr>
          <w:color w:val="000000" w:themeColor="text1"/>
          <w:lang w:val="it-IT"/>
        </w:rPr>
        <w:t>22</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CAL Aggiuntiva per l’Utilizzo Completo di Microsoft Dynamics CRM 2011 (Utente e Dispositivo)</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_Toc353375806 \h </w:instrText>
      </w:r>
      <w:r w:rsidRPr="00B900C1">
        <w:rPr>
          <w:color w:val="000000" w:themeColor="text1"/>
        </w:rPr>
      </w:r>
      <w:r w:rsidRPr="00B900C1">
        <w:rPr>
          <w:color w:val="000000" w:themeColor="text1"/>
        </w:rPr>
        <w:fldChar w:fldCharType="separate"/>
      </w:r>
      <w:r w:rsidR="007B74B7">
        <w:rPr>
          <w:color w:val="000000" w:themeColor="text1"/>
          <w:lang w:val="it-IT"/>
        </w:rPr>
        <w:t>22</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CAL per l’Utilizzo Limitato di Microsoft Dynamics CRM 2011 (Utenti e Dispositivo)</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_Toc353375807 \h </w:instrText>
      </w:r>
      <w:r w:rsidRPr="00B900C1">
        <w:rPr>
          <w:color w:val="000000" w:themeColor="text1"/>
        </w:rPr>
      </w:r>
      <w:r w:rsidRPr="00B900C1">
        <w:rPr>
          <w:color w:val="000000" w:themeColor="text1"/>
        </w:rPr>
        <w:fldChar w:fldCharType="separate"/>
      </w:r>
      <w:r w:rsidR="007B74B7">
        <w:rPr>
          <w:color w:val="000000" w:themeColor="text1"/>
          <w:lang w:val="it-IT"/>
        </w:rPr>
        <w:t>22</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CAL Aggiuntiva per l’Utilizzo Limitato di Microsoft Dynamics CRM 2011 (Utente e Dispositivo)</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_Toc353375808 \h </w:instrText>
      </w:r>
      <w:r w:rsidRPr="00B900C1">
        <w:rPr>
          <w:color w:val="000000" w:themeColor="text1"/>
        </w:rPr>
      </w:r>
      <w:r w:rsidRPr="00B900C1">
        <w:rPr>
          <w:color w:val="000000" w:themeColor="text1"/>
        </w:rPr>
        <w:fldChar w:fldCharType="separate"/>
      </w:r>
      <w:r w:rsidR="007B74B7">
        <w:rPr>
          <w:color w:val="000000" w:themeColor="text1"/>
          <w:lang w:val="it-IT"/>
        </w:rPr>
        <w:t>22</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Microsoft Dynamics CRM Server 2011</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_Toc353375809 \h </w:instrText>
      </w:r>
      <w:r w:rsidRPr="00B900C1">
        <w:rPr>
          <w:color w:val="000000" w:themeColor="text1"/>
        </w:rPr>
      </w:r>
      <w:r w:rsidRPr="00B900C1">
        <w:rPr>
          <w:color w:val="000000" w:themeColor="text1"/>
        </w:rPr>
        <w:fldChar w:fldCharType="separate"/>
      </w:r>
      <w:r w:rsidR="007B74B7">
        <w:rPr>
          <w:color w:val="000000" w:themeColor="text1"/>
          <w:lang w:val="it-IT"/>
        </w:rPr>
        <w:t>22</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Microsoft Dynamics CRM Workgroup Server 2011</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_Toc353375810 \h </w:instrText>
      </w:r>
      <w:r w:rsidRPr="00B900C1">
        <w:rPr>
          <w:color w:val="000000" w:themeColor="text1"/>
        </w:rPr>
      </w:r>
      <w:r w:rsidRPr="00B900C1">
        <w:rPr>
          <w:color w:val="000000" w:themeColor="text1"/>
        </w:rPr>
        <w:fldChar w:fldCharType="separate"/>
      </w:r>
      <w:r w:rsidR="007B74B7">
        <w:rPr>
          <w:color w:val="000000" w:themeColor="text1"/>
          <w:lang w:val="it-IT"/>
        </w:rPr>
        <w:t>22</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Microsoft Translator API</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_Toc353375811 \h </w:instrText>
      </w:r>
      <w:r w:rsidRPr="00B900C1">
        <w:rPr>
          <w:color w:val="000000" w:themeColor="text1"/>
        </w:rPr>
      </w:r>
      <w:r w:rsidRPr="00B900C1">
        <w:rPr>
          <w:color w:val="000000" w:themeColor="text1"/>
        </w:rPr>
        <w:fldChar w:fldCharType="separate"/>
      </w:r>
      <w:r w:rsidR="007B74B7">
        <w:rPr>
          <w:color w:val="000000" w:themeColor="text1"/>
          <w:lang w:val="it-IT"/>
        </w:rPr>
        <w:t>22</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Office 365 Midsize Business</w:t>
      </w:r>
      <w:r w:rsidR="007E508E">
        <w:rPr>
          <w:rFonts w:cs="Tahoma"/>
          <w:color w:val="000000" w:themeColor="text1"/>
        </w:rPr>
        <w:t xml:space="preserve"> </w:t>
      </w:r>
      <w:r w:rsidRPr="00B900C1">
        <w:rPr>
          <w:rFonts w:cs="Tahoma"/>
          <w:color w:val="000000" w:themeColor="text1"/>
        </w:rPr>
        <w:t>(SL per Utente)</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_Toc353375812 \h </w:instrText>
      </w:r>
      <w:r w:rsidRPr="00B900C1">
        <w:rPr>
          <w:color w:val="000000" w:themeColor="text1"/>
        </w:rPr>
      </w:r>
      <w:r w:rsidRPr="00B900C1">
        <w:rPr>
          <w:color w:val="000000" w:themeColor="text1"/>
        </w:rPr>
        <w:fldChar w:fldCharType="separate"/>
      </w:r>
      <w:r w:rsidR="007B74B7">
        <w:rPr>
          <w:color w:val="000000" w:themeColor="text1"/>
        </w:rPr>
        <w:t>22</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Office 365 Education A2 (SL per Utente)</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_Toc353375813 \h </w:instrText>
      </w:r>
      <w:r w:rsidRPr="00B900C1">
        <w:rPr>
          <w:color w:val="000000" w:themeColor="text1"/>
        </w:rPr>
      </w:r>
      <w:r w:rsidRPr="00B900C1">
        <w:rPr>
          <w:color w:val="000000" w:themeColor="text1"/>
        </w:rPr>
        <w:fldChar w:fldCharType="separate"/>
      </w:r>
      <w:r w:rsidR="007B74B7">
        <w:rPr>
          <w:color w:val="000000" w:themeColor="text1"/>
        </w:rPr>
        <w:t>22</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Office 365 Education A3 (SL per Utente)</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_Toc353375814 \h </w:instrText>
      </w:r>
      <w:r w:rsidRPr="00B900C1">
        <w:rPr>
          <w:color w:val="000000" w:themeColor="text1"/>
        </w:rPr>
      </w:r>
      <w:r w:rsidRPr="00B900C1">
        <w:rPr>
          <w:color w:val="000000" w:themeColor="text1"/>
        </w:rPr>
        <w:fldChar w:fldCharType="separate"/>
      </w:r>
      <w:r w:rsidR="007B74B7">
        <w:rPr>
          <w:color w:val="000000" w:themeColor="text1"/>
        </w:rPr>
        <w:t>22</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Office 365 Education A4 (SL per Utente)</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_Toc353375815 \h </w:instrText>
      </w:r>
      <w:r w:rsidRPr="00B900C1">
        <w:rPr>
          <w:color w:val="000000" w:themeColor="text1"/>
        </w:rPr>
      </w:r>
      <w:r w:rsidRPr="00B900C1">
        <w:rPr>
          <w:color w:val="000000" w:themeColor="text1"/>
        </w:rPr>
        <w:fldChar w:fldCharType="separate"/>
      </w:r>
      <w:r w:rsidR="007B74B7">
        <w:rPr>
          <w:color w:val="000000" w:themeColor="text1"/>
        </w:rPr>
        <w:t>22</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Office 365 Enterprise E1 (SL per Utente)</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_Toc353375816 \h </w:instrText>
      </w:r>
      <w:r w:rsidRPr="00B900C1">
        <w:rPr>
          <w:color w:val="000000" w:themeColor="text1"/>
        </w:rPr>
      </w:r>
      <w:r w:rsidRPr="00B900C1">
        <w:rPr>
          <w:color w:val="000000" w:themeColor="text1"/>
        </w:rPr>
        <w:fldChar w:fldCharType="separate"/>
      </w:r>
      <w:r w:rsidR="007B74B7">
        <w:rPr>
          <w:color w:val="000000" w:themeColor="text1"/>
        </w:rPr>
        <w:t>22</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Office 365 Enterprise E2</w:t>
      </w:r>
      <w:r w:rsidR="00FD7C0D" w:rsidRPr="007B74B7">
        <w:rPr>
          <w:rFonts w:cs="Tahoma"/>
          <w:color w:val="000000" w:themeColor="text1"/>
          <w:lang w:val="it-IT"/>
        </w:rPr>
        <w:t xml:space="preserve"> – </w:t>
      </w:r>
      <w:r w:rsidRPr="007B74B7">
        <w:rPr>
          <w:rFonts w:cs="Tahoma"/>
          <w:color w:val="000000" w:themeColor="text1"/>
          <w:lang w:val="it-IT"/>
        </w:rPr>
        <w:t>E4</w:t>
      </w:r>
      <w:r w:rsidR="007E508E" w:rsidRPr="007B74B7">
        <w:rPr>
          <w:rFonts w:cs="Tahoma"/>
          <w:color w:val="000000" w:themeColor="text1"/>
          <w:lang w:val="it-IT"/>
        </w:rPr>
        <w:t xml:space="preserve"> </w:t>
      </w:r>
      <w:r w:rsidRPr="007B74B7">
        <w:rPr>
          <w:rFonts w:cs="Tahoma"/>
          <w:color w:val="000000" w:themeColor="text1"/>
          <w:lang w:val="it-IT"/>
        </w:rPr>
        <w:t>(SL per Utente)</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_Toc353375817 \h </w:instrText>
      </w:r>
      <w:r w:rsidRPr="00B900C1">
        <w:rPr>
          <w:color w:val="000000" w:themeColor="text1"/>
        </w:rPr>
      </w:r>
      <w:r w:rsidRPr="00B900C1">
        <w:rPr>
          <w:color w:val="000000" w:themeColor="text1"/>
        </w:rPr>
        <w:fldChar w:fldCharType="separate"/>
      </w:r>
      <w:r w:rsidR="007B74B7">
        <w:rPr>
          <w:color w:val="000000" w:themeColor="text1"/>
          <w:lang w:val="it-IT"/>
        </w:rPr>
        <w:t>22</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Office 365 Enterprise K1 (SL per Utente)</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_Toc353375818 \h </w:instrText>
      </w:r>
      <w:r w:rsidRPr="00B900C1">
        <w:rPr>
          <w:color w:val="000000" w:themeColor="text1"/>
        </w:rPr>
      </w:r>
      <w:r w:rsidRPr="00B900C1">
        <w:rPr>
          <w:color w:val="000000" w:themeColor="text1"/>
        </w:rPr>
        <w:fldChar w:fldCharType="separate"/>
      </w:r>
      <w:r w:rsidR="007B74B7">
        <w:rPr>
          <w:color w:val="000000" w:themeColor="text1"/>
          <w:lang w:val="it-IT"/>
        </w:rPr>
        <w:t>22</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Office 365 Enterprise K2 (SL per Utente)</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_Toc353375819 \h </w:instrText>
      </w:r>
      <w:r w:rsidRPr="00B900C1">
        <w:rPr>
          <w:color w:val="000000" w:themeColor="text1"/>
        </w:rPr>
      </w:r>
      <w:r w:rsidRPr="00B900C1">
        <w:rPr>
          <w:color w:val="000000" w:themeColor="text1"/>
        </w:rPr>
        <w:fldChar w:fldCharType="separate"/>
      </w:r>
      <w:r w:rsidR="007B74B7">
        <w:rPr>
          <w:color w:val="000000" w:themeColor="text1"/>
          <w:lang w:val="it-IT"/>
        </w:rPr>
        <w:t>22</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Office 365 Government G1</w:t>
      </w:r>
      <w:r w:rsidR="00FD7C0D">
        <w:rPr>
          <w:rFonts w:cs="Tahoma"/>
          <w:color w:val="000000" w:themeColor="text1"/>
        </w:rPr>
        <w:t xml:space="preserve"> – </w:t>
      </w:r>
      <w:r w:rsidRPr="00B900C1">
        <w:rPr>
          <w:rFonts w:cs="Tahoma"/>
          <w:color w:val="000000" w:themeColor="text1"/>
        </w:rPr>
        <w:t>G4</w:t>
      </w:r>
      <w:r w:rsidR="007E508E">
        <w:rPr>
          <w:rFonts w:cs="Tahoma"/>
          <w:color w:val="000000" w:themeColor="text1"/>
        </w:rPr>
        <w:t xml:space="preserve"> </w:t>
      </w:r>
      <w:r w:rsidRPr="00B900C1">
        <w:rPr>
          <w:rFonts w:cs="Tahoma"/>
          <w:color w:val="000000" w:themeColor="text1"/>
        </w:rPr>
        <w:t>(SL per Utente)</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_Toc353375820 \h </w:instrText>
      </w:r>
      <w:r w:rsidRPr="00B900C1">
        <w:rPr>
          <w:color w:val="000000" w:themeColor="text1"/>
        </w:rPr>
      </w:r>
      <w:r w:rsidRPr="00B900C1">
        <w:rPr>
          <w:color w:val="000000" w:themeColor="text1"/>
        </w:rPr>
        <w:fldChar w:fldCharType="separate"/>
      </w:r>
      <w:r w:rsidR="007B74B7">
        <w:rPr>
          <w:color w:val="000000" w:themeColor="text1"/>
        </w:rPr>
        <w:t>22</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Office Web Applications con SharePoint Piano 2A (SL per utente)</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_Toc353375821 \h </w:instrText>
      </w:r>
      <w:r w:rsidRPr="00B900C1">
        <w:rPr>
          <w:color w:val="000000" w:themeColor="text1"/>
        </w:rPr>
      </w:r>
      <w:r w:rsidRPr="00B900C1">
        <w:rPr>
          <w:color w:val="000000" w:themeColor="text1"/>
        </w:rPr>
        <w:fldChar w:fldCharType="separate"/>
      </w:r>
      <w:r w:rsidR="007B74B7">
        <w:rPr>
          <w:color w:val="000000" w:themeColor="text1"/>
        </w:rPr>
        <w:t>22</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Project Online</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_Toc353375822 \h </w:instrText>
      </w:r>
      <w:r w:rsidRPr="00B900C1">
        <w:rPr>
          <w:color w:val="000000" w:themeColor="text1"/>
        </w:rPr>
      </w:r>
      <w:r w:rsidRPr="00B900C1">
        <w:rPr>
          <w:color w:val="000000" w:themeColor="text1"/>
        </w:rPr>
        <w:fldChar w:fldCharType="separate"/>
      </w:r>
      <w:r w:rsidR="007B74B7">
        <w:rPr>
          <w:color w:val="000000" w:themeColor="text1"/>
        </w:rPr>
        <w:t>22</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Project Online A</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_Toc353375823 \h </w:instrText>
      </w:r>
      <w:r w:rsidRPr="00B900C1">
        <w:rPr>
          <w:color w:val="000000" w:themeColor="text1"/>
        </w:rPr>
      </w:r>
      <w:r w:rsidRPr="00B900C1">
        <w:rPr>
          <w:color w:val="000000" w:themeColor="text1"/>
        </w:rPr>
        <w:fldChar w:fldCharType="separate"/>
      </w:r>
      <w:r w:rsidR="007B74B7">
        <w:rPr>
          <w:color w:val="000000" w:themeColor="text1"/>
        </w:rPr>
        <w:t>22</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Project Server 2013</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_Toc353375824 \h </w:instrText>
      </w:r>
      <w:r w:rsidRPr="00B900C1">
        <w:rPr>
          <w:color w:val="000000" w:themeColor="text1"/>
        </w:rPr>
      </w:r>
      <w:r w:rsidRPr="00B900C1">
        <w:rPr>
          <w:color w:val="000000" w:themeColor="text1"/>
        </w:rPr>
        <w:fldChar w:fldCharType="separate"/>
      </w:r>
      <w:r w:rsidR="007B74B7">
        <w:rPr>
          <w:color w:val="000000" w:themeColor="text1"/>
        </w:rPr>
        <w:t>22</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CAL per Project Server 2013</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_Toc353375825 \h </w:instrText>
      </w:r>
      <w:r w:rsidRPr="00B900C1">
        <w:rPr>
          <w:color w:val="000000" w:themeColor="text1"/>
        </w:rPr>
      </w:r>
      <w:r w:rsidRPr="00B900C1">
        <w:rPr>
          <w:color w:val="000000" w:themeColor="text1"/>
        </w:rPr>
        <w:fldChar w:fldCharType="separate"/>
      </w:r>
      <w:r w:rsidR="007B74B7">
        <w:rPr>
          <w:color w:val="000000" w:themeColor="text1"/>
        </w:rPr>
        <w:t>22</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SharePoint™ Online Extra Storage 1 GB (SL Add-on)</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_Toc353375826 \h </w:instrText>
      </w:r>
      <w:r w:rsidRPr="00B900C1">
        <w:rPr>
          <w:color w:val="000000" w:themeColor="text1"/>
        </w:rPr>
      </w:r>
      <w:r w:rsidRPr="00B900C1">
        <w:rPr>
          <w:color w:val="000000" w:themeColor="text1"/>
        </w:rPr>
        <w:fldChar w:fldCharType="separate"/>
      </w:r>
      <w:r w:rsidR="007B74B7">
        <w:rPr>
          <w:color w:val="000000" w:themeColor="text1"/>
        </w:rPr>
        <w:t>22</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SharePoint™ Online Extra Storage 1 GB A (SL Add-on)</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_Toc353375827 \h </w:instrText>
      </w:r>
      <w:r w:rsidRPr="00B900C1">
        <w:rPr>
          <w:color w:val="000000" w:themeColor="text1"/>
        </w:rPr>
      </w:r>
      <w:r w:rsidRPr="00B900C1">
        <w:rPr>
          <w:color w:val="000000" w:themeColor="text1"/>
        </w:rPr>
        <w:fldChar w:fldCharType="separate"/>
      </w:r>
      <w:r w:rsidR="007B74B7">
        <w:rPr>
          <w:color w:val="000000" w:themeColor="text1"/>
        </w:rPr>
        <w:t>22</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SharePoint™ Online Piano 1</w:t>
      </w:r>
      <w:r w:rsidR="007E508E" w:rsidRPr="007B74B7">
        <w:rPr>
          <w:rFonts w:cs="Tahoma"/>
          <w:color w:val="000000" w:themeColor="text1"/>
          <w:lang w:val="it-IT"/>
        </w:rPr>
        <w:t xml:space="preserve"> </w:t>
      </w:r>
      <w:r w:rsidRPr="007B74B7">
        <w:rPr>
          <w:rFonts w:cs="Tahoma"/>
          <w:color w:val="000000" w:themeColor="text1"/>
          <w:lang w:val="it-IT"/>
        </w:rPr>
        <w:t>(SL per Utente)</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_Toc353375828 \h </w:instrText>
      </w:r>
      <w:r w:rsidRPr="00B900C1">
        <w:rPr>
          <w:color w:val="000000" w:themeColor="text1"/>
        </w:rPr>
      </w:r>
      <w:r w:rsidRPr="00B900C1">
        <w:rPr>
          <w:color w:val="000000" w:themeColor="text1"/>
        </w:rPr>
        <w:fldChar w:fldCharType="separate"/>
      </w:r>
      <w:r w:rsidR="007B74B7">
        <w:rPr>
          <w:color w:val="000000" w:themeColor="text1"/>
          <w:lang w:val="it-IT"/>
        </w:rPr>
        <w:t>23</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SharePoint™ Online Piano 2</w:t>
      </w:r>
      <w:r w:rsidR="007E508E" w:rsidRPr="007B74B7">
        <w:rPr>
          <w:rFonts w:cs="Tahoma"/>
          <w:color w:val="000000" w:themeColor="text1"/>
          <w:lang w:val="it-IT"/>
        </w:rPr>
        <w:t xml:space="preserve"> </w:t>
      </w:r>
      <w:r w:rsidRPr="007B74B7">
        <w:rPr>
          <w:rFonts w:cs="Tahoma"/>
          <w:color w:val="000000" w:themeColor="text1"/>
          <w:lang w:val="it-IT"/>
        </w:rPr>
        <w:t>(SL per Utente)</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_Toc353375829 \h </w:instrText>
      </w:r>
      <w:r w:rsidRPr="00B900C1">
        <w:rPr>
          <w:color w:val="000000" w:themeColor="text1"/>
        </w:rPr>
      </w:r>
      <w:r w:rsidRPr="00B900C1">
        <w:rPr>
          <w:color w:val="000000" w:themeColor="text1"/>
        </w:rPr>
        <w:fldChar w:fldCharType="separate"/>
      </w:r>
      <w:r w:rsidR="007B74B7">
        <w:rPr>
          <w:color w:val="000000" w:themeColor="text1"/>
          <w:lang w:val="it-IT"/>
        </w:rPr>
        <w:t>23</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SharePoint™ Server 2013</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_Toc353375830 \h </w:instrText>
      </w:r>
      <w:r w:rsidRPr="00B900C1">
        <w:rPr>
          <w:color w:val="000000" w:themeColor="text1"/>
        </w:rPr>
      </w:r>
      <w:r w:rsidRPr="00B900C1">
        <w:rPr>
          <w:color w:val="000000" w:themeColor="text1"/>
        </w:rPr>
        <w:fldChar w:fldCharType="separate"/>
      </w:r>
      <w:r w:rsidR="007B74B7">
        <w:rPr>
          <w:color w:val="000000" w:themeColor="text1"/>
        </w:rPr>
        <w:t>23</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Enterprise CAL per SharePoint™ Server 2013</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_Toc353375831 \h </w:instrText>
      </w:r>
      <w:r w:rsidRPr="00B900C1">
        <w:rPr>
          <w:color w:val="000000" w:themeColor="text1"/>
        </w:rPr>
      </w:r>
      <w:r w:rsidRPr="00B900C1">
        <w:rPr>
          <w:color w:val="000000" w:themeColor="text1"/>
        </w:rPr>
        <w:fldChar w:fldCharType="separate"/>
      </w:r>
      <w:r w:rsidR="007B74B7">
        <w:rPr>
          <w:color w:val="000000" w:themeColor="text1"/>
        </w:rPr>
        <w:t>23</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Standard CAL per SharePoint™ Server 2013</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_Toc353375832 \h </w:instrText>
      </w:r>
      <w:r w:rsidRPr="00B900C1">
        <w:rPr>
          <w:color w:val="000000" w:themeColor="text1"/>
        </w:rPr>
      </w:r>
      <w:r w:rsidRPr="00B900C1">
        <w:rPr>
          <w:color w:val="000000" w:themeColor="text1"/>
        </w:rPr>
        <w:fldChar w:fldCharType="separate"/>
      </w:r>
      <w:r w:rsidR="007B74B7">
        <w:rPr>
          <w:color w:val="000000" w:themeColor="text1"/>
        </w:rPr>
        <w:t>23</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1 Licenza per Processore per</w:t>
      </w:r>
      <w:r w:rsidR="007E508E" w:rsidRPr="007B74B7">
        <w:rPr>
          <w:rFonts w:cs="Tahoma"/>
          <w:color w:val="000000" w:themeColor="text1"/>
          <w:lang w:val="it-IT"/>
        </w:rPr>
        <w:t xml:space="preserve"> </w:t>
      </w:r>
      <w:r w:rsidRPr="007B74B7">
        <w:rPr>
          <w:rFonts w:cs="Tahoma"/>
          <w:color w:val="000000" w:themeColor="text1"/>
          <w:lang w:val="it-IT"/>
        </w:rPr>
        <w:t>SQL Server</w:t>
      </w:r>
      <w:r w:rsidRPr="007B74B7">
        <w:rPr>
          <w:rFonts w:eastAsia="Times New Roman" w:cs="Tahoma"/>
          <w:color w:val="000000" w:themeColor="text1"/>
          <w:vertAlign w:val="superscript"/>
          <w:lang w:val="it-IT"/>
        </w:rPr>
        <w:t>®</w:t>
      </w:r>
      <w:r w:rsidRPr="007B74B7">
        <w:rPr>
          <w:rFonts w:cs="Tahoma"/>
          <w:color w:val="000000" w:themeColor="text1"/>
          <w:lang w:val="it-IT"/>
        </w:rPr>
        <w:t xml:space="preserve"> 2008 R2 Datacenter</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_Toc353375833 \h </w:instrText>
      </w:r>
      <w:r w:rsidRPr="00B900C1">
        <w:rPr>
          <w:color w:val="000000" w:themeColor="text1"/>
        </w:rPr>
      </w:r>
      <w:r w:rsidRPr="00B900C1">
        <w:rPr>
          <w:color w:val="000000" w:themeColor="text1"/>
        </w:rPr>
        <w:fldChar w:fldCharType="separate"/>
      </w:r>
      <w:r w:rsidR="007B74B7">
        <w:rPr>
          <w:color w:val="000000" w:themeColor="text1"/>
          <w:lang w:val="it-IT"/>
        </w:rPr>
        <w:t>23</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SQL Server</w:t>
      </w:r>
      <w:r w:rsidRPr="00B900C1">
        <w:rPr>
          <w:rFonts w:eastAsia="Times New Roman" w:cs="Tahoma"/>
          <w:color w:val="000000" w:themeColor="text1"/>
          <w:vertAlign w:val="superscript"/>
        </w:rPr>
        <w:t>®</w:t>
      </w:r>
      <w:r w:rsidRPr="00B900C1">
        <w:rPr>
          <w:rFonts w:cs="Tahoma"/>
          <w:color w:val="000000" w:themeColor="text1"/>
        </w:rPr>
        <w:t xml:space="preserve"> 2008 R2 Small Business</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_Toc353375834 \h </w:instrText>
      </w:r>
      <w:r w:rsidRPr="00B900C1">
        <w:rPr>
          <w:color w:val="000000" w:themeColor="text1"/>
        </w:rPr>
      </w:r>
      <w:r w:rsidRPr="00B900C1">
        <w:rPr>
          <w:color w:val="000000" w:themeColor="text1"/>
        </w:rPr>
        <w:fldChar w:fldCharType="separate"/>
      </w:r>
      <w:r w:rsidR="007B74B7">
        <w:rPr>
          <w:color w:val="000000" w:themeColor="text1"/>
        </w:rPr>
        <w:t>23</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Licenza CAL per SQL Server</w:t>
      </w:r>
      <w:r w:rsidRPr="007B74B7">
        <w:rPr>
          <w:rFonts w:eastAsia="Times New Roman" w:cs="Tahoma"/>
          <w:color w:val="000000" w:themeColor="text1"/>
          <w:vertAlign w:val="superscript"/>
          <w:lang w:val="it-IT"/>
        </w:rPr>
        <w:t>®</w:t>
      </w:r>
      <w:r w:rsidRPr="007B74B7">
        <w:rPr>
          <w:rFonts w:cs="Tahoma"/>
          <w:color w:val="000000" w:themeColor="text1"/>
          <w:lang w:val="it-IT"/>
        </w:rPr>
        <w:t xml:space="preserve"> 2008 R2 Small Business</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_Toc353375835 \h </w:instrText>
      </w:r>
      <w:r w:rsidRPr="00B900C1">
        <w:rPr>
          <w:color w:val="000000" w:themeColor="text1"/>
        </w:rPr>
      </w:r>
      <w:r w:rsidRPr="00B900C1">
        <w:rPr>
          <w:color w:val="000000" w:themeColor="text1"/>
        </w:rPr>
        <w:fldChar w:fldCharType="separate"/>
      </w:r>
      <w:r w:rsidR="007B74B7">
        <w:rPr>
          <w:color w:val="000000" w:themeColor="text1"/>
          <w:lang w:val="it-IT"/>
        </w:rPr>
        <w:t>23</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Licenza Per Processore per SQL Server</w:t>
      </w:r>
      <w:r w:rsidRPr="007B74B7">
        <w:rPr>
          <w:rFonts w:eastAsia="Times New Roman" w:cs="Tahoma"/>
          <w:color w:val="000000" w:themeColor="text1"/>
          <w:vertAlign w:val="superscript"/>
          <w:lang w:val="it-IT"/>
        </w:rPr>
        <w:t>®</w:t>
      </w:r>
      <w:r w:rsidRPr="007B74B7">
        <w:rPr>
          <w:rFonts w:cs="Tahoma"/>
          <w:color w:val="000000" w:themeColor="text1"/>
          <w:lang w:val="it-IT"/>
        </w:rPr>
        <w:t xml:space="preserve"> 2008 R2 Web</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_Toc353375836 \h </w:instrText>
      </w:r>
      <w:r w:rsidRPr="00B900C1">
        <w:rPr>
          <w:color w:val="000000" w:themeColor="text1"/>
        </w:rPr>
      </w:r>
      <w:r w:rsidRPr="00B900C1">
        <w:rPr>
          <w:color w:val="000000" w:themeColor="text1"/>
        </w:rPr>
        <w:fldChar w:fldCharType="separate"/>
      </w:r>
      <w:r w:rsidR="007B74B7">
        <w:rPr>
          <w:color w:val="000000" w:themeColor="text1"/>
          <w:lang w:val="it-IT"/>
        </w:rPr>
        <w:t>23</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Licenza CAL per SQL Server</w:t>
      </w:r>
      <w:r w:rsidRPr="007B74B7">
        <w:rPr>
          <w:rFonts w:eastAsia="Times New Roman" w:cs="Tahoma"/>
          <w:color w:val="000000" w:themeColor="text1"/>
          <w:vertAlign w:val="superscript"/>
          <w:lang w:val="it-IT"/>
        </w:rPr>
        <w:t>®</w:t>
      </w:r>
      <w:r w:rsidRPr="007B74B7">
        <w:rPr>
          <w:rFonts w:cs="Tahoma"/>
          <w:color w:val="000000" w:themeColor="text1"/>
          <w:lang w:val="it-IT"/>
        </w:rPr>
        <w:t xml:space="preserve"> 2008 R2 Workgroup</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_Toc353375837 \h </w:instrText>
      </w:r>
      <w:r w:rsidRPr="00B900C1">
        <w:rPr>
          <w:color w:val="000000" w:themeColor="text1"/>
        </w:rPr>
      </w:r>
      <w:r w:rsidRPr="00B900C1">
        <w:rPr>
          <w:color w:val="000000" w:themeColor="text1"/>
        </w:rPr>
        <w:fldChar w:fldCharType="separate"/>
      </w:r>
      <w:r w:rsidR="007B74B7">
        <w:rPr>
          <w:color w:val="000000" w:themeColor="text1"/>
          <w:lang w:val="it-IT"/>
        </w:rPr>
        <w:t>23</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SQL Server</w:t>
      </w:r>
      <w:r w:rsidRPr="00B900C1">
        <w:rPr>
          <w:rFonts w:eastAsia="Times New Roman" w:cs="Tahoma"/>
          <w:color w:val="000000" w:themeColor="text1"/>
          <w:vertAlign w:val="superscript"/>
        </w:rPr>
        <w:t>®</w:t>
      </w:r>
      <w:r w:rsidRPr="00B900C1">
        <w:rPr>
          <w:rFonts w:cs="Tahoma"/>
          <w:color w:val="000000" w:themeColor="text1"/>
        </w:rPr>
        <w:t xml:space="preserve"> 2008 R2 Workgroup</w:t>
      </w:r>
      <w:r w:rsidR="007E508E">
        <w:rPr>
          <w:rFonts w:cs="Tahoma"/>
          <w:color w:val="000000" w:themeColor="text1"/>
        </w:rPr>
        <w:t xml:space="preserve"> </w:t>
      </w:r>
      <w:r w:rsidRPr="00B900C1">
        <w:rPr>
          <w:rFonts w:cs="Tahoma"/>
          <w:color w:val="000000" w:themeColor="text1"/>
        </w:rPr>
        <w:t>(5 Add On Client)</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_Toc353375838 \h </w:instrText>
      </w:r>
      <w:r w:rsidRPr="00B900C1">
        <w:rPr>
          <w:color w:val="000000" w:themeColor="text1"/>
        </w:rPr>
      </w:r>
      <w:r w:rsidRPr="00B900C1">
        <w:rPr>
          <w:color w:val="000000" w:themeColor="text1"/>
        </w:rPr>
        <w:fldChar w:fldCharType="separate"/>
      </w:r>
      <w:r w:rsidR="007B74B7">
        <w:rPr>
          <w:color w:val="000000" w:themeColor="text1"/>
        </w:rPr>
        <w:t>23</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1 Licenza per Processore per</w:t>
      </w:r>
      <w:r w:rsidR="007E508E" w:rsidRPr="007B74B7">
        <w:rPr>
          <w:rFonts w:cs="Tahoma"/>
          <w:color w:val="000000" w:themeColor="text1"/>
          <w:lang w:val="it-IT"/>
        </w:rPr>
        <w:t xml:space="preserve"> </w:t>
      </w:r>
      <w:r w:rsidRPr="007B74B7">
        <w:rPr>
          <w:rFonts w:cs="Tahoma"/>
          <w:color w:val="000000" w:themeColor="text1"/>
          <w:lang w:val="it-IT"/>
        </w:rPr>
        <w:t>SQL Server</w:t>
      </w:r>
      <w:r w:rsidRPr="007B74B7">
        <w:rPr>
          <w:rFonts w:eastAsia="Times New Roman" w:cs="Tahoma"/>
          <w:color w:val="000000" w:themeColor="text1"/>
          <w:vertAlign w:val="superscript"/>
          <w:lang w:val="it-IT"/>
        </w:rPr>
        <w:t>®</w:t>
      </w:r>
      <w:r w:rsidRPr="007B74B7">
        <w:rPr>
          <w:rFonts w:cs="Tahoma"/>
          <w:color w:val="000000" w:themeColor="text1"/>
          <w:lang w:val="it-IT"/>
        </w:rPr>
        <w:t xml:space="preserve"> 2008 R2 Workgroup</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_Toc353375839 \h </w:instrText>
      </w:r>
      <w:r w:rsidRPr="00B900C1">
        <w:rPr>
          <w:color w:val="000000" w:themeColor="text1"/>
        </w:rPr>
      </w:r>
      <w:r w:rsidRPr="00B900C1">
        <w:rPr>
          <w:color w:val="000000" w:themeColor="text1"/>
        </w:rPr>
        <w:fldChar w:fldCharType="separate"/>
      </w:r>
      <w:r w:rsidR="007B74B7">
        <w:rPr>
          <w:color w:val="000000" w:themeColor="text1"/>
          <w:lang w:val="it-IT"/>
        </w:rPr>
        <w:t>23</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SQL Server</w:t>
      </w:r>
      <w:r w:rsidRPr="007B74B7">
        <w:rPr>
          <w:rFonts w:eastAsia="Times New Roman" w:cs="Tahoma"/>
          <w:color w:val="000000" w:themeColor="text1"/>
          <w:vertAlign w:val="superscript"/>
          <w:lang w:val="it-IT"/>
        </w:rPr>
        <w:t>®</w:t>
      </w:r>
      <w:r w:rsidRPr="007B74B7">
        <w:rPr>
          <w:rFonts w:cs="Tahoma"/>
          <w:color w:val="000000" w:themeColor="text1"/>
          <w:lang w:val="it-IT"/>
        </w:rPr>
        <w:t xml:space="preserve"> 2012 Business Intelligence</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_Toc353375840 \h </w:instrText>
      </w:r>
      <w:r w:rsidRPr="00B900C1">
        <w:rPr>
          <w:color w:val="000000" w:themeColor="text1"/>
        </w:rPr>
      </w:r>
      <w:r w:rsidRPr="00B900C1">
        <w:rPr>
          <w:color w:val="000000" w:themeColor="text1"/>
        </w:rPr>
        <w:fldChar w:fldCharType="separate"/>
      </w:r>
      <w:r w:rsidR="007B74B7">
        <w:rPr>
          <w:color w:val="000000" w:themeColor="text1"/>
          <w:lang w:val="it-IT"/>
        </w:rPr>
        <w:t>23</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Licenza CAL per SQL Server</w:t>
      </w:r>
      <w:r w:rsidRPr="007B74B7">
        <w:rPr>
          <w:rFonts w:eastAsia="Times New Roman" w:cs="Tahoma"/>
          <w:color w:val="000000" w:themeColor="text1"/>
          <w:vertAlign w:val="superscript"/>
          <w:lang w:val="it-IT"/>
        </w:rPr>
        <w:t>®</w:t>
      </w:r>
      <w:r w:rsidRPr="007B74B7">
        <w:rPr>
          <w:rFonts w:cs="Tahoma"/>
          <w:color w:val="000000" w:themeColor="text1"/>
          <w:lang w:val="it-IT"/>
        </w:rPr>
        <w:t xml:space="preserve"> 2012</w:t>
      </w:r>
      <w:r w:rsidR="007E508E" w:rsidRPr="007B74B7">
        <w:rPr>
          <w:rFonts w:cs="Tahoma"/>
          <w:color w:val="000000" w:themeColor="text1"/>
          <w:lang w:val="it-IT"/>
        </w:rPr>
        <w:t xml:space="preserve"> </w:t>
      </w:r>
      <w:r w:rsidRPr="007B74B7">
        <w:rPr>
          <w:rFonts w:cs="Tahoma"/>
          <w:color w:val="000000" w:themeColor="text1"/>
          <w:lang w:val="it-IT"/>
        </w:rPr>
        <w:t>(SL per Dispositivo e Utente)</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_Toc353375841 \h </w:instrText>
      </w:r>
      <w:r w:rsidRPr="00B900C1">
        <w:rPr>
          <w:color w:val="000000" w:themeColor="text1"/>
        </w:rPr>
      </w:r>
      <w:r w:rsidRPr="00B900C1">
        <w:rPr>
          <w:color w:val="000000" w:themeColor="text1"/>
        </w:rPr>
        <w:fldChar w:fldCharType="separate"/>
      </w:r>
      <w:r w:rsidR="007B74B7">
        <w:rPr>
          <w:color w:val="000000" w:themeColor="text1"/>
          <w:lang w:val="it-IT"/>
        </w:rPr>
        <w:t>23</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SQL Server</w:t>
      </w:r>
      <w:r w:rsidRPr="007B74B7">
        <w:rPr>
          <w:rFonts w:eastAsia="Times New Roman" w:cs="Tahoma"/>
          <w:color w:val="000000" w:themeColor="text1"/>
          <w:vertAlign w:val="superscript"/>
          <w:lang w:val="it-IT"/>
        </w:rPr>
        <w:t>®</w:t>
      </w:r>
      <w:r w:rsidRPr="007B74B7">
        <w:rPr>
          <w:rFonts w:cs="Tahoma"/>
          <w:color w:val="000000" w:themeColor="text1"/>
          <w:lang w:val="it-IT"/>
        </w:rPr>
        <w:t xml:space="preserve"> 2012 Developer</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_Toc353375842 \h </w:instrText>
      </w:r>
      <w:r w:rsidRPr="00B900C1">
        <w:rPr>
          <w:color w:val="000000" w:themeColor="text1"/>
        </w:rPr>
      </w:r>
      <w:r w:rsidRPr="00B900C1">
        <w:rPr>
          <w:color w:val="000000" w:themeColor="text1"/>
        </w:rPr>
        <w:fldChar w:fldCharType="separate"/>
      </w:r>
      <w:r w:rsidR="007B74B7">
        <w:rPr>
          <w:color w:val="000000" w:themeColor="text1"/>
          <w:lang w:val="it-IT"/>
        </w:rPr>
        <w:t>23</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SQL Server</w:t>
      </w:r>
      <w:r w:rsidRPr="007B74B7">
        <w:rPr>
          <w:rFonts w:eastAsia="Times New Roman" w:cs="Tahoma"/>
          <w:color w:val="000000" w:themeColor="text1"/>
          <w:vertAlign w:val="superscript"/>
          <w:lang w:val="it-IT"/>
        </w:rPr>
        <w:t>®</w:t>
      </w:r>
      <w:r w:rsidRPr="007B74B7">
        <w:rPr>
          <w:rFonts w:cs="Tahoma"/>
          <w:color w:val="000000" w:themeColor="text1"/>
          <w:lang w:val="it-IT"/>
        </w:rPr>
        <w:t xml:space="preserve"> 2012 Enterprise</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_Toc353375843 \h </w:instrText>
      </w:r>
      <w:r w:rsidRPr="00B900C1">
        <w:rPr>
          <w:color w:val="000000" w:themeColor="text1"/>
        </w:rPr>
      </w:r>
      <w:r w:rsidRPr="00B900C1">
        <w:rPr>
          <w:color w:val="000000" w:themeColor="text1"/>
        </w:rPr>
        <w:fldChar w:fldCharType="separate"/>
      </w:r>
      <w:r w:rsidR="007B74B7">
        <w:rPr>
          <w:color w:val="000000" w:themeColor="text1"/>
          <w:lang w:val="it-IT"/>
        </w:rPr>
        <w:t>23</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SQL Server</w:t>
      </w:r>
      <w:r w:rsidRPr="007B74B7">
        <w:rPr>
          <w:rFonts w:eastAsia="Times New Roman" w:cs="Tahoma"/>
          <w:color w:val="000000" w:themeColor="text1"/>
          <w:vertAlign w:val="superscript"/>
          <w:lang w:val="it-IT"/>
        </w:rPr>
        <w:t>®</w:t>
      </w:r>
      <w:r w:rsidRPr="007B74B7">
        <w:rPr>
          <w:rFonts w:cs="Tahoma"/>
          <w:color w:val="000000" w:themeColor="text1"/>
          <w:lang w:val="it-IT"/>
        </w:rPr>
        <w:t xml:space="preserve"> 2012 Enterprise Core (2 Licenze Core per confezione)</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_Toc353375844 \h </w:instrText>
      </w:r>
      <w:r w:rsidRPr="00B900C1">
        <w:rPr>
          <w:color w:val="000000" w:themeColor="text1"/>
        </w:rPr>
      </w:r>
      <w:r w:rsidRPr="00B900C1">
        <w:rPr>
          <w:color w:val="000000" w:themeColor="text1"/>
        </w:rPr>
        <w:fldChar w:fldCharType="separate"/>
      </w:r>
      <w:r w:rsidR="007B74B7">
        <w:rPr>
          <w:color w:val="000000" w:themeColor="text1"/>
          <w:lang w:val="it-IT"/>
        </w:rPr>
        <w:t>23</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SQL Server</w:t>
      </w:r>
      <w:r w:rsidRPr="00B900C1">
        <w:rPr>
          <w:rFonts w:eastAsia="Times New Roman" w:cs="Tahoma"/>
          <w:color w:val="000000" w:themeColor="text1"/>
          <w:vertAlign w:val="superscript"/>
        </w:rPr>
        <w:t>®</w:t>
      </w:r>
      <w:r w:rsidRPr="00B900C1">
        <w:rPr>
          <w:rFonts w:cs="Tahoma"/>
          <w:color w:val="000000" w:themeColor="text1"/>
        </w:rPr>
        <w:t xml:space="preserve"> 2012 Parallel Data Warehouse</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_Toc353375845 \h </w:instrText>
      </w:r>
      <w:r w:rsidRPr="00B900C1">
        <w:rPr>
          <w:color w:val="000000" w:themeColor="text1"/>
        </w:rPr>
      </w:r>
      <w:r w:rsidRPr="00B900C1">
        <w:rPr>
          <w:color w:val="000000" w:themeColor="text1"/>
        </w:rPr>
        <w:fldChar w:fldCharType="separate"/>
      </w:r>
      <w:r w:rsidR="007B74B7">
        <w:rPr>
          <w:color w:val="000000" w:themeColor="text1"/>
        </w:rPr>
        <w:t>23</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SQL Server</w:t>
      </w:r>
      <w:r w:rsidRPr="00B900C1">
        <w:rPr>
          <w:rFonts w:eastAsia="Times New Roman" w:cs="Tahoma"/>
          <w:color w:val="000000" w:themeColor="text1"/>
          <w:vertAlign w:val="superscript"/>
        </w:rPr>
        <w:t>®</w:t>
      </w:r>
      <w:r w:rsidRPr="00B900C1">
        <w:rPr>
          <w:rFonts w:cs="Tahoma"/>
          <w:color w:val="000000" w:themeColor="text1"/>
        </w:rPr>
        <w:t xml:space="preserve"> 2012 Parallel Data Warehouse Developer</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_Toc353375846 \h </w:instrText>
      </w:r>
      <w:r w:rsidRPr="00B900C1">
        <w:rPr>
          <w:color w:val="000000" w:themeColor="text1"/>
        </w:rPr>
      </w:r>
      <w:r w:rsidRPr="00B900C1">
        <w:rPr>
          <w:color w:val="000000" w:themeColor="text1"/>
        </w:rPr>
        <w:fldChar w:fldCharType="separate"/>
      </w:r>
      <w:r w:rsidR="007B74B7">
        <w:rPr>
          <w:color w:val="000000" w:themeColor="text1"/>
        </w:rPr>
        <w:t>23</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SQL Server</w:t>
      </w:r>
      <w:r w:rsidRPr="007B74B7">
        <w:rPr>
          <w:rFonts w:eastAsia="Times New Roman" w:cs="Tahoma"/>
          <w:color w:val="000000" w:themeColor="text1"/>
          <w:vertAlign w:val="superscript"/>
          <w:lang w:val="it-IT"/>
        </w:rPr>
        <w:t>®</w:t>
      </w:r>
      <w:r w:rsidRPr="007B74B7">
        <w:rPr>
          <w:rFonts w:cs="Tahoma"/>
          <w:color w:val="000000" w:themeColor="text1"/>
          <w:lang w:val="it-IT"/>
        </w:rPr>
        <w:t xml:space="preserve"> 2012 Standard</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_Toc353375847 \h </w:instrText>
      </w:r>
      <w:r w:rsidRPr="00B900C1">
        <w:rPr>
          <w:color w:val="000000" w:themeColor="text1"/>
        </w:rPr>
      </w:r>
      <w:r w:rsidRPr="00B900C1">
        <w:rPr>
          <w:color w:val="000000" w:themeColor="text1"/>
        </w:rPr>
        <w:fldChar w:fldCharType="separate"/>
      </w:r>
      <w:r w:rsidR="007B74B7">
        <w:rPr>
          <w:color w:val="000000" w:themeColor="text1"/>
          <w:lang w:val="it-IT"/>
        </w:rPr>
        <w:t>23</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SQL Server</w:t>
      </w:r>
      <w:r w:rsidRPr="007B74B7">
        <w:rPr>
          <w:rFonts w:eastAsia="Times New Roman" w:cs="Tahoma"/>
          <w:color w:val="000000" w:themeColor="text1"/>
          <w:vertAlign w:val="superscript"/>
          <w:lang w:val="it-IT"/>
        </w:rPr>
        <w:t>®</w:t>
      </w:r>
      <w:r w:rsidRPr="007B74B7">
        <w:rPr>
          <w:rFonts w:cs="Tahoma"/>
          <w:color w:val="000000" w:themeColor="text1"/>
          <w:lang w:val="it-IT"/>
        </w:rPr>
        <w:t xml:space="preserve"> 2012 Standard Core (2 Licenze Core per confezione)</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_Toc353375848 \h </w:instrText>
      </w:r>
      <w:r w:rsidRPr="00B900C1">
        <w:rPr>
          <w:color w:val="000000" w:themeColor="text1"/>
        </w:rPr>
      </w:r>
      <w:r w:rsidRPr="00B900C1">
        <w:rPr>
          <w:color w:val="000000" w:themeColor="text1"/>
        </w:rPr>
        <w:fldChar w:fldCharType="separate"/>
      </w:r>
      <w:r w:rsidR="007B74B7">
        <w:rPr>
          <w:color w:val="000000" w:themeColor="text1"/>
          <w:lang w:val="it-IT"/>
        </w:rPr>
        <w:t>23</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Licenza di Gestione Server Enterprise per System Center Configuration Manager 2007 R3</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_Toc353375849 \h </w:instrText>
      </w:r>
      <w:r w:rsidRPr="00B900C1">
        <w:rPr>
          <w:color w:val="000000" w:themeColor="text1"/>
        </w:rPr>
      </w:r>
      <w:r w:rsidRPr="00B900C1">
        <w:rPr>
          <w:color w:val="000000" w:themeColor="text1"/>
        </w:rPr>
        <w:fldChar w:fldCharType="separate"/>
      </w:r>
      <w:r w:rsidR="007B74B7">
        <w:rPr>
          <w:color w:val="000000" w:themeColor="text1"/>
          <w:lang w:val="it-IT"/>
        </w:rPr>
        <w:t>23</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Licenza di Gestione Server Standard (Standard Server ML) per System Center Configuration Manager 2007 R3</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_Toc353375850 \h </w:instrText>
      </w:r>
      <w:r w:rsidRPr="00B900C1">
        <w:rPr>
          <w:color w:val="000000" w:themeColor="text1"/>
        </w:rPr>
      </w:r>
      <w:r w:rsidRPr="00B900C1">
        <w:rPr>
          <w:color w:val="000000" w:themeColor="text1"/>
        </w:rPr>
        <w:fldChar w:fldCharType="separate"/>
      </w:r>
      <w:r w:rsidR="007B74B7">
        <w:rPr>
          <w:color w:val="000000" w:themeColor="text1"/>
          <w:lang w:val="it-IT"/>
        </w:rPr>
        <w:t>23</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Licenza di Gestione Server Enterprise per System Center Data Protection Manager 2010</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_Toc353375851 \h </w:instrText>
      </w:r>
      <w:r w:rsidRPr="00B900C1">
        <w:rPr>
          <w:color w:val="000000" w:themeColor="text1"/>
        </w:rPr>
      </w:r>
      <w:r w:rsidRPr="00B900C1">
        <w:rPr>
          <w:color w:val="000000" w:themeColor="text1"/>
        </w:rPr>
        <w:fldChar w:fldCharType="separate"/>
      </w:r>
      <w:r w:rsidR="007B74B7">
        <w:rPr>
          <w:color w:val="000000" w:themeColor="text1"/>
          <w:lang w:val="it-IT"/>
        </w:rPr>
        <w:t>23</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lastRenderedPageBreak/>
        <w:t>Licenza di Gestione Server Standard per System Center Data Protection Manager 2010</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_Toc353375852 \h </w:instrText>
      </w:r>
      <w:r w:rsidRPr="00B900C1">
        <w:rPr>
          <w:color w:val="000000" w:themeColor="text1"/>
        </w:rPr>
      </w:r>
      <w:r w:rsidRPr="00B900C1">
        <w:rPr>
          <w:color w:val="000000" w:themeColor="text1"/>
        </w:rPr>
        <w:fldChar w:fldCharType="separate"/>
      </w:r>
      <w:r w:rsidR="007B74B7">
        <w:rPr>
          <w:color w:val="000000" w:themeColor="text1"/>
          <w:lang w:val="it-IT"/>
        </w:rPr>
        <w:t>23</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System Center Essentials 2010</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_Toc353375853 \h </w:instrText>
      </w:r>
      <w:r w:rsidRPr="00B900C1">
        <w:rPr>
          <w:color w:val="000000" w:themeColor="text1"/>
        </w:rPr>
      </w:r>
      <w:r w:rsidRPr="00B900C1">
        <w:rPr>
          <w:color w:val="000000" w:themeColor="text1"/>
        </w:rPr>
        <w:fldChar w:fldCharType="separate"/>
      </w:r>
      <w:r w:rsidR="007B74B7">
        <w:rPr>
          <w:color w:val="000000" w:themeColor="text1"/>
        </w:rPr>
        <w:t>24</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Client ML per System Center Essentials 2010</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_Toc353375854 \h </w:instrText>
      </w:r>
      <w:r w:rsidRPr="00B900C1">
        <w:rPr>
          <w:color w:val="000000" w:themeColor="text1"/>
        </w:rPr>
      </w:r>
      <w:r w:rsidRPr="00B900C1">
        <w:rPr>
          <w:color w:val="000000" w:themeColor="text1"/>
        </w:rPr>
        <w:fldChar w:fldCharType="separate"/>
      </w:r>
      <w:r w:rsidR="007B74B7">
        <w:rPr>
          <w:color w:val="000000" w:themeColor="text1"/>
        </w:rPr>
        <w:t>24</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Server ML per System Center Essentials 2010</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_Toc353375855 \h </w:instrText>
      </w:r>
      <w:r w:rsidRPr="00B900C1">
        <w:rPr>
          <w:color w:val="000000" w:themeColor="text1"/>
        </w:rPr>
      </w:r>
      <w:r w:rsidRPr="00B900C1">
        <w:rPr>
          <w:color w:val="000000" w:themeColor="text1"/>
        </w:rPr>
        <w:fldChar w:fldCharType="separate"/>
      </w:r>
      <w:r w:rsidR="007B74B7">
        <w:rPr>
          <w:color w:val="000000" w:themeColor="text1"/>
        </w:rPr>
        <w:t>24</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System Center Essentials 2010 con Tecnologia SQL Server 2008</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_Toc353375856 \h </w:instrText>
      </w:r>
      <w:r w:rsidRPr="00B900C1">
        <w:rPr>
          <w:color w:val="000000" w:themeColor="text1"/>
        </w:rPr>
      </w:r>
      <w:r w:rsidRPr="00B900C1">
        <w:rPr>
          <w:color w:val="000000" w:themeColor="text1"/>
        </w:rPr>
        <w:fldChar w:fldCharType="separate"/>
      </w:r>
      <w:r w:rsidR="007B74B7">
        <w:rPr>
          <w:color w:val="000000" w:themeColor="text1"/>
        </w:rPr>
        <w:t>24</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Suite di Licenza di Gestione Client per System Center Essentials Plus 2010</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_Toc353375857 \h </w:instrText>
      </w:r>
      <w:r w:rsidRPr="00B900C1">
        <w:rPr>
          <w:color w:val="000000" w:themeColor="text1"/>
        </w:rPr>
      </w:r>
      <w:r w:rsidRPr="00B900C1">
        <w:rPr>
          <w:color w:val="000000" w:themeColor="text1"/>
        </w:rPr>
        <w:fldChar w:fldCharType="separate"/>
      </w:r>
      <w:r w:rsidR="007B74B7">
        <w:rPr>
          <w:color w:val="000000" w:themeColor="text1"/>
        </w:rPr>
        <w:t>24</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Licenza di Gestione Server Standard per System Center Operations Manager 2007 R2</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_Toc353375858 \h </w:instrText>
      </w:r>
      <w:r w:rsidRPr="00B900C1">
        <w:rPr>
          <w:color w:val="000000" w:themeColor="text1"/>
        </w:rPr>
      </w:r>
      <w:r w:rsidRPr="00B900C1">
        <w:rPr>
          <w:color w:val="000000" w:themeColor="text1"/>
        </w:rPr>
        <w:fldChar w:fldCharType="separate"/>
      </w:r>
      <w:r w:rsidR="007B74B7">
        <w:rPr>
          <w:color w:val="000000" w:themeColor="text1"/>
          <w:lang w:val="it-IT"/>
        </w:rPr>
        <w:t>24</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Licenza di Gestione Server Enterprise per System Center Operations Manager 2007 R2</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_Toc353375859 \h </w:instrText>
      </w:r>
      <w:r w:rsidRPr="00B900C1">
        <w:rPr>
          <w:color w:val="000000" w:themeColor="text1"/>
        </w:rPr>
      </w:r>
      <w:r w:rsidRPr="00B900C1">
        <w:rPr>
          <w:color w:val="000000" w:themeColor="text1"/>
        </w:rPr>
        <w:fldChar w:fldCharType="separate"/>
      </w:r>
      <w:r w:rsidR="007B74B7">
        <w:rPr>
          <w:color w:val="000000" w:themeColor="text1"/>
          <w:lang w:val="it-IT"/>
        </w:rPr>
        <w:t>24</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Licenza di Gestione Client per OSE per System Center Operations Manager 2007 R2</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_Toc353375860 \h </w:instrText>
      </w:r>
      <w:r w:rsidRPr="00B900C1">
        <w:rPr>
          <w:color w:val="000000" w:themeColor="text1"/>
        </w:rPr>
      </w:r>
      <w:r w:rsidRPr="00B900C1">
        <w:rPr>
          <w:color w:val="000000" w:themeColor="text1"/>
        </w:rPr>
        <w:fldChar w:fldCharType="separate"/>
      </w:r>
      <w:r w:rsidR="007B74B7">
        <w:rPr>
          <w:color w:val="000000" w:themeColor="text1"/>
          <w:lang w:val="it-IT"/>
        </w:rPr>
        <w:t>24</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Licenza di Gestione Client per Utente per System Center Operations Manager</w:t>
      </w:r>
      <w:r w:rsidR="007E508E" w:rsidRPr="007B74B7">
        <w:rPr>
          <w:rFonts w:cs="Tahoma"/>
          <w:color w:val="000000" w:themeColor="text1"/>
          <w:lang w:val="it-IT"/>
        </w:rPr>
        <w:t xml:space="preserve"> </w:t>
      </w:r>
      <w:r w:rsidRPr="007B74B7">
        <w:rPr>
          <w:rFonts w:cs="Tahoma"/>
          <w:color w:val="000000" w:themeColor="text1"/>
          <w:lang w:val="it-IT"/>
        </w:rPr>
        <w:t>2007 R2</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_Toc353375861 \h </w:instrText>
      </w:r>
      <w:r w:rsidRPr="00B900C1">
        <w:rPr>
          <w:color w:val="000000" w:themeColor="text1"/>
        </w:rPr>
      </w:r>
      <w:r w:rsidRPr="00B900C1">
        <w:rPr>
          <w:color w:val="000000" w:themeColor="text1"/>
        </w:rPr>
        <w:fldChar w:fldCharType="separate"/>
      </w:r>
      <w:r w:rsidR="007B74B7">
        <w:rPr>
          <w:color w:val="000000" w:themeColor="text1"/>
          <w:lang w:val="it-IT"/>
        </w:rPr>
        <w:t>24</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System Center Reporting Manager 2006</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_Toc353375862 \h </w:instrText>
      </w:r>
      <w:r w:rsidRPr="00B900C1">
        <w:rPr>
          <w:color w:val="000000" w:themeColor="text1"/>
        </w:rPr>
      </w:r>
      <w:r w:rsidRPr="00B900C1">
        <w:rPr>
          <w:color w:val="000000" w:themeColor="text1"/>
        </w:rPr>
        <w:fldChar w:fldCharType="separate"/>
      </w:r>
      <w:r w:rsidR="007B74B7">
        <w:rPr>
          <w:color w:val="000000" w:themeColor="text1"/>
          <w:lang w:val="it-IT"/>
        </w:rPr>
        <w:t>24</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System Center Server Management Suite Enterprise</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_Toc353375863 \h </w:instrText>
      </w:r>
      <w:r w:rsidRPr="00B900C1">
        <w:rPr>
          <w:color w:val="000000" w:themeColor="text1"/>
        </w:rPr>
      </w:r>
      <w:r w:rsidRPr="00B900C1">
        <w:rPr>
          <w:color w:val="000000" w:themeColor="text1"/>
        </w:rPr>
        <w:fldChar w:fldCharType="separate"/>
      </w:r>
      <w:r w:rsidR="007B74B7">
        <w:rPr>
          <w:color w:val="000000" w:themeColor="text1"/>
          <w:lang w:val="it-IT"/>
        </w:rPr>
        <w:t>24</w:t>
      </w:r>
      <w:r w:rsidRPr="00B900C1">
        <w:rPr>
          <w:color w:val="000000" w:themeColor="text1"/>
        </w:rPr>
        <w:fldChar w:fldCharType="end"/>
      </w:r>
    </w:p>
    <w:p w:rsidR="00BD7CEA" w:rsidRPr="007B74B7" w:rsidRDefault="00BD7CEA">
      <w:pPr>
        <w:pStyle w:val="TOC4"/>
        <w:rPr>
          <w:rFonts w:asciiTheme="minorHAnsi" w:eastAsiaTheme="minorEastAsia" w:hAnsiTheme="minorHAnsi" w:cstheme="minorBidi"/>
          <w:noProof/>
          <w:color w:val="000000" w:themeColor="text1"/>
          <w:sz w:val="22"/>
          <w:szCs w:val="22"/>
          <w:lang w:val="it-IT"/>
        </w:rPr>
      </w:pPr>
      <w:r w:rsidRPr="007B74B7">
        <w:rPr>
          <w:rFonts w:cs="Tahoma"/>
          <w:noProof/>
          <w:color w:val="000000" w:themeColor="text1"/>
          <w:lang w:val="it-IT"/>
        </w:rPr>
        <w:t>System Center Server Management Suite Datacenter</w:t>
      </w:r>
      <w:r w:rsidRPr="007B74B7">
        <w:rPr>
          <w:noProof/>
          <w:color w:val="000000" w:themeColor="text1"/>
          <w:lang w:val="it-IT"/>
        </w:rPr>
        <w:tab/>
      </w:r>
      <w:r w:rsidRPr="00B900C1">
        <w:rPr>
          <w:noProof/>
          <w:color w:val="000000" w:themeColor="text1"/>
        </w:rPr>
        <w:fldChar w:fldCharType="begin"/>
      </w:r>
      <w:r w:rsidRPr="007B74B7">
        <w:rPr>
          <w:noProof/>
          <w:color w:val="000000" w:themeColor="text1"/>
          <w:lang w:val="it-IT"/>
        </w:rPr>
        <w:instrText xml:space="preserve"> PAGEREF _Toc353375864 \h </w:instrText>
      </w:r>
      <w:r w:rsidRPr="00B900C1">
        <w:rPr>
          <w:noProof/>
          <w:color w:val="000000" w:themeColor="text1"/>
        </w:rPr>
      </w:r>
      <w:r w:rsidRPr="00B900C1">
        <w:rPr>
          <w:noProof/>
          <w:color w:val="000000" w:themeColor="text1"/>
        </w:rPr>
        <w:fldChar w:fldCharType="separate"/>
      </w:r>
      <w:r w:rsidR="007B74B7">
        <w:rPr>
          <w:noProof/>
          <w:color w:val="000000" w:themeColor="text1"/>
          <w:lang w:val="it-IT"/>
        </w:rPr>
        <w:t>24</w:t>
      </w:r>
      <w:r w:rsidRPr="00B900C1">
        <w:rPr>
          <w:noProof/>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Licenza di Gestione Client (Client ML) per OSE per System Center Service Manager 2010</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_Toc353375865 \h </w:instrText>
      </w:r>
      <w:r w:rsidRPr="00B900C1">
        <w:rPr>
          <w:color w:val="000000" w:themeColor="text1"/>
        </w:rPr>
      </w:r>
      <w:r w:rsidRPr="00B900C1">
        <w:rPr>
          <w:color w:val="000000" w:themeColor="text1"/>
        </w:rPr>
        <w:fldChar w:fldCharType="separate"/>
      </w:r>
      <w:r w:rsidR="007B74B7">
        <w:rPr>
          <w:color w:val="000000" w:themeColor="text1"/>
          <w:lang w:val="it-IT"/>
        </w:rPr>
        <w:t>24</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Licenza di Gestione Client (Client ML) per Utente per System Center Service Manager 2010</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_Toc353375866 \h </w:instrText>
      </w:r>
      <w:r w:rsidRPr="00B900C1">
        <w:rPr>
          <w:color w:val="000000" w:themeColor="text1"/>
        </w:rPr>
      </w:r>
      <w:r w:rsidRPr="00B900C1">
        <w:rPr>
          <w:color w:val="000000" w:themeColor="text1"/>
        </w:rPr>
        <w:fldChar w:fldCharType="separate"/>
      </w:r>
      <w:r w:rsidR="007B74B7">
        <w:rPr>
          <w:color w:val="000000" w:themeColor="text1"/>
          <w:lang w:val="it-IT"/>
        </w:rPr>
        <w:t>24</w:t>
      </w:r>
      <w:r w:rsidRPr="00B900C1">
        <w:rPr>
          <w:color w:val="000000" w:themeColor="text1"/>
        </w:rPr>
        <w:fldChar w:fldCharType="end"/>
      </w:r>
    </w:p>
    <w:p w:rsidR="00BD7CEA" w:rsidRPr="007B74B7" w:rsidRDefault="00BD7CEA" w:rsidP="00B900C1">
      <w:pPr>
        <w:pStyle w:val="TOC3"/>
        <w:rPr>
          <w:rFonts w:asciiTheme="minorHAnsi" w:eastAsiaTheme="minorEastAsia" w:hAnsiTheme="minorHAnsi" w:cstheme="minorBidi"/>
          <w:color w:val="000000" w:themeColor="text1"/>
          <w:sz w:val="22"/>
          <w:szCs w:val="22"/>
          <w:lang w:val="it-IT"/>
        </w:rPr>
      </w:pPr>
      <w:r w:rsidRPr="007B74B7">
        <w:rPr>
          <w:color w:val="000000" w:themeColor="text1"/>
          <w:lang w:val="it-IT"/>
        </w:rPr>
        <w:t>Licenza di Gestione Server (Server ML) per OSE per System Center Service Manager 2010</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_Toc353375867 \h </w:instrText>
      </w:r>
      <w:r w:rsidRPr="00B900C1">
        <w:rPr>
          <w:color w:val="000000" w:themeColor="text1"/>
        </w:rPr>
      </w:r>
      <w:r w:rsidRPr="00B900C1">
        <w:rPr>
          <w:color w:val="000000" w:themeColor="text1"/>
        </w:rPr>
        <w:fldChar w:fldCharType="separate"/>
      </w:r>
      <w:r w:rsidR="007B74B7">
        <w:rPr>
          <w:color w:val="000000" w:themeColor="text1"/>
          <w:lang w:val="it-IT"/>
        </w:rPr>
        <w:t>24</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Licenza di Gestione Client per OSE per System Center Virtual Machine Manager 2008 R2</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_Toc353375868 \h </w:instrText>
      </w:r>
      <w:r w:rsidRPr="00B900C1">
        <w:rPr>
          <w:color w:val="000000" w:themeColor="text1"/>
        </w:rPr>
      </w:r>
      <w:r w:rsidRPr="00B900C1">
        <w:rPr>
          <w:color w:val="000000" w:themeColor="text1"/>
        </w:rPr>
        <w:fldChar w:fldCharType="separate"/>
      </w:r>
      <w:r w:rsidR="007B74B7">
        <w:rPr>
          <w:color w:val="000000" w:themeColor="text1"/>
          <w:lang w:val="it-IT"/>
        </w:rPr>
        <w:t>24</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Licenza di Gestione Client per Utente per System Center Virtual Machine Manager 2008 R2</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_Toc353375869 \h </w:instrText>
      </w:r>
      <w:r w:rsidRPr="00B900C1">
        <w:rPr>
          <w:color w:val="000000" w:themeColor="text1"/>
        </w:rPr>
      </w:r>
      <w:r w:rsidRPr="00B900C1">
        <w:rPr>
          <w:color w:val="000000" w:themeColor="text1"/>
        </w:rPr>
        <w:fldChar w:fldCharType="separate"/>
      </w:r>
      <w:r w:rsidR="007B74B7">
        <w:rPr>
          <w:color w:val="000000" w:themeColor="text1"/>
          <w:lang w:val="it-IT"/>
        </w:rPr>
        <w:t>24</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Licenza di Gestione Server per System Center Virtual Machine Manager 2008 R2 Enterprise</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_Toc353375870 \h </w:instrText>
      </w:r>
      <w:r w:rsidRPr="00B900C1">
        <w:rPr>
          <w:color w:val="000000" w:themeColor="text1"/>
        </w:rPr>
      </w:r>
      <w:r w:rsidRPr="00B900C1">
        <w:rPr>
          <w:color w:val="000000" w:themeColor="text1"/>
        </w:rPr>
        <w:fldChar w:fldCharType="separate"/>
      </w:r>
      <w:r w:rsidR="007B74B7">
        <w:rPr>
          <w:color w:val="000000" w:themeColor="text1"/>
          <w:lang w:val="it-IT"/>
        </w:rPr>
        <w:t>24</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fr-FR"/>
        </w:rPr>
      </w:pPr>
      <w:r w:rsidRPr="007B74B7">
        <w:rPr>
          <w:rFonts w:cs="Tahoma"/>
          <w:color w:val="000000" w:themeColor="text1"/>
          <w:lang w:val="fr-FR"/>
        </w:rPr>
        <w:t>System Center 2012 Client Management Suite (Client ML) per OSE</w:t>
      </w:r>
      <w:r w:rsidRPr="007B74B7">
        <w:rPr>
          <w:color w:val="000000" w:themeColor="text1"/>
          <w:lang w:val="fr-FR"/>
        </w:rPr>
        <w:tab/>
      </w:r>
      <w:r w:rsidRPr="00B900C1">
        <w:rPr>
          <w:color w:val="000000" w:themeColor="text1"/>
        </w:rPr>
        <w:fldChar w:fldCharType="begin"/>
      </w:r>
      <w:r w:rsidRPr="007B74B7">
        <w:rPr>
          <w:color w:val="000000" w:themeColor="text1"/>
          <w:lang w:val="fr-FR"/>
        </w:rPr>
        <w:instrText xml:space="preserve"> PAGEREF _Toc353375871 \h </w:instrText>
      </w:r>
      <w:r w:rsidRPr="00B900C1">
        <w:rPr>
          <w:color w:val="000000" w:themeColor="text1"/>
        </w:rPr>
      </w:r>
      <w:r w:rsidRPr="00B900C1">
        <w:rPr>
          <w:color w:val="000000" w:themeColor="text1"/>
        </w:rPr>
        <w:fldChar w:fldCharType="separate"/>
      </w:r>
      <w:r w:rsidR="007B74B7">
        <w:rPr>
          <w:color w:val="000000" w:themeColor="text1"/>
          <w:lang w:val="fr-FR"/>
        </w:rPr>
        <w:t>24</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fr-FR"/>
        </w:rPr>
      </w:pPr>
      <w:r w:rsidRPr="007B74B7">
        <w:rPr>
          <w:rFonts w:cs="Tahoma"/>
          <w:color w:val="000000" w:themeColor="text1"/>
          <w:lang w:val="fr-FR"/>
        </w:rPr>
        <w:t>System Center 2012 Client Management Suite (Client ML) per Utente</w:t>
      </w:r>
      <w:r w:rsidRPr="007B74B7">
        <w:rPr>
          <w:color w:val="000000" w:themeColor="text1"/>
          <w:lang w:val="fr-FR"/>
        </w:rPr>
        <w:tab/>
      </w:r>
      <w:r w:rsidRPr="00B900C1">
        <w:rPr>
          <w:color w:val="000000" w:themeColor="text1"/>
        </w:rPr>
        <w:fldChar w:fldCharType="begin"/>
      </w:r>
      <w:r w:rsidRPr="007B74B7">
        <w:rPr>
          <w:color w:val="000000" w:themeColor="text1"/>
          <w:lang w:val="fr-FR"/>
        </w:rPr>
        <w:instrText xml:space="preserve"> PAGEREF _Toc353375872 \h </w:instrText>
      </w:r>
      <w:r w:rsidRPr="00B900C1">
        <w:rPr>
          <w:color w:val="000000" w:themeColor="text1"/>
        </w:rPr>
      </w:r>
      <w:r w:rsidRPr="00B900C1">
        <w:rPr>
          <w:color w:val="000000" w:themeColor="text1"/>
        </w:rPr>
        <w:fldChar w:fldCharType="separate"/>
      </w:r>
      <w:r w:rsidR="007B74B7">
        <w:rPr>
          <w:color w:val="000000" w:themeColor="text1"/>
          <w:lang w:val="fr-FR"/>
        </w:rPr>
        <w:t>24</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Licenza di Gestione Client (Client ML) per System Center 2012 Configuration Manager (Solo Studenti)</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_Toc353375873 \h </w:instrText>
      </w:r>
      <w:r w:rsidRPr="00B900C1">
        <w:rPr>
          <w:color w:val="000000" w:themeColor="text1"/>
        </w:rPr>
      </w:r>
      <w:r w:rsidRPr="00B900C1">
        <w:rPr>
          <w:color w:val="000000" w:themeColor="text1"/>
        </w:rPr>
        <w:fldChar w:fldCharType="separate"/>
      </w:r>
      <w:r w:rsidR="007B74B7">
        <w:rPr>
          <w:color w:val="000000" w:themeColor="text1"/>
          <w:lang w:val="it-IT"/>
        </w:rPr>
        <w:t>24</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Licenza di Gestione Client per OSE per System Center 2012 Configuration Manager</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_Toc353375874 \h </w:instrText>
      </w:r>
      <w:r w:rsidRPr="00B900C1">
        <w:rPr>
          <w:color w:val="000000" w:themeColor="text1"/>
        </w:rPr>
      </w:r>
      <w:r w:rsidRPr="00B900C1">
        <w:rPr>
          <w:color w:val="000000" w:themeColor="text1"/>
        </w:rPr>
        <w:fldChar w:fldCharType="separate"/>
      </w:r>
      <w:r w:rsidR="007B74B7">
        <w:rPr>
          <w:color w:val="000000" w:themeColor="text1"/>
          <w:lang w:val="it-IT"/>
        </w:rPr>
        <w:t>25</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Licenza di Gestione Client per Utente per System Center 2012 Configuration Manager</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_Toc353375875 \h </w:instrText>
      </w:r>
      <w:r w:rsidRPr="00B900C1">
        <w:rPr>
          <w:color w:val="000000" w:themeColor="text1"/>
        </w:rPr>
      </w:r>
      <w:r w:rsidRPr="00B900C1">
        <w:rPr>
          <w:color w:val="000000" w:themeColor="text1"/>
        </w:rPr>
        <w:fldChar w:fldCharType="separate"/>
      </w:r>
      <w:r w:rsidR="007B74B7">
        <w:rPr>
          <w:color w:val="000000" w:themeColor="text1"/>
          <w:lang w:val="it-IT"/>
        </w:rPr>
        <w:t>25</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Licenza di Gestione Server per System Center 2012 Datacenter (2 processori)</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_Toc353375876 \h </w:instrText>
      </w:r>
      <w:r w:rsidRPr="00B900C1">
        <w:rPr>
          <w:color w:val="000000" w:themeColor="text1"/>
        </w:rPr>
      </w:r>
      <w:r w:rsidRPr="00B900C1">
        <w:rPr>
          <w:color w:val="000000" w:themeColor="text1"/>
        </w:rPr>
        <w:fldChar w:fldCharType="separate"/>
      </w:r>
      <w:r w:rsidR="007B74B7">
        <w:rPr>
          <w:color w:val="000000" w:themeColor="text1"/>
          <w:lang w:val="it-IT"/>
        </w:rPr>
        <w:t>25</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da-DK"/>
        </w:rPr>
      </w:pPr>
      <w:r w:rsidRPr="007B74B7">
        <w:rPr>
          <w:rFonts w:cs="Tahoma"/>
          <w:color w:val="000000" w:themeColor="text1"/>
          <w:lang w:val="da-DK"/>
        </w:rPr>
        <w:t>System Center 2012 Endpoint Protection</w:t>
      </w:r>
      <w:r w:rsidRPr="007B74B7">
        <w:rPr>
          <w:color w:val="000000" w:themeColor="text1"/>
          <w:lang w:val="da-DK"/>
        </w:rPr>
        <w:tab/>
      </w:r>
      <w:r w:rsidRPr="00B900C1">
        <w:rPr>
          <w:color w:val="000000" w:themeColor="text1"/>
        </w:rPr>
        <w:fldChar w:fldCharType="begin"/>
      </w:r>
      <w:r w:rsidRPr="007B74B7">
        <w:rPr>
          <w:color w:val="000000" w:themeColor="text1"/>
          <w:lang w:val="da-DK"/>
        </w:rPr>
        <w:instrText xml:space="preserve"> PAGEREF _Toc353375877 \h </w:instrText>
      </w:r>
      <w:r w:rsidRPr="00B900C1">
        <w:rPr>
          <w:color w:val="000000" w:themeColor="text1"/>
        </w:rPr>
      </w:r>
      <w:r w:rsidRPr="00B900C1">
        <w:rPr>
          <w:color w:val="000000" w:themeColor="text1"/>
        </w:rPr>
        <w:fldChar w:fldCharType="separate"/>
      </w:r>
      <w:r w:rsidR="007B74B7">
        <w:rPr>
          <w:color w:val="000000" w:themeColor="text1"/>
          <w:lang w:val="da-DK"/>
        </w:rPr>
        <w:t>25</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da-DK"/>
        </w:rPr>
      </w:pPr>
      <w:r w:rsidRPr="007B74B7">
        <w:rPr>
          <w:rFonts w:cs="Tahoma"/>
          <w:color w:val="000000" w:themeColor="text1"/>
          <w:lang w:val="da-DK"/>
        </w:rPr>
        <w:t>Licenza di Gestione Server Standard per System Center 2012 (2 processori)</w:t>
      </w:r>
      <w:r w:rsidRPr="007B74B7">
        <w:rPr>
          <w:color w:val="000000" w:themeColor="text1"/>
          <w:lang w:val="da-DK"/>
        </w:rPr>
        <w:tab/>
      </w:r>
      <w:r w:rsidRPr="00B900C1">
        <w:rPr>
          <w:color w:val="000000" w:themeColor="text1"/>
        </w:rPr>
        <w:fldChar w:fldCharType="begin"/>
      </w:r>
      <w:r w:rsidRPr="007B74B7">
        <w:rPr>
          <w:color w:val="000000" w:themeColor="text1"/>
          <w:lang w:val="da-DK"/>
        </w:rPr>
        <w:instrText xml:space="preserve"> PAGEREF _Toc353375878 \h </w:instrText>
      </w:r>
      <w:r w:rsidRPr="00B900C1">
        <w:rPr>
          <w:color w:val="000000" w:themeColor="text1"/>
        </w:rPr>
      </w:r>
      <w:r w:rsidRPr="00B900C1">
        <w:rPr>
          <w:color w:val="000000" w:themeColor="text1"/>
        </w:rPr>
        <w:fldChar w:fldCharType="separate"/>
      </w:r>
      <w:r w:rsidR="007B74B7">
        <w:rPr>
          <w:color w:val="000000" w:themeColor="text1"/>
          <w:lang w:val="da-DK"/>
        </w:rPr>
        <w:t>25</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da-DK"/>
        </w:rPr>
      </w:pPr>
      <w:r w:rsidRPr="007B74B7">
        <w:rPr>
          <w:rFonts w:cs="Tahoma"/>
          <w:color w:val="000000" w:themeColor="text1"/>
          <w:lang w:val="da-DK"/>
        </w:rPr>
        <w:t>TechNet Plus Single User</w:t>
      </w:r>
      <w:r w:rsidRPr="007B74B7">
        <w:rPr>
          <w:color w:val="000000" w:themeColor="text1"/>
          <w:lang w:val="da-DK"/>
        </w:rPr>
        <w:tab/>
      </w:r>
      <w:r w:rsidRPr="00B900C1">
        <w:rPr>
          <w:color w:val="000000" w:themeColor="text1"/>
        </w:rPr>
        <w:fldChar w:fldCharType="begin"/>
      </w:r>
      <w:r w:rsidRPr="007B74B7">
        <w:rPr>
          <w:color w:val="000000" w:themeColor="text1"/>
          <w:lang w:val="da-DK"/>
        </w:rPr>
        <w:instrText xml:space="preserve"> PAGEREF _Toc353375879 \h </w:instrText>
      </w:r>
      <w:r w:rsidRPr="00B900C1">
        <w:rPr>
          <w:color w:val="000000" w:themeColor="text1"/>
        </w:rPr>
      </w:r>
      <w:r w:rsidRPr="00B900C1">
        <w:rPr>
          <w:color w:val="000000" w:themeColor="text1"/>
        </w:rPr>
        <w:fldChar w:fldCharType="separate"/>
      </w:r>
      <w:r w:rsidR="007B74B7">
        <w:rPr>
          <w:color w:val="000000" w:themeColor="text1"/>
          <w:lang w:val="da-DK"/>
        </w:rPr>
        <w:t>25</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fr-FR"/>
        </w:rPr>
      </w:pPr>
      <w:r w:rsidRPr="007B74B7">
        <w:rPr>
          <w:rFonts w:cs="Tahoma"/>
          <w:color w:val="000000" w:themeColor="text1"/>
          <w:lang w:val="fr-FR"/>
        </w:rPr>
        <w:t>VDI Suite</w:t>
      </w:r>
      <w:r w:rsidRPr="007B74B7">
        <w:rPr>
          <w:color w:val="000000" w:themeColor="text1"/>
          <w:lang w:val="fr-FR"/>
        </w:rPr>
        <w:tab/>
      </w:r>
      <w:r w:rsidRPr="00B900C1">
        <w:rPr>
          <w:color w:val="000000" w:themeColor="text1"/>
        </w:rPr>
        <w:fldChar w:fldCharType="begin"/>
      </w:r>
      <w:r w:rsidRPr="007B74B7">
        <w:rPr>
          <w:color w:val="000000" w:themeColor="text1"/>
          <w:lang w:val="fr-FR"/>
        </w:rPr>
        <w:instrText xml:space="preserve"> PAGEREF _Toc353375880 \h </w:instrText>
      </w:r>
      <w:r w:rsidRPr="00B900C1">
        <w:rPr>
          <w:color w:val="000000" w:themeColor="text1"/>
        </w:rPr>
      </w:r>
      <w:r w:rsidRPr="00B900C1">
        <w:rPr>
          <w:color w:val="000000" w:themeColor="text1"/>
        </w:rPr>
        <w:fldChar w:fldCharType="separate"/>
      </w:r>
      <w:r w:rsidR="007B74B7">
        <w:rPr>
          <w:color w:val="000000" w:themeColor="text1"/>
          <w:lang w:val="fr-FR"/>
        </w:rPr>
        <w:t>25</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fr-FR"/>
        </w:rPr>
      </w:pPr>
      <w:r w:rsidRPr="007B74B7">
        <w:rPr>
          <w:rFonts w:cs="Tahoma"/>
          <w:color w:val="000000" w:themeColor="text1"/>
          <w:lang w:val="fr-FR"/>
        </w:rPr>
        <w:t>VDI Suite con MDOP</w:t>
      </w:r>
      <w:r w:rsidRPr="007B74B7">
        <w:rPr>
          <w:color w:val="000000" w:themeColor="text1"/>
          <w:lang w:val="fr-FR"/>
        </w:rPr>
        <w:tab/>
      </w:r>
      <w:r w:rsidRPr="00B900C1">
        <w:rPr>
          <w:color w:val="000000" w:themeColor="text1"/>
        </w:rPr>
        <w:fldChar w:fldCharType="begin"/>
      </w:r>
      <w:r w:rsidRPr="007B74B7">
        <w:rPr>
          <w:color w:val="000000" w:themeColor="text1"/>
          <w:lang w:val="fr-FR"/>
        </w:rPr>
        <w:instrText xml:space="preserve"> PAGEREF _Toc353375881 \h </w:instrText>
      </w:r>
      <w:r w:rsidRPr="00B900C1">
        <w:rPr>
          <w:color w:val="000000" w:themeColor="text1"/>
        </w:rPr>
      </w:r>
      <w:r w:rsidRPr="00B900C1">
        <w:rPr>
          <w:color w:val="000000" w:themeColor="text1"/>
        </w:rPr>
        <w:fldChar w:fldCharType="separate"/>
      </w:r>
      <w:r w:rsidR="007B74B7">
        <w:rPr>
          <w:color w:val="000000" w:themeColor="text1"/>
          <w:lang w:val="fr-FR"/>
        </w:rPr>
        <w:t>25</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fr-FR"/>
        </w:rPr>
      </w:pPr>
      <w:r w:rsidRPr="007B74B7">
        <w:rPr>
          <w:rFonts w:cs="Tahoma"/>
          <w:color w:val="000000" w:themeColor="text1"/>
          <w:lang w:val="fr-FR"/>
        </w:rPr>
        <w:t>VDI Standard Suite</w:t>
      </w:r>
      <w:r w:rsidRPr="007B74B7">
        <w:rPr>
          <w:color w:val="000000" w:themeColor="text1"/>
          <w:lang w:val="fr-FR"/>
        </w:rPr>
        <w:tab/>
      </w:r>
      <w:r w:rsidRPr="00B900C1">
        <w:rPr>
          <w:color w:val="000000" w:themeColor="text1"/>
        </w:rPr>
        <w:fldChar w:fldCharType="begin"/>
      </w:r>
      <w:r w:rsidRPr="007B74B7">
        <w:rPr>
          <w:color w:val="000000" w:themeColor="text1"/>
          <w:lang w:val="fr-FR"/>
        </w:rPr>
        <w:instrText xml:space="preserve"> PAGEREF _Toc353375882 \h </w:instrText>
      </w:r>
      <w:r w:rsidRPr="00B900C1">
        <w:rPr>
          <w:color w:val="000000" w:themeColor="text1"/>
        </w:rPr>
      </w:r>
      <w:r w:rsidRPr="00B900C1">
        <w:rPr>
          <w:color w:val="000000" w:themeColor="text1"/>
        </w:rPr>
        <w:fldChar w:fldCharType="separate"/>
      </w:r>
      <w:r w:rsidR="007B74B7">
        <w:rPr>
          <w:color w:val="000000" w:themeColor="text1"/>
          <w:lang w:val="fr-FR"/>
        </w:rPr>
        <w:t>25</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fr-FR"/>
        </w:rPr>
      </w:pPr>
      <w:r w:rsidRPr="007B74B7">
        <w:rPr>
          <w:rFonts w:cs="Tahoma"/>
          <w:color w:val="000000" w:themeColor="text1"/>
          <w:lang w:val="fr-FR"/>
        </w:rPr>
        <w:t>VDI Standard Suite con MDOP</w:t>
      </w:r>
      <w:r w:rsidRPr="007B74B7">
        <w:rPr>
          <w:color w:val="000000" w:themeColor="text1"/>
          <w:lang w:val="fr-FR"/>
        </w:rPr>
        <w:tab/>
      </w:r>
      <w:r w:rsidRPr="00B900C1">
        <w:rPr>
          <w:color w:val="000000" w:themeColor="text1"/>
        </w:rPr>
        <w:fldChar w:fldCharType="begin"/>
      </w:r>
      <w:r w:rsidRPr="007B74B7">
        <w:rPr>
          <w:color w:val="000000" w:themeColor="text1"/>
          <w:lang w:val="fr-FR"/>
        </w:rPr>
        <w:instrText xml:space="preserve"> PAGEREF _Toc353375883 \h </w:instrText>
      </w:r>
      <w:r w:rsidRPr="00B900C1">
        <w:rPr>
          <w:color w:val="000000" w:themeColor="text1"/>
        </w:rPr>
      </w:r>
      <w:r w:rsidRPr="00B900C1">
        <w:rPr>
          <w:color w:val="000000" w:themeColor="text1"/>
        </w:rPr>
        <w:fldChar w:fldCharType="separate"/>
      </w:r>
      <w:r w:rsidR="007B74B7">
        <w:rPr>
          <w:color w:val="000000" w:themeColor="text1"/>
          <w:lang w:val="fr-FR"/>
        </w:rPr>
        <w:t>25</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fr-FR"/>
        </w:rPr>
      </w:pPr>
      <w:r w:rsidRPr="007B74B7">
        <w:rPr>
          <w:rFonts w:cs="Tahoma"/>
          <w:color w:val="000000" w:themeColor="text1"/>
          <w:lang w:val="fr-FR"/>
        </w:rPr>
        <w:t>VDI Premium Suite</w:t>
      </w:r>
      <w:r w:rsidRPr="007B74B7">
        <w:rPr>
          <w:color w:val="000000" w:themeColor="text1"/>
          <w:lang w:val="fr-FR"/>
        </w:rPr>
        <w:tab/>
      </w:r>
      <w:r w:rsidRPr="00B900C1">
        <w:rPr>
          <w:color w:val="000000" w:themeColor="text1"/>
        </w:rPr>
        <w:fldChar w:fldCharType="begin"/>
      </w:r>
      <w:r w:rsidRPr="007B74B7">
        <w:rPr>
          <w:color w:val="000000" w:themeColor="text1"/>
          <w:lang w:val="fr-FR"/>
        </w:rPr>
        <w:instrText xml:space="preserve"> PAGEREF _Toc353375884 \h </w:instrText>
      </w:r>
      <w:r w:rsidRPr="00B900C1">
        <w:rPr>
          <w:color w:val="000000" w:themeColor="text1"/>
        </w:rPr>
      </w:r>
      <w:r w:rsidRPr="00B900C1">
        <w:rPr>
          <w:color w:val="000000" w:themeColor="text1"/>
        </w:rPr>
        <w:fldChar w:fldCharType="separate"/>
      </w:r>
      <w:r w:rsidR="007B74B7">
        <w:rPr>
          <w:color w:val="000000" w:themeColor="text1"/>
          <w:lang w:val="fr-FR"/>
        </w:rPr>
        <w:t>25</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fr-FR"/>
        </w:rPr>
      </w:pPr>
      <w:r w:rsidRPr="007B74B7">
        <w:rPr>
          <w:rFonts w:cs="Tahoma"/>
          <w:color w:val="000000" w:themeColor="text1"/>
          <w:lang w:val="fr-FR"/>
        </w:rPr>
        <w:t>VDI Premium Suite con MDOP</w:t>
      </w:r>
      <w:r w:rsidRPr="007B74B7">
        <w:rPr>
          <w:color w:val="000000" w:themeColor="text1"/>
          <w:lang w:val="fr-FR"/>
        </w:rPr>
        <w:tab/>
      </w:r>
      <w:r w:rsidRPr="00B900C1">
        <w:rPr>
          <w:color w:val="000000" w:themeColor="text1"/>
        </w:rPr>
        <w:fldChar w:fldCharType="begin"/>
      </w:r>
      <w:r w:rsidRPr="007B74B7">
        <w:rPr>
          <w:color w:val="000000" w:themeColor="text1"/>
          <w:lang w:val="fr-FR"/>
        </w:rPr>
        <w:instrText xml:space="preserve"> PAGEREF _Toc353375885 \h </w:instrText>
      </w:r>
      <w:r w:rsidRPr="00B900C1">
        <w:rPr>
          <w:color w:val="000000" w:themeColor="text1"/>
        </w:rPr>
      </w:r>
      <w:r w:rsidRPr="00B900C1">
        <w:rPr>
          <w:color w:val="000000" w:themeColor="text1"/>
        </w:rPr>
        <w:fldChar w:fldCharType="separate"/>
      </w:r>
      <w:r w:rsidR="007B74B7">
        <w:rPr>
          <w:color w:val="000000" w:themeColor="text1"/>
          <w:lang w:val="fr-FR"/>
        </w:rPr>
        <w:t>25</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Vexcel Server</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_Toc353375886 \h </w:instrText>
      </w:r>
      <w:r w:rsidRPr="00B900C1">
        <w:rPr>
          <w:color w:val="000000" w:themeColor="text1"/>
        </w:rPr>
      </w:r>
      <w:r w:rsidRPr="00B900C1">
        <w:rPr>
          <w:color w:val="000000" w:themeColor="text1"/>
        </w:rPr>
        <w:fldChar w:fldCharType="separate"/>
      </w:r>
      <w:r w:rsidR="007B74B7">
        <w:rPr>
          <w:color w:val="000000" w:themeColor="text1"/>
        </w:rPr>
        <w:t>25</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Vexcel Server con Enhanced Content Pack</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_Toc353375887 \h </w:instrText>
      </w:r>
      <w:r w:rsidRPr="00B900C1">
        <w:rPr>
          <w:color w:val="000000" w:themeColor="text1"/>
        </w:rPr>
      </w:r>
      <w:r w:rsidRPr="00B900C1">
        <w:rPr>
          <w:color w:val="000000" w:themeColor="text1"/>
        </w:rPr>
        <w:fldChar w:fldCharType="separate"/>
      </w:r>
      <w:r w:rsidR="007B74B7">
        <w:rPr>
          <w:color w:val="000000" w:themeColor="text1"/>
        </w:rPr>
        <w:t>25</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Virtual Server 2005 R2 Enterprise Edition</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_Toc353375888 \h </w:instrText>
      </w:r>
      <w:r w:rsidRPr="00B900C1">
        <w:rPr>
          <w:color w:val="000000" w:themeColor="text1"/>
        </w:rPr>
      </w:r>
      <w:r w:rsidRPr="00B900C1">
        <w:rPr>
          <w:color w:val="000000" w:themeColor="text1"/>
        </w:rPr>
        <w:fldChar w:fldCharType="separate"/>
      </w:r>
      <w:r w:rsidR="007B74B7">
        <w:rPr>
          <w:color w:val="000000" w:themeColor="text1"/>
        </w:rPr>
        <w:t>25</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Visual Studio</w:t>
      </w:r>
      <w:r w:rsidRPr="00B900C1">
        <w:rPr>
          <w:rFonts w:eastAsia="Times New Roman" w:cs="Tahoma"/>
          <w:color w:val="000000" w:themeColor="text1"/>
          <w:vertAlign w:val="superscript"/>
        </w:rPr>
        <w:t>®</w:t>
      </w:r>
      <w:r w:rsidRPr="00B900C1">
        <w:rPr>
          <w:rFonts w:cs="Tahoma"/>
          <w:color w:val="000000" w:themeColor="text1"/>
        </w:rPr>
        <w:t xml:space="preserve"> Team Foundation Server 2012 con Tecnologia SQL Server 2012</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_Toc353375889 \h </w:instrText>
      </w:r>
      <w:r w:rsidRPr="00B900C1">
        <w:rPr>
          <w:color w:val="000000" w:themeColor="text1"/>
        </w:rPr>
      </w:r>
      <w:r w:rsidRPr="00B900C1">
        <w:rPr>
          <w:color w:val="000000" w:themeColor="text1"/>
        </w:rPr>
        <w:fldChar w:fldCharType="separate"/>
      </w:r>
      <w:r w:rsidR="007B74B7">
        <w:rPr>
          <w:color w:val="000000" w:themeColor="text1"/>
        </w:rPr>
        <w:t>25</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CAL per Dispositivo per Visual Studio</w:t>
      </w:r>
      <w:r w:rsidRPr="007B74B7">
        <w:rPr>
          <w:rFonts w:cs="Tahoma"/>
          <w:color w:val="000000" w:themeColor="text1"/>
          <w:vertAlign w:val="superscript"/>
          <w:lang w:val="it-IT"/>
        </w:rPr>
        <w:t>®</w:t>
      </w:r>
      <w:r w:rsidRPr="007B74B7">
        <w:rPr>
          <w:rFonts w:cs="Tahoma"/>
          <w:color w:val="000000" w:themeColor="text1"/>
          <w:lang w:val="it-IT"/>
        </w:rPr>
        <w:t xml:space="preserve"> Team Foundation Server 2012</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_Toc353375890 \h </w:instrText>
      </w:r>
      <w:r w:rsidRPr="00B900C1">
        <w:rPr>
          <w:color w:val="000000" w:themeColor="text1"/>
        </w:rPr>
      </w:r>
      <w:r w:rsidRPr="00B900C1">
        <w:rPr>
          <w:color w:val="000000" w:themeColor="text1"/>
        </w:rPr>
        <w:fldChar w:fldCharType="separate"/>
      </w:r>
      <w:r w:rsidR="007B74B7">
        <w:rPr>
          <w:color w:val="000000" w:themeColor="text1"/>
          <w:lang w:val="it-IT"/>
        </w:rPr>
        <w:t>25</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User CAL per Visual Studio</w:t>
      </w:r>
      <w:r w:rsidRPr="00B900C1">
        <w:rPr>
          <w:rFonts w:cs="Tahoma"/>
          <w:color w:val="000000" w:themeColor="text1"/>
          <w:vertAlign w:val="superscript"/>
        </w:rPr>
        <w:t>®</w:t>
      </w:r>
      <w:r w:rsidRPr="00B900C1">
        <w:rPr>
          <w:rFonts w:cs="Tahoma"/>
          <w:color w:val="000000" w:themeColor="text1"/>
        </w:rPr>
        <w:t xml:space="preserve"> Team Foundation Server 2012</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_Toc353375891 \h </w:instrText>
      </w:r>
      <w:r w:rsidRPr="00B900C1">
        <w:rPr>
          <w:color w:val="000000" w:themeColor="text1"/>
        </w:rPr>
      </w:r>
      <w:r w:rsidRPr="00B900C1">
        <w:rPr>
          <w:color w:val="000000" w:themeColor="text1"/>
        </w:rPr>
        <w:fldChar w:fldCharType="separate"/>
      </w:r>
      <w:r w:rsidR="007B74B7">
        <w:rPr>
          <w:color w:val="000000" w:themeColor="text1"/>
        </w:rPr>
        <w:t>25</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Web Antimalware Subscription per Forefront Threat Management Gateway </w:t>
      </w:r>
      <w:r w:rsidR="008A279D" w:rsidRPr="00B900C1">
        <w:rPr>
          <w:rFonts w:cs="Tahoma"/>
          <w:color w:val="000000" w:themeColor="text1"/>
        </w:rPr>
        <w:br/>
      </w:r>
      <w:r w:rsidRPr="00B900C1">
        <w:rPr>
          <w:rFonts w:cs="Tahoma"/>
          <w:color w:val="000000" w:themeColor="text1"/>
        </w:rPr>
        <w:t>Medium Business Edition (Dispositivo e Utente)</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_Toc353375892 \h </w:instrText>
      </w:r>
      <w:r w:rsidRPr="00B900C1">
        <w:rPr>
          <w:color w:val="000000" w:themeColor="text1"/>
        </w:rPr>
      </w:r>
      <w:r w:rsidRPr="00B900C1">
        <w:rPr>
          <w:color w:val="000000" w:themeColor="text1"/>
        </w:rPr>
        <w:fldChar w:fldCharType="separate"/>
      </w:r>
      <w:r w:rsidR="007B74B7">
        <w:rPr>
          <w:color w:val="000000" w:themeColor="text1"/>
        </w:rPr>
        <w:t>25</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Servizi di Windows Azure</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_Toc353375893 \h </w:instrText>
      </w:r>
      <w:r w:rsidRPr="00B900C1">
        <w:rPr>
          <w:color w:val="000000" w:themeColor="text1"/>
        </w:rPr>
      </w:r>
      <w:r w:rsidRPr="00B900C1">
        <w:rPr>
          <w:color w:val="000000" w:themeColor="text1"/>
        </w:rPr>
        <w:fldChar w:fldCharType="separate"/>
      </w:r>
      <w:r w:rsidR="007B74B7">
        <w:rPr>
          <w:color w:val="000000" w:themeColor="text1"/>
        </w:rPr>
        <w:t>25</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Windows</w:t>
      </w:r>
      <w:r w:rsidRPr="00B900C1">
        <w:rPr>
          <w:rFonts w:cs="Tahoma"/>
          <w:color w:val="000000" w:themeColor="text1"/>
          <w:vertAlign w:val="superscript"/>
        </w:rPr>
        <w:t>®</w:t>
      </w:r>
      <w:r w:rsidRPr="00B900C1">
        <w:rPr>
          <w:rFonts w:cs="Tahoma"/>
          <w:color w:val="000000" w:themeColor="text1"/>
        </w:rPr>
        <w:t xml:space="preserve"> Embedded Device Manager 2011</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_Toc353375894 \h </w:instrText>
      </w:r>
      <w:r w:rsidRPr="00B900C1">
        <w:rPr>
          <w:color w:val="000000" w:themeColor="text1"/>
        </w:rPr>
      </w:r>
      <w:r w:rsidRPr="00B900C1">
        <w:rPr>
          <w:color w:val="000000" w:themeColor="text1"/>
        </w:rPr>
        <w:fldChar w:fldCharType="separate"/>
      </w:r>
      <w:r w:rsidR="007B74B7">
        <w:rPr>
          <w:color w:val="000000" w:themeColor="text1"/>
        </w:rPr>
        <w:t>25</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Licenza di Gestione Client per OSE per Windows</w:t>
      </w:r>
      <w:r w:rsidRPr="007B74B7">
        <w:rPr>
          <w:rFonts w:cs="Tahoma"/>
          <w:color w:val="000000" w:themeColor="text1"/>
          <w:vertAlign w:val="superscript"/>
          <w:lang w:val="it-IT"/>
        </w:rPr>
        <w:t>®</w:t>
      </w:r>
      <w:r w:rsidRPr="007B74B7">
        <w:rPr>
          <w:rFonts w:cs="Tahoma"/>
          <w:color w:val="000000" w:themeColor="text1"/>
          <w:lang w:val="it-IT"/>
        </w:rPr>
        <w:t xml:space="preserve"> Embedded Device Manager 2011</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_Toc353375895 \h </w:instrText>
      </w:r>
      <w:r w:rsidRPr="00B900C1">
        <w:rPr>
          <w:color w:val="000000" w:themeColor="text1"/>
        </w:rPr>
      </w:r>
      <w:r w:rsidRPr="00B900C1">
        <w:rPr>
          <w:color w:val="000000" w:themeColor="text1"/>
        </w:rPr>
        <w:fldChar w:fldCharType="separate"/>
      </w:r>
      <w:r w:rsidR="007B74B7">
        <w:rPr>
          <w:color w:val="000000" w:themeColor="text1"/>
          <w:lang w:val="it-IT"/>
        </w:rPr>
        <w:t>25</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Licenza di Gestione Client per Utente per Windows</w:t>
      </w:r>
      <w:r w:rsidRPr="007B74B7">
        <w:rPr>
          <w:rFonts w:cs="Tahoma"/>
          <w:color w:val="000000" w:themeColor="text1"/>
          <w:vertAlign w:val="superscript"/>
          <w:lang w:val="it-IT"/>
        </w:rPr>
        <w:t>®</w:t>
      </w:r>
      <w:r w:rsidRPr="007B74B7">
        <w:rPr>
          <w:rFonts w:cs="Tahoma"/>
          <w:color w:val="000000" w:themeColor="text1"/>
          <w:lang w:val="it-IT"/>
        </w:rPr>
        <w:t xml:space="preserve"> Embedded Device Manager 2011</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_Toc353375896 \h </w:instrText>
      </w:r>
      <w:r w:rsidRPr="00B900C1">
        <w:rPr>
          <w:color w:val="000000" w:themeColor="text1"/>
        </w:rPr>
      </w:r>
      <w:r w:rsidRPr="00B900C1">
        <w:rPr>
          <w:color w:val="000000" w:themeColor="text1"/>
        </w:rPr>
        <w:fldChar w:fldCharType="separate"/>
      </w:r>
      <w:r w:rsidR="007B74B7">
        <w:rPr>
          <w:color w:val="000000" w:themeColor="text1"/>
          <w:lang w:val="it-IT"/>
        </w:rPr>
        <w:t>25</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Windows</w:t>
      </w:r>
      <w:r w:rsidRPr="00B900C1">
        <w:rPr>
          <w:rFonts w:cs="Tahoma"/>
          <w:color w:val="000000" w:themeColor="text1"/>
          <w:vertAlign w:val="superscript"/>
        </w:rPr>
        <w:t>®</w:t>
      </w:r>
      <w:r w:rsidRPr="00B900C1">
        <w:rPr>
          <w:rFonts w:cs="Tahoma"/>
          <w:color w:val="000000" w:themeColor="text1"/>
        </w:rPr>
        <w:t xml:space="preserve"> Embedded Device Manager 2011 con Tecnologia SQL Server</w:t>
      </w:r>
      <w:r w:rsidRPr="00B900C1">
        <w:rPr>
          <w:rFonts w:cs="Tahoma"/>
          <w:color w:val="000000" w:themeColor="text1"/>
          <w:vertAlign w:val="superscript"/>
        </w:rPr>
        <w:t>®</w:t>
      </w:r>
      <w:r w:rsidRPr="00B900C1">
        <w:rPr>
          <w:rFonts w:cs="Tahoma"/>
          <w:color w:val="000000" w:themeColor="text1"/>
        </w:rPr>
        <w:t xml:space="preserve"> 2008</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_Toc353375897 \h </w:instrText>
      </w:r>
      <w:r w:rsidRPr="00B900C1">
        <w:rPr>
          <w:color w:val="000000" w:themeColor="text1"/>
        </w:rPr>
      </w:r>
      <w:r w:rsidRPr="00B900C1">
        <w:rPr>
          <w:color w:val="000000" w:themeColor="text1"/>
        </w:rPr>
        <w:fldChar w:fldCharType="separate"/>
      </w:r>
      <w:r w:rsidR="007B74B7">
        <w:rPr>
          <w:color w:val="000000" w:themeColor="text1"/>
        </w:rPr>
        <w:t>25</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Windows Essential Business Server 2008 Standard</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_Toc353375898 \h </w:instrText>
      </w:r>
      <w:r w:rsidRPr="00B900C1">
        <w:rPr>
          <w:color w:val="000000" w:themeColor="text1"/>
        </w:rPr>
      </w:r>
      <w:r w:rsidRPr="00B900C1">
        <w:rPr>
          <w:color w:val="000000" w:themeColor="text1"/>
        </w:rPr>
        <w:fldChar w:fldCharType="separate"/>
      </w:r>
      <w:r w:rsidR="007B74B7">
        <w:rPr>
          <w:color w:val="000000" w:themeColor="text1"/>
        </w:rPr>
        <w:t>25</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CAL Suite per Windows Essential Business Server 2008</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_Toc353375899 \h </w:instrText>
      </w:r>
      <w:r w:rsidRPr="00B900C1">
        <w:rPr>
          <w:color w:val="000000" w:themeColor="text1"/>
        </w:rPr>
      </w:r>
      <w:r w:rsidRPr="00B900C1">
        <w:rPr>
          <w:color w:val="000000" w:themeColor="text1"/>
        </w:rPr>
        <w:fldChar w:fldCharType="separate"/>
      </w:r>
      <w:r w:rsidR="007B74B7">
        <w:rPr>
          <w:color w:val="000000" w:themeColor="text1"/>
        </w:rPr>
        <w:t>25</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CAL Suite per Windows Essential Business Server 2008 (5 client)</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_Toc353375900 \h </w:instrText>
      </w:r>
      <w:r w:rsidRPr="00B900C1">
        <w:rPr>
          <w:color w:val="000000" w:themeColor="text1"/>
        </w:rPr>
      </w:r>
      <w:r w:rsidRPr="00B900C1">
        <w:rPr>
          <w:color w:val="000000" w:themeColor="text1"/>
        </w:rPr>
        <w:fldChar w:fldCharType="separate"/>
      </w:r>
      <w:r w:rsidR="007B74B7">
        <w:rPr>
          <w:color w:val="000000" w:themeColor="text1"/>
        </w:rPr>
        <w:t>25</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CAL Suite per Windows Essential Business Server 2008 (20 client)</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_Toc353375901 \h </w:instrText>
      </w:r>
      <w:r w:rsidRPr="00B900C1">
        <w:rPr>
          <w:color w:val="000000" w:themeColor="text1"/>
        </w:rPr>
      </w:r>
      <w:r w:rsidRPr="00B900C1">
        <w:rPr>
          <w:color w:val="000000" w:themeColor="text1"/>
        </w:rPr>
        <w:fldChar w:fldCharType="separate"/>
      </w:r>
      <w:r w:rsidR="007B74B7">
        <w:rPr>
          <w:color w:val="000000" w:themeColor="text1"/>
        </w:rPr>
        <w:t>25</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CAL Suite per Windows Essential Business Server 2008 (50 client)</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_Toc353375902 \h </w:instrText>
      </w:r>
      <w:r w:rsidRPr="00B900C1">
        <w:rPr>
          <w:color w:val="000000" w:themeColor="text1"/>
        </w:rPr>
      </w:r>
      <w:r w:rsidRPr="00B900C1">
        <w:rPr>
          <w:color w:val="000000" w:themeColor="text1"/>
        </w:rPr>
        <w:fldChar w:fldCharType="separate"/>
      </w:r>
      <w:r w:rsidR="007B74B7">
        <w:rPr>
          <w:color w:val="000000" w:themeColor="text1"/>
        </w:rPr>
        <w:t>25</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Windows Essential Business Server 2008 Premium</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_Toc353375903 \h </w:instrText>
      </w:r>
      <w:r w:rsidRPr="00B900C1">
        <w:rPr>
          <w:color w:val="000000" w:themeColor="text1"/>
        </w:rPr>
      </w:r>
      <w:r w:rsidRPr="00B900C1">
        <w:rPr>
          <w:color w:val="000000" w:themeColor="text1"/>
        </w:rPr>
        <w:fldChar w:fldCharType="separate"/>
      </w:r>
      <w:r w:rsidR="007B74B7">
        <w:rPr>
          <w:color w:val="000000" w:themeColor="text1"/>
        </w:rPr>
        <w:t>26</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CAL Suite per Windows Essential Business Server 2008 per Utenti o Dispositivi Premium</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_Toc353375904 \h </w:instrText>
      </w:r>
      <w:r w:rsidRPr="00B900C1">
        <w:rPr>
          <w:color w:val="000000" w:themeColor="text1"/>
        </w:rPr>
      </w:r>
      <w:r w:rsidRPr="00B900C1">
        <w:rPr>
          <w:color w:val="000000" w:themeColor="text1"/>
        </w:rPr>
        <w:fldChar w:fldCharType="separate"/>
      </w:r>
      <w:r w:rsidR="007B74B7">
        <w:rPr>
          <w:color w:val="000000" w:themeColor="text1"/>
          <w:lang w:val="it-IT"/>
        </w:rPr>
        <w:t>26</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CAL Suite per Windows Essential Business Server 2008 per Utenti o Dispositivi Premium (5 client)</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_Toc353375905 \h </w:instrText>
      </w:r>
      <w:r w:rsidRPr="00B900C1">
        <w:rPr>
          <w:color w:val="000000" w:themeColor="text1"/>
        </w:rPr>
      </w:r>
      <w:r w:rsidRPr="00B900C1">
        <w:rPr>
          <w:color w:val="000000" w:themeColor="text1"/>
        </w:rPr>
        <w:fldChar w:fldCharType="separate"/>
      </w:r>
      <w:r w:rsidR="007B74B7">
        <w:rPr>
          <w:color w:val="000000" w:themeColor="text1"/>
          <w:lang w:val="it-IT"/>
        </w:rPr>
        <w:t>26</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CAL Suite per Windows Essential Business Server 2008 per Utenti o Dispositivi Premium (20 client)</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_Toc353375906 \h </w:instrText>
      </w:r>
      <w:r w:rsidRPr="00B900C1">
        <w:rPr>
          <w:color w:val="000000" w:themeColor="text1"/>
        </w:rPr>
      </w:r>
      <w:r w:rsidRPr="00B900C1">
        <w:rPr>
          <w:color w:val="000000" w:themeColor="text1"/>
        </w:rPr>
        <w:fldChar w:fldCharType="separate"/>
      </w:r>
      <w:r w:rsidR="007B74B7">
        <w:rPr>
          <w:color w:val="000000" w:themeColor="text1"/>
          <w:lang w:val="it-IT"/>
        </w:rPr>
        <w:t>26</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CAL Suite per Windows Essential Business Server 2008 per Utenti o Dispositivi Premium (50 client)</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_Toc353375907 \h </w:instrText>
      </w:r>
      <w:r w:rsidRPr="00B900C1">
        <w:rPr>
          <w:color w:val="000000" w:themeColor="text1"/>
        </w:rPr>
      </w:r>
      <w:r w:rsidRPr="00B900C1">
        <w:rPr>
          <w:color w:val="000000" w:themeColor="text1"/>
        </w:rPr>
        <w:fldChar w:fldCharType="separate"/>
      </w:r>
      <w:r w:rsidR="007B74B7">
        <w:rPr>
          <w:color w:val="000000" w:themeColor="text1"/>
          <w:lang w:val="it-IT"/>
        </w:rPr>
        <w:t>26</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Windows HPC Server 2008 R2 Suite</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_Toc353375908 \h </w:instrText>
      </w:r>
      <w:r w:rsidRPr="00B900C1">
        <w:rPr>
          <w:color w:val="000000" w:themeColor="text1"/>
        </w:rPr>
      </w:r>
      <w:r w:rsidRPr="00B900C1">
        <w:rPr>
          <w:color w:val="000000" w:themeColor="text1"/>
        </w:rPr>
        <w:fldChar w:fldCharType="separate"/>
      </w:r>
      <w:r w:rsidR="007B74B7">
        <w:rPr>
          <w:color w:val="000000" w:themeColor="text1"/>
        </w:rPr>
        <w:t>26</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lastRenderedPageBreak/>
        <w:t xml:space="preserve">Componente Aggiuntivo per Windows Intune per System Center Configuration Manager e </w:t>
      </w:r>
      <w:r w:rsidR="00F61E13" w:rsidRPr="00B900C1">
        <w:rPr>
          <w:rFonts w:cs="Tahoma"/>
          <w:color w:val="000000" w:themeColor="text1"/>
        </w:rPr>
        <w:br/>
      </w:r>
      <w:r w:rsidRPr="00B900C1">
        <w:rPr>
          <w:rFonts w:cs="Tahoma"/>
          <w:color w:val="000000" w:themeColor="text1"/>
        </w:rPr>
        <w:t>System Center EndPoint Protection (Per Utente)</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_Toc353375909 \h </w:instrText>
      </w:r>
      <w:r w:rsidRPr="00B900C1">
        <w:rPr>
          <w:color w:val="000000" w:themeColor="text1"/>
        </w:rPr>
      </w:r>
      <w:r w:rsidRPr="00B900C1">
        <w:rPr>
          <w:color w:val="000000" w:themeColor="text1"/>
        </w:rPr>
        <w:fldChar w:fldCharType="separate"/>
      </w:r>
      <w:r w:rsidR="007B74B7">
        <w:rPr>
          <w:color w:val="000000" w:themeColor="text1"/>
        </w:rPr>
        <w:t>26</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Windows Intune (Per Utente)</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_Toc353375910 \h </w:instrText>
      </w:r>
      <w:r w:rsidRPr="00B900C1">
        <w:rPr>
          <w:color w:val="000000" w:themeColor="text1"/>
        </w:rPr>
      </w:r>
      <w:r w:rsidRPr="00B900C1">
        <w:rPr>
          <w:color w:val="000000" w:themeColor="text1"/>
        </w:rPr>
        <w:fldChar w:fldCharType="separate"/>
      </w:r>
      <w:r w:rsidR="007B74B7">
        <w:rPr>
          <w:color w:val="000000" w:themeColor="text1"/>
        </w:rPr>
        <w:t>26</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USL Add-On per Windows Intune Extra Storage 1 GB</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_Toc353375911 \h </w:instrText>
      </w:r>
      <w:r w:rsidRPr="00B900C1">
        <w:rPr>
          <w:color w:val="000000" w:themeColor="text1"/>
        </w:rPr>
      </w:r>
      <w:r w:rsidRPr="00B900C1">
        <w:rPr>
          <w:color w:val="000000" w:themeColor="text1"/>
        </w:rPr>
        <w:fldChar w:fldCharType="separate"/>
      </w:r>
      <w:r w:rsidR="007B74B7">
        <w:rPr>
          <w:color w:val="000000" w:themeColor="text1"/>
        </w:rPr>
        <w:t>26</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Windows MultiPoint Server 2012 Standard</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_Toc353375912 \h </w:instrText>
      </w:r>
      <w:r w:rsidRPr="00B900C1">
        <w:rPr>
          <w:color w:val="000000" w:themeColor="text1"/>
        </w:rPr>
      </w:r>
      <w:r w:rsidRPr="00B900C1">
        <w:rPr>
          <w:color w:val="000000" w:themeColor="text1"/>
        </w:rPr>
        <w:fldChar w:fldCharType="separate"/>
      </w:r>
      <w:r w:rsidR="007B74B7">
        <w:rPr>
          <w:color w:val="000000" w:themeColor="text1"/>
        </w:rPr>
        <w:t>26</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Windows MultiPoint Server 2012 Premium</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_Toc353375913 \h </w:instrText>
      </w:r>
      <w:r w:rsidRPr="00B900C1">
        <w:rPr>
          <w:color w:val="000000" w:themeColor="text1"/>
        </w:rPr>
      </w:r>
      <w:r w:rsidRPr="00B900C1">
        <w:rPr>
          <w:color w:val="000000" w:themeColor="text1"/>
        </w:rPr>
        <w:fldChar w:fldCharType="separate"/>
      </w:r>
      <w:r w:rsidR="007B74B7">
        <w:rPr>
          <w:color w:val="000000" w:themeColor="text1"/>
        </w:rPr>
        <w:t>26</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CAL per Windows MultiPoint Server 2012</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_Toc353375914 \h </w:instrText>
      </w:r>
      <w:r w:rsidRPr="00B900C1">
        <w:rPr>
          <w:color w:val="000000" w:themeColor="text1"/>
        </w:rPr>
      </w:r>
      <w:r w:rsidRPr="00B900C1">
        <w:rPr>
          <w:color w:val="000000" w:themeColor="text1"/>
        </w:rPr>
        <w:fldChar w:fldCharType="separate"/>
      </w:r>
      <w:r w:rsidR="007B74B7">
        <w:rPr>
          <w:color w:val="000000" w:themeColor="text1"/>
        </w:rPr>
        <w:t>26</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CAL per Windows MultiPoint Server 2012 con CAL per Windows Server 2012</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_Toc353375915 \h </w:instrText>
      </w:r>
      <w:r w:rsidRPr="00B900C1">
        <w:rPr>
          <w:color w:val="000000" w:themeColor="text1"/>
        </w:rPr>
      </w:r>
      <w:r w:rsidRPr="00B900C1">
        <w:rPr>
          <w:color w:val="000000" w:themeColor="text1"/>
        </w:rPr>
        <w:fldChar w:fldCharType="separate"/>
      </w:r>
      <w:r w:rsidR="007B74B7">
        <w:rPr>
          <w:color w:val="000000" w:themeColor="text1"/>
        </w:rPr>
        <w:t>26</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Windows MultiPoint Server 2012 Premium con Windows MultiPoint Server 2012 (CAL) (5 Client)</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_Toc353375916 \h </w:instrText>
      </w:r>
      <w:r w:rsidRPr="00B900C1">
        <w:rPr>
          <w:color w:val="000000" w:themeColor="text1"/>
        </w:rPr>
      </w:r>
      <w:r w:rsidRPr="00B900C1">
        <w:rPr>
          <w:color w:val="000000" w:themeColor="text1"/>
        </w:rPr>
        <w:fldChar w:fldCharType="separate"/>
      </w:r>
      <w:r w:rsidR="007B74B7">
        <w:rPr>
          <w:color w:val="000000" w:themeColor="text1"/>
        </w:rPr>
        <w:t>26</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 xml:space="preserve">Windows MultiPoint Server 2012 Premium con Windows MultiPoint Server 2012 (CAL) (5 Client) </w:t>
      </w:r>
      <w:r w:rsidR="00F61E13" w:rsidRPr="00B900C1">
        <w:rPr>
          <w:rFonts w:cs="Tahoma"/>
          <w:color w:val="000000" w:themeColor="text1"/>
        </w:rPr>
        <w:br/>
      </w:r>
      <w:r w:rsidRPr="00B900C1">
        <w:rPr>
          <w:rFonts w:cs="Tahoma"/>
          <w:color w:val="000000" w:themeColor="text1"/>
        </w:rPr>
        <w:t>con Windows Server 2012 (CAL) (5 Client)</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_Toc353375917 \h </w:instrText>
      </w:r>
      <w:r w:rsidRPr="00B900C1">
        <w:rPr>
          <w:color w:val="000000" w:themeColor="text1"/>
        </w:rPr>
      </w:r>
      <w:r w:rsidRPr="00B900C1">
        <w:rPr>
          <w:color w:val="000000" w:themeColor="text1"/>
        </w:rPr>
        <w:fldChar w:fldCharType="separate"/>
      </w:r>
      <w:r w:rsidR="007B74B7">
        <w:rPr>
          <w:color w:val="000000" w:themeColor="text1"/>
        </w:rPr>
        <w:t>26</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Windows Server™ 2008 R2 HPC Edition</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_Toc353375918 \h </w:instrText>
      </w:r>
      <w:r w:rsidRPr="00B900C1">
        <w:rPr>
          <w:color w:val="000000" w:themeColor="text1"/>
        </w:rPr>
      </w:r>
      <w:r w:rsidRPr="00B900C1">
        <w:rPr>
          <w:color w:val="000000" w:themeColor="text1"/>
        </w:rPr>
        <w:fldChar w:fldCharType="separate"/>
      </w:r>
      <w:r w:rsidR="007B74B7">
        <w:rPr>
          <w:color w:val="000000" w:themeColor="text1"/>
        </w:rPr>
        <w:t>26</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Windows Server™ 2008 R2 Enterprise</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_Toc353375919 \h </w:instrText>
      </w:r>
      <w:r w:rsidRPr="00B900C1">
        <w:rPr>
          <w:color w:val="000000" w:themeColor="text1"/>
        </w:rPr>
      </w:r>
      <w:r w:rsidRPr="00B900C1">
        <w:rPr>
          <w:color w:val="000000" w:themeColor="text1"/>
        </w:rPr>
        <w:fldChar w:fldCharType="separate"/>
      </w:r>
      <w:r w:rsidR="007B74B7">
        <w:rPr>
          <w:color w:val="000000" w:themeColor="text1"/>
        </w:rPr>
        <w:t>26</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Windows Server™ 2008 R2 per Sistemi Basati su Itanium</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_Toc353375920 \h </w:instrText>
      </w:r>
      <w:r w:rsidRPr="00B900C1">
        <w:rPr>
          <w:color w:val="000000" w:themeColor="text1"/>
        </w:rPr>
      </w:r>
      <w:r w:rsidRPr="00B900C1">
        <w:rPr>
          <w:color w:val="000000" w:themeColor="text1"/>
        </w:rPr>
        <w:fldChar w:fldCharType="separate"/>
      </w:r>
      <w:r w:rsidR="007B74B7">
        <w:rPr>
          <w:color w:val="000000" w:themeColor="text1"/>
        </w:rPr>
        <w:t>26</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CAL per Windows Server™ 2012 (Dispositivo e Utente)</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_Toc353375921 \h </w:instrText>
      </w:r>
      <w:r w:rsidRPr="00B900C1">
        <w:rPr>
          <w:color w:val="000000" w:themeColor="text1"/>
        </w:rPr>
      </w:r>
      <w:r w:rsidRPr="00B900C1">
        <w:rPr>
          <w:color w:val="000000" w:themeColor="text1"/>
        </w:rPr>
        <w:fldChar w:fldCharType="separate"/>
      </w:r>
      <w:r w:rsidR="007B74B7">
        <w:rPr>
          <w:color w:val="000000" w:themeColor="text1"/>
        </w:rPr>
        <w:t>26</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Windows Server™ 2012 Datacenter</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_Toc353375922 \h </w:instrText>
      </w:r>
      <w:r w:rsidRPr="00B900C1">
        <w:rPr>
          <w:color w:val="000000" w:themeColor="text1"/>
        </w:rPr>
      </w:r>
      <w:r w:rsidRPr="00B900C1">
        <w:rPr>
          <w:color w:val="000000" w:themeColor="text1"/>
        </w:rPr>
        <w:fldChar w:fldCharType="separate"/>
      </w:r>
      <w:r w:rsidR="007B74B7">
        <w:rPr>
          <w:color w:val="000000" w:themeColor="text1"/>
        </w:rPr>
        <w:t>26</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Windows Server™ 2012 Standard</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_Toc353375923 \h </w:instrText>
      </w:r>
      <w:r w:rsidRPr="00B900C1">
        <w:rPr>
          <w:color w:val="000000" w:themeColor="text1"/>
        </w:rPr>
      </w:r>
      <w:r w:rsidRPr="00B900C1">
        <w:rPr>
          <w:color w:val="000000" w:themeColor="text1"/>
        </w:rPr>
        <w:fldChar w:fldCharType="separate"/>
      </w:r>
      <w:r w:rsidR="007B74B7">
        <w:rPr>
          <w:color w:val="000000" w:themeColor="text1"/>
        </w:rPr>
        <w:t>26</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External Connector per Windows Server™</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_Toc353375924 \h </w:instrText>
      </w:r>
      <w:r w:rsidRPr="00B900C1">
        <w:rPr>
          <w:color w:val="000000" w:themeColor="text1"/>
        </w:rPr>
      </w:r>
      <w:r w:rsidRPr="00B900C1">
        <w:rPr>
          <w:color w:val="000000" w:themeColor="text1"/>
        </w:rPr>
        <w:fldChar w:fldCharType="separate"/>
      </w:r>
      <w:r w:rsidR="007B74B7">
        <w:rPr>
          <w:color w:val="000000" w:themeColor="text1"/>
        </w:rPr>
        <w:t>26</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CAL per Servizi Desktop Remoto Windows Server™ 2012</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_Toc353375925 \h </w:instrText>
      </w:r>
      <w:r w:rsidRPr="00B900C1">
        <w:rPr>
          <w:color w:val="000000" w:themeColor="text1"/>
        </w:rPr>
      </w:r>
      <w:r w:rsidRPr="00B900C1">
        <w:rPr>
          <w:color w:val="000000" w:themeColor="text1"/>
        </w:rPr>
        <w:fldChar w:fldCharType="separate"/>
      </w:r>
      <w:r w:rsidR="007B74B7">
        <w:rPr>
          <w:color w:val="000000" w:themeColor="text1"/>
          <w:lang w:val="it-IT"/>
        </w:rPr>
        <w:t>26</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External Connector per Servizi Desktop Remoto Windows Server™ 2012</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_Toc353375926 \h </w:instrText>
      </w:r>
      <w:r w:rsidRPr="00B900C1">
        <w:rPr>
          <w:color w:val="000000" w:themeColor="text1"/>
        </w:rPr>
      </w:r>
      <w:r w:rsidRPr="00B900C1">
        <w:rPr>
          <w:color w:val="000000" w:themeColor="text1"/>
        </w:rPr>
        <w:fldChar w:fldCharType="separate"/>
      </w:r>
      <w:r w:rsidR="007B74B7">
        <w:rPr>
          <w:color w:val="000000" w:themeColor="text1"/>
        </w:rPr>
        <w:t>26</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CAL per Windows Server™ 2012 Active Directory Rights Management Services</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_Toc353375927 \h </w:instrText>
      </w:r>
      <w:r w:rsidRPr="00B900C1">
        <w:rPr>
          <w:color w:val="000000" w:themeColor="text1"/>
        </w:rPr>
      </w:r>
      <w:r w:rsidRPr="00B900C1">
        <w:rPr>
          <w:color w:val="000000" w:themeColor="text1"/>
        </w:rPr>
        <w:fldChar w:fldCharType="separate"/>
      </w:r>
      <w:r w:rsidR="007B74B7">
        <w:rPr>
          <w:color w:val="000000" w:themeColor="text1"/>
        </w:rPr>
        <w:t>26</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External Connector per Windows Server™ Active Directory Rights Management Services</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_Toc353375928 \h </w:instrText>
      </w:r>
      <w:r w:rsidRPr="00B900C1">
        <w:rPr>
          <w:color w:val="000000" w:themeColor="text1"/>
        </w:rPr>
      </w:r>
      <w:r w:rsidRPr="00B900C1">
        <w:rPr>
          <w:color w:val="000000" w:themeColor="text1"/>
        </w:rPr>
        <w:fldChar w:fldCharType="separate"/>
      </w:r>
      <w:r w:rsidR="007B74B7">
        <w:rPr>
          <w:color w:val="000000" w:themeColor="text1"/>
        </w:rPr>
        <w:t>26</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Windows Small Business Server 2008 Premium</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_Toc353375929 \h </w:instrText>
      </w:r>
      <w:r w:rsidRPr="00B900C1">
        <w:rPr>
          <w:color w:val="000000" w:themeColor="text1"/>
        </w:rPr>
      </w:r>
      <w:r w:rsidRPr="00B900C1">
        <w:rPr>
          <w:color w:val="000000" w:themeColor="text1"/>
        </w:rPr>
        <w:fldChar w:fldCharType="separate"/>
      </w:r>
      <w:r w:rsidR="007B74B7">
        <w:rPr>
          <w:color w:val="000000" w:themeColor="text1"/>
        </w:rPr>
        <w:t>26</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CAL Suite per Windows Small Business Server 2008 per Utenti o Dispositivi Premium</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_Toc353375930 \h </w:instrText>
      </w:r>
      <w:r w:rsidRPr="00B900C1">
        <w:rPr>
          <w:color w:val="000000" w:themeColor="text1"/>
        </w:rPr>
      </w:r>
      <w:r w:rsidRPr="00B900C1">
        <w:rPr>
          <w:color w:val="000000" w:themeColor="text1"/>
        </w:rPr>
        <w:fldChar w:fldCharType="separate"/>
      </w:r>
      <w:r w:rsidR="007B74B7">
        <w:rPr>
          <w:color w:val="000000" w:themeColor="text1"/>
        </w:rPr>
        <w:t>27</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CAL Suite per Windows Small Business Server 2008 per Utenti o Dispositivi Premium (5 Client)</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_Toc353375931 \h </w:instrText>
      </w:r>
      <w:r w:rsidRPr="00B900C1">
        <w:rPr>
          <w:color w:val="000000" w:themeColor="text1"/>
        </w:rPr>
      </w:r>
      <w:r w:rsidRPr="00B900C1">
        <w:rPr>
          <w:color w:val="000000" w:themeColor="text1"/>
        </w:rPr>
        <w:fldChar w:fldCharType="separate"/>
      </w:r>
      <w:r w:rsidR="007B74B7">
        <w:rPr>
          <w:color w:val="000000" w:themeColor="text1"/>
        </w:rPr>
        <w:t>27</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CAL Suite per Windows Small Business Server 2008 per Utenti o Dispositivi Premium (20 Client)</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_Toc353375932 \h </w:instrText>
      </w:r>
      <w:r w:rsidRPr="00B900C1">
        <w:rPr>
          <w:color w:val="000000" w:themeColor="text1"/>
        </w:rPr>
      </w:r>
      <w:r w:rsidRPr="00B900C1">
        <w:rPr>
          <w:color w:val="000000" w:themeColor="text1"/>
        </w:rPr>
        <w:fldChar w:fldCharType="separate"/>
      </w:r>
      <w:r w:rsidR="007B74B7">
        <w:rPr>
          <w:color w:val="000000" w:themeColor="text1"/>
        </w:rPr>
        <w:t>27</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Windows Small Business Server 2011 Standard (5 client)</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_Toc353375933 \h </w:instrText>
      </w:r>
      <w:r w:rsidRPr="00B900C1">
        <w:rPr>
          <w:color w:val="000000" w:themeColor="text1"/>
        </w:rPr>
      </w:r>
      <w:r w:rsidRPr="00B900C1">
        <w:rPr>
          <w:color w:val="000000" w:themeColor="text1"/>
        </w:rPr>
        <w:fldChar w:fldCharType="separate"/>
      </w:r>
      <w:r w:rsidR="007B74B7">
        <w:rPr>
          <w:color w:val="000000" w:themeColor="text1"/>
        </w:rPr>
        <w:t>27</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CAL Suite per Windows Small Business Server 2011 (1 client)</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_Toc353375934 \h </w:instrText>
      </w:r>
      <w:r w:rsidRPr="00B900C1">
        <w:rPr>
          <w:color w:val="000000" w:themeColor="text1"/>
        </w:rPr>
      </w:r>
      <w:r w:rsidRPr="00B900C1">
        <w:rPr>
          <w:color w:val="000000" w:themeColor="text1"/>
        </w:rPr>
        <w:fldChar w:fldCharType="separate"/>
      </w:r>
      <w:r w:rsidR="007B74B7">
        <w:rPr>
          <w:color w:val="000000" w:themeColor="text1"/>
        </w:rPr>
        <w:t>27</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CAL Suite per Windows Small Business Server 2011 (5 client)</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_Toc353375935 \h </w:instrText>
      </w:r>
      <w:r w:rsidRPr="00B900C1">
        <w:rPr>
          <w:color w:val="000000" w:themeColor="text1"/>
        </w:rPr>
      </w:r>
      <w:r w:rsidRPr="00B900C1">
        <w:rPr>
          <w:color w:val="000000" w:themeColor="text1"/>
        </w:rPr>
        <w:fldChar w:fldCharType="separate"/>
      </w:r>
      <w:r w:rsidR="007B74B7">
        <w:rPr>
          <w:color w:val="000000" w:themeColor="text1"/>
        </w:rPr>
        <w:t>27</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CAL Suite per Windows Small Business Server 2011 (20 client)</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_Toc353375936 \h </w:instrText>
      </w:r>
      <w:r w:rsidRPr="00B900C1">
        <w:rPr>
          <w:color w:val="000000" w:themeColor="text1"/>
        </w:rPr>
      </w:r>
      <w:r w:rsidRPr="00B900C1">
        <w:rPr>
          <w:color w:val="000000" w:themeColor="text1"/>
        </w:rPr>
        <w:fldChar w:fldCharType="separate"/>
      </w:r>
      <w:r w:rsidR="007B74B7">
        <w:rPr>
          <w:color w:val="000000" w:themeColor="text1"/>
        </w:rPr>
        <w:t>27</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Premium Add-on per Windows Small Business Server 2011 (5 client)</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_Toc353375937 \h </w:instrText>
      </w:r>
      <w:r w:rsidRPr="00B900C1">
        <w:rPr>
          <w:color w:val="000000" w:themeColor="text1"/>
        </w:rPr>
      </w:r>
      <w:r w:rsidRPr="00B900C1">
        <w:rPr>
          <w:color w:val="000000" w:themeColor="text1"/>
        </w:rPr>
        <w:fldChar w:fldCharType="separate"/>
      </w:r>
      <w:r w:rsidR="007B74B7">
        <w:rPr>
          <w:color w:val="000000" w:themeColor="text1"/>
        </w:rPr>
        <w:t>27</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Premium Add-on CAL Suite per Windows Small Business Server 2011</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_Toc353375938 \h </w:instrText>
      </w:r>
      <w:r w:rsidRPr="00B900C1">
        <w:rPr>
          <w:color w:val="000000" w:themeColor="text1"/>
        </w:rPr>
      </w:r>
      <w:r w:rsidRPr="00B900C1">
        <w:rPr>
          <w:color w:val="000000" w:themeColor="text1"/>
        </w:rPr>
        <w:fldChar w:fldCharType="separate"/>
      </w:r>
      <w:r w:rsidR="007B74B7">
        <w:rPr>
          <w:color w:val="000000" w:themeColor="text1"/>
        </w:rPr>
        <w:t>27</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Premium Add-on CAL Suite per Windows Small Business Server 2011 (5 client)</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_Toc353375939 \h </w:instrText>
      </w:r>
      <w:r w:rsidRPr="00B900C1">
        <w:rPr>
          <w:color w:val="000000" w:themeColor="text1"/>
        </w:rPr>
      </w:r>
      <w:r w:rsidRPr="00B900C1">
        <w:rPr>
          <w:color w:val="000000" w:themeColor="text1"/>
        </w:rPr>
        <w:fldChar w:fldCharType="separate"/>
      </w:r>
      <w:r w:rsidR="007B74B7">
        <w:rPr>
          <w:color w:val="000000" w:themeColor="text1"/>
        </w:rPr>
        <w:t>27</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Premium Add-on CAL Suite per Windows Small Business Server 2011 (20 client)</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_Toc353375940 \h </w:instrText>
      </w:r>
      <w:r w:rsidRPr="00B900C1">
        <w:rPr>
          <w:color w:val="000000" w:themeColor="text1"/>
        </w:rPr>
      </w:r>
      <w:r w:rsidRPr="00B900C1">
        <w:rPr>
          <w:color w:val="000000" w:themeColor="text1"/>
        </w:rPr>
        <w:fldChar w:fldCharType="separate"/>
      </w:r>
      <w:r w:rsidR="007B74B7">
        <w:rPr>
          <w:color w:val="000000" w:themeColor="text1"/>
        </w:rPr>
        <w:t>27</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Windows Server Essentials 2012</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_Toc353375941 \h </w:instrText>
      </w:r>
      <w:r w:rsidRPr="00B900C1">
        <w:rPr>
          <w:color w:val="000000" w:themeColor="text1"/>
        </w:rPr>
      </w:r>
      <w:r w:rsidRPr="00B900C1">
        <w:rPr>
          <w:color w:val="000000" w:themeColor="text1"/>
        </w:rPr>
        <w:fldChar w:fldCharType="separate"/>
      </w:r>
      <w:r w:rsidR="007B74B7">
        <w:rPr>
          <w:color w:val="000000" w:themeColor="text1"/>
        </w:rPr>
        <w:t>27</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Windows Small Business Server 2011 Essentials</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_Toc353375942 \h </w:instrText>
      </w:r>
      <w:r w:rsidRPr="00B900C1">
        <w:rPr>
          <w:color w:val="000000" w:themeColor="text1"/>
        </w:rPr>
      </w:r>
      <w:r w:rsidRPr="00B900C1">
        <w:rPr>
          <w:color w:val="000000" w:themeColor="text1"/>
        </w:rPr>
        <w:fldChar w:fldCharType="separate"/>
      </w:r>
      <w:r w:rsidR="007B74B7">
        <w:rPr>
          <w:color w:val="000000" w:themeColor="text1"/>
        </w:rPr>
        <w:t>27</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Windows Web Server 2008 R2</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_Toc353375943 \h </w:instrText>
      </w:r>
      <w:r w:rsidRPr="00B900C1">
        <w:rPr>
          <w:color w:val="000000" w:themeColor="text1"/>
        </w:rPr>
      </w:r>
      <w:r w:rsidRPr="00B900C1">
        <w:rPr>
          <w:color w:val="000000" w:themeColor="text1"/>
        </w:rPr>
        <w:fldChar w:fldCharType="separate"/>
      </w:r>
      <w:r w:rsidR="007B74B7">
        <w:rPr>
          <w:color w:val="000000" w:themeColor="text1"/>
          <w:lang w:val="it-IT"/>
        </w:rPr>
        <w:t>27</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Yammer Enterprise</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_Toc353375944 \h </w:instrText>
      </w:r>
      <w:r w:rsidRPr="00B900C1">
        <w:rPr>
          <w:color w:val="000000" w:themeColor="text1"/>
        </w:rPr>
      </w:r>
      <w:r w:rsidRPr="00B900C1">
        <w:rPr>
          <w:color w:val="000000" w:themeColor="text1"/>
        </w:rPr>
        <w:fldChar w:fldCharType="separate"/>
      </w:r>
      <w:r w:rsidR="007B74B7">
        <w:rPr>
          <w:color w:val="000000" w:themeColor="text1"/>
          <w:lang w:val="it-IT"/>
        </w:rPr>
        <w:t>27</w:t>
      </w:r>
      <w:r w:rsidRPr="00B900C1">
        <w:rPr>
          <w:color w:val="000000" w:themeColor="text1"/>
        </w:rPr>
        <w:fldChar w:fldCharType="end"/>
      </w:r>
    </w:p>
    <w:p w:rsidR="00BD7CEA" w:rsidRPr="007B74B7" w:rsidRDefault="00BD7CEA">
      <w:pPr>
        <w:pStyle w:val="TOC1"/>
        <w:rPr>
          <w:rFonts w:asciiTheme="minorHAnsi" w:eastAsiaTheme="minorEastAsia" w:hAnsiTheme="minorHAnsi" w:cstheme="minorBidi"/>
          <w:b w:val="0"/>
          <w:caps w:val="0"/>
          <w:color w:val="000000" w:themeColor="text1"/>
          <w:szCs w:val="22"/>
          <w:lang w:val="it-IT"/>
        </w:rPr>
      </w:pPr>
      <w:r w:rsidRPr="007B74B7">
        <w:rPr>
          <w:color w:val="000000" w:themeColor="text1"/>
          <w:lang w:val="it-IT"/>
        </w:rPr>
        <w:t>ARTICOLO 1</w:t>
      </w:r>
      <w:r w:rsidR="00FD7C0D" w:rsidRPr="007B74B7">
        <w:rPr>
          <w:color w:val="000000" w:themeColor="text1"/>
          <w:lang w:val="it-IT"/>
        </w:rPr>
        <w:t xml:space="preserve"> – </w:t>
      </w:r>
      <w:r w:rsidRPr="007B74B7">
        <w:rPr>
          <w:color w:val="000000" w:themeColor="text1"/>
          <w:lang w:val="it-IT"/>
        </w:rPr>
        <w:t xml:space="preserve">Modifiche apportate alla LISTA </w:t>
      </w:r>
      <w:r w:rsidR="00F61E13" w:rsidRPr="007B74B7">
        <w:rPr>
          <w:color w:val="000000" w:themeColor="text1"/>
          <w:lang w:val="it-IT"/>
        </w:rPr>
        <w:br/>
      </w:r>
      <w:r w:rsidRPr="007B74B7">
        <w:rPr>
          <w:color w:val="000000" w:themeColor="text1"/>
          <w:lang w:val="it-IT"/>
        </w:rPr>
        <w:t>DEI PRODOTTI negli ultimi 12 mesi</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_Toc353375946 \h </w:instrText>
      </w:r>
      <w:r w:rsidRPr="00B900C1">
        <w:rPr>
          <w:color w:val="000000" w:themeColor="text1"/>
        </w:rPr>
      </w:r>
      <w:r w:rsidRPr="00B900C1">
        <w:rPr>
          <w:color w:val="000000" w:themeColor="text1"/>
        </w:rPr>
        <w:fldChar w:fldCharType="separate"/>
      </w:r>
      <w:r w:rsidR="007B74B7">
        <w:rPr>
          <w:color w:val="000000" w:themeColor="text1"/>
          <w:lang w:val="it-IT"/>
        </w:rPr>
        <w:t>28</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MODIFICHE APPORTATE NEL MESE DI MAGGIO 2013</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_Toc353375947 \h </w:instrText>
      </w:r>
      <w:r w:rsidRPr="00B900C1">
        <w:rPr>
          <w:color w:val="000000" w:themeColor="text1"/>
        </w:rPr>
      </w:r>
      <w:r w:rsidRPr="00B900C1">
        <w:rPr>
          <w:color w:val="000000" w:themeColor="text1"/>
        </w:rPr>
        <w:fldChar w:fldCharType="separate"/>
      </w:r>
      <w:r w:rsidR="007B74B7">
        <w:rPr>
          <w:color w:val="000000" w:themeColor="text1"/>
          <w:lang w:val="it-IT"/>
        </w:rPr>
        <w:t>28</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MODIFICHE APPORTATE NEL MESE DI APRILE 2013</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_Toc353375948 \h </w:instrText>
      </w:r>
      <w:r w:rsidRPr="00B900C1">
        <w:rPr>
          <w:color w:val="000000" w:themeColor="text1"/>
        </w:rPr>
      </w:r>
      <w:r w:rsidRPr="00B900C1">
        <w:rPr>
          <w:color w:val="000000" w:themeColor="text1"/>
        </w:rPr>
        <w:fldChar w:fldCharType="separate"/>
      </w:r>
      <w:r w:rsidR="007B74B7">
        <w:rPr>
          <w:color w:val="000000" w:themeColor="text1"/>
          <w:lang w:val="it-IT"/>
        </w:rPr>
        <w:t>28</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MODIFICHE APPORTATE NEL MESE DI MARZO 2013</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_Toc353375949 \h </w:instrText>
      </w:r>
      <w:r w:rsidRPr="00B900C1">
        <w:rPr>
          <w:color w:val="000000" w:themeColor="text1"/>
        </w:rPr>
      </w:r>
      <w:r w:rsidRPr="00B900C1">
        <w:rPr>
          <w:color w:val="000000" w:themeColor="text1"/>
        </w:rPr>
        <w:fldChar w:fldCharType="separate"/>
      </w:r>
      <w:r w:rsidR="007B74B7">
        <w:rPr>
          <w:color w:val="000000" w:themeColor="text1"/>
          <w:lang w:val="it-IT"/>
        </w:rPr>
        <w:t>30</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MODIFICHE APPORTATE NEL MESE DI FEBBRAIO 2013</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_Toc353375950 \h </w:instrText>
      </w:r>
      <w:r w:rsidRPr="00B900C1">
        <w:rPr>
          <w:color w:val="000000" w:themeColor="text1"/>
        </w:rPr>
      </w:r>
      <w:r w:rsidRPr="00B900C1">
        <w:rPr>
          <w:color w:val="000000" w:themeColor="text1"/>
        </w:rPr>
        <w:fldChar w:fldCharType="separate"/>
      </w:r>
      <w:r w:rsidR="007B74B7">
        <w:rPr>
          <w:color w:val="000000" w:themeColor="text1"/>
          <w:lang w:val="it-IT"/>
        </w:rPr>
        <w:t>31</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MODIFICHE APPORTATE NEL MESE DI GENNAIO 2013</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_Toc353375951 \h </w:instrText>
      </w:r>
      <w:r w:rsidRPr="00B900C1">
        <w:rPr>
          <w:color w:val="000000" w:themeColor="text1"/>
        </w:rPr>
      </w:r>
      <w:r w:rsidRPr="00B900C1">
        <w:rPr>
          <w:color w:val="000000" w:themeColor="text1"/>
        </w:rPr>
        <w:fldChar w:fldCharType="separate"/>
      </w:r>
      <w:r w:rsidR="007B74B7">
        <w:rPr>
          <w:color w:val="000000" w:themeColor="text1"/>
          <w:lang w:val="it-IT"/>
        </w:rPr>
        <w:t>32</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MODIFICHE APPORTATE NEL MESE DI DICEMBRE 2012</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_Toc353375952 \h </w:instrText>
      </w:r>
      <w:r w:rsidRPr="00B900C1">
        <w:rPr>
          <w:color w:val="000000" w:themeColor="text1"/>
        </w:rPr>
      </w:r>
      <w:r w:rsidRPr="00B900C1">
        <w:rPr>
          <w:color w:val="000000" w:themeColor="text1"/>
        </w:rPr>
        <w:fldChar w:fldCharType="separate"/>
      </w:r>
      <w:r w:rsidR="007B74B7">
        <w:rPr>
          <w:color w:val="000000" w:themeColor="text1"/>
          <w:lang w:val="it-IT"/>
        </w:rPr>
        <w:t>32</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MODIFICHE APPORTATE NEL MESE DI NOVEMBRE 2012</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_Toc353375953 \h </w:instrText>
      </w:r>
      <w:r w:rsidRPr="00B900C1">
        <w:rPr>
          <w:color w:val="000000" w:themeColor="text1"/>
        </w:rPr>
      </w:r>
      <w:r w:rsidRPr="00B900C1">
        <w:rPr>
          <w:color w:val="000000" w:themeColor="text1"/>
        </w:rPr>
        <w:fldChar w:fldCharType="separate"/>
      </w:r>
      <w:r w:rsidR="007B74B7">
        <w:rPr>
          <w:color w:val="000000" w:themeColor="text1"/>
          <w:lang w:val="it-IT"/>
        </w:rPr>
        <w:t>34</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MODIFICHE APPORTATE NEL MESE DI OTTOBRE 2012</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_Toc353375954 \h </w:instrText>
      </w:r>
      <w:r w:rsidRPr="00B900C1">
        <w:rPr>
          <w:color w:val="000000" w:themeColor="text1"/>
        </w:rPr>
      </w:r>
      <w:r w:rsidRPr="00B900C1">
        <w:rPr>
          <w:color w:val="000000" w:themeColor="text1"/>
        </w:rPr>
        <w:fldChar w:fldCharType="separate"/>
      </w:r>
      <w:r w:rsidR="007B74B7">
        <w:rPr>
          <w:color w:val="000000" w:themeColor="text1"/>
          <w:lang w:val="it-IT"/>
        </w:rPr>
        <w:t>35</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MODIFICHE APPORTATE NEL MESE DI SETTEMBRE 2012</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_Toc353375955 \h </w:instrText>
      </w:r>
      <w:r w:rsidRPr="00B900C1">
        <w:rPr>
          <w:color w:val="000000" w:themeColor="text1"/>
        </w:rPr>
      </w:r>
      <w:r w:rsidRPr="00B900C1">
        <w:rPr>
          <w:color w:val="000000" w:themeColor="text1"/>
        </w:rPr>
        <w:fldChar w:fldCharType="separate"/>
      </w:r>
      <w:r w:rsidR="007B74B7">
        <w:rPr>
          <w:color w:val="000000" w:themeColor="text1"/>
          <w:lang w:val="it-IT"/>
        </w:rPr>
        <w:t>35</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MODIFICHE APPORTATE NEL MESE DI AGOSTO 2012</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_Toc353375956 \h </w:instrText>
      </w:r>
      <w:r w:rsidRPr="00B900C1">
        <w:rPr>
          <w:color w:val="000000" w:themeColor="text1"/>
        </w:rPr>
      </w:r>
      <w:r w:rsidRPr="00B900C1">
        <w:rPr>
          <w:color w:val="000000" w:themeColor="text1"/>
        </w:rPr>
        <w:fldChar w:fldCharType="separate"/>
      </w:r>
      <w:r w:rsidR="007B74B7">
        <w:rPr>
          <w:color w:val="000000" w:themeColor="text1"/>
          <w:lang w:val="it-IT"/>
        </w:rPr>
        <w:t>37</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MODIFICHE APPORTATE NEL MESE DI LUGLIO 2012</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_Toc353375957 \h </w:instrText>
      </w:r>
      <w:r w:rsidRPr="00B900C1">
        <w:rPr>
          <w:color w:val="000000" w:themeColor="text1"/>
        </w:rPr>
      </w:r>
      <w:r w:rsidRPr="00B900C1">
        <w:rPr>
          <w:color w:val="000000" w:themeColor="text1"/>
        </w:rPr>
        <w:fldChar w:fldCharType="separate"/>
      </w:r>
      <w:r w:rsidR="007B74B7">
        <w:rPr>
          <w:color w:val="000000" w:themeColor="text1"/>
          <w:lang w:val="it-IT"/>
        </w:rPr>
        <w:t>37</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MODIFICHE APPORTATE NEL MESE DI GIUGNO 2012</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_Toc353375958 \h </w:instrText>
      </w:r>
      <w:r w:rsidRPr="00B900C1">
        <w:rPr>
          <w:color w:val="000000" w:themeColor="text1"/>
        </w:rPr>
      </w:r>
      <w:r w:rsidRPr="00B900C1">
        <w:rPr>
          <w:color w:val="000000" w:themeColor="text1"/>
        </w:rPr>
        <w:fldChar w:fldCharType="separate"/>
      </w:r>
      <w:r w:rsidR="007B74B7">
        <w:rPr>
          <w:color w:val="000000" w:themeColor="text1"/>
          <w:lang w:val="it-IT"/>
        </w:rPr>
        <w:t>38</w:t>
      </w:r>
      <w:r w:rsidRPr="00B900C1">
        <w:rPr>
          <w:color w:val="000000" w:themeColor="text1"/>
        </w:rPr>
        <w:fldChar w:fldCharType="end"/>
      </w:r>
    </w:p>
    <w:p w:rsidR="00095F5D" w:rsidRPr="007B74B7" w:rsidRDefault="00095F5D">
      <w:pPr>
        <w:pStyle w:val="TOC1"/>
        <w:rPr>
          <w:color w:val="000000" w:themeColor="text1"/>
          <w:lang w:val="it-IT"/>
        </w:rPr>
      </w:pPr>
    </w:p>
    <w:p w:rsidR="00095F5D" w:rsidRPr="007B74B7" w:rsidRDefault="00095F5D">
      <w:pPr>
        <w:pStyle w:val="TOC1"/>
        <w:rPr>
          <w:color w:val="000000" w:themeColor="text1"/>
          <w:lang w:val="it-IT"/>
        </w:rPr>
      </w:pPr>
    </w:p>
    <w:p w:rsidR="00095F5D" w:rsidRPr="007B74B7" w:rsidRDefault="00095F5D">
      <w:pPr>
        <w:pStyle w:val="TOC1"/>
        <w:rPr>
          <w:color w:val="000000" w:themeColor="text1"/>
          <w:lang w:val="it-IT"/>
        </w:rPr>
      </w:pPr>
    </w:p>
    <w:p w:rsidR="00BD7CEA" w:rsidRPr="007B74B7" w:rsidRDefault="00BD7CEA">
      <w:pPr>
        <w:pStyle w:val="TOC1"/>
        <w:rPr>
          <w:rFonts w:asciiTheme="minorHAnsi" w:eastAsiaTheme="minorEastAsia" w:hAnsiTheme="minorHAnsi" w:cstheme="minorBidi"/>
          <w:b w:val="0"/>
          <w:caps w:val="0"/>
          <w:color w:val="000000" w:themeColor="text1"/>
          <w:szCs w:val="22"/>
          <w:lang w:val="it-IT"/>
        </w:rPr>
      </w:pPr>
      <w:r w:rsidRPr="007B74B7">
        <w:rPr>
          <w:color w:val="000000" w:themeColor="text1"/>
          <w:lang w:val="it-IT"/>
        </w:rPr>
        <w:lastRenderedPageBreak/>
        <w:t>ARTICOLO 2</w:t>
      </w:r>
      <w:r w:rsidR="00FD7C0D" w:rsidRPr="007B74B7">
        <w:rPr>
          <w:color w:val="000000" w:themeColor="text1"/>
          <w:lang w:val="it-IT"/>
        </w:rPr>
        <w:t xml:space="preserve"> – </w:t>
      </w:r>
      <w:r w:rsidRPr="007B74B7">
        <w:rPr>
          <w:color w:val="000000" w:themeColor="text1"/>
          <w:lang w:val="it-IT"/>
        </w:rPr>
        <w:t>PROMOZIONI DI PRODOTTI</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_Toc353375959 \h </w:instrText>
      </w:r>
      <w:r w:rsidRPr="00B900C1">
        <w:rPr>
          <w:color w:val="000000" w:themeColor="text1"/>
        </w:rPr>
      </w:r>
      <w:r w:rsidRPr="00B900C1">
        <w:rPr>
          <w:color w:val="000000" w:themeColor="text1"/>
        </w:rPr>
        <w:fldChar w:fldCharType="separate"/>
      </w:r>
      <w:r w:rsidR="007B74B7">
        <w:rPr>
          <w:color w:val="000000" w:themeColor="text1"/>
          <w:lang w:val="it-IT"/>
        </w:rPr>
        <w:t>39</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Microsoft Dynamics AX 2012 R2</w:t>
      </w:r>
      <w:r w:rsidR="00FD7C0D" w:rsidRPr="007B74B7">
        <w:rPr>
          <w:rFonts w:cs="Tahoma"/>
          <w:color w:val="000000" w:themeColor="text1"/>
          <w:lang w:val="it-IT"/>
        </w:rPr>
        <w:t xml:space="preserve"> – </w:t>
      </w:r>
      <w:r w:rsidRPr="007B74B7">
        <w:rPr>
          <w:rFonts w:cs="Tahoma"/>
          <w:color w:val="000000" w:themeColor="text1"/>
          <w:lang w:val="it-IT"/>
        </w:rPr>
        <w:t>Promozione: Acquista Una Enterprise CAL e Ricevi Una Functional CAL</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_Toc353375960 \h </w:instrText>
      </w:r>
      <w:r w:rsidRPr="00B900C1">
        <w:rPr>
          <w:color w:val="000000" w:themeColor="text1"/>
        </w:rPr>
      </w:r>
      <w:r w:rsidRPr="00B900C1">
        <w:rPr>
          <w:color w:val="000000" w:themeColor="text1"/>
        </w:rPr>
        <w:fldChar w:fldCharType="separate"/>
      </w:r>
      <w:r w:rsidR="007B74B7">
        <w:rPr>
          <w:color w:val="000000" w:themeColor="text1"/>
          <w:lang w:val="it-IT"/>
        </w:rPr>
        <w:t>39</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Microsoft Dynamics AX 2012 R2</w:t>
      </w:r>
      <w:r w:rsidR="00FD7C0D" w:rsidRPr="007B74B7">
        <w:rPr>
          <w:rFonts w:cs="Tahoma"/>
          <w:color w:val="000000" w:themeColor="text1"/>
          <w:lang w:val="it-IT"/>
        </w:rPr>
        <w:t xml:space="preserve"> – </w:t>
      </w:r>
      <w:r w:rsidRPr="007B74B7">
        <w:rPr>
          <w:rFonts w:cs="Tahoma"/>
          <w:color w:val="000000" w:themeColor="text1"/>
          <w:lang w:val="it-IT"/>
        </w:rPr>
        <w:t>Promozione EA Starter</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_Toc353375961 \h </w:instrText>
      </w:r>
      <w:r w:rsidRPr="00B900C1">
        <w:rPr>
          <w:color w:val="000000" w:themeColor="text1"/>
        </w:rPr>
      </w:r>
      <w:r w:rsidRPr="00B900C1">
        <w:rPr>
          <w:color w:val="000000" w:themeColor="text1"/>
        </w:rPr>
        <w:fldChar w:fldCharType="separate"/>
      </w:r>
      <w:r w:rsidR="007B74B7">
        <w:rPr>
          <w:color w:val="000000" w:themeColor="text1"/>
          <w:lang w:val="it-IT"/>
        </w:rPr>
        <w:t>39</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eastAsia="Times New Roman" w:cs="Tahoma"/>
          <w:color w:val="000000" w:themeColor="text1"/>
        </w:rPr>
        <w:t>Promozione Step-Up per Windows Server Datacenter</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_Toc353375962 \h </w:instrText>
      </w:r>
      <w:r w:rsidRPr="00B900C1">
        <w:rPr>
          <w:color w:val="000000" w:themeColor="text1"/>
        </w:rPr>
      </w:r>
      <w:r w:rsidRPr="00B900C1">
        <w:rPr>
          <w:color w:val="000000" w:themeColor="text1"/>
        </w:rPr>
        <w:fldChar w:fldCharType="separate"/>
      </w:r>
      <w:r w:rsidR="007B74B7">
        <w:rPr>
          <w:color w:val="000000" w:themeColor="text1"/>
        </w:rPr>
        <w:t>39</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eastAsia="Times New Roman" w:cs="Tahoma"/>
          <w:color w:val="000000" w:themeColor="text1"/>
          <w:lang w:val="it-IT"/>
        </w:rPr>
        <w:t>Forefront Online Protection for Exchange</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_Toc353375963 \h </w:instrText>
      </w:r>
      <w:r w:rsidRPr="00B900C1">
        <w:rPr>
          <w:color w:val="000000" w:themeColor="text1"/>
        </w:rPr>
      </w:r>
      <w:r w:rsidRPr="00B900C1">
        <w:rPr>
          <w:color w:val="000000" w:themeColor="text1"/>
        </w:rPr>
        <w:fldChar w:fldCharType="separate"/>
      </w:r>
      <w:r w:rsidR="007B74B7">
        <w:rPr>
          <w:color w:val="000000" w:themeColor="text1"/>
          <w:lang w:val="it-IT"/>
        </w:rPr>
        <w:t>39</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eastAsia="Times New Roman" w:cs="Tahoma"/>
          <w:color w:val="000000" w:themeColor="text1"/>
          <w:lang w:val="it-IT"/>
        </w:rPr>
        <w:t>Sconto del 30% per l’Aggiornamento a Visual Studio Premium con MSDN</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_Toc353375964 \h </w:instrText>
      </w:r>
      <w:r w:rsidRPr="00B900C1">
        <w:rPr>
          <w:color w:val="000000" w:themeColor="text1"/>
        </w:rPr>
      </w:r>
      <w:r w:rsidRPr="00B900C1">
        <w:rPr>
          <w:color w:val="000000" w:themeColor="text1"/>
        </w:rPr>
        <w:fldChar w:fldCharType="separate"/>
      </w:r>
      <w:r w:rsidR="007B74B7">
        <w:rPr>
          <w:color w:val="000000" w:themeColor="text1"/>
          <w:lang w:val="it-IT"/>
        </w:rPr>
        <w:t>39</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eastAsia="Times New Roman" w:cs="Tahoma"/>
          <w:color w:val="000000" w:themeColor="text1"/>
        </w:rPr>
        <w:t>Step-Up a Windows 8 con SA</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_Toc353375965 \h </w:instrText>
      </w:r>
      <w:r w:rsidRPr="00B900C1">
        <w:rPr>
          <w:color w:val="000000" w:themeColor="text1"/>
        </w:rPr>
      </w:r>
      <w:r w:rsidRPr="00B900C1">
        <w:rPr>
          <w:color w:val="000000" w:themeColor="text1"/>
        </w:rPr>
        <w:fldChar w:fldCharType="separate"/>
      </w:r>
      <w:r w:rsidR="007B74B7">
        <w:rPr>
          <w:color w:val="000000" w:themeColor="text1"/>
        </w:rPr>
        <w:t>40</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eastAsia="Times New Roman" w:cs="Tahoma"/>
          <w:color w:val="000000" w:themeColor="text1"/>
          <w:lang w:val="it-IT"/>
        </w:rPr>
        <w:t>15% di sconto sulle Licenze Step-up per Project/Visio</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_Toc353375966 \h </w:instrText>
      </w:r>
      <w:r w:rsidRPr="00B900C1">
        <w:rPr>
          <w:color w:val="000000" w:themeColor="text1"/>
        </w:rPr>
      </w:r>
      <w:r w:rsidRPr="00B900C1">
        <w:rPr>
          <w:color w:val="000000" w:themeColor="text1"/>
        </w:rPr>
        <w:fldChar w:fldCharType="separate"/>
      </w:r>
      <w:r w:rsidR="007B74B7">
        <w:rPr>
          <w:color w:val="000000" w:themeColor="text1"/>
          <w:lang w:val="it-IT"/>
        </w:rPr>
        <w:t>40</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eastAsia="Times New Roman" w:cs="Tahoma"/>
          <w:color w:val="000000" w:themeColor="text1"/>
          <w:lang w:val="it-IT"/>
        </w:rPr>
        <w:t>55% di sconto sulle CAL per Project Server Acquistate a Livello Aziendale</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_Toc353375967 \h </w:instrText>
      </w:r>
      <w:r w:rsidRPr="00B900C1">
        <w:rPr>
          <w:color w:val="000000" w:themeColor="text1"/>
        </w:rPr>
      </w:r>
      <w:r w:rsidRPr="00B900C1">
        <w:rPr>
          <w:color w:val="000000" w:themeColor="text1"/>
        </w:rPr>
        <w:fldChar w:fldCharType="separate"/>
      </w:r>
      <w:r w:rsidR="007B74B7">
        <w:rPr>
          <w:color w:val="000000" w:themeColor="text1"/>
          <w:lang w:val="it-IT"/>
        </w:rPr>
        <w:t>40</w:t>
      </w:r>
      <w:r w:rsidRPr="00B900C1">
        <w:rPr>
          <w:color w:val="000000" w:themeColor="text1"/>
        </w:rPr>
        <w:fldChar w:fldCharType="end"/>
      </w:r>
    </w:p>
    <w:p w:rsidR="00BD7CEA" w:rsidRPr="007B74B7" w:rsidRDefault="00BD7CEA">
      <w:pPr>
        <w:pStyle w:val="TOC1"/>
        <w:rPr>
          <w:rFonts w:asciiTheme="minorHAnsi" w:eastAsiaTheme="minorEastAsia" w:hAnsiTheme="minorHAnsi" w:cstheme="minorBidi"/>
          <w:b w:val="0"/>
          <w:caps w:val="0"/>
          <w:color w:val="000000" w:themeColor="text1"/>
          <w:szCs w:val="22"/>
          <w:lang w:val="it-IT"/>
        </w:rPr>
      </w:pPr>
      <w:r w:rsidRPr="007B74B7">
        <w:rPr>
          <w:color w:val="000000" w:themeColor="text1"/>
          <w:lang w:val="it-IT"/>
        </w:rPr>
        <w:t>ARTICOLO 3</w:t>
      </w:r>
      <w:r w:rsidR="00FD7C0D" w:rsidRPr="007B74B7">
        <w:rPr>
          <w:color w:val="000000" w:themeColor="text1"/>
          <w:lang w:val="it-IT"/>
        </w:rPr>
        <w:t xml:space="preserve"> – </w:t>
      </w:r>
      <w:r w:rsidRPr="007B74B7">
        <w:rPr>
          <w:color w:val="000000" w:themeColor="text1"/>
          <w:lang w:val="it-IT"/>
        </w:rPr>
        <w:t>CONDIZIONI Dei Programmi Multilicenza</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_Toc353375968 \h </w:instrText>
      </w:r>
      <w:r w:rsidRPr="00B900C1">
        <w:rPr>
          <w:color w:val="000000" w:themeColor="text1"/>
        </w:rPr>
      </w:r>
      <w:r w:rsidRPr="00B900C1">
        <w:rPr>
          <w:color w:val="000000" w:themeColor="text1"/>
        </w:rPr>
        <w:fldChar w:fldCharType="separate"/>
      </w:r>
      <w:r w:rsidR="007B74B7">
        <w:rPr>
          <w:color w:val="000000" w:themeColor="text1"/>
          <w:lang w:val="it-IT"/>
        </w:rPr>
        <w:t>41</w:t>
      </w:r>
      <w:r w:rsidRPr="00B900C1">
        <w:rPr>
          <w:color w:val="000000" w:themeColor="text1"/>
        </w:rPr>
        <w:fldChar w:fldCharType="end"/>
      </w:r>
    </w:p>
    <w:p w:rsidR="00BD7CEA" w:rsidRPr="007B74B7" w:rsidRDefault="00BD7CEA" w:rsidP="00B900C1">
      <w:pPr>
        <w:pStyle w:val="TOC3"/>
        <w:rPr>
          <w:rFonts w:asciiTheme="minorHAnsi" w:eastAsiaTheme="minorEastAsia" w:hAnsiTheme="minorHAnsi" w:cstheme="minorBidi"/>
          <w:color w:val="000000" w:themeColor="text1"/>
          <w:sz w:val="22"/>
          <w:szCs w:val="22"/>
          <w:lang w:val="it-IT"/>
        </w:rPr>
      </w:pPr>
      <w:r w:rsidRPr="007B74B7">
        <w:rPr>
          <w:color w:val="000000" w:themeColor="text1"/>
          <w:lang w:val="it-IT"/>
        </w:rPr>
        <w:t>Programmi di Contratti Multilicenza Applicabili</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_Toc353375969 \h </w:instrText>
      </w:r>
      <w:r w:rsidRPr="00B900C1">
        <w:rPr>
          <w:color w:val="000000" w:themeColor="text1"/>
        </w:rPr>
      </w:r>
      <w:r w:rsidRPr="00B900C1">
        <w:rPr>
          <w:color w:val="000000" w:themeColor="text1"/>
        </w:rPr>
        <w:fldChar w:fldCharType="separate"/>
      </w:r>
      <w:r w:rsidR="007B74B7">
        <w:rPr>
          <w:color w:val="000000" w:themeColor="text1"/>
          <w:lang w:val="it-IT"/>
        </w:rPr>
        <w:t>41</w:t>
      </w:r>
      <w:r w:rsidRPr="00B900C1">
        <w:rPr>
          <w:color w:val="000000" w:themeColor="text1"/>
        </w:rPr>
        <w:fldChar w:fldCharType="end"/>
      </w:r>
    </w:p>
    <w:p w:rsidR="00BD7CEA" w:rsidRPr="007B74B7" w:rsidRDefault="00BD7CEA" w:rsidP="00B900C1">
      <w:pPr>
        <w:pStyle w:val="TOC3"/>
        <w:rPr>
          <w:rFonts w:asciiTheme="minorHAnsi" w:eastAsiaTheme="minorEastAsia" w:hAnsiTheme="minorHAnsi" w:cstheme="minorBidi"/>
          <w:color w:val="000000" w:themeColor="text1"/>
          <w:sz w:val="22"/>
          <w:szCs w:val="22"/>
          <w:lang w:val="it-IT"/>
        </w:rPr>
      </w:pPr>
      <w:r w:rsidRPr="007B74B7">
        <w:rPr>
          <w:color w:val="000000" w:themeColor="text1"/>
          <w:lang w:val="it-IT"/>
        </w:rPr>
        <w:t>Punti e Requisiti Minimi per gli Ordini</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_Toc353375970 \h </w:instrText>
      </w:r>
      <w:r w:rsidRPr="00B900C1">
        <w:rPr>
          <w:color w:val="000000" w:themeColor="text1"/>
        </w:rPr>
      </w:r>
      <w:r w:rsidRPr="00B900C1">
        <w:rPr>
          <w:color w:val="000000" w:themeColor="text1"/>
        </w:rPr>
        <w:fldChar w:fldCharType="separate"/>
      </w:r>
      <w:r w:rsidR="007B74B7">
        <w:rPr>
          <w:color w:val="000000" w:themeColor="text1"/>
          <w:lang w:val="it-IT"/>
        </w:rPr>
        <w:t>41</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Requisiti Minimi dell’Ordine</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_Toc353375971 \h </w:instrText>
      </w:r>
      <w:r w:rsidRPr="00B900C1">
        <w:rPr>
          <w:color w:val="000000" w:themeColor="text1"/>
        </w:rPr>
      </w:r>
      <w:r w:rsidRPr="00B900C1">
        <w:rPr>
          <w:color w:val="000000" w:themeColor="text1"/>
        </w:rPr>
        <w:fldChar w:fldCharType="separate"/>
      </w:r>
      <w:r w:rsidR="007B74B7">
        <w:rPr>
          <w:color w:val="000000" w:themeColor="text1"/>
          <w:lang w:val="it-IT"/>
        </w:rPr>
        <w:t>41</w:t>
      </w:r>
      <w:r w:rsidRPr="00B900C1">
        <w:rPr>
          <w:color w:val="000000" w:themeColor="text1"/>
        </w:rPr>
        <w:fldChar w:fldCharType="end"/>
      </w:r>
    </w:p>
    <w:p w:rsidR="00BD7CEA" w:rsidRPr="007B74B7" w:rsidRDefault="00BD7CEA" w:rsidP="00B900C1">
      <w:pPr>
        <w:pStyle w:val="TOC3"/>
        <w:rPr>
          <w:rFonts w:asciiTheme="minorHAnsi" w:eastAsiaTheme="minorEastAsia" w:hAnsiTheme="minorHAnsi" w:cstheme="minorBidi"/>
          <w:color w:val="000000" w:themeColor="text1"/>
          <w:sz w:val="22"/>
          <w:szCs w:val="22"/>
          <w:lang w:val="it-IT"/>
        </w:rPr>
      </w:pPr>
      <w:r w:rsidRPr="007B74B7">
        <w:rPr>
          <w:color w:val="000000" w:themeColor="text1"/>
          <w:lang w:val="it-IT"/>
        </w:rPr>
        <w:t>Piattaforme</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_Toc353375972 \h </w:instrText>
      </w:r>
      <w:r w:rsidRPr="00B900C1">
        <w:rPr>
          <w:color w:val="000000" w:themeColor="text1"/>
        </w:rPr>
      </w:r>
      <w:r w:rsidRPr="00B900C1">
        <w:rPr>
          <w:color w:val="000000" w:themeColor="text1"/>
        </w:rPr>
        <w:fldChar w:fldCharType="separate"/>
      </w:r>
      <w:r w:rsidR="007B74B7">
        <w:rPr>
          <w:color w:val="000000" w:themeColor="text1"/>
          <w:lang w:val="it-IT"/>
        </w:rPr>
        <w:t>44</w:t>
      </w:r>
      <w:r w:rsidRPr="00B900C1">
        <w:rPr>
          <w:color w:val="000000" w:themeColor="text1"/>
        </w:rPr>
        <w:fldChar w:fldCharType="end"/>
      </w:r>
    </w:p>
    <w:p w:rsidR="00BD7CEA" w:rsidRPr="007B74B7" w:rsidRDefault="00BD7CEA" w:rsidP="00B900C1">
      <w:pPr>
        <w:pStyle w:val="TOC3"/>
        <w:rPr>
          <w:rFonts w:asciiTheme="minorHAnsi" w:eastAsiaTheme="minorEastAsia" w:hAnsiTheme="minorHAnsi" w:cstheme="minorBidi"/>
          <w:color w:val="000000" w:themeColor="text1"/>
          <w:sz w:val="22"/>
          <w:szCs w:val="22"/>
          <w:lang w:val="it-IT"/>
        </w:rPr>
      </w:pPr>
      <w:r w:rsidRPr="007B74B7">
        <w:rPr>
          <w:color w:val="000000" w:themeColor="text1"/>
          <w:lang w:val="it-IT"/>
        </w:rPr>
        <w:t>Definizione di Gestione per i Dispositivi Qualificanti</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_Toc353375973 \h </w:instrText>
      </w:r>
      <w:r w:rsidRPr="00B900C1">
        <w:rPr>
          <w:color w:val="000000" w:themeColor="text1"/>
        </w:rPr>
      </w:r>
      <w:r w:rsidRPr="00B900C1">
        <w:rPr>
          <w:color w:val="000000" w:themeColor="text1"/>
        </w:rPr>
        <w:fldChar w:fldCharType="separate"/>
      </w:r>
      <w:r w:rsidR="007B74B7">
        <w:rPr>
          <w:color w:val="000000" w:themeColor="text1"/>
          <w:lang w:val="it-IT"/>
        </w:rPr>
        <w:t>45</w:t>
      </w:r>
      <w:r w:rsidRPr="00B900C1">
        <w:rPr>
          <w:color w:val="000000" w:themeColor="text1"/>
        </w:rPr>
        <w:fldChar w:fldCharType="end"/>
      </w:r>
    </w:p>
    <w:p w:rsidR="00BD7CEA" w:rsidRPr="007B74B7" w:rsidRDefault="00BD7CEA" w:rsidP="00B900C1">
      <w:pPr>
        <w:pStyle w:val="TOC3"/>
        <w:rPr>
          <w:rFonts w:asciiTheme="minorHAnsi" w:eastAsiaTheme="minorEastAsia" w:hAnsiTheme="minorHAnsi" w:cstheme="minorBidi"/>
          <w:color w:val="000000" w:themeColor="text1"/>
          <w:sz w:val="22"/>
          <w:szCs w:val="22"/>
          <w:lang w:val="it-IT"/>
        </w:rPr>
      </w:pPr>
      <w:r w:rsidRPr="007B74B7">
        <w:rPr>
          <w:color w:val="000000" w:themeColor="text1"/>
          <w:lang w:val="it-IT"/>
        </w:rPr>
        <w:t>Prodotti Qualificati per lo Sconto Up-to-Date (UTD)</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_Toc353375974 \h </w:instrText>
      </w:r>
      <w:r w:rsidRPr="00B900C1">
        <w:rPr>
          <w:color w:val="000000" w:themeColor="text1"/>
        </w:rPr>
      </w:r>
      <w:r w:rsidRPr="00B900C1">
        <w:rPr>
          <w:color w:val="000000" w:themeColor="text1"/>
        </w:rPr>
        <w:fldChar w:fldCharType="separate"/>
      </w:r>
      <w:r w:rsidR="007B74B7">
        <w:rPr>
          <w:color w:val="000000" w:themeColor="text1"/>
          <w:lang w:val="it-IT"/>
        </w:rPr>
        <w:t>46</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Condizioni Aggiornate per i Programmi Contratto Enterprise e Contratto Subscription</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_Toc353375975 \h </w:instrText>
      </w:r>
      <w:r w:rsidRPr="00B900C1">
        <w:rPr>
          <w:color w:val="000000" w:themeColor="text1"/>
        </w:rPr>
      </w:r>
      <w:r w:rsidRPr="00B900C1">
        <w:rPr>
          <w:color w:val="000000" w:themeColor="text1"/>
        </w:rPr>
        <w:fldChar w:fldCharType="separate"/>
      </w:r>
      <w:r w:rsidR="007B74B7">
        <w:rPr>
          <w:color w:val="000000" w:themeColor="text1"/>
          <w:lang w:val="it-IT"/>
        </w:rPr>
        <w:t>47</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Continuità del Servizio per Proroga del Periodo di Validità</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_Toc353375976 \h </w:instrText>
      </w:r>
      <w:r w:rsidRPr="00B900C1">
        <w:rPr>
          <w:color w:val="000000" w:themeColor="text1"/>
        </w:rPr>
      </w:r>
      <w:r w:rsidRPr="00B900C1">
        <w:rPr>
          <w:color w:val="000000" w:themeColor="text1"/>
        </w:rPr>
        <w:fldChar w:fldCharType="separate"/>
      </w:r>
      <w:r w:rsidR="007B74B7">
        <w:rPr>
          <w:color w:val="000000" w:themeColor="text1"/>
          <w:lang w:val="it-IT"/>
        </w:rPr>
        <w:t>50</w:t>
      </w:r>
      <w:r w:rsidRPr="00B900C1">
        <w:rPr>
          <w:color w:val="000000" w:themeColor="text1"/>
        </w:rPr>
        <w:fldChar w:fldCharType="end"/>
      </w:r>
    </w:p>
    <w:p w:rsidR="00BD7CEA" w:rsidRPr="007B74B7" w:rsidRDefault="00BD7CEA">
      <w:pPr>
        <w:pStyle w:val="TOC1"/>
        <w:rPr>
          <w:rFonts w:asciiTheme="minorHAnsi" w:eastAsiaTheme="minorEastAsia" w:hAnsiTheme="minorHAnsi" w:cstheme="minorBidi"/>
          <w:b w:val="0"/>
          <w:caps w:val="0"/>
          <w:color w:val="000000" w:themeColor="text1"/>
          <w:szCs w:val="22"/>
          <w:lang w:val="it-IT"/>
        </w:rPr>
      </w:pPr>
      <w:r w:rsidRPr="007B74B7">
        <w:rPr>
          <w:color w:val="000000" w:themeColor="text1"/>
          <w:lang w:val="it-IT"/>
        </w:rPr>
        <w:t>ARTICOLO 4</w:t>
      </w:r>
      <w:r w:rsidR="00FD7C0D" w:rsidRPr="007B74B7">
        <w:rPr>
          <w:color w:val="000000" w:themeColor="text1"/>
          <w:lang w:val="it-IT"/>
        </w:rPr>
        <w:t xml:space="preserve"> – </w:t>
      </w:r>
      <w:r w:rsidRPr="007B74B7">
        <w:rPr>
          <w:color w:val="000000" w:themeColor="text1"/>
          <w:lang w:val="it-IT"/>
        </w:rPr>
        <w:t>Tipi di Licenze e Corrispettivi</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_Toc353375977 \h </w:instrText>
      </w:r>
      <w:r w:rsidRPr="00B900C1">
        <w:rPr>
          <w:color w:val="000000" w:themeColor="text1"/>
        </w:rPr>
      </w:r>
      <w:r w:rsidRPr="00B900C1">
        <w:rPr>
          <w:color w:val="000000" w:themeColor="text1"/>
        </w:rPr>
        <w:fldChar w:fldCharType="separate"/>
      </w:r>
      <w:r w:rsidR="007B74B7">
        <w:rPr>
          <w:color w:val="000000" w:themeColor="text1"/>
          <w:lang w:val="it-IT"/>
        </w:rPr>
        <w:t>51</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Corrispettivi</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_Toc353375978 \h </w:instrText>
      </w:r>
      <w:r w:rsidRPr="00B900C1">
        <w:rPr>
          <w:color w:val="000000" w:themeColor="text1"/>
        </w:rPr>
      </w:r>
      <w:r w:rsidRPr="00B900C1">
        <w:rPr>
          <w:color w:val="000000" w:themeColor="text1"/>
        </w:rPr>
        <w:fldChar w:fldCharType="separate"/>
      </w:r>
      <w:r w:rsidR="007B74B7">
        <w:rPr>
          <w:color w:val="000000" w:themeColor="text1"/>
          <w:lang w:val="it-IT"/>
        </w:rPr>
        <w:t>51</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Licenza</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_Toc353375979 \h </w:instrText>
      </w:r>
      <w:r w:rsidRPr="00B900C1">
        <w:rPr>
          <w:color w:val="000000" w:themeColor="text1"/>
        </w:rPr>
      </w:r>
      <w:r w:rsidRPr="00B900C1">
        <w:rPr>
          <w:color w:val="000000" w:themeColor="text1"/>
        </w:rPr>
        <w:fldChar w:fldCharType="separate"/>
      </w:r>
      <w:r w:rsidR="007B74B7">
        <w:rPr>
          <w:color w:val="000000" w:themeColor="text1"/>
          <w:lang w:val="it-IT"/>
        </w:rPr>
        <w:t>51</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Licenza e Software Assurance (L&amp;SA)</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_Toc353375980 \h </w:instrText>
      </w:r>
      <w:r w:rsidRPr="00B900C1">
        <w:rPr>
          <w:color w:val="000000" w:themeColor="text1"/>
        </w:rPr>
      </w:r>
      <w:r w:rsidRPr="00B900C1">
        <w:rPr>
          <w:color w:val="000000" w:themeColor="text1"/>
        </w:rPr>
        <w:fldChar w:fldCharType="separate"/>
      </w:r>
      <w:r w:rsidR="007B74B7">
        <w:rPr>
          <w:color w:val="000000" w:themeColor="text1"/>
          <w:lang w:val="it-IT"/>
        </w:rPr>
        <w:t>51</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Software Assurance</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_Toc353375981 \h </w:instrText>
      </w:r>
      <w:r w:rsidRPr="00B900C1">
        <w:rPr>
          <w:color w:val="000000" w:themeColor="text1"/>
        </w:rPr>
      </w:r>
      <w:r w:rsidRPr="00B900C1">
        <w:rPr>
          <w:color w:val="000000" w:themeColor="text1"/>
        </w:rPr>
        <w:fldChar w:fldCharType="separate"/>
      </w:r>
      <w:r w:rsidR="007B74B7">
        <w:rPr>
          <w:color w:val="000000" w:themeColor="text1"/>
        </w:rPr>
        <w:t>52</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Licenze Step-Up</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_Toc353375982 \h </w:instrText>
      </w:r>
      <w:r w:rsidRPr="00B900C1">
        <w:rPr>
          <w:color w:val="000000" w:themeColor="text1"/>
        </w:rPr>
      </w:r>
      <w:r w:rsidRPr="00B900C1">
        <w:rPr>
          <w:color w:val="000000" w:themeColor="text1"/>
        </w:rPr>
        <w:fldChar w:fldCharType="separate"/>
      </w:r>
      <w:r w:rsidR="007B74B7">
        <w:rPr>
          <w:color w:val="000000" w:themeColor="text1"/>
        </w:rPr>
        <w:t>53</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Licenze “Subscription”</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_Toc353375983 \h </w:instrText>
      </w:r>
      <w:r w:rsidRPr="00B900C1">
        <w:rPr>
          <w:color w:val="000000" w:themeColor="text1"/>
        </w:rPr>
      </w:r>
      <w:r w:rsidRPr="00B900C1">
        <w:rPr>
          <w:color w:val="000000" w:themeColor="text1"/>
        </w:rPr>
        <w:fldChar w:fldCharType="separate"/>
      </w:r>
      <w:r w:rsidR="007B74B7">
        <w:rPr>
          <w:color w:val="000000" w:themeColor="text1"/>
          <w:lang w:val="it-IT"/>
        </w:rPr>
        <w:t>53</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Aggiornamento</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_Toc353375984 \h </w:instrText>
      </w:r>
      <w:r w:rsidRPr="00B900C1">
        <w:rPr>
          <w:color w:val="000000" w:themeColor="text1"/>
        </w:rPr>
      </w:r>
      <w:r w:rsidRPr="00B900C1">
        <w:rPr>
          <w:color w:val="000000" w:themeColor="text1"/>
        </w:rPr>
        <w:fldChar w:fldCharType="separate"/>
      </w:r>
      <w:r w:rsidR="007B74B7">
        <w:rPr>
          <w:color w:val="000000" w:themeColor="text1"/>
          <w:lang w:val="it-IT"/>
        </w:rPr>
        <w:t>54</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Aggiornamento e Software Assurance</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_Toc353375985 \h </w:instrText>
      </w:r>
      <w:r w:rsidRPr="00B900C1">
        <w:rPr>
          <w:color w:val="000000" w:themeColor="text1"/>
        </w:rPr>
      </w:r>
      <w:r w:rsidRPr="00B900C1">
        <w:rPr>
          <w:color w:val="000000" w:themeColor="text1"/>
        </w:rPr>
        <w:fldChar w:fldCharType="separate"/>
      </w:r>
      <w:r w:rsidR="007B74B7">
        <w:rPr>
          <w:color w:val="000000" w:themeColor="text1"/>
          <w:lang w:val="it-IT"/>
        </w:rPr>
        <w:t>54</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Licenze Work at Home</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_Toc353375986 \h </w:instrText>
      </w:r>
      <w:r w:rsidRPr="00B900C1">
        <w:rPr>
          <w:color w:val="000000" w:themeColor="text1"/>
        </w:rPr>
      </w:r>
      <w:r w:rsidRPr="00B900C1">
        <w:rPr>
          <w:color w:val="000000" w:themeColor="text1"/>
        </w:rPr>
        <w:fldChar w:fldCharType="separate"/>
      </w:r>
      <w:r w:rsidR="007B74B7">
        <w:rPr>
          <w:color w:val="000000" w:themeColor="text1"/>
          <w:lang w:val="it-IT"/>
        </w:rPr>
        <w:t>54</w:t>
      </w:r>
      <w:r w:rsidRPr="00B900C1">
        <w:rPr>
          <w:color w:val="000000" w:themeColor="text1"/>
        </w:rPr>
        <w:fldChar w:fldCharType="end"/>
      </w:r>
    </w:p>
    <w:p w:rsidR="00BD7CEA" w:rsidRPr="007B74B7" w:rsidRDefault="00BD7CEA">
      <w:pPr>
        <w:pStyle w:val="TOC1"/>
        <w:rPr>
          <w:rFonts w:asciiTheme="minorHAnsi" w:eastAsiaTheme="minorEastAsia" w:hAnsiTheme="minorHAnsi" w:cstheme="minorBidi"/>
          <w:b w:val="0"/>
          <w:caps w:val="0"/>
          <w:color w:val="000000" w:themeColor="text1"/>
          <w:szCs w:val="22"/>
          <w:lang w:val="it-IT"/>
        </w:rPr>
      </w:pPr>
      <w:r w:rsidRPr="007B74B7">
        <w:rPr>
          <w:color w:val="000000" w:themeColor="text1"/>
          <w:lang w:val="it-IT"/>
        </w:rPr>
        <w:t>Articolo 5</w:t>
      </w:r>
      <w:r w:rsidR="00FD7C0D" w:rsidRPr="007B74B7">
        <w:rPr>
          <w:color w:val="000000" w:themeColor="text1"/>
          <w:lang w:val="it-IT"/>
        </w:rPr>
        <w:t xml:space="preserve"> – </w:t>
      </w:r>
      <w:r w:rsidRPr="007B74B7">
        <w:rPr>
          <w:color w:val="000000" w:themeColor="text1"/>
          <w:lang w:val="it-IT"/>
        </w:rPr>
        <w:t>PREZZI DEI SERVIZI ONLINE E CONDIZIONI DI PAGAMENTO</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_Toc353375987 \h </w:instrText>
      </w:r>
      <w:r w:rsidRPr="00B900C1">
        <w:rPr>
          <w:color w:val="000000" w:themeColor="text1"/>
        </w:rPr>
      </w:r>
      <w:r w:rsidRPr="00B900C1">
        <w:rPr>
          <w:color w:val="000000" w:themeColor="text1"/>
        </w:rPr>
        <w:fldChar w:fldCharType="separate"/>
      </w:r>
      <w:r w:rsidR="007B74B7">
        <w:rPr>
          <w:color w:val="000000" w:themeColor="text1"/>
          <w:lang w:val="it-IT"/>
        </w:rPr>
        <w:t>55</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Periodo di Validità dell’Abbonamento ai Servizi Online</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_Toc353375988 \h </w:instrText>
      </w:r>
      <w:r w:rsidRPr="00B900C1">
        <w:rPr>
          <w:color w:val="000000" w:themeColor="text1"/>
        </w:rPr>
      </w:r>
      <w:r w:rsidRPr="00B900C1">
        <w:rPr>
          <w:color w:val="000000" w:themeColor="text1"/>
        </w:rPr>
        <w:fldChar w:fldCharType="separate"/>
      </w:r>
      <w:r w:rsidR="007B74B7">
        <w:rPr>
          <w:color w:val="000000" w:themeColor="text1"/>
          <w:lang w:val="it-IT"/>
        </w:rPr>
        <w:t>55</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Acquisti e Rinnovo Automatico di Servizi Online</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_Toc353375989 \h </w:instrText>
      </w:r>
      <w:r w:rsidRPr="00B900C1">
        <w:rPr>
          <w:color w:val="000000" w:themeColor="text1"/>
        </w:rPr>
      </w:r>
      <w:r w:rsidRPr="00B900C1">
        <w:rPr>
          <w:color w:val="000000" w:themeColor="text1"/>
        </w:rPr>
        <w:fldChar w:fldCharType="separate"/>
      </w:r>
      <w:r w:rsidR="007B74B7">
        <w:rPr>
          <w:color w:val="000000" w:themeColor="text1"/>
          <w:lang w:val="it-IT"/>
        </w:rPr>
        <w:t>56</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Gestione degli Stati di Rinnovo e di Rinnovo Automatico</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_Toc353375990 \h </w:instrText>
      </w:r>
      <w:r w:rsidRPr="00B900C1">
        <w:rPr>
          <w:color w:val="000000" w:themeColor="text1"/>
        </w:rPr>
      </w:r>
      <w:r w:rsidRPr="00B900C1">
        <w:rPr>
          <w:color w:val="000000" w:themeColor="text1"/>
        </w:rPr>
        <w:fldChar w:fldCharType="separate"/>
      </w:r>
      <w:r w:rsidR="007B74B7">
        <w:rPr>
          <w:color w:val="000000" w:themeColor="text1"/>
          <w:lang w:val="it-IT"/>
        </w:rPr>
        <w:t>57</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Annullamento dei Servizi Online</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_Toc353375991 \h </w:instrText>
      </w:r>
      <w:r w:rsidRPr="00B900C1">
        <w:rPr>
          <w:color w:val="000000" w:themeColor="text1"/>
        </w:rPr>
      </w:r>
      <w:r w:rsidRPr="00B900C1">
        <w:rPr>
          <w:color w:val="000000" w:themeColor="text1"/>
        </w:rPr>
        <w:fldChar w:fldCharType="separate"/>
      </w:r>
      <w:r w:rsidR="007B74B7">
        <w:rPr>
          <w:color w:val="000000" w:themeColor="text1"/>
          <w:lang w:val="it-IT"/>
        </w:rPr>
        <w:t>57</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Opzioni relative alle Condizioni di Pagamento dei Servizi Online</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_Toc353375992 \h </w:instrText>
      </w:r>
      <w:r w:rsidRPr="00B900C1">
        <w:rPr>
          <w:color w:val="000000" w:themeColor="text1"/>
        </w:rPr>
      </w:r>
      <w:r w:rsidRPr="00B900C1">
        <w:rPr>
          <w:color w:val="000000" w:themeColor="text1"/>
        </w:rPr>
        <w:fldChar w:fldCharType="separate"/>
      </w:r>
      <w:r w:rsidR="007B74B7">
        <w:rPr>
          <w:color w:val="000000" w:themeColor="text1"/>
          <w:lang w:val="it-IT"/>
        </w:rPr>
        <w:t>57</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Requisiti di Acquisto Minimo per i Servizi Online in Volume Licensing</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_Toc353375993 \h </w:instrText>
      </w:r>
      <w:r w:rsidRPr="00B900C1">
        <w:rPr>
          <w:color w:val="000000" w:themeColor="text1"/>
        </w:rPr>
      </w:r>
      <w:r w:rsidRPr="00B900C1">
        <w:rPr>
          <w:color w:val="000000" w:themeColor="text1"/>
        </w:rPr>
        <w:fldChar w:fldCharType="separate"/>
      </w:r>
      <w:r w:rsidR="007B74B7">
        <w:rPr>
          <w:color w:val="000000" w:themeColor="text1"/>
          <w:lang w:val="it-IT"/>
        </w:rPr>
        <w:t>57</w:t>
      </w:r>
      <w:r w:rsidRPr="00B900C1">
        <w:rPr>
          <w:color w:val="000000" w:themeColor="text1"/>
        </w:rPr>
        <w:fldChar w:fldCharType="end"/>
      </w:r>
    </w:p>
    <w:p w:rsidR="00BD7CEA" w:rsidRPr="007B74B7" w:rsidRDefault="00BD7CEA" w:rsidP="00B900C1">
      <w:pPr>
        <w:pStyle w:val="TOC3"/>
        <w:rPr>
          <w:rFonts w:asciiTheme="minorHAnsi" w:eastAsiaTheme="minorEastAsia" w:hAnsiTheme="minorHAnsi" w:cstheme="minorBidi"/>
          <w:color w:val="000000" w:themeColor="text1"/>
          <w:sz w:val="22"/>
          <w:szCs w:val="22"/>
          <w:lang w:val="it-IT"/>
        </w:rPr>
      </w:pPr>
      <w:r w:rsidRPr="007B74B7">
        <w:rPr>
          <w:color w:val="000000" w:themeColor="text1"/>
          <w:lang w:val="it-IT"/>
        </w:rPr>
        <w:t>Servizi di Windows Azure</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_Toc353375994 \h </w:instrText>
      </w:r>
      <w:r w:rsidRPr="00B900C1">
        <w:rPr>
          <w:color w:val="000000" w:themeColor="text1"/>
        </w:rPr>
      </w:r>
      <w:r w:rsidRPr="00B900C1">
        <w:rPr>
          <w:color w:val="000000" w:themeColor="text1"/>
        </w:rPr>
        <w:fldChar w:fldCharType="separate"/>
      </w:r>
      <w:r w:rsidR="007B74B7">
        <w:rPr>
          <w:color w:val="000000" w:themeColor="text1"/>
          <w:lang w:val="it-IT"/>
        </w:rPr>
        <w:t>58</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Disponibilità internazionale del Servizio Online</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_Toc353375995 \h </w:instrText>
      </w:r>
      <w:r w:rsidRPr="00B900C1">
        <w:rPr>
          <w:color w:val="000000" w:themeColor="text1"/>
        </w:rPr>
      </w:r>
      <w:r w:rsidRPr="00B900C1">
        <w:rPr>
          <w:color w:val="000000" w:themeColor="text1"/>
        </w:rPr>
        <w:fldChar w:fldCharType="separate"/>
      </w:r>
      <w:r w:rsidR="007B74B7">
        <w:rPr>
          <w:color w:val="000000" w:themeColor="text1"/>
          <w:lang w:val="it-IT"/>
        </w:rPr>
        <w:t>59</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Condizioni Aggiuntive per i Servizi Online</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_Toc353375996 \h </w:instrText>
      </w:r>
      <w:r w:rsidRPr="00B900C1">
        <w:rPr>
          <w:color w:val="000000" w:themeColor="text1"/>
        </w:rPr>
      </w:r>
      <w:r w:rsidRPr="00B900C1">
        <w:rPr>
          <w:color w:val="000000" w:themeColor="text1"/>
        </w:rPr>
        <w:fldChar w:fldCharType="separate"/>
      </w:r>
      <w:r w:rsidR="007B74B7">
        <w:rPr>
          <w:color w:val="000000" w:themeColor="text1"/>
          <w:lang w:val="it-IT"/>
        </w:rPr>
        <w:t>60</w:t>
      </w:r>
      <w:r w:rsidRPr="00B900C1">
        <w:rPr>
          <w:color w:val="000000" w:themeColor="text1"/>
        </w:rPr>
        <w:fldChar w:fldCharType="end"/>
      </w:r>
    </w:p>
    <w:p w:rsidR="00BD7CEA" w:rsidRPr="007B74B7" w:rsidRDefault="00BD7CEA">
      <w:pPr>
        <w:pStyle w:val="TOC1"/>
        <w:rPr>
          <w:rFonts w:asciiTheme="minorHAnsi" w:eastAsiaTheme="minorEastAsia" w:hAnsiTheme="minorHAnsi" w:cstheme="minorBidi"/>
          <w:b w:val="0"/>
          <w:caps w:val="0"/>
          <w:color w:val="000000" w:themeColor="text1"/>
          <w:szCs w:val="22"/>
          <w:lang w:val="it-IT"/>
        </w:rPr>
      </w:pPr>
      <w:r w:rsidRPr="007B74B7">
        <w:rPr>
          <w:color w:val="000000" w:themeColor="text1"/>
          <w:lang w:val="it-IT"/>
        </w:rPr>
        <w:t>ARTICOLO 6</w:t>
      </w:r>
      <w:r w:rsidR="00FD7C0D" w:rsidRPr="007B74B7">
        <w:rPr>
          <w:color w:val="000000" w:themeColor="text1"/>
          <w:lang w:val="it-IT"/>
        </w:rPr>
        <w:t xml:space="preserve"> – </w:t>
      </w:r>
      <w:r w:rsidRPr="007B74B7">
        <w:rPr>
          <w:color w:val="000000" w:themeColor="text1"/>
          <w:lang w:val="it-IT"/>
        </w:rPr>
        <w:t>regole per il rinnovo di Software Assurance</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_Toc353375997 \h </w:instrText>
      </w:r>
      <w:r w:rsidRPr="00B900C1">
        <w:rPr>
          <w:color w:val="000000" w:themeColor="text1"/>
        </w:rPr>
      </w:r>
      <w:r w:rsidRPr="00B900C1">
        <w:rPr>
          <w:color w:val="000000" w:themeColor="text1"/>
        </w:rPr>
        <w:fldChar w:fldCharType="separate"/>
      </w:r>
      <w:r w:rsidR="007B74B7">
        <w:rPr>
          <w:color w:val="000000" w:themeColor="text1"/>
          <w:lang w:val="it-IT"/>
        </w:rPr>
        <w:t>61</w:t>
      </w:r>
      <w:r w:rsidRPr="00B900C1">
        <w:rPr>
          <w:color w:val="000000" w:themeColor="text1"/>
        </w:rPr>
        <w:fldChar w:fldCharType="end"/>
      </w:r>
    </w:p>
    <w:p w:rsidR="00BD7CEA" w:rsidRPr="007B74B7" w:rsidRDefault="00BD7CEA">
      <w:pPr>
        <w:pStyle w:val="TOC4"/>
        <w:rPr>
          <w:rFonts w:asciiTheme="minorHAnsi" w:eastAsiaTheme="minorEastAsia" w:hAnsiTheme="minorHAnsi" w:cstheme="minorBidi"/>
          <w:noProof/>
          <w:color w:val="000000" w:themeColor="text1"/>
          <w:sz w:val="22"/>
          <w:szCs w:val="22"/>
          <w:lang w:val="it-IT"/>
        </w:rPr>
      </w:pPr>
      <w:r w:rsidRPr="007B74B7">
        <w:rPr>
          <w:rFonts w:cs="Tahoma"/>
          <w:noProof/>
          <w:color w:val="000000" w:themeColor="text1"/>
          <w:lang w:val="it-IT"/>
        </w:rPr>
        <w:t>Licenza Open</w:t>
      </w:r>
      <w:r w:rsidRPr="007B74B7">
        <w:rPr>
          <w:noProof/>
          <w:color w:val="000000" w:themeColor="text1"/>
          <w:lang w:val="it-IT"/>
        </w:rPr>
        <w:tab/>
      </w:r>
      <w:r w:rsidRPr="00B900C1">
        <w:rPr>
          <w:noProof/>
          <w:color w:val="000000" w:themeColor="text1"/>
        </w:rPr>
        <w:fldChar w:fldCharType="begin"/>
      </w:r>
      <w:r w:rsidRPr="007B74B7">
        <w:rPr>
          <w:noProof/>
          <w:color w:val="000000" w:themeColor="text1"/>
          <w:lang w:val="it-IT"/>
        </w:rPr>
        <w:instrText xml:space="preserve"> PAGEREF _Toc353375998 \h </w:instrText>
      </w:r>
      <w:r w:rsidRPr="00B900C1">
        <w:rPr>
          <w:noProof/>
          <w:color w:val="000000" w:themeColor="text1"/>
        </w:rPr>
      </w:r>
      <w:r w:rsidRPr="00B900C1">
        <w:rPr>
          <w:noProof/>
          <w:color w:val="000000" w:themeColor="text1"/>
        </w:rPr>
        <w:fldChar w:fldCharType="separate"/>
      </w:r>
      <w:r w:rsidR="007B74B7">
        <w:rPr>
          <w:noProof/>
          <w:color w:val="000000" w:themeColor="text1"/>
          <w:lang w:val="it-IT"/>
        </w:rPr>
        <w:t>61</w:t>
      </w:r>
      <w:r w:rsidRPr="00B900C1">
        <w:rPr>
          <w:noProof/>
          <w:color w:val="000000" w:themeColor="text1"/>
        </w:rPr>
        <w:fldChar w:fldCharType="end"/>
      </w:r>
    </w:p>
    <w:p w:rsidR="00BD7CEA" w:rsidRPr="007B74B7" w:rsidRDefault="00BD7CEA">
      <w:pPr>
        <w:pStyle w:val="TOC4"/>
        <w:rPr>
          <w:rFonts w:asciiTheme="minorHAnsi" w:eastAsiaTheme="minorEastAsia" w:hAnsiTheme="minorHAnsi" w:cstheme="minorBidi"/>
          <w:noProof/>
          <w:color w:val="000000" w:themeColor="text1"/>
          <w:sz w:val="22"/>
          <w:szCs w:val="22"/>
          <w:lang w:val="it-IT"/>
        </w:rPr>
      </w:pPr>
      <w:r w:rsidRPr="007B74B7">
        <w:rPr>
          <w:rFonts w:cs="Tahoma"/>
          <w:noProof/>
          <w:color w:val="000000" w:themeColor="text1"/>
          <w:lang w:val="it-IT"/>
        </w:rPr>
        <w:t>Open Value 20xx</w:t>
      </w:r>
      <w:r w:rsidRPr="007B74B7">
        <w:rPr>
          <w:noProof/>
          <w:color w:val="000000" w:themeColor="text1"/>
          <w:lang w:val="it-IT"/>
        </w:rPr>
        <w:tab/>
      </w:r>
      <w:r w:rsidRPr="00B900C1">
        <w:rPr>
          <w:noProof/>
          <w:color w:val="000000" w:themeColor="text1"/>
        </w:rPr>
        <w:fldChar w:fldCharType="begin"/>
      </w:r>
      <w:r w:rsidRPr="007B74B7">
        <w:rPr>
          <w:noProof/>
          <w:color w:val="000000" w:themeColor="text1"/>
          <w:lang w:val="it-IT"/>
        </w:rPr>
        <w:instrText xml:space="preserve"> PAGEREF _Toc353375999 \h </w:instrText>
      </w:r>
      <w:r w:rsidRPr="00B900C1">
        <w:rPr>
          <w:noProof/>
          <w:color w:val="000000" w:themeColor="text1"/>
        </w:rPr>
      </w:r>
      <w:r w:rsidRPr="00B900C1">
        <w:rPr>
          <w:noProof/>
          <w:color w:val="000000" w:themeColor="text1"/>
        </w:rPr>
        <w:fldChar w:fldCharType="separate"/>
      </w:r>
      <w:r w:rsidR="007B74B7">
        <w:rPr>
          <w:noProof/>
          <w:color w:val="000000" w:themeColor="text1"/>
          <w:lang w:val="it-IT"/>
        </w:rPr>
        <w:t>61</w:t>
      </w:r>
      <w:r w:rsidRPr="00B900C1">
        <w:rPr>
          <w:noProof/>
          <w:color w:val="000000" w:themeColor="text1"/>
        </w:rPr>
        <w:fldChar w:fldCharType="end"/>
      </w:r>
    </w:p>
    <w:p w:rsidR="00BD7CEA" w:rsidRPr="007B74B7" w:rsidRDefault="00BD7CEA">
      <w:pPr>
        <w:pStyle w:val="TOC4"/>
        <w:rPr>
          <w:rFonts w:asciiTheme="minorHAnsi" w:eastAsiaTheme="minorEastAsia" w:hAnsiTheme="minorHAnsi" w:cstheme="minorBidi"/>
          <w:noProof/>
          <w:color w:val="000000" w:themeColor="text1"/>
          <w:sz w:val="22"/>
          <w:szCs w:val="22"/>
          <w:lang w:val="it-IT"/>
        </w:rPr>
      </w:pPr>
      <w:r w:rsidRPr="007B74B7">
        <w:rPr>
          <w:rFonts w:cs="Tahoma"/>
          <w:noProof/>
          <w:color w:val="000000" w:themeColor="text1"/>
          <w:lang w:val="it-IT"/>
        </w:rPr>
        <w:t>Select 20xx</w:t>
      </w:r>
      <w:r w:rsidRPr="007B74B7">
        <w:rPr>
          <w:noProof/>
          <w:color w:val="000000" w:themeColor="text1"/>
          <w:lang w:val="it-IT"/>
        </w:rPr>
        <w:tab/>
      </w:r>
      <w:r w:rsidRPr="00B900C1">
        <w:rPr>
          <w:noProof/>
          <w:color w:val="000000" w:themeColor="text1"/>
        </w:rPr>
        <w:fldChar w:fldCharType="begin"/>
      </w:r>
      <w:r w:rsidRPr="007B74B7">
        <w:rPr>
          <w:noProof/>
          <w:color w:val="000000" w:themeColor="text1"/>
          <w:lang w:val="it-IT"/>
        </w:rPr>
        <w:instrText xml:space="preserve"> PAGEREF _Toc353376000 \h </w:instrText>
      </w:r>
      <w:r w:rsidRPr="00B900C1">
        <w:rPr>
          <w:noProof/>
          <w:color w:val="000000" w:themeColor="text1"/>
        </w:rPr>
      </w:r>
      <w:r w:rsidRPr="00B900C1">
        <w:rPr>
          <w:noProof/>
          <w:color w:val="000000" w:themeColor="text1"/>
        </w:rPr>
        <w:fldChar w:fldCharType="separate"/>
      </w:r>
      <w:r w:rsidR="007B74B7">
        <w:rPr>
          <w:noProof/>
          <w:color w:val="000000" w:themeColor="text1"/>
          <w:lang w:val="it-IT"/>
        </w:rPr>
        <w:t>61</w:t>
      </w:r>
      <w:r w:rsidRPr="00B900C1">
        <w:rPr>
          <w:noProof/>
          <w:color w:val="000000" w:themeColor="text1"/>
        </w:rPr>
        <w:fldChar w:fldCharType="end"/>
      </w:r>
    </w:p>
    <w:p w:rsidR="00BD7CEA" w:rsidRPr="007B74B7" w:rsidRDefault="00BD7CEA">
      <w:pPr>
        <w:pStyle w:val="TOC4"/>
        <w:rPr>
          <w:rFonts w:asciiTheme="minorHAnsi" w:eastAsiaTheme="minorEastAsia" w:hAnsiTheme="minorHAnsi" w:cstheme="minorBidi"/>
          <w:noProof/>
          <w:color w:val="000000" w:themeColor="text1"/>
          <w:sz w:val="22"/>
          <w:szCs w:val="22"/>
          <w:lang w:val="it-IT"/>
        </w:rPr>
      </w:pPr>
      <w:r w:rsidRPr="007B74B7">
        <w:rPr>
          <w:noProof/>
          <w:color w:val="000000" w:themeColor="text1"/>
          <w:lang w:val="it-IT"/>
        </w:rPr>
        <w:t>Rinnovo della Copertura ai sensi del Medesimo Contratto</w:t>
      </w:r>
      <w:r w:rsidRPr="007B74B7">
        <w:rPr>
          <w:noProof/>
          <w:color w:val="000000" w:themeColor="text1"/>
          <w:lang w:val="it-IT"/>
        </w:rPr>
        <w:tab/>
      </w:r>
      <w:r w:rsidRPr="00B900C1">
        <w:rPr>
          <w:noProof/>
          <w:color w:val="000000" w:themeColor="text1"/>
        </w:rPr>
        <w:fldChar w:fldCharType="begin"/>
      </w:r>
      <w:r w:rsidRPr="007B74B7">
        <w:rPr>
          <w:noProof/>
          <w:color w:val="000000" w:themeColor="text1"/>
          <w:lang w:val="it-IT"/>
        </w:rPr>
        <w:instrText xml:space="preserve"> PAGEREF _Toc353376001 \h </w:instrText>
      </w:r>
      <w:r w:rsidRPr="00B900C1">
        <w:rPr>
          <w:noProof/>
          <w:color w:val="000000" w:themeColor="text1"/>
        </w:rPr>
      </w:r>
      <w:r w:rsidRPr="00B900C1">
        <w:rPr>
          <w:noProof/>
          <w:color w:val="000000" w:themeColor="text1"/>
        </w:rPr>
        <w:fldChar w:fldCharType="separate"/>
      </w:r>
      <w:r w:rsidR="007B74B7">
        <w:rPr>
          <w:noProof/>
          <w:color w:val="000000" w:themeColor="text1"/>
          <w:lang w:val="it-IT"/>
        </w:rPr>
        <w:t>61</w:t>
      </w:r>
      <w:r w:rsidRPr="00B900C1">
        <w:rPr>
          <w:noProof/>
          <w:color w:val="000000" w:themeColor="text1"/>
        </w:rPr>
        <w:fldChar w:fldCharType="end"/>
      </w:r>
    </w:p>
    <w:p w:rsidR="00BD7CEA" w:rsidRPr="007B74B7" w:rsidRDefault="00BD7CEA">
      <w:pPr>
        <w:pStyle w:val="TOC4"/>
        <w:rPr>
          <w:rFonts w:asciiTheme="minorHAnsi" w:eastAsiaTheme="minorEastAsia" w:hAnsiTheme="minorHAnsi" w:cstheme="minorBidi"/>
          <w:noProof/>
          <w:color w:val="000000" w:themeColor="text1"/>
          <w:sz w:val="22"/>
          <w:szCs w:val="22"/>
          <w:lang w:val="it-IT"/>
        </w:rPr>
      </w:pPr>
      <w:r w:rsidRPr="007B74B7">
        <w:rPr>
          <w:noProof/>
          <w:color w:val="000000" w:themeColor="text1"/>
          <w:lang w:val="it-IT"/>
        </w:rPr>
        <w:t>Rinnovo della Copertura con un Contratto Separato</w:t>
      </w:r>
      <w:r w:rsidRPr="007B74B7">
        <w:rPr>
          <w:noProof/>
          <w:color w:val="000000" w:themeColor="text1"/>
          <w:lang w:val="it-IT"/>
        </w:rPr>
        <w:tab/>
      </w:r>
      <w:r w:rsidRPr="00B900C1">
        <w:rPr>
          <w:noProof/>
          <w:color w:val="000000" w:themeColor="text1"/>
        </w:rPr>
        <w:fldChar w:fldCharType="begin"/>
      </w:r>
      <w:r w:rsidRPr="007B74B7">
        <w:rPr>
          <w:noProof/>
          <w:color w:val="000000" w:themeColor="text1"/>
          <w:lang w:val="it-IT"/>
        </w:rPr>
        <w:instrText xml:space="preserve"> PAGEREF _Toc353376002 \h </w:instrText>
      </w:r>
      <w:r w:rsidRPr="00B900C1">
        <w:rPr>
          <w:noProof/>
          <w:color w:val="000000" w:themeColor="text1"/>
        </w:rPr>
      </w:r>
      <w:r w:rsidRPr="00B900C1">
        <w:rPr>
          <w:noProof/>
          <w:color w:val="000000" w:themeColor="text1"/>
        </w:rPr>
        <w:fldChar w:fldCharType="separate"/>
      </w:r>
      <w:r w:rsidR="007B74B7">
        <w:rPr>
          <w:noProof/>
          <w:color w:val="000000" w:themeColor="text1"/>
          <w:lang w:val="it-IT"/>
        </w:rPr>
        <w:t>62</w:t>
      </w:r>
      <w:r w:rsidRPr="00B900C1">
        <w:rPr>
          <w:noProof/>
          <w:color w:val="000000" w:themeColor="text1"/>
        </w:rPr>
        <w:fldChar w:fldCharType="end"/>
      </w:r>
    </w:p>
    <w:p w:rsidR="00BD7CEA" w:rsidRPr="007B74B7" w:rsidRDefault="00BD7CEA">
      <w:pPr>
        <w:pStyle w:val="TOC4"/>
        <w:rPr>
          <w:rFonts w:asciiTheme="minorHAnsi" w:eastAsiaTheme="minorEastAsia" w:hAnsiTheme="minorHAnsi" w:cstheme="minorBidi"/>
          <w:noProof/>
          <w:color w:val="000000" w:themeColor="text1"/>
          <w:sz w:val="22"/>
          <w:szCs w:val="22"/>
          <w:lang w:val="it-IT"/>
        </w:rPr>
      </w:pPr>
      <w:r w:rsidRPr="007B74B7">
        <w:rPr>
          <w:rFonts w:cs="Tahoma"/>
          <w:noProof/>
          <w:color w:val="000000" w:themeColor="text1"/>
          <w:lang w:val="it-IT"/>
        </w:rPr>
        <w:t>Select Plus 20xx</w:t>
      </w:r>
      <w:r w:rsidRPr="007B74B7">
        <w:rPr>
          <w:noProof/>
          <w:color w:val="000000" w:themeColor="text1"/>
          <w:lang w:val="it-IT"/>
        </w:rPr>
        <w:tab/>
      </w:r>
      <w:r w:rsidRPr="00B900C1">
        <w:rPr>
          <w:noProof/>
          <w:color w:val="000000" w:themeColor="text1"/>
        </w:rPr>
        <w:fldChar w:fldCharType="begin"/>
      </w:r>
      <w:r w:rsidRPr="007B74B7">
        <w:rPr>
          <w:noProof/>
          <w:color w:val="000000" w:themeColor="text1"/>
          <w:lang w:val="it-IT"/>
        </w:rPr>
        <w:instrText xml:space="preserve"> PAGEREF _Toc353376003 \h </w:instrText>
      </w:r>
      <w:r w:rsidRPr="00B900C1">
        <w:rPr>
          <w:noProof/>
          <w:color w:val="000000" w:themeColor="text1"/>
        </w:rPr>
      </w:r>
      <w:r w:rsidRPr="00B900C1">
        <w:rPr>
          <w:noProof/>
          <w:color w:val="000000" w:themeColor="text1"/>
        </w:rPr>
        <w:fldChar w:fldCharType="separate"/>
      </w:r>
      <w:r w:rsidR="007B74B7">
        <w:rPr>
          <w:noProof/>
          <w:color w:val="000000" w:themeColor="text1"/>
          <w:lang w:val="it-IT"/>
        </w:rPr>
        <w:t>62</w:t>
      </w:r>
      <w:r w:rsidRPr="00B900C1">
        <w:rPr>
          <w:noProof/>
          <w:color w:val="000000" w:themeColor="text1"/>
        </w:rPr>
        <w:fldChar w:fldCharType="end"/>
      </w:r>
    </w:p>
    <w:p w:rsidR="00BD7CEA" w:rsidRPr="007B74B7" w:rsidRDefault="00BD7CEA">
      <w:pPr>
        <w:pStyle w:val="TOC4"/>
        <w:rPr>
          <w:rFonts w:asciiTheme="minorHAnsi" w:eastAsiaTheme="minorEastAsia" w:hAnsiTheme="minorHAnsi" w:cstheme="minorBidi"/>
          <w:noProof/>
          <w:color w:val="000000" w:themeColor="text1"/>
          <w:sz w:val="22"/>
          <w:szCs w:val="22"/>
          <w:lang w:val="it-IT"/>
        </w:rPr>
      </w:pPr>
      <w:r w:rsidRPr="007B74B7">
        <w:rPr>
          <w:rFonts w:cs="Tahoma"/>
          <w:noProof/>
          <w:color w:val="000000" w:themeColor="text1"/>
          <w:lang w:val="it-IT"/>
        </w:rPr>
        <w:t>Contratto Enterprise 2011 e versioni successive</w:t>
      </w:r>
      <w:r w:rsidRPr="007B74B7">
        <w:rPr>
          <w:noProof/>
          <w:color w:val="000000" w:themeColor="text1"/>
          <w:lang w:val="it-IT"/>
        </w:rPr>
        <w:tab/>
      </w:r>
      <w:r w:rsidRPr="00B900C1">
        <w:rPr>
          <w:noProof/>
          <w:color w:val="000000" w:themeColor="text1"/>
        </w:rPr>
        <w:fldChar w:fldCharType="begin"/>
      </w:r>
      <w:r w:rsidRPr="007B74B7">
        <w:rPr>
          <w:noProof/>
          <w:color w:val="000000" w:themeColor="text1"/>
          <w:lang w:val="it-IT"/>
        </w:rPr>
        <w:instrText xml:space="preserve"> PAGEREF _Toc353376004 \h </w:instrText>
      </w:r>
      <w:r w:rsidRPr="00B900C1">
        <w:rPr>
          <w:noProof/>
          <w:color w:val="000000" w:themeColor="text1"/>
        </w:rPr>
      </w:r>
      <w:r w:rsidRPr="00B900C1">
        <w:rPr>
          <w:noProof/>
          <w:color w:val="000000" w:themeColor="text1"/>
        </w:rPr>
        <w:fldChar w:fldCharType="separate"/>
      </w:r>
      <w:r w:rsidR="007B74B7">
        <w:rPr>
          <w:noProof/>
          <w:color w:val="000000" w:themeColor="text1"/>
          <w:lang w:val="it-IT"/>
        </w:rPr>
        <w:t>62</w:t>
      </w:r>
      <w:r w:rsidRPr="00B900C1">
        <w:rPr>
          <w:noProof/>
          <w:color w:val="000000" w:themeColor="text1"/>
        </w:rPr>
        <w:fldChar w:fldCharType="end"/>
      </w:r>
    </w:p>
    <w:p w:rsidR="00BD7CEA" w:rsidRPr="007B74B7" w:rsidRDefault="00BD7CEA">
      <w:pPr>
        <w:pStyle w:val="TOC4"/>
        <w:rPr>
          <w:rFonts w:asciiTheme="minorHAnsi" w:eastAsiaTheme="minorEastAsia" w:hAnsiTheme="minorHAnsi" w:cstheme="minorBidi"/>
          <w:noProof/>
          <w:color w:val="000000" w:themeColor="text1"/>
          <w:sz w:val="22"/>
          <w:szCs w:val="22"/>
          <w:lang w:val="it-IT"/>
        </w:rPr>
      </w:pPr>
      <w:r w:rsidRPr="007B74B7">
        <w:rPr>
          <w:rFonts w:cs="Tahoma"/>
          <w:noProof/>
          <w:color w:val="000000" w:themeColor="text1"/>
          <w:lang w:val="it-IT"/>
        </w:rPr>
        <w:t>Contratto Enterprise Prima del 2011</w:t>
      </w:r>
      <w:r w:rsidRPr="007B74B7">
        <w:rPr>
          <w:noProof/>
          <w:color w:val="000000" w:themeColor="text1"/>
          <w:lang w:val="it-IT"/>
        </w:rPr>
        <w:tab/>
      </w:r>
      <w:r w:rsidRPr="00B900C1">
        <w:rPr>
          <w:noProof/>
          <w:color w:val="000000" w:themeColor="text1"/>
        </w:rPr>
        <w:fldChar w:fldCharType="begin"/>
      </w:r>
      <w:r w:rsidRPr="007B74B7">
        <w:rPr>
          <w:noProof/>
          <w:color w:val="000000" w:themeColor="text1"/>
          <w:lang w:val="it-IT"/>
        </w:rPr>
        <w:instrText xml:space="preserve"> PAGEREF _Toc353376005 \h </w:instrText>
      </w:r>
      <w:r w:rsidRPr="00B900C1">
        <w:rPr>
          <w:noProof/>
          <w:color w:val="000000" w:themeColor="text1"/>
        </w:rPr>
      </w:r>
      <w:r w:rsidRPr="00B900C1">
        <w:rPr>
          <w:noProof/>
          <w:color w:val="000000" w:themeColor="text1"/>
        </w:rPr>
        <w:fldChar w:fldCharType="separate"/>
      </w:r>
      <w:r w:rsidR="007B74B7">
        <w:rPr>
          <w:noProof/>
          <w:color w:val="000000" w:themeColor="text1"/>
          <w:lang w:val="it-IT"/>
        </w:rPr>
        <w:t>63</w:t>
      </w:r>
      <w:r w:rsidRPr="00B900C1">
        <w:rPr>
          <w:noProof/>
          <w:color w:val="000000" w:themeColor="text1"/>
        </w:rPr>
        <w:fldChar w:fldCharType="end"/>
      </w:r>
    </w:p>
    <w:p w:rsidR="00BD7CEA" w:rsidRPr="007B74B7" w:rsidRDefault="00BD7CEA">
      <w:pPr>
        <w:pStyle w:val="TOC4"/>
        <w:rPr>
          <w:rFonts w:asciiTheme="minorHAnsi" w:eastAsiaTheme="minorEastAsia" w:hAnsiTheme="minorHAnsi" w:cstheme="minorBidi"/>
          <w:noProof/>
          <w:color w:val="000000" w:themeColor="text1"/>
          <w:sz w:val="22"/>
          <w:szCs w:val="22"/>
          <w:lang w:val="it-IT"/>
        </w:rPr>
      </w:pPr>
      <w:r w:rsidRPr="007B74B7">
        <w:rPr>
          <w:rFonts w:cs="Tahoma"/>
          <w:noProof/>
          <w:color w:val="000000" w:themeColor="text1"/>
          <w:lang w:val="it-IT"/>
        </w:rPr>
        <w:t>Rinnovo Incrociato dei Programmi</w:t>
      </w:r>
      <w:r w:rsidRPr="007B74B7">
        <w:rPr>
          <w:noProof/>
          <w:color w:val="000000" w:themeColor="text1"/>
          <w:lang w:val="it-IT"/>
        </w:rPr>
        <w:tab/>
      </w:r>
      <w:r w:rsidRPr="00B900C1">
        <w:rPr>
          <w:noProof/>
          <w:color w:val="000000" w:themeColor="text1"/>
        </w:rPr>
        <w:fldChar w:fldCharType="begin"/>
      </w:r>
      <w:r w:rsidRPr="007B74B7">
        <w:rPr>
          <w:noProof/>
          <w:color w:val="000000" w:themeColor="text1"/>
          <w:lang w:val="it-IT"/>
        </w:rPr>
        <w:instrText xml:space="preserve"> PAGEREF _Toc353376006 \h </w:instrText>
      </w:r>
      <w:r w:rsidRPr="00B900C1">
        <w:rPr>
          <w:noProof/>
          <w:color w:val="000000" w:themeColor="text1"/>
        </w:rPr>
      </w:r>
      <w:r w:rsidRPr="00B900C1">
        <w:rPr>
          <w:noProof/>
          <w:color w:val="000000" w:themeColor="text1"/>
        </w:rPr>
        <w:fldChar w:fldCharType="separate"/>
      </w:r>
      <w:r w:rsidR="007B74B7">
        <w:rPr>
          <w:noProof/>
          <w:color w:val="000000" w:themeColor="text1"/>
          <w:lang w:val="it-IT"/>
        </w:rPr>
        <w:t>63</w:t>
      </w:r>
      <w:r w:rsidRPr="00B900C1">
        <w:rPr>
          <w:noProof/>
          <w:color w:val="000000" w:themeColor="text1"/>
        </w:rPr>
        <w:fldChar w:fldCharType="end"/>
      </w:r>
    </w:p>
    <w:p w:rsidR="00095F5D" w:rsidRPr="007B74B7" w:rsidRDefault="00095F5D">
      <w:pPr>
        <w:pStyle w:val="TOC1"/>
        <w:rPr>
          <w:color w:val="000000" w:themeColor="text1"/>
          <w:lang w:val="it-IT"/>
        </w:rPr>
      </w:pPr>
    </w:p>
    <w:p w:rsidR="00095F5D" w:rsidRPr="007B74B7" w:rsidRDefault="00095F5D">
      <w:pPr>
        <w:pStyle w:val="TOC1"/>
        <w:rPr>
          <w:color w:val="000000" w:themeColor="text1"/>
          <w:lang w:val="it-IT"/>
        </w:rPr>
      </w:pPr>
    </w:p>
    <w:p w:rsidR="00095F5D" w:rsidRPr="007B74B7" w:rsidRDefault="00095F5D">
      <w:pPr>
        <w:pStyle w:val="TOC1"/>
        <w:rPr>
          <w:color w:val="000000" w:themeColor="text1"/>
          <w:lang w:val="it-IT"/>
        </w:rPr>
      </w:pPr>
    </w:p>
    <w:p w:rsidR="00BD7CEA" w:rsidRPr="007B74B7" w:rsidRDefault="00BD7CEA">
      <w:pPr>
        <w:pStyle w:val="TOC1"/>
        <w:rPr>
          <w:rFonts w:asciiTheme="minorHAnsi" w:eastAsiaTheme="minorEastAsia" w:hAnsiTheme="minorHAnsi" w:cstheme="minorBidi"/>
          <w:b w:val="0"/>
          <w:caps w:val="0"/>
          <w:color w:val="000000" w:themeColor="text1"/>
          <w:szCs w:val="22"/>
          <w:lang w:val="it-IT"/>
        </w:rPr>
      </w:pPr>
      <w:r w:rsidRPr="007B74B7">
        <w:rPr>
          <w:color w:val="000000" w:themeColor="text1"/>
          <w:lang w:val="it-IT"/>
        </w:rPr>
        <w:lastRenderedPageBreak/>
        <w:t>ARTICOLO 7</w:t>
      </w:r>
      <w:r w:rsidR="00FD7C0D" w:rsidRPr="007B74B7">
        <w:rPr>
          <w:color w:val="000000" w:themeColor="text1"/>
          <w:lang w:val="it-IT"/>
        </w:rPr>
        <w:t xml:space="preserve"> – </w:t>
      </w:r>
      <w:r w:rsidRPr="007B74B7">
        <w:rPr>
          <w:color w:val="000000" w:themeColor="text1"/>
          <w:lang w:val="it-IT"/>
        </w:rPr>
        <w:t xml:space="preserve">Vantaggi di Software Assurance (SA) </w:t>
      </w:r>
      <w:r w:rsidR="00B900C1" w:rsidRPr="007B74B7">
        <w:rPr>
          <w:color w:val="000000" w:themeColor="text1"/>
          <w:lang w:val="it-IT"/>
        </w:rPr>
        <w:br/>
      </w:r>
      <w:r w:rsidRPr="007B74B7">
        <w:rPr>
          <w:color w:val="000000" w:themeColor="text1"/>
          <w:lang w:val="it-IT"/>
        </w:rPr>
        <w:t>e dei Servizi Online (OLS)</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_Toc353376007 \h </w:instrText>
      </w:r>
      <w:r w:rsidRPr="00B900C1">
        <w:rPr>
          <w:color w:val="000000" w:themeColor="text1"/>
        </w:rPr>
      </w:r>
      <w:r w:rsidRPr="00B900C1">
        <w:rPr>
          <w:color w:val="000000" w:themeColor="text1"/>
        </w:rPr>
        <w:fldChar w:fldCharType="separate"/>
      </w:r>
      <w:r w:rsidR="007B74B7">
        <w:rPr>
          <w:color w:val="000000" w:themeColor="text1"/>
          <w:lang w:val="it-IT"/>
        </w:rPr>
        <w:t>64</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color w:val="000000" w:themeColor="text1"/>
          <w:lang w:val="it-IT"/>
        </w:rPr>
        <w:t>Diritti su Versioni Nuove</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_Toc353376008 \h </w:instrText>
      </w:r>
      <w:r w:rsidRPr="00B900C1">
        <w:rPr>
          <w:color w:val="000000" w:themeColor="text1"/>
        </w:rPr>
      </w:r>
      <w:r w:rsidRPr="00B900C1">
        <w:rPr>
          <w:color w:val="000000" w:themeColor="text1"/>
        </w:rPr>
        <w:fldChar w:fldCharType="separate"/>
      </w:r>
      <w:r w:rsidR="007B74B7">
        <w:rPr>
          <w:color w:val="000000" w:themeColor="text1"/>
          <w:lang w:val="it-IT"/>
        </w:rPr>
        <w:t>66</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color w:val="000000" w:themeColor="text1"/>
          <w:lang w:val="it-IT"/>
        </w:rPr>
        <w:t>Office Multi Language Pack</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_Toc353376009 \h </w:instrText>
      </w:r>
      <w:r w:rsidRPr="00B900C1">
        <w:rPr>
          <w:color w:val="000000" w:themeColor="text1"/>
        </w:rPr>
      </w:r>
      <w:r w:rsidRPr="00B900C1">
        <w:rPr>
          <w:color w:val="000000" w:themeColor="text1"/>
        </w:rPr>
        <w:fldChar w:fldCharType="separate"/>
      </w:r>
      <w:r w:rsidR="007B74B7">
        <w:rPr>
          <w:color w:val="000000" w:themeColor="text1"/>
          <w:lang w:val="it-IT"/>
        </w:rPr>
        <w:t>66</w:t>
      </w:r>
      <w:r w:rsidRPr="00B900C1">
        <w:rPr>
          <w:color w:val="000000" w:themeColor="text1"/>
        </w:rPr>
        <w:fldChar w:fldCharType="end"/>
      </w:r>
    </w:p>
    <w:p w:rsidR="00BD7CEA" w:rsidRPr="00B900C1" w:rsidRDefault="00BD7CEA" w:rsidP="00B900C1">
      <w:pPr>
        <w:pStyle w:val="TOC3"/>
        <w:rPr>
          <w:rFonts w:asciiTheme="minorHAnsi" w:eastAsiaTheme="minorEastAsia" w:hAnsiTheme="minorHAnsi" w:cstheme="minorBidi"/>
          <w:color w:val="000000" w:themeColor="text1"/>
          <w:sz w:val="22"/>
          <w:szCs w:val="22"/>
        </w:rPr>
      </w:pPr>
      <w:r w:rsidRPr="00B900C1">
        <w:rPr>
          <w:color w:val="000000" w:themeColor="text1"/>
        </w:rPr>
        <w:t>Windows 8 Enterprise</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_Toc353376010 \h </w:instrText>
      </w:r>
      <w:r w:rsidRPr="00B900C1">
        <w:rPr>
          <w:color w:val="000000" w:themeColor="text1"/>
        </w:rPr>
      </w:r>
      <w:r w:rsidRPr="00B900C1">
        <w:rPr>
          <w:color w:val="000000" w:themeColor="text1"/>
        </w:rPr>
        <w:fldChar w:fldCharType="separate"/>
      </w:r>
      <w:r w:rsidR="007B74B7">
        <w:rPr>
          <w:color w:val="000000" w:themeColor="text1"/>
        </w:rPr>
        <w:t>71</w:t>
      </w:r>
      <w:r w:rsidRPr="00B900C1">
        <w:rPr>
          <w:color w:val="000000" w:themeColor="text1"/>
        </w:rPr>
        <w:fldChar w:fldCharType="end"/>
      </w:r>
    </w:p>
    <w:p w:rsidR="00BD7CEA" w:rsidRPr="00B900C1" w:rsidRDefault="00BD7CEA" w:rsidP="00B900C1">
      <w:pPr>
        <w:pStyle w:val="TOC3"/>
        <w:rPr>
          <w:rFonts w:asciiTheme="minorHAnsi" w:eastAsiaTheme="minorEastAsia" w:hAnsiTheme="minorHAnsi" w:cstheme="minorBidi"/>
          <w:color w:val="000000" w:themeColor="text1"/>
          <w:sz w:val="22"/>
          <w:szCs w:val="22"/>
        </w:rPr>
      </w:pPr>
      <w:r w:rsidRPr="00B900C1">
        <w:rPr>
          <w:color w:val="000000" w:themeColor="text1"/>
        </w:rPr>
        <w:t>Windows 8 Enterprise Sideloading</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_Toc353376011 \h </w:instrText>
      </w:r>
      <w:r w:rsidRPr="00B900C1">
        <w:rPr>
          <w:color w:val="000000" w:themeColor="text1"/>
        </w:rPr>
      </w:r>
      <w:r w:rsidRPr="00B900C1">
        <w:rPr>
          <w:color w:val="000000" w:themeColor="text1"/>
        </w:rPr>
        <w:fldChar w:fldCharType="separate"/>
      </w:r>
      <w:r w:rsidR="007B74B7">
        <w:rPr>
          <w:color w:val="000000" w:themeColor="text1"/>
        </w:rPr>
        <w:t>71</w:t>
      </w:r>
      <w:r w:rsidRPr="00B900C1">
        <w:rPr>
          <w:color w:val="000000" w:themeColor="text1"/>
        </w:rPr>
        <w:fldChar w:fldCharType="end"/>
      </w:r>
    </w:p>
    <w:p w:rsidR="00BD7CEA" w:rsidRPr="00B900C1" w:rsidRDefault="00BD7CEA" w:rsidP="00B900C1">
      <w:pPr>
        <w:pStyle w:val="TOC3"/>
        <w:rPr>
          <w:rFonts w:asciiTheme="minorHAnsi" w:eastAsiaTheme="minorEastAsia" w:hAnsiTheme="minorHAnsi" w:cstheme="minorBidi"/>
          <w:color w:val="000000" w:themeColor="text1"/>
          <w:sz w:val="22"/>
          <w:szCs w:val="22"/>
        </w:rPr>
      </w:pPr>
      <w:r w:rsidRPr="00B900C1">
        <w:rPr>
          <w:color w:val="000000" w:themeColor="text1"/>
        </w:rPr>
        <w:t>Licenza “Subscription” per Windows Companion</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_Toc353376012 \h </w:instrText>
      </w:r>
      <w:r w:rsidRPr="00B900C1">
        <w:rPr>
          <w:color w:val="000000" w:themeColor="text1"/>
        </w:rPr>
      </w:r>
      <w:r w:rsidRPr="00B900C1">
        <w:rPr>
          <w:color w:val="000000" w:themeColor="text1"/>
        </w:rPr>
        <w:fldChar w:fldCharType="separate"/>
      </w:r>
      <w:r w:rsidR="007B74B7">
        <w:rPr>
          <w:color w:val="000000" w:themeColor="text1"/>
        </w:rPr>
        <w:t>71</w:t>
      </w:r>
      <w:r w:rsidRPr="00B900C1">
        <w:rPr>
          <w:color w:val="000000" w:themeColor="text1"/>
        </w:rPr>
        <w:fldChar w:fldCharType="end"/>
      </w:r>
    </w:p>
    <w:p w:rsidR="00BD7CEA" w:rsidRPr="00B900C1" w:rsidRDefault="00BD7CEA" w:rsidP="00B900C1">
      <w:pPr>
        <w:pStyle w:val="TOC3"/>
        <w:rPr>
          <w:rFonts w:asciiTheme="minorHAnsi" w:eastAsiaTheme="minorEastAsia" w:hAnsiTheme="minorHAnsi" w:cstheme="minorBidi"/>
          <w:color w:val="000000" w:themeColor="text1"/>
          <w:sz w:val="22"/>
          <w:szCs w:val="22"/>
        </w:rPr>
      </w:pPr>
      <w:r w:rsidRPr="00B900C1">
        <w:rPr>
          <w:color w:val="000000" w:themeColor="text1"/>
        </w:rPr>
        <w:t>Voucher Corsi</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_Toc353376013 \h </w:instrText>
      </w:r>
      <w:r w:rsidRPr="00B900C1">
        <w:rPr>
          <w:color w:val="000000" w:themeColor="text1"/>
        </w:rPr>
      </w:r>
      <w:r w:rsidRPr="00B900C1">
        <w:rPr>
          <w:color w:val="000000" w:themeColor="text1"/>
        </w:rPr>
        <w:fldChar w:fldCharType="separate"/>
      </w:r>
      <w:r w:rsidR="007B74B7">
        <w:rPr>
          <w:color w:val="000000" w:themeColor="text1"/>
        </w:rPr>
        <w:t>71</w:t>
      </w:r>
      <w:r w:rsidRPr="00B900C1">
        <w:rPr>
          <w:color w:val="000000" w:themeColor="text1"/>
        </w:rPr>
        <w:fldChar w:fldCharType="end"/>
      </w:r>
    </w:p>
    <w:p w:rsidR="00BD7CEA" w:rsidRPr="00B900C1" w:rsidRDefault="00BD7CEA" w:rsidP="00B900C1">
      <w:pPr>
        <w:pStyle w:val="TOC3"/>
        <w:rPr>
          <w:rFonts w:asciiTheme="minorHAnsi" w:eastAsiaTheme="minorEastAsia" w:hAnsiTheme="minorHAnsi" w:cstheme="minorBidi"/>
          <w:color w:val="000000" w:themeColor="text1"/>
          <w:sz w:val="22"/>
          <w:szCs w:val="22"/>
        </w:rPr>
      </w:pPr>
      <w:r w:rsidRPr="00B900C1">
        <w:rPr>
          <w:color w:val="000000" w:themeColor="text1"/>
        </w:rPr>
        <w:t>E-Learning</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_Toc353376014 \h </w:instrText>
      </w:r>
      <w:r w:rsidRPr="00B900C1">
        <w:rPr>
          <w:color w:val="000000" w:themeColor="text1"/>
        </w:rPr>
      </w:r>
      <w:r w:rsidRPr="00B900C1">
        <w:rPr>
          <w:color w:val="000000" w:themeColor="text1"/>
        </w:rPr>
        <w:fldChar w:fldCharType="separate"/>
      </w:r>
      <w:r w:rsidR="007B74B7">
        <w:rPr>
          <w:color w:val="000000" w:themeColor="text1"/>
        </w:rPr>
        <w:t>73</w:t>
      </w:r>
      <w:r w:rsidRPr="00B900C1">
        <w:rPr>
          <w:color w:val="000000" w:themeColor="text1"/>
        </w:rPr>
        <w:fldChar w:fldCharType="end"/>
      </w:r>
    </w:p>
    <w:p w:rsidR="00BD7CEA" w:rsidRPr="00B900C1" w:rsidRDefault="00BD7CEA" w:rsidP="00B900C1">
      <w:pPr>
        <w:pStyle w:val="TOC3"/>
        <w:rPr>
          <w:rFonts w:asciiTheme="minorHAnsi" w:eastAsiaTheme="minorEastAsia" w:hAnsiTheme="minorHAnsi" w:cstheme="minorBidi"/>
          <w:color w:val="000000" w:themeColor="text1"/>
          <w:sz w:val="22"/>
          <w:szCs w:val="22"/>
        </w:rPr>
      </w:pPr>
      <w:r w:rsidRPr="00B900C1">
        <w:rPr>
          <w:color w:val="000000" w:themeColor="text1"/>
        </w:rPr>
        <w:t>Home Use Program</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_Toc353376015 \h </w:instrText>
      </w:r>
      <w:r w:rsidRPr="00B900C1">
        <w:rPr>
          <w:color w:val="000000" w:themeColor="text1"/>
        </w:rPr>
      </w:r>
      <w:r w:rsidRPr="00B900C1">
        <w:rPr>
          <w:color w:val="000000" w:themeColor="text1"/>
        </w:rPr>
        <w:fldChar w:fldCharType="separate"/>
      </w:r>
      <w:r w:rsidR="007B74B7">
        <w:rPr>
          <w:color w:val="000000" w:themeColor="text1"/>
        </w:rPr>
        <w:t>74</w:t>
      </w:r>
      <w:r w:rsidRPr="00B900C1">
        <w:rPr>
          <w:color w:val="000000" w:themeColor="text1"/>
        </w:rPr>
        <w:fldChar w:fldCharType="end"/>
      </w:r>
    </w:p>
    <w:p w:rsidR="00BD7CEA" w:rsidRPr="007B74B7" w:rsidRDefault="00BD7CEA" w:rsidP="00B900C1">
      <w:pPr>
        <w:pStyle w:val="TOC3"/>
        <w:rPr>
          <w:rFonts w:asciiTheme="minorHAnsi" w:eastAsiaTheme="minorEastAsia" w:hAnsiTheme="minorHAnsi" w:cstheme="minorBidi"/>
          <w:color w:val="000000" w:themeColor="text1"/>
          <w:sz w:val="22"/>
          <w:szCs w:val="22"/>
          <w:lang w:val="it-IT"/>
        </w:rPr>
      </w:pPr>
      <w:r w:rsidRPr="007B74B7">
        <w:rPr>
          <w:color w:val="000000" w:themeColor="text1"/>
          <w:lang w:val="it-IT"/>
        </w:rPr>
        <w:t>Supporto per la Risoluzione dei Problemi 24x7</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_Toc353376016 \h </w:instrText>
      </w:r>
      <w:r w:rsidRPr="00B900C1">
        <w:rPr>
          <w:color w:val="000000" w:themeColor="text1"/>
        </w:rPr>
      </w:r>
      <w:r w:rsidRPr="00B900C1">
        <w:rPr>
          <w:color w:val="000000" w:themeColor="text1"/>
        </w:rPr>
        <w:fldChar w:fldCharType="separate"/>
      </w:r>
      <w:r w:rsidR="007B74B7">
        <w:rPr>
          <w:color w:val="000000" w:themeColor="text1"/>
          <w:lang w:val="it-IT"/>
        </w:rPr>
        <w:t>76</w:t>
      </w:r>
      <w:r w:rsidRPr="00B900C1">
        <w:rPr>
          <w:color w:val="000000" w:themeColor="text1"/>
        </w:rPr>
        <w:fldChar w:fldCharType="end"/>
      </w:r>
    </w:p>
    <w:p w:rsidR="00BD7CEA" w:rsidRPr="007B74B7" w:rsidRDefault="00BD7CEA" w:rsidP="00B900C1">
      <w:pPr>
        <w:pStyle w:val="TOC3"/>
        <w:rPr>
          <w:rFonts w:asciiTheme="minorHAnsi" w:eastAsiaTheme="minorEastAsia" w:hAnsiTheme="minorHAnsi" w:cstheme="minorBidi"/>
          <w:color w:val="000000" w:themeColor="text1"/>
          <w:sz w:val="22"/>
          <w:szCs w:val="22"/>
          <w:lang w:val="it-IT"/>
        </w:rPr>
      </w:pPr>
      <w:r w:rsidRPr="007B74B7">
        <w:rPr>
          <w:color w:val="000000" w:themeColor="text1"/>
          <w:lang w:val="it-IT"/>
        </w:rPr>
        <w:t>Supporto Illimitato per la Risoluzione dei Problemi 24x7</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_Toc353376017 \h </w:instrText>
      </w:r>
      <w:r w:rsidRPr="00B900C1">
        <w:rPr>
          <w:color w:val="000000" w:themeColor="text1"/>
        </w:rPr>
      </w:r>
      <w:r w:rsidRPr="00B900C1">
        <w:rPr>
          <w:color w:val="000000" w:themeColor="text1"/>
        </w:rPr>
        <w:fldChar w:fldCharType="separate"/>
      </w:r>
      <w:r w:rsidR="007B74B7">
        <w:rPr>
          <w:color w:val="000000" w:themeColor="text1"/>
          <w:lang w:val="it-IT"/>
        </w:rPr>
        <w:t>81</w:t>
      </w:r>
      <w:r w:rsidRPr="00B900C1">
        <w:rPr>
          <w:color w:val="000000" w:themeColor="text1"/>
        </w:rPr>
        <w:fldChar w:fldCharType="end"/>
      </w:r>
    </w:p>
    <w:p w:rsidR="00BD7CEA" w:rsidRPr="007B74B7" w:rsidRDefault="00BD7CEA" w:rsidP="00B900C1">
      <w:pPr>
        <w:pStyle w:val="TOC3"/>
        <w:rPr>
          <w:rFonts w:asciiTheme="minorHAnsi" w:eastAsiaTheme="minorEastAsia" w:hAnsiTheme="minorHAnsi" w:cstheme="minorBidi"/>
          <w:color w:val="000000" w:themeColor="text1"/>
          <w:sz w:val="22"/>
          <w:szCs w:val="22"/>
          <w:lang w:val="it-IT"/>
        </w:rPr>
      </w:pPr>
      <w:r w:rsidRPr="007B74B7">
        <w:rPr>
          <w:color w:val="000000" w:themeColor="text1"/>
          <w:lang w:val="it-IT"/>
        </w:rPr>
        <w:t>System Center Advisor</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_Toc353376018 \h </w:instrText>
      </w:r>
      <w:r w:rsidRPr="00B900C1">
        <w:rPr>
          <w:color w:val="000000" w:themeColor="text1"/>
        </w:rPr>
      </w:r>
      <w:r w:rsidRPr="00B900C1">
        <w:rPr>
          <w:color w:val="000000" w:themeColor="text1"/>
        </w:rPr>
        <w:fldChar w:fldCharType="separate"/>
      </w:r>
      <w:r w:rsidR="007B74B7">
        <w:rPr>
          <w:color w:val="000000" w:themeColor="text1"/>
          <w:lang w:val="it-IT"/>
        </w:rPr>
        <w:t>83</w:t>
      </w:r>
      <w:r w:rsidRPr="00B900C1">
        <w:rPr>
          <w:color w:val="000000" w:themeColor="text1"/>
        </w:rPr>
        <w:fldChar w:fldCharType="end"/>
      </w:r>
    </w:p>
    <w:p w:rsidR="00BD7CEA" w:rsidRPr="007B74B7" w:rsidRDefault="00BD7CEA" w:rsidP="00B900C1">
      <w:pPr>
        <w:pStyle w:val="TOC3"/>
        <w:rPr>
          <w:rFonts w:asciiTheme="minorHAnsi" w:eastAsiaTheme="minorEastAsia" w:hAnsiTheme="minorHAnsi" w:cstheme="minorBidi"/>
          <w:color w:val="000000" w:themeColor="text1"/>
          <w:sz w:val="22"/>
          <w:szCs w:val="22"/>
          <w:lang w:val="it-IT"/>
        </w:rPr>
      </w:pPr>
      <w:r w:rsidRPr="007B74B7">
        <w:rPr>
          <w:color w:val="000000" w:themeColor="text1"/>
          <w:lang w:val="it-IT"/>
        </w:rPr>
        <w:t>Back-up per Ripristino di Emergenza “a Freddo”</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_Toc353376019 \h </w:instrText>
      </w:r>
      <w:r w:rsidRPr="00B900C1">
        <w:rPr>
          <w:color w:val="000000" w:themeColor="text1"/>
        </w:rPr>
      </w:r>
      <w:r w:rsidRPr="00B900C1">
        <w:rPr>
          <w:color w:val="000000" w:themeColor="text1"/>
        </w:rPr>
        <w:fldChar w:fldCharType="separate"/>
      </w:r>
      <w:r w:rsidR="007B74B7">
        <w:rPr>
          <w:color w:val="000000" w:themeColor="text1"/>
          <w:lang w:val="it-IT"/>
        </w:rPr>
        <w:t>85</w:t>
      </w:r>
      <w:r w:rsidRPr="00B900C1">
        <w:rPr>
          <w:color w:val="000000" w:themeColor="text1"/>
        </w:rPr>
        <w:fldChar w:fldCharType="end"/>
      </w:r>
    </w:p>
    <w:p w:rsidR="00BD7CEA" w:rsidRPr="007B74B7" w:rsidRDefault="00BD7CEA" w:rsidP="00B900C1">
      <w:pPr>
        <w:pStyle w:val="TOC3"/>
        <w:rPr>
          <w:rFonts w:asciiTheme="minorHAnsi" w:eastAsiaTheme="minorEastAsia" w:hAnsiTheme="minorHAnsi" w:cstheme="minorBidi"/>
          <w:color w:val="000000" w:themeColor="text1"/>
          <w:sz w:val="22"/>
          <w:szCs w:val="22"/>
          <w:lang w:val="it-IT"/>
        </w:rPr>
      </w:pPr>
      <w:r w:rsidRPr="007B74B7">
        <w:rPr>
          <w:color w:val="000000" w:themeColor="text1"/>
          <w:lang w:val="it-IT"/>
        </w:rPr>
        <w:t>Servizi in Abbonamento TechNet SA</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_Toc353376020 \h </w:instrText>
      </w:r>
      <w:r w:rsidRPr="00B900C1">
        <w:rPr>
          <w:color w:val="000000" w:themeColor="text1"/>
        </w:rPr>
      </w:r>
      <w:r w:rsidRPr="00B900C1">
        <w:rPr>
          <w:color w:val="000000" w:themeColor="text1"/>
        </w:rPr>
        <w:fldChar w:fldCharType="separate"/>
      </w:r>
      <w:r w:rsidR="007B74B7">
        <w:rPr>
          <w:color w:val="000000" w:themeColor="text1"/>
          <w:lang w:val="it-IT"/>
        </w:rPr>
        <w:t>85</w:t>
      </w:r>
      <w:r w:rsidRPr="00B900C1">
        <w:rPr>
          <w:color w:val="000000" w:themeColor="text1"/>
        </w:rPr>
        <w:fldChar w:fldCharType="end"/>
      </w:r>
    </w:p>
    <w:p w:rsidR="00BD7CEA" w:rsidRPr="007B74B7" w:rsidRDefault="00BD7CEA" w:rsidP="00B900C1">
      <w:pPr>
        <w:pStyle w:val="TOC3"/>
        <w:rPr>
          <w:rFonts w:asciiTheme="minorHAnsi" w:eastAsiaTheme="minorEastAsia" w:hAnsiTheme="minorHAnsi" w:cstheme="minorBidi"/>
          <w:color w:val="000000" w:themeColor="text1"/>
          <w:sz w:val="22"/>
          <w:szCs w:val="22"/>
          <w:lang w:val="it-IT"/>
        </w:rPr>
      </w:pPr>
      <w:r w:rsidRPr="007B74B7">
        <w:rPr>
          <w:color w:val="000000" w:themeColor="text1"/>
          <w:lang w:val="it-IT"/>
        </w:rPr>
        <w:t>TechNet Plus Direct</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_Toc353376021 \h </w:instrText>
      </w:r>
      <w:r w:rsidRPr="00B900C1">
        <w:rPr>
          <w:color w:val="000000" w:themeColor="text1"/>
        </w:rPr>
      </w:r>
      <w:r w:rsidRPr="00B900C1">
        <w:rPr>
          <w:color w:val="000000" w:themeColor="text1"/>
        </w:rPr>
        <w:fldChar w:fldCharType="separate"/>
      </w:r>
      <w:r w:rsidR="007B74B7">
        <w:rPr>
          <w:color w:val="000000" w:themeColor="text1"/>
          <w:lang w:val="it-IT"/>
        </w:rPr>
        <w:t>86</w:t>
      </w:r>
      <w:r w:rsidRPr="00B900C1">
        <w:rPr>
          <w:color w:val="000000" w:themeColor="text1"/>
        </w:rPr>
        <w:fldChar w:fldCharType="end"/>
      </w:r>
    </w:p>
    <w:p w:rsidR="00BD7CEA" w:rsidRPr="007B74B7" w:rsidRDefault="00BD7CEA" w:rsidP="00B900C1">
      <w:pPr>
        <w:pStyle w:val="TOC3"/>
        <w:rPr>
          <w:rFonts w:asciiTheme="minorHAnsi" w:eastAsiaTheme="minorEastAsia" w:hAnsiTheme="minorHAnsi" w:cstheme="minorBidi"/>
          <w:color w:val="000000" w:themeColor="text1"/>
          <w:sz w:val="22"/>
          <w:szCs w:val="22"/>
          <w:lang w:val="it-IT"/>
        </w:rPr>
      </w:pPr>
      <w:r w:rsidRPr="007B74B7">
        <w:rPr>
          <w:color w:val="000000" w:themeColor="text1"/>
          <w:lang w:val="it-IT"/>
        </w:rPr>
        <w:t>Mobilità delle Licenze tramite Software Assurance</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_Toc353376022 \h </w:instrText>
      </w:r>
      <w:r w:rsidRPr="00B900C1">
        <w:rPr>
          <w:color w:val="000000" w:themeColor="text1"/>
        </w:rPr>
      </w:r>
      <w:r w:rsidRPr="00B900C1">
        <w:rPr>
          <w:color w:val="000000" w:themeColor="text1"/>
        </w:rPr>
        <w:fldChar w:fldCharType="separate"/>
      </w:r>
      <w:r w:rsidR="007B74B7">
        <w:rPr>
          <w:color w:val="000000" w:themeColor="text1"/>
          <w:lang w:val="it-IT"/>
        </w:rPr>
        <w:t>87</w:t>
      </w:r>
      <w:r w:rsidRPr="00B900C1">
        <w:rPr>
          <w:color w:val="000000" w:themeColor="text1"/>
        </w:rPr>
        <w:fldChar w:fldCharType="end"/>
      </w:r>
    </w:p>
    <w:p w:rsidR="00BD7CEA" w:rsidRPr="007B74B7" w:rsidRDefault="00BD7CEA" w:rsidP="00B900C1">
      <w:pPr>
        <w:pStyle w:val="TOC3"/>
        <w:rPr>
          <w:rFonts w:asciiTheme="minorHAnsi" w:eastAsiaTheme="minorEastAsia" w:hAnsiTheme="minorHAnsi" w:cstheme="minorBidi"/>
          <w:color w:val="000000" w:themeColor="text1"/>
          <w:sz w:val="22"/>
          <w:szCs w:val="22"/>
          <w:lang w:val="it-IT"/>
        </w:rPr>
      </w:pPr>
      <w:r w:rsidRPr="007B74B7">
        <w:rPr>
          <w:color w:val="000000" w:themeColor="text1"/>
          <w:lang w:val="it-IT"/>
        </w:rPr>
        <w:t>Windows Thin PC</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_Toc353376023 \h </w:instrText>
      </w:r>
      <w:r w:rsidRPr="00B900C1">
        <w:rPr>
          <w:color w:val="000000" w:themeColor="text1"/>
        </w:rPr>
      </w:r>
      <w:r w:rsidRPr="00B900C1">
        <w:rPr>
          <w:color w:val="000000" w:themeColor="text1"/>
        </w:rPr>
        <w:fldChar w:fldCharType="separate"/>
      </w:r>
      <w:r w:rsidR="007B74B7">
        <w:rPr>
          <w:color w:val="000000" w:themeColor="text1"/>
          <w:lang w:val="it-IT"/>
        </w:rPr>
        <w:t>87</w:t>
      </w:r>
      <w:r w:rsidRPr="00B900C1">
        <w:rPr>
          <w:color w:val="000000" w:themeColor="text1"/>
        </w:rPr>
        <w:fldChar w:fldCharType="end"/>
      </w:r>
    </w:p>
    <w:p w:rsidR="00BD7CEA" w:rsidRPr="007B74B7" w:rsidRDefault="00BD7CEA" w:rsidP="00B900C1">
      <w:pPr>
        <w:pStyle w:val="TOC3"/>
        <w:rPr>
          <w:rFonts w:asciiTheme="minorHAnsi" w:eastAsiaTheme="minorEastAsia" w:hAnsiTheme="minorHAnsi" w:cstheme="minorBidi"/>
          <w:color w:val="000000" w:themeColor="text1"/>
          <w:sz w:val="22"/>
          <w:szCs w:val="22"/>
          <w:lang w:val="it-IT"/>
        </w:rPr>
      </w:pPr>
      <w:r w:rsidRPr="007B74B7">
        <w:rPr>
          <w:color w:val="000000" w:themeColor="text1"/>
          <w:lang w:val="it-IT"/>
        </w:rPr>
        <w:t>Microsoft Desktop Optimization Pack per Software Assurance</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_Toc353376024 \h </w:instrText>
      </w:r>
      <w:r w:rsidRPr="00B900C1">
        <w:rPr>
          <w:color w:val="000000" w:themeColor="text1"/>
        </w:rPr>
      </w:r>
      <w:r w:rsidRPr="00B900C1">
        <w:rPr>
          <w:color w:val="000000" w:themeColor="text1"/>
        </w:rPr>
        <w:fldChar w:fldCharType="separate"/>
      </w:r>
      <w:r w:rsidR="007B74B7">
        <w:rPr>
          <w:color w:val="000000" w:themeColor="text1"/>
          <w:lang w:val="it-IT"/>
        </w:rPr>
        <w:t>88</w:t>
      </w:r>
      <w:r w:rsidRPr="00B900C1">
        <w:rPr>
          <w:color w:val="000000" w:themeColor="text1"/>
        </w:rPr>
        <w:fldChar w:fldCharType="end"/>
      </w:r>
    </w:p>
    <w:p w:rsidR="00BD7CEA" w:rsidRPr="007B74B7" w:rsidRDefault="00BD7CEA" w:rsidP="00B900C1">
      <w:pPr>
        <w:pStyle w:val="TOC3"/>
        <w:rPr>
          <w:rFonts w:asciiTheme="minorHAnsi" w:eastAsiaTheme="minorEastAsia" w:hAnsiTheme="minorHAnsi" w:cstheme="minorBidi"/>
          <w:color w:val="000000" w:themeColor="text1"/>
          <w:sz w:val="22"/>
          <w:szCs w:val="22"/>
          <w:lang w:val="it-IT"/>
        </w:rPr>
      </w:pPr>
      <w:r w:rsidRPr="007B74B7">
        <w:rPr>
          <w:color w:val="000000" w:themeColor="text1"/>
          <w:lang w:val="it-IT"/>
        </w:rPr>
        <w:t>Diritti per Windows Virtual Desktop Access (VDA)</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_Toc353376025 \h </w:instrText>
      </w:r>
      <w:r w:rsidRPr="00B900C1">
        <w:rPr>
          <w:color w:val="000000" w:themeColor="text1"/>
        </w:rPr>
      </w:r>
      <w:r w:rsidRPr="00B900C1">
        <w:rPr>
          <w:color w:val="000000" w:themeColor="text1"/>
        </w:rPr>
        <w:fldChar w:fldCharType="separate"/>
      </w:r>
      <w:r w:rsidR="007B74B7">
        <w:rPr>
          <w:color w:val="000000" w:themeColor="text1"/>
          <w:lang w:val="it-IT"/>
        </w:rPr>
        <w:t>89</w:t>
      </w:r>
      <w:r w:rsidRPr="00B900C1">
        <w:rPr>
          <w:color w:val="000000" w:themeColor="text1"/>
        </w:rPr>
        <w:fldChar w:fldCharType="end"/>
      </w:r>
    </w:p>
    <w:p w:rsidR="00BD7CEA" w:rsidRPr="007B74B7" w:rsidRDefault="00BD7CEA" w:rsidP="00B900C1">
      <w:pPr>
        <w:pStyle w:val="TOC3"/>
        <w:rPr>
          <w:rFonts w:asciiTheme="minorHAnsi" w:eastAsiaTheme="minorEastAsia" w:hAnsiTheme="minorHAnsi" w:cstheme="minorBidi"/>
          <w:color w:val="000000" w:themeColor="text1"/>
          <w:sz w:val="22"/>
          <w:szCs w:val="22"/>
          <w:lang w:val="it-IT"/>
        </w:rPr>
      </w:pPr>
      <w:r w:rsidRPr="007B74B7">
        <w:rPr>
          <w:color w:val="000000" w:themeColor="text1"/>
          <w:lang w:val="it-IT"/>
        </w:rPr>
        <w:t>Disponibilità di Licenze Step-Up</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_Toc353376026 \h </w:instrText>
      </w:r>
      <w:r w:rsidRPr="00B900C1">
        <w:rPr>
          <w:color w:val="000000" w:themeColor="text1"/>
        </w:rPr>
      </w:r>
      <w:r w:rsidRPr="00B900C1">
        <w:rPr>
          <w:color w:val="000000" w:themeColor="text1"/>
        </w:rPr>
        <w:fldChar w:fldCharType="separate"/>
      </w:r>
      <w:r w:rsidR="007B74B7">
        <w:rPr>
          <w:color w:val="000000" w:themeColor="text1"/>
          <w:lang w:val="it-IT"/>
        </w:rPr>
        <w:t>89</w:t>
      </w:r>
      <w:r w:rsidRPr="00B900C1">
        <w:rPr>
          <w:color w:val="000000" w:themeColor="text1"/>
        </w:rPr>
        <w:fldChar w:fldCharType="end"/>
      </w:r>
    </w:p>
    <w:p w:rsidR="00BD7CEA" w:rsidRPr="007B74B7" w:rsidRDefault="00BD7CEA">
      <w:pPr>
        <w:pStyle w:val="TOC1"/>
        <w:rPr>
          <w:rFonts w:asciiTheme="minorHAnsi" w:eastAsiaTheme="minorEastAsia" w:hAnsiTheme="minorHAnsi" w:cstheme="minorBidi"/>
          <w:b w:val="0"/>
          <w:caps w:val="0"/>
          <w:color w:val="000000" w:themeColor="text1"/>
          <w:szCs w:val="22"/>
          <w:lang w:val="it-IT"/>
        </w:rPr>
      </w:pPr>
      <w:r w:rsidRPr="007B74B7">
        <w:rPr>
          <w:color w:val="000000" w:themeColor="text1"/>
          <w:lang w:val="it-IT"/>
        </w:rPr>
        <w:t>ARTICOLO 8</w:t>
      </w:r>
      <w:r w:rsidR="00FD7C0D" w:rsidRPr="007B74B7">
        <w:rPr>
          <w:color w:val="000000" w:themeColor="text1"/>
          <w:lang w:val="it-IT"/>
        </w:rPr>
        <w:t xml:space="preserve"> – </w:t>
      </w:r>
      <w:r w:rsidRPr="007B74B7">
        <w:rPr>
          <w:color w:val="000000" w:themeColor="text1"/>
          <w:lang w:val="it-IT"/>
        </w:rPr>
        <w:t>Servizi</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_Toc353376027 \h </w:instrText>
      </w:r>
      <w:r w:rsidRPr="00B900C1">
        <w:rPr>
          <w:color w:val="000000" w:themeColor="text1"/>
        </w:rPr>
      </w:r>
      <w:r w:rsidRPr="00B900C1">
        <w:rPr>
          <w:color w:val="000000" w:themeColor="text1"/>
        </w:rPr>
        <w:fldChar w:fldCharType="separate"/>
      </w:r>
      <w:r w:rsidR="007B74B7">
        <w:rPr>
          <w:color w:val="000000" w:themeColor="text1"/>
          <w:lang w:val="it-IT"/>
        </w:rPr>
        <w:t>91</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color w:val="000000" w:themeColor="text1"/>
          <w:lang w:val="it-IT"/>
        </w:rPr>
        <w:t>Diritti sull’utilizzo, di titolarità e di licenza</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_Toc353376028 \h </w:instrText>
      </w:r>
      <w:r w:rsidRPr="00B900C1">
        <w:rPr>
          <w:color w:val="000000" w:themeColor="text1"/>
        </w:rPr>
      </w:r>
      <w:r w:rsidRPr="00B900C1">
        <w:rPr>
          <w:color w:val="000000" w:themeColor="text1"/>
        </w:rPr>
        <w:fldChar w:fldCharType="separate"/>
      </w:r>
      <w:r w:rsidR="007B74B7">
        <w:rPr>
          <w:color w:val="000000" w:themeColor="text1"/>
          <w:lang w:val="it-IT"/>
        </w:rPr>
        <w:t>98</w:t>
      </w:r>
      <w:r w:rsidRPr="00B900C1">
        <w:rPr>
          <w:color w:val="000000" w:themeColor="text1"/>
        </w:rPr>
        <w:fldChar w:fldCharType="end"/>
      </w:r>
    </w:p>
    <w:p w:rsidR="00BD7CEA" w:rsidRPr="007B74B7" w:rsidRDefault="00BD7CEA">
      <w:pPr>
        <w:pStyle w:val="TOC1"/>
        <w:rPr>
          <w:rFonts w:asciiTheme="minorHAnsi" w:eastAsiaTheme="minorEastAsia" w:hAnsiTheme="minorHAnsi" w:cstheme="minorBidi"/>
          <w:b w:val="0"/>
          <w:caps w:val="0"/>
          <w:color w:val="000000" w:themeColor="text1"/>
          <w:szCs w:val="22"/>
          <w:lang w:val="it-IT"/>
        </w:rPr>
      </w:pPr>
      <w:r w:rsidRPr="007B74B7">
        <w:rPr>
          <w:color w:val="000000" w:themeColor="text1"/>
          <w:lang w:val="it-IT"/>
        </w:rPr>
        <w:t>ARTICOLO 9</w:t>
      </w:r>
      <w:r w:rsidR="00FD7C0D" w:rsidRPr="007B74B7">
        <w:rPr>
          <w:color w:val="000000" w:themeColor="text1"/>
          <w:lang w:val="it-IT"/>
        </w:rPr>
        <w:t xml:space="preserve"> – </w:t>
      </w:r>
      <w:r w:rsidRPr="007B74B7">
        <w:rPr>
          <w:color w:val="000000" w:themeColor="text1"/>
          <w:lang w:val="it-IT"/>
        </w:rPr>
        <w:t>Condizioni Aggiuntive</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_Toc353376029 \h </w:instrText>
      </w:r>
      <w:r w:rsidRPr="00B900C1">
        <w:rPr>
          <w:color w:val="000000" w:themeColor="text1"/>
        </w:rPr>
      </w:r>
      <w:r w:rsidRPr="00B900C1">
        <w:rPr>
          <w:color w:val="000000" w:themeColor="text1"/>
        </w:rPr>
        <w:fldChar w:fldCharType="separate"/>
      </w:r>
      <w:r w:rsidR="007B74B7">
        <w:rPr>
          <w:color w:val="000000" w:themeColor="text1"/>
          <w:lang w:val="it-IT"/>
        </w:rPr>
        <w:t>101</w:t>
      </w:r>
      <w:r w:rsidRPr="00B900C1">
        <w:rPr>
          <w:color w:val="000000" w:themeColor="text1"/>
        </w:rPr>
        <w:fldChar w:fldCharType="end"/>
      </w:r>
    </w:p>
    <w:p w:rsidR="00BD7CEA" w:rsidRPr="007B74B7" w:rsidRDefault="00BD7CEA" w:rsidP="00B900C1">
      <w:pPr>
        <w:pStyle w:val="TOC3"/>
        <w:rPr>
          <w:rFonts w:asciiTheme="minorHAnsi" w:eastAsiaTheme="minorEastAsia" w:hAnsiTheme="minorHAnsi" w:cstheme="minorBidi"/>
          <w:color w:val="000000" w:themeColor="text1"/>
          <w:sz w:val="22"/>
          <w:szCs w:val="22"/>
          <w:lang w:val="it-IT"/>
        </w:rPr>
      </w:pPr>
      <w:r w:rsidRPr="007B74B7">
        <w:rPr>
          <w:color w:val="000000" w:themeColor="text1"/>
          <w:lang w:val="it-IT"/>
        </w:rPr>
        <w:t>Client Access Licenses (CAL) e Licenze di Gestione Client (ML)</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_Toc353376030 \h </w:instrText>
      </w:r>
      <w:r w:rsidRPr="00B900C1">
        <w:rPr>
          <w:color w:val="000000" w:themeColor="text1"/>
        </w:rPr>
      </w:r>
      <w:r w:rsidRPr="00B900C1">
        <w:rPr>
          <w:color w:val="000000" w:themeColor="text1"/>
        </w:rPr>
        <w:fldChar w:fldCharType="separate"/>
      </w:r>
      <w:r w:rsidR="007B74B7">
        <w:rPr>
          <w:color w:val="000000" w:themeColor="text1"/>
          <w:lang w:val="it-IT"/>
        </w:rPr>
        <w:t>101</w:t>
      </w:r>
      <w:r w:rsidRPr="00B900C1">
        <w:rPr>
          <w:color w:val="000000" w:themeColor="text1"/>
        </w:rPr>
        <w:fldChar w:fldCharType="end"/>
      </w:r>
    </w:p>
    <w:p w:rsidR="00BD7CEA" w:rsidRPr="007B74B7" w:rsidRDefault="00BD7CEA" w:rsidP="00B900C1">
      <w:pPr>
        <w:pStyle w:val="TOC3"/>
        <w:rPr>
          <w:rFonts w:asciiTheme="minorHAnsi" w:eastAsiaTheme="minorEastAsia" w:hAnsiTheme="minorHAnsi" w:cstheme="minorBidi"/>
          <w:color w:val="000000" w:themeColor="text1"/>
          <w:sz w:val="22"/>
          <w:szCs w:val="22"/>
          <w:lang w:val="it-IT"/>
        </w:rPr>
      </w:pPr>
      <w:r w:rsidRPr="007B74B7">
        <w:rPr>
          <w:color w:val="000000" w:themeColor="text1"/>
          <w:lang w:val="it-IT"/>
        </w:rPr>
        <w:t>Limitazioni dei Controlli EI</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_Toc353376031 \h </w:instrText>
      </w:r>
      <w:r w:rsidRPr="00B900C1">
        <w:rPr>
          <w:color w:val="000000" w:themeColor="text1"/>
        </w:rPr>
      </w:r>
      <w:r w:rsidRPr="00B900C1">
        <w:rPr>
          <w:color w:val="000000" w:themeColor="text1"/>
        </w:rPr>
        <w:fldChar w:fldCharType="separate"/>
      </w:r>
      <w:r w:rsidR="007B74B7">
        <w:rPr>
          <w:color w:val="000000" w:themeColor="text1"/>
          <w:lang w:val="it-IT"/>
        </w:rPr>
        <w:t>101</w:t>
      </w:r>
      <w:r w:rsidRPr="00B900C1">
        <w:rPr>
          <w:color w:val="000000" w:themeColor="text1"/>
        </w:rPr>
        <w:fldChar w:fldCharType="end"/>
      </w:r>
    </w:p>
    <w:p w:rsidR="00BD7CEA" w:rsidRPr="007B74B7" w:rsidRDefault="00BD7CEA" w:rsidP="00B900C1">
      <w:pPr>
        <w:pStyle w:val="TOC3"/>
        <w:rPr>
          <w:rFonts w:asciiTheme="minorHAnsi" w:eastAsiaTheme="minorEastAsia" w:hAnsiTheme="minorHAnsi" w:cstheme="minorBidi"/>
          <w:color w:val="000000" w:themeColor="text1"/>
          <w:sz w:val="22"/>
          <w:szCs w:val="22"/>
          <w:lang w:val="it-IT"/>
        </w:rPr>
      </w:pPr>
      <w:r w:rsidRPr="007B74B7">
        <w:rPr>
          <w:color w:val="000000" w:themeColor="text1"/>
          <w:lang w:val="it-IT"/>
        </w:rPr>
        <w:t>Multilanguage Pack (MLP), Funzionalità Multilanguage User Interface (MUI) e Nuovi Diritti sulle Lingue</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_Toc353376032 \h </w:instrText>
      </w:r>
      <w:r w:rsidRPr="00B900C1">
        <w:rPr>
          <w:color w:val="000000" w:themeColor="text1"/>
        </w:rPr>
      </w:r>
      <w:r w:rsidRPr="00B900C1">
        <w:rPr>
          <w:color w:val="000000" w:themeColor="text1"/>
        </w:rPr>
        <w:fldChar w:fldCharType="separate"/>
      </w:r>
      <w:r w:rsidR="007B74B7">
        <w:rPr>
          <w:color w:val="000000" w:themeColor="text1"/>
          <w:lang w:val="it-IT"/>
        </w:rPr>
        <w:t>102</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Licenze Indipendenti dalla Piattaforma</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_Toc353376033 \h </w:instrText>
      </w:r>
      <w:r w:rsidRPr="00B900C1">
        <w:rPr>
          <w:color w:val="000000" w:themeColor="text1"/>
        </w:rPr>
      </w:r>
      <w:r w:rsidRPr="00B900C1">
        <w:rPr>
          <w:color w:val="000000" w:themeColor="text1"/>
        </w:rPr>
        <w:fldChar w:fldCharType="separate"/>
      </w:r>
      <w:r w:rsidR="007B74B7">
        <w:rPr>
          <w:color w:val="000000" w:themeColor="text1"/>
          <w:lang w:val="it-IT"/>
        </w:rPr>
        <w:t>102</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Codice “Product Key” per Volume Licensing</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_Toc353376034 \h </w:instrText>
      </w:r>
      <w:r w:rsidRPr="00B900C1">
        <w:rPr>
          <w:color w:val="000000" w:themeColor="text1"/>
        </w:rPr>
      </w:r>
      <w:r w:rsidRPr="00B900C1">
        <w:rPr>
          <w:color w:val="000000" w:themeColor="text1"/>
        </w:rPr>
        <w:fldChar w:fldCharType="separate"/>
      </w:r>
      <w:r w:rsidR="007B74B7">
        <w:rPr>
          <w:color w:val="000000" w:themeColor="text1"/>
          <w:lang w:val="it-IT"/>
        </w:rPr>
        <w:t>103</w:t>
      </w:r>
      <w:r w:rsidRPr="00B900C1">
        <w:rPr>
          <w:color w:val="000000" w:themeColor="text1"/>
        </w:rPr>
        <w:fldChar w:fldCharType="end"/>
      </w:r>
    </w:p>
    <w:p w:rsidR="00BD7CEA" w:rsidRPr="007B74B7" w:rsidRDefault="00BD7CEA">
      <w:pPr>
        <w:pStyle w:val="TOC1"/>
        <w:rPr>
          <w:rFonts w:asciiTheme="minorHAnsi" w:eastAsiaTheme="minorEastAsia" w:hAnsiTheme="minorHAnsi" w:cstheme="minorBidi"/>
          <w:b w:val="0"/>
          <w:caps w:val="0"/>
          <w:color w:val="000000" w:themeColor="text1"/>
          <w:szCs w:val="22"/>
          <w:lang w:val="it-IT"/>
        </w:rPr>
      </w:pPr>
      <w:r w:rsidRPr="007B74B7">
        <w:rPr>
          <w:color w:val="000000" w:themeColor="text1"/>
          <w:lang w:val="it-IT"/>
        </w:rPr>
        <w:t>NOTE del Prodotto</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_Toc353376035 \h </w:instrText>
      </w:r>
      <w:r w:rsidRPr="00B900C1">
        <w:rPr>
          <w:color w:val="000000" w:themeColor="text1"/>
        </w:rPr>
      </w:r>
      <w:r w:rsidRPr="00B900C1">
        <w:rPr>
          <w:color w:val="000000" w:themeColor="text1"/>
        </w:rPr>
        <w:fldChar w:fldCharType="separate"/>
      </w:r>
      <w:r w:rsidR="007B74B7">
        <w:rPr>
          <w:color w:val="000000" w:themeColor="text1"/>
          <w:lang w:val="it-IT"/>
        </w:rPr>
        <w:t>104</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olor w:val="000000" w:themeColor="text1"/>
          <w:lang w:val="it-IT"/>
        </w:rPr>
        <w:t>Pool di Applicazioni</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_Toc353376036 \h </w:instrText>
      </w:r>
      <w:r w:rsidRPr="00B900C1">
        <w:rPr>
          <w:color w:val="000000" w:themeColor="text1"/>
        </w:rPr>
      </w:r>
      <w:r w:rsidRPr="00B900C1">
        <w:rPr>
          <w:color w:val="000000" w:themeColor="text1"/>
        </w:rPr>
        <w:fldChar w:fldCharType="separate"/>
      </w:r>
      <w:r w:rsidR="007B74B7">
        <w:rPr>
          <w:color w:val="000000" w:themeColor="text1"/>
          <w:lang w:val="it-IT"/>
        </w:rPr>
        <w:t>104</w:t>
      </w:r>
      <w:r w:rsidRPr="00B900C1">
        <w:rPr>
          <w:color w:val="000000" w:themeColor="text1"/>
        </w:rPr>
        <w:fldChar w:fldCharType="end"/>
      </w:r>
    </w:p>
    <w:p w:rsidR="00BD7CEA" w:rsidRPr="007B74B7" w:rsidRDefault="00BD7CEA" w:rsidP="00B900C1">
      <w:pPr>
        <w:pStyle w:val="TOC3"/>
        <w:rPr>
          <w:rFonts w:asciiTheme="minorHAnsi" w:eastAsiaTheme="minorEastAsia" w:hAnsiTheme="minorHAnsi" w:cstheme="minorBidi"/>
          <w:color w:val="000000" w:themeColor="text1"/>
          <w:sz w:val="22"/>
          <w:szCs w:val="22"/>
          <w:lang w:val="it-IT"/>
        </w:rPr>
      </w:pPr>
      <w:r w:rsidRPr="007B74B7">
        <w:rPr>
          <w:caps/>
          <w:color w:val="000000" w:themeColor="text1"/>
          <w:vertAlign w:val="superscript"/>
          <w:lang w:val="it-IT"/>
        </w:rPr>
        <w:t>1</w:t>
      </w:r>
      <w:r w:rsidRPr="007B74B7">
        <w:rPr>
          <w:color w:val="000000" w:themeColor="text1"/>
          <w:lang w:val="it-IT"/>
        </w:rPr>
        <w:t xml:space="preserve"> Expression Encoder Pro 4</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_Toc353376037 \h </w:instrText>
      </w:r>
      <w:r w:rsidRPr="00B900C1">
        <w:rPr>
          <w:color w:val="000000" w:themeColor="text1"/>
        </w:rPr>
      </w:r>
      <w:r w:rsidRPr="00B900C1">
        <w:rPr>
          <w:color w:val="000000" w:themeColor="text1"/>
        </w:rPr>
        <w:fldChar w:fldCharType="separate"/>
      </w:r>
      <w:r w:rsidR="007B74B7" w:rsidRPr="007B74B7">
        <w:rPr>
          <w:color w:val="000000" w:themeColor="text1"/>
          <w:lang w:val="it-IT"/>
        </w:rPr>
        <w:t>104</w:t>
      </w:r>
      <w:r w:rsidRPr="00B900C1">
        <w:rPr>
          <w:color w:val="000000" w:themeColor="text1"/>
        </w:rPr>
        <w:fldChar w:fldCharType="end"/>
      </w:r>
    </w:p>
    <w:p w:rsidR="00BD7CEA" w:rsidRPr="007B74B7" w:rsidRDefault="00BD7CEA" w:rsidP="00B900C1">
      <w:pPr>
        <w:pStyle w:val="TOC3"/>
        <w:rPr>
          <w:rFonts w:asciiTheme="minorHAnsi" w:eastAsiaTheme="minorEastAsia" w:hAnsiTheme="minorHAnsi" w:cstheme="minorBidi"/>
          <w:color w:val="000000" w:themeColor="text1"/>
          <w:sz w:val="22"/>
          <w:szCs w:val="22"/>
          <w:lang w:val="it-IT"/>
        </w:rPr>
      </w:pPr>
      <w:r w:rsidRPr="007B74B7">
        <w:rPr>
          <w:caps/>
          <w:color w:val="000000" w:themeColor="text1"/>
          <w:vertAlign w:val="superscript"/>
          <w:lang w:val="it-IT"/>
        </w:rPr>
        <w:t>2</w:t>
      </w:r>
      <w:r w:rsidRPr="007B74B7">
        <w:rPr>
          <w:color w:val="000000" w:themeColor="text1"/>
          <w:lang w:val="it-IT"/>
        </w:rPr>
        <w:t xml:space="preserve"> Lync per Mac 2011</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_Toc353376038 \h </w:instrText>
      </w:r>
      <w:r w:rsidRPr="00B900C1">
        <w:rPr>
          <w:color w:val="000000" w:themeColor="text1"/>
        </w:rPr>
      </w:r>
      <w:r w:rsidRPr="00B900C1">
        <w:rPr>
          <w:color w:val="000000" w:themeColor="text1"/>
        </w:rPr>
        <w:fldChar w:fldCharType="separate"/>
      </w:r>
      <w:r w:rsidR="007B74B7" w:rsidRPr="007B74B7">
        <w:rPr>
          <w:color w:val="000000" w:themeColor="text1"/>
          <w:lang w:val="it-IT"/>
        </w:rPr>
        <w:t>104</w:t>
      </w:r>
      <w:r w:rsidRPr="00B900C1">
        <w:rPr>
          <w:color w:val="000000" w:themeColor="text1"/>
        </w:rPr>
        <w:fldChar w:fldCharType="end"/>
      </w:r>
    </w:p>
    <w:p w:rsidR="00BD7CEA" w:rsidRPr="007B74B7" w:rsidRDefault="00BD7CEA" w:rsidP="00B900C1">
      <w:pPr>
        <w:pStyle w:val="TOC3"/>
        <w:rPr>
          <w:rFonts w:asciiTheme="minorHAnsi" w:eastAsiaTheme="minorEastAsia" w:hAnsiTheme="minorHAnsi" w:cstheme="minorBidi"/>
          <w:color w:val="000000" w:themeColor="text1"/>
          <w:sz w:val="22"/>
          <w:szCs w:val="22"/>
          <w:lang w:val="it-IT"/>
        </w:rPr>
      </w:pPr>
      <w:r w:rsidRPr="007B74B7">
        <w:rPr>
          <w:caps/>
          <w:color w:val="000000" w:themeColor="text1"/>
          <w:vertAlign w:val="superscript"/>
          <w:lang w:val="it-IT"/>
        </w:rPr>
        <w:t>3</w:t>
      </w:r>
      <w:r w:rsidRPr="007B74B7">
        <w:rPr>
          <w:color w:val="000000" w:themeColor="text1"/>
          <w:lang w:val="it-IT"/>
        </w:rPr>
        <w:t xml:space="preserve"> Sistemi Operativi MSDN</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_Toc353376039 \h </w:instrText>
      </w:r>
      <w:r w:rsidRPr="00B900C1">
        <w:rPr>
          <w:color w:val="000000" w:themeColor="text1"/>
        </w:rPr>
      </w:r>
      <w:r w:rsidRPr="00B900C1">
        <w:rPr>
          <w:color w:val="000000" w:themeColor="text1"/>
        </w:rPr>
        <w:fldChar w:fldCharType="separate"/>
      </w:r>
      <w:r w:rsidR="007B74B7" w:rsidRPr="007B74B7">
        <w:rPr>
          <w:color w:val="000000" w:themeColor="text1"/>
          <w:lang w:val="it-IT"/>
        </w:rPr>
        <w:t>104</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aps/>
          <w:color w:val="000000" w:themeColor="text1"/>
          <w:vertAlign w:val="superscript"/>
          <w:lang w:val="it-IT"/>
        </w:rPr>
        <w:t>4</w:t>
      </w:r>
      <w:r w:rsidRPr="007B74B7">
        <w:rPr>
          <w:color w:val="000000" w:themeColor="text1"/>
          <w:lang w:val="it-IT"/>
        </w:rPr>
        <w:t xml:space="preserve"> </w:t>
      </w:r>
      <w:r w:rsidRPr="007B74B7">
        <w:rPr>
          <w:rFonts w:cs="Tahoma"/>
          <w:color w:val="000000" w:themeColor="text1"/>
          <w:lang w:val="it-IT"/>
        </w:rPr>
        <w:t>Office 365 Education A2-A4 (SL per Utente)</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_Toc353376040 \h </w:instrText>
      </w:r>
      <w:r w:rsidRPr="00B900C1">
        <w:rPr>
          <w:color w:val="000000" w:themeColor="text1"/>
        </w:rPr>
      </w:r>
      <w:r w:rsidRPr="00B900C1">
        <w:rPr>
          <w:color w:val="000000" w:themeColor="text1"/>
        </w:rPr>
        <w:fldChar w:fldCharType="separate"/>
      </w:r>
      <w:r w:rsidR="007B74B7" w:rsidRPr="007B74B7">
        <w:rPr>
          <w:color w:val="000000" w:themeColor="text1"/>
          <w:lang w:val="it-IT"/>
        </w:rPr>
        <w:t>105</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aps/>
          <w:color w:val="000000" w:themeColor="text1"/>
          <w:vertAlign w:val="superscript"/>
          <w:lang w:val="it-IT"/>
        </w:rPr>
        <w:t>5</w:t>
      </w:r>
      <w:r w:rsidRPr="007B74B7">
        <w:rPr>
          <w:rFonts w:cs="Tahoma"/>
          <w:color w:val="000000" w:themeColor="text1"/>
          <w:lang w:val="it-IT"/>
        </w:rPr>
        <w:t xml:space="preserve"> Office 365 Midsize Business (SL per Utente)</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_Toc353376041 \h </w:instrText>
      </w:r>
      <w:r w:rsidRPr="00B900C1">
        <w:rPr>
          <w:color w:val="000000" w:themeColor="text1"/>
        </w:rPr>
      </w:r>
      <w:r w:rsidRPr="00B900C1">
        <w:rPr>
          <w:color w:val="000000" w:themeColor="text1"/>
        </w:rPr>
        <w:fldChar w:fldCharType="separate"/>
      </w:r>
      <w:r w:rsidR="007B74B7" w:rsidRPr="007B74B7">
        <w:rPr>
          <w:color w:val="000000" w:themeColor="text1"/>
          <w:lang w:val="it-IT"/>
        </w:rPr>
        <w:t>106</w:t>
      </w:r>
      <w:r w:rsidRPr="00B900C1">
        <w:rPr>
          <w:color w:val="000000" w:themeColor="text1"/>
        </w:rPr>
        <w:fldChar w:fldCharType="end"/>
      </w:r>
    </w:p>
    <w:p w:rsidR="00BD7CEA" w:rsidRPr="007B74B7" w:rsidRDefault="00BD7CEA">
      <w:pPr>
        <w:pStyle w:val="TOC2"/>
        <w:rPr>
          <w:rFonts w:asciiTheme="minorHAnsi" w:eastAsiaTheme="minorEastAsia" w:hAnsiTheme="minorHAnsi" w:cstheme="minorBidi"/>
          <w:color w:val="000000" w:themeColor="text1"/>
          <w:sz w:val="22"/>
          <w:szCs w:val="22"/>
          <w:lang w:val="it-IT"/>
        </w:rPr>
      </w:pPr>
      <w:r w:rsidRPr="007B74B7">
        <w:rPr>
          <w:rFonts w:cs="Tahoma"/>
          <w:caps/>
          <w:color w:val="000000" w:themeColor="text1"/>
          <w:vertAlign w:val="superscript"/>
          <w:lang w:val="it-IT"/>
        </w:rPr>
        <w:t xml:space="preserve">6 </w:t>
      </w:r>
      <w:r w:rsidRPr="007B74B7">
        <w:rPr>
          <w:rFonts w:cs="Tahoma"/>
          <w:color w:val="000000" w:themeColor="text1"/>
          <w:lang w:val="it-IT"/>
        </w:rPr>
        <w:t>Office 365 Enterprise E2-E4</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_Toc353376042 \h </w:instrText>
      </w:r>
      <w:r w:rsidRPr="00B900C1">
        <w:rPr>
          <w:color w:val="000000" w:themeColor="text1"/>
        </w:rPr>
      </w:r>
      <w:r w:rsidRPr="00B900C1">
        <w:rPr>
          <w:color w:val="000000" w:themeColor="text1"/>
        </w:rPr>
        <w:fldChar w:fldCharType="separate"/>
      </w:r>
      <w:r w:rsidR="007B74B7" w:rsidRPr="007B74B7">
        <w:rPr>
          <w:color w:val="000000" w:themeColor="text1"/>
          <w:lang w:val="it-IT"/>
        </w:rPr>
        <w:t>106</w:t>
      </w:r>
      <w:r w:rsidRPr="00B900C1">
        <w:rPr>
          <w:color w:val="000000" w:themeColor="text1"/>
        </w:rPr>
        <w:fldChar w:fldCharType="end"/>
      </w:r>
    </w:p>
    <w:p w:rsidR="00BD7CEA" w:rsidRPr="007B74B7" w:rsidRDefault="00BD7CEA" w:rsidP="00B900C1">
      <w:pPr>
        <w:pStyle w:val="TOC3"/>
        <w:rPr>
          <w:rFonts w:asciiTheme="minorHAnsi" w:eastAsiaTheme="minorEastAsia" w:hAnsiTheme="minorHAnsi" w:cstheme="minorBidi"/>
          <w:color w:val="000000" w:themeColor="text1"/>
          <w:sz w:val="22"/>
          <w:szCs w:val="22"/>
          <w:lang w:val="it-IT"/>
        </w:rPr>
      </w:pPr>
      <w:r w:rsidRPr="007B74B7">
        <w:rPr>
          <w:caps/>
          <w:color w:val="000000" w:themeColor="text1"/>
          <w:vertAlign w:val="superscript"/>
          <w:lang w:val="it-IT"/>
        </w:rPr>
        <w:t xml:space="preserve">7 </w:t>
      </w:r>
      <w:r w:rsidRPr="007B74B7">
        <w:rPr>
          <w:color w:val="000000" w:themeColor="text1"/>
          <w:lang w:val="it-IT"/>
        </w:rPr>
        <w:t>Office per Mac Standard 2011</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_Toc353376043 \h </w:instrText>
      </w:r>
      <w:r w:rsidRPr="00B900C1">
        <w:rPr>
          <w:color w:val="000000" w:themeColor="text1"/>
        </w:rPr>
      </w:r>
      <w:r w:rsidRPr="00B900C1">
        <w:rPr>
          <w:color w:val="000000" w:themeColor="text1"/>
        </w:rPr>
        <w:fldChar w:fldCharType="separate"/>
      </w:r>
      <w:r w:rsidR="007B74B7" w:rsidRPr="007B74B7">
        <w:rPr>
          <w:color w:val="000000" w:themeColor="text1"/>
          <w:lang w:val="it-IT"/>
        </w:rPr>
        <w:t>107</w:t>
      </w:r>
      <w:r w:rsidRPr="00B900C1">
        <w:rPr>
          <w:color w:val="000000" w:themeColor="text1"/>
        </w:rPr>
        <w:fldChar w:fldCharType="end"/>
      </w:r>
    </w:p>
    <w:p w:rsidR="00BD7CEA" w:rsidRPr="00B900C1" w:rsidRDefault="00BD7CEA" w:rsidP="00B900C1">
      <w:pPr>
        <w:pStyle w:val="TOC3"/>
        <w:rPr>
          <w:rFonts w:asciiTheme="minorHAnsi" w:eastAsiaTheme="minorEastAsia" w:hAnsiTheme="minorHAnsi" w:cstheme="minorBidi"/>
          <w:color w:val="000000" w:themeColor="text1"/>
          <w:sz w:val="22"/>
          <w:szCs w:val="22"/>
        </w:rPr>
      </w:pPr>
      <w:r w:rsidRPr="00B900C1">
        <w:rPr>
          <w:caps/>
          <w:color w:val="000000" w:themeColor="text1"/>
          <w:vertAlign w:val="superscript"/>
        </w:rPr>
        <w:t>8</w:t>
      </w:r>
      <w:r w:rsidRPr="00B900C1">
        <w:rPr>
          <w:color w:val="000000" w:themeColor="text1"/>
        </w:rPr>
        <w:t xml:space="preserve"> Office Multi-Language Pack 2013</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_Toc353376044 \h </w:instrText>
      </w:r>
      <w:r w:rsidRPr="00B900C1">
        <w:rPr>
          <w:color w:val="000000" w:themeColor="text1"/>
        </w:rPr>
      </w:r>
      <w:r w:rsidRPr="00B900C1">
        <w:rPr>
          <w:color w:val="000000" w:themeColor="text1"/>
        </w:rPr>
        <w:fldChar w:fldCharType="separate"/>
      </w:r>
      <w:r w:rsidR="007B74B7">
        <w:rPr>
          <w:color w:val="000000" w:themeColor="text1"/>
        </w:rPr>
        <w:t>107</w:t>
      </w:r>
      <w:r w:rsidRPr="00B900C1">
        <w:rPr>
          <w:color w:val="000000" w:themeColor="text1"/>
        </w:rPr>
        <w:fldChar w:fldCharType="end"/>
      </w:r>
    </w:p>
    <w:p w:rsidR="00BD7CEA" w:rsidRPr="00B900C1" w:rsidRDefault="00BD7CEA" w:rsidP="00B900C1">
      <w:pPr>
        <w:pStyle w:val="TOC3"/>
        <w:rPr>
          <w:rFonts w:asciiTheme="minorHAnsi" w:eastAsiaTheme="minorEastAsia" w:hAnsiTheme="minorHAnsi" w:cstheme="minorBidi"/>
          <w:color w:val="000000" w:themeColor="text1"/>
          <w:sz w:val="22"/>
          <w:szCs w:val="22"/>
        </w:rPr>
      </w:pPr>
      <w:r w:rsidRPr="00B900C1">
        <w:rPr>
          <w:caps/>
          <w:color w:val="000000" w:themeColor="text1"/>
          <w:vertAlign w:val="superscript"/>
        </w:rPr>
        <w:t>9</w:t>
      </w:r>
      <w:r w:rsidRPr="00B900C1">
        <w:rPr>
          <w:color w:val="000000" w:themeColor="text1"/>
        </w:rPr>
        <w:t xml:space="preserve"> Office Professional Plus 2013</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_Toc353376045 \h </w:instrText>
      </w:r>
      <w:r w:rsidRPr="00B900C1">
        <w:rPr>
          <w:color w:val="000000" w:themeColor="text1"/>
        </w:rPr>
      </w:r>
      <w:r w:rsidRPr="00B900C1">
        <w:rPr>
          <w:color w:val="000000" w:themeColor="text1"/>
        </w:rPr>
        <w:fldChar w:fldCharType="separate"/>
      </w:r>
      <w:r w:rsidR="007B74B7">
        <w:rPr>
          <w:color w:val="000000" w:themeColor="text1"/>
        </w:rPr>
        <w:t>107</w:t>
      </w:r>
      <w:r w:rsidRPr="00B900C1">
        <w:rPr>
          <w:color w:val="000000" w:themeColor="text1"/>
        </w:rPr>
        <w:fldChar w:fldCharType="end"/>
      </w:r>
    </w:p>
    <w:p w:rsidR="00BD7CEA" w:rsidRPr="00B900C1" w:rsidRDefault="00BD7CEA" w:rsidP="00B900C1">
      <w:pPr>
        <w:pStyle w:val="TOC3"/>
        <w:rPr>
          <w:rFonts w:asciiTheme="minorHAnsi" w:eastAsiaTheme="minorEastAsia" w:hAnsiTheme="minorHAnsi" w:cstheme="minorBidi"/>
          <w:color w:val="000000" w:themeColor="text1"/>
          <w:sz w:val="22"/>
          <w:szCs w:val="22"/>
        </w:rPr>
      </w:pPr>
      <w:r w:rsidRPr="00B900C1">
        <w:rPr>
          <w:caps/>
          <w:color w:val="000000" w:themeColor="text1"/>
          <w:vertAlign w:val="superscript"/>
        </w:rPr>
        <w:t>10</w:t>
      </w:r>
      <w:r w:rsidRPr="00B900C1">
        <w:rPr>
          <w:color w:val="000000" w:themeColor="text1"/>
        </w:rPr>
        <w:t xml:space="preserve"> Office Standard 2013</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_Toc353376046 \h </w:instrText>
      </w:r>
      <w:r w:rsidRPr="00B900C1">
        <w:rPr>
          <w:color w:val="000000" w:themeColor="text1"/>
        </w:rPr>
      </w:r>
      <w:r w:rsidRPr="00B900C1">
        <w:rPr>
          <w:color w:val="000000" w:themeColor="text1"/>
        </w:rPr>
        <w:fldChar w:fldCharType="separate"/>
      </w:r>
      <w:r w:rsidR="007B74B7">
        <w:rPr>
          <w:color w:val="000000" w:themeColor="text1"/>
        </w:rPr>
        <w:t>108</w:t>
      </w:r>
      <w:r w:rsidRPr="00B900C1">
        <w:rPr>
          <w:color w:val="000000" w:themeColor="text1"/>
        </w:rPr>
        <w:fldChar w:fldCharType="end"/>
      </w:r>
    </w:p>
    <w:p w:rsidR="00BD7CEA" w:rsidRPr="00B900C1" w:rsidRDefault="00BD7CEA" w:rsidP="00B900C1">
      <w:pPr>
        <w:pStyle w:val="TOC3"/>
        <w:rPr>
          <w:rFonts w:asciiTheme="minorHAnsi" w:eastAsiaTheme="minorEastAsia" w:hAnsiTheme="minorHAnsi" w:cstheme="minorBidi"/>
          <w:color w:val="000000" w:themeColor="text1"/>
          <w:sz w:val="22"/>
          <w:szCs w:val="22"/>
        </w:rPr>
      </w:pPr>
      <w:r w:rsidRPr="00B900C1">
        <w:rPr>
          <w:caps/>
          <w:color w:val="000000" w:themeColor="text1"/>
          <w:vertAlign w:val="superscript"/>
        </w:rPr>
        <w:t>11</w:t>
      </w:r>
      <w:r w:rsidRPr="00B900C1">
        <w:rPr>
          <w:color w:val="000000" w:themeColor="text1"/>
        </w:rPr>
        <w:t xml:space="preserve"> Office 365 ProPlus (SL per Utente)</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_Toc353376047 \h </w:instrText>
      </w:r>
      <w:r w:rsidRPr="00B900C1">
        <w:rPr>
          <w:color w:val="000000" w:themeColor="text1"/>
        </w:rPr>
      </w:r>
      <w:r w:rsidRPr="00B900C1">
        <w:rPr>
          <w:color w:val="000000" w:themeColor="text1"/>
        </w:rPr>
        <w:fldChar w:fldCharType="separate"/>
      </w:r>
      <w:r w:rsidR="007B74B7">
        <w:rPr>
          <w:color w:val="000000" w:themeColor="text1"/>
        </w:rPr>
        <w:t>108</w:t>
      </w:r>
      <w:r w:rsidRPr="00B900C1">
        <w:rPr>
          <w:color w:val="000000" w:themeColor="text1"/>
        </w:rPr>
        <w:fldChar w:fldCharType="end"/>
      </w:r>
    </w:p>
    <w:p w:rsidR="00BD7CEA" w:rsidRPr="00B900C1" w:rsidRDefault="00BD7CEA" w:rsidP="00B900C1">
      <w:pPr>
        <w:pStyle w:val="TOC3"/>
        <w:rPr>
          <w:rFonts w:asciiTheme="minorHAnsi" w:eastAsiaTheme="minorEastAsia" w:hAnsiTheme="minorHAnsi" w:cstheme="minorBidi"/>
          <w:color w:val="000000" w:themeColor="text1"/>
          <w:sz w:val="22"/>
          <w:szCs w:val="22"/>
        </w:rPr>
      </w:pPr>
      <w:r w:rsidRPr="00B900C1">
        <w:rPr>
          <w:caps/>
          <w:color w:val="000000" w:themeColor="text1"/>
          <w:vertAlign w:val="superscript"/>
        </w:rPr>
        <w:t>12</w:t>
      </w:r>
      <w:r w:rsidRPr="00B900C1">
        <w:rPr>
          <w:color w:val="000000" w:themeColor="text1"/>
        </w:rPr>
        <w:t xml:space="preserve"> Outlook per Mac 2011</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_Toc353376048 \h </w:instrText>
      </w:r>
      <w:r w:rsidRPr="00B900C1">
        <w:rPr>
          <w:color w:val="000000" w:themeColor="text1"/>
        </w:rPr>
      </w:r>
      <w:r w:rsidRPr="00B900C1">
        <w:rPr>
          <w:color w:val="000000" w:themeColor="text1"/>
        </w:rPr>
        <w:fldChar w:fldCharType="separate"/>
      </w:r>
      <w:r w:rsidR="007B74B7">
        <w:rPr>
          <w:color w:val="000000" w:themeColor="text1"/>
        </w:rPr>
        <w:t>109</w:t>
      </w:r>
      <w:r w:rsidRPr="00B900C1">
        <w:rPr>
          <w:color w:val="000000" w:themeColor="text1"/>
        </w:rPr>
        <w:fldChar w:fldCharType="end"/>
      </w:r>
    </w:p>
    <w:p w:rsidR="00BD7CEA" w:rsidRPr="00B900C1" w:rsidRDefault="00BD7CEA" w:rsidP="00B900C1">
      <w:pPr>
        <w:pStyle w:val="TOC3"/>
        <w:rPr>
          <w:rFonts w:asciiTheme="minorHAnsi" w:eastAsiaTheme="minorEastAsia" w:hAnsiTheme="minorHAnsi" w:cstheme="minorBidi"/>
          <w:color w:val="000000" w:themeColor="text1"/>
          <w:sz w:val="22"/>
          <w:szCs w:val="22"/>
        </w:rPr>
      </w:pPr>
      <w:r w:rsidRPr="00B900C1">
        <w:rPr>
          <w:caps/>
          <w:color w:val="000000" w:themeColor="text1"/>
          <w:vertAlign w:val="superscript"/>
        </w:rPr>
        <w:t>13</w:t>
      </w:r>
      <w:r w:rsidRPr="00B900C1">
        <w:rPr>
          <w:color w:val="000000" w:themeColor="text1"/>
        </w:rPr>
        <w:t xml:space="preserve"> Project 2013 Professional</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_Toc353376049 \h </w:instrText>
      </w:r>
      <w:r w:rsidRPr="00B900C1">
        <w:rPr>
          <w:color w:val="000000" w:themeColor="text1"/>
        </w:rPr>
      </w:r>
      <w:r w:rsidRPr="00B900C1">
        <w:rPr>
          <w:color w:val="000000" w:themeColor="text1"/>
        </w:rPr>
        <w:fldChar w:fldCharType="separate"/>
      </w:r>
      <w:r w:rsidR="007B74B7">
        <w:rPr>
          <w:color w:val="000000" w:themeColor="text1"/>
        </w:rPr>
        <w:t>109</w:t>
      </w:r>
      <w:r w:rsidRPr="00B900C1">
        <w:rPr>
          <w:color w:val="000000" w:themeColor="text1"/>
        </w:rPr>
        <w:fldChar w:fldCharType="end"/>
      </w:r>
    </w:p>
    <w:p w:rsidR="00BD7CEA" w:rsidRPr="00B900C1" w:rsidRDefault="00BD7CEA" w:rsidP="00B900C1">
      <w:pPr>
        <w:pStyle w:val="TOC3"/>
        <w:rPr>
          <w:rFonts w:asciiTheme="minorHAnsi" w:eastAsiaTheme="minorEastAsia" w:hAnsiTheme="minorHAnsi" w:cstheme="minorBidi"/>
          <w:color w:val="000000" w:themeColor="text1"/>
          <w:sz w:val="22"/>
          <w:szCs w:val="22"/>
        </w:rPr>
      </w:pPr>
      <w:r w:rsidRPr="00B900C1">
        <w:rPr>
          <w:caps/>
          <w:color w:val="000000" w:themeColor="text1"/>
          <w:vertAlign w:val="superscript"/>
        </w:rPr>
        <w:t xml:space="preserve">14 </w:t>
      </w:r>
      <w:r w:rsidRPr="00B900C1">
        <w:rPr>
          <w:color w:val="000000" w:themeColor="text1"/>
        </w:rPr>
        <w:t>Project Pro per Office 365</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_Toc353376050 \h </w:instrText>
      </w:r>
      <w:r w:rsidRPr="00B900C1">
        <w:rPr>
          <w:color w:val="000000" w:themeColor="text1"/>
        </w:rPr>
      </w:r>
      <w:r w:rsidRPr="00B900C1">
        <w:rPr>
          <w:color w:val="000000" w:themeColor="text1"/>
        </w:rPr>
        <w:fldChar w:fldCharType="separate"/>
      </w:r>
      <w:r w:rsidR="007B74B7">
        <w:rPr>
          <w:color w:val="000000" w:themeColor="text1"/>
        </w:rPr>
        <w:t>109</w:t>
      </w:r>
      <w:r w:rsidRPr="00B900C1">
        <w:rPr>
          <w:color w:val="000000" w:themeColor="text1"/>
        </w:rPr>
        <w:fldChar w:fldCharType="end"/>
      </w:r>
    </w:p>
    <w:p w:rsidR="00BD7CEA" w:rsidRPr="007B74B7" w:rsidRDefault="00BD7CEA" w:rsidP="00B900C1">
      <w:pPr>
        <w:pStyle w:val="TOC3"/>
        <w:rPr>
          <w:rFonts w:asciiTheme="minorHAnsi" w:eastAsiaTheme="minorEastAsia" w:hAnsiTheme="minorHAnsi" w:cstheme="minorBidi"/>
          <w:color w:val="000000" w:themeColor="text1"/>
          <w:sz w:val="22"/>
          <w:szCs w:val="22"/>
          <w:lang w:val="it-IT"/>
        </w:rPr>
      </w:pPr>
      <w:r w:rsidRPr="007B74B7">
        <w:rPr>
          <w:caps/>
          <w:color w:val="000000" w:themeColor="text1"/>
          <w:vertAlign w:val="superscript"/>
          <w:lang w:val="it-IT"/>
        </w:rPr>
        <w:t>15</w:t>
      </w:r>
      <w:r w:rsidRPr="007B74B7">
        <w:rPr>
          <w:color w:val="000000" w:themeColor="text1"/>
          <w:lang w:val="it-IT"/>
        </w:rPr>
        <w:t xml:space="preserve"> Diritti di Noleggio per Office</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_Toc353376051 \h </w:instrText>
      </w:r>
      <w:r w:rsidRPr="00B900C1">
        <w:rPr>
          <w:color w:val="000000" w:themeColor="text1"/>
        </w:rPr>
      </w:r>
      <w:r w:rsidRPr="00B900C1">
        <w:rPr>
          <w:color w:val="000000" w:themeColor="text1"/>
        </w:rPr>
        <w:fldChar w:fldCharType="separate"/>
      </w:r>
      <w:r w:rsidR="007B74B7" w:rsidRPr="007B74B7">
        <w:rPr>
          <w:color w:val="000000" w:themeColor="text1"/>
          <w:lang w:val="it-IT"/>
        </w:rPr>
        <w:t>110</w:t>
      </w:r>
      <w:r w:rsidRPr="00B900C1">
        <w:rPr>
          <w:color w:val="000000" w:themeColor="text1"/>
        </w:rPr>
        <w:fldChar w:fldCharType="end"/>
      </w:r>
    </w:p>
    <w:p w:rsidR="00BD7CEA" w:rsidRPr="007B74B7" w:rsidRDefault="00BD7CEA" w:rsidP="00B900C1">
      <w:pPr>
        <w:pStyle w:val="TOC3"/>
        <w:rPr>
          <w:rFonts w:asciiTheme="minorHAnsi" w:eastAsiaTheme="minorEastAsia" w:hAnsiTheme="minorHAnsi" w:cstheme="minorBidi"/>
          <w:color w:val="000000" w:themeColor="text1"/>
          <w:sz w:val="22"/>
          <w:szCs w:val="22"/>
          <w:lang w:val="it-IT"/>
        </w:rPr>
      </w:pPr>
      <w:r w:rsidRPr="007B74B7">
        <w:rPr>
          <w:caps/>
          <w:color w:val="000000" w:themeColor="text1"/>
          <w:vertAlign w:val="superscript"/>
          <w:lang w:val="it-IT"/>
        </w:rPr>
        <w:t xml:space="preserve">16 </w:t>
      </w:r>
      <w:r w:rsidRPr="007B74B7">
        <w:rPr>
          <w:color w:val="000000" w:themeColor="text1"/>
          <w:lang w:val="it-IT"/>
        </w:rPr>
        <w:t>Vexcel Desktop con Enhanced Content Pack</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_Toc353376052 \h </w:instrText>
      </w:r>
      <w:r w:rsidRPr="00B900C1">
        <w:rPr>
          <w:color w:val="000000" w:themeColor="text1"/>
        </w:rPr>
      </w:r>
      <w:r w:rsidRPr="00B900C1">
        <w:rPr>
          <w:color w:val="000000" w:themeColor="text1"/>
        </w:rPr>
        <w:fldChar w:fldCharType="separate"/>
      </w:r>
      <w:r w:rsidR="007B74B7" w:rsidRPr="007B74B7">
        <w:rPr>
          <w:color w:val="000000" w:themeColor="text1"/>
          <w:lang w:val="it-IT"/>
        </w:rPr>
        <w:t>110</w:t>
      </w:r>
      <w:r w:rsidRPr="00B900C1">
        <w:rPr>
          <w:color w:val="000000" w:themeColor="text1"/>
        </w:rPr>
        <w:fldChar w:fldCharType="end"/>
      </w:r>
    </w:p>
    <w:p w:rsidR="00BD7CEA" w:rsidRPr="007B74B7" w:rsidRDefault="00BD7CEA" w:rsidP="00B900C1">
      <w:pPr>
        <w:pStyle w:val="TOC3"/>
        <w:rPr>
          <w:rFonts w:asciiTheme="minorHAnsi" w:eastAsiaTheme="minorEastAsia" w:hAnsiTheme="minorHAnsi" w:cstheme="minorBidi"/>
          <w:color w:val="000000" w:themeColor="text1"/>
          <w:sz w:val="22"/>
          <w:szCs w:val="22"/>
          <w:lang w:val="it-IT"/>
        </w:rPr>
      </w:pPr>
      <w:r w:rsidRPr="007B74B7">
        <w:rPr>
          <w:caps/>
          <w:color w:val="000000" w:themeColor="text1"/>
          <w:vertAlign w:val="superscript"/>
          <w:lang w:val="it-IT"/>
        </w:rPr>
        <w:t>17</w:t>
      </w:r>
      <w:r w:rsidRPr="007B74B7">
        <w:rPr>
          <w:color w:val="000000" w:themeColor="text1"/>
          <w:lang w:val="it-IT"/>
        </w:rPr>
        <w:t xml:space="preserve"> Visio Professional 2013</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_Toc353376053 \h </w:instrText>
      </w:r>
      <w:r w:rsidRPr="00B900C1">
        <w:rPr>
          <w:color w:val="000000" w:themeColor="text1"/>
        </w:rPr>
      </w:r>
      <w:r w:rsidRPr="00B900C1">
        <w:rPr>
          <w:color w:val="000000" w:themeColor="text1"/>
        </w:rPr>
        <w:fldChar w:fldCharType="separate"/>
      </w:r>
      <w:r w:rsidR="007B74B7" w:rsidRPr="007B74B7">
        <w:rPr>
          <w:color w:val="000000" w:themeColor="text1"/>
          <w:lang w:val="it-IT"/>
        </w:rPr>
        <w:t>111</w:t>
      </w:r>
      <w:r w:rsidRPr="00B900C1">
        <w:rPr>
          <w:color w:val="000000" w:themeColor="text1"/>
        </w:rPr>
        <w:fldChar w:fldCharType="end"/>
      </w:r>
    </w:p>
    <w:p w:rsidR="00BD7CEA" w:rsidRPr="007B74B7" w:rsidRDefault="00BD7CEA" w:rsidP="00B900C1">
      <w:pPr>
        <w:pStyle w:val="TOC3"/>
        <w:rPr>
          <w:rFonts w:asciiTheme="minorHAnsi" w:eastAsiaTheme="minorEastAsia" w:hAnsiTheme="minorHAnsi" w:cstheme="minorBidi"/>
          <w:color w:val="000000" w:themeColor="text1"/>
          <w:sz w:val="22"/>
          <w:szCs w:val="22"/>
          <w:lang w:val="it-IT"/>
        </w:rPr>
      </w:pPr>
      <w:r w:rsidRPr="007B74B7">
        <w:rPr>
          <w:caps/>
          <w:color w:val="000000" w:themeColor="text1"/>
          <w:vertAlign w:val="superscript"/>
          <w:lang w:val="it-IT"/>
        </w:rPr>
        <w:t>18</w:t>
      </w:r>
      <w:r w:rsidRPr="007B74B7">
        <w:rPr>
          <w:color w:val="000000" w:themeColor="text1"/>
          <w:lang w:val="it-IT"/>
        </w:rPr>
        <w:t xml:space="preserve"> Visio Pro per Office 365</w:t>
      </w:r>
      <w:r w:rsidRPr="007B74B7">
        <w:rPr>
          <w:color w:val="000000" w:themeColor="text1"/>
          <w:lang w:val="it-IT"/>
        </w:rPr>
        <w:tab/>
      </w:r>
      <w:r w:rsidRPr="00B900C1">
        <w:rPr>
          <w:color w:val="000000" w:themeColor="text1"/>
        </w:rPr>
        <w:fldChar w:fldCharType="begin"/>
      </w:r>
      <w:r w:rsidRPr="007B74B7">
        <w:rPr>
          <w:color w:val="000000" w:themeColor="text1"/>
          <w:lang w:val="it-IT"/>
        </w:rPr>
        <w:instrText xml:space="preserve"> PAGEREF _Toc353376054 \h </w:instrText>
      </w:r>
      <w:r w:rsidRPr="00B900C1">
        <w:rPr>
          <w:color w:val="000000" w:themeColor="text1"/>
        </w:rPr>
      </w:r>
      <w:r w:rsidRPr="00B900C1">
        <w:rPr>
          <w:color w:val="000000" w:themeColor="text1"/>
        </w:rPr>
        <w:fldChar w:fldCharType="separate"/>
      </w:r>
      <w:r w:rsidR="007B74B7" w:rsidRPr="007B74B7">
        <w:rPr>
          <w:color w:val="000000" w:themeColor="text1"/>
          <w:lang w:val="it-IT"/>
        </w:rPr>
        <w:t>111</w:t>
      </w:r>
      <w:r w:rsidRPr="00B900C1">
        <w:rPr>
          <w:color w:val="000000" w:themeColor="text1"/>
        </w:rPr>
        <w:fldChar w:fldCharType="end"/>
      </w:r>
    </w:p>
    <w:p w:rsidR="00BD7CEA" w:rsidRPr="005E60AB" w:rsidRDefault="00BD7CEA" w:rsidP="00B900C1">
      <w:pPr>
        <w:pStyle w:val="TOC3"/>
        <w:rPr>
          <w:rFonts w:asciiTheme="minorHAnsi" w:eastAsiaTheme="minorEastAsia" w:hAnsiTheme="minorHAnsi" w:cstheme="minorBidi"/>
          <w:color w:val="000000" w:themeColor="text1"/>
          <w:sz w:val="22"/>
          <w:szCs w:val="22"/>
          <w:lang w:val="it-IT"/>
        </w:rPr>
      </w:pPr>
      <w:r w:rsidRPr="005E60AB">
        <w:rPr>
          <w:caps/>
          <w:color w:val="000000" w:themeColor="text1"/>
          <w:vertAlign w:val="superscript"/>
          <w:lang w:val="it-IT"/>
        </w:rPr>
        <w:t>19</w:t>
      </w:r>
      <w:r w:rsidRPr="005E60AB">
        <w:rPr>
          <w:color w:val="000000" w:themeColor="text1"/>
          <w:lang w:val="it-IT"/>
        </w:rPr>
        <w:t xml:space="preserve"> Visual Studio Professional 2012</w:t>
      </w:r>
      <w:r w:rsidRPr="005E60AB">
        <w:rPr>
          <w:color w:val="000000" w:themeColor="text1"/>
          <w:lang w:val="it-IT"/>
        </w:rPr>
        <w:tab/>
      </w:r>
      <w:r w:rsidRPr="00B900C1">
        <w:rPr>
          <w:color w:val="000000" w:themeColor="text1"/>
        </w:rPr>
        <w:fldChar w:fldCharType="begin"/>
      </w:r>
      <w:r w:rsidRPr="005E60AB">
        <w:rPr>
          <w:color w:val="000000" w:themeColor="text1"/>
          <w:lang w:val="it-IT"/>
        </w:rPr>
        <w:instrText xml:space="preserve"> PAGEREF _Toc353376055 \h </w:instrText>
      </w:r>
      <w:r w:rsidRPr="00B900C1">
        <w:rPr>
          <w:color w:val="000000" w:themeColor="text1"/>
        </w:rPr>
      </w:r>
      <w:r w:rsidRPr="00B900C1">
        <w:rPr>
          <w:color w:val="000000" w:themeColor="text1"/>
        </w:rPr>
        <w:fldChar w:fldCharType="separate"/>
      </w:r>
      <w:r w:rsidR="007B74B7" w:rsidRPr="005E60AB">
        <w:rPr>
          <w:color w:val="000000" w:themeColor="text1"/>
          <w:lang w:val="it-IT"/>
        </w:rPr>
        <w:t>111</w:t>
      </w:r>
      <w:r w:rsidRPr="00B900C1">
        <w:rPr>
          <w:color w:val="000000" w:themeColor="text1"/>
        </w:rPr>
        <w:fldChar w:fldCharType="end"/>
      </w:r>
    </w:p>
    <w:p w:rsidR="00BD7CEA" w:rsidRPr="005E60AB" w:rsidRDefault="00BD7CEA" w:rsidP="00B900C1">
      <w:pPr>
        <w:pStyle w:val="TOC3"/>
        <w:rPr>
          <w:rFonts w:asciiTheme="minorHAnsi" w:eastAsiaTheme="minorEastAsia" w:hAnsiTheme="minorHAnsi" w:cstheme="minorBidi"/>
          <w:color w:val="000000" w:themeColor="text1"/>
          <w:sz w:val="22"/>
          <w:szCs w:val="22"/>
          <w:lang w:val="it-IT"/>
        </w:rPr>
      </w:pPr>
      <w:r w:rsidRPr="005E60AB">
        <w:rPr>
          <w:caps/>
          <w:color w:val="000000" w:themeColor="text1"/>
          <w:vertAlign w:val="superscript"/>
          <w:lang w:val="it-IT"/>
        </w:rPr>
        <w:t>20</w:t>
      </w:r>
      <w:r w:rsidRPr="005E60AB">
        <w:rPr>
          <w:color w:val="000000" w:themeColor="text1"/>
          <w:lang w:val="it-IT"/>
        </w:rPr>
        <w:t xml:space="preserve"> Visual Studio Professional 2012 con MSDN</w:t>
      </w:r>
      <w:r w:rsidRPr="005E60AB">
        <w:rPr>
          <w:color w:val="000000" w:themeColor="text1"/>
          <w:lang w:val="it-IT"/>
        </w:rPr>
        <w:tab/>
      </w:r>
      <w:r w:rsidRPr="00B900C1">
        <w:rPr>
          <w:color w:val="000000" w:themeColor="text1"/>
        </w:rPr>
        <w:fldChar w:fldCharType="begin"/>
      </w:r>
      <w:r w:rsidRPr="005E60AB">
        <w:rPr>
          <w:color w:val="000000" w:themeColor="text1"/>
          <w:lang w:val="it-IT"/>
        </w:rPr>
        <w:instrText xml:space="preserve"> PAGEREF _Toc353376056 \h </w:instrText>
      </w:r>
      <w:r w:rsidRPr="00B900C1">
        <w:rPr>
          <w:color w:val="000000" w:themeColor="text1"/>
        </w:rPr>
      </w:r>
      <w:r w:rsidRPr="00B900C1">
        <w:rPr>
          <w:color w:val="000000" w:themeColor="text1"/>
        </w:rPr>
        <w:fldChar w:fldCharType="separate"/>
      </w:r>
      <w:r w:rsidR="007B74B7" w:rsidRPr="005E60AB">
        <w:rPr>
          <w:color w:val="000000" w:themeColor="text1"/>
          <w:lang w:val="it-IT"/>
        </w:rPr>
        <w:t>112</w:t>
      </w:r>
      <w:r w:rsidRPr="00B900C1">
        <w:rPr>
          <w:color w:val="000000" w:themeColor="text1"/>
        </w:rPr>
        <w:fldChar w:fldCharType="end"/>
      </w:r>
    </w:p>
    <w:p w:rsidR="00BD7CEA" w:rsidRPr="005E60AB" w:rsidRDefault="00BD7CEA" w:rsidP="00B900C1">
      <w:pPr>
        <w:pStyle w:val="TOC3"/>
        <w:rPr>
          <w:rFonts w:asciiTheme="minorHAnsi" w:eastAsiaTheme="minorEastAsia" w:hAnsiTheme="minorHAnsi" w:cstheme="minorBidi"/>
          <w:color w:val="000000" w:themeColor="text1"/>
          <w:sz w:val="22"/>
          <w:szCs w:val="22"/>
          <w:lang w:val="it-IT"/>
        </w:rPr>
      </w:pPr>
      <w:r w:rsidRPr="005E60AB">
        <w:rPr>
          <w:caps/>
          <w:color w:val="000000" w:themeColor="text1"/>
          <w:vertAlign w:val="superscript"/>
          <w:lang w:val="it-IT"/>
        </w:rPr>
        <w:t>21</w:t>
      </w:r>
      <w:r w:rsidRPr="005E60AB">
        <w:rPr>
          <w:color w:val="000000" w:themeColor="text1"/>
          <w:lang w:val="it-IT"/>
        </w:rPr>
        <w:t xml:space="preserve"> Visual Studio Premium 2012 con MSDN</w:t>
      </w:r>
      <w:r w:rsidRPr="005E60AB">
        <w:rPr>
          <w:color w:val="000000" w:themeColor="text1"/>
          <w:lang w:val="it-IT"/>
        </w:rPr>
        <w:tab/>
      </w:r>
      <w:r w:rsidRPr="00B900C1">
        <w:rPr>
          <w:color w:val="000000" w:themeColor="text1"/>
        </w:rPr>
        <w:fldChar w:fldCharType="begin"/>
      </w:r>
      <w:r w:rsidRPr="005E60AB">
        <w:rPr>
          <w:color w:val="000000" w:themeColor="text1"/>
          <w:lang w:val="it-IT"/>
        </w:rPr>
        <w:instrText xml:space="preserve"> PAGEREF _Toc353376057 \h </w:instrText>
      </w:r>
      <w:r w:rsidRPr="00B900C1">
        <w:rPr>
          <w:color w:val="000000" w:themeColor="text1"/>
        </w:rPr>
      </w:r>
      <w:r w:rsidRPr="00B900C1">
        <w:rPr>
          <w:color w:val="000000" w:themeColor="text1"/>
        </w:rPr>
        <w:fldChar w:fldCharType="separate"/>
      </w:r>
      <w:r w:rsidR="007B74B7" w:rsidRPr="005E60AB">
        <w:rPr>
          <w:color w:val="000000" w:themeColor="text1"/>
          <w:lang w:val="it-IT"/>
        </w:rPr>
        <w:t>113</w:t>
      </w:r>
      <w:r w:rsidRPr="00B900C1">
        <w:rPr>
          <w:color w:val="000000" w:themeColor="text1"/>
        </w:rPr>
        <w:fldChar w:fldCharType="end"/>
      </w:r>
    </w:p>
    <w:p w:rsidR="00BD7CEA" w:rsidRPr="005E60AB" w:rsidRDefault="00BD7CEA" w:rsidP="00B900C1">
      <w:pPr>
        <w:pStyle w:val="TOC3"/>
        <w:rPr>
          <w:rFonts w:asciiTheme="minorHAnsi" w:eastAsiaTheme="minorEastAsia" w:hAnsiTheme="minorHAnsi" w:cstheme="minorBidi"/>
          <w:color w:val="000000" w:themeColor="text1"/>
          <w:sz w:val="22"/>
          <w:szCs w:val="22"/>
          <w:lang w:val="it-IT"/>
        </w:rPr>
      </w:pPr>
      <w:r w:rsidRPr="005E60AB">
        <w:rPr>
          <w:caps/>
          <w:color w:val="000000" w:themeColor="text1"/>
          <w:vertAlign w:val="superscript"/>
          <w:lang w:val="it-IT"/>
        </w:rPr>
        <w:t>22</w:t>
      </w:r>
      <w:r w:rsidRPr="005E60AB">
        <w:rPr>
          <w:color w:val="000000" w:themeColor="text1"/>
          <w:lang w:val="it-IT"/>
        </w:rPr>
        <w:t xml:space="preserve"> Visual Studio Ultimate 2012 con MSDN</w:t>
      </w:r>
      <w:r w:rsidRPr="005E60AB">
        <w:rPr>
          <w:color w:val="000000" w:themeColor="text1"/>
          <w:lang w:val="it-IT"/>
        </w:rPr>
        <w:tab/>
      </w:r>
      <w:r w:rsidRPr="00B900C1">
        <w:rPr>
          <w:color w:val="000000" w:themeColor="text1"/>
        </w:rPr>
        <w:fldChar w:fldCharType="begin"/>
      </w:r>
      <w:r w:rsidRPr="005E60AB">
        <w:rPr>
          <w:color w:val="000000" w:themeColor="text1"/>
          <w:lang w:val="it-IT"/>
        </w:rPr>
        <w:instrText xml:space="preserve"> PAGEREF _Toc353376058 \h </w:instrText>
      </w:r>
      <w:r w:rsidRPr="00B900C1">
        <w:rPr>
          <w:color w:val="000000" w:themeColor="text1"/>
        </w:rPr>
      </w:r>
      <w:r w:rsidRPr="00B900C1">
        <w:rPr>
          <w:color w:val="000000" w:themeColor="text1"/>
        </w:rPr>
        <w:fldChar w:fldCharType="separate"/>
      </w:r>
      <w:r w:rsidR="007B74B7" w:rsidRPr="005E60AB">
        <w:rPr>
          <w:color w:val="000000" w:themeColor="text1"/>
          <w:lang w:val="it-IT"/>
        </w:rPr>
        <w:t>114</w:t>
      </w:r>
      <w:r w:rsidRPr="00B900C1">
        <w:rPr>
          <w:color w:val="000000" w:themeColor="text1"/>
        </w:rPr>
        <w:fldChar w:fldCharType="end"/>
      </w:r>
    </w:p>
    <w:p w:rsidR="00BD7CEA" w:rsidRPr="005E60AB" w:rsidRDefault="00BD7CEA" w:rsidP="00B900C1">
      <w:pPr>
        <w:pStyle w:val="TOC3"/>
        <w:rPr>
          <w:rFonts w:asciiTheme="minorHAnsi" w:eastAsiaTheme="minorEastAsia" w:hAnsiTheme="minorHAnsi" w:cstheme="minorBidi"/>
          <w:color w:val="000000" w:themeColor="text1"/>
          <w:sz w:val="22"/>
          <w:szCs w:val="22"/>
          <w:lang w:val="it-IT"/>
        </w:rPr>
      </w:pPr>
      <w:r w:rsidRPr="005E60AB">
        <w:rPr>
          <w:caps/>
          <w:color w:val="000000" w:themeColor="text1"/>
          <w:vertAlign w:val="superscript"/>
          <w:lang w:val="it-IT"/>
        </w:rPr>
        <w:t>23</w:t>
      </w:r>
      <w:r w:rsidRPr="005E60AB">
        <w:rPr>
          <w:color w:val="000000" w:themeColor="text1"/>
          <w:lang w:val="it-IT"/>
        </w:rPr>
        <w:t xml:space="preserve"> Visual Studio Test Professional 2012 con MSDN</w:t>
      </w:r>
      <w:r w:rsidRPr="005E60AB">
        <w:rPr>
          <w:color w:val="000000" w:themeColor="text1"/>
          <w:lang w:val="it-IT"/>
        </w:rPr>
        <w:tab/>
      </w:r>
      <w:r w:rsidRPr="00B900C1">
        <w:rPr>
          <w:color w:val="000000" w:themeColor="text1"/>
        </w:rPr>
        <w:fldChar w:fldCharType="begin"/>
      </w:r>
      <w:r w:rsidRPr="005E60AB">
        <w:rPr>
          <w:color w:val="000000" w:themeColor="text1"/>
          <w:lang w:val="it-IT"/>
        </w:rPr>
        <w:instrText xml:space="preserve"> PAGEREF _Toc353376059 \h </w:instrText>
      </w:r>
      <w:r w:rsidRPr="00B900C1">
        <w:rPr>
          <w:color w:val="000000" w:themeColor="text1"/>
        </w:rPr>
      </w:r>
      <w:r w:rsidRPr="00B900C1">
        <w:rPr>
          <w:color w:val="000000" w:themeColor="text1"/>
        </w:rPr>
        <w:fldChar w:fldCharType="separate"/>
      </w:r>
      <w:r w:rsidR="007B74B7" w:rsidRPr="005E60AB">
        <w:rPr>
          <w:color w:val="000000" w:themeColor="text1"/>
          <w:lang w:val="it-IT"/>
        </w:rPr>
        <w:t>114</w:t>
      </w:r>
      <w:r w:rsidRPr="00B900C1">
        <w:rPr>
          <w:color w:val="000000" w:themeColor="text1"/>
        </w:rPr>
        <w:fldChar w:fldCharType="end"/>
      </w:r>
    </w:p>
    <w:p w:rsidR="00095F5D" w:rsidRPr="005E60AB" w:rsidRDefault="00095F5D">
      <w:pPr>
        <w:pStyle w:val="TOC2"/>
        <w:rPr>
          <w:rFonts w:cs="Tahoma"/>
          <w:color w:val="000000" w:themeColor="text1"/>
          <w:lang w:val="it-IT"/>
        </w:rPr>
      </w:pPr>
    </w:p>
    <w:p w:rsidR="00095F5D" w:rsidRPr="005E60AB" w:rsidRDefault="00095F5D">
      <w:pPr>
        <w:pStyle w:val="TOC2"/>
        <w:rPr>
          <w:rFonts w:cs="Tahoma"/>
          <w:color w:val="000000" w:themeColor="text1"/>
          <w:lang w:val="it-IT"/>
        </w:rPr>
      </w:pPr>
    </w:p>
    <w:p w:rsidR="00BD7CEA" w:rsidRPr="005E60AB" w:rsidRDefault="00BD7CEA">
      <w:pPr>
        <w:pStyle w:val="TOC2"/>
        <w:rPr>
          <w:rFonts w:asciiTheme="minorHAnsi" w:eastAsiaTheme="minorEastAsia" w:hAnsiTheme="minorHAnsi" w:cstheme="minorBidi"/>
          <w:color w:val="000000" w:themeColor="text1"/>
          <w:sz w:val="22"/>
          <w:szCs w:val="22"/>
          <w:lang w:val="it-IT"/>
        </w:rPr>
      </w:pPr>
      <w:r w:rsidRPr="005E60AB">
        <w:rPr>
          <w:rFonts w:cs="Tahoma"/>
          <w:color w:val="000000" w:themeColor="text1"/>
          <w:lang w:val="it-IT"/>
        </w:rPr>
        <w:lastRenderedPageBreak/>
        <w:t>Pool di Sistemi</w:t>
      </w:r>
      <w:r w:rsidRPr="005E60AB">
        <w:rPr>
          <w:color w:val="000000" w:themeColor="text1"/>
          <w:lang w:val="it-IT"/>
        </w:rPr>
        <w:tab/>
      </w:r>
      <w:r w:rsidRPr="00B900C1">
        <w:rPr>
          <w:color w:val="000000" w:themeColor="text1"/>
        </w:rPr>
        <w:fldChar w:fldCharType="begin"/>
      </w:r>
      <w:r w:rsidRPr="005E60AB">
        <w:rPr>
          <w:color w:val="000000" w:themeColor="text1"/>
          <w:lang w:val="it-IT"/>
        </w:rPr>
        <w:instrText xml:space="preserve"> PAGEREF _Toc353376060 \h </w:instrText>
      </w:r>
      <w:r w:rsidRPr="00B900C1">
        <w:rPr>
          <w:color w:val="000000" w:themeColor="text1"/>
        </w:rPr>
      </w:r>
      <w:r w:rsidRPr="00B900C1">
        <w:rPr>
          <w:color w:val="000000" w:themeColor="text1"/>
        </w:rPr>
        <w:fldChar w:fldCharType="separate"/>
      </w:r>
      <w:r w:rsidR="007B74B7" w:rsidRPr="005E60AB">
        <w:rPr>
          <w:color w:val="000000" w:themeColor="text1"/>
          <w:lang w:val="it-IT"/>
        </w:rPr>
        <w:t>116</w:t>
      </w:r>
      <w:r w:rsidRPr="00B900C1">
        <w:rPr>
          <w:color w:val="000000" w:themeColor="text1"/>
        </w:rPr>
        <w:fldChar w:fldCharType="end"/>
      </w:r>
    </w:p>
    <w:p w:rsidR="00BD7CEA" w:rsidRPr="005E60AB" w:rsidRDefault="00BD7CEA" w:rsidP="00B900C1">
      <w:pPr>
        <w:pStyle w:val="TOC3"/>
        <w:rPr>
          <w:rFonts w:asciiTheme="minorHAnsi" w:eastAsiaTheme="minorEastAsia" w:hAnsiTheme="minorHAnsi" w:cstheme="minorBidi"/>
          <w:color w:val="000000" w:themeColor="text1"/>
          <w:sz w:val="22"/>
          <w:szCs w:val="22"/>
          <w:lang w:val="it-IT"/>
        </w:rPr>
      </w:pPr>
      <w:r w:rsidRPr="005E60AB">
        <w:rPr>
          <w:caps/>
          <w:color w:val="000000" w:themeColor="text1"/>
          <w:vertAlign w:val="superscript"/>
          <w:lang w:val="it-IT"/>
        </w:rPr>
        <w:t>24</w:t>
      </w:r>
      <w:r w:rsidRPr="005E60AB">
        <w:rPr>
          <w:color w:val="000000" w:themeColor="text1"/>
          <w:lang w:val="it-IT"/>
        </w:rPr>
        <w:t xml:space="preserve"> Microsoft Desktop Optimization Pack per Software Assurance</w:t>
      </w:r>
      <w:r w:rsidRPr="005E60AB">
        <w:rPr>
          <w:color w:val="000000" w:themeColor="text1"/>
          <w:lang w:val="it-IT"/>
        </w:rPr>
        <w:tab/>
      </w:r>
      <w:r w:rsidRPr="00B900C1">
        <w:rPr>
          <w:color w:val="000000" w:themeColor="text1"/>
        </w:rPr>
        <w:fldChar w:fldCharType="begin"/>
      </w:r>
      <w:r w:rsidRPr="005E60AB">
        <w:rPr>
          <w:color w:val="000000" w:themeColor="text1"/>
          <w:lang w:val="it-IT"/>
        </w:rPr>
        <w:instrText xml:space="preserve"> PAGEREF _Toc353376061 \h </w:instrText>
      </w:r>
      <w:r w:rsidRPr="00B900C1">
        <w:rPr>
          <w:color w:val="000000" w:themeColor="text1"/>
        </w:rPr>
      </w:r>
      <w:r w:rsidRPr="00B900C1">
        <w:rPr>
          <w:color w:val="000000" w:themeColor="text1"/>
        </w:rPr>
        <w:fldChar w:fldCharType="separate"/>
      </w:r>
      <w:r w:rsidR="007B74B7" w:rsidRPr="005E60AB">
        <w:rPr>
          <w:color w:val="000000" w:themeColor="text1"/>
          <w:lang w:val="it-IT"/>
        </w:rPr>
        <w:t>116</w:t>
      </w:r>
      <w:r w:rsidRPr="00B900C1">
        <w:rPr>
          <w:color w:val="000000" w:themeColor="text1"/>
        </w:rPr>
        <w:fldChar w:fldCharType="end"/>
      </w:r>
    </w:p>
    <w:p w:rsidR="00BD7CEA" w:rsidRPr="00B900C1" w:rsidRDefault="00BD7CEA" w:rsidP="00B900C1">
      <w:pPr>
        <w:pStyle w:val="TOC3"/>
        <w:rPr>
          <w:rFonts w:asciiTheme="minorHAnsi" w:eastAsiaTheme="minorEastAsia" w:hAnsiTheme="minorHAnsi" w:cstheme="minorBidi"/>
          <w:color w:val="000000" w:themeColor="text1"/>
          <w:sz w:val="22"/>
          <w:szCs w:val="22"/>
        </w:rPr>
      </w:pPr>
      <w:r w:rsidRPr="00B900C1">
        <w:rPr>
          <w:caps/>
          <w:color w:val="000000" w:themeColor="text1"/>
          <w:vertAlign w:val="superscript"/>
        </w:rPr>
        <w:t xml:space="preserve">25 </w:t>
      </w:r>
      <w:r w:rsidRPr="00B900C1">
        <w:rPr>
          <w:color w:val="000000" w:themeColor="text1"/>
        </w:rPr>
        <w:t>Licenza “Subscription” per Windows</w:t>
      </w:r>
      <w:r w:rsidRPr="00B900C1">
        <w:rPr>
          <w:color w:val="000000" w:themeColor="text1"/>
          <w:vertAlign w:val="superscript"/>
        </w:rPr>
        <w:t>®</w:t>
      </w:r>
      <w:r w:rsidRPr="00B900C1">
        <w:rPr>
          <w:color w:val="000000" w:themeColor="text1"/>
        </w:rPr>
        <w:t xml:space="preserve"> Companion</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_Toc353376062 \h </w:instrText>
      </w:r>
      <w:r w:rsidRPr="00B900C1">
        <w:rPr>
          <w:color w:val="000000" w:themeColor="text1"/>
        </w:rPr>
      </w:r>
      <w:r w:rsidRPr="00B900C1">
        <w:rPr>
          <w:color w:val="000000" w:themeColor="text1"/>
        </w:rPr>
        <w:fldChar w:fldCharType="separate"/>
      </w:r>
      <w:r w:rsidR="007B74B7">
        <w:rPr>
          <w:color w:val="000000" w:themeColor="text1"/>
        </w:rPr>
        <w:t>117</w:t>
      </w:r>
      <w:r w:rsidRPr="00B900C1">
        <w:rPr>
          <w:color w:val="000000" w:themeColor="text1"/>
        </w:rPr>
        <w:fldChar w:fldCharType="end"/>
      </w:r>
    </w:p>
    <w:p w:rsidR="00BD7CEA" w:rsidRPr="00B900C1" w:rsidRDefault="00BD7CEA" w:rsidP="00B900C1">
      <w:pPr>
        <w:pStyle w:val="TOC3"/>
        <w:rPr>
          <w:rFonts w:asciiTheme="minorHAnsi" w:eastAsiaTheme="minorEastAsia" w:hAnsiTheme="minorHAnsi" w:cstheme="minorBidi"/>
          <w:color w:val="000000" w:themeColor="text1"/>
          <w:sz w:val="22"/>
          <w:szCs w:val="22"/>
        </w:rPr>
      </w:pPr>
      <w:r w:rsidRPr="00B900C1">
        <w:rPr>
          <w:caps/>
          <w:color w:val="000000" w:themeColor="text1"/>
          <w:vertAlign w:val="superscript"/>
        </w:rPr>
        <w:t>26</w:t>
      </w:r>
      <w:r w:rsidRPr="00B900C1">
        <w:rPr>
          <w:rFonts w:eastAsia="Times New Roman"/>
          <w:color w:val="000000" w:themeColor="text1"/>
        </w:rPr>
        <w:t xml:space="preserve"> Windows Vista DVD Playback Pack</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_Toc353376063 \h </w:instrText>
      </w:r>
      <w:r w:rsidRPr="00B900C1">
        <w:rPr>
          <w:color w:val="000000" w:themeColor="text1"/>
        </w:rPr>
      </w:r>
      <w:r w:rsidRPr="00B900C1">
        <w:rPr>
          <w:color w:val="000000" w:themeColor="text1"/>
        </w:rPr>
        <w:fldChar w:fldCharType="separate"/>
      </w:r>
      <w:r w:rsidR="007B74B7">
        <w:rPr>
          <w:color w:val="000000" w:themeColor="text1"/>
        </w:rPr>
        <w:t>117</w:t>
      </w:r>
      <w:r w:rsidRPr="00B900C1">
        <w:rPr>
          <w:color w:val="000000" w:themeColor="text1"/>
        </w:rPr>
        <w:fldChar w:fldCharType="end"/>
      </w:r>
    </w:p>
    <w:p w:rsidR="00BD7CEA" w:rsidRPr="00B900C1" w:rsidRDefault="00BD7CEA" w:rsidP="00B900C1">
      <w:pPr>
        <w:pStyle w:val="TOC3"/>
        <w:rPr>
          <w:rFonts w:asciiTheme="minorHAnsi" w:eastAsiaTheme="minorEastAsia" w:hAnsiTheme="minorHAnsi" w:cstheme="minorBidi"/>
          <w:color w:val="000000" w:themeColor="text1"/>
          <w:sz w:val="22"/>
          <w:szCs w:val="22"/>
        </w:rPr>
      </w:pPr>
      <w:r w:rsidRPr="00B900C1">
        <w:rPr>
          <w:caps/>
          <w:color w:val="000000" w:themeColor="text1"/>
          <w:vertAlign w:val="superscript"/>
        </w:rPr>
        <w:t>27</w:t>
      </w:r>
      <w:r w:rsidRPr="00B900C1">
        <w:rPr>
          <w:color w:val="000000" w:themeColor="text1"/>
        </w:rPr>
        <w:t xml:space="preserve"> Windows</w:t>
      </w:r>
      <w:r w:rsidRPr="00B900C1">
        <w:rPr>
          <w:color w:val="000000" w:themeColor="text1"/>
          <w:vertAlign w:val="superscript"/>
        </w:rPr>
        <w:t>®</w:t>
      </w:r>
      <w:r w:rsidRPr="00B900C1">
        <w:rPr>
          <w:color w:val="000000" w:themeColor="text1"/>
        </w:rPr>
        <w:t xml:space="preserve"> 8 Enterprise Sideloading</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_Toc353376064 \h </w:instrText>
      </w:r>
      <w:r w:rsidRPr="00B900C1">
        <w:rPr>
          <w:color w:val="000000" w:themeColor="text1"/>
        </w:rPr>
      </w:r>
      <w:r w:rsidRPr="00B900C1">
        <w:rPr>
          <w:color w:val="000000" w:themeColor="text1"/>
        </w:rPr>
        <w:fldChar w:fldCharType="separate"/>
      </w:r>
      <w:r w:rsidR="007B74B7">
        <w:rPr>
          <w:color w:val="000000" w:themeColor="text1"/>
        </w:rPr>
        <w:t>117</w:t>
      </w:r>
      <w:r w:rsidRPr="00B900C1">
        <w:rPr>
          <w:color w:val="000000" w:themeColor="text1"/>
        </w:rPr>
        <w:fldChar w:fldCharType="end"/>
      </w:r>
    </w:p>
    <w:p w:rsidR="00BD7CEA" w:rsidRPr="00B900C1" w:rsidRDefault="00BD7CEA" w:rsidP="00B900C1">
      <w:pPr>
        <w:pStyle w:val="TOC3"/>
        <w:rPr>
          <w:rFonts w:asciiTheme="minorHAnsi" w:eastAsiaTheme="minorEastAsia" w:hAnsiTheme="minorHAnsi" w:cstheme="minorBidi"/>
          <w:color w:val="000000" w:themeColor="text1"/>
          <w:sz w:val="22"/>
          <w:szCs w:val="22"/>
        </w:rPr>
      </w:pPr>
      <w:r w:rsidRPr="00B900C1">
        <w:rPr>
          <w:caps/>
          <w:color w:val="000000" w:themeColor="text1"/>
          <w:vertAlign w:val="superscript"/>
        </w:rPr>
        <w:t>28</w:t>
      </w:r>
      <w:r w:rsidRPr="00B900C1">
        <w:rPr>
          <w:color w:val="000000" w:themeColor="text1"/>
        </w:rPr>
        <w:t xml:space="preserve"> Windows</w:t>
      </w:r>
      <w:r w:rsidRPr="00B900C1">
        <w:rPr>
          <w:color w:val="000000" w:themeColor="text1"/>
          <w:vertAlign w:val="superscript"/>
        </w:rPr>
        <w:t>®</w:t>
      </w:r>
      <w:r w:rsidRPr="00B900C1">
        <w:rPr>
          <w:color w:val="000000" w:themeColor="text1"/>
        </w:rPr>
        <w:t xml:space="preserve"> 7 Partners in Learning</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_Toc353376065 \h </w:instrText>
      </w:r>
      <w:r w:rsidRPr="00B900C1">
        <w:rPr>
          <w:color w:val="000000" w:themeColor="text1"/>
        </w:rPr>
      </w:r>
      <w:r w:rsidRPr="00B900C1">
        <w:rPr>
          <w:color w:val="000000" w:themeColor="text1"/>
        </w:rPr>
        <w:fldChar w:fldCharType="separate"/>
      </w:r>
      <w:r w:rsidR="007B74B7">
        <w:rPr>
          <w:color w:val="000000" w:themeColor="text1"/>
        </w:rPr>
        <w:t>118</w:t>
      </w:r>
      <w:r w:rsidRPr="00B900C1">
        <w:rPr>
          <w:color w:val="000000" w:themeColor="text1"/>
        </w:rPr>
        <w:fldChar w:fldCharType="end"/>
      </w:r>
    </w:p>
    <w:p w:rsidR="00BD7CEA" w:rsidRPr="005E60AB" w:rsidRDefault="00BD7CEA" w:rsidP="00B900C1">
      <w:pPr>
        <w:pStyle w:val="TOC3"/>
        <w:rPr>
          <w:rFonts w:asciiTheme="minorHAnsi" w:eastAsiaTheme="minorEastAsia" w:hAnsiTheme="minorHAnsi" w:cstheme="minorBidi"/>
          <w:color w:val="000000" w:themeColor="text1"/>
          <w:sz w:val="22"/>
          <w:szCs w:val="22"/>
          <w:lang w:val="it-IT"/>
        </w:rPr>
      </w:pPr>
      <w:r w:rsidRPr="005E60AB">
        <w:rPr>
          <w:caps/>
          <w:color w:val="000000" w:themeColor="text1"/>
          <w:vertAlign w:val="superscript"/>
          <w:lang w:val="it-IT"/>
        </w:rPr>
        <w:t>29</w:t>
      </w:r>
      <w:r w:rsidRPr="005E60AB">
        <w:rPr>
          <w:color w:val="000000" w:themeColor="text1"/>
          <w:lang w:val="it-IT"/>
        </w:rPr>
        <w:t xml:space="preserve"> Aggiornamento per Windows</w:t>
      </w:r>
      <w:r w:rsidRPr="005E60AB">
        <w:rPr>
          <w:color w:val="000000" w:themeColor="text1"/>
          <w:vertAlign w:val="superscript"/>
          <w:lang w:val="it-IT"/>
        </w:rPr>
        <w:t>®</w:t>
      </w:r>
      <w:r w:rsidRPr="005E60AB">
        <w:rPr>
          <w:color w:val="000000" w:themeColor="text1"/>
          <w:lang w:val="it-IT"/>
        </w:rPr>
        <w:t xml:space="preserve"> 8 Pro e Windows Intune (Per Dispositivo)</w:t>
      </w:r>
      <w:r w:rsidRPr="005E60AB">
        <w:rPr>
          <w:color w:val="000000" w:themeColor="text1"/>
          <w:lang w:val="it-IT"/>
        </w:rPr>
        <w:tab/>
      </w:r>
      <w:r w:rsidRPr="00B900C1">
        <w:rPr>
          <w:color w:val="000000" w:themeColor="text1"/>
        </w:rPr>
        <w:fldChar w:fldCharType="begin"/>
      </w:r>
      <w:r w:rsidRPr="005E60AB">
        <w:rPr>
          <w:color w:val="000000" w:themeColor="text1"/>
          <w:lang w:val="it-IT"/>
        </w:rPr>
        <w:instrText xml:space="preserve"> PAGEREF _Toc353376066 \h </w:instrText>
      </w:r>
      <w:r w:rsidRPr="00B900C1">
        <w:rPr>
          <w:color w:val="000000" w:themeColor="text1"/>
        </w:rPr>
      </w:r>
      <w:r w:rsidRPr="00B900C1">
        <w:rPr>
          <w:color w:val="000000" w:themeColor="text1"/>
        </w:rPr>
        <w:fldChar w:fldCharType="separate"/>
      </w:r>
      <w:r w:rsidR="007B74B7" w:rsidRPr="005E60AB">
        <w:rPr>
          <w:color w:val="000000" w:themeColor="text1"/>
          <w:lang w:val="it-IT"/>
        </w:rPr>
        <w:t>118</w:t>
      </w:r>
      <w:r w:rsidRPr="00B900C1">
        <w:rPr>
          <w:color w:val="000000" w:themeColor="text1"/>
        </w:rPr>
        <w:fldChar w:fldCharType="end"/>
      </w:r>
    </w:p>
    <w:p w:rsidR="00BD7CEA" w:rsidRPr="005E60AB" w:rsidRDefault="00BD7CEA">
      <w:pPr>
        <w:pStyle w:val="TOC2"/>
        <w:rPr>
          <w:rFonts w:asciiTheme="minorHAnsi" w:eastAsiaTheme="minorEastAsia" w:hAnsiTheme="minorHAnsi" w:cstheme="minorBidi"/>
          <w:color w:val="000000" w:themeColor="text1"/>
          <w:sz w:val="22"/>
          <w:szCs w:val="22"/>
          <w:lang w:val="it-IT"/>
        </w:rPr>
      </w:pPr>
      <w:r w:rsidRPr="005E60AB">
        <w:rPr>
          <w:rFonts w:cs="Tahoma"/>
          <w:caps/>
          <w:color w:val="000000" w:themeColor="text1"/>
          <w:vertAlign w:val="superscript"/>
          <w:lang w:val="it-IT"/>
        </w:rPr>
        <w:t xml:space="preserve">30 </w:t>
      </w:r>
      <w:r w:rsidRPr="005E60AB">
        <w:rPr>
          <w:rFonts w:cs="Tahoma"/>
          <w:color w:val="000000" w:themeColor="text1"/>
          <w:lang w:val="it-IT"/>
        </w:rPr>
        <w:t>Componente Aggiuntivo per Windows Intune (Per Dispositivo)</w:t>
      </w:r>
      <w:r w:rsidRPr="005E60AB">
        <w:rPr>
          <w:color w:val="000000" w:themeColor="text1"/>
          <w:lang w:val="it-IT"/>
        </w:rPr>
        <w:tab/>
      </w:r>
      <w:r w:rsidRPr="00B900C1">
        <w:rPr>
          <w:color w:val="000000" w:themeColor="text1"/>
        </w:rPr>
        <w:fldChar w:fldCharType="begin"/>
      </w:r>
      <w:r w:rsidRPr="005E60AB">
        <w:rPr>
          <w:color w:val="000000" w:themeColor="text1"/>
          <w:lang w:val="it-IT"/>
        </w:rPr>
        <w:instrText xml:space="preserve"> PAGEREF _Toc353376067 \h </w:instrText>
      </w:r>
      <w:r w:rsidRPr="00B900C1">
        <w:rPr>
          <w:color w:val="000000" w:themeColor="text1"/>
        </w:rPr>
      </w:r>
      <w:r w:rsidRPr="00B900C1">
        <w:rPr>
          <w:color w:val="000000" w:themeColor="text1"/>
        </w:rPr>
        <w:fldChar w:fldCharType="separate"/>
      </w:r>
      <w:r w:rsidR="007B74B7" w:rsidRPr="005E60AB">
        <w:rPr>
          <w:color w:val="000000" w:themeColor="text1"/>
          <w:lang w:val="it-IT"/>
        </w:rPr>
        <w:t>126</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rPr>
        <w:t>Pool di Server</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_Toc353376068 \h </w:instrText>
      </w:r>
      <w:r w:rsidRPr="00B900C1">
        <w:rPr>
          <w:color w:val="000000" w:themeColor="text1"/>
        </w:rPr>
      </w:r>
      <w:r w:rsidRPr="00B900C1">
        <w:rPr>
          <w:color w:val="000000" w:themeColor="text1"/>
        </w:rPr>
        <w:fldChar w:fldCharType="separate"/>
      </w:r>
      <w:r w:rsidR="007B74B7">
        <w:rPr>
          <w:color w:val="000000" w:themeColor="text1"/>
        </w:rPr>
        <w:t>127</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aps/>
          <w:color w:val="000000" w:themeColor="text1"/>
          <w:vertAlign w:val="superscript"/>
        </w:rPr>
        <w:t>31</w:t>
      </w:r>
      <w:r w:rsidRPr="00B900C1">
        <w:rPr>
          <w:rFonts w:cs="Tahoma"/>
          <w:color w:val="000000" w:themeColor="text1"/>
        </w:rPr>
        <w:t xml:space="preserve"> SL Add-On per Bing Maps Public Website Usage e Bing Maps Internal Website Usage</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_Toc353376069 \h </w:instrText>
      </w:r>
      <w:r w:rsidRPr="00B900C1">
        <w:rPr>
          <w:color w:val="000000" w:themeColor="text1"/>
        </w:rPr>
      </w:r>
      <w:r w:rsidRPr="00B900C1">
        <w:rPr>
          <w:color w:val="000000" w:themeColor="text1"/>
        </w:rPr>
        <w:fldChar w:fldCharType="separate"/>
      </w:r>
      <w:r w:rsidR="007B74B7">
        <w:rPr>
          <w:color w:val="000000" w:themeColor="text1"/>
        </w:rPr>
        <w:t>127</w:t>
      </w:r>
      <w:r w:rsidRPr="00B900C1">
        <w:rPr>
          <w:color w:val="000000" w:themeColor="text1"/>
        </w:rPr>
        <w:fldChar w:fldCharType="end"/>
      </w:r>
    </w:p>
    <w:p w:rsidR="00BD7CEA" w:rsidRPr="00B900C1" w:rsidRDefault="00BD7CEA" w:rsidP="00B900C1">
      <w:pPr>
        <w:pStyle w:val="TOC3"/>
        <w:rPr>
          <w:rFonts w:asciiTheme="minorHAnsi" w:eastAsiaTheme="minorEastAsia" w:hAnsiTheme="minorHAnsi" w:cstheme="minorBidi"/>
          <w:color w:val="000000" w:themeColor="text1"/>
          <w:sz w:val="22"/>
          <w:szCs w:val="22"/>
        </w:rPr>
      </w:pPr>
      <w:r w:rsidRPr="00B900C1">
        <w:rPr>
          <w:caps/>
          <w:color w:val="000000" w:themeColor="text1"/>
          <w:vertAlign w:val="superscript"/>
        </w:rPr>
        <w:t xml:space="preserve">32 </w:t>
      </w:r>
      <w:r w:rsidRPr="00B900C1">
        <w:rPr>
          <w:color w:val="000000" w:themeColor="text1"/>
        </w:rPr>
        <w:t>BizTalk Server</w:t>
      </w:r>
      <w:r w:rsidRPr="00B900C1">
        <w:rPr>
          <w:color w:val="000000" w:themeColor="text1"/>
          <w:vertAlign w:val="superscript"/>
        </w:rPr>
        <w:t>®</w:t>
      </w:r>
      <w:r w:rsidRPr="00B900C1">
        <w:rPr>
          <w:color w:val="000000" w:themeColor="text1"/>
        </w:rPr>
        <w:t xml:space="preserve"> 2013 Branch</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_Toc353376070 \h </w:instrText>
      </w:r>
      <w:r w:rsidRPr="00B900C1">
        <w:rPr>
          <w:color w:val="000000" w:themeColor="text1"/>
        </w:rPr>
      </w:r>
      <w:r w:rsidRPr="00B900C1">
        <w:rPr>
          <w:color w:val="000000" w:themeColor="text1"/>
        </w:rPr>
        <w:fldChar w:fldCharType="separate"/>
      </w:r>
      <w:r w:rsidR="007B74B7">
        <w:rPr>
          <w:color w:val="000000" w:themeColor="text1"/>
        </w:rPr>
        <w:t>129</w:t>
      </w:r>
      <w:r w:rsidRPr="00B900C1">
        <w:rPr>
          <w:color w:val="000000" w:themeColor="text1"/>
        </w:rPr>
        <w:fldChar w:fldCharType="end"/>
      </w:r>
    </w:p>
    <w:p w:rsidR="00BD7CEA" w:rsidRPr="00B900C1" w:rsidRDefault="00BD7CEA" w:rsidP="00B900C1">
      <w:pPr>
        <w:pStyle w:val="TOC3"/>
        <w:rPr>
          <w:rFonts w:asciiTheme="minorHAnsi" w:eastAsiaTheme="minorEastAsia" w:hAnsiTheme="minorHAnsi" w:cstheme="minorBidi"/>
          <w:color w:val="000000" w:themeColor="text1"/>
          <w:sz w:val="22"/>
          <w:szCs w:val="22"/>
        </w:rPr>
      </w:pPr>
      <w:r w:rsidRPr="00B900C1">
        <w:rPr>
          <w:caps/>
          <w:color w:val="000000" w:themeColor="text1"/>
          <w:vertAlign w:val="superscript"/>
        </w:rPr>
        <w:t xml:space="preserve">33 </w:t>
      </w:r>
      <w:r w:rsidRPr="00B900C1">
        <w:rPr>
          <w:color w:val="000000" w:themeColor="text1"/>
        </w:rPr>
        <w:t>BizTalk Server</w:t>
      </w:r>
      <w:r w:rsidRPr="00B900C1">
        <w:rPr>
          <w:color w:val="000000" w:themeColor="text1"/>
          <w:vertAlign w:val="superscript"/>
        </w:rPr>
        <w:t>®</w:t>
      </w:r>
      <w:r w:rsidRPr="00B900C1">
        <w:rPr>
          <w:color w:val="000000" w:themeColor="text1"/>
        </w:rPr>
        <w:t xml:space="preserve"> 2013 Enterprise</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_Toc353376071 \h </w:instrText>
      </w:r>
      <w:r w:rsidRPr="00B900C1">
        <w:rPr>
          <w:color w:val="000000" w:themeColor="text1"/>
        </w:rPr>
      </w:r>
      <w:r w:rsidRPr="00B900C1">
        <w:rPr>
          <w:color w:val="000000" w:themeColor="text1"/>
        </w:rPr>
        <w:fldChar w:fldCharType="separate"/>
      </w:r>
      <w:r w:rsidR="007B74B7">
        <w:rPr>
          <w:color w:val="000000" w:themeColor="text1"/>
        </w:rPr>
        <w:t>130</w:t>
      </w:r>
      <w:r w:rsidRPr="00B900C1">
        <w:rPr>
          <w:color w:val="000000" w:themeColor="text1"/>
        </w:rPr>
        <w:fldChar w:fldCharType="end"/>
      </w:r>
    </w:p>
    <w:p w:rsidR="00BD7CEA" w:rsidRPr="00B900C1" w:rsidRDefault="00BD7CEA" w:rsidP="00B900C1">
      <w:pPr>
        <w:pStyle w:val="TOC3"/>
        <w:rPr>
          <w:rFonts w:asciiTheme="minorHAnsi" w:eastAsiaTheme="minorEastAsia" w:hAnsiTheme="minorHAnsi" w:cstheme="minorBidi"/>
          <w:color w:val="000000" w:themeColor="text1"/>
          <w:sz w:val="22"/>
          <w:szCs w:val="22"/>
        </w:rPr>
      </w:pPr>
      <w:r w:rsidRPr="00B900C1">
        <w:rPr>
          <w:caps/>
          <w:color w:val="000000" w:themeColor="text1"/>
          <w:vertAlign w:val="superscript"/>
        </w:rPr>
        <w:t>34</w:t>
      </w:r>
      <w:r w:rsidRPr="00B900C1">
        <w:rPr>
          <w:color w:val="000000" w:themeColor="text1"/>
        </w:rPr>
        <w:t xml:space="preserve"> BizTalk Server</w:t>
      </w:r>
      <w:r w:rsidRPr="00B900C1">
        <w:rPr>
          <w:color w:val="000000" w:themeColor="text1"/>
          <w:vertAlign w:val="superscript"/>
        </w:rPr>
        <w:t>®</w:t>
      </w:r>
      <w:r w:rsidRPr="00B900C1">
        <w:rPr>
          <w:color w:val="000000" w:themeColor="text1"/>
        </w:rPr>
        <w:t xml:space="preserve"> 2013 Standard</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_Toc353376072 \h </w:instrText>
      </w:r>
      <w:r w:rsidRPr="00B900C1">
        <w:rPr>
          <w:color w:val="000000" w:themeColor="text1"/>
        </w:rPr>
      </w:r>
      <w:r w:rsidRPr="00B900C1">
        <w:rPr>
          <w:color w:val="000000" w:themeColor="text1"/>
        </w:rPr>
        <w:fldChar w:fldCharType="separate"/>
      </w:r>
      <w:r w:rsidR="007B74B7">
        <w:rPr>
          <w:color w:val="000000" w:themeColor="text1"/>
        </w:rPr>
        <w:t>132</w:t>
      </w:r>
      <w:r w:rsidRPr="00B900C1">
        <w:rPr>
          <w:color w:val="000000" w:themeColor="text1"/>
        </w:rPr>
        <w:fldChar w:fldCharType="end"/>
      </w:r>
    </w:p>
    <w:p w:rsidR="00BD7CEA" w:rsidRPr="00B900C1" w:rsidRDefault="00BD7CEA" w:rsidP="00B900C1">
      <w:pPr>
        <w:pStyle w:val="TOC3"/>
        <w:rPr>
          <w:rFonts w:asciiTheme="minorHAnsi" w:eastAsiaTheme="minorEastAsia" w:hAnsiTheme="minorHAnsi" w:cstheme="minorBidi"/>
          <w:color w:val="000000" w:themeColor="text1"/>
          <w:sz w:val="22"/>
          <w:szCs w:val="22"/>
        </w:rPr>
      </w:pPr>
      <w:r w:rsidRPr="00B900C1">
        <w:rPr>
          <w:caps/>
          <w:color w:val="000000" w:themeColor="text1"/>
          <w:vertAlign w:val="superscript"/>
        </w:rPr>
        <w:t xml:space="preserve">35 </w:t>
      </w:r>
      <w:r w:rsidRPr="00B900C1">
        <w:rPr>
          <w:color w:val="000000" w:themeColor="text1"/>
        </w:rPr>
        <w:t>Business Intelligence Appliance 2012</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_Toc353376073 \h </w:instrText>
      </w:r>
      <w:r w:rsidRPr="00B900C1">
        <w:rPr>
          <w:color w:val="000000" w:themeColor="text1"/>
        </w:rPr>
      </w:r>
      <w:r w:rsidRPr="00B900C1">
        <w:rPr>
          <w:color w:val="000000" w:themeColor="text1"/>
        </w:rPr>
        <w:fldChar w:fldCharType="separate"/>
      </w:r>
      <w:r w:rsidR="007B74B7">
        <w:rPr>
          <w:color w:val="000000" w:themeColor="text1"/>
        </w:rPr>
        <w:t>133</w:t>
      </w:r>
      <w:r w:rsidRPr="00B900C1">
        <w:rPr>
          <w:color w:val="000000" w:themeColor="text1"/>
        </w:rPr>
        <w:fldChar w:fldCharType="end"/>
      </w:r>
    </w:p>
    <w:p w:rsidR="00BD7CEA" w:rsidRPr="00B900C1" w:rsidRDefault="00BD7CEA" w:rsidP="00B900C1">
      <w:pPr>
        <w:pStyle w:val="TOC3"/>
        <w:rPr>
          <w:rFonts w:asciiTheme="minorHAnsi" w:eastAsiaTheme="minorEastAsia" w:hAnsiTheme="minorHAnsi" w:cstheme="minorBidi"/>
          <w:color w:val="000000" w:themeColor="text1"/>
          <w:sz w:val="22"/>
          <w:szCs w:val="22"/>
        </w:rPr>
      </w:pPr>
      <w:r w:rsidRPr="00B900C1">
        <w:rPr>
          <w:caps/>
          <w:color w:val="000000" w:themeColor="text1"/>
          <w:vertAlign w:val="superscript"/>
        </w:rPr>
        <w:t>36</w:t>
      </w:r>
      <w:r w:rsidRPr="00B900C1">
        <w:rPr>
          <w:color w:val="000000" w:themeColor="text1"/>
        </w:rPr>
        <w:t xml:space="preserve"> Core CAL Suite Bridge per Office 365, Core CAL Suite Bridge per Office 365 e </w:t>
      </w:r>
      <w:r w:rsidR="00B900C1" w:rsidRPr="00B900C1">
        <w:rPr>
          <w:color w:val="000000" w:themeColor="text1"/>
        </w:rPr>
        <w:br/>
      </w:r>
      <w:r w:rsidRPr="00B900C1">
        <w:rPr>
          <w:color w:val="000000" w:themeColor="text1"/>
        </w:rPr>
        <w:t>Windows Intune e Core CAL Suite Bridge per Windows Intune</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_Toc353376074 \h </w:instrText>
      </w:r>
      <w:r w:rsidRPr="00B900C1">
        <w:rPr>
          <w:color w:val="000000" w:themeColor="text1"/>
        </w:rPr>
      </w:r>
      <w:r w:rsidRPr="00B900C1">
        <w:rPr>
          <w:color w:val="000000" w:themeColor="text1"/>
        </w:rPr>
        <w:fldChar w:fldCharType="separate"/>
      </w:r>
      <w:r w:rsidR="007B74B7">
        <w:rPr>
          <w:color w:val="000000" w:themeColor="text1"/>
        </w:rPr>
        <w:t>133</w:t>
      </w:r>
      <w:r w:rsidRPr="00B900C1">
        <w:rPr>
          <w:color w:val="000000" w:themeColor="text1"/>
        </w:rPr>
        <w:fldChar w:fldCharType="end"/>
      </w:r>
    </w:p>
    <w:p w:rsidR="00BD7CEA" w:rsidRPr="005E60AB" w:rsidRDefault="00BD7CEA" w:rsidP="00B900C1">
      <w:pPr>
        <w:pStyle w:val="TOC3"/>
        <w:rPr>
          <w:rFonts w:asciiTheme="minorHAnsi" w:eastAsiaTheme="minorEastAsia" w:hAnsiTheme="minorHAnsi" w:cstheme="minorBidi"/>
          <w:color w:val="000000" w:themeColor="text1"/>
          <w:sz w:val="22"/>
          <w:szCs w:val="22"/>
          <w:lang w:val="fr-FR"/>
        </w:rPr>
      </w:pPr>
      <w:r w:rsidRPr="005E60AB">
        <w:rPr>
          <w:caps/>
          <w:color w:val="000000" w:themeColor="text1"/>
          <w:vertAlign w:val="superscript"/>
          <w:lang w:val="fr-FR"/>
        </w:rPr>
        <w:t>37</w:t>
      </w:r>
      <w:r w:rsidRPr="005E60AB">
        <w:rPr>
          <w:color w:val="000000" w:themeColor="text1"/>
          <w:lang w:val="fr-FR"/>
        </w:rPr>
        <w:t xml:space="preserve"> Core CAL Suite</w:t>
      </w:r>
      <w:r w:rsidRPr="005E60AB">
        <w:rPr>
          <w:color w:val="000000" w:themeColor="text1"/>
          <w:lang w:val="fr-FR"/>
        </w:rPr>
        <w:tab/>
      </w:r>
      <w:r w:rsidRPr="00B900C1">
        <w:rPr>
          <w:color w:val="000000" w:themeColor="text1"/>
        </w:rPr>
        <w:fldChar w:fldCharType="begin"/>
      </w:r>
      <w:r w:rsidRPr="005E60AB">
        <w:rPr>
          <w:color w:val="000000" w:themeColor="text1"/>
          <w:lang w:val="fr-FR"/>
        </w:rPr>
        <w:instrText xml:space="preserve"> PAGEREF _Toc353376075 \h </w:instrText>
      </w:r>
      <w:r w:rsidRPr="00B900C1">
        <w:rPr>
          <w:color w:val="000000" w:themeColor="text1"/>
        </w:rPr>
      </w:r>
      <w:r w:rsidRPr="00B900C1">
        <w:rPr>
          <w:color w:val="000000" w:themeColor="text1"/>
        </w:rPr>
        <w:fldChar w:fldCharType="separate"/>
      </w:r>
      <w:r w:rsidR="007B74B7" w:rsidRPr="005E60AB">
        <w:rPr>
          <w:color w:val="000000" w:themeColor="text1"/>
          <w:lang w:val="fr-FR"/>
        </w:rPr>
        <w:t>135</w:t>
      </w:r>
      <w:r w:rsidRPr="00B900C1">
        <w:rPr>
          <w:color w:val="000000" w:themeColor="text1"/>
        </w:rPr>
        <w:fldChar w:fldCharType="end"/>
      </w:r>
    </w:p>
    <w:p w:rsidR="00BD7CEA" w:rsidRPr="005E60AB" w:rsidRDefault="00BD7CEA" w:rsidP="00B900C1">
      <w:pPr>
        <w:pStyle w:val="TOC3"/>
        <w:rPr>
          <w:rFonts w:asciiTheme="minorHAnsi" w:eastAsiaTheme="minorEastAsia" w:hAnsiTheme="minorHAnsi" w:cstheme="minorBidi"/>
          <w:color w:val="000000" w:themeColor="text1"/>
          <w:sz w:val="22"/>
          <w:szCs w:val="22"/>
          <w:lang w:val="fr-FR"/>
        </w:rPr>
      </w:pPr>
      <w:r w:rsidRPr="005E60AB">
        <w:rPr>
          <w:caps/>
          <w:color w:val="000000" w:themeColor="text1"/>
          <w:vertAlign w:val="superscript"/>
          <w:lang w:val="fr-FR"/>
        </w:rPr>
        <w:t>38</w:t>
      </w:r>
      <w:r w:rsidRPr="005E60AB">
        <w:rPr>
          <w:color w:val="000000" w:themeColor="text1"/>
          <w:lang w:val="fr-FR"/>
        </w:rPr>
        <w:t xml:space="preserve"> Core Infrastructure Server Suite Standard</w:t>
      </w:r>
      <w:r w:rsidRPr="005E60AB">
        <w:rPr>
          <w:color w:val="000000" w:themeColor="text1"/>
          <w:lang w:val="fr-FR"/>
        </w:rPr>
        <w:tab/>
      </w:r>
      <w:r w:rsidRPr="00B900C1">
        <w:rPr>
          <w:color w:val="000000" w:themeColor="text1"/>
        </w:rPr>
        <w:fldChar w:fldCharType="begin"/>
      </w:r>
      <w:r w:rsidRPr="005E60AB">
        <w:rPr>
          <w:color w:val="000000" w:themeColor="text1"/>
          <w:lang w:val="fr-FR"/>
        </w:rPr>
        <w:instrText xml:space="preserve"> PAGEREF _Toc353376076 \h </w:instrText>
      </w:r>
      <w:r w:rsidRPr="00B900C1">
        <w:rPr>
          <w:color w:val="000000" w:themeColor="text1"/>
        </w:rPr>
      </w:r>
      <w:r w:rsidRPr="00B900C1">
        <w:rPr>
          <w:color w:val="000000" w:themeColor="text1"/>
        </w:rPr>
        <w:fldChar w:fldCharType="separate"/>
      </w:r>
      <w:r w:rsidR="007B74B7" w:rsidRPr="005E60AB">
        <w:rPr>
          <w:color w:val="000000" w:themeColor="text1"/>
          <w:lang w:val="fr-FR"/>
        </w:rPr>
        <w:t>135</w:t>
      </w:r>
      <w:r w:rsidRPr="00B900C1">
        <w:rPr>
          <w:color w:val="000000" w:themeColor="text1"/>
        </w:rPr>
        <w:fldChar w:fldCharType="end"/>
      </w:r>
    </w:p>
    <w:p w:rsidR="00BD7CEA" w:rsidRPr="005E60AB" w:rsidRDefault="00BD7CEA" w:rsidP="00B900C1">
      <w:pPr>
        <w:pStyle w:val="TOC3"/>
        <w:rPr>
          <w:rFonts w:asciiTheme="minorHAnsi" w:eastAsiaTheme="minorEastAsia" w:hAnsiTheme="minorHAnsi" w:cstheme="minorBidi"/>
          <w:color w:val="000000" w:themeColor="text1"/>
          <w:sz w:val="22"/>
          <w:szCs w:val="22"/>
          <w:lang w:val="fr-FR"/>
        </w:rPr>
      </w:pPr>
      <w:r w:rsidRPr="005E60AB">
        <w:rPr>
          <w:caps/>
          <w:color w:val="000000" w:themeColor="text1"/>
          <w:vertAlign w:val="superscript"/>
          <w:lang w:val="fr-FR"/>
        </w:rPr>
        <w:t>39</w:t>
      </w:r>
      <w:r w:rsidRPr="005E60AB">
        <w:rPr>
          <w:color w:val="000000" w:themeColor="text1"/>
          <w:lang w:val="fr-FR"/>
        </w:rPr>
        <w:t xml:space="preserve"> Core Infrastructure Server Suite Enterprise</w:t>
      </w:r>
      <w:r w:rsidRPr="005E60AB">
        <w:rPr>
          <w:color w:val="000000" w:themeColor="text1"/>
          <w:lang w:val="fr-FR"/>
        </w:rPr>
        <w:tab/>
      </w:r>
      <w:r w:rsidRPr="00B900C1">
        <w:rPr>
          <w:color w:val="000000" w:themeColor="text1"/>
        </w:rPr>
        <w:fldChar w:fldCharType="begin"/>
      </w:r>
      <w:r w:rsidRPr="005E60AB">
        <w:rPr>
          <w:color w:val="000000" w:themeColor="text1"/>
          <w:lang w:val="fr-FR"/>
        </w:rPr>
        <w:instrText xml:space="preserve"> PAGEREF _Toc353376077 \h </w:instrText>
      </w:r>
      <w:r w:rsidRPr="00B900C1">
        <w:rPr>
          <w:color w:val="000000" w:themeColor="text1"/>
        </w:rPr>
      </w:r>
      <w:r w:rsidRPr="00B900C1">
        <w:rPr>
          <w:color w:val="000000" w:themeColor="text1"/>
        </w:rPr>
        <w:fldChar w:fldCharType="separate"/>
      </w:r>
      <w:r w:rsidR="007B74B7" w:rsidRPr="005E60AB">
        <w:rPr>
          <w:color w:val="000000" w:themeColor="text1"/>
          <w:lang w:val="fr-FR"/>
        </w:rPr>
        <w:t>136</w:t>
      </w:r>
      <w:r w:rsidRPr="00B900C1">
        <w:rPr>
          <w:color w:val="000000" w:themeColor="text1"/>
        </w:rPr>
        <w:fldChar w:fldCharType="end"/>
      </w:r>
    </w:p>
    <w:p w:rsidR="00BD7CEA" w:rsidRPr="005E60AB" w:rsidRDefault="00BD7CEA" w:rsidP="00B900C1">
      <w:pPr>
        <w:pStyle w:val="TOC3"/>
        <w:rPr>
          <w:rFonts w:asciiTheme="minorHAnsi" w:eastAsiaTheme="minorEastAsia" w:hAnsiTheme="minorHAnsi" w:cstheme="minorBidi"/>
          <w:color w:val="000000" w:themeColor="text1"/>
          <w:sz w:val="22"/>
          <w:szCs w:val="22"/>
          <w:lang w:val="fr-FR"/>
        </w:rPr>
      </w:pPr>
      <w:r w:rsidRPr="005E60AB">
        <w:rPr>
          <w:caps/>
          <w:color w:val="000000" w:themeColor="text1"/>
          <w:vertAlign w:val="superscript"/>
          <w:lang w:val="fr-FR"/>
        </w:rPr>
        <w:t>40</w:t>
      </w:r>
      <w:r w:rsidRPr="005E60AB">
        <w:rPr>
          <w:color w:val="000000" w:themeColor="text1"/>
          <w:lang w:val="fr-FR"/>
        </w:rPr>
        <w:t xml:space="preserve"> Core Infrastructure Server Suite Datacenter</w:t>
      </w:r>
      <w:r w:rsidRPr="005E60AB">
        <w:rPr>
          <w:color w:val="000000" w:themeColor="text1"/>
          <w:lang w:val="fr-FR"/>
        </w:rPr>
        <w:tab/>
      </w:r>
      <w:r w:rsidRPr="00B900C1">
        <w:rPr>
          <w:color w:val="000000" w:themeColor="text1"/>
        </w:rPr>
        <w:fldChar w:fldCharType="begin"/>
      </w:r>
      <w:r w:rsidRPr="005E60AB">
        <w:rPr>
          <w:color w:val="000000" w:themeColor="text1"/>
          <w:lang w:val="fr-FR"/>
        </w:rPr>
        <w:instrText xml:space="preserve"> PAGEREF _Toc353376078 \h </w:instrText>
      </w:r>
      <w:r w:rsidRPr="00B900C1">
        <w:rPr>
          <w:color w:val="000000" w:themeColor="text1"/>
        </w:rPr>
      </w:r>
      <w:r w:rsidRPr="00B900C1">
        <w:rPr>
          <w:color w:val="000000" w:themeColor="text1"/>
        </w:rPr>
        <w:fldChar w:fldCharType="separate"/>
      </w:r>
      <w:r w:rsidR="007B74B7" w:rsidRPr="005E60AB">
        <w:rPr>
          <w:color w:val="000000" w:themeColor="text1"/>
          <w:lang w:val="fr-FR"/>
        </w:rPr>
        <w:t>137</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eastAsia="Times New Roman" w:cs="Tahoma"/>
          <w:caps/>
          <w:color w:val="000000" w:themeColor="text1"/>
          <w:vertAlign w:val="superscript"/>
        </w:rPr>
        <w:t xml:space="preserve">41 </w:t>
      </w:r>
      <w:r w:rsidRPr="00B900C1">
        <w:rPr>
          <w:rFonts w:eastAsia="Times New Roman" w:cs="Tahoma"/>
          <w:color w:val="000000" w:themeColor="text1"/>
        </w:rPr>
        <w:t>Duet Enterprise 2.0</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_Toc353376079 \h </w:instrText>
      </w:r>
      <w:r w:rsidRPr="00B900C1">
        <w:rPr>
          <w:color w:val="000000" w:themeColor="text1"/>
        </w:rPr>
      </w:r>
      <w:r w:rsidRPr="00B900C1">
        <w:rPr>
          <w:color w:val="000000" w:themeColor="text1"/>
        </w:rPr>
        <w:fldChar w:fldCharType="separate"/>
      </w:r>
      <w:r w:rsidR="007B74B7">
        <w:rPr>
          <w:color w:val="000000" w:themeColor="text1"/>
        </w:rPr>
        <w:t>138</w:t>
      </w:r>
      <w:r w:rsidRPr="00B900C1">
        <w:rPr>
          <w:color w:val="000000" w:themeColor="text1"/>
        </w:rPr>
        <w:fldChar w:fldCharType="end"/>
      </w:r>
    </w:p>
    <w:p w:rsidR="00BD7CEA" w:rsidRPr="00B900C1" w:rsidRDefault="00BD7CEA" w:rsidP="00B900C1">
      <w:pPr>
        <w:pStyle w:val="TOC3"/>
        <w:rPr>
          <w:rFonts w:asciiTheme="minorHAnsi" w:eastAsiaTheme="minorEastAsia" w:hAnsiTheme="minorHAnsi" w:cstheme="minorBidi"/>
          <w:color w:val="000000" w:themeColor="text1"/>
          <w:sz w:val="22"/>
          <w:szCs w:val="22"/>
        </w:rPr>
      </w:pPr>
      <w:r w:rsidRPr="00B900C1">
        <w:rPr>
          <w:caps/>
          <w:color w:val="000000" w:themeColor="text1"/>
          <w:vertAlign w:val="superscript"/>
        </w:rPr>
        <w:t>42</w:t>
      </w:r>
      <w:r w:rsidRPr="00B900C1">
        <w:rPr>
          <w:color w:val="000000" w:themeColor="text1"/>
        </w:rPr>
        <w:t xml:space="preserve"> Dynamics CRM Online</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_Toc353376080 \h </w:instrText>
      </w:r>
      <w:r w:rsidRPr="00B900C1">
        <w:rPr>
          <w:color w:val="000000" w:themeColor="text1"/>
        </w:rPr>
      </w:r>
      <w:r w:rsidRPr="00B900C1">
        <w:rPr>
          <w:color w:val="000000" w:themeColor="text1"/>
        </w:rPr>
        <w:fldChar w:fldCharType="separate"/>
      </w:r>
      <w:r w:rsidR="007B74B7">
        <w:rPr>
          <w:color w:val="000000" w:themeColor="text1"/>
        </w:rPr>
        <w:t>138</w:t>
      </w:r>
      <w:r w:rsidRPr="00B900C1">
        <w:rPr>
          <w:color w:val="000000" w:themeColor="text1"/>
        </w:rPr>
        <w:fldChar w:fldCharType="end"/>
      </w:r>
    </w:p>
    <w:p w:rsidR="00BD7CEA" w:rsidRPr="00B900C1" w:rsidRDefault="00BD7CEA" w:rsidP="005979A3">
      <w:pPr>
        <w:pStyle w:val="TOC3"/>
        <w:ind w:left="187" w:hanging="187"/>
        <w:rPr>
          <w:rFonts w:asciiTheme="minorHAnsi" w:eastAsiaTheme="minorEastAsia" w:hAnsiTheme="minorHAnsi" w:cstheme="minorBidi"/>
          <w:color w:val="000000" w:themeColor="text1"/>
          <w:sz w:val="22"/>
          <w:szCs w:val="22"/>
        </w:rPr>
      </w:pPr>
      <w:r w:rsidRPr="00B900C1">
        <w:rPr>
          <w:caps/>
          <w:color w:val="000000" w:themeColor="text1"/>
          <w:vertAlign w:val="superscript"/>
        </w:rPr>
        <w:t xml:space="preserve">43 </w:t>
      </w:r>
      <w:r w:rsidRPr="00B900C1">
        <w:rPr>
          <w:color w:val="000000" w:themeColor="text1"/>
        </w:rPr>
        <w:t>Enterprise CAL Suite Bridge per Office 365, Enterprise CAL Suite Bridge per Office 365 e Windows Intune ed Enterprise CAL Suite Bridge per Windows Intune</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_Toc353376081 \h </w:instrText>
      </w:r>
      <w:r w:rsidRPr="00B900C1">
        <w:rPr>
          <w:color w:val="000000" w:themeColor="text1"/>
        </w:rPr>
      </w:r>
      <w:r w:rsidRPr="00B900C1">
        <w:rPr>
          <w:color w:val="000000" w:themeColor="text1"/>
        </w:rPr>
        <w:fldChar w:fldCharType="separate"/>
      </w:r>
      <w:r w:rsidR="007B74B7">
        <w:rPr>
          <w:color w:val="000000" w:themeColor="text1"/>
        </w:rPr>
        <w:t>139</w:t>
      </w:r>
      <w:r w:rsidRPr="00B900C1">
        <w:rPr>
          <w:color w:val="000000" w:themeColor="text1"/>
        </w:rPr>
        <w:fldChar w:fldCharType="end"/>
      </w:r>
    </w:p>
    <w:p w:rsidR="00BD7CEA" w:rsidRPr="005E60AB" w:rsidRDefault="00BD7CEA" w:rsidP="00B900C1">
      <w:pPr>
        <w:pStyle w:val="TOC3"/>
        <w:rPr>
          <w:rFonts w:asciiTheme="minorHAnsi" w:eastAsiaTheme="minorEastAsia" w:hAnsiTheme="minorHAnsi" w:cstheme="minorBidi"/>
          <w:color w:val="000000" w:themeColor="text1"/>
          <w:sz w:val="22"/>
          <w:szCs w:val="22"/>
          <w:lang w:val="it-IT"/>
        </w:rPr>
      </w:pPr>
      <w:r w:rsidRPr="005E60AB">
        <w:rPr>
          <w:caps/>
          <w:color w:val="000000" w:themeColor="text1"/>
          <w:vertAlign w:val="superscript"/>
          <w:lang w:val="it-IT"/>
        </w:rPr>
        <w:t>44</w:t>
      </w:r>
      <w:r w:rsidRPr="005E60AB">
        <w:rPr>
          <w:color w:val="000000" w:themeColor="text1"/>
          <w:lang w:val="it-IT"/>
        </w:rPr>
        <w:t xml:space="preserve"> Enterprise CAL Suite</w:t>
      </w:r>
      <w:r w:rsidRPr="005E60AB">
        <w:rPr>
          <w:color w:val="000000" w:themeColor="text1"/>
          <w:lang w:val="it-IT"/>
        </w:rPr>
        <w:tab/>
      </w:r>
      <w:r w:rsidRPr="00B900C1">
        <w:rPr>
          <w:color w:val="000000" w:themeColor="text1"/>
        </w:rPr>
        <w:fldChar w:fldCharType="begin"/>
      </w:r>
      <w:r w:rsidRPr="005E60AB">
        <w:rPr>
          <w:color w:val="000000" w:themeColor="text1"/>
          <w:lang w:val="it-IT"/>
        </w:rPr>
        <w:instrText xml:space="preserve"> PAGEREF _Toc353376082 \h </w:instrText>
      </w:r>
      <w:r w:rsidRPr="00B900C1">
        <w:rPr>
          <w:color w:val="000000" w:themeColor="text1"/>
        </w:rPr>
      </w:r>
      <w:r w:rsidRPr="00B900C1">
        <w:rPr>
          <w:color w:val="000000" w:themeColor="text1"/>
        </w:rPr>
        <w:fldChar w:fldCharType="separate"/>
      </w:r>
      <w:r w:rsidR="007B74B7" w:rsidRPr="005E60AB">
        <w:rPr>
          <w:color w:val="000000" w:themeColor="text1"/>
          <w:lang w:val="it-IT"/>
        </w:rPr>
        <w:t>140</w:t>
      </w:r>
      <w:r w:rsidRPr="00B900C1">
        <w:rPr>
          <w:color w:val="000000" w:themeColor="text1"/>
        </w:rPr>
        <w:fldChar w:fldCharType="end"/>
      </w:r>
    </w:p>
    <w:p w:rsidR="00BD7CEA" w:rsidRPr="005E60AB" w:rsidRDefault="00BD7CEA">
      <w:pPr>
        <w:pStyle w:val="TOC2"/>
        <w:rPr>
          <w:rFonts w:asciiTheme="minorHAnsi" w:eastAsiaTheme="minorEastAsia" w:hAnsiTheme="minorHAnsi" w:cstheme="minorBidi"/>
          <w:color w:val="000000" w:themeColor="text1"/>
          <w:sz w:val="22"/>
          <w:szCs w:val="22"/>
          <w:lang w:val="it-IT"/>
        </w:rPr>
      </w:pPr>
      <w:r w:rsidRPr="005E60AB">
        <w:rPr>
          <w:rFonts w:cs="Tahoma"/>
          <w:color w:val="000000" w:themeColor="text1"/>
          <w:vertAlign w:val="superscript"/>
          <w:lang w:val="it-IT"/>
        </w:rPr>
        <w:t>45</w:t>
      </w:r>
      <w:r w:rsidRPr="005E60AB">
        <w:rPr>
          <w:rFonts w:cs="Tahoma"/>
          <w:color w:val="000000" w:themeColor="text1"/>
          <w:lang w:val="it-IT"/>
        </w:rPr>
        <w:t xml:space="preserve"> Archiviazione Exchange Online (SL per Utente)</w:t>
      </w:r>
      <w:r w:rsidRPr="005E60AB">
        <w:rPr>
          <w:color w:val="000000" w:themeColor="text1"/>
          <w:lang w:val="it-IT"/>
        </w:rPr>
        <w:tab/>
      </w:r>
      <w:r w:rsidRPr="00B900C1">
        <w:rPr>
          <w:color w:val="000000" w:themeColor="text1"/>
        </w:rPr>
        <w:fldChar w:fldCharType="begin"/>
      </w:r>
      <w:r w:rsidRPr="005E60AB">
        <w:rPr>
          <w:color w:val="000000" w:themeColor="text1"/>
          <w:lang w:val="it-IT"/>
        </w:rPr>
        <w:instrText xml:space="preserve"> PAGEREF _Toc353376083 \h </w:instrText>
      </w:r>
      <w:r w:rsidRPr="00B900C1">
        <w:rPr>
          <w:color w:val="000000" w:themeColor="text1"/>
        </w:rPr>
      </w:r>
      <w:r w:rsidRPr="00B900C1">
        <w:rPr>
          <w:color w:val="000000" w:themeColor="text1"/>
        </w:rPr>
        <w:fldChar w:fldCharType="separate"/>
      </w:r>
      <w:r w:rsidR="007B74B7" w:rsidRPr="005E60AB">
        <w:rPr>
          <w:color w:val="000000" w:themeColor="text1"/>
          <w:lang w:val="it-IT"/>
        </w:rPr>
        <w:t>144</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vertAlign w:val="superscript"/>
        </w:rPr>
        <w:t>46</w:t>
      </w:r>
      <w:r w:rsidRPr="00B900C1">
        <w:rPr>
          <w:rFonts w:cs="Tahoma"/>
          <w:color w:val="000000" w:themeColor="text1"/>
        </w:rPr>
        <w:t xml:space="preserve"> Exchange Hosted Archive (SL per Utente), Exchange Hosted Archive Extra Storage (SL Add-on)</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_Toc353376084 \h </w:instrText>
      </w:r>
      <w:r w:rsidRPr="00B900C1">
        <w:rPr>
          <w:color w:val="000000" w:themeColor="text1"/>
        </w:rPr>
      </w:r>
      <w:r w:rsidRPr="00B900C1">
        <w:rPr>
          <w:color w:val="000000" w:themeColor="text1"/>
        </w:rPr>
        <w:fldChar w:fldCharType="separate"/>
      </w:r>
      <w:r w:rsidR="007B74B7">
        <w:rPr>
          <w:color w:val="000000" w:themeColor="text1"/>
        </w:rPr>
        <w:t>144</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vertAlign w:val="superscript"/>
        </w:rPr>
        <w:t>47</w:t>
      </w:r>
      <w:r w:rsidRPr="00B900C1">
        <w:rPr>
          <w:rFonts w:cs="Tahoma"/>
          <w:color w:val="000000" w:themeColor="text1"/>
        </w:rPr>
        <w:t xml:space="preserve"> Exchange Hosted Encryption (SL per Utente)</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_Toc353376085 \h </w:instrText>
      </w:r>
      <w:r w:rsidRPr="00B900C1">
        <w:rPr>
          <w:color w:val="000000" w:themeColor="text1"/>
        </w:rPr>
      </w:r>
      <w:r w:rsidRPr="00B900C1">
        <w:rPr>
          <w:color w:val="000000" w:themeColor="text1"/>
        </w:rPr>
        <w:fldChar w:fldCharType="separate"/>
      </w:r>
      <w:r w:rsidR="007B74B7">
        <w:rPr>
          <w:color w:val="000000" w:themeColor="text1"/>
        </w:rPr>
        <w:t>145</w:t>
      </w:r>
      <w:r w:rsidRPr="00B900C1">
        <w:rPr>
          <w:color w:val="000000" w:themeColor="text1"/>
        </w:rPr>
        <w:fldChar w:fldCharType="end"/>
      </w:r>
    </w:p>
    <w:p w:rsidR="00BD7CEA" w:rsidRPr="00B900C1" w:rsidRDefault="00BD7CEA" w:rsidP="00B900C1">
      <w:pPr>
        <w:pStyle w:val="TOC3"/>
        <w:rPr>
          <w:rFonts w:asciiTheme="minorHAnsi" w:eastAsiaTheme="minorEastAsia" w:hAnsiTheme="minorHAnsi" w:cstheme="minorBidi"/>
          <w:color w:val="000000" w:themeColor="text1"/>
          <w:sz w:val="22"/>
          <w:szCs w:val="22"/>
        </w:rPr>
      </w:pPr>
      <w:r w:rsidRPr="00B900C1">
        <w:rPr>
          <w:caps/>
          <w:color w:val="000000" w:themeColor="text1"/>
          <w:vertAlign w:val="superscript"/>
        </w:rPr>
        <w:t>48</w:t>
      </w:r>
      <w:r w:rsidRPr="00B900C1">
        <w:rPr>
          <w:color w:val="000000" w:themeColor="text1"/>
        </w:rPr>
        <w:t xml:space="preserve"> Exchange Online Kiosk (SL per Utente)</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_Toc353376086 \h </w:instrText>
      </w:r>
      <w:r w:rsidRPr="00B900C1">
        <w:rPr>
          <w:color w:val="000000" w:themeColor="text1"/>
        </w:rPr>
      </w:r>
      <w:r w:rsidRPr="00B900C1">
        <w:rPr>
          <w:color w:val="000000" w:themeColor="text1"/>
        </w:rPr>
        <w:fldChar w:fldCharType="separate"/>
      </w:r>
      <w:r w:rsidR="007B74B7">
        <w:rPr>
          <w:color w:val="000000" w:themeColor="text1"/>
        </w:rPr>
        <w:t>145</w:t>
      </w:r>
      <w:r w:rsidRPr="00B900C1">
        <w:rPr>
          <w:color w:val="000000" w:themeColor="text1"/>
        </w:rPr>
        <w:fldChar w:fldCharType="end"/>
      </w:r>
    </w:p>
    <w:p w:rsidR="00BD7CEA" w:rsidRPr="005E60AB" w:rsidRDefault="00BD7CEA" w:rsidP="00B900C1">
      <w:pPr>
        <w:pStyle w:val="TOC3"/>
        <w:rPr>
          <w:rFonts w:asciiTheme="minorHAnsi" w:eastAsiaTheme="minorEastAsia" w:hAnsiTheme="minorHAnsi" w:cstheme="minorBidi"/>
          <w:color w:val="000000" w:themeColor="text1"/>
          <w:sz w:val="22"/>
          <w:szCs w:val="22"/>
          <w:lang w:val="nl-NL"/>
        </w:rPr>
      </w:pPr>
      <w:r w:rsidRPr="005E60AB">
        <w:rPr>
          <w:caps/>
          <w:color w:val="000000" w:themeColor="text1"/>
          <w:vertAlign w:val="superscript"/>
          <w:lang w:val="nl-NL"/>
        </w:rPr>
        <w:t>49</w:t>
      </w:r>
      <w:r w:rsidRPr="005E60AB">
        <w:rPr>
          <w:color w:val="000000" w:themeColor="text1"/>
          <w:lang w:val="nl-NL"/>
        </w:rPr>
        <w:t xml:space="preserve"> Exchange Online Piano 1</w:t>
      </w:r>
      <w:r w:rsidRPr="005E60AB">
        <w:rPr>
          <w:color w:val="000000" w:themeColor="text1"/>
          <w:lang w:val="nl-NL"/>
        </w:rPr>
        <w:tab/>
      </w:r>
      <w:r w:rsidRPr="00B900C1">
        <w:rPr>
          <w:color w:val="000000" w:themeColor="text1"/>
        </w:rPr>
        <w:fldChar w:fldCharType="begin"/>
      </w:r>
      <w:r w:rsidRPr="005E60AB">
        <w:rPr>
          <w:color w:val="000000" w:themeColor="text1"/>
          <w:lang w:val="nl-NL"/>
        </w:rPr>
        <w:instrText xml:space="preserve"> PAGEREF _Toc353376087 \h </w:instrText>
      </w:r>
      <w:r w:rsidRPr="00B900C1">
        <w:rPr>
          <w:color w:val="000000" w:themeColor="text1"/>
        </w:rPr>
      </w:r>
      <w:r w:rsidRPr="00B900C1">
        <w:rPr>
          <w:color w:val="000000" w:themeColor="text1"/>
        </w:rPr>
        <w:fldChar w:fldCharType="separate"/>
      </w:r>
      <w:r w:rsidR="007B74B7" w:rsidRPr="005E60AB">
        <w:rPr>
          <w:color w:val="000000" w:themeColor="text1"/>
          <w:lang w:val="nl-NL"/>
        </w:rPr>
        <w:t>146</w:t>
      </w:r>
      <w:r w:rsidRPr="00B900C1">
        <w:rPr>
          <w:color w:val="000000" w:themeColor="text1"/>
        </w:rPr>
        <w:fldChar w:fldCharType="end"/>
      </w:r>
    </w:p>
    <w:p w:rsidR="00BD7CEA" w:rsidRPr="005E60AB" w:rsidRDefault="00BD7CEA">
      <w:pPr>
        <w:pStyle w:val="TOC2"/>
        <w:rPr>
          <w:rFonts w:asciiTheme="minorHAnsi" w:eastAsiaTheme="minorEastAsia" w:hAnsiTheme="minorHAnsi" w:cstheme="minorBidi"/>
          <w:color w:val="000000" w:themeColor="text1"/>
          <w:sz w:val="22"/>
          <w:szCs w:val="22"/>
          <w:lang w:val="nl-NL"/>
        </w:rPr>
      </w:pPr>
      <w:r w:rsidRPr="005E60AB">
        <w:rPr>
          <w:rFonts w:cs="Tahoma"/>
          <w:caps/>
          <w:color w:val="000000" w:themeColor="text1"/>
          <w:vertAlign w:val="superscript"/>
          <w:lang w:val="nl-NL"/>
        </w:rPr>
        <w:t>50</w:t>
      </w:r>
      <w:r w:rsidRPr="005E60AB">
        <w:rPr>
          <w:rFonts w:cs="Tahoma"/>
          <w:color w:val="000000" w:themeColor="text1"/>
          <w:lang w:val="nl-NL"/>
        </w:rPr>
        <w:t xml:space="preserve"> Exchange Online Piano 2</w:t>
      </w:r>
      <w:r w:rsidRPr="005E60AB">
        <w:rPr>
          <w:color w:val="000000" w:themeColor="text1"/>
          <w:lang w:val="nl-NL"/>
        </w:rPr>
        <w:tab/>
      </w:r>
      <w:r w:rsidRPr="00B900C1">
        <w:rPr>
          <w:color w:val="000000" w:themeColor="text1"/>
        </w:rPr>
        <w:fldChar w:fldCharType="begin"/>
      </w:r>
      <w:r w:rsidRPr="005E60AB">
        <w:rPr>
          <w:color w:val="000000" w:themeColor="text1"/>
          <w:lang w:val="nl-NL"/>
        </w:rPr>
        <w:instrText xml:space="preserve"> PAGEREF _Toc353376088 \h </w:instrText>
      </w:r>
      <w:r w:rsidRPr="00B900C1">
        <w:rPr>
          <w:color w:val="000000" w:themeColor="text1"/>
        </w:rPr>
      </w:r>
      <w:r w:rsidRPr="00B900C1">
        <w:rPr>
          <w:color w:val="000000" w:themeColor="text1"/>
        </w:rPr>
        <w:fldChar w:fldCharType="separate"/>
      </w:r>
      <w:r w:rsidR="007B74B7" w:rsidRPr="005E60AB">
        <w:rPr>
          <w:color w:val="000000" w:themeColor="text1"/>
          <w:lang w:val="nl-NL"/>
        </w:rPr>
        <w:t>146</w:t>
      </w:r>
      <w:r w:rsidRPr="00B900C1">
        <w:rPr>
          <w:color w:val="000000" w:themeColor="text1"/>
        </w:rPr>
        <w:fldChar w:fldCharType="end"/>
      </w:r>
    </w:p>
    <w:p w:rsidR="00BD7CEA" w:rsidRPr="005E60AB" w:rsidRDefault="00BD7CEA">
      <w:pPr>
        <w:pStyle w:val="TOC2"/>
        <w:rPr>
          <w:rFonts w:asciiTheme="minorHAnsi" w:eastAsiaTheme="minorEastAsia" w:hAnsiTheme="minorHAnsi" w:cstheme="minorBidi"/>
          <w:color w:val="000000" w:themeColor="text1"/>
          <w:sz w:val="22"/>
          <w:szCs w:val="22"/>
          <w:lang w:val="nl-NL"/>
        </w:rPr>
      </w:pPr>
      <w:r w:rsidRPr="005E60AB">
        <w:rPr>
          <w:rFonts w:cs="Tahoma"/>
          <w:caps/>
          <w:color w:val="000000" w:themeColor="text1"/>
          <w:vertAlign w:val="superscript"/>
          <w:lang w:val="nl-NL"/>
        </w:rPr>
        <w:t xml:space="preserve">51 </w:t>
      </w:r>
      <w:r w:rsidRPr="005E60AB">
        <w:rPr>
          <w:rFonts w:cs="Tahoma"/>
          <w:color w:val="000000" w:themeColor="text1"/>
          <w:lang w:val="nl-NL"/>
        </w:rPr>
        <w:t>Exchange Online Protection (SL per Utente)</w:t>
      </w:r>
      <w:r w:rsidRPr="005E60AB">
        <w:rPr>
          <w:color w:val="000000" w:themeColor="text1"/>
          <w:lang w:val="nl-NL"/>
        </w:rPr>
        <w:tab/>
      </w:r>
      <w:r w:rsidRPr="00B900C1">
        <w:rPr>
          <w:color w:val="000000" w:themeColor="text1"/>
        </w:rPr>
        <w:fldChar w:fldCharType="begin"/>
      </w:r>
      <w:r w:rsidRPr="005E60AB">
        <w:rPr>
          <w:color w:val="000000" w:themeColor="text1"/>
          <w:lang w:val="nl-NL"/>
        </w:rPr>
        <w:instrText xml:space="preserve"> PAGEREF _Toc353376089 \h </w:instrText>
      </w:r>
      <w:r w:rsidRPr="00B900C1">
        <w:rPr>
          <w:color w:val="000000" w:themeColor="text1"/>
        </w:rPr>
      </w:r>
      <w:r w:rsidRPr="00B900C1">
        <w:rPr>
          <w:color w:val="000000" w:themeColor="text1"/>
        </w:rPr>
        <w:fldChar w:fldCharType="separate"/>
      </w:r>
      <w:r w:rsidR="007B74B7" w:rsidRPr="005E60AB">
        <w:rPr>
          <w:color w:val="000000" w:themeColor="text1"/>
          <w:lang w:val="nl-NL"/>
        </w:rPr>
        <w:t>146</w:t>
      </w:r>
      <w:r w:rsidRPr="00B900C1">
        <w:rPr>
          <w:color w:val="000000" w:themeColor="text1"/>
        </w:rPr>
        <w:fldChar w:fldCharType="end"/>
      </w:r>
    </w:p>
    <w:p w:rsidR="00BD7CEA" w:rsidRPr="005E60AB" w:rsidRDefault="00BD7CEA">
      <w:pPr>
        <w:pStyle w:val="TOC2"/>
        <w:rPr>
          <w:rFonts w:asciiTheme="minorHAnsi" w:eastAsiaTheme="minorEastAsia" w:hAnsiTheme="minorHAnsi" w:cstheme="minorBidi"/>
          <w:color w:val="000000" w:themeColor="text1"/>
          <w:sz w:val="22"/>
          <w:szCs w:val="22"/>
          <w:lang w:val="nl-NL"/>
        </w:rPr>
      </w:pPr>
      <w:r w:rsidRPr="005E60AB">
        <w:rPr>
          <w:rFonts w:cs="Tahoma"/>
          <w:caps/>
          <w:color w:val="000000" w:themeColor="text1"/>
          <w:vertAlign w:val="superscript"/>
          <w:lang w:val="nl-NL"/>
        </w:rPr>
        <w:t xml:space="preserve">52 </w:t>
      </w:r>
      <w:r w:rsidRPr="005E60AB">
        <w:rPr>
          <w:rFonts w:cs="Tahoma"/>
          <w:color w:val="000000" w:themeColor="text1"/>
          <w:lang w:val="nl-NL"/>
        </w:rPr>
        <w:t>Exchange Server 2013, Edizioni Enterprise e Standard</w:t>
      </w:r>
      <w:r w:rsidRPr="005E60AB">
        <w:rPr>
          <w:color w:val="000000" w:themeColor="text1"/>
          <w:lang w:val="nl-NL"/>
        </w:rPr>
        <w:tab/>
      </w:r>
      <w:r w:rsidRPr="00B900C1">
        <w:rPr>
          <w:color w:val="000000" w:themeColor="text1"/>
        </w:rPr>
        <w:fldChar w:fldCharType="begin"/>
      </w:r>
      <w:r w:rsidRPr="005E60AB">
        <w:rPr>
          <w:color w:val="000000" w:themeColor="text1"/>
          <w:lang w:val="nl-NL"/>
        </w:rPr>
        <w:instrText xml:space="preserve"> PAGEREF _Toc353376090 \h </w:instrText>
      </w:r>
      <w:r w:rsidRPr="00B900C1">
        <w:rPr>
          <w:color w:val="000000" w:themeColor="text1"/>
        </w:rPr>
      </w:r>
      <w:r w:rsidRPr="00B900C1">
        <w:rPr>
          <w:color w:val="000000" w:themeColor="text1"/>
        </w:rPr>
        <w:fldChar w:fldCharType="separate"/>
      </w:r>
      <w:r w:rsidR="007B74B7" w:rsidRPr="005E60AB">
        <w:rPr>
          <w:color w:val="000000" w:themeColor="text1"/>
          <w:lang w:val="nl-NL"/>
        </w:rPr>
        <w:t>147</w:t>
      </w:r>
      <w:r w:rsidRPr="00B900C1">
        <w:rPr>
          <w:color w:val="000000" w:themeColor="text1"/>
        </w:rPr>
        <w:fldChar w:fldCharType="end"/>
      </w:r>
    </w:p>
    <w:p w:rsidR="00BD7CEA" w:rsidRPr="005E60AB" w:rsidRDefault="00BD7CEA" w:rsidP="00B900C1">
      <w:pPr>
        <w:pStyle w:val="TOC3"/>
        <w:rPr>
          <w:rFonts w:asciiTheme="minorHAnsi" w:eastAsiaTheme="minorEastAsia" w:hAnsiTheme="minorHAnsi" w:cstheme="minorBidi"/>
          <w:color w:val="000000" w:themeColor="text1"/>
          <w:sz w:val="22"/>
          <w:szCs w:val="22"/>
          <w:lang w:val="nl-NL"/>
        </w:rPr>
      </w:pPr>
      <w:r w:rsidRPr="005E60AB">
        <w:rPr>
          <w:caps/>
          <w:color w:val="000000" w:themeColor="text1"/>
          <w:vertAlign w:val="superscript"/>
          <w:lang w:val="nl-NL"/>
        </w:rPr>
        <w:t>53</w:t>
      </w:r>
      <w:r w:rsidRPr="005E60AB">
        <w:rPr>
          <w:color w:val="000000" w:themeColor="text1"/>
          <w:lang w:val="nl-NL"/>
        </w:rPr>
        <w:t xml:space="preserve"> Standard CAL per Exchange Server 2010</w:t>
      </w:r>
      <w:r w:rsidRPr="005E60AB">
        <w:rPr>
          <w:color w:val="000000" w:themeColor="text1"/>
          <w:lang w:val="nl-NL"/>
        </w:rPr>
        <w:tab/>
      </w:r>
      <w:r w:rsidRPr="00B900C1">
        <w:rPr>
          <w:color w:val="000000" w:themeColor="text1"/>
        </w:rPr>
        <w:fldChar w:fldCharType="begin"/>
      </w:r>
      <w:r w:rsidRPr="005E60AB">
        <w:rPr>
          <w:color w:val="000000" w:themeColor="text1"/>
          <w:lang w:val="nl-NL"/>
        </w:rPr>
        <w:instrText xml:space="preserve"> PAGEREF _Toc353376091 \h </w:instrText>
      </w:r>
      <w:r w:rsidRPr="00B900C1">
        <w:rPr>
          <w:color w:val="000000" w:themeColor="text1"/>
        </w:rPr>
      </w:r>
      <w:r w:rsidRPr="00B900C1">
        <w:rPr>
          <w:color w:val="000000" w:themeColor="text1"/>
        </w:rPr>
        <w:fldChar w:fldCharType="separate"/>
      </w:r>
      <w:r w:rsidR="007B74B7" w:rsidRPr="005E60AB">
        <w:rPr>
          <w:color w:val="000000" w:themeColor="text1"/>
          <w:lang w:val="nl-NL"/>
        </w:rPr>
        <w:t>148</w:t>
      </w:r>
      <w:r w:rsidRPr="00B900C1">
        <w:rPr>
          <w:color w:val="000000" w:themeColor="text1"/>
        </w:rPr>
        <w:fldChar w:fldCharType="end"/>
      </w:r>
    </w:p>
    <w:p w:rsidR="00BD7CEA" w:rsidRPr="005E60AB" w:rsidRDefault="00BD7CEA" w:rsidP="00B900C1">
      <w:pPr>
        <w:pStyle w:val="TOC3"/>
        <w:rPr>
          <w:rFonts w:asciiTheme="minorHAnsi" w:eastAsiaTheme="minorEastAsia" w:hAnsiTheme="minorHAnsi" w:cstheme="minorBidi"/>
          <w:color w:val="000000" w:themeColor="text1"/>
          <w:sz w:val="22"/>
          <w:szCs w:val="22"/>
          <w:lang w:val="nl-NL"/>
        </w:rPr>
      </w:pPr>
      <w:r w:rsidRPr="005E60AB">
        <w:rPr>
          <w:caps/>
          <w:color w:val="000000" w:themeColor="text1"/>
          <w:vertAlign w:val="superscript"/>
          <w:lang w:val="nl-NL"/>
        </w:rPr>
        <w:t>54</w:t>
      </w:r>
      <w:r w:rsidRPr="005E60AB">
        <w:rPr>
          <w:color w:val="000000" w:themeColor="text1"/>
          <w:lang w:val="nl-NL"/>
        </w:rPr>
        <w:t xml:space="preserve"> Forefront Endpoint Protection</w:t>
      </w:r>
      <w:r w:rsidRPr="005E60AB">
        <w:rPr>
          <w:color w:val="000000" w:themeColor="text1"/>
          <w:lang w:val="nl-NL"/>
        </w:rPr>
        <w:tab/>
      </w:r>
      <w:r w:rsidRPr="00B900C1">
        <w:rPr>
          <w:color w:val="000000" w:themeColor="text1"/>
        </w:rPr>
        <w:fldChar w:fldCharType="begin"/>
      </w:r>
      <w:r w:rsidRPr="005E60AB">
        <w:rPr>
          <w:color w:val="000000" w:themeColor="text1"/>
          <w:lang w:val="nl-NL"/>
        </w:rPr>
        <w:instrText xml:space="preserve"> PAGEREF _Toc353376092 \h </w:instrText>
      </w:r>
      <w:r w:rsidRPr="00B900C1">
        <w:rPr>
          <w:color w:val="000000" w:themeColor="text1"/>
        </w:rPr>
      </w:r>
      <w:r w:rsidRPr="00B900C1">
        <w:rPr>
          <w:color w:val="000000" w:themeColor="text1"/>
        </w:rPr>
        <w:fldChar w:fldCharType="separate"/>
      </w:r>
      <w:r w:rsidR="007B74B7" w:rsidRPr="005E60AB">
        <w:rPr>
          <w:color w:val="000000" w:themeColor="text1"/>
          <w:lang w:val="nl-NL"/>
        </w:rPr>
        <w:t>148</w:t>
      </w:r>
      <w:r w:rsidRPr="00B900C1">
        <w:rPr>
          <w:color w:val="000000" w:themeColor="text1"/>
        </w:rPr>
        <w:fldChar w:fldCharType="end"/>
      </w:r>
    </w:p>
    <w:p w:rsidR="00BD7CEA" w:rsidRPr="00B900C1" w:rsidRDefault="00BD7CEA" w:rsidP="00B900C1">
      <w:pPr>
        <w:pStyle w:val="TOC3"/>
        <w:rPr>
          <w:rFonts w:asciiTheme="minorHAnsi" w:eastAsiaTheme="minorEastAsia" w:hAnsiTheme="minorHAnsi" w:cstheme="minorBidi"/>
          <w:color w:val="000000" w:themeColor="text1"/>
          <w:sz w:val="22"/>
          <w:szCs w:val="22"/>
        </w:rPr>
      </w:pPr>
      <w:r w:rsidRPr="00B900C1">
        <w:rPr>
          <w:caps/>
          <w:color w:val="000000" w:themeColor="text1"/>
          <w:vertAlign w:val="superscript"/>
        </w:rPr>
        <w:t xml:space="preserve">55 </w:t>
      </w:r>
      <w:r w:rsidRPr="00B900C1">
        <w:rPr>
          <w:color w:val="000000" w:themeColor="text1"/>
        </w:rPr>
        <w:t>Forefront Identity Manager 2010 R2</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_Toc353376093 \h </w:instrText>
      </w:r>
      <w:r w:rsidRPr="00B900C1">
        <w:rPr>
          <w:color w:val="000000" w:themeColor="text1"/>
        </w:rPr>
      </w:r>
      <w:r w:rsidRPr="00B900C1">
        <w:rPr>
          <w:color w:val="000000" w:themeColor="text1"/>
        </w:rPr>
        <w:fldChar w:fldCharType="separate"/>
      </w:r>
      <w:r w:rsidR="007B74B7">
        <w:rPr>
          <w:color w:val="000000" w:themeColor="text1"/>
        </w:rPr>
        <w:t>148</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aps/>
          <w:color w:val="000000" w:themeColor="text1"/>
          <w:vertAlign w:val="superscript"/>
        </w:rPr>
        <w:t>56</w:t>
      </w:r>
      <w:r w:rsidRPr="00B900C1">
        <w:rPr>
          <w:rFonts w:cs="Tahoma"/>
          <w:color w:val="000000" w:themeColor="text1"/>
        </w:rPr>
        <w:t xml:space="preserve"> Forefront Identity Manager 2010</w:t>
      </w:r>
      <w:r w:rsidR="00FD7C0D">
        <w:rPr>
          <w:rFonts w:cs="Tahoma"/>
          <w:color w:val="000000" w:themeColor="text1"/>
        </w:rPr>
        <w:t xml:space="preserve"> – </w:t>
      </w:r>
      <w:r w:rsidRPr="00B900C1">
        <w:rPr>
          <w:rFonts w:cs="Tahoma"/>
          <w:color w:val="000000" w:themeColor="text1"/>
        </w:rPr>
        <w:t>Windows Live Edition</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_Toc353376094 \h </w:instrText>
      </w:r>
      <w:r w:rsidRPr="00B900C1">
        <w:rPr>
          <w:color w:val="000000" w:themeColor="text1"/>
        </w:rPr>
      </w:r>
      <w:r w:rsidRPr="00B900C1">
        <w:rPr>
          <w:color w:val="000000" w:themeColor="text1"/>
        </w:rPr>
        <w:fldChar w:fldCharType="separate"/>
      </w:r>
      <w:r w:rsidR="007B74B7">
        <w:rPr>
          <w:color w:val="000000" w:themeColor="text1"/>
        </w:rPr>
        <w:t>148</w:t>
      </w:r>
      <w:r w:rsidRPr="00B900C1">
        <w:rPr>
          <w:color w:val="000000" w:themeColor="text1"/>
        </w:rPr>
        <w:fldChar w:fldCharType="end"/>
      </w:r>
    </w:p>
    <w:p w:rsidR="00BD7CEA" w:rsidRPr="00B900C1" w:rsidRDefault="00BD7CEA" w:rsidP="005979A3">
      <w:pPr>
        <w:pStyle w:val="TOC3"/>
        <w:ind w:left="187" w:hanging="187"/>
        <w:rPr>
          <w:rFonts w:asciiTheme="minorHAnsi" w:eastAsiaTheme="minorEastAsia" w:hAnsiTheme="minorHAnsi" w:cstheme="minorBidi"/>
          <w:color w:val="000000" w:themeColor="text1"/>
          <w:sz w:val="22"/>
          <w:szCs w:val="22"/>
        </w:rPr>
      </w:pPr>
      <w:r w:rsidRPr="00B900C1">
        <w:rPr>
          <w:caps/>
          <w:color w:val="000000" w:themeColor="text1"/>
          <w:vertAlign w:val="superscript"/>
        </w:rPr>
        <w:t>57</w:t>
      </w:r>
      <w:r w:rsidRPr="00B900C1">
        <w:rPr>
          <w:color w:val="000000" w:themeColor="text1"/>
        </w:rPr>
        <w:t xml:space="preserve"> Forefront Protection 2010 for Exchange Server (SL per Dispositivo e Utente), Forefront Protection 2010 for SharePoint (SL per Dispositivo e Utente) e Forefront Protection 2010 per Siti Internet (SL Add-on)</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_Toc353376095 \h </w:instrText>
      </w:r>
      <w:r w:rsidRPr="00B900C1">
        <w:rPr>
          <w:color w:val="000000" w:themeColor="text1"/>
        </w:rPr>
      </w:r>
      <w:r w:rsidRPr="00B900C1">
        <w:rPr>
          <w:color w:val="000000" w:themeColor="text1"/>
        </w:rPr>
        <w:fldChar w:fldCharType="separate"/>
      </w:r>
      <w:r w:rsidR="007B74B7">
        <w:rPr>
          <w:color w:val="000000" w:themeColor="text1"/>
        </w:rPr>
        <w:t>149</w:t>
      </w:r>
      <w:r w:rsidRPr="00B900C1">
        <w:rPr>
          <w:color w:val="000000" w:themeColor="text1"/>
        </w:rPr>
        <w:fldChar w:fldCharType="end"/>
      </w:r>
    </w:p>
    <w:p w:rsidR="00BD7CEA" w:rsidRPr="00B900C1" w:rsidRDefault="00BD7CEA" w:rsidP="00B900C1">
      <w:pPr>
        <w:pStyle w:val="TOC3"/>
        <w:rPr>
          <w:rFonts w:asciiTheme="minorHAnsi" w:eastAsiaTheme="minorEastAsia" w:hAnsiTheme="minorHAnsi" w:cstheme="minorBidi"/>
          <w:color w:val="000000" w:themeColor="text1"/>
          <w:sz w:val="22"/>
          <w:szCs w:val="22"/>
        </w:rPr>
      </w:pPr>
      <w:r w:rsidRPr="00B900C1">
        <w:rPr>
          <w:caps/>
          <w:color w:val="000000" w:themeColor="text1"/>
          <w:vertAlign w:val="superscript"/>
        </w:rPr>
        <w:t>58</w:t>
      </w:r>
      <w:r w:rsidRPr="00B900C1">
        <w:rPr>
          <w:color w:val="000000" w:themeColor="text1"/>
        </w:rPr>
        <w:t xml:space="preserve"> Forefront Protection Suite (Dispositivo e Utente)</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_Toc353376096 \h </w:instrText>
      </w:r>
      <w:r w:rsidRPr="00B900C1">
        <w:rPr>
          <w:color w:val="000000" w:themeColor="text1"/>
        </w:rPr>
      </w:r>
      <w:r w:rsidRPr="00B900C1">
        <w:rPr>
          <w:color w:val="000000" w:themeColor="text1"/>
        </w:rPr>
        <w:fldChar w:fldCharType="separate"/>
      </w:r>
      <w:r w:rsidR="007B74B7">
        <w:rPr>
          <w:color w:val="000000" w:themeColor="text1"/>
        </w:rPr>
        <w:t>149</w:t>
      </w:r>
      <w:r w:rsidRPr="00B900C1">
        <w:rPr>
          <w:color w:val="000000" w:themeColor="text1"/>
        </w:rPr>
        <w:fldChar w:fldCharType="end"/>
      </w:r>
    </w:p>
    <w:p w:rsidR="00BD7CEA" w:rsidRPr="00B900C1" w:rsidRDefault="00BD7CEA" w:rsidP="00B900C1">
      <w:pPr>
        <w:pStyle w:val="TOC3"/>
        <w:rPr>
          <w:rFonts w:asciiTheme="minorHAnsi" w:eastAsiaTheme="minorEastAsia" w:hAnsiTheme="minorHAnsi" w:cstheme="minorBidi"/>
          <w:color w:val="000000" w:themeColor="text1"/>
          <w:sz w:val="22"/>
          <w:szCs w:val="22"/>
        </w:rPr>
      </w:pPr>
      <w:r w:rsidRPr="00B900C1">
        <w:rPr>
          <w:caps/>
          <w:color w:val="000000" w:themeColor="text1"/>
          <w:vertAlign w:val="superscript"/>
        </w:rPr>
        <w:t xml:space="preserve">59 </w:t>
      </w:r>
      <w:r w:rsidRPr="00B900C1">
        <w:rPr>
          <w:color w:val="000000" w:themeColor="text1"/>
        </w:rPr>
        <w:t>Forefront Security for Office Communications Server (SL per Utente e Dispositivo)</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_Toc353376097 \h </w:instrText>
      </w:r>
      <w:r w:rsidRPr="00B900C1">
        <w:rPr>
          <w:color w:val="000000" w:themeColor="text1"/>
        </w:rPr>
      </w:r>
      <w:r w:rsidRPr="00B900C1">
        <w:rPr>
          <w:color w:val="000000" w:themeColor="text1"/>
        </w:rPr>
        <w:fldChar w:fldCharType="separate"/>
      </w:r>
      <w:r w:rsidR="007B74B7">
        <w:rPr>
          <w:color w:val="000000" w:themeColor="text1"/>
        </w:rPr>
        <w:t>150</w:t>
      </w:r>
      <w:r w:rsidRPr="00B900C1">
        <w:rPr>
          <w:color w:val="000000" w:themeColor="text1"/>
        </w:rPr>
        <w:fldChar w:fldCharType="end"/>
      </w:r>
    </w:p>
    <w:p w:rsidR="00BD7CEA" w:rsidRPr="00B900C1" w:rsidRDefault="00BD7CEA" w:rsidP="00B900C1">
      <w:pPr>
        <w:pStyle w:val="TOC3"/>
        <w:rPr>
          <w:rFonts w:asciiTheme="minorHAnsi" w:eastAsiaTheme="minorEastAsia" w:hAnsiTheme="minorHAnsi" w:cstheme="minorBidi"/>
          <w:color w:val="000000" w:themeColor="text1"/>
          <w:sz w:val="22"/>
          <w:szCs w:val="22"/>
        </w:rPr>
      </w:pPr>
      <w:r w:rsidRPr="00B900C1">
        <w:rPr>
          <w:caps/>
          <w:color w:val="000000" w:themeColor="text1"/>
          <w:vertAlign w:val="superscript"/>
        </w:rPr>
        <w:t xml:space="preserve">60 </w:t>
      </w:r>
      <w:r w:rsidRPr="00B900C1">
        <w:rPr>
          <w:color w:val="000000" w:themeColor="text1"/>
        </w:rPr>
        <w:t>Forefront Threat Management Gateway Web Protection Service</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_Toc353376098 \h </w:instrText>
      </w:r>
      <w:r w:rsidRPr="00B900C1">
        <w:rPr>
          <w:color w:val="000000" w:themeColor="text1"/>
        </w:rPr>
      </w:r>
      <w:r w:rsidRPr="00B900C1">
        <w:rPr>
          <w:color w:val="000000" w:themeColor="text1"/>
        </w:rPr>
        <w:fldChar w:fldCharType="separate"/>
      </w:r>
      <w:r w:rsidR="007B74B7">
        <w:rPr>
          <w:color w:val="000000" w:themeColor="text1"/>
        </w:rPr>
        <w:t>150</w:t>
      </w:r>
      <w:r w:rsidRPr="00B900C1">
        <w:rPr>
          <w:color w:val="000000" w:themeColor="text1"/>
        </w:rPr>
        <w:fldChar w:fldCharType="end"/>
      </w:r>
    </w:p>
    <w:p w:rsidR="00BD7CEA" w:rsidRPr="00B900C1" w:rsidRDefault="00BD7CEA" w:rsidP="00B900C1">
      <w:pPr>
        <w:pStyle w:val="TOC3"/>
        <w:rPr>
          <w:rFonts w:asciiTheme="minorHAnsi" w:eastAsiaTheme="minorEastAsia" w:hAnsiTheme="minorHAnsi" w:cstheme="minorBidi"/>
          <w:color w:val="000000" w:themeColor="text1"/>
          <w:sz w:val="22"/>
          <w:szCs w:val="22"/>
        </w:rPr>
      </w:pPr>
      <w:r w:rsidRPr="00B900C1">
        <w:rPr>
          <w:caps/>
          <w:color w:val="000000" w:themeColor="text1"/>
          <w:vertAlign w:val="superscript"/>
        </w:rPr>
        <w:t xml:space="preserve">61 </w:t>
      </w:r>
      <w:r w:rsidRPr="00B900C1">
        <w:rPr>
          <w:color w:val="000000" w:themeColor="text1"/>
        </w:rPr>
        <w:t>Forefront Unified Access Gateway 2010</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_Toc353376099 \h </w:instrText>
      </w:r>
      <w:r w:rsidRPr="00B900C1">
        <w:rPr>
          <w:color w:val="000000" w:themeColor="text1"/>
        </w:rPr>
      </w:r>
      <w:r w:rsidRPr="00B900C1">
        <w:rPr>
          <w:color w:val="000000" w:themeColor="text1"/>
        </w:rPr>
        <w:fldChar w:fldCharType="separate"/>
      </w:r>
      <w:r w:rsidR="007B74B7">
        <w:rPr>
          <w:color w:val="000000" w:themeColor="text1"/>
        </w:rPr>
        <w:t>150</w:t>
      </w:r>
      <w:r w:rsidRPr="00B900C1">
        <w:rPr>
          <w:color w:val="000000" w:themeColor="text1"/>
        </w:rPr>
        <w:fldChar w:fldCharType="end"/>
      </w:r>
    </w:p>
    <w:p w:rsidR="00BD7CEA" w:rsidRPr="00B900C1" w:rsidRDefault="00BD7CEA" w:rsidP="00B900C1">
      <w:pPr>
        <w:pStyle w:val="TOC3"/>
        <w:rPr>
          <w:rFonts w:asciiTheme="minorHAnsi" w:eastAsiaTheme="minorEastAsia" w:hAnsiTheme="minorHAnsi" w:cstheme="minorBidi"/>
          <w:color w:val="000000" w:themeColor="text1"/>
          <w:sz w:val="22"/>
          <w:szCs w:val="22"/>
        </w:rPr>
      </w:pPr>
      <w:r w:rsidRPr="00B900C1">
        <w:rPr>
          <w:caps/>
          <w:color w:val="000000" w:themeColor="text1"/>
          <w:vertAlign w:val="superscript"/>
        </w:rPr>
        <w:t xml:space="preserve">62 </w:t>
      </w:r>
      <w:r w:rsidRPr="00B900C1">
        <w:rPr>
          <w:color w:val="000000" w:themeColor="text1"/>
        </w:rPr>
        <w:t>HPC Pack 2008 R2 Enterprise</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_Toc353376100 \h </w:instrText>
      </w:r>
      <w:r w:rsidRPr="00B900C1">
        <w:rPr>
          <w:color w:val="000000" w:themeColor="text1"/>
        </w:rPr>
      </w:r>
      <w:r w:rsidRPr="00B900C1">
        <w:rPr>
          <w:color w:val="000000" w:themeColor="text1"/>
        </w:rPr>
        <w:fldChar w:fldCharType="separate"/>
      </w:r>
      <w:r w:rsidR="007B74B7">
        <w:rPr>
          <w:color w:val="000000" w:themeColor="text1"/>
        </w:rPr>
        <w:t>150</w:t>
      </w:r>
      <w:r w:rsidRPr="00B900C1">
        <w:rPr>
          <w:color w:val="000000" w:themeColor="text1"/>
        </w:rPr>
        <w:fldChar w:fldCharType="end"/>
      </w:r>
    </w:p>
    <w:p w:rsidR="00BD7CEA" w:rsidRPr="00B900C1" w:rsidRDefault="00BD7CEA" w:rsidP="00B900C1">
      <w:pPr>
        <w:pStyle w:val="TOC3"/>
        <w:rPr>
          <w:rFonts w:asciiTheme="minorHAnsi" w:eastAsiaTheme="minorEastAsia" w:hAnsiTheme="minorHAnsi" w:cstheme="minorBidi"/>
          <w:color w:val="000000" w:themeColor="text1"/>
          <w:sz w:val="22"/>
          <w:szCs w:val="22"/>
        </w:rPr>
      </w:pPr>
      <w:r w:rsidRPr="00B900C1">
        <w:rPr>
          <w:caps/>
          <w:color w:val="000000" w:themeColor="text1"/>
          <w:vertAlign w:val="superscript"/>
        </w:rPr>
        <w:t>63</w:t>
      </w:r>
      <w:r w:rsidRPr="00B900C1">
        <w:rPr>
          <w:color w:val="000000" w:themeColor="text1"/>
        </w:rPr>
        <w:t xml:space="preserve"> Learning Solutions MCP Exam Vouchers</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_Toc353376101 \h </w:instrText>
      </w:r>
      <w:r w:rsidRPr="00B900C1">
        <w:rPr>
          <w:color w:val="000000" w:themeColor="text1"/>
        </w:rPr>
      </w:r>
      <w:r w:rsidRPr="00B900C1">
        <w:rPr>
          <w:color w:val="000000" w:themeColor="text1"/>
        </w:rPr>
        <w:fldChar w:fldCharType="separate"/>
      </w:r>
      <w:r w:rsidR="007B74B7">
        <w:rPr>
          <w:color w:val="000000" w:themeColor="text1"/>
        </w:rPr>
        <w:t>151</w:t>
      </w:r>
      <w:r w:rsidRPr="00B900C1">
        <w:rPr>
          <w:color w:val="000000" w:themeColor="text1"/>
        </w:rPr>
        <w:fldChar w:fldCharType="end"/>
      </w:r>
    </w:p>
    <w:p w:rsidR="00BD7CEA" w:rsidRPr="005E60AB" w:rsidRDefault="00BD7CEA">
      <w:pPr>
        <w:pStyle w:val="TOC2"/>
        <w:rPr>
          <w:rFonts w:asciiTheme="minorHAnsi" w:eastAsiaTheme="minorEastAsia" w:hAnsiTheme="minorHAnsi" w:cstheme="minorBidi"/>
          <w:color w:val="000000" w:themeColor="text1"/>
          <w:sz w:val="22"/>
          <w:szCs w:val="22"/>
          <w:lang w:val="it-IT"/>
        </w:rPr>
      </w:pPr>
      <w:r w:rsidRPr="005E60AB">
        <w:rPr>
          <w:rFonts w:cs="Tahoma"/>
          <w:caps/>
          <w:color w:val="000000" w:themeColor="text1"/>
          <w:vertAlign w:val="superscript"/>
          <w:lang w:val="it-IT"/>
        </w:rPr>
        <w:t>64</w:t>
      </w:r>
      <w:r w:rsidRPr="005E60AB">
        <w:rPr>
          <w:rFonts w:cs="Tahoma"/>
          <w:color w:val="000000" w:themeColor="text1"/>
          <w:lang w:val="it-IT"/>
        </w:rPr>
        <w:t xml:space="preserve"> Lync Online Piani 1, 2 e 3</w:t>
      </w:r>
      <w:r w:rsidRPr="005E60AB">
        <w:rPr>
          <w:color w:val="000000" w:themeColor="text1"/>
          <w:lang w:val="it-IT"/>
        </w:rPr>
        <w:tab/>
      </w:r>
      <w:r w:rsidRPr="00B900C1">
        <w:rPr>
          <w:color w:val="000000" w:themeColor="text1"/>
        </w:rPr>
        <w:fldChar w:fldCharType="begin"/>
      </w:r>
      <w:r w:rsidRPr="005E60AB">
        <w:rPr>
          <w:color w:val="000000" w:themeColor="text1"/>
          <w:lang w:val="it-IT"/>
        </w:rPr>
        <w:instrText xml:space="preserve"> PAGEREF _Toc353376102 \h </w:instrText>
      </w:r>
      <w:r w:rsidRPr="00B900C1">
        <w:rPr>
          <w:color w:val="000000" w:themeColor="text1"/>
        </w:rPr>
      </w:r>
      <w:r w:rsidRPr="00B900C1">
        <w:rPr>
          <w:color w:val="000000" w:themeColor="text1"/>
        </w:rPr>
        <w:fldChar w:fldCharType="separate"/>
      </w:r>
      <w:r w:rsidR="007B74B7" w:rsidRPr="005E60AB">
        <w:rPr>
          <w:color w:val="000000" w:themeColor="text1"/>
          <w:lang w:val="it-IT"/>
        </w:rPr>
        <w:t>151</w:t>
      </w:r>
      <w:r w:rsidRPr="00B900C1">
        <w:rPr>
          <w:color w:val="000000" w:themeColor="text1"/>
        </w:rPr>
        <w:fldChar w:fldCharType="end"/>
      </w:r>
    </w:p>
    <w:p w:rsidR="00BD7CEA" w:rsidRPr="005E60AB" w:rsidRDefault="00BD7CEA">
      <w:pPr>
        <w:pStyle w:val="TOC2"/>
        <w:rPr>
          <w:rFonts w:asciiTheme="minorHAnsi" w:eastAsiaTheme="minorEastAsia" w:hAnsiTheme="minorHAnsi" w:cstheme="minorBidi"/>
          <w:color w:val="000000" w:themeColor="text1"/>
          <w:sz w:val="22"/>
          <w:szCs w:val="22"/>
          <w:lang w:val="it-IT"/>
        </w:rPr>
      </w:pPr>
      <w:r w:rsidRPr="005E60AB">
        <w:rPr>
          <w:rFonts w:cs="Tahoma"/>
          <w:caps/>
          <w:color w:val="000000" w:themeColor="text1"/>
          <w:vertAlign w:val="superscript"/>
          <w:lang w:val="it-IT"/>
        </w:rPr>
        <w:t xml:space="preserve">65 </w:t>
      </w:r>
      <w:r w:rsidRPr="005E60AB">
        <w:rPr>
          <w:rFonts w:cs="Tahoma"/>
          <w:color w:val="000000" w:themeColor="text1"/>
          <w:lang w:val="it-IT"/>
        </w:rPr>
        <w:t>Lync Server 2013</w:t>
      </w:r>
      <w:r w:rsidRPr="005E60AB">
        <w:rPr>
          <w:color w:val="000000" w:themeColor="text1"/>
          <w:lang w:val="it-IT"/>
        </w:rPr>
        <w:tab/>
      </w:r>
      <w:r w:rsidRPr="00B900C1">
        <w:rPr>
          <w:color w:val="000000" w:themeColor="text1"/>
        </w:rPr>
        <w:fldChar w:fldCharType="begin"/>
      </w:r>
      <w:r w:rsidRPr="005E60AB">
        <w:rPr>
          <w:color w:val="000000" w:themeColor="text1"/>
          <w:lang w:val="it-IT"/>
        </w:rPr>
        <w:instrText xml:space="preserve"> PAGEREF _Toc353376103 \h </w:instrText>
      </w:r>
      <w:r w:rsidRPr="00B900C1">
        <w:rPr>
          <w:color w:val="000000" w:themeColor="text1"/>
        </w:rPr>
      </w:r>
      <w:r w:rsidRPr="00B900C1">
        <w:rPr>
          <w:color w:val="000000" w:themeColor="text1"/>
        </w:rPr>
        <w:fldChar w:fldCharType="separate"/>
      </w:r>
      <w:r w:rsidR="007B74B7" w:rsidRPr="005E60AB">
        <w:rPr>
          <w:color w:val="000000" w:themeColor="text1"/>
          <w:lang w:val="it-IT"/>
        </w:rPr>
        <w:t>152</w:t>
      </w:r>
      <w:r w:rsidRPr="00B900C1">
        <w:rPr>
          <w:color w:val="000000" w:themeColor="text1"/>
        </w:rPr>
        <w:fldChar w:fldCharType="end"/>
      </w:r>
    </w:p>
    <w:p w:rsidR="00BD7CEA" w:rsidRPr="005E60AB" w:rsidRDefault="00BD7CEA" w:rsidP="00B900C1">
      <w:pPr>
        <w:pStyle w:val="TOC3"/>
        <w:rPr>
          <w:rFonts w:asciiTheme="minorHAnsi" w:eastAsiaTheme="minorEastAsia" w:hAnsiTheme="minorHAnsi" w:cstheme="minorBidi"/>
          <w:color w:val="000000" w:themeColor="text1"/>
          <w:sz w:val="22"/>
          <w:szCs w:val="22"/>
          <w:lang w:val="it-IT"/>
        </w:rPr>
      </w:pPr>
      <w:r w:rsidRPr="005E60AB">
        <w:rPr>
          <w:color w:val="000000" w:themeColor="text1"/>
          <w:vertAlign w:val="superscript"/>
          <w:lang w:val="it-IT"/>
        </w:rPr>
        <w:t>66</w:t>
      </w:r>
      <w:r w:rsidRPr="005E60AB">
        <w:rPr>
          <w:color w:val="000000" w:themeColor="text1"/>
          <w:lang w:val="it-IT"/>
        </w:rPr>
        <w:t xml:space="preserve"> Microsoft Dynamics AX 2012 R2</w:t>
      </w:r>
      <w:r w:rsidRPr="005E60AB">
        <w:rPr>
          <w:color w:val="000000" w:themeColor="text1"/>
          <w:lang w:val="it-IT"/>
        </w:rPr>
        <w:tab/>
      </w:r>
      <w:r w:rsidRPr="00B900C1">
        <w:rPr>
          <w:color w:val="000000" w:themeColor="text1"/>
        </w:rPr>
        <w:fldChar w:fldCharType="begin"/>
      </w:r>
      <w:r w:rsidRPr="005E60AB">
        <w:rPr>
          <w:color w:val="000000" w:themeColor="text1"/>
          <w:lang w:val="it-IT"/>
        </w:rPr>
        <w:instrText xml:space="preserve"> PAGEREF _Toc353376104 \h </w:instrText>
      </w:r>
      <w:r w:rsidRPr="00B900C1">
        <w:rPr>
          <w:color w:val="000000" w:themeColor="text1"/>
        </w:rPr>
      </w:r>
      <w:r w:rsidRPr="00B900C1">
        <w:rPr>
          <w:color w:val="000000" w:themeColor="text1"/>
        </w:rPr>
        <w:fldChar w:fldCharType="separate"/>
      </w:r>
      <w:r w:rsidR="007B74B7" w:rsidRPr="005E60AB">
        <w:rPr>
          <w:color w:val="000000" w:themeColor="text1"/>
          <w:lang w:val="it-IT"/>
        </w:rPr>
        <w:t>153</w:t>
      </w:r>
      <w:r w:rsidRPr="00B900C1">
        <w:rPr>
          <w:color w:val="000000" w:themeColor="text1"/>
        </w:rPr>
        <w:fldChar w:fldCharType="end"/>
      </w:r>
    </w:p>
    <w:p w:rsidR="00BD7CEA" w:rsidRPr="005E60AB" w:rsidRDefault="00BD7CEA" w:rsidP="00B900C1">
      <w:pPr>
        <w:pStyle w:val="TOC3"/>
        <w:rPr>
          <w:rFonts w:asciiTheme="minorHAnsi" w:eastAsiaTheme="minorEastAsia" w:hAnsiTheme="minorHAnsi" w:cstheme="minorBidi"/>
          <w:color w:val="000000" w:themeColor="text1"/>
          <w:sz w:val="22"/>
          <w:szCs w:val="22"/>
          <w:lang w:val="it-IT"/>
        </w:rPr>
      </w:pPr>
      <w:r w:rsidRPr="005E60AB">
        <w:rPr>
          <w:color w:val="000000" w:themeColor="text1"/>
          <w:vertAlign w:val="superscript"/>
          <w:lang w:val="it-IT"/>
        </w:rPr>
        <w:t>67</w:t>
      </w:r>
      <w:r w:rsidRPr="005E60AB">
        <w:rPr>
          <w:color w:val="000000" w:themeColor="text1"/>
          <w:lang w:val="it-IT"/>
        </w:rPr>
        <w:t xml:space="preserve"> Microsoft Dynamics CRM 2011</w:t>
      </w:r>
      <w:r w:rsidRPr="005E60AB">
        <w:rPr>
          <w:color w:val="000000" w:themeColor="text1"/>
          <w:lang w:val="it-IT"/>
        </w:rPr>
        <w:tab/>
      </w:r>
      <w:r w:rsidRPr="00B900C1">
        <w:rPr>
          <w:color w:val="000000" w:themeColor="text1"/>
        </w:rPr>
        <w:fldChar w:fldCharType="begin"/>
      </w:r>
      <w:r w:rsidRPr="005E60AB">
        <w:rPr>
          <w:color w:val="000000" w:themeColor="text1"/>
          <w:lang w:val="it-IT"/>
        </w:rPr>
        <w:instrText xml:space="preserve"> PAGEREF _Toc353376105 \h </w:instrText>
      </w:r>
      <w:r w:rsidRPr="00B900C1">
        <w:rPr>
          <w:color w:val="000000" w:themeColor="text1"/>
        </w:rPr>
      </w:r>
      <w:r w:rsidRPr="00B900C1">
        <w:rPr>
          <w:color w:val="000000" w:themeColor="text1"/>
        </w:rPr>
        <w:fldChar w:fldCharType="separate"/>
      </w:r>
      <w:r w:rsidR="007B74B7" w:rsidRPr="005E60AB">
        <w:rPr>
          <w:color w:val="000000" w:themeColor="text1"/>
          <w:lang w:val="it-IT"/>
        </w:rPr>
        <w:t>155</w:t>
      </w:r>
      <w:r w:rsidRPr="00B900C1">
        <w:rPr>
          <w:color w:val="000000" w:themeColor="text1"/>
        </w:rPr>
        <w:fldChar w:fldCharType="end"/>
      </w:r>
    </w:p>
    <w:p w:rsidR="00BD7CEA" w:rsidRPr="005E60AB" w:rsidRDefault="00BD7CEA">
      <w:pPr>
        <w:pStyle w:val="TOC2"/>
        <w:rPr>
          <w:rFonts w:asciiTheme="minorHAnsi" w:eastAsiaTheme="minorEastAsia" w:hAnsiTheme="minorHAnsi" w:cstheme="minorBidi"/>
          <w:color w:val="000000" w:themeColor="text1"/>
          <w:sz w:val="22"/>
          <w:szCs w:val="22"/>
          <w:lang w:val="it-IT"/>
        </w:rPr>
      </w:pPr>
      <w:r w:rsidRPr="005E60AB">
        <w:rPr>
          <w:rFonts w:cs="Tahoma"/>
          <w:caps/>
          <w:color w:val="000000" w:themeColor="text1"/>
          <w:vertAlign w:val="superscript"/>
          <w:lang w:val="it-IT"/>
        </w:rPr>
        <w:t xml:space="preserve">68 </w:t>
      </w:r>
      <w:r w:rsidRPr="005E60AB">
        <w:rPr>
          <w:rFonts w:cs="Tahoma"/>
          <w:color w:val="000000" w:themeColor="text1"/>
          <w:lang w:val="it-IT"/>
        </w:rPr>
        <w:t>Microsoft Dynamics CRM 2011 Server</w:t>
      </w:r>
      <w:r w:rsidRPr="005E60AB">
        <w:rPr>
          <w:color w:val="000000" w:themeColor="text1"/>
          <w:lang w:val="it-IT"/>
        </w:rPr>
        <w:tab/>
      </w:r>
      <w:r w:rsidRPr="00B900C1">
        <w:rPr>
          <w:color w:val="000000" w:themeColor="text1"/>
        </w:rPr>
        <w:fldChar w:fldCharType="begin"/>
      </w:r>
      <w:r w:rsidRPr="005E60AB">
        <w:rPr>
          <w:color w:val="000000" w:themeColor="text1"/>
          <w:lang w:val="it-IT"/>
        </w:rPr>
        <w:instrText xml:space="preserve"> PAGEREF _Toc353376106 \h </w:instrText>
      </w:r>
      <w:r w:rsidRPr="00B900C1">
        <w:rPr>
          <w:color w:val="000000" w:themeColor="text1"/>
        </w:rPr>
      </w:r>
      <w:r w:rsidRPr="00B900C1">
        <w:rPr>
          <w:color w:val="000000" w:themeColor="text1"/>
        </w:rPr>
        <w:fldChar w:fldCharType="separate"/>
      </w:r>
      <w:r w:rsidR="007B74B7" w:rsidRPr="005E60AB">
        <w:rPr>
          <w:color w:val="000000" w:themeColor="text1"/>
          <w:lang w:val="it-IT"/>
        </w:rPr>
        <w:t>163</w:t>
      </w:r>
      <w:r w:rsidRPr="00B900C1">
        <w:rPr>
          <w:color w:val="000000" w:themeColor="text1"/>
        </w:rPr>
        <w:fldChar w:fldCharType="end"/>
      </w:r>
    </w:p>
    <w:p w:rsidR="00BD7CEA" w:rsidRPr="005E60AB" w:rsidRDefault="00BD7CEA">
      <w:pPr>
        <w:pStyle w:val="TOC2"/>
        <w:rPr>
          <w:rFonts w:asciiTheme="minorHAnsi" w:eastAsiaTheme="minorEastAsia" w:hAnsiTheme="minorHAnsi" w:cstheme="minorBidi"/>
          <w:color w:val="000000" w:themeColor="text1"/>
          <w:sz w:val="22"/>
          <w:szCs w:val="22"/>
          <w:lang w:val="it-IT"/>
        </w:rPr>
      </w:pPr>
      <w:r w:rsidRPr="005E60AB">
        <w:rPr>
          <w:rFonts w:cs="Tahoma"/>
          <w:caps/>
          <w:color w:val="000000" w:themeColor="text1"/>
          <w:vertAlign w:val="superscript"/>
          <w:lang w:val="it-IT"/>
        </w:rPr>
        <w:t>69</w:t>
      </w:r>
      <w:r w:rsidRPr="005E60AB">
        <w:rPr>
          <w:rFonts w:cs="Tahoma"/>
          <w:color w:val="000000" w:themeColor="text1"/>
          <w:lang w:val="it-IT"/>
        </w:rPr>
        <w:t xml:space="preserve"> Office 365 Enterprise E1</w:t>
      </w:r>
      <w:r w:rsidRPr="005E60AB">
        <w:rPr>
          <w:color w:val="000000" w:themeColor="text1"/>
          <w:lang w:val="it-IT"/>
        </w:rPr>
        <w:tab/>
      </w:r>
      <w:r w:rsidRPr="00B900C1">
        <w:rPr>
          <w:color w:val="000000" w:themeColor="text1"/>
        </w:rPr>
        <w:fldChar w:fldCharType="begin"/>
      </w:r>
      <w:r w:rsidRPr="005E60AB">
        <w:rPr>
          <w:color w:val="000000" w:themeColor="text1"/>
          <w:lang w:val="it-IT"/>
        </w:rPr>
        <w:instrText xml:space="preserve"> PAGEREF _Toc353376107 \h </w:instrText>
      </w:r>
      <w:r w:rsidRPr="00B900C1">
        <w:rPr>
          <w:color w:val="000000" w:themeColor="text1"/>
        </w:rPr>
      </w:r>
      <w:r w:rsidRPr="00B900C1">
        <w:rPr>
          <w:color w:val="000000" w:themeColor="text1"/>
        </w:rPr>
        <w:fldChar w:fldCharType="separate"/>
      </w:r>
      <w:r w:rsidR="007B74B7" w:rsidRPr="005E60AB">
        <w:rPr>
          <w:color w:val="000000" w:themeColor="text1"/>
          <w:lang w:val="it-IT"/>
        </w:rPr>
        <w:t>163</w:t>
      </w:r>
      <w:r w:rsidRPr="00B900C1">
        <w:rPr>
          <w:color w:val="000000" w:themeColor="text1"/>
        </w:rPr>
        <w:fldChar w:fldCharType="end"/>
      </w:r>
    </w:p>
    <w:p w:rsidR="00BD7CEA" w:rsidRPr="005E60AB" w:rsidRDefault="00BD7CEA">
      <w:pPr>
        <w:pStyle w:val="TOC2"/>
        <w:rPr>
          <w:rFonts w:asciiTheme="minorHAnsi" w:eastAsiaTheme="minorEastAsia" w:hAnsiTheme="minorHAnsi" w:cstheme="minorBidi"/>
          <w:color w:val="000000" w:themeColor="text1"/>
          <w:sz w:val="22"/>
          <w:szCs w:val="22"/>
          <w:lang w:val="it-IT"/>
        </w:rPr>
      </w:pPr>
      <w:r w:rsidRPr="005E60AB">
        <w:rPr>
          <w:rFonts w:cs="Tahoma"/>
          <w:caps/>
          <w:color w:val="000000" w:themeColor="text1"/>
          <w:vertAlign w:val="superscript"/>
          <w:lang w:val="it-IT"/>
        </w:rPr>
        <w:t xml:space="preserve">70 </w:t>
      </w:r>
      <w:r w:rsidRPr="005E60AB">
        <w:rPr>
          <w:rFonts w:cs="Tahoma"/>
          <w:color w:val="000000" w:themeColor="text1"/>
          <w:lang w:val="it-IT"/>
        </w:rPr>
        <w:t>Office 365 Enterprise K1 e K2 (SL per Utente)</w:t>
      </w:r>
      <w:r w:rsidRPr="005E60AB">
        <w:rPr>
          <w:color w:val="000000" w:themeColor="text1"/>
          <w:lang w:val="it-IT"/>
        </w:rPr>
        <w:tab/>
      </w:r>
      <w:r w:rsidRPr="00B900C1">
        <w:rPr>
          <w:color w:val="000000" w:themeColor="text1"/>
        </w:rPr>
        <w:fldChar w:fldCharType="begin"/>
      </w:r>
      <w:r w:rsidRPr="005E60AB">
        <w:rPr>
          <w:color w:val="000000" w:themeColor="text1"/>
          <w:lang w:val="it-IT"/>
        </w:rPr>
        <w:instrText xml:space="preserve"> PAGEREF _Toc353376108 \h </w:instrText>
      </w:r>
      <w:r w:rsidRPr="00B900C1">
        <w:rPr>
          <w:color w:val="000000" w:themeColor="text1"/>
        </w:rPr>
      </w:r>
      <w:r w:rsidRPr="00B900C1">
        <w:rPr>
          <w:color w:val="000000" w:themeColor="text1"/>
        </w:rPr>
        <w:fldChar w:fldCharType="separate"/>
      </w:r>
      <w:r w:rsidR="007B74B7" w:rsidRPr="005E60AB">
        <w:rPr>
          <w:color w:val="000000" w:themeColor="text1"/>
          <w:lang w:val="it-IT"/>
        </w:rPr>
        <w:t>164</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aps/>
          <w:color w:val="000000" w:themeColor="text1"/>
          <w:vertAlign w:val="superscript"/>
        </w:rPr>
        <w:t>71</w:t>
      </w:r>
      <w:r w:rsidRPr="00B900C1">
        <w:rPr>
          <w:rFonts w:cs="Tahoma"/>
          <w:color w:val="000000" w:themeColor="text1"/>
        </w:rPr>
        <w:t xml:space="preserve"> Office 365 Government G1-G4</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_Toc353376109 \h </w:instrText>
      </w:r>
      <w:r w:rsidRPr="00B900C1">
        <w:rPr>
          <w:color w:val="000000" w:themeColor="text1"/>
        </w:rPr>
      </w:r>
      <w:r w:rsidRPr="00B900C1">
        <w:rPr>
          <w:color w:val="000000" w:themeColor="text1"/>
        </w:rPr>
        <w:fldChar w:fldCharType="separate"/>
      </w:r>
      <w:r w:rsidR="007B74B7">
        <w:rPr>
          <w:color w:val="000000" w:themeColor="text1"/>
        </w:rPr>
        <w:t>164</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aps/>
          <w:color w:val="000000" w:themeColor="text1"/>
          <w:vertAlign w:val="superscript"/>
        </w:rPr>
        <w:t>72</w:t>
      </w:r>
      <w:r w:rsidRPr="00B900C1">
        <w:rPr>
          <w:rFonts w:cs="Tahoma"/>
          <w:color w:val="000000" w:themeColor="text1"/>
        </w:rPr>
        <w:t xml:space="preserve"> SharePoint Online Piani 1 e 2</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_Toc353376110 \h </w:instrText>
      </w:r>
      <w:r w:rsidRPr="00B900C1">
        <w:rPr>
          <w:color w:val="000000" w:themeColor="text1"/>
        </w:rPr>
      </w:r>
      <w:r w:rsidRPr="00B900C1">
        <w:rPr>
          <w:color w:val="000000" w:themeColor="text1"/>
        </w:rPr>
        <w:fldChar w:fldCharType="separate"/>
      </w:r>
      <w:r w:rsidR="007B74B7">
        <w:rPr>
          <w:color w:val="000000" w:themeColor="text1"/>
        </w:rPr>
        <w:t>165</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aps/>
          <w:color w:val="000000" w:themeColor="text1"/>
          <w:vertAlign w:val="superscript"/>
        </w:rPr>
        <w:t xml:space="preserve">73 </w:t>
      </w:r>
      <w:r w:rsidRPr="00B900C1">
        <w:rPr>
          <w:rFonts w:cs="Tahoma"/>
          <w:color w:val="000000" w:themeColor="text1"/>
        </w:rPr>
        <w:t>SharePoint Server 2013</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_Toc353376111 \h </w:instrText>
      </w:r>
      <w:r w:rsidRPr="00B900C1">
        <w:rPr>
          <w:color w:val="000000" w:themeColor="text1"/>
        </w:rPr>
      </w:r>
      <w:r w:rsidRPr="00B900C1">
        <w:rPr>
          <w:color w:val="000000" w:themeColor="text1"/>
        </w:rPr>
        <w:fldChar w:fldCharType="separate"/>
      </w:r>
      <w:r w:rsidR="007B74B7">
        <w:rPr>
          <w:color w:val="000000" w:themeColor="text1"/>
        </w:rPr>
        <w:t>166</w:t>
      </w:r>
      <w:r w:rsidRPr="00B900C1">
        <w:rPr>
          <w:color w:val="000000" w:themeColor="text1"/>
        </w:rPr>
        <w:fldChar w:fldCharType="end"/>
      </w:r>
    </w:p>
    <w:p w:rsidR="00BD7CEA" w:rsidRPr="00B900C1" w:rsidRDefault="00BD7CEA" w:rsidP="00B900C1">
      <w:pPr>
        <w:pStyle w:val="TOC3"/>
        <w:rPr>
          <w:rFonts w:asciiTheme="minorHAnsi" w:eastAsiaTheme="minorEastAsia" w:hAnsiTheme="minorHAnsi" w:cstheme="minorBidi"/>
          <w:color w:val="000000" w:themeColor="text1"/>
          <w:sz w:val="22"/>
          <w:szCs w:val="22"/>
        </w:rPr>
      </w:pPr>
      <w:r w:rsidRPr="00B900C1">
        <w:rPr>
          <w:caps/>
          <w:color w:val="000000" w:themeColor="text1"/>
          <w:vertAlign w:val="superscript"/>
        </w:rPr>
        <w:t>74</w:t>
      </w:r>
      <w:r w:rsidRPr="00B900C1">
        <w:rPr>
          <w:color w:val="000000" w:themeColor="text1"/>
        </w:rPr>
        <w:t xml:space="preserve"> SQL Server</w:t>
      </w:r>
      <w:r w:rsidRPr="00B900C1">
        <w:rPr>
          <w:color w:val="000000" w:themeColor="text1"/>
          <w:vertAlign w:val="superscript"/>
        </w:rPr>
        <w:t>®</w:t>
      </w:r>
      <w:r w:rsidRPr="00B900C1">
        <w:rPr>
          <w:color w:val="000000" w:themeColor="text1"/>
        </w:rPr>
        <w:t xml:space="preserve"> 2008 R2 Datacenter</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_Toc353376112 \h </w:instrText>
      </w:r>
      <w:r w:rsidRPr="00B900C1">
        <w:rPr>
          <w:color w:val="000000" w:themeColor="text1"/>
        </w:rPr>
      </w:r>
      <w:r w:rsidRPr="00B900C1">
        <w:rPr>
          <w:color w:val="000000" w:themeColor="text1"/>
        </w:rPr>
        <w:fldChar w:fldCharType="separate"/>
      </w:r>
      <w:r w:rsidR="007B74B7">
        <w:rPr>
          <w:color w:val="000000" w:themeColor="text1"/>
        </w:rPr>
        <w:t>167</w:t>
      </w:r>
      <w:r w:rsidRPr="00B900C1">
        <w:rPr>
          <w:color w:val="000000" w:themeColor="text1"/>
        </w:rPr>
        <w:fldChar w:fldCharType="end"/>
      </w:r>
    </w:p>
    <w:p w:rsidR="00BD7CEA" w:rsidRPr="00B900C1" w:rsidRDefault="00BD7CEA" w:rsidP="00B900C1">
      <w:pPr>
        <w:pStyle w:val="TOC3"/>
        <w:rPr>
          <w:rFonts w:asciiTheme="minorHAnsi" w:eastAsiaTheme="minorEastAsia" w:hAnsiTheme="minorHAnsi" w:cstheme="minorBidi"/>
          <w:color w:val="000000" w:themeColor="text1"/>
          <w:sz w:val="22"/>
          <w:szCs w:val="22"/>
        </w:rPr>
      </w:pPr>
      <w:r w:rsidRPr="00B900C1">
        <w:rPr>
          <w:caps/>
          <w:color w:val="000000" w:themeColor="text1"/>
          <w:vertAlign w:val="superscript"/>
        </w:rPr>
        <w:t xml:space="preserve">75 </w:t>
      </w:r>
      <w:r w:rsidRPr="00B900C1">
        <w:rPr>
          <w:color w:val="000000" w:themeColor="text1"/>
        </w:rPr>
        <w:t>SQL Server</w:t>
      </w:r>
      <w:r w:rsidRPr="00B900C1">
        <w:rPr>
          <w:color w:val="000000" w:themeColor="text1"/>
          <w:vertAlign w:val="superscript"/>
        </w:rPr>
        <w:t>®</w:t>
      </w:r>
      <w:r w:rsidRPr="00B900C1">
        <w:rPr>
          <w:color w:val="000000" w:themeColor="text1"/>
        </w:rPr>
        <w:t xml:space="preserve"> 2008 R2 Small Business</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_Toc353376113 \h </w:instrText>
      </w:r>
      <w:r w:rsidRPr="00B900C1">
        <w:rPr>
          <w:color w:val="000000" w:themeColor="text1"/>
        </w:rPr>
      </w:r>
      <w:r w:rsidRPr="00B900C1">
        <w:rPr>
          <w:color w:val="000000" w:themeColor="text1"/>
        </w:rPr>
        <w:fldChar w:fldCharType="separate"/>
      </w:r>
      <w:r w:rsidR="007B74B7">
        <w:rPr>
          <w:color w:val="000000" w:themeColor="text1"/>
        </w:rPr>
        <w:t>170</w:t>
      </w:r>
      <w:r w:rsidRPr="00B900C1">
        <w:rPr>
          <w:color w:val="000000" w:themeColor="text1"/>
        </w:rPr>
        <w:fldChar w:fldCharType="end"/>
      </w:r>
    </w:p>
    <w:p w:rsidR="00BD7CEA" w:rsidRPr="00B900C1" w:rsidRDefault="00BD7CEA" w:rsidP="00B900C1">
      <w:pPr>
        <w:pStyle w:val="TOC3"/>
        <w:rPr>
          <w:rFonts w:asciiTheme="minorHAnsi" w:eastAsiaTheme="minorEastAsia" w:hAnsiTheme="minorHAnsi" w:cstheme="minorBidi"/>
          <w:color w:val="000000" w:themeColor="text1"/>
          <w:sz w:val="22"/>
          <w:szCs w:val="22"/>
        </w:rPr>
      </w:pPr>
      <w:r w:rsidRPr="00B900C1">
        <w:rPr>
          <w:caps/>
          <w:color w:val="000000" w:themeColor="text1"/>
          <w:vertAlign w:val="superscript"/>
        </w:rPr>
        <w:t>76</w:t>
      </w:r>
      <w:r w:rsidRPr="00B900C1">
        <w:rPr>
          <w:color w:val="000000" w:themeColor="text1"/>
        </w:rPr>
        <w:t xml:space="preserve"> Processore per SQL Server</w:t>
      </w:r>
      <w:r w:rsidRPr="00B900C1">
        <w:rPr>
          <w:color w:val="000000" w:themeColor="text1"/>
          <w:vertAlign w:val="superscript"/>
        </w:rPr>
        <w:t>®</w:t>
      </w:r>
      <w:r w:rsidRPr="00B900C1">
        <w:rPr>
          <w:color w:val="000000" w:themeColor="text1"/>
        </w:rPr>
        <w:t xml:space="preserve"> 2008 R2 Web</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_Toc353376114 \h </w:instrText>
      </w:r>
      <w:r w:rsidRPr="00B900C1">
        <w:rPr>
          <w:color w:val="000000" w:themeColor="text1"/>
        </w:rPr>
      </w:r>
      <w:r w:rsidRPr="00B900C1">
        <w:rPr>
          <w:color w:val="000000" w:themeColor="text1"/>
        </w:rPr>
        <w:fldChar w:fldCharType="separate"/>
      </w:r>
      <w:r w:rsidR="007B74B7">
        <w:rPr>
          <w:color w:val="000000" w:themeColor="text1"/>
        </w:rPr>
        <w:t>170</w:t>
      </w:r>
      <w:r w:rsidRPr="00B900C1">
        <w:rPr>
          <w:color w:val="000000" w:themeColor="text1"/>
        </w:rPr>
        <w:fldChar w:fldCharType="end"/>
      </w:r>
    </w:p>
    <w:p w:rsidR="00BD7CEA" w:rsidRPr="00B900C1" w:rsidRDefault="00BD7CEA" w:rsidP="00B900C1">
      <w:pPr>
        <w:pStyle w:val="TOC3"/>
        <w:rPr>
          <w:rFonts w:asciiTheme="minorHAnsi" w:eastAsiaTheme="minorEastAsia" w:hAnsiTheme="minorHAnsi" w:cstheme="minorBidi"/>
          <w:color w:val="000000" w:themeColor="text1"/>
          <w:sz w:val="22"/>
          <w:szCs w:val="22"/>
        </w:rPr>
      </w:pPr>
      <w:r w:rsidRPr="00B900C1">
        <w:rPr>
          <w:color w:val="000000" w:themeColor="text1"/>
          <w:vertAlign w:val="superscript"/>
        </w:rPr>
        <w:t>77</w:t>
      </w:r>
      <w:r w:rsidRPr="00B900C1">
        <w:rPr>
          <w:color w:val="000000" w:themeColor="text1"/>
        </w:rPr>
        <w:t xml:space="preserve"> SQL Server</w:t>
      </w:r>
      <w:r w:rsidRPr="00B900C1">
        <w:rPr>
          <w:color w:val="000000" w:themeColor="text1"/>
          <w:vertAlign w:val="superscript"/>
        </w:rPr>
        <w:t>®</w:t>
      </w:r>
      <w:r w:rsidRPr="00B900C1">
        <w:rPr>
          <w:color w:val="000000" w:themeColor="text1"/>
        </w:rPr>
        <w:t xml:space="preserve"> 2008 R2 Workgroup (5 Add On Client)</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_Toc353376115 \h </w:instrText>
      </w:r>
      <w:r w:rsidRPr="00B900C1">
        <w:rPr>
          <w:color w:val="000000" w:themeColor="text1"/>
        </w:rPr>
      </w:r>
      <w:r w:rsidRPr="00B900C1">
        <w:rPr>
          <w:color w:val="000000" w:themeColor="text1"/>
        </w:rPr>
        <w:fldChar w:fldCharType="separate"/>
      </w:r>
      <w:r w:rsidR="007B74B7">
        <w:rPr>
          <w:color w:val="000000" w:themeColor="text1"/>
        </w:rPr>
        <w:t>172</w:t>
      </w:r>
      <w:r w:rsidRPr="00B900C1">
        <w:rPr>
          <w:color w:val="000000" w:themeColor="text1"/>
        </w:rPr>
        <w:fldChar w:fldCharType="end"/>
      </w:r>
    </w:p>
    <w:p w:rsidR="00BD7CEA" w:rsidRPr="00B900C1" w:rsidRDefault="00BD7CEA" w:rsidP="00B900C1">
      <w:pPr>
        <w:pStyle w:val="TOC3"/>
        <w:rPr>
          <w:rFonts w:asciiTheme="minorHAnsi" w:eastAsiaTheme="minorEastAsia" w:hAnsiTheme="minorHAnsi" w:cstheme="minorBidi"/>
          <w:color w:val="000000" w:themeColor="text1"/>
          <w:sz w:val="22"/>
          <w:szCs w:val="22"/>
        </w:rPr>
      </w:pPr>
      <w:r w:rsidRPr="00B900C1">
        <w:rPr>
          <w:color w:val="000000" w:themeColor="text1"/>
          <w:vertAlign w:val="superscript"/>
        </w:rPr>
        <w:lastRenderedPageBreak/>
        <w:t>78</w:t>
      </w:r>
      <w:r w:rsidRPr="00B900C1">
        <w:rPr>
          <w:color w:val="000000" w:themeColor="text1"/>
        </w:rPr>
        <w:t xml:space="preserve"> Processore per SQL Server</w:t>
      </w:r>
      <w:r w:rsidRPr="00B900C1">
        <w:rPr>
          <w:color w:val="000000" w:themeColor="text1"/>
          <w:vertAlign w:val="superscript"/>
        </w:rPr>
        <w:t>®</w:t>
      </w:r>
      <w:r w:rsidRPr="00B900C1">
        <w:rPr>
          <w:color w:val="000000" w:themeColor="text1"/>
        </w:rPr>
        <w:t xml:space="preserve"> 2008 R2 Workgroup</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_Toc353376116 \h </w:instrText>
      </w:r>
      <w:r w:rsidRPr="00B900C1">
        <w:rPr>
          <w:color w:val="000000" w:themeColor="text1"/>
        </w:rPr>
      </w:r>
      <w:r w:rsidRPr="00B900C1">
        <w:rPr>
          <w:color w:val="000000" w:themeColor="text1"/>
        </w:rPr>
        <w:fldChar w:fldCharType="separate"/>
      </w:r>
      <w:r w:rsidR="007B74B7">
        <w:rPr>
          <w:color w:val="000000" w:themeColor="text1"/>
        </w:rPr>
        <w:t>173</w:t>
      </w:r>
      <w:r w:rsidRPr="00B900C1">
        <w:rPr>
          <w:color w:val="000000" w:themeColor="text1"/>
        </w:rPr>
        <w:fldChar w:fldCharType="end"/>
      </w:r>
    </w:p>
    <w:p w:rsidR="00BD7CEA" w:rsidRPr="00B900C1" w:rsidRDefault="00BD7CEA" w:rsidP="00B900C1">
      <w:pPr>
        <w:pStyle w:val="TOC3"/>
        <w:rPr>
          <w:rFonts w:asciiTheme="minorHAnsi" w:eastAsiaTheme="minorEastAsia" w:hAnsiTheme="minorHAnsi" w:cstheme="minorBidi"/>
          <w:color w:val="000000" w:themeColor="text1"/>
          <w:sz w:val="22"/>
          <w:szCs w:val="22"/>
        </w:rPr>
      </w:pPr>
      <w:r w:rsidRPr="00B900C1">
        <w:rPr>
          <w:color w:val="000000" w:themeColor="text1"/>
          <w:vertAlign w:val="superscript"/>
        </w:rPr>
        <w:t>79</w:t>
      </w:r>
      <w:r w:rsidRPr="00B900C1">
        <w:rPr>
          <w:color w:val="000000" w:themeColor="text1"/>
        </w:rPr>
        <w:t xml:space="preserve"> SQL Server</w:t>
      </w:r>
      <w:r w:rsidRPr="00B900C1">
        <w:rPr>
          <w:color w:val="000000" w:themeColor="text1"/>
          <w:vertAlign w:val="superscript"/>
        </w:rPr>
        <w:t>®</w:t>
      </w:r>
      <w:r w:rsidRPr="00B900C1">
        <w:rPr>
          <w:color w:val="000000" w:themeColor="text1"/>
        </w:rPr>
        <w:t xml:space="preserve"> 2012 Developer</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_Toc353376117 \h </w:instrText>
      </w:r>
      <w:r w:rsidRPr="00B900C1">
        <w:rPr>
          <w:color w:val="000000" w:themeColor="text1"/>
        </w:rPr>
      </w:r>
      <w:r w:rsidRPr="00B900C1">
        <w:rPr>
          <w:color w:val="000000" w:themeColor="text1"/>
        </w:rPr>
        <w:fldChar w:fldCharType="separate"/>
      </w:r>
      <w:r w:rsidR="007B74B7">
        <w:rPr>
          <w:color w:val="000000" w:themeColor="text1"/>
        </w:rPr>
        <w:t>175</w:t>
      </w:r>
      <w:r w:rsidRPr="00B900C1">
        <w:rPr>
          <w:color w:val="000000" w:themeColor="text1"/>
        </w:rPr>
        <w:fldChar w:fldCharType="end"/>
      </w:r>
    </w:p>
    <w:p w:rsidR="00BD7CEA" w:rsidRPr="00B900C1" w:rsidRDefault="00BD7CEA" w:rsidP="00B900C1">
      <w:pPr>
        <w:pStyle w:val="TOC3"/>
        <w:rPr>
          <w:rFonts w:asciiTheme="minorHAnsi" w:eastAsiaTheme="minorEastAsia" w:hAnsiTheme="minorHAnsi" w:cstheme="minorBidi"/>
          <w:color w:val="000000" w:themeColor="text1"/>
          <w:sz w:val="22"/>
          <w:szCs w:val="22"/>
        </w:rPr>
      </w:pPr>
      <w:r w:rsidRPr="00B900C1">
        <w:rPr>
          <w:color w:val="000000" w:themeColor="text1"/>
          <w:vertAlign w:val="superscript"/>
        </w:rPr>
        <w:t>80</w:t>
      </w:r>
      <w:r w:rsidRPr="00B900C1">
        <w:rPr>
          <w:color w:val="000000" w:themeColor="text1"/>
        </w:rPr>
        <w:t xml:space="preserve"> SQL Server</w:t>
      </w:r>
      <w:r w:rsidRPr="00B900C1">
        <w:rPr>
          <w:color w:val="000000" w:themeColor="text1"/>
          <w:vertAlign w:val="superscript"/>
        </w:rPr>
        <w:t>®</w:t>
      </w:r>
      <w:r w:rsidRPr="00B900C1">
        <w:rPr>
          <w:color w:val="000000" w:themeColor="text1"/>
        </w:rPr>
        <w:t xml:space="preserve"> 2012 Enterprise</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_Toc353376118 \h </w:instrText>
      </w:r>
      <w:r w:rsidRPr="00B900C1">
        <w:rPr>
          <w:color w:val="000000" w:themeColor="text1"/>
        </w:rPr>
      </w:r>
      <w:r w:rsidRPr="00B900C1">
        <w:rPr>
          <w:color w:val="000000" w:themeColor="text1"/>
        </w:rPr>
        <w:fldChar w:fldCharType="separate"/>
      </w:r>
      <w:r w:rsidR="007B74B7">
        <w:rPr>
          <w:color w:val="000000" w:themeColor="text1"/>
        </w:rPr>
        <w:t>175</w:t>
      </w:r>
      <w:r w:rsidRPr="00B900C1">
        <w:rPr>
          <w:color w:val="000000" w:themeColor="text1"/>
        </w:rPr>
        <w:fldChar w:fldCharType="end"/>
      </w:r>
    </w:p>
    <w:p w:rsidR="00BD7CEA" w:rsidRPr="00B900C1" w:rsidRDefault="00BD7CEA" w:rsidP="00B900C1">
      <w:pPr>
        <w:pStyle w:val="TOC3"/>
        <w:rPr>
          <w:rFonts w:asciiTheme="minorHAnsi" w:eastAsiaTheme="minorEastAsia" w:hAnsiTheme="minorHAnsi" w:cstheme="minorBidi"/>
          <w:color w:val="000000" w:themeColor="text1"/>
          <w:sz w:val="22"/>
          <w:szCs w:val="22"/>
        </w:rPr>
      </w:pPr>
      <w:r w:rsidRPr="00B900C1">
        <w:rPr>
          <w:caps/>
          <w:color w:val="000000" w:themeColor="text1"/>
          <w:vertAlign w:val="superscript"/>
        </w:rPr>
        <w:t xml:space="preserve">81 </w:t>
      </w:r>
      <w:r w:rsidRPr="00B900C1">
        <w:rPr>
          <w:color w:val="000000" w:themeColor="text1"/>
        </w:rPr>
        <w:t>SQL Server</w:t>
      </w:r>
      <w:r w:rsidRPr="00B900C1">
        <w:rPr>
          <w:color w:val="000000" w:themeColor="text1"/>
          <w:vertAlign w:val="superscript"/>
        </w:rPr>
        <w:t>®</w:t>
      </w:r>
      <w:r w:rsidRPr="00B900C1">
        <w:rPr>
          <w:color w:val="000000" w:themeColor="text1"/>
        </w:rPr>
        <w:t xml:space="preserve"> 2012 Enterprise Core</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_Toc353376119 \h </w:instrText>
      </w:r>
      <w:r w:rsidRPr="00B900C1">
        <w:rPr>
          <w:color w:val="000000" w:themeColor="text1"/>
        </w:rPr>
      </w:r>
      <w:r w:rsidRPr="00B900C1">
        <w:rPr>
          <w:color w:val="000000" w:themeColor="text1"/>
        </w:rPr>
        <w:fldChar w:fldCharType="separate"/>
      </w:r>
      <w:r w:rsidR="007B74B7">
        <w:rPr>
          <w:color w:val="000000" w:themeColor="text1"/>
        </w:rPr>
        <w:t>176</w:t>
      </w:r>
      <w:r w:rsidRPr="00B900C1">
        <w:rPr>
          <w:color w:val="000000" w:themeColor="text1"/>
        </w:rPr>
        <w:fldChar w:fldCharType="end"/>
      </w:r>
    </w:p>
    <w:p w:rsidR="00BD7CEA" w:rsidRPr="00B900C1" w:rsidRDefault="00BD7CEA" w:rsidP="00B900C1">
      <w:pPr>
        <w:pStyle w:val="TOC3"/>
        <w:rPr>
          <w:rFonts w:asciiTheme="minorHAnsi" w:eastAsiaTheme="minorEastAsia" w:hAnsiTheme="minorHAnsi" w:cstheme="minorBidi"/>
          <w:color w:val="000000" w:themeColor="text1"/>
          <w:sz w:val="22"/>
          <w:szCs w:val="22"/>
        </w:rPr>
      </w:pPr>
      <w:r w:rsidRPr="00B900C1">
        <w:rPr>
          <w:caps/>
          <w:color w:val="000000" w:themeColor="text1"/>
          <w:vertAlign w:val="superscript"/>
        </w:rPr>
        <w:t>82</w:t>
      </w:r>
      <w:r w:rsidRPr="00B900C1">
        <w:rPr>
          <w:color w:val="000000" w:themeColor="text1"/>
        </w:rPr>
        <w:t xml:space="preserve"> SQL Server</w:t>
      </w:r>
      <w:r w:rsidRPr="00B900C1">
        <w:rPr>
          <w:color w:val="000000" w:themeColor="text1"/>
          <w:vertAlign w:val="superscript"/>
        </w:rPr>
        <w:t>®</w:t>
      </w:r>
      <w:r w:rsidRPr="00B900C1">
        <w:rPr>
          <w:color w:val="000000" w:themeColor="text1"/>
        </w:rPr>
        <w:t xml:space="preserve"> 2012 Parallel Data Warehouse</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_Toc353376120 \h </w:instrText>
      </w:r>
      <w:r w:rsidRPr="00B900C1">
        <w:rPr>
          <w:color w:val="000000" w:themeColor="text1"/>
        </w:rPr>
      </w:r>
      <w:r w:rsidRPr="00B900C1">
        <w:rPr>
          <w:color w:val="000000" w:themeColor="text1"/>
        </w:rPr>
        <w:fldChar w:fldCharType="separate"/>
      </w:r>
      <w:r w:rsidR="007B74B7">
        <w:rPr>
          <w:color w:val="000000" w:themeColor="text1"/>
        </w:rPr>
        <w:t>179</w:t>
      </w:r>
      <w:r w:rsidRPr="00B900C1">
        <w:rPr>
          <w:color w:val="000000" w:themeColor="text1"/>
        </w:rPr>
        <w:fldChar w:fldCharType="end"/>
      </w:r>
    </w:p>
    <w:p w:rsidR="00BD7CEA" w:rsidRPr="00B900C1" w:rsidRDefault="00BD7CEA" w:rsidP="00B900C1">
      <w:pPr>
        <w:pStyle w:val="TOC3"/>
        <w:rPr>
          <w:rFonts w:asciiTheme="minorHAnsi" w:eastAsiaTheme="minorEastAsia" w:hAnsiTheme="minorHAnsi" w:cstheme="minorBidi"/>
          <w:color w:val="000000" w:themeColor="text1"/>
          <w:sz w:val="22"/>
          <w:szCs w:val="22"/>
        </w:rPr>
      </w:pPr>
      <w:r w:rsidRPr="00B900C1">
        <w:rPr>
          <w:caps/>
          <w:color w:val="000000" w:themeColor="text1"/>
          <w:vertAlign w:val="superscript"/>
        </w:rPr>
        <w:t>83</w:t>
      </w:r>
      <w:r w:rsidRPr="00B900C1">
        <w:rPr>
          <w:color w:val="000000" w:themeColor="text1"/>
        </w:rPr>
        <w:t xml:space="preserve"> SQL Server</w:t>
      </w:r>
      <w:r w:rsidRPr="00B900C1">
        <w:rPr>
          <w:color w:val="000000" w:themeColor="text1"/>
          <w:vertAlign w:val="superscript"/>
        </w:rPr>
        <w:t>®</w:t>
      </w:r>
      <w:r w:rsidRPr="00B900C1">
        <w:rPr>
          <w:color w:val="000000" w:themeColor="text1"/>
        </w:rPr>
        <w:t xml:space="preserve"> 2012 Standard</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_Toc353376121 \h </w:instrText>
      </w:r>
      <w:r w:rsidRPr="00B900C1">
        <w:rPr>
          <w:color w:val="000000" w:themeColor="text1"/>
        </w:rPr>
      </w:r>
      <w:r w:rsidRPr="00B900C1">
        <w:rPr>
          <w:color w:val="000000" w:themeColor="text1"/>
        </w:rPr>
        <w:fldChar w:fldCharType="separate"/>
      </w:r>
      <w:r w:rsidR="007B74B7">
        <w:rPr>
          <w:color w:val="000000" w:themeColor="text1"/>
        </w:rPr>
        <w:t>180</w:t>
      </w:r>
      <w:r w:rsidRPr="00B900C1">
        <w:rPr>
          <w:color w:val="000000" w:themeColor="text1"/>
        </w:rPr>
        <w:fldChar w:fldCharType="end"/>
      </w:r>
    </w:p>
    <w:p w:rsidR="00BD7CEA" w:rsidRPr="00B900C1" w:rsidRDefault="00BD7CEA" w:rsidP="00B900C1">
      <w:pPr>
        <w:pStyle w:val="TOC3"/>
        <w:rPr>
          <w:rFonts w:asciiTheme="minorHAnsi" w:eastAsiaTheme="minorEastAsia" w:hAnsiTheme="minorHAnsi" w:cstheme="minorBidi"/>
          <w:color w:val="000000" w:themeColor="text1"/>
          <w:sz w:val="22"/>
          <w:szCs w:val="22"/>
        </w:rPr>
      </w:pPr>
      <w:r w:rsidRPr="00B900C1">
        <w:rPr>
          <w:caps/>
          <w:color w:val="000000" w:themeColor="text1"/>
          <w:vertAlign w:val="superscript"/>
        </w:rPr>
        <w:t>84</w:t>
      </w:r>
      <w:r w:rsidRPr="00B900C1">
        <w:rPr>
          <w:color w:val="000000" w:themeColor="text1"/>
        </w:rPr>
        <w:t xml:space="preserve"> SQL Server</w:t>
      </w:r>
      <w:r w:rsidRPr="00B900C1">
        <w:rPr>
          <w:color w:val="000000" w:themeColor="text1"/>
          <w:vertAlign w:val="superscript"/>
        </w:rPr>
        <w:t>®</w:t>
      </w:r>
      <w:r w:rsidRPr="00B900C1">
        <w:rPr>
          <w:color w:val="000000" w:themeColor="text1"/>
        </w:rPr>
        <w:t xml:space="preserve"> 2012 Standard</w:t>
      </w:r>
      <w:r w:rsidRPr="00B900C1">
        <w:rPr>
          <w:rFonts w:eastAsia="Calibri"/>
          <w:color w:val="000000" w:themeColor="text1"/>
        </w:rPr>
        <w:t xml:space="preserve"> Core</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_Toc353376122 \h </w:instrText>
      </w:r>
      <w:r w:rsidRPr="00B900C1">
        <w:rPr>
          <w:color w:val="000000" w:themeColor="text1"/>
        </w:rPr>
      </w:r>
      <w:r w:rsidRPr="00B900C1">
        <w:rPr>
          <w:color w:val="000000" w:themeColor="text1"/>
        </w:rPr>
        <w:fldChar w:fldCharType="separate"/>
      </w:r>
      <w:r w:rsidR="007B74B7">
        <w:rPr>
          <w:color w:val="000000" w:themeColor="text1"/>
        </w:rPr>
        <w:t>180</w:t>
      </w:r>
      <w:r w:rsidRPr="00B900C1">
        <w:rPr>
          <w:color w:val="000000" w:themeColor="text1"/>
        </w:rPr>
        <w:fldChar w:fldCharType="end"/>
      </w:r>
    </w:p>
    <w:p w:rsidR="00BD7CEA" w:rsidRPr="00B900C1" w:rsidRDefault="00BD7CEA" w:rsidP="00B900C1">
      <w:pPr>
        <w:pStyle w:val="TOC3"/>
        <w:rPr>
          <w:rFonts w:asciiTheme="minorHAnsi" w:eastAsiaTheme="minorEastAsia" w:hAnsiTheme="minorHAnsi" w:cstheme="minorBidi"/>
          <w:color w:val="000000" w:themeColor="text1"/>
          <w:sz w:val="22"/>
          <w:szCs w:val="22"/>
        </w:rPr>
      </w:pPr>
      <w:r w:rsidRPr="00B900C1">
        <w:rPr>
          <w:caps/>
          <w:color w:val="000000" w:themeColor="text1"/>
          <w:vertAlign w:val="superscript"/>
        </w:rPr>
        <w:t>85</w:t>
      </w:r>
      <w:r w:rsidRPr="00B900C1">
        <w:rPr>
          <w:color w:val="000000" w:themeColor="text1"/>
        </w:rPr>
        <w:t xml:space="preserve"> System Center Essentials 2010</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_Toc353376123 \h </w:instrText>
      </w:r>
      <w:r w:rsidRPr="00B900C1">
        <w:rPr>
          <w:color w:val="000000" w:themeColor="text1"/>
        </w:rPr>
      </w:r>
      <w:r w:rsidRPr="00B900C1">
        <w:rPr>
          <w:color w:val="000000" w:themeColor="text1"/>
        </w:rPr>
        <w:fldChar w:fldCharType="separate"/>
      </w:r>
      <w:r w:rsidR="007B74B7">
        <w:rPr>
          <w:color w:val="000000" w:themeColor="text1"/>
        </w:rPr>
        <w:t>183</w:t>
      </w:r>
      <w:r w:rsidRPr="00B900C1">
        <w:rPr>
          <w:color w:val="000000" w:themeColor="text1"/>
        </w:rPr>
        <w:fldChar w:fldCharType="end"/>
      </w:r>
    </w:p>
    <w:p w:rsidR="00BD7CEA" w:rsidRPr="00B900C1" w:rsidRDefault="00BD7CEA" w:rsidP="00B900C1">
      <w:pPr>
        <w:pStyle w:val="TOC3"/>
        <w:rPr>
          <w:rFonts w:asciiTheme="minorHAnsi" w:eastAsiaTheme="minorEastAsia" w:hAnsiTheme="minorHAnsi" w:cstheme="minorBidi"/>
          <w:color w:val="000000" w:themeColor="text1"/>
          <w:sz w:val="22"/>
          <w:szCs w:val="22"/>
        </w:rPr>
      </w:pPr>
      <w:r w:rsidRPr="00B900C1">
        <w:rPr>
          <w:caps/>
          <w:color w:val="000000" w:themeColor="text1"/>
          <w:vertAlign w:val="superscript"/>
        </w:rPr>
        <w:t>86</w:t>
      </w:r>
      <w:r w:rsidRPr="00B900C1">
        <w:rPr>
          <w:color w:val="000000" w:themeColor="text1"/>
        </w:rPr>
        <w:t xml:space="preserve"> System Center Reporting Manager 2006</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_Toc353376124 \h </w:instrText>
      </w:r>
      <w:r w:rsidRPr="00B900C1">
        <w:rPr>
          <w:color w:val="000000" w:themeColor="text1"/>
        </w:rPr>
      </w:r>
      <w:r w:rsidRPr="00B900C1">
        <w:rPr>
          <w:color w:val="000000" w:themeColor="text1"/>
        </w:rPr>
        <w:fldChar w:fldCharType="separate"/>
      </w:r>
      <w:r w:rsidR="007B74B7">
        <w:rPr>
          <w:color w:val="000000" w:themeColor="text1"/>
        </w:rPr>
        <w:t>184</w:t>
      </w:r>
      <w:r w:rsidRPr="00B900C1">
        <w:rPr>
          <w:color w:val="000000" w:themeColor="text1"/>
        </w:rPr>
        <w:fldChar w:fldCharType="end"/>
      </w:r>
    </w:p>
    <w:p w:rsidR="00BD7CEA" w:rsidRPr="00B900C1" w:rsidRDefault="00BD7CEA" w:rsidP="00B900C1">
      <w:pPr>
        <w:pStyle w:val="TOC3"/>
        <w:rPr>
          <w:rFonts w:asciiTheme="minorHAnsi" w:eastAsiaTheme="minorEastAsia" w:hAnsiTheme="minorHAnsi" w:cstheme="minorBidi"/>
          <w:color w:val="000000" w:themeColor="text1"/>
          <w:sz w:val="22"/>
          <w:szCs w:val="22"/>
        </w:rPr>
      </w:pPr>
      <w:r w:rsidRPr="00B900C1">
        <w:rPr>
          <w:caps/>
          <w:color w:val="000000" w:themeColor="text1"/>
          <w:vertAlign w:val="superscript"/>
        </w:rPr>
        <w:t xml:space="preserve">87 </w:t>
      </w:r>
      <w:r w:rsidRPr="00B900C1">
        <w:rPr>
          <w:color w:val="000000" w:themeColor="text1"/>
        </w:rPr>
        <w:t>System Center Server Management Suite Enterprise</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_Toc353376125 \h </w:instrText>
      </w:r>
      <w:r w:rsidRPr="00B900C1">
        <w:rPr>
          <w:color w:val="000000" w:themeColor="text1"/>
        </w:rPr>
      </w:r>
      <w:r w:rsidRPr="00B900C1">
        <w:rPr>
          <w:color w:val="000000" w:themeColor="text1"/>
        </w:rPr>
        <w:fldChar w:fldCharType="separate"/>
      </w:r>
      <w:r w:rsidR="007B74B7">
        <w:rPr>
          <w:color w:val="000000" w:themeColor="text1"/>
        </w:rPr>
        <w:t>184</w:t>
      </w:r>
      <w:r w:rsidRPr="00B900C1">
        <w:rPr>
          <w:color w:val="000000" w:themeColor="text1"/>
        </w:rPr>
        <w:fldChar w:fldCharType="end"/>
      </w:r>
    </w:p>
    <w:p w:rsidR="00BD7CEA" w:rsidRPr="00B900C1" w:rsidRDefault="00BD7CEA" w:rsidP="00B900C1">
      <w:pPr>
        <w:pStyle w:val="TOC3"/>
        <w:rPr>
          <w:rFonts w:asciiTheme="minorHAnsi" w:eastAsiaTheme="minorEastAsia" w:hAnsiTheme="minorHAnsi" w:cstheme="minorBidi"/>
          <w:color w:val="000000" w:themeColor="text1"/>
          <w:sz w:val="22"/>
          <w:szCs w:val="22"/>
        </w:rPr>
      </w:pPr>
      <w:r w:rsidRPr="00B900C1">
        <w:rPr>
          <w:caps/>
          <w:color w:val="000000" w:themeColor="text1"/>
          <w:vertAlign w:val="superscript"/>
        </w:rPr>
        <w:t xml:space="preserve">88 </w:t>
      </w:r>
      <w:r w:rsidRPr="00B900C1">
        <w:rPr>
          <w:color w:val="000000" w:themeColor="text1"/>
        </w:rPr>
        <w:t>System Center Server Management Suite Datacenter</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_Toc353376126 \h </w:instrText>
      </w:r>
      <w:r w:rsidRPr="00B900C1">
        <w:rPr>
          <w:color w:val="000000" w:themeColor="text1"/>
        </w:rPr>
      </w:r>
      <w:r w:rsidRPr="00B900C1">
        <w:rPr>
          <w:color w:val="000000" w:themeColor="text1"/>
        </w:rPr>
        <w:fldChar w:fldCharType="separate"/>
      </w:r>
      <w:r w:rsidR="007B74B7">
        <w:rPr>
          <w:color w:val="000000" w:themeColor="text1"/>
        </w:rPr>
        <w:t>186</w:t>
      </w:r>
      <w:r w:rsidRPr="00B900C1">
        <w:rPr>
          <w:color w:val="000000" w:themeColor="text1"/>
        </w:rPr>
        <w:fldChar w:fldCharType="end"/>
      </w:r>
    </w:p>
    <w:p w:rsidR="00BD7CEA" w:rsidRPr="00B900C1" w:rsidRDefault="00BD7CEA" w:rsidP="00B900C1">
      <w:pPr>
        <w:pStyle w:val="TOC3"/>
        <w:rPr>
          <w:rFonts w:asciiTheme="minorHAnsi" w:eastAsiaTheme="minorEastAsia" w:hAnsiTheme="minorHAnsi" w:cstheme="minorBidi"/>
          <w:color w:val="000000" w:themeColor="text1"/>
          <w:sz w:val="22"/>
          <w:szCs w:val="22"/>
        </w:rPr>
      </w:pPr>
      <w:r w:rsidRPr="00B900C1">
        <w:rPr>
          <w:caps/>
          <w:color w:val="000000" w:themeColor="text1"/>
          <w:vertAlign w:val="superscript"/>
        </w:rPr>
        <w:t>89</w:t>
      </w:r>
      <w:r w:rsidRPr="00B900C1">
        <w:rPr>
          <w:color w:val="000000" w:themeColor="text1"/>
        </w:rPr>
        <w:t xml:space="preserve"> System Center Virtual Machine Manager 2008 R2</w:t>
      </w:r>
      <w:r w:rsidR="00FD7C0D">
        <w:rPr>
          <w:color w:val="000000" w:themeColor="text1"/>
        </w:rPr>
        <w:t xml:space="preserve"> – </w:t>
      </w:r>
      <w:r w:rsidRPr="00B900C1">
        <w:rPr>
          <w:color w:val="000000" w:themeColor="text1"/>
        </w:rPr>
        <w:t>Licenze di Gestione Client e Server</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_Toc353376127 \h </w:instrText>
      </w:r>
      <w:r w:rsidRPr="00B900C1">
        <w:rPr>
          <w:color w:val="000000" w:themeColor="text1"/>
        </w:rPr>
      </w:r>
      <w:r w:rsidRPr="00B900C1">
        <w:rPr>
          <w:color w:val="000000" w:themeColor="text1"/>
        </w:rPr>
        <w:fldChar w:fldCharType="separate"/>
      </w:r>
      <w:r w:rsidR="007B74B7">
        <w:rPr>
          <w:color w:val="000000" w:themeColor="text1"/>
        </w:rPr>
        <w:t>186</w:t>
      </w:r>
      <w:r w:rsidRPr="00B900C1">
        <w:rPr>
          <w:color w:val="000000" w:themeColor="text1"/>
        </w:rPr>
        <w:fldChar w:fldCharType="end"/>
      </w:r>
    </w:p>
    <w:p w:rsidR="00BD7CEA" w:rsidRPr="005E60AB" w:rsidRDefault="00BD7CEA" w:rsidP="00B900C1">
      <w:pPr>
        <w:pStyle w:val="TOC3"/>
        <w:rPr>
          <w:rFonts w:asciiTheme="minorHAnsi" w:eastAsiaTheme="minorEastAsia" w:hAnsiTheme="minorHAnsi" w:cstheme="minorBidi"/>
          <w:color w:val="000000" w:themeColor="text1"/>
          <w:sz w:val="22"/>
          <w:szCs w:val="22"/>
          <w:lang w:val="da-DK"/>
        </w:rPr>
      </w:pPr>
      <w:r w:rsidRPr="005E60AB">
        <w:rPr>
          <w:caps/>
          <w:color w:val="000000" w:themeColor="text1"/>
          <w:vertAlign w:val="superscript"/>
          <w:lang w:val="da-DK"/>
        </w:rPr>
        <w:t>90</w:t>
      </w:r>
      <w:r w:rsidRPr="005E60AB">
        <w:rPr>
          <w:color w:val="000000" w:themeColor="text1"/>
          <w:lang w:val="da-DK"/>
        </w:rPr>
        <w:t xml:space="preserve"> System Center 2012</w:t>
      </w:r>
      <w:r w:rsidRPr="005E60AB">
        <w:rPr>
          <w:color w:val="000000" w:themeColor="text1"/>
          <w:lang w:val="da-DK"/>
        </w:rPr>
        <w:tab/>
      </w:r>
      <w:r w:rsidRPr="00B900C1">
        <w:rPr>
          <w:color w:val="000000" w:themeColor="text1"/>
        </w:rPr>
        <w:fldChar w:fldCharType="begin"/>
      </w:r>
      <w:r w:rsidRPr="005E60AB">
        <w:rPr>
          <w:color w:val="000000" w:themeColor="text1"/>
          <w:lang w:val="da-DK"/>
        </w:rPr>
        <w:instrText xml:space="preserve"> PAGEREF _Toc353376128 \h </w:instrText>
      </w:r>
      <w:r w:rsidRPr="00B900C1">
        <w:rPr>
          <w:color w:val="000000" w:themeColor="text1"/>
        </w:rPr>
      </w:r>
      <w:r w:rsidRPr="00B900C1">
        <w:rPr>
          <w:color w:val="000000" w:themeColor="text1"/>
        </w:rPr>
        <w:fldChar w:fldCharType="separate"/>
      </w:r>
      <w:r w:rsidR="007B74B7" w:rsidRPr="005E60AB">
        <w:rPr>
          <w:color w:val="000000" w:themeColor="text1"/>
          <w:lang w:val="da-DK"/>
        </w:rPr>
        <w:t>187</w:t>
      </w:r>
      <w:r w:rsidRPr="00B900C1">
        <w:rPr>
          <w:color w:val="000000" w:themeColor="text1"/>
        </w:rPr>
        <w:fldChar w:fldCharType="end"/>
      </w:r>
    </w:p>
    <w:p w:rsidR="00BD7CEA" w:rsidRPr="005E60AB" w:rsidRDefault="00BD7CEA" w:rsidP="00B900C1">
      <w:pPr>
        <w:pStyle w:val="TOC3"/>
        <w:rPr>
          <w:rFonts w:asciiTheme="minorHAnsi" w:eastAsiaTheme="minorEastAsia" w:hAnsiTheme="minorHAnsi" w:cstheme="minorBidi"/>
          <w:color w:val="000000" w:themeColor="text1"/>
          <w:sz w:val="22"/>
          <w:szCs w:val="22"/>
          <w:lang w:val="da-DK"/>
        </w:rPr>
      </w:pPr>
      <w:r w:rsidRPr="005E60AB">
        <w:rPr>
          <w:caps/>
          <w:color w:val="000000" w:themeColor="text1"/>
          <w:vertAlign w:val="superscript"/>
          <w:lang w:val="da-DK"/>
        </w:rPr>
        <w:t>91</w:t>
      </w:r>
      <w:r w:rsidRPr="005E60AB">
        <w:rPr>
          <w:color w:val="000000" w:themeColor="text1"/>
          <w:lang w:val="da-DK"/>
        </w:rPr>
        <w:t xml:space="preserve"> System Center 2012 Endpoint Protection</w:t>
      </w:r>
      <w:r w:rsidRPr="005E60AB">
        <w:rPr>
          <w:color w:val="000000" w:themeColor="text1"/>
          <w:lang w:val="da-DK"/>
        </w:rPr>
        <w:tab/>
      </w:r>
      <w:r w:rsidRPr="00B900C1">
        <w:rPr>
          <w:color w:val="000000" w:themeColor="text1"/>
        </w:rPr>
        <w:fldChar w:fldCharType="begin"/>
      </w:r>
      <w:r w:rsidRPr="005E60AB">
        <w:rPr>
          <w:color w:val="000000" w:themeColor="text1"/>
          <w:lang w:val="da-DK"/>
        </w:rPr>
        <w:instrText xml:space="preserve"> PAGEREF _Toc353376129 \h </w:instrText>
      </w:r>
      <w:r w:rsidRPr="00B900C1">
        <w:rPr>
          <w:color w:val="000000" w:themeColor="text1"/>
        </w:rPr>
      </w:r>
      <w:r w:rsidRPr="00B900C1">
        <w:rPr>
          <w:color w:val="000000" w:themeColor="text1"/>
        </w:rPr>
        <w:fldChar w:fldCharType="separate"/>
      </w:r>
      <w:r w:rsidR="007B74B7" w:rsidRPr="005E60AB">
        <w:rPr>
          <w:color w:val="000000" w:themeColor="text1"/>
          <w:lang w:val="da-DK"/>
        </w:rPr>
        <w:t>190</w:t>
      </w:r>
      <w:r w:rsidRPr="00B900C1">
        <w:rPr>
          <w:color w:val="000000" w:themeColor="text1"/>
        </w:rPr>
        <w:fldChar w:fldCharType="end"/>
      </w:r>
    </w:p>
    <w:p w:rsidR="00BD7CEA" w:rsidRPr="005E60AB" w:rsidRDefault="00BD7CEA" w:rsidP="00B900C1">
      <w:pPr>
        <w:pStyle w:val="TOC3"/>
        <w:rPr>
          <w:rFonts w:asciiTheme="minorHAnsi" w:eastAsiaTheme="minorEastAsia" w:hAnsiTheme="minorHAnsi" w:cstheme="minorBidi"/>
          <w:color w:val="000000" w:themeColor="text1"/>
          <w:sz w:val="22"/>
          <w:szCs w:val="22"/>
          <w:lang w:val="da-DK"/>
        </w:rPr>
      </w:pPr>
      <w:r w:rsidRPr="005E60AB">
        <w:rPr>
          <w:caps/>
          <w:color w:val="000000" w:themeColor="text1"/>
          <w:vertAlign w:val="superscript"/>
          <w:lang w:val="da-DK"/>
        </w:rPr>
        <w:t>92</w:t>
      </w:r>
      <w:r w:rsidRPr="005E60AB">
        <w:rPr>
          <w:color w:val="000000" w:themeColor="text1"/>
          <w:lang w:val="da-DK"/>
        </w:rPr>
        <w:t xml:space="preserve"> TechNet Plus Single User</w:t>
      </w:r>
      <w:r w:rsidRPr="005E60AB">
        <w:rPr>
          <w:color w:val="000000" w:themeColor="text1"/>
          <w:lang w:val="da-DK"/>
        </w:rPr>
        <w:tab/>
      </w:r>
      <w:r w:rsidRPr="00B900C1">
        <w:rPr>
          <w:color w:val="000000" w:themeColor="text1"/>
        </w:rPr>
        <w:fldChar w:fldCharType="begin"/>
      </w:r>
      <w:r w:rsidRPr="005E60AB">
        <w:rPr>
          <w:color w:val="000000" w:themeColor="text1"/>
          <w:lang w:val="da-DK"/>
        </w:rPr>
        <w:instrText xml:space="preserve"> PAGEREF _Toc353376130 \h </w:instrText>
      </w:r>
      <w:r w:rsidRPr="00B900C1">
        <w:rPr>
          <w:color w:val="000000" w:themeColor="text1"/>
        </w:rPr>
      </w:r>
      <w:r w:rsidRPr="00B900C1">
        <w:rPr>
          <w:color w:val="000000" w:themeColor="text1"/>
        </w:rPr>
        <w:fldChar w:fldCharType="separate"/>
      </w:r>
      <w:r w:rsidR="007B74B7" w:rsidRPr="005E60AB">
        <w:rPr>
          <w:color w:val="000000" w:themeColor="text1"/>
          <w:lang w:val="da-DK"/>
        </w:rPr>
        <w:t>190</w:t>
      </w:r>
      <w:r w:rsidRPr="00B900C1">
        <w:rPr>
          <w:color w:val="000000" w:themeColor="text1"/>
        </w:rPr>
        <w:fldChar w:fldCharType="end"/>
      </w:r>
    </w:p>
    <w:p w:rsidR="00BD7CEA" w:rsidRPr="005E60AB" w:rsidRDefault="00BD7CEA" w:rsidP="00B900C1">
      <w:pPr>
        <w:pStyle w:val="TOC3"/>
        <w:rPr>
          <w:rFonts w:asciiTheme="minorHAnsi" w:eastAsiaTheme="minorEastAsia" w:hAnsiTheme="minorHAnsi" w:cstheme="minorBidi"/>
          <w:color w:val="000000" w:themeColor="text1"/>
          <w:sz w:val="22"/>
          <w:szCs w:val="22"/>
          <w:lang w:val="da-DK"/>
        </w:rPr>
      </w:pPr>
      <w:r w:rsidRPr="005E60AB">
        <w:rPr>
          <w:caps/>
          <w:color w:val="000000" w:themeColor="text1"/>
          <w:vertAlign w:val="superscript"/>
          <w:lang w:val="da-DK"/>
        </w:rPr>
        <w:t xml:space="preserve">93 </w:t>
      </w:r>
      <w:r w:rsidRPr="005E60AB">
        <w:rPr>
          <w:color w:val="000000" w:themeColor="text1"/>
          <w:lang w:val="da-DK"/>
        </w:rPr>
        <w:t>VDI Standard e Premium Suite</w:t>
      </w:r>
      <w:r w:rsidRPr="005E60AB">
        <w:rPr>
          <w:color w:val="000000" w:themeColor="text1"/>
          <w:lang w:val="da-DK"/>
        </w:rPr>
        <w:tab/>
      </w:r>
      <w:r w:rsidRPr="00B900C1">
        <w:rPr>
          <w:color w:val="000000" w:themeColor="text1"/>
        </w:rPr>
        <w:fldChar w:fldCharType="begin"/>
      </w:r>
      <w:r w:rsidRPr="005E60AB">
        <w:rPr>
          <w:color w:val="000000" w:themeColor="text1"/>
          <w:lang w:val="da-DK"/>
        </w:rPr>
        <w:instrText xml:space="preserve"> PAGEREF _Toc353376131 \h </w:instrText>
      </w:r>
      <w:r w:rsidRPr="00B900C1">
        <w:rPr>
          <w:color w:val="000000" w:themeColor="text1"/>
        </w:rPr>
      </w:r>
      <w:r w:rsidRPr="00B900C1">
        <w:rPr>
          <w:color w:val="000000" w:themeColor="text1"/>
        </w:rPr>
        <w:fldChar w:fldCharType="separate"/>
      </w:r>
      <w:r w:rsidR="007B74B7" w:rsidRPr="005E60AB">
        <w:rPr>
          <w:color w:val="000000" w:themeColor="text1"/>
          <w:lang w:val="da-DK"/>
        </w:rPr>
        <w:t>190</w:t>
      </w:r>
      <w:r w:rsidRPr="00B900C1">
        <w:rPr>
          <w:color w:val="000000" w:themeColor="text1"/>
        </w:rPr>
        <w:fldChar w:fldCharType="end"/>
      </w:r>
    </w:p>
    <w:p w:rsidR="00BD7CEA" w:rsidRPr="005E60AB" w:rsidRDefault="00BD7CEA" w:rsidP="00B900C1">
      <w:pPr>
        <w:pStyle w:val="TOC3"/>
        <w:rPr>
          <w:rFonts w:asciiTheme="minorHAnsi" w:eastAsiaTheme="minorEastAsia" w:hAnsiTheme="minorHAnsi" w:cstheme="minorBidi"/>
          <w:color w:val="000000" w:themeColor="text1"/>
          <w:sz w:val="22"/>
          <w:szCs w:val="22"/>
          <w:lang w:val="da-DK"/>
        </w:rPr>
      </w:pPr>
      <w:r w:rsidRPr="005E60AB">
        <w:rPr>
          <w:caps/>
          <w:color w:val="000000" w:themeColor="text1"/>
          <w:vertAlign w:val="superscript"/>
          <w:lang w:val="da-DK"/>
        </w:rPr>
        <w:t xml:space="preserve">94 </w:t>
      </w:r>
      <w:r w:rsidRPr="005E60AB">
        <w:rPr>
          <w:color w:val="000000" w:themeColor="text1"/>
          <w:lang w:val="da-DK"/>
        </w:rPr>
        <w:t>Vexcel Server e Vexcel Server con Enhanced Content Pack</w:t>
      </w:r>
      <w:r w:rsidRPr="005E60AB">
        <w:rPr>
          <w:color w:val="000000" w:themeColor="text1"/>
          <w:lang w:val="da-DK"/>
        </w:rPr>
        <w:tab/>
      </w:r>
      <w:r w:rsidRPr="00B900C1">
        <w:rPr>
          <w:color w:val="000000" w:themeColor="text1"/>
        </w:rPr>
        <w:fldChar w:fldCharType="begin"/>
      </w:r>
      <w:r w:rsidRPr="005E60AB">
        <w:rPr>
          <w:color w:val="000000" w:themeColor="text1"/>
          <w:lang w:val="da-DK"/>
        </w:rPr>
        <w:instrText xml:space="preserve"> PAGEREF _Toc353376132 \h </w:instrText>
      </w:r>
      <w:r w:rsidRPr="00B900C1">
        <w:rPr>
          <w:color w:val="000000" w:themeColor="text1"/>
        </w:rPr>
      </w:r>
      <w:r w:rsidRPr="00B900C1">
        <w:rPr>
          <w:color w:val="000000" w:themeColor="text1"/>
        </w:rPr>
        <w:fldChar w:fldCharType="separate"/>
      </w:r>
      <w:r w:rsidR="007B74B7" w:rsidRPr="005E60AB">
        <w:rPr>
          <w:color w:val="000000" w:themeColor="text1"/>
          <w:lang w:val="da-DK"/>
        </w:rPr>
        <w:t>190</w:t>
      </w:r>
      <w:r w:rsidRPr="00B900C1">
        <w:rPr>
          <w:color w:val="000000" w:themeColor="text1"/>
        </w:rPr>
        <w:fldChar w:fldCharType="end"/>
      </w:r>
    </w:p>
    <w:p w:rsidR="00BD7CEA" w:rsidRPr="005E60AB" w:rsidRDefault="00BD7CEA">
      <w:pPr>
        <w:pStyle w:val="TOC2"/>
        <w:rPr>
          <w:rFonts w:asciiTheme="minorHAnsi" w:eastAsiaTheme="minorEastAsia" w:hAnsiTheme="minorHAnsi" w:cstheme="minorBidi"/>
          <w:color w:val="000000" w:themeColor="text1"/>
          <w:sz w:val="22"/>
          <w:szCs w:val="22"/>
          <w:lang w:val="it-IT"/>
        </w:rPr>
      </w:pPr>
      <w:r w:rsidRPr="005E60AB">
        <w:rPr>
          <w:rFonts w:cs="Tahoma"/>
          <w:caps/>
          <w:color w:val="000000" w:themeColor="text1"/>
          <w:vertAlign w:val="superscript"/>
          <w:lang w:val="it-IT"/>
        </w:rPr>
        <w:t xml:space="preserve">95 </w:t>
      </w:r>
      <w:r w:rsidRPr="005E60AB">
        <w:rPr>
          <w:rFonts w:cs="Tahoma"/>
          <w:color w:val="000000" w:themeColor="text1"/>
          <w:lang w:val="it-IT"/>
        </w:rPr>
        <w:t>Servizi Windows Azure</w:t>
      </w:r>
      <w:r w:rsidRPr="005E60AB">
        <w:rPr>
          <w:color w:val="000000" w:themeColor="text1"/>
          <w:lang w:val="it-IT"/>
        </w:rPr>
        <w:tab/>
      </w:r>
      <w:r w:rsidRPr="00B900C1">
        <w:rPr>
          <w:color w:val="000000" w:themeColor="text1"/>
        </w:rPr>
        <w:fldChar w:fldCharType="begin"/>
      </w:r>
      <w:r w:rsidRPr="005E60AB">
        <w:rPr>
          <w:color w:val="000000" w:themeColor="text1"/>
          <w:lang w:val="it-IT"/>
        </w:rPr>
        <w:instrText xml:space="preserve"> PAGEREF _Toc353376133 \h </w:instrText>
      </w:r>
      <w:r w:rsidRPr="00B900C1">
        <w:rPr>
          <w:color w:val="000000" w:themeColor="text1"/>
        </w:rPr>
      </w:r>
      <w:r w:rsidRPr="00B900C1">
        <w:rPr>
          <w:color w:val="000000" w:themeColor="text1"/>
        </w:rPr>
        <w:fldChar w:fldCharType="separate"/>
      </w:r>
      <w:r w:rsidR="007B74B7" w:rsidRPr="005E60AB">
        <w:rPr>
          <w:color w:val="000000" w:themeColor="text1"/>
          <w:lang w:val="it-IT"/>
        </w:rPr>
        <w:t>191</w:t>
      </w:r>
      <w:r w:rsidRPr="00B900C1">
        <w:rPr>
          <w:color w:val="000000" w:themeColor="text1"/>
        </w:rPr>
        <w:fldChar w:fldCharType="end"/>
      </w:r>
    </w:p>
    <w:p w:rsidR="00BD7CEA" w:rsidRPr="005E60AB" w:rsidRDefault="00BD7CEA">
      <w:pPr>
        <w:pStyle w:val="TOC2"/>
        <w:rPr>
          <w:rFonts w:asciiTheme="minorHAnsi" w:eastAsiaTheme="minorEastAsia" w:hAnsiTheme="minorHAnsi" w:cstheme="minorBidi"/>
          <w:color w:val="000000" w:themeColor="text1"/>
          <w:sz w:val="22"/>
          <w:szCs w:val="22"/>
          <w:lang w:val="it-IT"/>
        </w:rPr>
      </w:pPr>
      <w:r w:rsidRPr="005E60AB">
        <w:rPr>
          <w:rFonts w:cs="Tahoma"/>
          <w:caps/>
          <w:color w:val="000000" w:themeColor="text1"/>
          <w:vertAlign w:val="superscript"/>
          <w:lang w:val="it-IT"/>
        </w:rPr>
        <w:t>96</w:t>
      </w:r>
      <w:r w:rsidRPr="005E60AB">
        <w:rPr>
          <w:rFonts w:cs="Tahoma"/>
          <w:color w:val="000000" w:themeColor="text1"/>
          <w:lang w:val="it-IT"/>
        </w:rPr>
        <w:t xml:space="preserve"> Licenza di Server di Gestione per Windows Embedded Device Manager 2011</w:t>
      </w:r>
      <w:r w:rsidRPr="005E60AB">
        <w:rPr>
          <w:color w:val="000000" w:themeColor="text1"/>
          <w:lang w:val="it-IT"/>
        </w:rPr>
        <w:tab/>
      </w:r>
      <w:r w:rsidRPr="00B900C1">
        <w:rPr>
          <w:color w:val="000000" w:themeColor="text1"/>
        </w:rPr>
        <w:fldChar w:fldCharType="begin"/>
      </w:r>
      <w:r w:rsidRPr="005E60AB">
        <w:rPr>
          <w:color w:val="000000" w:themeColor="text1"/>
          <w:lang w:val="it-IT"/>
        </w:rPr>
        <w:instrText xml:space="preserve"> PAGEREF _Toc353376134 \h </w:instrText>
      </w:r>
      <w:r w:rsidRPr="00B900C1">
        <w:rPr>
          <w:color w:val="000000" w:themeColor="text1"/>
        </w:rPr>
      </w:r>
      <w:r w:rsidRPr="00B900C1">
        <w:rPr>
          <w:color w:val="000000" w:themeColor="text1"/>
        </w:rPr>
        <w:fldChar w:fldCharType="separate"/>
      </w:r>
      <w:r w:rsidR="007B74B7" w:rsidRPr="005E60AB">
        <w:rPr>
          <w:color w:val="000000" w:themeColor="text1"/>
          <w:lang w:val="it-IT"/>
        </w:rPr>
        <w:t>191</w:t>
      </w:r>
      <w:r w:rsidRPr="00B900C1">
        <w:rPr>
          <w:color w:val="000000" w:themeColor="text1"/>
        </w:rPr>
        <w:fldChar w:fldCharType="end"/>
      </w:r>
    </w:p>
    <w:p w:rsidR="00BD7CEA" w:rsidRPr="005E60AB" w:rsidRDefault="00BD7CEA">
      <w:pPr>
        <w:pStyle w:val="TOC2"/>
        <w:rPr>
          <w:rFonts w:asciiTheme="minorHAnsi" w:eastAsiaTheme="minorEastAsia" w:hAnsiTheme="minorHAnsi" w:cstheme="minorBidi"/>
          <w:color w:val="000000" w:themeColor="text1"/>
          <w:sz w:val="22"/>
          <w:szCs w:val="22"/>
          <w:lang w:val="it-IT"/>
        </w:rPr>
      </w:pPr>
      <w:r w:rsidRPr="005E60AB">
        <w:rPr>
          <w:rFonts w:cs="Tahoma"/>
          <w:caps/>
          <w:color w:val="000000" w:themeColor="text1"/>
          <w:vertAlign w:val="superscript"/>
          <w:lang w:val="it-IT"/>
        </w:rPr>
        <w:t>97</w:t>
      </w:r>
      <w:r w:rsidRPr="005E60AB">
        <w:rPr>
          <w:rFonts w:cs="Tahoma"/>
          <w:color w:val="000000" w:themeColor="text1"/>
          <w:lang w:val="it-IT"/>
        </w:rPr>
        <w:t xml:space="preserve"> Licenze di Gestione Client per Windows Embedded Device Manager 2011</w:t>
      </w:r>
      <w:r w:rsidRPr="005E60AB">
        <w:rPr>
          <w:color w:val="000000" w:themeColor="text1"/>
          <w:lang w:val="it-IT"/>
        </w:rPr>
        <w:tab/>
      </w:r>
      <w:r w:rsidRPr="00B900C1">
        <w:rPr>
          <w:color w:val="000000" w:themeColor="text1"/>
        </w:rPr>
        <w:fldChar w:fldCharType="begin"/>
      </w:r>
      <w:r w:rsidRPr="005E60AB">
        <w:rPr>
          <w:color w:val="000000" w:themeColor="text1"/>
          <w:lang w:val="it-IT"/>
        </w:rPr>
        <w:instrText xml:space="preserve"> PAGEREF _Toc353376135 \h </w:instrText>
      </w:r>
      <w:r w:rsidRPr="00B900C1">
        <w:rPr>
          <w:color w:val="000000" w:themeColor="text1"/>
        </w:rPr>
      </w:r>
      <w:r w:rsidRPr="00B900C1">
        <w:rPr>
          <w:color w:val="000000" w:themeColor="text1"/>
        </w:rPr>
        <w:fldChar w:fldCharType="separate"/>
      </w:r>
      <w:r w:rsidR="007B74B7" w:rsidRPr="005E60AB">
        <w:rPr>
          <w:color w:val="000000" w:themeColor="text1"/>
          <w:lang w:val="it-IT"/>
        </w:rPr>
        <w:t>192</w:t>
      </w:r>
      <w:r w:rsidRPr="00B900C1">
        <w:rPr>
          <w:color w:val="000000" w:themeColor="text1"/>
        </w:rPr>
        <w:fldChar w:fldCharType="end"/>
      </w:r>
    </w:p>
    <w:p w:rsidR="00BD7CEA" w:rsidRPr="005E60AB" w:rsidRDefault="00BD7CEA" w:rsidP="00B900C1">
      <w:pPr>
        <w:pStyle w:val="TOC3"/>
        <w:rPr>
          <w:rFonts w:asciiTheme="minorHAnsi" w:eastAsiaTheme="minorEastAsia" w:hAnsiTheme="minorHAnsi" w:cstheme="minorBidi"/>
          <w:color w:val="000000" w:themeColor="text1"/>
          <w:sz w:val="22"/>
          <w:szCs w:val="22"/>
          <w:lang w:val="it-IT"/>
        </w:rPr>
      </w:pPr>
      <w:r w:rsidRPr="005E60AB">
        <w:rPr>
          <w:caps/>
          <w:color w:val="000000" w:themeColor="text1"/>
          <w:vertAlign w:val="superscript"/>
          <w:lang w:val="it-IT"/>
        </w:rPr>
        <w:t xml:space="preserve">98 </w:t>
      </w:r>
      <w:r w:rsidRPr="005E60AB">
        <w:rPr>
          <w:color w:val="000000" w:themeColor="text1"/>
          <w:lang w:val="it-IT"/>
        </w:rPr>
        <w:t>Windows EBS 2008 Standard ed EBS 2008 Premium</w:t>
      </w:r>
      <w:r w:rsidRPr="005E60AB">
        <w:rPr>
          <w:color w:val="000000" w:themeColor="text1"/>
          <w:lang w:val="it-IT"/>
        </w:rPr>
        <w:tab/>
      </w:r>
      <w:r w:rsidRPr="00B900C1">
        <w:rPr>
          <w:color w:val="000000" w:themeColor="text1"/>
        </w:rPr>
        <w:fldChar w:fldCharType="begin"/>
      </w:r>
      <w:r w:rsidRPr="005E60AB">
        <w:rPr>
          <w:color w:val="000000" w:themeColor="text1"/>
          <w:lang w:val="it-IT"/>
        </w:rPr>
        <w:instrText xml:space="preserve"> PAGEREF _Toc353376136 \h </w:instrText>
      </w:r>
      <w:r w:rsidRPr="00B900C1">
        <w:rPr>
          <w:color w:val="000000" w:themeColor="text1"/>
        </w:rPr>
      </w:r>
      <w:r w:rsidRPr="00B900C1">
        <w:rPr>
          <w:color w:val="000000" w:themeColor="text1"/>
        </w:rPr>
        <w:fldChar w:fldCharType="separate"/>
      </w:r>
      <w:r w:rsidR="007B74B7" w:rsidRPr="005E60AB">
        <w:rPr>
          <w:color w:val="000000" w:themeColor="text1"/>
          <w:lang w:val="it-IT"/>
        </w:rPr>
        <w:t>193</w:t>
      </w:r>
      <w:r w:rsidRPr="00B900C1">
        <w:rPr>
          <w:color w:val="000000" w:themeColor="text1"/>
        </w:rPr>
        <w:fldChar w:fldCharType="end"/>
      </w:r>
    </w:p>
    <w:p w:rsidR="00BD7CEA" w:rsidRPr="005E60AB" w:rsidRDefault="00BD7CEA" w:rsidP="00B900C1">
      <w:pPr>
        <w:pStyle w:val="TOC3"/>
        <w:rPr>
          <w:rFonts w:asciiTheme="minorHAnsi" w:eastAsiaTheme="minorEastAsia" w:hAnsiTheme="minorHAnsi" w:cstheme="minorBidi"/>
          <w:color w:val="000000" w:themeColor="text1"/>
          <w:sz w:val="22"/>
          <w:szCs w:val="22"/>
          <w:lang w:val="it-IT"/>
        </w:rPr>
      </w:pPr>
      <w:r w:rsidRPr="005E60AB">
        <w:rPr>
          <w:caps/>
          <w:color w:val="000000" w:themeColor="text1"/>
          <w:vertAlign w:val="superscript"/>
          <w:lang w:val="it-IT"/>
        </w:rPr>
        <w:t xml:space="preserve">99 </w:t>
      </w:r>
      <w:r w:rsidRPr="005E60AB">
        <w:rPr>
          <w:color w:val="000000" w:themeColor="text1"/>
          <w:lang w:val="it-IT"/>
        </w:rPr>
        <w:t>Windows HPC Server 2008 R2 Suite</w:t>
      </w:r>
      <w:r w:rsidRPr="005E60AB">
        <w:rPr>
          <w:color w:val="000000" w:themeColor="text1"/>
          <w:lang w:val="it-IT"/>
        </w:rPr>
        <w:tab/>
      </w:r>
      <w:r w:rsidRPr="00B900C1">
        <w:rPr>
          <w:color w:val="000000" w:themeColor="text1"/>
        </w:rPr>
        <w:fldChar w:fldCharType="begin"/>
      </w:r>
      <w:r w:rsidRPr="005E60AB">
        <w:rPr>
          <w:color w:val="000000" w:themeColor="text1"/>
          <w:lang w:val="it-IT"/>
        </w:rPr>
        <w:instrText xml:space="preserve"> PAGEREF _Toc353376137 \h </w:instrText>
      </w:r>
      <w:r w:rsidRPr="00B900C1">
        <w:rPr>
          <w:color w:val="000000" w:themeColor="text1"/>
        </w:rPr>
      </w:r>
      <w:r w:rsidRPr="00B900C1">
        <w:rPr>
          <w:color w:val="000000" w:themeColor="text1"/>
        </w:rPr>
        <w:fldChar w:fldCharType="separate"/>
      </w:r>
      <w:r w:rsidR="007B74B7" w:rsidRPr="005E60AB">
        <w:rPr>
          <w:color w:val="000000" w:themeColor="text1"/>
          <w:lang w:val="it-IT"/>
        </w:rPr>
        <w:t>195</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aps/>
          <w:color w:val="000000" w:themeColor="text1"/>
          <w:vertAlign w:val="superscript"/>
        </w:rPr>
        <w:t xml:space="preserve">100 </w:t>
      </w:r>
      <w:r w:rsidRPr="00B900C1">
        <w:rPr>
          <w:rFonts w:cs="Tahoma"/>
          <w:color w:val="000000" w:themeColor="text1"/>
        </w:rPr>
        <w:t>Windows Multipoint Server 2012 Standard</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_Toc353376138 \h </w:instrText>
      </w:r>
      <w:r w:rsidRPr="00B900C1">
        <w:rPr>
          <w:color w:val="000000" w:themeColor="text1"/>
        </w:rPr>
      </w:r>
      <w:r w:rsidRPr="00B900C1">
        <w:rPr>
          <w:color w:val="000000" w:themeColor="text1"/>
        </w:rPr>
        <w:fldChar w:fldCharType="separate"/>
      </w:r>
      <w:r w:rsidR="007B74B7">
        <w:rPr>
          <w:color w:val="000000" w:themeColor="text1"/>
        </w:rPr>
        <w:t>195</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aps/>
          <w:color w:val="000000" w:themeColor="text1"/>
          <w:vertAlign w:val="superscript"/>
        </w:rPr>
        <w:t xml:space="preserve">101 </w:t>
      </w:r>
      <w:r w:rsidRPr="00B900C1">
        <w:rPr>
          <w:rFonts w:cs="Tahoma"/>
          <w:color w:val="000000" w:themeColor="text1"/>
        </w:rPr>
        <w:t>Windows Multipoint Server 2012 Premium</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_Toc353376139 \h </w:instrText>
      </w:r>
      <w:r w:rsidRPr="00B900C1">
        <w:rPr>
          <w:color w:val="000000" w:themeColor="text1"/>
        </w:rPr>
      </w:r>
      <w:r w:rsidRPr="00B900C1">
        <w:rPr>
          <w:color w:val="000000" w:themeColor="text1"/>
        </w:rPr>
        <w:fldChar w:fldCharType="separate"/>
      </w:r>
      <w:r w:rsidR="007B74B7">
        <w:rPr>
          <w:color w:val="000000" w:themeColor="text1"/>
        </w:rPr>
        <w:t>195</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aps/>
          <w:color w:val="000000" w:themeColor="text1"/>
          <w:vertAlign w:val="superscript"/>
        </w:rPr>
        <w:t>102</w:t>
      </w:r>
      <w:r w:rsidRPr="00B900C1">
        <w:rPr>
          <w:rFonts w:cs="Tahoma"/>
          <w:color w:val="000000" w:themeColor="text1"/>
        </w:rPr>
        <w:t xml:space="preserve"> Licenza CAL per Windows Multipoint Server 2012</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_Toc353376140 \h </w:instrText>
      </w:r>
      <w:r w:rsidRPr="00B900C1">
        <w:rPr>
          <w:color w:val="000000" w:themeColor="text1"/>
        </w:rPr>
      </w:r>
      <w:r w:rsidRPr="00B900C1">
        <w:rPr>
          <w:color w:val="000000" w:themeColor="text1"/>
        </w:rPr>
        <w:fldChar w:fldCharType="separate"/>
      </w:r>
      <w:r w:rsidR="007B74B7">
        <w:rPr>
          <w:color w:val="000000" w:themeColor="text1"/>
        </w:rPr>
        <w:t>195</w:t>
      </w:r>
      <w:r w:rsidRPr="00B900C1">
        <w:rPr>
          <w:color w:val="000000" w:themeColor="text1"/>
        </w:rPr>
        <w:fldChar w:fldCharType="end"/>
      </w:r>
    </w:p>
    <w:p w:rsidR="00BD7CEA" w:rsidRPr="00B900C1" w:rsidRDefault="00BD7CEA" w:rsidP="00B900C1">
      <w:pPr>
        <w:pStyle w:val="TOC3"/>
        <w:rPr>
          <w:rFonts w:asciiTheme="minorHAnsi" w:eastAsiaTheme="minorEastAsia" w:hAnsiTheme="minorHAnsi" w:cstheme="minorBidi"/>
          <w:color w:val="000000" w:themeColor="text1"/>
          <w:sz w:val="22"/>
          <w:szCs w:val="22"/>
        </w:rPr>
      </w:pPr>
      <w:r w:rsidRPr="00B900C1">
        <w:rPr>
          <w:caps/>
          <w:color w:val="000000" w:themeColor="text1"/>
          <w:vertAlign w:val="superscript"/>
        </w:rPr>
        <w:t>103</w:t>
      </w:r>
      <w:r w:rsidRPr="00B900C1">
        <w:rPr>
          <w:color w:val="000000" w:themeColor="text1"/>
        </w:rPr>
        <w:t xml:space="preserve"> Windows Server 2008 R2 HPC Edition</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_Toc353376141 \h </w:instrText>
      </w:r>
      <w:r w:rsidRPr="00B900C1">
        <w:rPr>
          <w:color w:val="000000" w:themeColor="text1"/>
        </w:rPr>
      </w:r>
      <w:r w:rsidRPr="00B900C1">
        <w:rPr>
          <w:color w:val="000000" w:themeColor="text1"/>
        </w:rPr>
        <w:fldChar w:fldCharType="separate"/>
      </w:r>
      <w:r w:rsidR="007B74B7">
        <w:rPr>
          <w:color w:val="000000" w:themeColor="text1"/>
        </w:rPr>
        <w:t>196</w:t>
      </w:r>
      <w:r w:rsidRPr="00B900C1">
        <w:rPr>
          <w:color w:val="000000" w:themeColor="text1"/>
        </w:rPr>
        <w:fldChar w:fldCharType="end"/>
      </w:r>
    </w:p>
    <w:p w:rsidR="00BD7CEA" w:rsidRPr="00B900C1" w:rsidRDefault="00BD7CEA" w:rsidP="00B900C1">
      <w:pPr>
        <w:pStyle w:val="TOC3"/>
        <w:rPr>
          <w:rFonts w:asciiTheme="minorHAnsi" w:eastAsiaTheme="minorEastAsia" w:hAnsiTheme="minorHAnsi" w:cstheme="minorBidi"/>
          <w:color w:val="000000" w:themeColor="text1"/>
          <w:sz w:val="22"/>
          <w:szCs w:val="22"/>
        </w:rPr>
      </w:pPr>
      <w:r w:rsidRPr="00B900C1">
        <w:rPr>
          <w:caps/>
          <w:color w:val="000000" w:themeColor="text1"/>
          <w:vertAlign w:val="superscript"/>
        </w:rPr>
        <w:t>104</w:t>
      </w:r>
      <w:r w:rsidRPr="00B900C1">
        <w:rPr>
          <w:color w:val="000000" w:themeColor="text1"/>
        </w:rPr>
        <w:t xml:space="preserve"> Windows Server 2008 R2 Enterprise</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_Toc353376142 \h </w:instrText>
      </w:r>
      <w:r w:rsidRPr="00B900C1">
        <w:rPr>
          <w:color w:val="000000" w:themeColor="text1"/>
        </w:rPr>
      </w:r>
      <w:r w:rsidRPr="00B900C1">
        <w:rPr>
          <w:color w:val="000000" w:themeColor="text1"/>
        </w:rPr>
        <w:fldChar w:fldCharType="separate"/>
      </w:r>
      <w:r w:rsidR="007B74B7">
        <w:rPr>
          <w:color w:val="000000" w:themeColor="text1"/>
        </w:rPr>
        <w:t>196</w:t>
      </w:r>
      <w:r w:rsidRPr="00B900C1">
        <w:rPr>
          <w:color w:val="000000" w:themeColor="text1"/>
        </w:rPr>
        <w:fldChar w:fldCharType="end"/>
      </w:r>
    </w:p>
    <w:p w:rsidR="00BD7CEA" w:rsidRPr="00B900C1" w:rsidRDefault="00BD7CEA" w:rsidP="00B900C1">
      <w:pPr>
        <w:pStyle w:val="TOC3"/>
        <w:rPr>
          <w:rFonts w:asciiTheme="minorHAnsi" w:eastAsiaTheme="minorEastAsia" w:hAnsiTheme="minorHAnsi" w:cstheme="minorBidi"/>
          <w:color w:val="000000" w:themeColor="text1"/>
          <w:sz w:val="22"/>
          <w:szCs w:val="22"/>
        </w:rPr>
      </w:pPr>
      <w:r w:rsidRPr="00B900C1">
        <w:rPr>
          <w:caps/>
          <w:color w:val="000000" w:themeColor="text1"/>
          <w:vertAlign w:val="superscript"/>
        </w:rPr>
        <w:t>105</w:t>
      </w:r>
      <w:r w:rsidRPr="00B900C1">
        <w:rPr>
          <w:caps/>
          <w:color w:val="000000" w:themeColor="text1"/>
        </w:rPr>
        <w:t xml:space="preserve"> </w:t>
      </w:r>
      <w:r w:rsidRPr="00B900C1">
        <w:rPr>
          <w:color w:val="000000" w:themeColor="text1"/>
        </w:rPr>
        <w:t>Windows Server 2008 R2 Per Sistemi Itanium</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_Toc353376143 \h </w:instrText>
      </w:r>
      <w:r w:rsidRPr="00B900C1">
        <w:rPr>
          <w:color w:val="000000" w:themeColor="text1"/>
        </w:rPr>
      </w:r>
      <w:r w:rsidRPr="00B900C1">
        <w:rPr>
          <w:color w:val="000000" w:themeColor="text1"/>
        </w:rPr>
        <w:fldChar w:fldCharType="separate"/>
      </w:r>
      <w:r w:rsidR="007B74B7">
        <w:rPr>
          <w:color w:val="000000" w:themeColor="text1"/>
        </w:rPr>
        <w:t>197</w:t>
      </w:r>
      <w:r w:rsidRPr="00B900C1">
        <w:rPr>
          <w:color w:val="000000" w:themeColor="text1"/>
        </w:rPr>
        <w:fldChar w:fldCharType="end"/>
      </w:r>
    </w:p>
    <w:p w:rsidR="00BD7CEA" w:rsidRPr="005E60AB" w:rsidRDefault="00BD7CEA" w:rsidP="00B900C1">
      <w:pPr>
        <w:pStyle w:val="TOC3"/>
        <w:rPr>
          <w:rFonts w:asciiTheme="minorHAnsi" w:eastAsiaTheme="minorEastAsia" w:hAnsiTheme="minorHAnsi" w:cstheme="minorBidi"/>
          <w:color w:val="000000" w:themeColor="text1"/>
          <w:sz w:val="22"/>
          <w:szCs w:val="22"/>
          <w:lang w:val="it-IT"/>
        </w:rPr>
      </w:pPr>
      <w:r w:rsidRPr="005E60AB">
        <w:rPr>
          <w:caps/>
          <w:color w:val="000000" w:themeColor="text1"/>
          <w:vertAlign w:val="superscript"/>
          <w:lang w:val="it-IT"/>
        </w:rPr>
        <w:t xml:space="preserve">106 </w:t>
      </w:r>
      <w:r w:rsidRPr="005E60AB">
        <w:rPr>
          <w:color w:val="000000" w:themeColor="text1"/>
          <w:lang w:val="it-IT"/>
        </w:rPr>
        <w:t>Licenza CAL per Windows Server 2012</w:t>
      </w:r>
      <w:r w:rsidRPr="005E60AB">
        <w:rPr>
          <w:color w:val="000000" w:themeColor="text1"/>
          <w:lang w:val="it-IT"/>
        </w:rPr>
        <w:tab/>
      </w:r>
      <w:r w:rsidRPr="00B900C1">
        <w:rPr>
          <w:color w:val="000000" w:themeColor="text1"/>
        </w:rPr>
        <w:fldChar w:fldCharType="begin"/>
      </w:r>
      <w:r w:rsidRPr="005E60AB">
        <w:rPr>
          <w:color w:val="000000" w:themeColor="text1"/>
          <w:lang w:val="it-IT"/>
        </w:rPr>
        <w:instrText xml:space="preserve"> PAGEREF _Toc353376144 \h </w:instrText>
      </w:r>
      <w:r w:rsidRPr="00B900C1">
        <w:rPr>
          <w:color w:val="000000" w:themeColor="text1"/>
        </w:rPr>
      </w:r>
      <w:r w:rsidRPr="00B900C1">
        <w:rPr>
          <w:color w:val="000000" w:themeColor="text1"/>
        </w:rPr>
        <w:fldChar w:fldCharType="separate"/>
      </w:r>
      <w:r w:rsidR="007B74B7" w:rsidRPr="005E60AB">
        <w:rPr>
          <w:color w:val="000000" w:themeColor="text1"/>
          <w:lang w:val="it-IT"/>
        </w:rPr>
        <w:t>198</w:t>
      </w:r>
      <w:r w:rsidRPr="00B900C1">
        <w:rPr>
          <w:color w:val="000000" w:themeColor="text1"/>
        </w:rPr>
        <w:fldChar w:fldCharType="end"/>
      </w:r>
    </w:p>
    <w:p w:rsidR="00BD7CEA" w:rsidRPr="00B900C1" w:rsidRDefault="00BD7CEA" w:rsidP="00B900C1">
      <w:pPr>
        <w:pStyle w:val="TOC3"/>
        <w:rPr>
          <w:rFonts w:asciiTheme="minorHAnsi" w:eastAsiaTheme="minorEastAsia" w:hAnsiTheme="minorHAnsi" w:cstheme="minorBidi"/>
          <w:color w:val="000000" w:themeColor="text1"/>
          <w:sz w:val="22"/>
          <w:szCs w:val="22"/>
        </w:rPr>
      </w:pPr>
      <w:r w:rsidRPr="00B900C1">
        <w:rPr>
          <w:caps/>
          <w:color w:val="000000" w:themeColor="text1"/>
          <w:vertAlign w:val="superscript"/>
        </w:rPr>
        <w:t xml:space="preserve">107 </w:t>
      </w:r>
      <w:r w:rsidRPr="00B900C1">
        <w:rPr>
          <w:color w:val="000000" w:themeColor="text1"/>
        </w:rPr>
        <w:t>Windows Server 2008 R2 Datacenter</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_Toc353376145 \h </w:instrText>
      </w:r>
      <w:r w:rsidRPr="00B900C1">
        <w:rPr>
          <w:color w:val="000000" w:themeColor="text1"/>
        </w:rPr>
      </w:r>
      <w:r w:rsidRPr="00B900C1">
        <w:rPr>
          <w:color w:val="000000" w:themeColor="text1"/>
        </w:rPr>
        <w:fldChar w:fldCharType="separate"/>
      </w:r>
      <w:r w:rsidR="007B74B7">
        <w:rPr>
          <w:color w:val="000000" w:themeColor="text1"/>
        </w:rPr>
        <w:t>198</w:t>
      </w:r>
      <w:r w:rsidRPr="00B900C1">
        <w:rPr>
          <w:color w:val="000000" w:themeColor="text1"/>
        </w:rPr>
        <w:fldChar w:fldCharType="end"/>
      </w:r>
    </w:p>
    <w:p w:rsidR="00BD7CEA" w:rsidRPr="00B900C1" w:rsidRDefault="00BD7CEA" w:rsidP="00B900C1">
      <w:pPr>
        <w:pStyle w:val="TOC3"/>
        <w:rPr>
          <w:rFonts w:asciiTheme="minorHAnsi" w:eastAsiaTheme="minorEastAsia" w:hAnsiTheme="minorHAnsi" w:cstheme="minorBidi"/>
          <w:color w:val="000000" w:themeColor="text1"/>
          <w:sz w:val="22"/>
          <w:szCs w:val="22"/>
        </w:rPr>
      </w:pPr>
      <w:r w:rsidRPr="00B900C1">
        <w:rPr>
          <w:caps/>
          <w:color w:val="000000" w:themeColor="text1"/>
          <w:vertAlign w:val="superscript"/>
        </w:rPr>
        <w:t xml:space="preserve">108 </w:t>
      </w:r>
      <w:r w:rsidRPr="00B900C1">
        <w:rPr>
          <w:color w:val="000000" w:themeColor="text1"/>
        </w:rPr>
        <w:t>Windows Server 2008 R2 Standard</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_Toc353376146 \h </w:instrText>
      </w:r>
      <w:r w:rsidRPr="00B900C1">
        <w:rPr>
          <w:color w:val="000000" w:themeColor="text1"/>
        </w:rPr>
      </w:r>
      <w:r w:rsidRPr="00B900C1">
        <w:rPr>
          <w:color w:val="000000" w:themeColor="text1"/>
        </w:rPr>
        <w:fldChar w:fldCharType="separate"/>
      </w:r>
      <w:r w:rsidR="007B74B7">
        <w:rPr>
          <w:color w:val="000000" w:themeColor="text1"/>
        </w:rPr>
        <w:t>199</w:t>
      </w:r>
      <w:r w:rsidRPr="00B900C1">
        <w:rPr>
          <w:color w:val="000000" w:themeColor="text1"/>
        </w:rPr>
        <w:fldChar w:fldCharType="end"/>
      </w:r>
    </w:p>
    <w:p w:rsidR="00BD7CEA" w:rsidRPr="00B900C1" w:rsidRDefault="00BD7CEA" w:rsidP="00B900C1">
      <w:pPr>
        <w:pStyle w:val="TOC3"/>
        <w:rPr>
          <w:rFonts w:asciiTheme="minorHAnsi" w:eastAsiaTheme="minorEastAsia" w:hAnsiTheme="minorHAnsi" w:cstheme="minorBidi"/>
          <w:color w:val="000000" w:themeColor="text1"/>
          <w:sz w:val="22"/>
          <w:szCs w:val="22"/>
        </w:rPr>
      </w:pPr>
      <w:r w:rsidRPr="00B900C1">
        <w:rPr>
          <w:caps/>
          <w:color w:val="000000" w:themeColor="text1"/>
          <w:vertAlign w:val="superscript"/>
        </w:rPr>
        <w:t>109</w:t>
      </w:r>
      <w:r w:rsidRPr="00B900C1">
        <w:rPr>
          <w:color w:val="000000" w:themeColor="text1"/>
        </w:rPr>
        <w:t xml:space="preserve"> Windows Web Server</w:t>
      </w:r>
      <w:r w:rsidRPr="00B900C1">
        <w:rPr>
          <w:color w:val="000000" w:themeColor="text1"/>
          <w:vertAlign w:val="superscript"/>
        </w:rPr>
        <w:t>®</w:t>
      </w:r>
      <w:r w:rsidRPr="00B900C1">
        <w:rPr>
          <w:color w:val="000000" w:themeColor="text1"/>
        </w:rPr>
        <w:t xml:space="preserve"> 2008 R2</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_Toc353376147 \h </w:instrText>
      </w:r>
      <w:r w:rsidRPr="00B900C1">
        <w:rPr>
          <w:color w:val="000000" w:themeColor="text1"/>
        </w:rPr>
      </w:r>
      <w:r w:rsidRPr="00B900C1">
        <w:rPr>
          <w:color w:val="000000" w:themeColor="text1"/>
        </w:rPr>
        <w:fldChar w:fldCharType="separate"/>
      </w:r>
      <w:r w:rsidR="007B74B7">
        <w:rPr>
          <w:color w:val="000000" w:themeColor="text1"/>
        </w:rPr>
        <w:t>200</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aps/>
          <w:color w:val="000000" w:themeColor="text1"/>
          <w:vertAlign w:val="superscript"/>
        </w:rPr>
        <w:t>110</w:t>
      </w:r>
      <w:r w:rsidRPr="00B900C1">
        <w:rPr>
          <w:rFonts w:cs="Tahoma"/>
          <w:color w:val="000000" w:themeColor="text1"/>
        </w:rPr>
        <w:t xml:space="preserve"> Windows Small Business Server (SBS) 2008 Premium</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_Toc353376148 \h </w:instrText>
      </w:r>
      <w:r w:rsidRPr="00B900C1">
        <w:rPr>
          <w:color w:val="000000" w:themeColor="text1"/>
        </w:rPr>
      </w:r>
      <w:r w:rsidRPr="00B900C1">
        <w:rPr>
          <w:color w:val="000000" w:themeColor="text1"/>
        </w:rPr>
        <w:fldChar w:fldCharType="separate"/>
      </w:r>
      <w:r w:rsidR="007B74B7">
        <w:rPr>
          <w:color w:val="000000" w:themeColor="text1"/>
        </w:rPr>
        <w:t>201</w:t>
      </w:r>
      <w:r w:rsidRPr="00B900C1">
        <w:rPr>
          <w:color w:val="000000" w:themeColor="text1"/>
        </w:rPr>
        <w:fldChar w:fldCharType="end"/>
      </w:r>
    </w:p>
    <w:p w:rsidR="00BD7CEA" w:rsidRPr="00B900C1" w:rsidRDefault="00BD7CEA" w:rsidP="00B900C1">
      <w:pPr>
        <w:pStyle w:val="TOC3"/>
        <w:rPr>
          <w:rFonts w:asciiTheme="minorHAnsi" w:eastAsiaTheme="minorEastAsia" w:hAnsiTheme="minorHAnsi" w:cstheme="minorBidi"/>
          <w:color w:val="000000" w:themeColor="text1"/>
          <w:sz w:val="22"/>
          <w:szCs w:val="22"/>
        </w:rPr>
      </w:pPr>
      <w:r w:rsidRPr="00B900C1">
        <w:rPr>
          <w:caps/>
          <w:color w:val="000000" w:themeColor="text1"/>
          <w:vertAlign w:val="superscript"/>
        </w:rPr>
        <w:t>111</w:t>
      </w:r>
      <w:r w:rsidRPr="00B900C1">
        <w:rPr>
          <w:color w:val="000000" w:themeColor="text1"/>
        </w:rPr>
        <w:t xml:space="preserve"> Windows Small Business Server (SBS) 2011 Standard</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_Toc353376149 \h </w:instrText>
      </w:r>
      <w:r w:rsidRPr="00B900C1">
        <w:rPr>
          <w:color w:val="000000" w:themeColor="text1"/>
        </w:rPr>
      </w:r>
      <w:r w:rsidRPr="00B900C1">
        <w:rPr>
          <w:color w:val="000000" w:themeColor="text1"/>
        </w:rPr>
        <w:fldChar w:fldCharType="separate"/>
      </w:r>
      <w:r w:rsidR="007B74B7">
        <w:rPr>
          <w:color w:val="000000" w:themeColor="text1"/>
        </w:rPr>
        <w:t>201</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aps/>
          <w:color w:val="000000" w:themeColor="text1"/>
          <w:vertAlign w:val="superscript"/>
        </w:rPr>
        <w:t xml:space="preserve">112 </w:t>
      </w:r>
      <w:r w:rsidRPr="00B900C1">
        <w:rPr>
          <w:rFonts w:cs="Tahoma"/>
          <w:color w:val="000000" w:themeColor="text1"/>
        </w:rPr>
        <w:t>CAL Suite per Windows Small Business Server (SBS) 2011</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_Toc353376150 \h </w:instrText>
      </w:r>
      <w:r w:rsidRPr="00B900C1">
        <w:rPr>
          <w:color w:val="000000" w:themeColor="text1"/>
        </w:rPr>
      </w:r>
      <w:r w:rsidRPr="00B900C1">
        <w:rPr>
          <w:color w:val="000000" w:themeColor="text1"/>
        </w:rPr>
        <w:fldChar w:fldCharType="separate"/>
      </w:r>
      <w:r w:rsidR="007B74B7">
        <w:rPr>
          <w:color w:val="000000" w:themeColor="text1"/>
        </w:rPr>
        <w:t>202</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aps/>
          <w:color w:val="000000" w:themeColor="text1"/>
          <w:vertAlign w:val="superscript"/>
        </w:rPr>
        <w:t xml:space="preserve">113 </w:t>
      </w:r>
      <w:r w:rsidRPr="00B900C1">
        <w:rPr>
          <w:rFonts w:cs="Tahoma"/>
          <w:color w:val="000000" w:themeColor="text1"/>
        </w:rPr>
        <w:t>Premium Add-on per Windows Small Business Server (SBS) 2011</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_Toc353376151 \h </w:instrText>
      </w:r>
      <w:r w:rsidRPr="00B900C1">
        <w:rPr>
          <w:color w:val="000000" w:themeColor="text1"/>
        </w:rPr>
      </w:r>
      <w:r w:rsidRPr="00B900C1">
        <w:rPr>
          <w:color w:val="000000" w:themeColor="text1"/>
        </w:rPr>
        <w:fldChar w:fldCharType="separate"/>
      </w:r>
      <w:r w:rsidR="007B74B7">
        <w:rPr>
          <w:color w:val="000000" w:themeColor="text1"/>
        </w:rPr>
        <w:t>203</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aps/>
          <w:color w:val="000000" w:themeColor="text1"/>
          <w:vertAlign w:val="superscript"/>
        </w:rPr>
        <w:t>114</w:t>
      </w:r>
      <w:r w:rsidRPr="00B900C1">
        <w:rPr>
          <w:rFonts w:cs="Tahoma"/>
          <w:color w:val="000000" w:themeColor="text1"/>
        </w:rPr>
        <w:t xml:space="preserve"> Premium Add-on CAL Suite per Windows Small Business Server (SBS) 2011</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_Toc353376152 \h </w:instrText>
      </w:r>
      <w:r w:rsidRPr="00B900C1">
        <w:rPr>
          <w:color w:val="000000" w:themeColor="text1"/>
        </w:rPr>
      </w:r>
      <w:r w:rsidRPr="00B900C1">
        <w:rPr>
          <w:color w:val="000000" w:themeColor="text1"/>
        </w:rPr>
        <w:fldChar w:fldCharType="separate"/>
      </w:r>
      <w:r w:rsidR="007B74B7">
        <w:rPr>
          <w:color w:val="000000" w:themeColor="text1"/>
        </w:rPr>
        <w:t>204</w:t>
      </w:r>
      <w:r w:rsidRPr="00B900C1">
        <w:rPr>
          <w:color w:val="000000" w:themeColor="text1"/>
        </w:rPr>
        <w:fldChar w:fldCharType="end"/>
      </w:r>
    </w:p>
    <w:p w:rsidR="00BD7CEA" w:rsidRPr="00B900C1" w:rsidRDefault="00BD7CEA">
      <w:pPr>
        <w:pStyle w:val="TOC2"/>
        <w:rPr>
          <w:rFonts w:asciiTheme="minorHAnsi" w:eastAsiaTheme="minorEastAsia" w:hAnsiTheme="minorHAnsi" w:cstheme="minorBidi"/>
          <w:color w:val="000000" w:themeColor="text1"/>
          <w:sz w:val="22"/>
          <w:szCs w:val="22"/>
        </w:rPr>
      </w:pPr>
      <w:r w:rsidRPr="00B900C1">
        <w:rPr>
          <w:rFonts w:cs="Tahoma"/>
          <w:color w:val="000000" w:themeColor="text1"/>
          <w:vertAlign w:val="superscript"/>
        </w:rPr>
        <w:t xml:space="preserve">115 </w:t>
      </w:r>
      <w:r w:rsidRPr="00B900C1">
        <w:rPr>
          <w:rFonts w:cs="Tahoma"/>
          <w:color w:val="000000" w:themeColor="text1"/>
        </w:rPr>
        <w:t>Windows Small Business Server 2011 Essentials</w:t>
      </w:r>
      <w:r w:rsidRPr="00B900C1">
        <w:rPr>
          <w:color w:val="000000" w:themeColor="text1"/>
        </w:rPr>
        <w:tab/>
      </w:r>
      <w:r w:rsidRPr="00B900C1">
        <w:rPr>
          <w:color w:val="000000" w:themeColor="text1"/>
        </w:rPr>
        <w:fldChar w:fldCharType="begin"/>
      </w:r>
      <w:r w:rsidRPr="00B900C1">
        <w:rPr>
          <w:color w:val="000000" w:themeColor="text1"/>
        </w:rPr>
        <w:instrText xml:space="preserve"> PAGEREF _Toc353376153 \h </w:instrText>
      </w:r>
      <w:r w:rsidRPr="00B900C1">
        <w:rPr>
          <w:color w:val="000000" w:themeColor="text1"/>
        </w:rPr>
      </w:r>
      <w:r w:rsidRPr="00B900C1">
        <w:rPr>
          <w:color w:val="000000" w:themeColor="text1"/>
        </w:rPr>
        <w:fldChar w:fldCharType="separate"/>
      </w:r>
      <w:r w:rsidR="007B74B7">
        <w:rPr>
          <w:color w:val="000000" w:themeColor="text1"/>
        </w:rPr>
        <w:t>205</w:t>
      </w:r>
      <w:r w:rsidRPr="00B900C1">
        <w:rPr>
          <w:color w:val="000000" w:themeColor="text1"/>
        </w:rPr>
        <w:fldChar w:fldCharType="end"/>
      </w:r>
    </w:p>
    <w:p w:rsidR="007E0CC6" w:rsidRPr="00BD7CEA" w:rsidRDefault="00955428" w:rsidP="00461CA9">
      <w:pPr>
        <w:pStyle w:val="TOC4"/>
        <w:tabs>
          <w:tab w:val="clear" w:pos="9360"/>
          <w:tab w:val="center" w:pos="4680"/>
        </w:tabs>
      </w:pPr>
      <w:r w:rsidRPr="00B900C1">
        <w:rPr>
          <w:rFonts w:cs="Tahoma"/>
          <w:color w:val="000000" w:themeColor="text1"/>
          <w:szCs w:val="18"/>
        </w:rPr>
        <w:fldChar w:fldCharType="end"/>
      </w:r>
    </w:p>
    <w:p w:rsidR="00023FE7" w:rsidRPr="007B74B7" w:rsidRDefault="00ED3854" w:rsidP="007E0CC6">
      <w:pPr>
        <w:pStyle w:val="Heading2"/>
        <w:rPr>
          <w:sz w:val="36"/>
          <w:szCs w:val="36"/>
          <w:lang w:val="it-IT"/>
        </w:rPr>
      </w:pPr>
      <w:bookmarkStart w:id="7" w:name="_Toc246850065"/>
      <w:r w:rsidRPr="00727C8D">
        <w:rPr>
          <w:rFonts w:ascii="Tahoma" w:hAnsi="Tahoma" w:cs="Tahoma"/>
          <w:sz w:val="36"/>
          <w:szCs w:val="36"/>
          <w:lang w:val="it-IT"/>
        </w:rPr>
        <w:br w:type="page"/>
      </w:r>
      <w:bookmarkStart w:id="8" w:name="_Toc336337840"/>
      <w:bookmarkStart w:id="9" w:name="_Toc353375622"/>
      <w:r w:rsidRPr="007B74B7">
        <w:rPr>
          <w:rFonts w:ascii="Tahoma" w:hAnsi="Tahoma" w:cs="Tahoma"/>
          <w:sz w:val="36"/>
          <w:szCs w:val="36"/>
          <w:lang w:val="it-IT"/>
        </w:rPr>
        <w:lastRenderedPageBreak/>
        <w:t>Codici Tabella</w:t>
      </w:r>
      <w:bookmarkEnd w:id="7"/>
      <w:bookmarkEnd w:id="8"/>
      <w:bookmarkEnd w:id="9"/>
    </w:p>
    <w:p w:rsidR="00023FE7" w:rsidRPr="007B74B7" w:rsidRDefault="00023FE7">
      <w:pPr>
        <w:pStyle w:val="ChartKeyHeadings"/>
        <w:ind w:right="-180"/>
        <w:rPr>
          <w:lang w:val="it-IT"/>
        </w:rPr>
      </w:pPr>
    </w:p>
    <w:p w:rsidR="00023FE7" w:rsidRPr="007B74B7" w:rsidRDefault="00023FE7">
      <w:pPr>
        <w:pStyle w:val="ChartKeyHeadings"/>
        <w:ind w:right="-180"/>
        <w:rPr>
          <w:lang w:val="it-IT"/>
        </w:rPr>
      </w:pPr>
      <w:r w:rsidRPr="007B74B7">
        <w:rPr>
          <w:rFonts w:ascii="Tahoma" w:hAnsi="Tahoma" w:cs="Tahoma"/>
          <w:szCs w:val="24"/>
          <w:lang w:val="it-IT"/>
        </w:rPr>
        <w:t>Intestazioni Colonne</w:t>
      </w:r>
    </w:p>
    <w:p w:rsidR="00023FE7" w:rsidRPr="007B74B7" w:rsidRDefault="00023FE7">
      <w:pPr>
        <w:pStyle w:val="ChartKeyHeadings"/>
        <w:ind w:right="-180"/>
        <w:rPr>
          <w:lang w:val="it-IT"/>
        </w:rPr>
      </w:pPr>
    </w:p>
    <w:p w:rsidR="00664EE9" w:rsidRPr="007B74B7" w:rsidRDefault="00664EE9" w:rsidP="00095F5D">
      <w:pPr>
        <w:pStyle w:val="Bodywithspace"/>
        <w:spacing w:before="0" w:after="0" w:line="276" w:lineRule="auto"/>
        <w:rPr>
          <w:lang w:val="it-IT"/>
        </w:rPr>
      </w:pPr>
      <w:r w:rsidRPr="007B74B7">
        <w:rPr>
          <w:rStyle w:val="BodyChar"/>
          <w:rFonts w:ascii="Tahoma" w:hAnsi="Tahoma" w:cs="Tahoma"/>
          <w:b/>
          <w:color w:val="000000"/>
          <w:sz w:val="18"/>
          <w:szCs w:val="18"/>
          <w:lang w:val="it-IT"/>
        </w:rPr>
        <w:t>Unità Campus e School =</w:t>
      </w:r>
      <w:r w:rsidRPr="007B74B7">
        <w:rPr>
          <w:rFonts w:ascii="Tahoma" w:hAnsi="Tahoma" w:cs="Tahoma"/>
          <w:color w:val="000000"/>
          <w:sz w:val="18"/>
          <w:szCs w:val="18"/>
          <w:lang w:val="it-IT"/>
        </w:rPr>
        <w:t xml:space="preserve"> I numeri visualizzati in questa colonna rappresentano le unità designate quando il</w:t>
      </w:r>
      <w:r w:rsidR="005C112F" w:rsidRPr="007B74B7">
        <w:rPr>
          <w:rFonts w:ascii="Tahoma" w:hAnsi="Tahoma" w:cs="Tahoma"/>
          <w:color w:val="000000"/>
          <w:sz w:val="18"/>
          <w:szCs w:val="18"/>
          <w:lang w:val="it-IT"/>
        </w:rPr>
        <w:t> </w:t>
      </w:r>
      <w:r w:rsidRPr="007B74B7">
        <w:rPr>
          <w:rFonts w:ascii="Tahoma" w:hAnsi="Tahoma" w:cs="Tahoma"/>
          <w:color w:val="000000"/>
          <w:sz w:val="18"/>
          <w:szCs w:val="18"/>
          <w:lang w:val="it-IT"/>
        </w:rPr>
        <w:t>software viene offerto attraverso l</w:t>
      </w:r>
      <w:r w:rsidR="007A1415" w:rsidRPr="007B74B7">
        <w:rPr>
          <w:rFonts w:ascii="Tahoma" w:hAnsi="Tahoma" w:cs="Tahoma"/>
          <w:color w:val="000000"/>
          <w:sz w:val="18"/>
          <w:szCs w:val="18"/>
          <w:lang w:val="it-IT"/>
        </w:rPr>
        <w:t>’</w:t>
      </w:r>
      <w:r w:rsidRPr="007B74B7">
        <w:rPr>
          <w:rFonts w:ascii="Tahoma" w:hAnsi="Tahoma" w:cs="Tahoma"/>
          <w:color w:val="000000"/>
          <w:sz w:val="18"/>
          <w:szCs w:val="18"/>
          <w:lang w:val="it-IT"/>
        </w:rPr>
        <w:t>Iscrizione School ai sensi del Contratto Campus e School. I</w:t>
      </w:r>
      <w:r w:rsidR="00095F5D" w:rsidRPr="007B74B7">
        <w:rPr>
          <w:rFonts w:ascii="Tahoma" w:hAnsi="Tahoma" w:cs="Tahoma"/>
          <w:color w:val="000000"/>
          <w:sz w:val="18"/>
          <w:szCs w:val="18"/>
          <w:lang w:val="it-IT"/>
        </w:rPr>
        <w:t> </w:t>
      </w:r>
      <w:r w:rsidRPr="007B74B7">
        <w:rPr>
          <w:rFonts w:ascii="Tahoma" w:hAnsi="Tahoma" w:cs="Tahoma"/>
          <w:color w:val="000000"/>
          <w:sz w:val="18"/>
          <w:szCs w:val="18"/>
          <w:lang w:val="it-IT"/>
        </w:rPr>
        <w:t>prodotti non vengono offerti in questi programmi quando la colonna CA/SA è vuota.</w:t>
      </w:r>
    </w:p>
    <w:p w:rsidR="00023FE7" w:rsidRPr="007B74B7" w:rsidRDefault="00023FE7" w:rsidP="00095F5D">
      <w:pPr>
        <w:pStyle w:val="Bodywithspace"/>
        <w:spacing w:before="0" w:after="0" w:line="276" w:lineRule="auto"/>
        <w:rPr>
          <w:lang w:val="it-IT"/>
        </w:rPr>
      </w:pPr>
      <w:r w:rsidRPr="007B74B7">
        <w:rPr>
          <w:rStyle w:val="BodyChar"/>
          <w:rFonts w:ascii="Tahoma" w:hAnsi="Tahoma" w:cs="Tahoma"/>
          <w:b/>
          <w:sz w:val="18"/>
          <w:szCs w:val="18"/>
          <w:lang w:val="it-IT"/>
        </w:rPr>
        <w:t xml:space="preserve">Data Disponibilità = </w:t>
      </w:r>
      <w:r w:rsidRPr="007B74B7">
        <w:rPr>
          <w:rStyle w:val="BodyChar"/>
          <w:rFonts w:ascii="Tahoma" w:hAnsi="Tahoma" w:cs="Tahoma"/>
          <w:sz w:val="18"/>
          <w:szCs w:val="18"/>
          <w:lang w:val="it-IT"/>
        </w:rPr>
        <w:t>È la data in cui il prodotto è disponibile per la prima volta,</w:t>
      </w:r>
      <w:r w:rsidRPr="007B74B7">
        <w:rPr>
          <w:rStyle w:val="BodyChar"/>
          <w:rFonts w:ascii="Tahoma" w:hAnsi="Tahoma" w:cs="Tahoma"/>
          <w:color w:val="000000"/>
          <w:sz w:val="18"/>
          <w:szCs w:val="18"/>
          <w:lang w:val="it-IT"/>
        </w:rPr>
        <w:t xml:space="preserve"> indicata nel formato mese/anno. </w:t>
      </w:r>
      <w:r w:rsidRPr="007B74B7">
        <w:rPr>
          <w:rStyle w:val="BodyChar"/>
          <w:rFonts w:ascii="Tahoma" w:hAnsi="Tahoma" w:cs="Tahoma"/>
          <w:sz w:val="18"/>
          <w:szCs w:val="18"/>
          <w:lang w:val="it-IT"/>
        </w:rPr>
        <w:t>È la prima tra la data in cui Microsoft dà la possibilità di ordinare le licenze per il prodotto e quella in cui consente di scaricare il software per il prodotto dal Volume Licensing Services Center (VLSC).</w:t>
      </w:r>
    </w:p>
    <w:p w:rsidR="00023FE7" w:rsidRPr="007B74B7" w:rsidRDefault="00023FE7" w:rsidP="00095F5D">
      <w:pPr>
        <w:pStyle w:val="Bodywithspace"/>
        <w:spacing w:before="0" w:after="0" w:line="276" w:lineRule="auto"/>
        <w:rPr>
          <w:lang w:val="it-IT"/>
        </w:rPr>
      </w:pPr>
      <w:r w:rsidRPr="007B74B7">
        <w:rPr>
          <w:rStyle w:val="BodyChar"/>
          <w:rFonts w:ascii="Tahoma" w:hAnsi="Tahoma" w:cs="Tahoma"/>
          <w:b/>
          <w:sz w:val="18"/>
          <w:szCs w:val="18"/>
          <w:lang w:val="it-IT"/>
        </w:rPr>
        <w:t>EA (Contratto Enterprise) =</w:t>
      </w:r>
      <w:r w:rsidRPr="007B74B7">
        <w:rPr>
          <w:rFonts w:ascii="Tahoma" w:hAnsi="Tahoma" w:cs="Tahoma"/>
          <w:sz w:val="18"/>
          <w:szCs w:val="18"/>
          <w:lang w:val="it-IT"/>
        </w:rPr>
        <w:t xml:space="preserve"> Contratto Enterprise 20xx.</w:t>
      </w:r>
    </w:p>
    <w:p w:rsidR="00023FE7" w:rsidRPr="007B74B7" w:rsidRDefault="00023FE7" w:rsidP="00095F5D">
      <w:pPr>
        <w:pStyle w:val="Bodywithspace"/>
        <w:spacing w:before="0" w:after="0" w:line="276" w:lineRule="auto"/>
        <w:rPr>
          <w:lang w:val="it-IT"/>
        </w:rPr>
      </w:pPr>
      <w:r w:rsidRPr="007B74B7">
        <w:rPr>
          <w:rStyle w:val="BodyChar"/>
          <w:rFonts w:ascii="Tahoma" w:hAnsi="Tahoma" w:cs="Tahoma"/>
          <w:b/>
          <w:sz w:val="18"/>
          <w:szCs w:val="18"/>
          <w:lang w:val="it-IT"/>
        </w:rPr>
        <w:t xml:space="preserve">EA Sub (Contratto Enterprise Subscription) = </w:t>
      </w:r>
      <w:r w:rsidRPr="007B74B7">
        <w:rPr>
          <w:rFonts w:ascii="Tahoma" w:hAnsi="Tahoma" w:cs="Tahoma"/>
          <w:sz w:val="18"/>
          <w:szCs w:val="18"/>
          <w:lang w:val="it-IT"/>
        </w:rPr>
        <w:t>Contratto Enterprise Subscription 200x.</w:t>
      </w:r>
      <w:r w:rsidR="008D782D" w:rsidRPr="007B74B7">
        <w:rPr>
          <w:rFonts w:ascii="Tahoma" w:hAnsi="Tahoma" w:cs="Tahoma"/>
          <w:sz w:val="18"/>
          <w:szCs w:val="18"/>
          <w:lang w:val="it-IT"/>
        </w:rPr>
        <w:t xml:space="preserve"> </w:t>
      </w:r>
    </w:p>
    <w:p w:rsidR="00456002" w:rsidRPr="007B74B7" w:rsidRDefault="00456002" w:rsidP="00095F5D">
      <w:pPr>
        <w:pStyle w:val="Bodywithspace"/>
        <w:spacing w:before="0" w:after="0" w:line="276" w:lineRule="auto"/>
        <w:rPr>
          <w:lang w:val="it-IT"/>
        </w:rPr>
      </w:pPr>
      <w:r w:rsidRPr="007B74B7">
        <w:rPr>
          <w:rStyle w:val="BodyChar"/>
          <w:rFonts w:ascii="Tahoma" w:hAnsi="Tahoma" w:cs="Tahoma"/>
          <w:b/>
          <w:sz w:val="18"/>
          <w:szCs w:val="18"/>
          <w:lang w:val="it-IT"/>
        </w:rPr>
        <w:t>Requisito Minimo per i Programmi Open =</w:t>
      </w:r>
      <w:r w:rsidRPr="007B74B7">
        <w:rPr>
          <w:rFonts w:ascii="Tahoma" w:hAnsi="Tahoma" w:cs="Tahoma"/>
          <w:sz w:val="18"/>
          <w:szCs w:val="18"/>
          <w:lang w:val="it-IT"/>
        </w:rPr>
        <w:t xml:space="preserve"> Ogni Licenza conta esclusivamente come 5 Licenze ai fini del</w:t>
      </w:r>
      <w:r w:rsidR="005C112F" w:rsidRPr="007B74B7">
        <w:rPr>
          <w:rFonts w:ascii="Tahoma" w:hAnsi="Tahoma" w:cs="Tahoma"/>
          <w:sz w:val="18"/>
          <w:szCs w:val="18"/>
          <w:lang w:val="it-IT"/>
        </w:rPr>
        <w:t> </w:t>
      </w:r>
      <w:r w:rsidRPr="007B74B7">
        <w:rPr>
          <w:rFonts w:ascii="Tahoma" w:hAnsi="Tahoma" w:cs="Tahoma"/>
          <w:sz w:val="18"/>
          <w:szCs w:val="18"/>
          <w:lang w:val="it-IT"/>
        </w:rPr>
        <w:t>requisito minimo per l</w:t>
      </w:r>
      <w:r w:rsidR="007A1415" w:rsidRPr="007B74B7">
        <w:rPr>
          <w:rFonts w:ascii="Tahoma" w:hAnsi="Tahoma" w:cs="Tahoma"/>
          <w:sz w:val="18"/>
          <w:szCs w:val="18"/>
          <w:lang w:val="it-IT"/>
        </w:rPr>
        <w:t>’</w:t>
      </w:r>
      <w:r w:rsidRPr="007B74B7">
        <w:rPr>
          <w:rFonts w:ascii="Tahoma" w:hAnsi="Tahoma" w:cs="Tahoma"/>
          <w:sz w:val="18"/>
          <w:szCs w:val="18"/>
          <w:lang w:val="it-IT"/>
        </w:rPr>
        <w:t>ordine iniziale nei programmi Open License e/o Open Value. Il valore indica il programma per cui è in vigore.</w:t>
      </w:r>
    </w:p>
    <w:p w:rsidR="00456002" w:rsidRPr="00BD7CEA" w:rsidRDefault="00456002" w:rsidP="00095F5D">
      <w:pPr>
        <w:pStyle w:val="Bodywithspace"/>
        <w:spacing w:before="0" w:after="0" w:line="276" w:lineRule="auto"/>
      </w:pPr>
      <w:r w:rsidRPr="007B74B7">
        <w:rPr>
          <w:rStyle w:val="BodyChar"/>
          <w:rFonts w:ascii="Tahoma" w:hAnsi="Tahoma" w:cs="Tahoma"/>
          <w:b/>
          <w:sz w:val="18"/>
          <w:szCs w:val="18"/>
          <w:lang w:val="it-IT"/>
        </w:rPr>
        <w:t>Open License =</w:t>
      </w:r>
      <w:r w:rsidRPr="007B74B7">
        <w:rPr>
          <w:rFonts w:ascii="Tahoma" w:hAnsi="Tahoma" w:cs="Tahoma"/>
          <w:sz w:val="18"/>
          <w:szCs w:val="18"/>
          <w:lang w:val="it-IT"/>
        </w:rPr>
        <w:t xml:space="preserve"> L</w:t>
      </w:r>
      <w:r w:rsidR="007A1415" w:rsidRPr="007B74B7">
        <w:rPr>
          <w:rFonts w:ascii="Tahoma" w:hAnsi="Tahoma" w:cs="Tahoma"/>
          <w:sz w:val="18"/>
          <w:szCs w:val="18"/>
          <w:lang w:val="it-IT"/>
        </w:rPr>
        <w:t>’</w:t>
      </w:r>
      <w:r w:rsidRPr="007B74B7">
        <w:rPr>
          <w:rFonts w:ascii="Tahoma" w:hAnsi="Tahoma" w:cs="Tahoma"/>
          <w:sz w:val="18"/>
          <w:szCs w:val="18"/>
          <w:lang w:val="it-IT"/>
        </w:rPr>
        <w:t xml:space="preserve">unico componente Open License dei Programmi Open. </w:t>
      </w:r>
      <w:r w:rsidRPr="00BD7CEA">
        <w:rPr>
          <w:rFonts w:ascii="Tahoma" w:hAnsi="Tahoma" w:cs="Tahoma"/>
          <w:sz w:val="18"/>
          <w:szCs w:val="18"/>
        </w:rPr>
        <w:t>Open License include Open</w:t>
      </w:r>
      <w:r w:rsidR="00095F5D">
        <w:rPr>
          <w:rFonts w:ascii="Tahoma" w:hAnsi="Tahoma" w:cs="Tahoma"/>
          <w:sz w:val="18"/>
          <w:szCs w:val="18"/>
        </w:rPr>
        <w:t> </w:t>
      </w:r>
      <w:r w:rsidRPr="00BD7CEA">
        <w:rPr>
          <w:rFonts w:ascii="Tahoma" w:hAnsi="Tahoma" w:cs="Tahoma"/>
          <w:sz w:val="18"/>
          <w:szCs w:val="18"/>
        </w:rPr>
        <w:t xml:space="preserve">License, Open License for Academic, Open License for Government e Open License for Charity, </w:t>
      </w:r>
      <w:r w:rsidR="00095F5D">
        <w:rPr>
          <w:rFonts w:ascii="Tahoma" w:hAnsi="Tahoma" w:cs="Tahoma"/>
          <w:sz w:val="18"/>
          <w:szCs w:val="18"/>
        </w:rPr>
        <w:br/>
      </w:r>
      <w:r w:rsidRPr="00BD7CEA">
        <w:rPr>
          <w:rFonts w:ascii="Tahoma" w:hAnsi="Tahoma" w:cs="Tahoma"/>
          <w:sz w:val="18"/>
          <w:szCs w:val="18"/>
        </w:rPr>
        <w:t>ove disponibili.</w:t>
      </w:r>
    </w:p>
    <w:p w:rsidR="00456002" w:rsidRPr="00BD7CEA" w:rsidRDefault="00456002" w:rsidP="00095F5D">
      <w:pPr>
        <w:pStyle w:val="Bodywithspace"/>
        <w:spacing w:before="0" w:after="0" w:line="276" w:lineRule="auto"/>
      </w:pPr>
      <w:r w:rsidRPr="00BD7CEA">
        <w:rPr>
          <w:rStyle w:val="BodyChar"/>
          <w:rFonts w:ascii="Tahoma" w:hAnsi="Tahoma" w:cs="Tahoma"/>
          <w:b/>
          <w:sz w:val="18"/>
          <w:szCs w:val="18"/>
        </w:rPr>
        <w:t>Open Value (OV)=</w:t>
      </w:r>
      <w:r w:rsidRPr="00BD7CEA">
        <w:rPr>
          <w:rFonts w:ascii="Tahoma" w:hAnsi="Tahoma" w:cs="Tahoma"/>
          <w:sz w:val="18"/>
          <w:szCs w:val="18"/>
        </w:rPr>
        <w:t xml:space="preserve"> Open Value include Open Value e Open Value for Government.</w:t>
      </w:r>
    </w:p>
    <w:p w:rsidR="00456002" w:rsidRPr="00BD7CEA" w:rsidRDefault="00456002" w:rsidP="00095F5D">
      <w:pPr>
        <w:pStyle w:val="Bodywithspace"/>
        <w:spacing w:before="0" w:after="0" w:line="276" w:lineRule="auto"/>
      </w:pPr>
      <w:r w:rsidRPr="00BD7CEA">
        <w:rPr>
          <w:rStyle w:val="BodyChar"/>
          <w:rFonts w:ascii="Tahoma" w:hAnsi="Tahoma" w:cs="Tahoma"/>
          <w:b/>
          <w:sz w:val="18"/>
          <w:szCs w:val="18"/>
        </w:rPr>
        <w:t>Open Value Subscription (OVS)=</w:t>
      </w:r>
      <w:r w:rsidRPr="00BD7CEA">
        <w:rPr>
          <w:rFonts w:ascii="Tahoma" w:hAnsi="Tahoma" w:cs="Tahoma"/>
          <w:sz w:val="18"/>
          <w:szCs w:val="18"/>
        </w:rPr>
        <w:t xml:space="preserve"> Open Value Subscription include Open Value Subscription </w:t>
      </w:r>
      <w:r w:rsidR="00095F5D">
        <w:rPr>
          <w:rFonts w:ascii="Tahoma" w:hAnsi="Tahoma" w:cs="Tahoma"/>
          <w:sz w:val="18"/>
          <w:szCs w:val="18"/>
        </w:rPr>
        <w:br/>
      </w:r>
      <w:r w:rsidRPr="00BD7CEA">
        <w:rPr>
          <w:rFonts w:ascii="Tahoma" w:hAnsi="Tahoma" w:cs="Tahoma"/>
          <w:sz w:val="18"/>
          <w:szCs w:val="18"/>
        </w:rPr>
        <w:t xml:space="preserve">e Open Value Subscription for Government. </w:t>
      </w:r>
    </w:p>
    <w:p w:rsidR="00456002" w:rsidRPr="00BD7CEA" w:rsidRDefault="00456002" w:rsidP="00095F5D">
      <w:pPr>
        <w:pStyle w:val="Bodywithspace"/>
        <w:spacing w:before="0" w:after="0" w:line="276" w:lineRule="auto"/>
      </w:pPr>
      <w:r w:rsidRPr="00BD7CEA">
        <w:rPr>
          <w:rStyle w:val="BodyChar"/>
          <w:rFonts w:ascii="Tahoma" w:hAnsi="Tahoma" w:cs="Tahoma"/>
          <w:b/>
          <w:sz w:val="18"/>
          <w:szCs w:val="18"/>
        </w:rPr>
        <w:t xml:space="preserve">EES/OVS-ES = </w:t>
      </w:r>
      <w:r w:rsidRPr="00BD7CEA">
        <w:rPr>
          <w:rStyle w:val="BodyChar"/>
          <w:rFonts w:ascii="Tahoma" w:hAnsi="Tahoma" w:cs="Tahoma"/>
          <w:sz w:val="18"/>
          <w:szCs w:val="18"/>
        </w:rPr>
        <w:t>Enrollment for Education Solutions/Open Value Subscription – Education Solutions</w:t>
      </w:r>
    </w:p>
    <w:p w:rsidR="00456002" w:rsidRPr="007B74B7" w:rsidRDefault="00456002" w:rsidP="00095F5D">
      <w:pPr>
        <w:pStyle w:val="Bodywithspace"/>
        <w:spacing w:before="0" w:after="0" w:line="276" w:lineRule="auto"/>
        <w:rPr>
          <w:lang w:val="it-IT"/>
        </w:rPr>
      </w:pPr>
      <w:r w:rsidRPr="007B74B7">
        <w:rPr>
          <w:rStyle w:val="BodyChar"/>
          <w:rFonts w:ascii="Tahoma" w:hAnsi="Tahoma" w:cs="Tahoma"/>
          <w:b/>
          <w:sz w:val="18"/>
          <w:szCs w:val="18"/>
          <w:lang w:val="it-IT"/>
        </w:rPr>
        <w:t>Promozioni e Migrazioni =</w:t>
      </w:r>
      <w:r w:rsidRPr="007B74B7">
        <w:rPr>
          <w:rFonts w:ascii="Tahoma" w:hAnsi="Tahoma" w:cs="Tahoma"/>
          <w:sz w:val="18"/>
          <w:szCs w:val="18"/>
          <w:lang w:val="it-IT"/>
        </w:rPr>
        <w:t xml:space="preserve"> È già in corso una promozione o è disponibile una migrazione di software.</w:t>
      </w:r>
    </w:p>
    <w:p w:rsidR="00456002" w:rsidRPr="007B74B7" w:rsidRDefault="00456002" w:rsidP="00095F5D">
      <w:pPr>
        <w:pStyle w:val="Bodywithspace"/>
        <w:spacing w:before="0" w:after="0" w:line="276" w:lineRule="auto"/>
        <w:rPr>
          <w:lang w:val="it-IT"/>
        </w:rPr>
      </w:pPr>
      <w:r w:rsidRPr="007B74B7">
        <w:rPr>
          <w:rStyle w:val="BodyChar"/>
          <w:rFonts w:ascii="Tahoma" w:hAnsi="Tahoma" w:cs="Tahoma"/>
          <w:b/>
          <w:sz w:val="18"/>
          <w:szCs w:val="18"/>
          <w:lang w:val="it-IT"/>
        </w:rPr>
        <w:t>SAB =</w:t>
      </w:r>
      <w:r w:rsidRPr="007B74B7">
        <w:rPr>
          <w:rFonts w:ascii="Tahoma" w:hAnsi="Tahoma" w:cs="Tahoma"/>
          <w:sz w:val="18"/>
          <w:szCs w:val="18"/>
          <w:lang w:val="it-IT"/>
        </w:rPr>
        <w:t xml:space="preserve"> Per le società idonee all</w:t>
      </w:r>
      <w:r w:rsidR="007A1415" w:rsidRPr="007B74B7">
        <w:rPr>
          <w:rFonts w:ascii="Tahoma" w:hAnsi="Tahoma" w:cs="Tahoma"/>
          <w:sz w:val="18"/>
          <w:szCs w:val="18"/>
          <w:lang w:val="it-IT"/>
        </w:rPr>
        <w:t>’</w:t>
      </w:r>
      <w:r w:rsidRPr="007B74B7">
        <w:rPr>
          <w:rFonts w:ascii="Tahoma" w:hAnsi="Tahoma" w:cs="Tahoma"/>
          <w:sz w:val="18"/>
          <w:szCs w:val="18"/>
          <w:lang w:val="it-IT"/>
        </w:rPr>
        <w:t>acquisto del software sono disponibili i Vantaggi di Software Assurance (Software Assurance Benefits o SAB).</w:t>
      </w:r>
    </w:p>
    <w:p w:rsidR="00456002" w:rsidRPr="00BD7CEA" w:rsidRDefault="00456002" w:rsidP="00095F5D">
      <w:pPr>
        <w:pStyle w:val="Bodywithspace"/>
        <w:spacing w:before="0" w:after="0" w:line="276" w:lineRule="auto"/>
      </w:pPr>
      <w:r w:rsidRPr="00BD7CEA">
        <w:rPr>
          <w:rStyle w:val="BodyChar"/>
          <w:rFonts w:ascii="Tahoma" w:hAnsi="Tahoma" w:cs="Tahoma"/>
          <w:b/>
          <w:sz w:val="18"/>
          <w:szCs w:val="18"/>
        </w:rPr>
        <w:t>Select =</w:t>
      </w:r>
      <w:r w:rsidRPr="00BD7CEA">
        <w:rPr>
          <w:rFonts w:ascii="Tahoma" w:hAnsi="Tahoma" w:cs="Tahoma"/>
          <w:sz w:val="18"/>
          <w:szCs w:val="18"/>
        </w:rPr>
        <w:t xml:space="preserve"> Select 20xx. Sono inclusi anche i Contratti Select for Academic e Select for Government.</w:t>
      </w:r>
    </w:p>
    <w:p w:rsidR="00456002" w:rsidRPr="00BD7CEA" w:rsidRDefault="00456002" w:rsidP="00095F5D">
      <w:pPr>
        <w:pStyle w:val="Bodywithspace"/>
        <w:spacing w:before="0" w:after="0" w:line="276" w:lineRule="auto"/>
      </w:pPr>
      <w:r w:rsidRPr="00BD7CEA">
        <w:rPr>
          <w:rStyle w:val="BodyChar"/>
          <w:rFonts w:ascii="Tahoma" w:hAnsi="Tahoma" w:cs="Tahoma"/>
          <w:b/>
          <w:sz w:val="18"/>
          <w:szCs w:val="18"/>
        </w:rPr>
        <w:t>Select Plus</w:t>
      </w:r>
      <w:r w:rsidRPr="00BD7CEA">
        <w:rPr>
          <w:rStyle w:val="BodyChar"/>
          <w:rFonts w:ascii="Tahoma" w:hAnsi="Tahoma" w:cs="Tahoma"/>
          <w:sz w:val="18"/>
          <w:szCs w:val="18"/>
        </w:rPr>
        <w:t xml:space="preserve"> = Select Plus 20xx.</w:t>
      </w:r>
      <w:r w:rsidR="008D782D" w:rsidRPr="00BD7CEA">
        <w:rPr>
          <w:rStyle w:val="BodyChar"/>
          <w:rFonts w:ascii="Tahoma" w:hAnsi="Tahoma" w:cs="Tahoma"/>
          <w:sz w:val="18"/>
          <w:szCs w:val="18"/>
        </w:rPr>
        <w:t xml:space="preserve"> </w:t>
      </w:r>
      <w:r w:rsidRPr="00BD7CEA">
        <w:rPr>
          <w:rStyle w:val="BodyChar"/>
          <w:rFonts w:ascii="Tahoma" w:hAnsi="Tahoma" w:cs="Tahoma"/>
          <w:sz w:val="18"/>
          <w:szCs w:val="18"/>
        </w:rPr>
        <w:t>Sono inclusi anche i Contratti Plus License for Academic e Select Plus for</w:t>
      </w:r>
      <w:r w:rsidR="00095F5D">
        <w:rPr>
          <w:rStyle w:val="BodyChar"/>
          <w:rFonts w:ascii="Tahoma" w:hAnsi="Tahoma" w:cs="Tahoma"/>
          <w:sz w:val="18"/>
          <w:szCs w:val="18"/>
        </w:rPr>
        <w:t> </w:t>
      </w:r>
      <w:r w:rsidRPr="00BD7CEA">
        <w:rPr>
          <w:rStyle w:val="BodyChar"/>
          <w:rFonts w:ascii="Tahoma" w:hAnsi="Tahoma" w:cs="Tahoma"/>
          <w:sz w:val="18"/>
          <w:szCs w:val="18"/>
        </w:rPr>
        <w:t>Government.</w:t>
      </w:r>
    </w:p>
    <w:p w:rsidR="00023FE7" w:rsidRPr="00BD7CEA" w:rsidRDefault="00023FE7">
      <w:pPr>
        <w:pStyle w:val="Bodywithspace"/>
        <w:spacing w:before="0" w:after="0"/>
        <w:ind w:right="-180"/>
      </w:pPr>
    </w:p>
    <w:p w:rsidR="00023FE7" w:rsidRPr="007B74B7" w:rsidRDefault="00023FE7">
      <w:pPr>
        <w:pStyle w:val="ChartKeyHeadings"/>
        <w:ind w:right="-180"/>
        <w:rPr>
          <w:lang w:val="it-IT"/>
        </w:rPr>
      </w:pPr>
      <w:r w:rsidRPr="007B74B7">
        <w:rPr>
          <w:rFonts w:ascii="Tahoma" w:hAnsi="Tahoma" w:cs="Tahoma"/>
          <w:szCs w:val="28"/>
          <w:lang w:val="it-IT"/>
        </w:rPr>
        <w:t>Valori delle colonne</w:t>
      </w:r>
    </w:p>
    <w:p w:rsidR="00023FE7" w:rsidRPr="007B74B7" w:rsidRDefault="00023FE7">
      <w:pPr>
        <w:pStyle w:val="ChartKeyHeadings"/>
        <w:ind w:right="-180"/>
        <w:rPr>
          <w:lang w:val="it-IT"/>
        </w:rPr>
      </w:pPr>
    </w:p>
    <w:p w:rsidR="00023FE7" w:rsidRPr="007B74B7" w:rsidRDefault="00023FE7">
      <w:pPr>
        <w:pStyle w:val="Bodywithspace"/>
        <w:spacing w:before="0" w:after="0" w:line="276" w:lineRule="auto"/>
        <w:ind w:right="-180"/>
        <w:rPr>
          <w:lang w:val="it-IT"/>
        </w:rPr>
      </w:pPr>
      <w:r w:rsidRPr="007B74B7">
        <w:rPr>
          <w:rStyle w:val="BodyChar"/>
          <w:rFonts w:ascii="Tahoma" w:hAnsi="Tahoma" w:cs="Tahoma"/>
          <w:b/>
          <w:sz w:val="18"/>
          <w:szCs w:val="18"/>
          <w:lang w:val="it-IT"/>
        </w:rPr>
        <w:t xml:space="preserve">1 An = </w:t>
      </w:r>
      <w:r w:rsidRPr="007B74B7">
        <w:rPr>
          <w:rFonts w:ascii="Tahoma" w:hAnsi="Tahoma" w:cs="Tahoma"/>
          <w:sz w:val="18"/>
          <w:szCs w:val="18"/>
          <w:lang w:val="it-IT"/>
        </w:rPr>
        <w:t>(ancora 1 anno alla scadenza del periodo di validità del contratto).</w:t>
      </w:r>
    </w:p>
    <w:p w:rsidR="00023FE7" w:rsidRPr="007B74B7" w:rsidRDefault="00023FE7">
      <w:pPr>
        <w:pStyle w:val="Bodywithspace"/>
        <w:spacing w:before="0" w:after="0" w:line="276" w:lineRule="auto"/>
        <w:ind w:right="-180"/>
        <w:rPr>
          <w:lang w:val="it-IT"/>
        </w:rPr>
      </w:pPr>
      <w:r w:rsidRPr="007B74B7">
        <w:rPr>
          <w:rStyle w:val="BodyChar"/>
          <w:rFonts w:ascii="Tahoma" w:hAnsi="Tahoma" w:cs="Tahoma"/>
          <w:b/>
          <w:sz w:val="18"/>
          <w:szCs w:val="18"/>
          <w:lang w:val="it-IT"/>
        </w:rPr>
        <w:t>2 An =</w:t>
      </w:r>
      <w:r w:rsidRPr="007B74B7">
        <w:rPr>
          <w:rFonts w:ascii="Tahoma" w:hAnsi="Tahoma" w:cs="Tahoma"/>
          <w:sz w:val="18"/>
          <w:szCs w:val="18"/>
          <w:lang w:val="it-IT"/>
        </w:rPr>
        <w:t xml:space="preserve"> (ancora 2 anni alla scadenza del periodo di validità del contratto).</w:t>
      </w:r>
    </w:p>
    <w:p w:rsidR="00023FE7" w:rsidRPr="007B74B7" w:rsidRDefault="00023FE7">
      <w:pPr>
        <w:pStyle w:val="Bodywithspace"/>
        <w:spacing w:before="0" w:after="0" w:line="276" w:lineRule="auto"/>
        <w:ind w:right="-180"/>
        <w:rPr>
          <w:lang w:val="it-IT"/>
        </w:rPr>
      </w:pPr>
      <w:r w:rsidRPr="007B74B7">
        <w:rPr>
          <w:rStyle w:val="BodyChar"/>
          <w:rFonts w:ascii="Tahoma" w:hAnsi="Tahoma" w:cs="Tahoma"/>
          <w:b/>
          <w:sz w:val="18"/>
          <w:szCs w:val="18"/>
          <w:lang w:val="it-IT"/>
        </w:rPr>
        <w:t>3 An =</w:t>
      </w:r>
      <w:r w:rsidRPr="007B74B7">
        <w:rPr>
          <w:rFonts w:ascii="Tahoma" w:hAnsi="Tahoma" w:cs="Tahoma"/>
          <w:sz w:val="18"/>
          <w:szCs w:val="18"/>
          <w:lang w:val="it-IT"/>
        </w:rPr>
        <w:t xml:space="preserve"> (ancora 3 anni alla scadenza del periodo di validità del contratto).</w:t>
      </w:r>
    </w:p>
    <w:p w:rsidR="00023FE7" w:rsidRPr="007B74B7" w:rsidRDefault="00023FE7">
      <w:pPr>
        <w:pStyle w:val="Bodywithspace"/>
        <w:spacing w:before="0" w:after="0" w:line="276" w:lineRule="auto"/>
        <w:ind w:right="-180"/>
        <w:rPr>
          <w:lang w:val="it-IT"/>
        </w:rPr>
      </w:pPr>
      <w:r w:rsidRPr="007B74B7">
        <w:rPr>
          <w:rStyle w:val="BodyChar"/>
          <w:rFonts w:ascii="Tahoma" w:hAnsi="Tahoma" w:cs="Tahoma"/>
          <w:b/>
          <w:sz w:val="18"/>
          <w:szCs w:val="18"/>
          <w:lang w:val="it-IT"/>
        </w:rPr>
        <w:t>A =</w:t>
      </w:r>
      <w:r w:rsidRPr="007B74B7">
        <w:rPr>
          <w:rFonts w:ascii="Tahoma" w:hAnsi="Tahoma" w:cs="Tahoma"/>
          <w:sz w:val="18"/>
          <w:szCs w:val="18"/>
          <w:lang w:val="it-IT"/>
        </w:rPr>
        <w:t xml:space="preserve"> Indica che il software è offerto come prodotto aggiuntivo.</w:t>
      </w:r>
    </w:p>
    <w:p w:rsidR="009E22D0" w:rsidRPr="007B74B7" w:rsidRDefault="009E22D0" w:rsidP="009E22D0">
      <w:pPr>
        <w:pStyle w:val="Bodywithspace"/>
        <w:spacing w:before="0" w:after="0" w:line="276" w:lineRule="auto"/>
        <w:ind w:right="-180"/>
        <w:rPr>
          <w:lang w:val="it-IT"/>
        </w:rPr>
      </w:pPr>
      <w:r w:rsidRPr="007B74B7">
        <w:rPr>
          <w:rStyle w:val="BodyChar"/>
          <w:rFonts w:ascii="Tahoma" w:hAnsi="Tahoma" w:cs="Tahoma"/>
          <w:b/>
          <w:sz w:val="18"/>
          <w:szCs w:val="18"/>
          <w:lang w:val="it-IT"/>
        </w:rPr>
        <w:t>AO</w:t>
      </w:r>
      <w:r w:rsidRPr="007B74B7">
        <w:rPr>
          <w:rStyle w:val="BodyChar"/>
          <w:rFonts w:ascii="Tahoma" w:hAnsi="Tahoma" w:cs="Tahoma"/>
          <w:sz w:val="18"/>
          <w:szCs w:val="18"/>
          <w:lang w:val="it-IT"/>
        </w:rPr>
        <w:t xml:space="preserve"> </w:t>
      </w:r>
      <w:r w:rsidRPr="007B74B7">
        <w:rPr>
          <w:rStyle w:val="BodyChar"/>
          <w:rFonts w:ascii="Tahoma" w:hAnsi="Tahoma" w:cs="Tahoma"/>
          <w:b/>
          <w:sz w:val="18"/>
          <w:szCs w:val="18"/>
          <w:lang w:val="it-IT"/>
        </w:rPr>
        <w:t xml:space="preserve">– </w:t>
      </w:r>
      <w:r w:rsidRPr="007B74B7">
        <w:rPr>
          <w:rFonts w:ascii="Tahoma" w:hAnsi="Tahoma" w:cs="Tahoma"/>
          <w:sz w:val="18"/>
          <w:szCs w:val="18"/>
          <w:lang w:val="it-IT"/>
        </w:rPr>
        <w:t>Indica software offerto come prodotto aggiuntivo ordinabile per l</w:t>
      </w:r>
      <w:r w:rsidR="007A1415" w:rsidRPr="007B74B7">
        <w:rPr>
          <w:rFonts w:ascii="Tahoma" w:hAnsi="Tahoma" w:cs="Tahoma"/>
          <w:sz w:val="18"/>
          <w:szCs w:val="18"/>
          <w:lang w:val="it-IT"/>
        </w:rPr>
        <w:t>’</w:t>
      </w:r>
      <w:r w:rsidRPr="007B74B7">
        <w:rPr>
          <w:rFonts w:ascii="Tahoma" w:hAnsi="Tahoma" w:cs="Tahoma"/>
          <w:sz w:val="18"/>
          <w:szCs w:val="18"/>
          <w:lang w:val="it-IT"/>
        </w:rPr>
        <w:t>intera organizzazione.</w:t>
      </w:r>
    </w:p>
    <w:p w:rsidR="009F5F37" w:rsidRPr="007B74B7" w:rsidRDefault="009F5F37">
      <w:pPr>
        <w:pStyle w:val="Bodywithspace"/>
        <w:spacing w:before="0" w:after="0" w:line="276" w:lineRule="auto"/>
        <w:ind w:right="-180"/>
        <w:rPr>
          <w:lang w:val="it-IT"/>
        </w:rPr>
      </w:pPr>
      <w:r w:rsidRPr="007B74B7">
        <w:rPr>
          <w:rStyle w:val="BodyChar"/>
          <w:rFonts w:ascii="Tahoma" w:hAnsi="Tahoma" w:cs="Tahoma"/>
          <w:b/>
          <w:sz w:val="18"/>
          <w:szCs w:val="18"/>
          <w:lang w:val="it-IT"/>
        </w:rPr>
        <w:t xml:space="preserve">C = </w:t>
      </w:r>
      <w:r w:rsidRPr="007B74B7">
        <w:rPr>
          <w:rFonts w:ascii="Tahoma" w:hAnsi="Tahoma" w:cs="Tahoma"/>
          <w:sz w:val="18"/>
          <w:szCs w:val="18"/>
          <w:lang w:val="it-IT"/>
        </w:rPr>
        <w:t>Indica che il software è offerto come prodotto per le infrastrutture core.</w:t>
      </w:r>
    </w:p>
    <w:p w:rsidR="009F5F37" w:rsidRPr="007B74B7" w:rsidRDefault="009F5F37" w:rsidP="009F5F37">
      <w:pPr>
        <w:pStyle w:val="ListParagraph"/>
        <w:rPr>
          <w:lang w:val="it-IT"/>
        </w:rPr>
      </w:pPr>
      <w:r w:rsidRPr="007B74B7">
        <w:rPr>
          <w:rStyle w:val="BodyChar"/>
          <w:rFonts w:ascii="Tahoma" w:hAnsi="Tahoma" w:cs="Tahoma"/>
          <w:b/>
          <w:sz w:val="18"/>
          <w:szCs w:val="18"/>
          <w:lang w:val="it-IT"/>
        </w:rPr>
        <w:t xml:space="preserve">D = </w:t>
      </w:r>
      <w:r w:rsidRPr="007B74B7">
        <w:rPr>
          <w:rFonts w:ascii="Tahoma" w:hAnsi="Tahoma" w:cs="Tahoma"/>
          <w:sz w:val="18"/>
          <w:szCs w:val="18"/>
          <w:lang w:val="it-IT"/>
        </w:rPr>
        <w:t>Indica che il software è offerto come prodotto del Programma Industry Device.</w:t>
      </w:r>
    </w:p>
    <w:p w:rsidR="00023FE7" w:rsidRPr="007B74B7" w:rsidRDefault="00023FE7">
      <w:pPr>
        <w:pStyle w:val="Bodywithspace"/>
        <w:spacing w:before="0" w:after="0" w:line="276" w:lineRule="auto"/>
        <w:ind w:right="-180"/>
        <w:rPr>
          <w:lang w:val="it-IT"/>
        </w:rPr>
      </w:pPr>
      <w:r w:rsidRPr="007B74B7">
        <w:rPr>
          <w:rStyle w:val="BodyChar"/>
          <w:rFonts w:ascii="Tahoma" w:hAnsi="Tahoma" w:cs="Tahoma"/>
          <w:b/>
          <w:sz w:val="18"/>
          <w:szCs w:val="18"/>
          <w:lang w:val="it-IT"/>
        </w:rPr>
        <w:t>DT =</w:t>
      </w:r>
      <w:r w:rsidRPr="007B74B7">
        <w:rPr>
          <w:rFonts w:ascii="Tahoma" w:hAnsi="Tahoma" w:cs="Tahoma"/>
          <w:sz w:val="18"/>
          <w:szCs w:val="18"/>
          <w:lang w:val="it-IT"/>
        </w:rPr>
        <w:t xml:space="preserve"> Vantaggi di Software Assurance per le Offerte di Desktop. </w:t>
      </w:r>
    </w:p>
    <w:p w:rsidR="00F90F21" w:rsidRPr="007B74B7" w:rsidRDefault="009055B7">
      <w:pPr>
        <w:pStyle w:val="Bodywithspace"/>
        <w:spacing w:before="0" w:after="0" w:line="276" w:lineRule="auto"/>
        <w:ind w:right="-180"/>
        <w:rPr>
          <w:lang w:val="it-IT"/>
        </w:rPr>
      </w:pPr>
      <w:r w:rsidRPr="007B74B7">
        <w:rPr>
          <w:rFonts w:ascii="Tahoma" w:hAnsi="Tahoma" w:cs="Times New Roman"/>
          <w:b/>
          <w:color w:val="000000"/>
          <w:sz w:val="18"/>
          <w:szCs w:val="22"/>
          <w:lang w:val="it-IT"/>
        </w:rPr>
        <w:t>E</w:t>
      </w:r>
      <w:r w:rsidRPr="007B74B7">
        <w:rPr>
          <w:rFonts w:ascii="Tahoma" w:hAnsi="Tahoma" w:cs="Times New Roman"/>
          <w:color w:val="000000"/>
          <w:sz w:val="18"/>
          <w:szCs w:val="22"/>
          <w:lang w:val="it-IT"/>
        </w:rPr>
        <w:t xml:space="preserve"> = Indica che il prodotto è offerto come prodotto enterprise o della piattaforma desktop.</w:t>
      </w:r>
    </w:p>
    <w:p w:rsidR="00B23BE6" w:rsidRPr="007B74B7" w:rsidRDefault="00B23BE6" w:rsidP="00B23BE6">
      <w:pPr>
        <w:spacing w:line="276" w:lineRule="auto"/>
        <w:ind w:left="720" w:right="-180"/>
        <w:rPr>
          <w:lang w:val="it-IT"/>
        </w:rPr>
      </w:pPr>
      <w:r w:rsidRPr="007B74B7">
        <w:rPr>
          <w:b/>
          <w:color w:val="000000"/>
          <w:lang w:val="it-IT"/>
        </w:rPr>
        <w:t>EOLS =</w:t>
      </w:r>
      <w:r w:rsidRPr="007B74B7">
        <w:rPr>
          <w:color w:val="000000"/>
          <w:lang w:val="it-IT"/>
        </w:rPr>
        <w:t xml:space="preserve"> Indica che il prodotto è offerto come servizio online enterprise o servizio online della piattaforma.</w:t>
      </w:r>
    </w:p>
    <w:p w:rsidR="00E97819" w:rsidRPr="007B74B7" w:rsidRDefault="00E97819">
      <w:pPr>
        <w:pStyle w:val="Bodywithspace"/>
        <w:spacing w:before="0" w:after="0" w:line="276" w:lineRule="auto"/>
        <w:ind w:right="-180"/>
        <w:rPr>
          <w:lang w:val="it-IT"/>
        </w:rPr>
      </w:pPr>
      <w:r w:rsidRPr="007B74B7">
        <w:rPr>
          <w:rFonts w:ascii="Tahoma" w:hAnsi="Tahoma" w:cs="Times New Roman"/>
          <w:b/>
          <w:color w:val="000000"/>
          <w:sz w:val="18"/>
          <w:szCs w:val="22"/>
          <w:lang w:val="it-IT"/>
        </w:rPr>
        <w:t xml:space="preserve">ST = </w:t>
      </w:r>
      <w:r w:rsidRPr="007B74B7">
        <w:rPr>
          <w:rFonts w:ascii="Tahoma" w:hAnsi="Tahoma" w:cs="Times New Roman"/>
          <w:color w:val="000000"/>
          <w:sz w:val="18"/>
          <w:szCs w:val="22"/>
          <w:lang w:val="it-IT"/>
        </w:rPr>
        <w:t>Indica che il software è offerto come Offerta Studente e deve essere ordinato per l</w:t>
      </w:r>
      <w:r w:rsidR="007A1415" w:rsidRPr="007B74B7">
        <w:rPr>
          <w:rFonts w:ascii="Tahoma" w:hAnsi="Tahoma" w:cs="Times New Roman"/>
          <w:color w:val="000000"/>
          <w:sz w:val="18"/>
          <w:szCs w:val="22"/>
          <w:lang w:val="it-IT"/>
        </w:rPr>
        <w:t>’</w:t>
      </w:r>
      <w:r w:rsidRPr="007B74B7">
        <w:rPr>
          <w:rFonts w:ascii="Tahoma" w:hAnsi="Tahoma" w:cs="Times New Roman"/>
          <w:color w:val="000000"/>
          <w:sz w:val="18"/>
          <w:szCs w:val="22"/>
          <w:lang w:val="it-IT"/>
        </w:rPr>
        <w:t>intero Numero degli</w:t>
      </w:r>
      <w:r w:rsidR="00095F5D" w:rsidRPr="007B74B7">
        <w:rPr>
          <w:rFonts w:ascii="Tahoma" w:hAnsi="Tahoma" w:cs="Times New Roman"/>
          <w:color w:val="000000"/>
          <w:sz w:val="18"/>
          <w:szCs w:val="22"/>
          <w:lang w:val="it-IT"/>
        </w:rPr>
        <w:t> </w:t>
      </w:r>
      <w:r w:rsidRPr="007B74B7">
        <w:rPr>
          <w:rFonts w:ascii="Tahoma" w:hAnsi="Tahoma" w:cs="Times New Roman"/>
          <w:color w:val="000000"/>
          <w:sz w:val="18"/>
          <w:szCs w:val="22"/>
          <w:lang w:val="it-IT"/>
        </w:rPr>
        <w:t>Studenti.</w:t>
      </w:r>
    </w:p>
    <w:p w:rsidR="00023FE7" w:rsidRPr="007B74B7" w:rsidRDefault="00023FE7">
      <w:pPr>
        <w:pStyle w:val="Bodywithspace"/>
        <w:spacing w:before="0" w:after="0" w:line="276" w:lineRule="auto"/>
        <w:ind w:right="-180"/>
        <w:rPr>
          <w:lang w:val="it-IT"/>
        </w:rPr>
      </w:pPr>
      <w:r w:rsidRPr="007B74B7">
        <w:rPr>
          <w:rStyle w:val="BodyChar"/>
          <w:rFonts w:ascii="Tahoma" w:hAnsi="Tahoma" w:cs="Tahoma"/>
          <w:b/>
          <w:sz w:val="18"/>
          <w:szCs w:val="18"/>
          <w:lang w:val="it-IT"/>
        </w:rPr>
        <w:t>L (Licenza) =</w:t>
      </w:r>
      <w:r w:rsidRPr="007B74B7">
        <w:rPr>
          <w:rFonts w:ascii="Tahoma" w:hAnsi="Tahoma" w:cs="Tahoma"/>
          <w:sz w:val="18"/>
          <w:szCs w:val="18"/>
          <w:lang w:val="it-IT"/>
        </w:rPr>
        <w:t xml:space="preserve"> Valore di punti attribuito quando per il software indicato viene offerta una Licenza Standard.</w:t>
      </w:r>
    </w:p>
    <w:p w:rsidR="00023FE7" w:rsidRPr="007B74B7" w:rsidRDefault="00023FE7">
      <w:pPr>
        <w:pStyle w:val="Bodywithspace"/>
        <w:spacing w:before="0" w:after="0" w:line="276" w:lineRule="auto"/>
        <w:ind w:right="-180"/>
        <w:rPr>
          <w:lang w:val="it-IT"/>
        </w:rPr>
      </w:pPr>
      <w:r w:rsidRPr="007B74B7">
        <w:rPr>
          <w:rStyle w:val="BodyChar"/>
          <w:rFonts w:ascii="Tahoma" w:hAnsi="Tahoma" w:cs="Tahoma"/>
          <w:b/>
          <w:sz w:val="18"/>
          <w:szCs w:val="18"/>
          <w:lang w:val="it-IT"/>
        </w:rPr>
        <w:t>L&amp;SA (Licenza e Software Assurance) =</w:t>
      </w:r>
      <w:r w:rsidRPr="007B74B7">
        <w:rPr>
          <w:rFonts w:ascii="Tahoma" w:hAnsi="Tahoma" w:cs="Tahoma"/>
          <w:sz w:val="18"/>
          <w:szCs w:val="18"/>
          <w:lang w:val="it-IT"/>
        </w:rPr>
        <w:t xml:space="preserve"> Valore di punti attribuito quando per il software indicato viene</w:t>
      </w:r>
      <w:r w:rsidR="00095F5D" w:rsidRPr="007B74B7">
        <w:rPr>
          <w:rFonts w:ascii="Tahoma" w:hAnsi="Tahoma" w:cs="Tahoma"/>
          <w:sz w:val="18"/>
          <w:szCs w:val="18"/>
          <w:lang w:val="it-IT"/>
        </w:rPr>
        <w:t> </w:t>
      </w:r>
      <w:r w:rsidRPr="007B74B7">
        <w:rPr>
          <w:rFonts w:ascii="Tahoma" w:hAnsi="Tahoma" w:cs="Tahoma"/>
          <w:sz w:val="18"/>
          <w:szCs w:val="18"/>
          <w:lang w:val="it-IT"/>
        </w:rPr>
        <w:t>offerta una copertura Licenza e Software Assurance (L&amp;SA).</w:t>
      </w:r>
    </w:p>
    <w:p w:rsidR="00023FE7" w:rsidRPr="007B74B7" w:rsidRDefault="00023FE7">
      <w:pPr>
        <w:pStyle w:val="Bodywithspace"/>
        <w:spacing w:before="0" w:after="0" w:line="276" w:lineRule="auto"/>
        <w:rPr>
          <w:rFonts w:ascii="Tahoma" w:hAnsi="Tahoma" w:cs="Tahoma"/>
          <w:color w:val="000000"/>
          <w:sz w:val="18"/>
          <w:szCs w:val="18"/>
          <w:lang w:val="it-IT"/>
        </w:rPr>
      </w:pPr>
      <w:r w:rsidRPr="007B74B7">
        <w:rPr>
          <w:rStyle w:val="BodyChar"/>
          <w:rFonts w:ascii="Tahoma" w:hAnsi="Tahoma" w:cs="Tahoma"/>
          <w:b/>
          <w:bCs/>
          <w:color w:val="000000"/>
          <w:sz w:val="18"/>
          <w:szCs w:val="18"/>
          <w:lang w:val="it-IT"/>
        </w:rPr>
        <w:t>OL =</w:t>
      </w:r>
      <w:r w:rsidRPr="007B74B7">
        <w:rPr>
          <w:rFonts w:ascii="Tahoma" w:hAnsi="Tahoma" w:cs="Tahoma"/>
          <w:color w:val="000000"/>
          <w:sz w:val="18"/>
          <w:szCs w:val="18"/>
          <w:lang w:val="it-IT"/>
        </w:rPr>
        <w:t xml:space="preserve"> Disponibile in Open License.</w:t>
      </w:r>
    </w:p>
    <w:p w:rsidR="00095F5D" w:rsidRPr="007B74B7" w:rsidRDefault="00095F5D">
      <w:pPr>
        <w:pStyle w:val="Bodywithspace"/>
        <w:spacing w:before="0" w:after="0" w:line="276" w:lineRule="auto"/>
        <w:rPr>
          <w:lang w:val="it-IT"/>
        </w:rPr>
      </w:pPr>
    </w:p>
    <w:p w:rsidR="00095F5D" w:rsidRPr="007B74B7" w:rsidRDefault="00095F5D">
      <w:pPr>
        <w:pStyle w:val="Bodywithspace"/>
        <w:spacing w:before="0" w:after="0" w:line="276" w:lineRule="auto"/>
        <w:rPr>
          <w:lang w:val="it-IT"/>
        </w:rPr>
      </w:pPr>
    </w:p>
    <w:p w:rsidR="001D3F04" w:rsidRPr="007B74B7" w:rsidRDefault="001D3F04" w:rsidP="001D3F04">
      <w:pPr>
        <w:pStyle w:val="Bodywithspace"/>
        <w:spacing w:before="0" w:after="0" w:line="276" w:lineRule="auto"/>
        <w:ind w:right="-180"/>
        <w:rPr>
          <w:lang w:val="it-IT"/>
        </w:rPr>
      </w:pPr>
      <w:r w:rsidRPr="007B74B7">
        <w:rPr>
          <w:rStyle w:val="BodyChar"/>
          <w:rFonts w:ascii="Tahoma" w:hAnsi="Tahoma" w:cs="Tahoma"/>
          <w:b/>
          <w:sz w:val="18"/>
          <w:szCs w:val="18"/>
          <w:lang w:val="it-IT"/>
        </w:rPr>
        <w:lastRenderedPageBreak/>
        <w:t xml:space="preserve">OSB </w:t>
      </w:r>
      <w:r w:rsidRPr="007B74B7">
        <w:rPr>
          <w:rStyle w:val="BodyChar"/>
          <w:rFonts w:ascii="Tahoma" w:hAnsi="Tahoma" w:cs="Tahoma"/>
          <w:sz w:val="18"/>
          <w:szCs w:val="18"/>
          <w:lang w:val="it-IT"/>
        </w:rPr>
        <w:t>= Vantaggi dei Servizi Online per le società idonee.</w:t>
      </w:r>
      <w:r w:rsidR="008D782D" w:rsidRPr="007B74B7">
        <w:rPr>
          <w:rStyle w:val="BodyChar"/>
          <w:rFonts w:ascii="Tahoma" w:hAnsi="Tahoma" w:cs="Tahoma"/>
          <w:sz w:val="18"/>
          <w:szCs w:val="18"/>
          <w:lang w:val="it-IT"/>
        </w:rPr>
        <w:t xml:space="preserve"> </w:t>
      </w:r>
      <w:r w:rsidRPr="007B74B7">
        <w:rPr>
          <w:rFonts w:ascii="Tahoma" w:hAnsi="Tahoma" w:cs="Tahoma"/>
          <w:sz w:val="18"/>
          <w:szCs w:val="18"/>
          <w:lang w:val="it-IT"/>
        </w:rPr>
        <w:t>I prodotti idonei per i vantaggi dei Servizi Online possono essere presenti in più di una tabella di pool di prodotti</w:t>
      </w:r>
      <w:r w:rsidR="008D782D" w:rsidRPr="007B74B7">
        <w:rPr>
          <w:rFonts w:ascii="Tahoma" w:hAnsi="Tahoma" w:cs="Tahoma"/>
          <w:sz w:val="18"/>
          <w:szCs w:val="18"/>
          <w:lang w:val="it-IT"/>
        </w:rPr>
        <w:t xml:space="preserve"> </w:t>
      </w:r>
      <w:r w:rsidRPr="007B74B7">
        <w:rPr>
          <w:rFonts w:ascii="Tahoma" w:hAnsi="Tahoma" w:cs="Tahoma"/>
          <w:sz w:val="18"/>
          <w:szCs w:val="18"/>
          <w:lang w:val="it-IT"/>
        </w:rPr>
        <w:t>al solo scopo di evidenziare che tali offerte possono essere idonee per vantaggi di software assurance associati a più di un pool di prodotti e che non è</w:t>
      </w:r>
      <w:r w:rsidR="005C112F" w:rsidRPr="007B74B7">
        <w:rPr>
          <w:rFonts w:ascii="Tahoma" w:hAnsi="Tahoma" w:cs="Tahoma"/>
          <w:sz w:val="18"/>
          <w:szCs w:val="18"/>
          <w:lang w:val="it-IT"/>
        </w:rPr>
        <w:t> </w:t>
      </w:r>
      <w:r w:rsidRPr="007B74B7">
        <w:rPr>
          <w:rFonts w:ascii="Tahoma" w:hAnsi="Tahoma" w:cs="Tahoma"/>
          <w:sz w:val="18"/>
          <w:szCs w:val="18"/>
          <w:lang w:val="it-IT"/>
        </w:rPr>
        <w:t>necessario scegliere tra i vantaggi di diversi pool.</w:t>
      </w:r>
    </w:p>
    <w:p w:rsidR="00023FE7" w:rsidRPr="007B74B7" w:rsidRDefault="00023FE7">
      <w:pPr>
        <w:pStyle w:val="Bodywithspace"/>
        <w:spacing w:before="0" w:after="0" w:line="276" w:lineRule="auto"/>
        <w:rPr>
          <w:lang w:val="it-IT"/>
        </w:rPr>
      </w:pPr>
      <w:r w:rsidRPr="007B74B7">
        <w:rPr>
          <w:rStyle w:val="BodyChar"/>
          <w:rFonts w:ascii="Tahoma" w:hAnsi="Tahoma" w:cs="Tahoma"/>
          <w:b/>
          <w:bCs/>
          <w:color w:val="000000"/>
          <w:sz w:val="18"/>
          <w:szCs w:val="18"/>
          <w:lang w:val="it-IT"/>
        </w:rPr>
        <w:t xml:space="preserve">OL/SA = </w:t>
      </w:r>
      <w:r w:rsidRPr="007B74B7">
        <w:rPr>
          <w:rStyle w:val="BodyChar"/>
          <w:rFonts w:ascii="Tahoma" w:hAnsi="Tahoma" w:cs="Tahoma"/>
          <w:color w:val="000000"/>
          <w:sz w:val="18"/>
          <w:szCs w:val="18"/>
          <w:lang w:val="it-IT"/>
        </w:rPr>
        <w:t>Disponibile esclusivamente in Open License per L&amp;SA e SA.</w:t>
      </w:r>
    </w:p>
    <w:p w:rsidR="00023FE7" w:rsidRPr="007B74B7" w:rsidRDefault="00023FE7">
      <w:pPr>
        <w:pStyle w:val="Bodywithspace"/>
        <w:spacing w:before="0" w:after="0" w:line="276" w:lineRule="auto"/>
        <w:rPr>
          <w:lang w:val="it-IT"/>
        </w:rPr>
      </w:pPr>
      <w:r w:rsidRPr="007B74B7">
        <w:rPr>
          <w:rStyle w:val="BodyChar"/>
          <w:rFonts w:ascii="Tahoma" w:hAnsi="Tahoma" w:cs="Tahoma"/>
          <w:b/>
          <w:bCs/>
          <w:color w:val="000000"/>
          <w:sz w:val="18"/>
          <w:szCs w:val="18"/>
          <w:lang w:val="it-IT"/>
        </w:rPr>
        <w:t xml:space="preserve">OSP = </w:t>
      </w:r>
      <w:r w:rsidRPr="007B74B7">
        <w:rPr>
          <w:rStyle w:val="BodyChar"/>
          <w:rFonts w:ascii="Tahoma" w:hAnsi="Tahoma" w:cs="Tahoma"/>
          <w:bCs/>
          <w:color w:val="000000"/>
          <w:sz w:val="18"/>
          <w:szCs w:val="18"/>
          <w:lang w:val="it-IT"/>
        </w:rPr>
        <w:t>Disponibile nel programma Online Subscription.</w:t>
      </w:r>
    </w:p>
    <w:p w:rsidR="00023FE7" w:rsidRPr="007B74B7" w:rsidRDefault="00023FE7">
      <w:pPr>
        <w:pStyle w:val="Bodywithspace"/>
        <w:spacing w:before="0" w:after="0" w:line="276" w:lineRule="auto"/>
        <w:rPr>
          <w:lang w:val="it-IT"/>
        </w:rPr>
      </w:pPr>
      <w:r w:rsidRPr="007B74B7">
        <w:rPr>
          <w:rStyle w:val="BodyChar"/>
          <w:rFonts w:ascii="Tahoma" w:hAnsi="Tahoma" w:cs="Tahoma"/>
          <w:b/>
          <w:bCs/>
          <w:color w:val="000000"/>
          <w:sz w:val="18"/>
          <w:szCs w:val="18"/>
          <w:lang w:val="it-IT"/>
        </w:rPr>
        <w:t>OV/OVS =</w:t>
      </w:r>
      <w:r w:rsidRPr="007B74B7">
        <w:rPr>
          <w:rFonts w:ascii="Tahoma" w:hAnsi="Tahoma" w:cs="Tahoma"/>
          <w:color w:val="000000"/>
          <w:sz w:val="18"/>
          <w:szCs w:val="18"/>
          <w:lang w:val="it-IT"/>
        </w:rPr>
        <w:t xml:space="preserve"> Disponibile nei programmi Open Value e Open Value Subscription.</w:t>
      </w:r>
    </w:p>
    <w:p w:rsidR="00023FE7" w:rsidRPr="007B74B7" w:rsidRDefault="00023FE7">
      <w:pPr>
        <w:pStyle w:val="Bodywithspace"/>
        <w:spacing w:before="0" w:after="0" w:line="276" w:lineRule="auto"/>
        <w:ind w:right="-180"/>
        <w:rPr>
          <w:lang w:val="it-IT"/>
        </w:rPr>
      </w:pPr>
      <w:r w:rsidRPr="007B74B7">
        <w:rPr>
          <w:rStyle w:val="BodyChar"/>
          <w:rFonts w:ascii="Tahoma" w:hAnsi="Tahoma" w:cs="Tahoma"/>
          <w:b/>
          <w:sz w:val="18"/>
          <w:szCs w:val="18"/>
          <w:lang w:val="it-IT"/>
        </w:rPr>
        <w:t>P =</w:t>
      </w:r>
      <w:r w:rsidRPr="007B74B7">
        <w:rPr>
          <w:rFonts w:ascii="Tahoma" w:hAnsi="Tahoma" w:cs="Tahoma"/>
          <w:sz w:val="18"/>
          <w:szCs w:val="18"/>
          <w:lang w:val="it-IT"/>
        </w:rPr>
        <w:t xml:space="preserve"> Indica il software offerto in un programma Open Value non a livello aziendale. </w:t>
      </w:r>
    </w:p>
    <w:p w:rsidR="009F5F37" w:rsidRPr="007B74B7" w:rsidRDefault="009F5F37">
      <w:pPr>
        <w:pStyle w:val="Bodywithspace"/>
        <w:spacing w:before="0" w:after="0" w:line="276" w:lineRule="auto"/>
        <w:rPr>
          <w:lang w:val="it-IT"/>
        </w:rPr>
      </w:pPr>
      <w:r w:rsidRPr="007B74B7">
        <w:rPr>
          <w:rStyle w:val="BodyChar"/>
          <w:rFonts w:ascii="Tahoma" w:hAnsi="Tahoma" w:cs="Tahoma"/>
          <w:b/>
          <w:sz w:val="18"/>
          <w:szCs w:val="18"/>
          <w:lang w:val="it-IT"/>
        </w:rPr>
        <w:t xml:space="preserve">S = </w:t>
      </w:r>
      <w:r w:rsidRPr="007B74B7">
        <w:rPr>
          <w:rFonts w:ascii="Tahoma" w:hAnsi="Tahoma" w:cs="Tahoma"/>
          <w:sz w:val="18"/>
          <w:szCs w:val="18"/>
          <w:lang w:val="it-IT"/>
        </w:rPr>
        <w:t>Indica che il software è offerto come prodotto della piattaforma applicativa.</w:t>
      </w:r>
    </w:p>
    <w:p w:rsidR="00023FE7" w:rsidRPr="007B74B7" w:rsidRDefault="00023FE7">
      <w:pPr>
        <w:pStyle w:val="Bodywithspace"/>
        <w:spacing w:before="0" w:after="0" w:line="276" w:lineRule="auto"/>
        <w:rPr>
          <w:lang w:val="it-IT"/>
        </w:rPr>
      </w:pPr>
      <w:r w:rsidRPr="007B74B7">
        <w:rPr>
          <w:rStyle w:val="BodyChar"/>
          <w:rFonts w:ascii="Tahoma" w:hAnsi="Tahoma" w:cs="Tahoma"/>
          <w:b/>
          <w:sz w:val="18"/>
          <w:szCs w:val="18"/>
          <w:lang w:val="it-IT"/>
        </w:rPr>
        <w:t>SA (Software Assurance) =</w:t>
      </w:r>
      <w:r w:rsidRPr="007B74B7">
        <w:rPr>
          <w:rFonts w:ascii="Tahoma" w:hAnsi="Tahoma" w:cs="Tahoma"/>
          <w:sz w:val="18"/>
          <w:szCs w:val="18"/>
          <w:lang w:val="it-IT"/>
        </w:rPr>
        <w:t xml:space="preserve"> Valore di punti attribuito quando per il software indicato viene offerta la</w:t>
      </w:r>
      <w:r w:rsidR="00700C4B" w:rsidRPr="007B74B7">
        <w:rPr>
          <w:rFonts w:ascii="Tahoma" w:hAnsi="Tahoma" w:cs="Tahoma"/>
          <w:sz w:val="18"/>
          <w:szCs w:val="18"/>
          <w:lang w:val="it-IT"/>
        </w:rPr>
        <w:t> </w:t>
      </w:r>
      <w:r w:rsidRPr="007B74B7">
        <w:rPr>
          <w:rFonts w:ascii="Tahoma" w:hAnsi="Tahoma" w:cs="Tahoma"/>
          <w:sz w:val="18"/>
          <w:szCs w:val="18"/>
          <w:lang w:val="it-IT"/>
        </w:rPr>
        <w:t xml:space="preserve">copertura Software Assurance. </w:t>
      </w:r>
    </w:p>
    <w:p w:rsidR="00023FE7" w:rsidRPr="007B74B7" w:rsidRDefault="00023FE7">
      <w:pPr>
        <w:pStyle w:val="Bodywithspace"/>
        <w:spacing w:before="0" w:after="0" w:line="276" w:lineRule="auto"/>
        <w:ind w:right="-180"/>
        <w:rPr>
          <w:lang w:val="it-IT"/>
        </w:rPr>
      </w:pPr>
      <w:r w:rsidRPr="007B74B7">
        <w:rPr>
          <w:rStyle w:val="BodyChar"/>
          <w:rFonts w:ascii="Tahoma" w:hAnsi="Tahoma" w:cs="Tahoma"/>
          <w:b/>
          <w:sz w:val="18"/>
          <w:szCs w:val="18"/>
          <w:lang w:val="it-IT"/>
        </w:rPr>
        <w:t>SRV =</w:t>
      </w:r>
      <w:r w:rsidRPr="007B74B7">
        <w:rPr>
          <w:rFonts w:ascii="Tahoma" w:hAnsi="Tahoma" w:cs="Tahoma"/>
          <w:sz w:val="18"/>
          <w:szCs w:val="18"/>
          <w:lang w:val="it-IT"/>
        </w:rPr>
        <w:t xml:space="preserve"> Vantaggi di Software Assurance per le Offerte di Pool di Server. </w:t>
      </w:r>
    </w:p>
    <w:p w:rsidR="00023FE7" w:rsidRPr="007B74B7" w:rsidRDefault="00023FE7">
      <w:pPr>
        <w:pStyle w:val="Bodywithspace"/>
        <w:tabs>
          <w:tab w:val="left" w:pos="9360"/>
        </w:tabs>
        <w:spacing w:before="0" w:after="0" w:line="276" w:lineRule="auto"/>
        <w:ind w:right="-180"/>
        <w:rPr>
          <w:lang w:val="it-IT"/>
        </w:rPr>
      </w:pPr>
      <w:r w:rsidRPr="007B74B7">
        <w:rPr>
          <w:rStyle w:val="BodyChar"/>
          <w:rFonts w:ascii="Tahoma" w:hAnsi="Tahoma" w:cs="Tahoma"/>
          <w:b/>
          <w:sz w:val="18"/>
          <w:szCs w:val="18"/>
          <w:lang w:val="it-IT"/>
        </w:rPr>
        <w:t>U (Licenza di Aggiornamento) =</w:t>
      </w:r>
      <w:r w:rsidRPr="007B74B7">
        <w:rPr>
          <w:rFonts w:ascii="Tahoma" w:hAnsi="Tahoma" w:cs="Tahoma"/>
          <w:sz w:val="18"/>
          <w:szCs w:val="18"/>
          <w:lang w:val="it-IT"/>
        </w:rPr>
        <w:t xml:space="preserve"> Valore di punti attribuito quando per il software indicato viene offerto un</w:t>
      </w:r>
      <w:r w:rsidR="00700C4B" w:rsidRPr="007B74B7">
        <w:rPr>
          <w:rFonts w:ascii="Tahoma" w:hAnsi="Tahoma" w:cs="Tahoma"/>
          <w:sz w:val="18"/>
          <w:szCs w:val="18"/>
          <w:lang w:val="it-IT"/>
        </w:rPr>
        <w:t> </w:t>
      </w:r>
      <w:r w:rsidRPr="007B74B7">
        <w:rPr>
          <w:rFonts w:ascii="Tahoma" w:hAnsi="Tahoma" w:cs="Tahoma"/>
          <w:sz w:val="18"/>
          <w:szCs w:val="18"/>
          <w:lang w:val="it-IT"/>
        </w:rPr>
        <w:t>aggiornamento.</w:t>
      </w:r>
    </w:p>
    <w:p w:rsidR="00023FE7" w:rsidRPr="007B74B7" w:rsidRDefault="00023FE7">
      <w:pPr>
        <w:pStyle w:val="Bodywithspace"/>
        <w:spacing w:before="0" w:after="0" w:line="276" w:lineRule="auto"/>
        <w:ind w:right="-180"/>
        <w:rPr>
          <w:lang w:val="it-IT"/>
        </w:rPr>
      </w:pPr>
      <w:r w:rsidRPr="007B74B7">
        <w:rPr>
          <w:rStyle w:val="BodyChar"/>
          <w:rFonts w:ascii="Tahoma" w:hAnsi="Tahoma" w:cs="Tahoma"/>
          <w:b/>
          <w:sz w:val="18"/>
          <w:szCs w:val="18"/>
          <w:lang w:val="it-IT"/>
        </w:rPr>
        <w:t>U &amp; SA (Aggiornamento &amp; Software Assurance)</w:t>
      </w:r>
      <w:r w:rsidRPr="007B74B7">
        <w:rPr>
          <w:rFonts w:ascii="Tahoma" w:hAnsi="Tahoma" w:cs="Tahoma"/>
          <w:sz w:val="18"/>
          <w:szCs w:val="18"/>
          <w:lang w:val="it-IT"/>
        </w:rPr>
        <w:t xml:space="preserve"> = Valore di punti attribuito quando per il software indicato viene offerto il programma Aggiornamento e Software Assurance.</w:t>
      </w:r>
    </w:p>
    <w:p w:rsidR="00023FE7" w:rsidRPr="007B74B7" w:rsidRDefault="00023FE7" w:rsidP="003B23CC">
      <w:pPr>
        <w:pStyle w:val="Heading1"/>
        <w:rPr>
          <w:lang w:val="it-IT"/>
        </w:rPr>
      </w:pPr>
      <w:r w:rsidRPr="007B74B7">
        <w:rPr>
          <w:lang w:val="it-IT"/>
        </w:rPr>
        <w:br w:type="page"/>
      </w:r>
      <w:bookmarkStart w:id="10" w:name="_Toc336337841"/>
      <w:bookmarkStart w:id="11" w:name="_Toc353375623"/>
      <w:r w:rsidRPr="007B74B7">
        <w:rPr>
          <w:lang w:val="it-IT"/>
        </w:rPr>
        <w:lastRenderedPageBreak/>
        <w:t>LISTA DEI ProdottI</w:t>
      </w:r>
      <w:bookmarkEnd w:id="10"/>
      <w:bookmarkEnd w:id="11"/>
    </w:p>
    <w:p w:rsidR="000E5145" w:rsidRPr="007B74B7" w:rsidRDefault="000E5145" w:rsidP="004E292A">
      <w:pPr>
        <w:pStyle w:val="Heading3"/>
        <w:rPr>
          <w:lang w:val="it-IT"/>
        </w:rPr>
      </w:pPr>
      <w:bookmarkStart w:id="12" w:name="_Toc300391149"/>
      <w:bookmarkStart w:id="13" w:name="_Toc312398873"/>
      <w:bookmarkStart w:id="14" w:name="_Toc336337842"/>
    </w:p>
    <w:p w:rsidR="00F70479" w:rsidRPr="007B74B7" w:rsidRDefault="00F70479" w:rsidP="00F70479">
      <w:pPr>
        <w:rPr>
          <w:lang w:val="it-IT"/>
        </w:rPr>
      </w:pPr>
    </w:p>
    <w:p w:rsidR="00023FE7" w:rsidRPr="007B74B7" w:rsidRDefault="00023FE7" w:rsidP="004E292A">
      <w:pPr>
        <w:pStyle w:val="Heading3"/>
        <w:rPr>
          <w:lang w:val="it-IT"/>
        </w:rPr>
      </w:pPr>
      <w:bookmarkStart w:id="15" w:name="_Toc353375624"/>
      <w:r w:rsidRPr="007B74B7">
        <w:rPr>
          <w:rFonts w:ascii="Tahoma" w:hAnsi="Tahoma" w:cs="Tahoma"/>
          <w:sz w:val="22"/>
          <w:szCs w:val="22"/>
          <w:lang w:val="it-IT"/>
        </w:rPr>
        <w:t>POOL DI APPLICAZIONI</w:t>
      </w:r>
      <w:bookmarkEnd w:id="12"/>
      <w:bookmarkEnd w:id="13"/>
      <w:bookmarkEnd w:id="14"/>
      <w:bookmarkEnd w:id="15"/>
    </w:p>
    <w:p w:rsidR="006949F0" w:rsidRPr="007B74B7" w:rsidRDefault="006949F0" w:rsidP="006949F0">
      <w:pPr>
        <w:rPr>
          <w:lang w:val="it-IT"/>
        </w:rPr>
      </w:pPr>
    </w:p>
    <w:tbl>
      <w:tblPr>
        <w:tblW w:w="10530" w:type="dxa"/>
        <w:tblInd w:w="-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29"/>
        <w:gridCol w:w="429"/>
        <w:gridCol w:w="429"/>
        <w:gridCol w:w="429"/>
        <w:gridCol w:w="429"/>
        <w:gridCol w:w="429"/>
        <w:gridCol w:w="429"/>
        <w:gridCol w:w="429"/>
        <w:gridCol w:w="429"/>
        <w:gridCol w:w="429"/>
        <w:gridCol w:w="429"/>
        <w:gridCol w:w="429"/>
        <w:gridCol w:w="429"/>
        <w:gridCol w:w="429"/>
        <w:gridCol w:w="429"/>
        <w:gridCol w:w="429"/>
        <w:gridCol w:w="514"/>
        <w:gridCol w:w="514"/>
      </w:tblGrid>
      <w:tr w:rsidR="00B27742" w:rsidRPr="007B74B7" w:rsidTr="00700C4B">
        <w:trPr>
          <w:cantSplit/>
          <w:trHeight w:val="1115"/>
          <w:tblHeader/>
        </w:trPr>
        <w:tc>
          <w:tcPr>
            <w:tcW w:w="2638" w:type="dxa"/>
            <w:tcBorders>
              <w:top w:val="single" w:sz="4" w:space="0" w:color="FFFFFF"/>
              <w:left w:val="nil"/>
              <w:bottom w:val="nil"/>
            </w:tcBorders>
          </w:tcPr>
          <w:p w:rsidR="00B27742" w:rsidRPr="007B74B7" w:rsidRDefault="00B27742">
            <w:pPr>
              <w:widowControl w:val="0"/>
              <w:ind w:left="-360"/>
              <w:rPr>
                <w:rFonts w:cs="Tahoma"/>
                <w:lang w:val="it-IT"/>
              </w:rPr>
            </w:pPr>
          </w:p>
        </w:tc>
        <w:tc>
          <w:tcPr>
            <w:tcW w:w="429" w:type="dxa"/>
            <w:textDirection w:val="btLr"/>
            <w:vAlign w:val="center"/>
          </w:tcPr>
          <w:p w:rsidR="00B27742" w:rsidRPr="00BD7CEA" w:rsidRDefault="00B27742" w:rsidP="00700C4B">
            <w:pPr>
              <w:pStyle w:val="TableVerticalText"/>
              <w:widowControl w:val="0"/>
              <w:rPr>
                <w:rFonts w:ascii="Tahoma" w:hAnsi="Tahoma" w:cs="Tahoma"/>
              </w:rPr>
            </w:pPr>
            <w:r w:rsidRPr="00BD7CEA">
              <w:rPr>
                <w:rFonts w:ascii="Tahoma" w:hAnsi="Tahoma" w:cs="Tahoma"/>
              </w:rPr>
              <w:t>Note del Prodotto</w:t>
            </w:r>
          </w:p>
        </w:tc>
        <w:tc>
          <w:tcPr>
            <w:tcW w:w="429" w:type="dxa"/>
            <w:textDirection w:val="btLr"/>
            <w:vAlign w:val="center"/>
          </w:tcPr>
          <w:p w:rsidR="00B27742" w:rsidRPr="00BD7CEA" w:rsidRDefault="00B27742" w:rsidP="00700C4B">
            <w:pPr>
              <w:pStyle w:val="TableVerticalText"/>
              <w:widowControl w:val="0"/>
              <w:rPr>
                <w:rFonts w:ascii="Tahoma" w:hAnsi="Tahoma" w:cs="Tahoma"/>
              </w:rPr>
            </w:pPr>
            <w:r w:rsidRPr="00BD7CEA">
              <w:rPr>
                <w:rFonts w:ascii="Tahoma" w:hAnsi="Tahoma" w:cs="Tahoma"/>
              </w:rPr>
              <w:t>Data Disponibilità</w:t>
            </w:r>
          </w:p>
        </w:tc>
        <w:tc>
          <w:tcPr>
            <w:tcW w:w="429" w:type="dxa"/>
            <w:tcBorders>
              <w:right w:val="single" w:sz="18" w:space="0" w:color="auto"/>
            </w:tcBorders>
            <w:textDirection w:val="btLr"/>
            <w:vAlign w:val="center"/>
          </w:tcPr>
          <w:p w:rsidR="00B27742" w:rsidRPr="00BD7CEA" w:rsidRDefault="00B27742" w:rsidP="00700C4B">
            <w:pPr>
              <w:pStyle w:val="TableVerticalText"/>
              <w:widowControl w:val="0"/>
              <w:rPr>
                <w:rFonts w:ascii="Tahoma" w:hAnsi="Tahoma" w:cs="Tahoma"/>
              </w:rPr>
            </w:pPr>
            <w:r w:rsidRPr="00BD7CEA">
              <w:rPr>
                <w:rFonts w:ascii="Tahoma" w:hAnsi="Tahoma" w:cs="Tahoma"/>
              </w:rPr>
              <w:t>SAB</w:t>
            </w:r>
          </w:p>
        </w:tc>
        <w:tc>
          <w:tcPr>
            <w:tcW w:w="3003" w:type="dxa"/>
            <w:gridSpan w:val="7"/>
            <w:tcBorders>
              <w:left w:val="single" w:sz="18" w:space="0" w:color="auto"/>
              <w:right w:val="single" w:sz="18" w:space="0" w:color="auto"/>
            </w:tcBorders>
            <w:vAlign w:val="center"/>
          </w:tcPr>
          <w:p w:rsidR="00B27742" w:rsidRPr="00BD7CEA" w:rsidRDefault="00B27742" w:rsidP="00700C4B">
            <w:pPr>
              <w:pStyle w:val="TableHeadingsBlack"/>
              <w:widowControl w:val="0"/>
              <w:rPr>
                <w:rFonts w:ascii="Tahoma" w:hAnsi="Tahoma" w:cs="Tahoma"/>
              </w:rPr>
            </w:pPr>
            <w:r w:rsidRPr="00BD7CEA">
              <w:rPr>
                <w:rFonts w:ascii="Tahoma" w:hAnsi="Tahoma" w:cs="Tahoma"/>
              </w:rPr>
              <w:t>Select / Select Plus*</w:t>
            </w:r>
          </w:p>
        </w:tc>
        <w:tc>
          <w:tcPr>
            <w:tcW w:w="1287" w:type="dxa"/>
            <w:gridSpan w:val="3"/>
            <w:tcBorders>
              <w:left w:val="single" w:sz="18" w:space="0" w:color="auto"/>
              <w:right w:val="single" w:sz="18" w:space="0" w:color="auto"/>
            </w:tcBorders>
            <w:vAlign w:val="center"/>
          </w:tcPr>
          <w:p w:rsidR="00B27742" w:rsidRPr="00BD7CEA" w:rsidRDefault="00B27742">
            <w:pPr>
              <w:pStyle w:val="TableHeadingsBlack"/>
              <w:widowControl w:val="0"/>
              <w:rPr>
                <w:rFonts w:ascii="Tahoma" w:hAnsi="Tahoma" w:cs="Tahoma"/>
              </w:rPr>
            </w:pPr>
            <w:r w:rsidRPr="00BD7CEA">
              <w:rPr>
                <w:rFonts w:ascii="Tahoma" w:hAnsi="Tahoma" w:cs="Tahoma"/>
              </w:rPr>
              <w:t>Licenza Open</w:t>
            </w:r>
          </w:p>
        </w:tc>
        <w:tc>
          <w:tcPr>
            <w:tcW w:w="429" w:type="dxa"/>
            <w:tcBorders>
              <w:left w:val="single" w:sz="18" w:space="0" w:color="auto"/>
            </w:tcBorders>
            <w:textDirection w:val="btLr"/>
            <w:vAlign w:val="center"/>
          </w:tcPr>
          <w:p w:rsidR="00B27742" w:rsidRPr="00BD7CEA" w:rsidRDefault="00B27742">
            <w:pPr>
              <w:pStyle w:val="TableVerticalText"/>
              <w:widowControl w:val="0"/>
              <w:rPr>
                <w:rFonts w:ascii="Tahoma" w:hAnsi="Tahoma" w:cs="Tahoma"/>
              </w:rPr>
            </w:pPr>
            <w:r w:rsidRPr="00BD7CEA">
              <w:rPr>
                <w:rFonts w:ascii="Tahoma" w:hAnsi="Tahoma" w:cs="Tahoma"/>
              </w:rPr>
              <w:t>Unità Campus/School</w:t>
            </w:r>
          </w:p>
        </w:tc>
        <w:tc>
          <w:tcPr>
            <w:tcW w:w="429" w:type="dxa"/>
            <w:tcBorders>
              <w:right w:val="single" w:sz="18" w:space="0" w:color="auto"/>
            </w:tcBorders>
            <w:textDirection w:val="btLr"/>
            <w:vAlign w:val="center"/>
          </w:tcPr>
          <w:p w:rsidR="00B27742" w:rsidRPr="00BD7CEA" w:rsidRDefault="00B27742">
            <w:pPr>
              <w:pStyle w:val="TableVerticalText"/>
              <w:widowControl w:val="0"/>
              <w:rPr>
                <w:rFonts w:ascii="Tahoma" w:hAnsi="Tahoma" w:cs="Tahoma"/>
              </w:rPr>
            </w:pPr>
            <w:r w:rsidRPr="00BD7CEA">
              <w:rPr>
                <w:rFonts w:ascii="Tahoma" w:hAnsi="Tahoma" w:cs="Tahoma"/>
              </w:rPr>
              <w:t>EA ed EA Sub</w:t>
            </w:r>
          </w:p>
        </w:tc>
        <w:tc>
          <w:tcPr>
            <w:tcW w:w="429" w:type="dxa"/>
            <w:tcBorders>
              <w:left w:val="single" w:sz="18" w:space="0" w:color="auto"/>
              <w:right w:val="single" w:sz="18" w:space="0" w:color="auto"/>
            </w:tcBorders>
            <w:textDirection w:val="btLr"/>
            <w:vAlign w:val="center"/>
          </w:tcPr>
          <w:p w:rsidR="00B27742" w:rsidRPr="00BD7CEA" w:rsidRDefault="00B27742">
            <w:pPr>
              <w:pStyle w:val="TableVerticalText"/>
              <w:widowControl w:val="0"/>
              <w:rPr>
                <w:rFonts w:ascii="Tahoma" w:hAnsi="Tahoma" w:cs="Tahoma"/>
              </w:rPr>
            </w:pPr>
            <w:r w:rsidRPr="00BD7CEA">
              <w:rPr>
                <w:rFonts w:ascii="Tahoma" w:hAnsi="Tahoma" w:cs="Tahoma"/>
              </w:rPr>
              <w:t>OV / OVS</w:t>
            </w:r>
          </w:p>
        </w:tc>
        <w:tc>
          <w:tcPr>
            <w:tcW w:w="514" w:type="dxa"/>
            <w:textDirection w:val="btLr"/>
          </w:tcPr>
          <w:p w:rsidR="00B27742" w:rsidRPr="00BD7CEA" w:rsidRDefault="00B0036E" w:rsidP="00E67091">
            <w:pPr>
              <w:pStyle w:val="TableVerticalText"/>
              <w:widowControl w:val="0"/>
              <w:spacing w:before="120"/>
              <w:rPr>
                <w:rFonts w:ascii="Tahoma" w:hAnsi="Tahoma" w:cs="Tahoma"/>
              </w:rPr>
            </w:pPr>
            <w:r w:rsidRPr="00BD7CEA">
              <w:rPr>
                <w:rFonts w:ascii="Tahoma" w:hAnsi="Tahoma" w:cs="Tahoma"/>
              </w:rPr>
              <w:t>EES / OVS -ES</w:t>
            </w:r>
          </w:p>
        </w:tc>
        <w:tc>
          <w:tcPr>
            <w:tcW w:w="514" w:type="dxa"/>
            <w:textDirection w:val="btLr"/>
            <w:vAlign w:val="center"/>
          </w:tcPr>
          <w:p w:rsidR="00B27742" w:rsidRPr="007B74B7" w:rsidRDefault="00B27742" w:rsidP="00456002">
            <w:pPr>
              <w:pStyle w:val="TableVerticalText"/>
              <w:widowControl w:val="0"/>
              <w:rPr>
                <w:rFonts w:ascii="Tahoma" w:hAnsi="Tahoma" w:cs="Tahoma"/>
                <w:lang w:val="it-IT"/>
              </w:rPr>
            </w:pPr>
            <w:r w:rsidRPr="007B74B7">
              <w:rPr>
                <w:rFonts w:ascii="Tahoma" w:hAnsi="Tahoma" w:cs="Tahoma"/>
                <w:lang w:val="it-IT"/>
              </w:rPr>
              <w:t>Requisito minimo per i Programmi Open</w:t>
            </w:r>
          </w:p>
        </w:tc>
      </w:tr>
      <w:tr w:rsidR="00B27742" w:rsidRPr="00BD7CEA" w:rsidTr="007E466C">
        <w:trPr>
          <w:cantSplit/>
          <w:trHeight w:val="271"/>
          <w:tblHeader/>
        </w:trPr>
        <w:tc>
          <w:tcPr>
            <w:tcW w:w="2638" w:type="dxa"/>
            <w:vMerge w:val="restart"/>
            <w:tcBorders>
              <w:top w:val="nil"/>
              <w:left w:val="nil"/>
            </w:tcBorders>
          </w:tcPr>
          <w:p w:rsidR="00B27742" w:rsidRPr="007B74B7" w:rsidRDefault="00B27742">
            <w:pPr>
              <w:widowControl w:val="0"/>
              <w:rPr>
                <w:rFonts w:cs="Tahoma"/>
                <w:b/>
                <w:lang w:val="it-IT"/>
              </w:rPr>
            </w:pPr>
          </w:p>
        </w:tc>
        <w:tc>
          <w:tcPr>
            <w:tcW w:w="429" w:type="dxa"/>
            <w:vMerge w:val="restart"/>
          </w:tcPr>
          <w:p w:rsidR="00B27742" w:rsidRPr="00BD7CEA" w:rsidRDefault="00B27742">
            <w:pPr>
              <w:keepNext/>
              <w:widowControl w:val="0"/>
              <w:spacing w:before="200" w:after="120"/>
              <w:jc w:val="center"/>
              <w:outlineLvl w:val="0"/>
              <w:rPr>
                <w:rFonts w:cs="Tahoma"/>
                <w:b/>
                <w:color w:val="0000FF"/>
                <w:sz w:val="10"/>
              </w:rPr>
            </w:pPr>
            <w:r w:rsidRPr="00BD7CEA">
              <w:rPr>
                <w:rFonts w:cs="Tahoma"/>
                <w:b/>
                <w:color w:val="0000FF"/>
                <w:sz w:val="10"/>
              </w:rPr>
              <w:t>(Ctrl + Clic)</w:t>
            </w:r>
          </w:p>
        </w:tc>
        <w:tc>
          <w:tcPr>
            <w:tcW w:w="429" w:type="dxa"/>
            <w:vMerge w:val="restart"/>
          </w:tcPr>
          <w:p w:rsidR="00B27742" w:rsidRPr="00BD7CEA" w:rsidRDefault="00B27742">
            <w:pPr>
              <w:widowControl w:val="0"/>
              <w:rPr>
                <w:rFonts w:cs="Tahoma"/>
              </w:rPr>
            </w:pPr>
          </w:p>
        </w:tc>
        <w:tc>
          <w:tcPr>
            <w:tcW w:w="429" w:type="dxa"/>
            <w:vMerge w:val="restart"/>
            <w:tcBorders>
              <w:right w:val="single" w:sz="18" w:space="0" w:color="auto"/>
            </w:tcBorders>
          </w:tcPr>
          <w:p w:rsidR="00B27742" w:rsidRPr="00BD7CEA" w:rsidRDefault="00B27742">
            <w:pPr>
              <w:widowControl w:val="0"/>
              <w:rPr>
                <w:rFonts w:cs="Tahoma"/>
              </w:rPr>
            </w:pPr>
          </w:p>
        </w:tc>
        <w:tc>
          <w:tcPr>
            <w:tcW w:w="429" w:type="dxa"/>
            <w:vMerge w:val="restart"/>
            <w:tcBorders>
              <w:left w:val="single" w:sz="18" w:space="0" w:color="auto"/>
            </w:tcBorders>
            <w:vAlign w:val="center"/>
          </w:tcPr>
          <w:p w:rsidR="00B27742" w:rsidRPr="00BD7CEA" w:rsidRDefault="00B27742">
            <w:pPr>
              <w:pStyle w:val="TableHeadingsRed"/>
              <w:widowControl w:val="0"/>
              <w:rPr>
                <w:rFonts w:ascii="Tahoma" w:hAnsi="Tahoma" w:cs="Tahoma"/>
              </w:rPr>
            </w:pPr>
            <w:r w:rsidRPr="00BD7CEA">
              <w:rPr>
                <w:rFonts w:ascii="Tahoma" w:hAnsi="Tahoma" w:cs="Tahoma"/>
              </w:rPr>
              <w:t>L</w:t>
            </w:r>
          </w:p>
        </w:tc>
        <w:tc>
          <w:tcPr>
            <w:tcW w:w="1287" w:type="dxa"/>
            <w:gridSpan w:val="3"/>
            <w:vAlign w:val="center"/>
          </w:tcPr>
          <w:p w:rsidR="00B27742" w:rsidRPr="00BD7CEA" w:rsidRDefault="00B27742">
            <w:pPr>
              <w:pStyle w:val="TableHeadingsGreen"/>
              <w:widowControl w:val="0"/>
              <w:rPr>
                <w:rFonts w:ascii="Tahoma" w:hAnsi="Tahoma" w:cs="Tahoma"/>
              </w:rPr>
            </w:pPr>
            <w:r w:rsidRPr="00BD7CEA">
              <w:rPr>
                <w:rFonts w:ascii="Tahoma" w:hAnsi="Tahoma" w:cs="Tahoma"/>
              </w:rPr>
              <w:t>L&amp;SA</w:t>
            </w:r>
          </w:p>
        </w:tc>
        <w:tc>
          <w:tcPr>
            <w:tcW w:w="1287" w:type="dxa"/>
            <w:gridSpan w:val="3"/>
            <w:tcBorders>
              <w:right w:val="single" w:sz="18" w:space="0" w:color="auto"/>
            </w:tcBorders>
            <w:vAlign w:val="center"/>
          </w:tcPr>
          <w:p w:rsidR="00B27742" w:rsidRPr="00BD7CEA" w:rsidRDefault="00B27742">
            <w:pPr>
              <w:pStyle w:val="TableHeadingsBlue"/>
              <w:widowControl w:val="0"/>
              <w:rPr>
                <w:rFonts w:ascii="Tahoma" w:hAnsi="Tahoma" w:cs="Tahoma"/>
              </w:rPr>
            </w:pPr>
            <w:r w:rsidRPr="00BD7CEA">
              <w:rPr>
                <w:rFonts w:ascii="Tahoma" w:hAnsi="Tahoma" w:cs="Tahoma"/>
              </w:rPr>
              <w:t>SA</w:t>
            </w:r>
          </w:p>
        </w:tc>
        <w:tc>
          <w:tcPr>
            <w:tcW w:w="429" w:type="dxa"/>
            <w:vMerge w:val="restart"/>
            <w:tcBorders>
              <w:left w:val="single" w:sz="18" w:space="0" w:color="auto"/>
            </w:tcBorders>
            <w:vAlign w:val="center"/>
          </w:tcPr>
          <w:p w:rsidR="00B27742" w:rsidRPr="00BD7CEA" w:rsidRDefault="00B27742">
            <w:pPr>
              <w:pStyle w:val="TableHeadingsRed"/>
              <w:widowControl w:val="0"/>
              <w:rPr>
                <w:rFonts w:ascii="Tahoma" w:hAnsi="Tahoma" w:cs="Tahoma"/>
              </w:rPr>
            </w:pPr>
            <w:r w:rsidRPr="00BD7CEA">
              <w:rPr>
                <w:rFonts w:ascii="Tahoma" w:hAnsi="Tahoma" w:cs="Tahoma"/>
              </w:rPr>
              <w:t>L</w:t>
            </w:r>
          </w:p>
        </w:tc>
        <w:tc>
          <w:tcPr>
            <w:tcW w:w="429" w:type="dxa"/>
            <w:vAlign w:val="center"/>
          </w:tcPr>
          <w:p w:rsidR="00B27742" w:rsidRPr="00BD7CEA" w:rsidRDefault="00B27742">
            <w:pPr>
              <w:pStyle w:val="TableHeadingsGreen"/>
              <w:widowControl w:val="0"/>
              <w:rPr>
                <w:rFonts w:ascii="Tahoma" w:hAnsi="Tahoma" w:cs="Tahoma"/>
              </w:rPr>
            </w:pPr>
            <w:r w:rsidRPr="00BD7CEA">
              <w:rPr>
                <w:rFonts w:ascii="Tahoma" w:hAnsi="Tahoma" w:cs="Tahoma"/>
              </w:rPr>
              <w:t>L&amp;SA</w:t>
            </w:r>
          </w:p>
        </w:tc>
        <w:tc>
          <w:tcPr>
            <w:tcW w:w="429" w:type="dxa"/>
            <w:vMerge w:val="restart"/>
            <w:tcBorders>
              <w:right w:val="single" w:sz="18" w:space="0" w:color="auto"/>
            </w:tcBorders>
            <w:vAlign w:val="center"/>
          </w:tcPr>
          <w:p w:rsidR="00B27742" w:rsidRPr="00BD7CEA" w:rsidRDefault="00B27742">
            <w:pPr>
              <w:pStyle w:val="TableHeadingsBlue"/>
              <w:widowControl w:val="0"/>
              <w:rPr>
                <w:rFonts w:ascii="Tahoma" w:hAnsi="Tahoma" w:cs="Tahoma"/>
              </w:rPr>
            </w:pPr>
            <w:r w:rsidRPr="00BD7CEA">
              <w:rPr>
                <w:rFonts w:ascii="Tahoma" w:hAnsi="Tahoma" w:cs="Tahoma"/>
              </w:rPr>
              <w:t>SA</w:t>
            </w:r>
          </w:p>
        </w:tc>
        <w:tc>
          <w:tcPr>
            <w:tcW w:w="429" w:type="dxa"/>
            <w:vMerge w:val="restart"/>
            <w:tcBorders>
              <w:left w:val="single" w:sz="18" w:space="0" w:color="auto"/>
            </w:tcBorders>
          </w:tcPr>
          <w:p w:rsidR="00B27742" w:rsidRPr="00BD7CEA" w:rsidRDefault="00B27742" w:rsidP="00097B90">
            <w:pPr>
              <w:widowControl w:val="0"/>
              <w:rPr>
                <w:rFonts w:cs="Tahoma"/>
              </w:rPr>
            </w:pPr>
          </w:p>
        </w:tc>
        <w:tc>
          <w:tcPr>
            <w:tcW w:w="429" w:type="dxa"/>
            <w:vMerge w:val="restart"/>
            <w:tcBorders>
              <w:right w:val="single" w:sz="18" w:space="0" w:color="auto"/>
            </w:tcBorders>
          </w:tcPr>
          <w:p w:rsidR="00B27742" w:rsidRPr="00BD7CEA" w:rsidRDefault="00B27742">
            <w:pPr>
              <w:widowControl w:val="0"/>
              <w:rPr>
                <w:rFonts w:cs="Tahoma"/>
              </w:rPr>
            </w:pPr>
          </w:p>
        </w:tc>
        <w:tc>
          <w:tcPr>
            <w:tcW w:w="429" w:type="dxa"/>
            <w:vMerge w:val="restart"/>
            <w:tcBorders>
              <w:left w:val="single" w:sz="18" w:space="0" w:color="auto"/>
              <w:right w:val="single" w:sz="18" w:space="0" w:color="auto"/>
            </w:tcBorders>
          </w:tcPr>
          <w:p w:rsidR="00B27742" w:rsidRPr="00BD7CEA" w:rsidRDefault="00B27742">
            <w:pPr>
              <w:widowControl w:val="0"/>
              <w:rPr>
                <w:rFonts w:cs="Tahoma"/>
              </w:rPr>
            </w:pPr>
          </w:p>
        </w:tc>
        <w:tc>
          <w:tcPr>
            <w:tcW w:w="514" w:type="dxa"/>
            <w:vMerge w:val="restart"/>
          </w:tcPr>
          <w:p w:rsidR="00B27742" w:rsidRPr="00BD7CEA" w:rsidRDefault="00B27742">
            <w:pPr>
              <w:widowControl w:val="0"/>
              <w:rPr>
                <w:rFonts w:cs="Tahoma"/>
              </w:rPr>
            </w:pPr>
          </w:p>
        </w:tc>
        <w:tc>
          <w:tcPr>
            <w:tcW w:w="514" w:type="dxa"/>
            <w:vMerge w:val="restart"/>
          </w:tcPr>
          <w:p w:rsidR="00B27742" w:rsidRPr="00BD7CEA" w:rsidRDefault="00B27742">
            <w:pPr>
              <w:widowControl w:val="0"/>
              <w:rPr>
                <w:rFonts w:cs="Tahoma"/>
              </w:rPr>
            </w:pPr>
          </w:p>
        </w:tc>
      </w:tr>
      <w:tr w:rsidR="00B27742" w:rsidRPr="00BD7CEA" w:rsidTr="007E466C">
        <w:trPr>
          <w:cantSplit/>
          <w:trHeight w:val="262"/>
          <w:tblHeader/>
        </w:trPr>
        <w:tc>
          <w:tcPr>
            <w:tcW w:w="2638" w:type="dxa"/>
            <w:vMerge/>
            <w:tcBorders>
              <w:top w:val="single" w:sz="4" w:space="0" w:color="auto"/>
              <w:left w:val="nil"/>
              <w:bottom w:val="single" w:sz="4" w:space="0" w:color="auto"/>
            </w:tcBorders>
          </w:tcPr>
          <w:p w:rsidR="00B27742" w:rsidRPr="00BD7CEA" w:rsidRDefault="00B27742">
            <w:pPr>
              <w:widowControl w:val="0"/>
              <w:rPr>
                <w:rFonts w:cs="Tahoma"/>
              </w:rPr>
            </w:pPr>
          </w:p>
        </w:tc>
        <w:tc>
          <w:tcPr>
            <w:tcW w:w="429" w:type="dxa"/>
            <w:vMerge/>
            <w:tcBorders>
              <w:bottom w:val="single" w:sz="4" w:space="0" w:color="auto"/>
            </w:tcBorders>
          </w:tcPr>
          <w:p w:rsidR="00B27742" w:rsidRPr="00BD7CEA" w:rsidRDefault="00B27742">
            <w:pPr>
              <w:keepNext/>
              <w:widowControl w:val="0"/>
              <w:spacing w:before="200" w:after="120"/>
              <w:outlineLvl w:val="0"/>
              <w:rPr>
                <w:rFonts w:cs="Tahoma"/>
                <w:b/>
              </w:rPr>
            </w:pPr>
          </w:p>
        </w:tc>
        <w:tc>
          <w:tcPr>
            <w:tcW w:w="429" w:type="dxa"/>
            <w:vMerge/>
            <w:tcBorders>
              <w:bottom w:val="single" w:sz="4" w:space="0" w:color="auto"/>
            </w:tcBorders>
          </w:tcPr>
          <w:p w:rsidR="00B27742" w:rsidRPr="00BD7CEA" w:rsidRDefault="00B27742">
            <w:pPr>
              <w:widowControl w:val="0"/>
              <w:rPr>
                <w:rFonts w:cs="Tahoma"/>
              </w:rPr>
            </w:pPr>
          </w:p>
        </w:tc>
        <w:tc>
          <w:tcPr>
            <w:tcW w:w="429" w:type="dxa"/>
            <w:vMerge/>
            <w:tcBorders>
              <w:bottom w:val="single" w:sz="4" w:space="0" w:color="auto"/>
              <w:right w:val="single" w:sz="18" w:space="0" w:color="auto"/>
            </w:tcBorders>
          </w:tcPr>
          <w:p w:rsidR="00B27742" w:rsidRPr="00BD7CEA" w:rsidRDefault="00B27742">
            <w:pPr>
              <w:widowControl w:val="0"/>
              <w:rPr>
                <w:rFonts w:cs="Tahoma"/>
              </w:rPr>
            </w:pPr>
          </w:p>
        </w:tc>
        <w:tc>
          <w:tcPr>
            <w:tcW w:w="429" w:type="dxa"/>
            <w:vMerge/>
            <w:tcBorders>
              <w:left w:val="single" w:sz="18" w:space="0" w:color="auto"/>
              <w:bottom w:val="single" w:sz="4" w:space="0" w:color="auto"/>
            </w:tcBorders>
            <w:vAlign w:val="center"/>
          </w:tcPr>
          <w:p w:rsidR="00B27742" w:rsidRPr="00BD7CEA" w:rsidRDefault="00B27742">
            <w:pPr>
              <w:widowControl w:val="0"/>
              <w:jc w:val="center"/>
              <w:rPr>
                <w:rFonts w:cs="Tahoma"/>
              </w:rPr>
            </w:pPr>
          </w:p>
        </w:tc>
        <w:tc>
          <w:tcPr>
            <w:tcW w:w="429" w:type="dxa"/>
            <w:tcBorders>
              <w:bottom w:val="single" w:sz="4" w:space="0" w:color="auto"/>
            </w:tcBorders>
            <w:vAlign w:val="center"/>
          </w:tcPr>
          <w:p w:rsidR="00B27742" w:rsidRPr="00BD7CEA" w:rsidRDefault="00B27742">
            <w:pPr>
              <w:pStyle w:val="TableHeadingsGreen"/>
              <w:widowControl w:val="0"/>
              <w:rPr>
                <w:rFonts w:ascii="Tahoma" w:hAnsi="Tahoma" w:cs="Tahoma"/>
              </w:rPr>
            </w:pPr>
            <w:r w:rsidRPr="00BD7CEA">
              <w:rPr>
                <w:rFonts w:ascii="Tahoma" w:hAnsi="Tahoma" w:cs="Tahoma"/>
              </w:rPr>
              <w:t>3An</w:t>
            </w:r>
          </w:p>
        </w:tc>
        <w:tc>
          <w:tcPr>
            <w:tcW w:w="429" w:type="dxa"/>
            <w:tcBorders>
              <w:bottom w:val="single" w:sz="4" w:space="0" w:color="auto"/>
            </w:tcBorders>
            <w:vAlign w:val="center"/>
          </w:tcPr>
          <w:p w:rsidR="00B27742" w:rsidRPr="00BD7CEA" w:rsidRDefault="00B27742">
            <w:pPr>
              <w:pStyle w:val="TableHeadingsGreen"/>
              <w:widowControl w:val="0"/>
              <w:rPr>
                <w:rFonts w:ascii="Tahoma" w:hAnsi="Tahoma" w:cs="Tahoma"/>
              </w:rPr>
            </w:pPr>
            <w:r w:rsidRPr="00BD7CEA">
              <w:rPr>
                <w:rFonts w:ascii="Tahoma" w:hAnsi="Tahoma" w:cs="Tahoma"/>
              </w:rPr>
              <w:t>2An</w:t>
            </w:r>
          </w:p>
        </w:tc>
        <w:tc>
          <w:tcPr>
            <w:tcW w:w="429" w:type="dxa"/>
            <w:tcBorders>
              <w:bottom w:val="single" w:sz="4" w:space="0" w:color="auto"/>
            </w:tcBorders>
            <w:vAlign w:val="center"/>
          </w:tcPr>
          <w:p w:rsidR="00B27742" w:rsidRPr="00BD7CEA" w:rsidRDefault="00B27742">
            <w:pPr>
              <w:pStyle w:val="TableHeadingsGreen"/>
              <w:widowControl w:val="0"/>
              <w:rPr>
                <w:rFonts w:ascii="Tahoma" w:hAnsi="Tahoma" w:cs="Tahoma"/>
              </w:rPr>
            </w:pPr>
            <w:r w:rsidRPr="00BD7CEA">
              <w:rPr>
                <w:rFonts w:ascii="Tahoma" w:hAnsi="Tahoma" w:cs="Tahoma"/>
              </w:rPr>
              <w:t>1An</w:t>
            </w:r>
          </w:p>
        </w:tc>
        <w:tc>
          <w:tcPr>
            <w:tcW w:w="429" w:type="dxa"/>
            <w:tcBorders>
              <w:bottom w:val="single" w:sz="4" w:space="0" w:color="auto"/>
            </w:tcBorders>
            <w:vAlign w:val="center"/>
          </w:tcPr>
          <w:p w:rsidR="00B27742" w:rsidRPr="00BD7CEA" w:rsidRDefault="00B27742">
            <w:pPr>
              <w:pStyle w:val="TableHeadingsBlue"/>
              <w:widowControl w:val="0"/>
              <w:rPr>
                <w:rFonts w:ascii="Tahoma" w:hAnsi="Tahoma" w:cs="Tahoma"/>
              </w:rPr>
            </w:pPr>
            <w:r w:rsidRPr="00BD7CEA">
              <w:rPr>
                <w:rFonts w:ascii="Tahoma" w:hAnsi="Tahoma" w:cs="Tahoma"/>
              </w:rPr>
              <w:t>3An</w:t>
            </w:r>
          </w:p>
        </w:tc>
        <w:tc>
          <w:tcPr>
            <w:tcW w:w="429" w:type="dxa"/>
            <w:tcBorders>
              <w:bottom w:val="single" w:sz="4" w:space="0" w:color="auto"/>
            </w:tcBorders>
            <w:vAlign w:val="center"/>
          </w:tcPr>
          <w:p w:rsidR="00B27742" w:rsidRPr="00BD7CEA" w:rsidRDefault="00B27742">
            <w:pPr>
              <w:pStyle w:val="TableHeadingsBlue"/>
              <w:widowControl w:val="0"/>
              <w:rPr>
                <w:rFonts w:ascii="Tahoma" w:hAnsi="Tahoma" w:cs="Tahoma"/>
              </w:rPr>
            </w:pPr>
            <w:r w:rsidRPr="00BD7CEA">
              <w:rPr>
                <w:rFonts w:ascii="Tahoma" w:hAnsi="Tahoma" w:cs="Tahoma"/>
              </w:rPr>
              <w:t>2An</w:t>
            </w:r>
          </w:p>
        </w:tc>
        <w:tc>
          <w:tcPr>
            <w:tcW w:w="429" w:type="dxa"/>
            <w:tcBorders>
              <w:bottom w:val="single" w:sz="4" w:space="0" w:color="auto"/>
              <w:right w:val="single" w:sz="18" w:space="0" w:color="auto"/>
            </w:tcBorders>
            <w:vAlign w:val="center"/>
          </w:tcPr>
          <w:p w:rsidR="00B27742" w:rsidRPr="00BD7CEA" w:rsidRDefault="00B27742">
            <w:pPr>
              <w:pStyle w:val="TableHeadingsBlue"/>
              <w:widowControl w:val="0"/>
              <w:rPr>
                <w:rFonts w:ascii="Tahoma" w:hAnsi="Tahoma" w:cs="Tahoma"/>
              </w:rPr>
            </w:pPr>
            <w:r w:rsidRPr="00BD7CEA">
              <w:rPr>
                <w:rFonts w:ascii="Tahoma" w:hAnsi="Tahoma" w:cs="Tahoma"/>
              </w:rPr>
              <w:t>1An</w:t>
            </w:r>
          </w:p>
        </w:tc>
        <w:tc>
          <w:tcPr>
            <w:tcW w:w="429" w:type="dxa"/>
            <w:vMerge/>
            <w:tcBorders>
              <w:left w:val="single" w:sz="18" w:space="0" w:color="auto"/>
              <w:bottom w:val="single" w:sz="4" w:space="0" w:color="auto"/>
            </w:tcBorders>
            <w:vAlign w:val="center"/>
          </w:tcPr>
          <w:p w:rsidR="00B27742" w:rsidRPr="00BD7CEA" w:rsidRDefault="00B27742">
            <w:pPr>
              <w:widowControl w:val="0"/>
              <w:jc w:val="center"/>
              <w:rPr>
                <w:rFonts w:cs="Tahoma"/>
              </w:rPr>
            </w:pPr>
          </w:p>
        </w:tc>
        <w:tc>
          <w:tcPr>
            <w:tcW w:w="429" w:type="dxa"/>
            <w:tcBorders>
              <w:bottom w:val="single" w:sz="4" w:space="0" w:color="auto"/>
            </w:tcBorders>
            <w:vAlign w:val="center"/>
          </w:tcPr>
          <w:p w:rsidR="00B27742" w:rsidRPr="00BD7CEA" w:rsidRDefault="00B27742">
            <w:pPr>
              <w:pStyle w:val="TableHeadingsGreen"/>
              <w:widowControl w:val="0"/>
              <w:rPr>
                <w:rFonts w:ascii="Tahoma" w:hAnsi="Tahoma" w:cs="Tahoma"/>
              </w:rPr>
            </w:pPr>
            <w:r w:rsidRPr="00BD7CEA">
              <w:rPr>
                <w:rFonts w:ascii="Tahoma" w:hAnsi="Tahoma" w:cs="Tahoma"/>
              </w:rPr>
              <w:t>P</w:t>
            </w:r>
          </w:p>
        </w:tc>
        <w:tc>
          <w:tcPr>
            <w:tcW w:w="429" w:type="dxa"/>
            <w:vMerge/>
            <w:tcBorders>
              <w:bottom w:val="single" w:sz="4" w:space="0" w:color="auto"/>
              <w:right w:val="single" w:sz="18" w:space="0" w:color="auto"/>
            </w:tcBorders>
          </w:tcPr>
          <w:p w:rsidR="00B27742" w:rsidRPr="00BD7CEA" w:rsidRDefault="00B27742">
            <w:pPr>
              <w:widowControl w:val="0"/>
              <w:rPr>
                <w:rFonts w:cs="Tahoma"/>
              </w:rPr>
            </w:pPr>
          </w:p>
        </w:tc>
        <w:tc>
          <w:tcPr>
            <w:tcW w:w="429" w:type="dxa"/>
            <w:vMerge/>
            <w:tcBorders>
              <w:left w:val="single" w:sz="18" w:space="0" w:color="auto"/>
              <w:bottom w:val="single" w:sz="4" w:space="0" w:color="auto"/>
            </w:tcBorders>
          </w:tcPr>
          <w:p w:rsidR="00B27742" w:rsidRPr="00BD7CEA" w:rsidRDefault="00B27742">
            <w:pPr>
              <w:widowControl w:val="0"/>
              <w:rPr>
                <w:rFonts w:cs="Tahoma"/>
              </w:rPr>
            </w:pPr>
          </w:p>
        </w:tc>
        <w:tc>
          <w:tcPr>
            <w:tcW w:w="429" w:type="dxa"/>
            <w:vMerge/>
            <w:tcBorders>
              <w:bottom w:val="single" w:sz="4" w:space="0" w:color="auto"/>
              <w:right w:val="single" w:sz="18" w:space="0" w:color="auto"/>
            </w:tcBorders>
          </w:tcPr>
          <w:p w:rsidR="00B27742" w:rsidRPr="00BD7CEA" w:rsidRDefault="00B27742">
            <w:pPr>
              <w:widowControl w:val="0"/>
              <w:rPr>
                <w:rFonts w:cs="Tahoma"/>
              </w:rPr>
            </w:pPr>
          </w:p>
        </w:tc>
        <w:tc>
          <w:tcPr>
            <w:tcW w:w="429" w:type="dxa"/>
            <w:vMerge/>
            <w:tcBorders>
              <w:left w:val="single" w:sz="18" w:space="0" w:color="auto"/>
              <w:bottom w:val="single" w:sz="4" w:space="0" w:color="auto"/>
              <w:right w:val="single" w:sz="18" w:space="0" w:color="auto"/>
            </w:tcBorders>
          </w:tcPr>
          <w:p w:rsidR="00B27742" w:rsidRPr="00BD7CEA" w:rsidRDefault="00B27742">
            <w:pPr>
              <w:widowControl w:val="0"/>
              <w:rPr>
                <w:rFonts w:cs="Tahoma"/>
              </w:rPr>
            </w:pPr>
          </w:p>
        </w:tc>
        <w:tc>
          <w:tcPr>
            <w:tcW w:w="514" w:type="dxa"/>
            <w:vMerge/>
            <w:tcBorders>
              <w:bottom w:val="single" w:sz="4" w:space="0" w:color="auto"/>
            </w:tcBorders>
          </w:tcPr>
          <w:p w:rsidR="00B27742" w:rsidRPr="00BD7CEA" w:rsidRDefault="00B27742">
            <w:pPr>
              <w:widowControl w:val="0"/>
              <w:rPr>
                <w:rFonts w:cs="Tahoma"/>
              </w:rPr>
            </w:pPr>
          </w:p>
        </w:tc>
        <w:tc>
          <w:tcPr>
            <w:tcW w:w="514" w:type="dxa"/>
            <w:vMerge/>
            <w:tcBorders>
              <w:bottom w:val="single" w:sz="4" w:space="0" w:color="auto"/>
            </w:tcBorders>
          </w:tcPr>
          <w:p w:rsidR="00B27742" w:rsidRPr="00BD7CEA" w:rsidRDefault="00B27742">
            <w:pPr>
              <w:widowControl w:val="0"/>
              <w:rPr>
                <w:rFonts w:cs="Tahoma"/>
              </w:rPr>
            </w:pPr>
          </w:p>
        </w:tc>
      </w:tr>
      <w:tr w:rsidR="00EF228F" w:rsidRPr="00BD7CEA" w:rsidTr="00C60100">
        <w:trPr>
          <w:cantSplit/>
          <w:trHeight w:val="287"/>
        </w:trPr>
        <w:tc>
          <w:tcPr>
            <w:tcW w:w="2638" w:type="dxa"/>
            <w:tcBorders>
              <w:bottom w:val="single" w:sz="4" w:space="0" w:color="auto"/>
            </w:tcBorders>
            <w:shd w:val="clear" w:color="auto" w:fill="FABF8F"/>
            <w:vAlign w:val="center"/>
          </w:tcPr>
          <w:p w:rsidR="00B27742" w:rsidRPr="00BD7CEA" w:rsidRDefault="00B27742" w:rsidP="00E215F4">
            <w:pPr>
              <w:pStyle w:val="ProductNames"/>
              <w:spacing w:beforeLines="20" w:before="48" w:afterLines="20" w:after="48"/>
              <w:rPr>
                <w:rFonts w:ascii="Tahoma" w:hAnsi="Tahoma" w:cs="Tahoma"/>
                <w:sz w:val="14"/>
              </w:rPr>
            </w:pPr>
            <w:bookmarkStart w:id="16" w:name="_Toc336337843"/>
            <w:bookmarkStart w:id="17" w:name="_Toc353375625"/>
            <w:r w:rsidRPr="00BD7CEA">
              <w:rPr>
                <w:rFonts w:ascii="Tahoma" w:hAnsi="Tahoma" w:cs="Tahoma"/>
                <w:sz w:val="14"/>
              </w:rPr>
              <w:t xml:space="preserve">Access </w:t>
            </w:r>
            <w:bookmarkEnd w:id="16"/>
            <w:r w:rsidRPr="00BD7CEA">
              <w:rPr>
                <w:rFonts w:ascii="Tahoma" w:hAnsi="Tahoma" w:cs="Tahoma"/>
                <w:sz w:val="14"/>
              </w:rPr>
              <w:t>2013</w:t>
            </w:r>
            <w:bookmarkEnd w:id="17"/>
          </w:p>
        </w:tc>
        <w:tc>
          <w:tcPr>
            <w:tcW w:w="429" w:type="dxa"/>
            <w:tcBorders>
              <w:bottom w:val="single" w:sz="4" w:space="0" w:color="auto"/>
            </w:tcBorders>
            <w:shd w:val="clear" w:color="auto" w:fill="FABF8F"/>
            <w:vAlign w:val="center"/>
          </w:tcPr>
          <w:p w:rsidR="00B27742" w:rsidRPr="00BD7CEA" w:rsidRDefault="00B27742">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FABF8F"/>
            <w:vAlign w:val="center"/>
          </w:tcPr>
          <w:p w:rsidR="00B27742" w:rsidRPr="00BD7CEA" w:rsidRDefault="00014EAD" w:rsidP="004000C7">
            <w:pPr>
              <w:pStyle w:val="TableText"/>
              <w:widowControl w:val="0"/>
              <w:rPr>
                <w:rFonts w:ascii="Tahoma" w:hAnsi="Tahoma" w:cs="Tahoma"/>
                <w:color w:val="000000"/>
                <w:sz w:val="13"/>
              </w:rPr>
            </w:pPr>
            <w:r w:rsidRPr="00BD7CEA">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BD7CEA" w:rsidRDefault="00B27742" w:rsidP="004B3534">
            <w:pPr>
              <w:pStyle w:val="TableText"/>
              <w:widowControl w:val="0"/>
              <w:rPr>
                <w:rFonts w:ascii="Tahoma" w:hAnsi="Tahoma" w:cs="Tahoma"/>
                <w:color w:val="000000"/>
                <w:sz w:val="13"/>
              </w:rPr>
            </w:pPr>
            <w:r w:rsidRPr="00BD7CEA">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1</w:t>
            </w:r>
          </w:p>
        </w:tc>
        <w:tc>
          <w:tcPr>
            <w:tcW w:w="429" w:type="dxa"/>
            <w:tcBorders>
              <w:bottom w:val="single" w:sz="4" w:space="0" w:color="auto"/>
            </w:tcBorders>
            <w:shd w:val="clear" w:color="auto" w:fill="FABF8F"/>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3</w:t>
            </w:r>
          </w:p>
        </w:tc>
        <w:tc>
          <w:tcPr>
            <w:tcW w:w="429" w:type="dxa"/>
            <w:tcBorders>
              <w:bottom w:val="single" w:sz="4" w:space="0" w:color="auto"/>
            </w:tcBorders>
            <w:shd w:val="clear" w:color="auto" w:fill="FABF8F"/>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2</w:t>
            </w:r>
          </w:p>
        </w:tc>
        <w:tc>
          <w:tcPr>
            <w:tcW w:w="429" w:type="dxa"/>
            <w:tcBorders>
              <w:bottom w:val="single" w:sz="4" w:space="0" w:color="auto"/>
            </w:tcBorders>
            <w:shd w:val="clear" w:color="auto" w:fill="FABF8F"/>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2</w:t>
            </w:r>
          </w:p>
        </w:tc>
        <w:tc>
          <w:tcPr>
            <w:tcW w:w="429" w:type="dxa"/>
            <w:tcBorders>
              <w:bottom w:val="single" w:sz="4" w:space="0" w:color="auto"/>
            </w:tcBorders>
            <w:shd w:val="clear" w:color="auto" w:fill="FABF8F"/>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2</w:t>
            </w:r>
          </w:p>
        </w:tc>
        <w:tc>
          <w:tcPr>
            <w:tcW w:w="429" w:type="dxa"/>
            <w:tcBorders>
              <w:bottom w:val="single" w:sz="4" w:space="0" w:color="auto"/>
            </w:tcBorders>
            <w:shd w:val="clear" w:color="auto" w:fill="FABF8F"/>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1</w:t>
            </w:r>
          </w:p>
        </w:tc>
        <w:tc>
          <w:tcPr>
            <w:tcW w:w="429" w:type="dxa"/>
            <w:tcBorders>
              <w:bottom w:val="single" w:sz="4" w:space="0" w:color="auto"/>
            </w:tcBorders>
            <w:shd w:val="clear" w:color="auto" w:fill="FABF8F"/>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BD7CEA"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BD7CEA"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P</w:t>
            </w:r>
          </w:p>
        </w:tc>
        <w:tc>
          <w:tcPr>
            <w:tcW w:w="514" w:type="dxa"/>
            <w:tcBorders>
              <w:bottom w:val="single" w:sz="4" w:space="0" w:color="auto"/>
            </w:tcBorders>
            <w:shd w:val="clear" w:color="auto" w:fill="FABF8F"/>
          </w:tcPr>
          <w:p w:rsidR="00B27742" w:rsidRPr="00BD7CEA" w:rsidRDefault="00B27742"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BD7CEA" w:rsidRDefault="00B27742" w:rsidP="004B3534">
            <w:pPr>
              <w:pStyle w:val="TableText"/>
              <w:widowControl w:val="0"/>
              <w:rPr>
                <w:rFonts w:ascii="Tahoma" w:hAnsi="Tahoma" w:cs="Tahoma"/>
                <w:sz w:val="13"/>
              </w:rPr>
            </w:pPr>
          </w:p>
        </w:tc>
      </w:tr>
      <w:tr w:rsidR="00EF228F" w:rsidRPr="00BD7CEA" w:rsidTr="00C60100">
        <w:trPr>
          <w:cantSplit/>
          <w:trHeight w:val="287"/>
        </w:trPr>
        <w:tc>
          <w:tcPr>
            <w:tcW w:w="2638" w:type="dxa"/>
            <w:tcBorders>
              <w:bottom w:val="single" w:sz="4" w:space="0" w:color="auto"/>
            </w:tcBorders>
            <w:shd w:val="clear" w:color="auto" w:fill="FFFFFF"/>
            <w:vAlign w:val="center"/>
          </w:tcPr>
          <w:p w:rsidR="00B27742" w:rsidRPr="00BD7CEA" w:rsidRDefault="00B27742" w:rsidP="00E215F4">
            <w:pPr>
              <w:pStyle w:val="ProductNames"/>
              <w:spacing w:beforeLines="20" w:before="48" w:afterLines="20" w:after="48"/>
              <w:rPr>
                <w:rFonts w:ascii="Tahoma" w:hAnsi="Tahoma" w:cs="Tahoma"/>
                <w:sz w:val="14"/>
              </w:rPr>
            </w:pPr>
            <w:bookmarkStart w:id="18" w:name="_Toc336337844"/>
            <w:bookmarkStart w:id="19" w:name="_Toc353375626"/>
            <w:r w:rsidRPr="00BD7CEA">
              <w:rPr>
                <w:rFonts w:ascii="Tahoma" w:hAnsi="Tahoma" w:cs="Tahoma"/>
                <w:sz w:val="14"/>
              </w:rPr>
              <w:t>AutoRoute 2013</w:t>
            </w:r>
            <w:bookmarkEnd w:id="18"/>
            <w:bookmarkEnd w:id="19"/>
          </w:p>
        </w:tc>
        <w:tc>
          <w:tcPr>
            <w:tcW w:w="429" w:type="dxa"/>
            <w:tcBorders>
              <w:bottom w:val="single" w:sz="4" w:space="0" w:color="auto"/>
            </w:tcBorders>
            <w:shd w:val="clear" w:color="auto" w:fill="FFFFFF"/>
            <w:vAlign w:val="center"/>
          </w:tcPr>
          <w:p w:rsidR="00B27742" w:rsidRPr="00BD7CEA" w:rsidRDefault="00B27742">
            <w:pPr>
              <w:pStyle w:val="TableText"/>
              <w:widowControl w:val="0"/>
              <w:rPr>
                <w:rFonts w:cs="Tahoma"/>
                <w:color w:val="0000FF"/>
                <w:sz w:val="13"/>
                <w:szCs w:val="13"/>
                <w:u w:val="single"/>
              </w:rPr>
            </w:pPr>
          </w:p>
        </w:tc>
        <w:tc>
          <w:tcPr>
            <w:tcW w:w="429" w:type="dxa"/>
            <w:tcBorders>
              <w:bottom w:val="single" w:sz="4" w:space="0" w:color="auto"/>
            </w:tcBorders>
            <w:shd w:val="clear" w:color="auto" w:fill="FFFFFF"/>
            <w:vAlign w:val="center"/>
          </w:tcPr>
          <w:p w:rsidR="00B27742" w:rsidRPr="00BD7CEA" w:rsidRDefault="00E64830" w:rsidP="004000C7">
            <w:pPr>
              <w:pStyle w:val="TableText"/>
              <w:widowControl w:val="0"/>
              <w:rPr>
                <w:rFonts w:ascii="Tahoma" w:hAnsi="Tahoma" w:cs="Tahoma"/>
                <w:sz w:val="13"/>
              </w:rPr>
            </w:pPr>
            <w:r w:rsidRPr="00BD7CEA">
              <w:rPr>
                <w:rFonts w:ascii="Tahoma" w:hAnsi="Tahoma" w:cs="Tahoma"/>
                <w:sz w:val="13"/>
              </w:rPr>
              <w:t>10/12</w:t>
            </w:r>
          </w:p>
        </w:tc>
        <w:tc>
          <w:tcPr>
            <w:tcW w:w="429" w:type="dxa"/>
            <w:tcBorders>
              <w:bottom w:val="single" w:sz="4" w:space="0" w:color="auto"/>
              <w:right w:val="single" w:sz="18" w:space="0" w:color="auto"/>
            </w:tcBorders>
            <w:shd w:val="clear" w:color="auto" w:fill="FFFFFF"/>
            <w:vAlign w:val="center"/>
          </w:tcPr>
          <w:p w:rsidR="00B27742" w:rsidRPr="00BD7CEA"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1</w:t>
            </w:r>
          </w:p>
        </w:tc>
        <w:tc>
          <w:tcPr>
            <w:tcW w:w="429" w:type="dxa"/>
            <w:tcBorders>
              <w:bottom w:val="single" w:sz="4" w:space="0" w:color="auto"/>
            </w:tcBorders>
            <w:shd w:val="clear" w:color="auto" w:fill="FFFFFF"/>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3</w:t>
            </w:r>
          </w:p>
        </w:tc>
        <w:tc>
          <w:tcPr>
            <w:tcW w:w="429" w:type="dxa"/>
            <w:tcBorders>
              <w:bottom w:val="single" w:sz="4" w:space="0" w:color="auto"/>
            </w:tcBorders>
            <w:shd w:val="clear" w:color="auto" w:fill="FFFFFF"/>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2</w:t>
            </w:r>
          </w:p>
        </w:tc>
        <w:tc>
          <w:tcPr>
            <w:tcW w:w="429" w:type="dxa"/>
            <w:tcBorders>
              <w:bottom w:val="single" w:sz="4" w:space="0" w:color="auto"/>
            </w:tcBorders>
            <w:shd w:val="clear" w:color="auto" w:fill="FFFFFF"/>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2</w:t>
            </w:r>
          </w:p>
        </w:tc>
        <w:tc>
          <w:tcPr>
            <w:tcW w:w="429" w:type="dxa"/>
            <w:tcBorders>
              <w:bottom w:val="single" w:sz="4" w:space="0" w:color="auto"/>
            </w:tcBorders>
            <w:shd w:val="clear" w:color="auto" w:fill="FFFFFF"/>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2</w:t>
            </w:r>
          </w:p>
        </w:tc>
        <w:tc>
          <w:tcPr>
            <w:tcW w:w="429" w:type="dxa"/>
            <w:tcBorders>
              <w:bottom w:val="single" w:sz="4" w:space="0" w:color="auto"/>
            </w:tcBorders>
            <w:shd w:val="clear" w:color="auto" w:fill="FFFFFF"/>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1</w:t>
            </w:r>
          </w:p>
        </w:tc>
        <w:tc>
          <w:tcPr>
            <w:tcW w:w="429" w:type="dxa"/>
            <w:tcBorders>
              <w:bottom w:val="single" w:sz="4" w:space="0" w:color="auto"/>
            </w:tcBorders>
            <w:shd w:val="clear" w:color="auto" w:fill="FFFFFF"/>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P</w:t>
            </w:r>
          </w:p>
        </w:tc>
        <w:tc>
          <w:tcPr>
            <w:tcW w:w="514" w:type="dxa"/>
            <w:tcBorders>
              <w:bottom w:val="single" w:sz="4" w:space="0" w:color="auto"/>
            </w:tcBorders>
            <w:shd w:val="clear" w:color="auto" w:fill="FFFFFF"/>
            <w:vAlign w:val="center"/>
          </w:tcPr>
          <w:p w:rsidR="00B27742" w:rsidRPr="00BD7CEA" w:rsidRDefault="00F440FF" w:rsidP="00080B33">
            <w:pPr>
              <w:pStyle w:val="TableText"/>
              <w:widowControl w:val="0"/>
              <w:rPr>
                <w:rFonts w:ascii="Tahoma" w:hAnsi="Tahoma" w:cs="Tahoma"/>
                <w:sz w:val="13"/>
              </w:rPr>
            </w:pPr>
            <w:r w:rsidRPr="00BD7CEA">
              <w:rPr>
                <w:rFonts w:ascii="Tahoma" w:hAnsi="Tahoma" w:cs="Tahoma"/>
                <w:sz w:val="13"/>
              </w:rPr>
              <w:t>A</w:t>
            </w:r>
          </w:p>
        </w:tc>
        <w:tc>
          <w:tcPr>
            <w:tcW w:w="514" w:type="dxa"/>
            <w:tcBorders>
              <w:bottom w:val="single" w:sz="4" w:space="0" w:color="auto"/>
            </w:tcBorders>
            <w:shd w:val="clear" w:color="auto" w:fill="FFFFFF"/>
            <w:vAlign w:val="center"/>
          </w:tcPr>
          <w:p w:rsidR="00B27742" w:rsidRPr="00BD7CEA" w:rsidRDefault="00B27742" w:rsidP="004B3534">
            <w:pPr>
              <w:pStyle w:val="TableText"/>
              <w:widowControl w:val="0"/>
              <w:rPr>
                <w:rFonts w:ascii="Tahoma" w:hAnsi="Tahoma" w:cs="Tahoma"/>
                <w:sz w:val="13"/>
              </w:rPr>
            </w:pPr>
          </w:p>
        </w:tc>
      </w:tr>
      <w:tr w:rsidR="00EF228F" w:rsidRPr="00BD7CEA" w:rsidTr="00C60100">
        <w:trPr>
          <w:cantSplit/>
          <w:trHeight w:val="287"/>
        </w:trPr>
        <w:tc>
          <w:tcPr>
            <w:tcW w:w="2638" w:type="dxa"/>
            <w:tcBorders>
              <w:bottom w:val="single" w:sz="4" w:space="0" w:color="auto"/>
            </w:tcBorders>
            <w:shd w:val="clear" w:color="auto" w:fill="FABF8F"/>
            <w:vAlign w:val="center"/>
          </w:tcPr>
          <w:p w:rsidR="00B27742" w:rsidRPr="00BD7CEA" w:rsidRDefault="00B27742" w:rsidP="00E215F4">
            <w:pPr>
              <w:pStyle w:val="ProductNames"/>
              <w:spacing w:beforeLines="20" w:before="48" w:afterLines="20" w:after="48"/>
              <w:rPr>
                <w:rFonts w:ascii="Tahoma" w:hAnsi="Tahoma" w:cs="Tahoma"/>
                <w:sz w:val="14"/>
              </w:rPr>
            </w:pPr>
            <w:bookmarkStart w:id="20" w:name="_Toc336337846"/>
            <w:bookmarkStart w:id="21" w:name="_Toc353375627"/>
            <w:r w:rsidRPr="00BD7CEA">
              <w:rPr>
                <w:rFonts w:ascii="Tahoma" w:hAnsi="Tahoma" w:cs="Tahoma"/>
                <w:sz w:val="14"/>
              </w:rPr>
              <w:t xml:space="preserve">Excel </w:t>
            </w:r>
            <w:bookmarkEnd w:id="20"/>
            <w:r w:rsidRPr="00BD7CEA">
              <w:rPr>
                <w:rFonts w:ascii="Tahoma" w:hAnsi="Tahoma" w:cs="Tahoma"/>
                <w:sz w:val="14"/>
              </w:rPr>
              <w:t>2013</w:t>
            </w:r>
            <w:bookmarkEnd w:id="21"/>
          </w:p>
        </w:tc>
        <w:tc>
          <w:tcPr>
            <w:tcW w:w="429" w:type="dxa"/>
            <w:tcBorders>
              <w:bottom w:val="single" w:sz="4" w:space="0" w:color="auto"/>
            </w:tcBorders>
            <w:shd w:val="clear" w:color="auto" w:fill="FABF8F"/>
            <w:vAlign w:val="center"/>
          </w:tcPr>
          <w:p w:rsidR="00B27742" w:rsidRPr="00BD7CEA" w:rsidRDefault="00B27742">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rsidR="00B27742" w:rsidRPr="00BD7CEA" w:rsidRDefault="00014EAD" w:rsidP="004000C7">
            <w:pPr>
              <w:pStyle w:val="TableText"/>
              <w:widowControl w:val="0"/>
              <w:rPr>
                <w:rFonts w:ascii="Tahoma" w:hAnsi="Tahoma" w:cs="Tahoma"/>
                <w:color w:val="000000"/>
                <w:sz w:val="13"/>
              </w:rPr>
            </w:pPr>
            <w:r w:rsidRPr="00BD7CEA">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BD7CEA" w:rsidRDefault="00B27742" w:rsidP="004B3534">
            <w:pPr>
              <w:pStyle w:val="TableText"/>
              <w:widowControl w:val="0"/>
              <w:rPr>
                <w:rFonts w:ascii="Tahoma" w:hAnsi="Tahoma" w:cs="Tahoma"/>
                <w:color w:val="000000"/>
                <w:sz w:val="13"/>
              </w:rPr>
            </w:pPr>
            <w:r w:rsidRPr="00BD7CEA">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1</w:t>
            </w:r>
          </w:p>
        </w:tc>
        <w:tc>
          <w:tcPr>
            <w:tcW w:w="429" w:type="dxa"/>
            <w:tcBorders>
              <w:bottom w:val="single" w:sz="4" w:space="0" w:color="auto"/>
            </w:tcBorders>
            <w:shd w:val="clear" w:color="auto" w:fill="FABF8F"/>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3</w:t>
            </w:r>
          </w:p>
        </w:tc>
        <w:tc>
          <w:tcPr>
            <w:tcW w:w="429" w:type="dxa"/>
            <w:tcBorders>
              <w:bottom w:val="single" w:sz="4" w:space="0" w:color="auto"/>
            </w:tcBorders>
            <w:shd w:val="clear" w:color="auto" w:fill="FABF8F"/>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2</w:t>
            </w:r>
          </w:p>
        </w:tc>
        <w:tc>
          <w:tcPr>
            <w:tcW w:w="429" w:type="dxa"/>
            <w:tcBorders>
              <w:bottom w:val="single" w:sz="4" w:space="0" w:color="auto"/>
            </w:tcBorders>
            <w:shd w:val="clear" w:color="auto" w:fill="FABF8F"/>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2</w:t>
            </w:r>
          </w:p>
        </w:tc>
        <w:tc>
          <w:tcPr>
            <w:tcW w:w="429" w:type="dxa"/>
            <w:tcBorders>
              <w:bottom w:val="single" w:sz="4" w:space="0" w:color="auto"/>
            </w:tcBorders>
            <w:shd w:val="clear" w:color="auto" w:fill="FABF8F"/>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2</w:t>
            </w:r>
          </w:p>
        </w:tc>
        <w:tc>
          <w:tcPr>
            <w:tcW w:w="429" w:type="dxa"/>
            <w:tcBorders>
              <w:bottom w:val="single" w:sz="4" w:space="0" w:color="auto"/>
            </w:tcBorders>
            <w:shd w:val="clear" w:color="auto" w:fill="FABF8F"/>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1</w:t>
            </w:r>
          </w:p>
        </w:tc>
        <w:tc>
          <w:tcPr>
            <w:tcW w:w="429" w:type="dxa"/>
            <w:tcBorders>
              <w:bottom w:val="single" w:sz="4" w:space="0" w:color="auto"/>
            </w:tcBorders>
            <w:shd w:val="clear" w:color="auto" w:fill="FABF8F"/>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BD7CEA"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BD7CEA"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P</w:t>
            </w:r>
          </w:p>
        </w:tc>
        <w:tc>
          <w:tcPr>
            <w:tcW w:w="514" w:type="dxa"/>
            <w:tcBorders>
              <w:bottom w:val="single" w:sz="4" w:space="0" w:color="auto"/>
            </w:tcBorders>
            <w:shd w:val="clear" w:color="auto" w:fill="FABF8F"/>
            <w:vAlign w:val="center"/>
          </w:tcPr>
          <w:p w:rsidR="00B27742" w:rsidRPr="00BD7CEA"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BD7CEA" w:rsidRDefault="00B27742" w:rsidP="004B3534">
            <w:pPr>
              <w:pStyle w:val="TableText"/>
              <w:widowControl w:val="0"/>
              <w:rPr>
                <w:rFonts w:ascii="Tahoma" w:hAnsi="Tahoma" w:cs="Tahoma"/>
                <w:sz w:val="13"/>
              </w:rPr>
            </w:pPr>
          </w:p>
        </w:tc>
      </w:tr>
      <w:tr w:rsidR="00B33D0E" w:rsidRPr="00BD7CEA" w:rsidTr="007E466C">
        <w:trPr>
          <w:cantSplit/>
          <w:trHeight w:val="278"/>
        </w:trPr>
        <w:tc>
          <w:tcPr>
            <w:tcW w:w="2638" w:type="dxa"/>
            <w:tcBorders>
              <w:bottom w:val="single" w:sz="4" w:space="0" w:color="auto"/>
            </w:tcBorders>
            <w:shd w:val="clear" w:color="auto" w:fill="auto"/>
            <w:vAlign w:val="center"/>
          </w:tcPr>
          <w:p w:rsidR="00B27742" w:rsidRPr="00BD7CEA" w:rsidRDefault="00B27742" w:rsidP="00E215F4">
            <w:pPr>
              <w:pStyle w:val="ProductNames"/>
              <w:spacing w:beforeLines="20" w:before="48" w:afterLines="20" w:after="48"/>
              <w:rPr>
                <w:rFonts w:ascii="Tahoma" w:hAnsi="Tahoma" w:cs="Tahoma"/>
                <w:sz w:val="14"/>
              </w:rPr>
            </w:pPr>
            <w:bookmarkStart w:id="22" w:name="_Toc336337847"/>
            <w:bookmarkStart w:id="23" w:name="_Toc353375628"/>
            <w:r w:rsidRPr="00BD7CEA">
              <w:rPr>
                <w:rFonts w:ascii="Tahoma" w:hAnsi="Tahoma" w:cs="Tahoma"/>
                <w:sz w:val="14"/>
              </w:rPr>
              <w:t>Excel per Mac 2011</w:t>
            </w:r>
            <w:bookmarkEnd w:id="22"/>
            <w:bookmarkEnd w:id="23"/>
          </w:p>
        </w:tc>
        <w:tc>
          <w:tcPr>
            <w:tcW w:w="429" w:type="dxa"/>
            <w:tcBorders>
              <w:bottom w:val="single" w:sz="4" w:space="0" w:color="auto"/>
            </w:tcBorders>
            <w:shd w:val="clear" w:color="auto" w:fill="auto"/>
            <w:vAlign w:val="center"/>
          </w:tcPr>
          <w:p w:rsidR="00B27742" w:rsidRPr="00BD7CEA" w:rsidRDefault="00B27742">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rsidR="00B27742" w:rsidRPr="00BD7CEA" w:rsidRDefault="00B27742" w:rsidP="004000C7">
            <w:pPr>
              <w:pStyle w:val="TableText"/>
              <w:widowControl w:val="0"/>
              <w:rPr>
                <w:rFonts w:ascii="Tahoma" w:hAnsi="Tahoma" w:cs="Tahoma"/>
                <w:color w:val="000000"/>
                <w:sz w:val="13"/>
              </w:rPr>
            </w:pPr>
            <w:r w:rsidRPr="00BD7CEA">
              <w:rPr>
                <w:rFonts w:ascii="Tahoma"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rsidR="00B27742" w:rsidRPr="00BD7CEA" w:rsidRDefault="00B27742" w:rsidP="004B3534">
            <w:pPr>
              <w:pStyle w:val="TableText"/>
              <w:widowControl w:val="0"/>
              <w:rPr>
                <w:rFonts w:ascii="Tahoma" w:hAnsi="Tahoma" w:cs="Tahoma"/>
                <w:color w:val="000000"/>
                <w:sz w:val="13"/>
              </w:rPr>
            </w:pPr>
            <w:r w:rsidRPr="00BD7CEA">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1</w:t>
            </w:r>
          </w:p>
        </w:tc>
        <w:tc>
          <w:tcPr>
            <w:tcW w:w="429" w:type="dxa"/>
            <w:tcBorders>
              <w:bottom w:val="single" w:sz="4" w:space="0" w:color="auto"/>
            </w:tcBorders>
            <w:shd w:val="clear" w:color="auto" w:fill="auto"/>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3</w:t>
            </w:r>
          </w:p>
        </w:tc>
        <w:tc>
          <w:tcPr>
            <w:tcW w:w="429" w:type="dxa"/>
            <w:tcBorders>
              <w:bottom w:val="single" w:sz="4" w:space="0" w:color="auto"/>
            </w:tcBorders>
            <w:shd w:val="clear" w:color="auto" w:fill="auto"/>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2</w:t>
            </w:r>
          </w:p>
        </w:tc>
        <w:tc>
          <w:tcPr>
            <w:tcW w:w="429" w:type="dxa"/>
            <w:tcBorders>
              <w:bottom w:val="single" w:sz="4" w:space="0" w:color="auto"/>
            </w:tcBorders>
            <w:shd w:val="clear" w:color="auto" w:fill="auto"/>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2</w:t>
            </w:r>
          </w:p>
        </w:tc>
        <w:tc>
          <w:tcPr>
            <w:tcW w:w="429" w:type="dxa"/>
            <w:tcBorders>
              <w:bottom w:val="single" w:sz="4" w:space="0" w:color="auto"/>
            </w:tcBorders>
            <w:shd w:val="clear" w:color="auto" w:fill="auto"/>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2</w:t>
            </w:r>
          </w:p>
        </w:tc>
        <w:tc>
          <w:tcPr>
            <w:tcW w:w="429" w:type="dxa"/>
            <w:tcBorders>
              <w:bottom w:val="single" w:sz="4" w:space="0" w:color="auto"/>
            </w:tcBorders>
            <w:shd w:val="clear" w:color="auto" w:fill="auto"/>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1</w:t>
            </w:r>
          </w:p>
        </w:tc>
        <w:tc>
          <w:tcPr>
            <w:tcW w:w="429" w:type="dxa"/>
            <w:tcBorders>
              <w:bottom w:val="single" w:sz="4" w:space="0" w:color="auto"/>
            </w:tcBorders>
            <w:shd w:val="clear" w:color="auto" w:fill="auto"/>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BD7CEA"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B27742" w:rsidRPr="00BD7CEA"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P</w:t>
            </w:r>
          </w:p>
        </w:tc>
        <w:tc>
          <w:tcPr>
            <w:tcW w:w="514" w:type="dxa"/>
            <w:tcBorders>
              <w:bottom w:val="single" w:sz="4" w:space="0" w:color="auto"/>
            </w:tcBorders>
            <w:shd w:val="clear" w:color="auto" w:fill="auto"/>
            <w:vAlign w:val="center"/>
          </w:tcPr>
          <w:p w:rsidR="00B27742" w:rsidRPr="00BD7CEA"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B27742" w:rsidRPr="00BD7CEA" w:rsidRDefault="00B27742" w:rsidP="004B3534">
            <w:pPr>
              <w:pStyle w:val="TableText"/>
              <w:widowControl w:val="0"/>
              <w:rPr>
                <w:rFonts w:ascii="Tahoma" w:hAnsi="Tahoma" w:cs="Tahoma"/>
                <w:sz w:val="13"/>
              </w:rPr>
            </w:pPr>
          </w:p>
        </w:tc>
      </w:tr>
      <w:tr w:rsidR="00EF228F" w:rsidRPr="00BD7CEA" w:rsidTr="00C60100">
        <w:trPr>
          <w:cantSplit/>
          <w:trHeight w:val="287"/>
        </w:trPr>
        <w:tc>
          <w:tcPr>
            <w:tcW w:w="2638" w:type="dxa"/>
            <w:tcBorders>
              <w:bottom w:val="single" w:sz="4" w:space="0" w:color="auto"/>
            </w:tcBorders>
            <w:shd w:val="clear" w:color="auto" w:fill="FABF8F"/>
            <w:vAlign w:val="center"/>
          </w:tcPr>
          <w:p w:rsidR="00B27742" w:rsidRPr="00BD7CEA" w:rsidRDefault="00B27742" w:rsidP="00E215F4">
            <w:pPr>
              <w:pStyle w:val="Heading2"/>
              <w:spacing w:beforeLines="20" w:before="48" w:afterLines="20" w:after="48"/>
              <w:ind w:left="0"/>
              <w:rPr>
                <w:rFonts w:ascii="Tahoma" w:hAnsi="Tahoma" w:cs="Tahoma"/>
                <w:b w:val="0"/>
                <w:sz w:val="14"/>
              </w:rPr>
            </w:pPr>
            <w:bookmarkStart w:id="24" w:name="_Toc336337850"/>
            <w:bookmarkStart w:id="25" w:name="_Toc353375629"/>
            <w:r w:rsidRPr="00BD7CEA">
              <w:rPr>
                <w:rFonts w:ascii="Tahoma" w:hAnsi="Tahoma" w:cs="Tahoma"/>
                <w:b w:val="0"/>
                <w:sz w:val="14"/>
              </w:rPr>
              <w:t>Expression Encoder Pro 4</w:t>
            </w:r>
            <w:bookmarkEnd w:id="24"/>
            <w:bookmarkEnd w:id="25"/>
          </w:p>
        </w:tc>
        <w:tc>
          <w:tcPr>
            <w:tcW w:w="429" w:type="dxa"/>
            <w:tcBorders>
              <w:bottom w:val="single" w:sz="4" w:space="0" w:color="auto"/>
            </w:tcBorders>
            <w:shd w:val="clear" w:color="auto" w:fill="FABF8F"/>
            <w:vAlign w:val="center"/>
          </w:tcPr>
          <w:p w:rsidR="00B27742" w:rsidRPr="00BD7CEA" w:rsidRDefault="006E5080" w:rsidP="00F9515B">
            <w:pPr>
              <w:pStyle w:val="TableText"/>
              <w:widowControl w:val="0"/>
              <w:rPr>
                <w:rStyle w:val="EndnoteReference"/>
                <w:rFonts w:cs="Tahoma"/>
                <w:b w:val="0"/>
                <w:color w:val="0000FF"/>
                <w:sz w:val="13"/>
                <w:szCs w:val="13"/>
                <w:u w:val="single"/>
              </w:rPr>
            </w:pPr>
            <w:hyperlink w:anchor="_12_Expression_Encoder" w:history="1">
              <w:r w:rsidR="00955428" w:rsidRPr="00BD7CEA">
                <w:rPr>
                  <w:rStyle w:val="Hyperlink"/>
                  <w:b/>
                  <w:sz w:val="13"/>
                  <w:szCs w:val="13"/>
                </w:rPr>
                <w:t>1</w:t>
              </w:r>
            </w:hyperlink>
          </w:p>
        </w:tc>
        <w:tc>
          <w:tcPr>
            <w:tcW w:w="429" w:type="dxa"/>
            <w:tcBorders>
              <w:bottom w:val="single" w:sz="4" w:space="0" w:color="auto"/>
            </w:tcBorders>
            <w:shd w:val="clear" w:color="auto" w:fill="FABF8F"/>
            <w:vAlign w:val="center"/>
          </w:tcPr>
          <w:p w:rsidR="00B27742" w:rsidRPr="00BD7CEA" w:rsidRDefault="00913F3F" w:rsidP="004000C7">
            <w:pPr>
              <w:pStyle w:val="TableText"/>
              <w:widowControl w:val="0"/>
              <w:rPr>
                <w:rFonts w:ascii="Tahoma" w:hAnsi="Tahoma" w:cs="Tahoma"/>
                <w:sz w:val="13"/>
              </w:rPr>
            </w:pPr>
            <w:r w:rsidRPr="00BD7CEA">
              <w:rPr>
                <w:rFonts w:ascii="Tahoma" w:hAnsi="Tahoma" w:cs="Tahoma"/>
                <w:sz w:val="13"/>
              </w:rPr>
              <w:t>07/10</w:t>
            </w:r>
          </w:p>
        </w:tc>
        <w:tc>
          <w:tcPr>
            <w:tcW w:w="429" w:type="dxa"/>
            <w:tcBorders>
              <w:bottom w:val="single" w:sz="4" w:space="0" w:color="auto"/>
              <w:right w:val="single" w:sz="18" w:space="0" w:color="auto"/>
            </w:tcBorders>
            <w:shd w:val="clear" w:color="auto" w:fill="FABF8F"/>
            <w:vAlign w:val="center"/>
          </w:tcPr>
          <w:p w:rsidR="00B27742" w:rsidRPr="00BD7CEA" w:rsidRDefault="00B27742" w:rsidP="00F9515B">
            <w:pPr>
              <w:pStyle w:val="TableText"/>
              <w:widowControl w:val="0"/>
              <w:rPr>
                <w:rFonts w:ascii="Tahoma" w:hAnsi="Tahoma" w:cs="Tahoma"/>
                <w:sz w:val="13"/>
              </w:rPr>
            </w:pPr>
            <w:r w:rsidRPr="00BD7CEA">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BD7CEA" w:rsidRDefault="00B27742" w:rsidP="00F9515B">
            <w:pPr>
              <w:pStyle w:val="TableText"/>
              <w:widowControl w:val="0"/>
              <w:rPr>
                <w:rFonts w:ascii="Tahoma" w:hAnsi="Tahoma" w:cs="Tahoma"/>
                <w:sz w:val="13"/>
              </w:rPr>
            </w:pPr>
            <w:r w:rsidRPr="00BD7CEA">
              <w:rPr>
                <w:rFonts w:ascii="Tahoma" w:hAnsi="Tahoma" w:cs="Tahoma"/>
                <w:sz w:val="13"/>
              </w:rPr>
              <w:t>1</w:t>
            </w:r>
          </w:p>
        </w:tc>
        <w:tc>
          <w:tcPr>
            <w:tcW w:w="429" w:type="dxa"/>
            <w:tcBorders>
              <w:bottom w:val="single" w:sz="4" w:space="0" w:color="auto"/>
            </w:tcBorders>
            <w:shd w:val="clear" w:color="auto" w:fill="FABF8F"/>
            <w:vAlign w:val="center"/>
          </w:tcPr>
          <w:p w:rsidR="00B27742" w:rsidRPr="00BD7CEA" w:rsidRDefault="00B27742" w:rsidP="00F9515B">
            <w:pPr>
              <w:pStyle w:val="TableText"/>
              <w:widowControl w:val="0"/>
              <w:rPr>
                <w:rFonts w:ascii="Tahoma" w:hAnsi="Tahoma" w:cs="Tahoma"/>
                <w:sz w:val="13"/>
              </w:rPr>
            </w:pPr>
            <w:r w:rsidRPr="00BD7CEA">
              <w:rPr>
                <w:rFonts w:ascii="Tahoma" w:hAnsi="Tahoma" w:cs="Tahoma"/>
                <w:sz w:val="13"/>
              </w:rPr>
              <w:t>3</w:t>
            </w:r>
          </w:p>
        </w:tc>
        <w:tc>
          <w:tcPr>
            <w:tcW w:w="429" w:type="dxa"/>
            <w:tcBorders>
              <w:bottom w:val="single" w:sz="4" w:space="0" w:color="auto"/>
            </w:tcBorders>
            <w:shd w:val="clear" w:color="auto" w:fill="FABF8F"/>
            <w:vAlign w:val="center"/>
          </w:tcPr>
          <w:p w:rsidR="00B27742" w:rsidRPr="00BD7CEA" w:rsidRDefault="00B27742" w:rsidP="00F9515B">
            <w:pPr>
              <w:pStyle w:val="TableText"/>
              <w:widowControl w:val="0"/>
              <w:rPr>
                <w:rFonts w:ascii="Tahoma" w:hAnsi="Tahoma" w:cs="Tahoma"/>
                <w:sz w:val="13"/>
              </w:rPr>
            </w:pPr>
            <w:r w:rsidRPr="00BD7CEA">
              <w:rPr>
                <w:rFonts w:ascii="Tahoma" w:hAnsi="Tahoma" w:cs="Tahoma"/>
                <w:sz w:val="13"/>
              </w:rPr>
              <w:t>2</w:t>
            </w:r>
          </w:p>
        </w:tc>
        <w:tc>
          <w:tcPr>
            <w:tcW w:w="429" w:type="dxa"/>
            <w:tcBorders>
              <w:bottom w:val="single" w:sz="4" w:space="0" w:color="auto"/>
            </w:tcBorders>
            <w:shd w:val="clear" w:color="auto" w:fill="FABF8F"/>
            <w:vAlign w:val="center"/>
          </w:tcPr>
          <w:p w:rsidR="00B27742" w:rsidRPr="00BD7CEA" w:rsidRDefault="00B27742" w:rsidP="00F9515B">
            <w:pPr>
              <w:pStyle w:val="TableText"/>
              <w:widowControl w:val="0"/>
              <w:rPr>
                <w:rFonts w:ascii="Tahoma" w:hAnsi="Tahoma" w:cs="Tahoma"/>
                <w:sz w:val="13"/>
              </w:rPr>
            </w:pPr>
            <w:r w:rsidRPr="00BD7CEA">
              <w:rPr>
                <w:rFonts w:ascii="Tahoma" w:hAnsi="Tahoma" w:cs="Tahoma"/>
                <w:sz w:val="13"/>
              </w:rPr>
              <w:t>2</w:t>
            </w:r>
          </w:p>
        </w:tc>
        <w:tc>
          <w:tcPr>
            <w:tcW w:w="429" w:type="dxa"/>
            <w:tcBorders>
              <w:bottom w:val="single" w:sz="4" w:space="0" w:color="auto"/>
            </w:tcBorders>
            <w:shd w:val="clear" w:color="auto" w:fill="FABF8F"/>
            <w:vAlign w:val="center"/>
          </w:tcPr>
          <w:p w:rsidR="00B27742" w:rsidRPr="00BD7CEA" w:rsidRDefault="00B27742" w:rsidP="00F9515B">
            <w:pPr>
              <w:pStyle w:val="TableText"/>
              <w:widowControl w:val="0"/>
              <w:rPr>
                <w:rFonts w:ascii="Tahoma" w:hAnsi="Tahoma" w:cs="Tahoma"/>
                <w:sz w:val="13"/>
              </w:rPr>
            </w:pPr>
            <w:r w:rsidRPr="00BD7CEA">
              <w:rPr>
                <w:rFonts w:ascii="Tahoma" w:hAnsi="Tahoma" w:cs="Tahoma"/>
                <w:sz w:val="13"/>
              </w:rPr>
              <w:t>2</w:t>
            </w:r>
          </w:p>
        </w:tc>
        <w:tc>
          <w:tcPr>
            <w:tcW w:w="429" w:type="dxa"/>
            <w:tcBorders>
              <w:bottom w:val="single" w:sz="4" w:space="0" w:color="auto"/>
            </w:tcBorders>
            <w:shd w:val="clear" w:color="auto" w:fill="FABF8F"/>
            <w:vAlign w:val="center"/>
          </w:tcPr>
          <w:p w:rsidR="00B27742" w:rsidRPr="00BD7CEA" w:rsidRDefault="00B27742" w:rsidP="00F9515B">
            <w:pPr>
              <w:pStyle w:val="TableText"/>
              <w:widowControl w:val="0"/>
              <w:rPr>
                <w:rFonts w:ascii="Tahoma" w:hAnsi="Tahoma" w:cs="Tahoma"/>
                <w:sz w:val="13"/>
              </w:rPr>
            </w:pPr>
            <w:r w:rsidRPr="00BD7CEA">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BD7CEA" w:rsidRDefault="00B27742" w:rsidP="00F9515B">
            <w:pPr>
              <w:pStyle w:val="TableText"/>
              <w:widowControl w:val="0"/>
              <w:rPr>
                <w:rFonts w:ascii="Tahoma" w:hAnsi="Tahoma" w:cs="Tahoma"/>
                <w:sz w:val="13"/>
              </w:rPr>
            </w:pPr>
            <w:r w:rsidRPr="00BD7CEA">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BD7CEA" w:rsidRDefault="00B27742" w:rsidP="00F9515B">
            <w:pPr>
              <w:pStyle w:val="TableText"/>
              <w:widowControl w:val="0"/>
              <w:rPr>
                <w:rFonts w:ascii="Tahoma" w:hAnsi="Tahoma" w:cs="Tahoma"/>
                <w:sz w:val="13"/>
              </w:rPr>
            </w:pPr>
            <w:r w:rsidRPr="00BD7CEA">
              <w:rPr>
                <w:rFonts w:ascii="Tahoma" w:hAnsi="Tahoma" w:cs="Tahoma"/>
                <w:sz w:val="13"/>
              </w:rPr>
              <w:t>1</w:t>
            </w:r>
          </w:p>
        </w:tc>
        <w:tc>
          <w:tcPr>
            <w:tcW w:w="429" w:type="dxa"/>
            <w:tcBorders>
              <w:bottom w:val="single" w:sz="4" w:space="0" w:color="auto"/>
            </w:tcBorders>
            <w:shd w:val="clear" w:color="auto" w:fill="FABF8F"/>
            <w:vAlign w:val="center"/>
          </w:tcPr>
          <w:p w:rsidR="00B27742" w:rsidRPr="00BD7CEA" w:rsidRDefault="00B27742" w:rsidP="00F9515B">
            <w:pPr>
              <w:pStyle w:val="TableText"/>
              <w:widowControl w:val="0"/>
              <w:rPr>
                <w:rFonts w:ascii="Tahoma" w:hAnsi="Tahoma" w:cs="Tahoma"/>
                <w:sz w:val="13"/>
              </w:rPr>
            </w:pPr>
            <w:r w:rsidRPr="00BD7CEA">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BD7CEA" w:rsidRDefault="00B27742" w:rsidP="00F9515B">
            <w:pPr>
              <w:pStyle w:val="TableText"/>
              <w:widowControl w:val="0"/>
              <w:rPr>
                <w:rFonts w:ascii="Tahoma" w:hAnsi="Tahoma" w:cs="Tahoma"/>
                <w:sz w:val="13"/>
              </w:rPr>
            </w:pPr>
            <w:r w:rsidRPr="00BD7CEA">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BD7CEA" w:rsidRDefault="00B27742" w:rsidP="00F9515B">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BD7CEA" w:rsidRDefault="00B27742" w:rsidP="00F9515B">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BD7CEA" w:rsidRDefault="00B27742" w:rsidP="00F9515B">
            <w:pPr>
              <w:pStyle w:val="TableText"/>
              <w:widowControl w:val="0"/>
              <w:rPr>
                <w:rFonts w:ascii="Tahoma" w:hAnsi="Tahoma" w:cs="Tahoma"/>
                <w:sz w:val="13"/>
              </w:rPr>
            </w:pPr>
            <w:r w:rsidRPr="00BD7CEA">
              <w:rPr>
                <w:rFonts w:ascii="Tahoma" w:hAnsi="Tahoma" w:cs="Tahoma"/>
                <w:sz w:val="13"/>
              </w:rPr>
              <w:t>P</w:t>
            </w:r>
          </w:p>
        </w:tc>
        <w:tc>
          <w:tcPr>
            <w:tcW w:w="514" w:type="dxa"/>
            <w:tcBorders>
              <w:bottom w:val="single" w:sz="4" w:space="0" w:color="auto"/>
            </w:tcBorders>
            <w:shd w:val="clear" w:color="auto" w:fill="FABF8F"/>
            <w:vAlign w:val="center"/>
          </w:tcPr>
          <w:p w:rsidR="00B27742" w:rsidRPr="00BD7CEA"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BD7CEA" w:rsidRDefault="00B27742" w:rsidP="00F9515B">
            <w:pPr>
              <w:pStyle w:val="TableText"/>
              <w:widowControl w:val="0"/>
              <w:rPr>
                <w:rFonts w:ascii="Tahoma" w:hAnsi="Tahoma" w:cs="Tahoma"/>
                <w:sz w:val="13"/>
              </w:rPr>
            </w:pPr>
          </w:p>
        </w:tc>
      </w:tr>
      <w:tr w:rsidR="00B33D0E" w:rsidRPr="00BD7CEA" w:rsidTr="007E466C">
        <w:trPr>
          <w:cantSplit/>
          <w:trHeight w:val="287"/>
        </w:trPr>
        <w:tc>
          <w:tcPr>
            <w:tcW w:w="2638" w:type="dxa"/>
            <w:tcBorders>
              <w:bottom w:val="single" w:sz="4" w:space="0" w:color="auto"/>
            </w:tcBorders>
            <w:shd w:val="clear" w:color="auto" w:fill="auto"/>
            <w:vAlign w:val="center"/>
          </w:tcPr>
          <w:p w:rsidR="00B27742" w:rsidRPr="00BD7CEA" w:rsidRDefault="00B27742" w:rsidP="00E215F4">
            <w:pPr>
              <w:pStyle w:val="Heading2"/>
              <w:spacing w:beforeLines="20" w:before="48" w:afterLines="20" w:after="48"/>
              <w:ind w:left="0"/>
              <w:rPr>
                <w:rFonts w:ascii="Tahoma" w:hAnsi="Tahoma" w:cs="Tahoma"/>
                <w:b w:val="0"/>
                <w:sz w:val="14"/>
              </w:rPr>
            </w:pPr>
            <w:bookmarkStart w:id="26" w:name="_Toc336337851"/>
            <w:bookmarkStart w:id="27" w:name="_Toc353375630"/>
            <w:r w:rsidRPr="00BD7CEA">
              <w:rPr>
                <w:rFonts w:ascii="Tahoma" w:hAnsi="Tahoma" w:cs="Tahoma"/>
                <w:b w:val="0"/>
                <w:sz w:val="14"/>
              </w:rPr>
              <w:t>GeoSynther 3.0</w:t>
            </w:r>
            <w:bookmarkEnd w:id="26"/>
            <w:bookmarkEnd w:id="27"/>
          </w:p>
        </w:tc>
        <w:tc>
          <w:tcPr>
            <w:tcW w:w="429" w:type="dxa"/>
            <w:tcBorders>
              <w:bottom w:val="single" w:sz="4" w:space="0" w:color="auto"/>
            </w:tcBorders>
            <w:shd w:val="clear" w:color="auto" w:fill="auto"/>
            <w:vAlign w:val="center"/>
          </w:tcPr>
          <w:p w:rsidR="00B27742" w:rsidRPr="00BD7CEA" w:rsidRDefault="00B27742" w:rsidP="00F62B9E">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rsidR="00B27742" w:rsidRPr="00BD7CEA" w:rsidRDefault="00B27742" w:rsidP="004000C7">
            <w:pPr>
              <w:pStyle w:val="TableText"/>
              <w:widowControl w:val="0"/>
              <w:rPr>
                <w:rFonts w:ascii="Tahoma" w:hAnsi="Tahoma" w:cs="Tahoma"/>
                <w:sz w:val="13"/>
              </w:rPr>
            </w:pPr>
            <w:r w:rsidRPr="00BD7CEA">
              <w:rPr>
                <w:rFonts w:ascii="Tahoma" w:hAnsi="Tahoma" w:cs="Tahoma"/>
                <w:sz w:val="13"/>
              </w:rPr>
              <w:t>05/10</w:t>
            </w:r>
          </w:p>
        </w:tc>
        <w:tc>
          <w:tcPr>
            <w:tcW w:w="429" w:type="dxa"/>
            <w:tcBorders>
              <w:bottom w:val="single" w:sz="4" w:space="0" w:color="auto"/>
              <w:right w:val="single" w:sz="18" w:space="0" w:color="auto"/>
            </w:tcBorders>
            <w:shd w:val="clear" w:color="auto" w:fill="auto"/>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B27742" w:rsidRPr="00BD7CEA"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B27742" w:rsidRPr="00BD7CEA"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B27742" w:rsidRPr="00BD7CEA"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B27742" w:rsidRPr="00BD7CEA"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B27742" w:rsidRPr="00BD7CEA"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B27742" w:rsidRPr="00BD7CEA"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B27742" w:rsidRPr="00BD7CEA"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B27742" w:rsidRPr="00BD7CEA"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B27742" w:rsidRPr="00BD7CEA"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B27742" w:rsidRPr="00BD7CEA"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B27742" w:rsidRPr="00BD7CEA"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B27742" w:rsidRPr="00BD7CEA"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B27742" w:rsidRPr="00BD7CEA" w:rsidRDefault="00B27742"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B27742" w:rsidRPr="00BD7CEA" w:rsidRDefault="00F440FF" w:rsidP="00080B33">
            <w:pPr>
              <w:pStyle w:val="TableText"/>
              <w:widowControl w:val="0"/>
              <w:rPr>
                <w:rFonts w:ascii="Tahoma" w:hAnsi="Tahoma" w:cs="Tahoma"/>
                <w:sz w:val="13"/>
              </w:rPr>
            </w:pPr>
            <w:r w:rsidRPr="00BD7CEA">
              <w:rPr>
                <w:rFonts w:ascii="Tahoma" w:hAnsi="Tahoma" w:cs="Tahoma"/>
                <w:sz w:val="13"/>
              </w:rPr>
              <w:t>A</w:t>
            </w:r>
          </w:p>
        </w:tc>
        <w:tc>
          <w:tcPr>
            <w:tcW w:w="514" w:type="dxa"/>
            <w:tcBorders>
              <w:bottom w:val="single" w:sz="4" w:space="0" w:color="auto"/>
            </w:tcBorders>
            <w:shd w:val="clear" w:color="auto" w:fill="auto"/>
            <w:vAlign w:val="center"/>
          </w:tcPr>
          <w:p w:rsidR="00B27742" w:rsidRPr="00BD7CEA" w:rsidRDefault="00B27742" w:rsidP="004B3534">
            <w:pPr>
              <w:pStyle w:val="TableText"/>
              <w:widowControl w:val="0"/>
              <w:rPr>
                <w:rFonts w:ascii="Tahoma" w:hAnsi="Tahoma" w:cs="Tahoma"/>
                <w:sz w:val="13"/>
              </w:rPr>
            </w:pPr>
          </w:p>
        </w:tc>
      </w:tr>
      <w:tr w:rsidR="00EF228F" w:rsidRPr="00BD7CEA" w:rsidTr="00C60100">
        <w:trPr>
          <w:cantSplit/>
          <w:trHeight w:val="287"/>
        </w:trPr>
        <w:tc>
          <w:tcPr>
            <w:tcW w:w="2638" w:type="dxa"/>
            <w:tcBorders>
              <w:bottom w:val="single" w:sz="4" w:space="0" w:color="auto"/>
            </w:tcBorders>
            <w:shd w:val="clear" w:color="auto" w:fill="FABF8F"/>
            <w:vAlign w:val="center"/>
          </w:tcPr>
          <w:p w:rsidR="00B27742" w:rsidRPr="00BD7CEA" w:rsidRDefault="00B27742" w:rsidP="00E215F4">
            <w:pPr>
              <w:pStyle w:val="Heading2"/>
              <w:spacing w:beforeLines="20" w:before="48" w:afterLines="20" w:after="48"/>
              <w:ind w:left="0"/>
              <w:rPr>
                <w:rFonts w:ascii="Tahoma" w:hAnsi="Tahoma" w:cs="Tahoma"/>
                <w:b w:val="0"/>
                <w:sz w:val="14"/>
              </w:rPr>
            </w:pPr>
            <w:bookmarkStart w:id="28" w:name="_Toc336337852"/>
            <w:bookmarkStart w:id="29" w:name="_Toc353375631"/>
            <w:r w:rsidRPr="00BD7CEA">
              <w:rPr>
                <w:rFonts w:ascii="Tahoma" w:hAnsi="Tahoma" w:cs="Tahoma"/>
                <w:b w:val="0"/>
                <w:sz w:val="14"/>
              </w:rPr>
              <w:t>GeoSynth Viewer 3.0</w:t>
            </w:r>
            <w:bookmarkEnd w:id="28"/>
            <w:bookmarkEnd w:id="29"/>
          </w:p>
        </w:tc>
        <w:tc>
          <w:tcPr>
            <w:tcW w:w="429" w:type="dxa"/>
            <w:tcBorders>
              <w:bottom w:val="single" w:sz="4" w:space="0" w:color="auto"/>
            </w:tcBorders>
            <w:shd w:val="clear" w:color="auto" w:fill="FABF8F"/>
            <w:vAlign w:val="center"/>
          </w:tcPr>
          <w:p w:rsidR="00B27742" w:rsidRPr="00BD7CEA" w:rsidRDefault="00B27742" w:rsidP="00F62B9E">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rsidR="00B27742" w:rsidRPr="00BD7CEA" w:rsidRDefault="00B27742" w:rsidP="004000C7">
            <w:pPr>
              <w:pStyle w:val="TableText"/>
              <w:widowControl w:val="0"/>
              <w:rPr>
                <w:rFonts w:ascii="Tahoma" w:hAnsi="Tahoma" w:cs="Tahoma"/>
                <w:sz w:val="13"/>
              </w:rPr>
            </w:pPr>
            <w:r w:rsidRPr="00BD7CEA">
              <w:rPr>
                <w:rFonts w:ascii="Tahoma" w:hAnsi="Tahoma" w:cs="Tahoma"/>
                <w:sz w:val="13"/>
              </w:rPr>
              <w:t>05/10</w:t>
            </w:r>
          </w:p>
        </w:tc>
        <w:tc>
          <w:tcPr>
            <w:tcW w:w="429" w:type="dxa"/>
            <w:tcBorders>
              <w:bottom w:val="single" w:sz="4" w:space="0" w:color="auto"/>
              <w:right w:val="single" w:sz="18" w:space="0" w:color="auto"/>
            </w:tcBorders>
            <w:shd w:val="clear" w:color="auto" w:fill="FABF8F"/>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BD7CEA"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27742" w:rsidRPr="00BD7CEA"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27742" w:rsidRPr="00BD7CEA"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27742" w:rsidRPr="00BD7CEA"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27742" w:rsidRPr="00BD7CEA"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27742" w:rsidRPr="00BD7CEA"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BD7CEA"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B27742" w:rsidRPr="00BD7CEA"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27742" w:rsidRPr="00BD7CEA"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BD7CEA"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B27742" w:rsidRPr="00BD7CEA"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BD7CEA"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BD7CEA" w:rsidRDefault="00B27742"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BD7CEA" w:rsidRDefault="006A33F3" w:rsidP="00080B33">
            <w:pPr>
              <w:pStyle w:val="TableText"/>
              <w:widowControl w:val="0"/>
              <w:rPr>
                <w:rFonts w:ascii="Tahoma" w:hAnsi="Tahoma" w:cs="Tahoma"/>
                <w:sz w:val="13"/>
              </w:rPr>
            </w:pPr>
            <w:r w:rsidRPr="00BD7CEA">
              <w:rPr>
                <w:rFonts w:ascii="Tahoma" w:hAnsi="Tahoma" w:cs="Tahoma"/>
                <w:sz w:val="13"/>
              </w:rPr>
              <w:t>A</w:t>
            </w:r>
          </w:p>
        </w:tc>
        <w:tc>
          <w:tcPr>
            <w:tcW w:w="514" w:type="dxa"/>
            <w:tcBorders>
              <w:bottom w:val="single" w:sz="4" w:space="0" w:color="auto"/>
            </w:tcBorders>
            <w:shd w:val="clear" w:color="auto" w:fill="FABF8F"/>
            <w:vAlign w:val="center"/>
          </w:tcPr>
          <w:p w:rsidR="00B27742" w:rsidRPr="00BD7CEA" w:rsidRDefault="00B27742" w:rsidP="004B3534">
            <w:pPr>
              <w:pStyle w:val="TableText"/>
              <w:widowControl w:val="0"/>
              <w:rPr>
                <w:rFonts w:ascii="Tahoma" w:hAnsi="Tahoma" w:cs="Tahoma"/>
                <w:sz w:val="13"/>
              </w:rPr>
            </w:pPr>
          </w:p>
        </w:tc>
      </w:tr>
      <w:tr w:rsidR="00B33D0E" w:rsidRPr="00BD7CEA" w:rsidTr="007E466C">
        <w:trPr>
          <w:cantSplit/>
          <w:trHeight w:val="287"/>
        </w:trPr>
        <w:tc>
          <w:tcPr>
            <w:tcW w:w="2638" w:type="dxa"/>
            <w:tcBorders>
              <w:bottom w:val="single" w:sz="4" w:space="0" w:color="auto"/>
            </w:tcBorders>
            <w:shd w:val="clear" w:color="auto" w:fill="auto"/>
            <w:vAlign w:val="center"/>
          </w:tcPr>
          <w:p w:rsidR="00B27742" w:rsidRPr="00BD7CEA" w:rsidRDefault="00B27742" w:rsidP="00E215F4">
            <w:pPr>
              <w:pStyle w:val="Heading2"/>
              <w:spacing w:beforeLines="20" w:before="48" w:afterLines="20" w:after="48"/>
              <w:ind w:left="0"/>
              <w:rPr>
                <w:rFonts w:ascii="Tahoma" w:hAnsi="Tahoma" w:cs="Tahoma"/>
                <w:b w:val="0"/>
                <w:sz w:val="14"/>
              </w:rPr>
            </w:pPr>
            <w:bookmarkStart w:id="30" w:name="_Toc336337853"/>
            <w:bookmarkStart w:id="31" w:name="_Toc353375632"/>
            <w:r w:rsidRPr="00BD7CEA">
              <w:rPr>
                <w:rFonts w:ascii="Tahoma" w:hAnsi="Tahoma" w:cs="Tahoma"/>
                <w:b w:val="0"/>
                <w:sz w:val="14"/>
              </w:rPr>
              <w:t>InfoPath</w:t>
            </w:r>
            <w:r w:rsidR="00700C4B" w:rsidRPr="00BD7CEA">
              <w:rPr>
                <w:rFonts w:ascii="Tahoma" w:hAnsi="Tahoma" w:cs="Tahoma"/>
                <w:b w:val="0"/>
                <w:sz w:val="14"/>
                <w:vertAlign w:val="superscript"/>
              </w:rPr>
              <w:t>®</w:t>
            </w:r>
            <w:r w:rsidRPr="00BD7CEA">
              <w:rPr>
                <w:rFonts w:ascii="Tahoma" w:hAnsi="Tahoma" w:cs="Tahoma"/>
                <w:b w:val="0"/>
                <w:sz w:val="14"/>
              </w:rPr>
              <w:t xml:space="preserve"> </w:t>
            </w:r>
            <w:bookmarkEnd w:id="30"/>
            <w:r w:rsidRPr="00BD7CEA">
              <w:rPr>
                <w:rFonts w:ascii="Tahoma" w:hAnsi="Tahoma" w:cs="Tahoma"/>
                <w:b w:val="0"/>
                <w:sz w:val="14"/>
              </w:rPr>
              <w:t>2013</w:t>
            </w:r>
            <w:bookmarkEnd w:id="31"/>
          </w:p>
        </w:tc>
        <w:tc>
          <w:tcPr>
            <w:tcW w:w="429" w:type="dxa"/>
            <w:tcBorders>
              <w:bottom w:val="single" w:sz="4" w:space="0" w:color="auto"/>
            </w:tcBorders>
            <w:shd w:val="clear" w:color="auto" w:fill="auto"/>
            <w:vAlign w:val="center"/>
          </w:tcPr>
          <w:p w:rsidR="00B27742" w:rsidRPr="00BD7CEA" w:rsidRDefault="00B27742">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rsidR="00B27742" w:rsidRPr="00BD7CEA" w:rsidRDefault="00B27742" w:rsidP="004000C7">
            <w:pPr>
              <w:pStyle w:val="TableText"/>
              <w:widowControl w:val="0"/>
              <w:rPr>
                <w:rFonts w:ascii="Tahoma" w:hAnsi="Tahoma" w:cs="Tahoma"/>
                <w:sz w:val="13"/>
              </w:rPr>
            </w:pPr>
            <w:r w:rsidRPr="00BD7CEA">
              <w:rPr>
                <w:rFonts w:ascii="Tahoma" w:hAnsi="Tahoma" w:cs="Tahoma"/>
                <w:sz w:val="13"/>
              </w:rPr>
              <w:t>04/10</w:t>
            </w:r>
          </w:p>
        </w:tc>
        <w:tc>
          <w:tcPr>
            <w:tcW w:w="429" w:type="dxa"/>
            <w:tcBorders>
              <w:bottom w:val="single" w:sz="4" w:space="0" w:color="auto"/>
              <w:right w:val="single" w:sz="18" w:space="0" w:color="auto"/>
            </w:tcBorders>
            <w:shd w:val="clear" w:color="auto" w:fill="auto"/>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1</w:t>
            </w:r>
          </w:p>
        </w:tc>
        <w:tc>
          <w:tcPr>
            <w:tcW w:w="429" w:type="dxa"/>
            <w:tcBorders>
              <w:bottom w:val="single" w:sz="4" w:space="0" w:color="auto"/>
            </w:tcBorders>
            <w:shd w:val="clear" w:color="auto" w:fill="auto"/>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3</w:t>
            </w:r>
          </w:p>
        </w:tc>
        <w:tc>
          <w:tcPr>
            <w:tcW w:w="429" w:type="dxa"/>
            <w:tcBorders>
              <w:bottom w:val="single" w:sz="4" w:space="0" w:color="auto"/>
            </w:tcBorders>
            <w:shd w:val="clear" w:color="auto" w:fill="auto"/>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2</w:t>
            </w:r>
          </w:p>
        </w:tc>
        <w:tc>
          <w:tcPr>
            <w:tcW w:w="429" w:type="dxa"/>
            <w:tcBorders>
              <w:bottom w:val="single" w:sz="4" w:space="0" w:color="auto"/>
            </w:tcBorders>
            <w:shd w:val="clear" w:color="auto" w:fill="auto"/>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2</w:t>
            </w:r>
          </w:p>
        </w:tc>
        <w:tc>
          <w:tcPr>
            <w:tcW w:w="429" w:type="dxa"/>
            <w:tcBorders>
              <w:bottom w:val="single" w:sz="4" w:space="0" w:color="auto"/>
            </w:tcBorders>
            <w:shd w:val="clear" w:color="auto" w:fill="auto"/>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2</w:t>
            </w:r>
          </w:p>
        </w:tc>
        <w:tc>
          <w:tcPr>
            <w:tcW w:w="429" w:type="dxa"/>
            <w:tcBorders>
              <w:bottom w:val="single" w:sz="4" w:space="0" w:color="auto"/>
            </w:tcBorders>
            <w:shd w:val="clear" w:color="auto" w:fill="auto"/>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1</w:t>
            </w:r>
          </w:p>
        </w:tc>
        <w:tc>
          <w:tcPr>
            <w:tcW w:w="429" w:type="dxa"/>
            <w:tcBorders>
              <w:bottom w:val="single" w:sz="4" w:space="0" w:color="auto"/>
            </w:tcBorders>
            <w:shd w:val="clear" w:color="auto" w:fill="auto"/>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BD7CEA"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B27742" w:rsidRPr="00BD7CEA"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P</w:t>
            </w:r>
          </w:p>
        </w:tc>
        <w:tc>
          <w:tcPr>
            <w:tcW w:w="514" w:type="dxa"/>
            <w:tcBorders>
              <w:bottom w:val="single" w:sz="4" w:space="0" w:color="auto"/>
            </w:tcBorders>
            <w:shd w:val="clear" w:color="auto" w:fill="auto"/>
            <w:vAlign w:val="center"/>
          </w:tcPr>
          <w:p w:rsidR="00B27742" w:rsidRPr="00BD7CEA"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B27742" w:rsidRPr="00BD7CEA" w:rsidRDefault="00B27742" w:rsidP="004B3534">
            <w:pPr>
              <w:pStyle w:val="TableText"/>
              <w:widowControl w:val="0"/>
              <w:rPr>
                <w:rFonts w:ascii="Tahoma" w:hAnsi="Tahoma" w:cs="Tahoma"/>
                <w:sz w:val="13"/>
              </w:rPr>
            </w:pPr>
          </w:p>
        </w:tc>
      </w:tr>
      <w:tr w:rsidR="00EF228F" w:rsidRPr="00BD7CEA" w:rsidTr="00C60100">
        <w:trPr>
          <w:cantSplit/>
          <w:trHeight w:val="287"/>
        </w:trPr>
        <w:tc>
          <w:tcPr>
            <w:tcW w:w="2638" w:type="dxa"/>
            <w:tcBorders>
              <w:bottom w:val="single" w:sz="4" w:space="0" w:color="auto"/>
            </w:tcBorders>
            <w:shd w:val="clear" w:color="auto" w:fill="FABF8F"/>
            <w:vAlign w:val="center"/>
          </w:tcPr>
          <w:p w:rsidR="00B27742" w:rsidRPr="00BD7CEA" w:rsidRDefault="00B27742" w:rsidP="00E215F4">
            <w:pPr>
              <w:pStyle w:val="Heading2"/>
              <w:spacing w:beforeLines="20" w:before="48" w:afterLines="20" w:after="48"/>
              <w:ind w:left="0"/>
              <w:rPr>
                <w:rFonts w:ascii="Tahoma" w:hAnsi="Tahoma" w:cs="Tahoma"/>
                <w:b w:val="0"/>
                <w:sz w:val="14"/>
              </w:rPr>
            </w:pPr>
            <w:bookmarkStart w:id="32" w:name="_Toc336337854"/>
            <w:bookmarkStart w:id="33" w:name="_Toc353375633"/>
            <w:r w:rsidRPr="00BD7CEA">
              <w:rPr>
                <w:rFonts w:ascii="Tahoma" w:hAnsi="Tahoma" w:cs="Tahoma"/>
                <w:b w:val="0"/>
                <w:sz w:val="14"/>
              </w:rPr>
              <w:t xml:space="preserve">Lync </w:t>
            </w:r>
            <w:bookmarkEnd w:id="32"/>
            <w:r w:rsidRPr="00BD7CEA">
              <w:rPr>
                <w:rFonts w:ascii="Tahoma" w:hAnsi="Tahoma" w:cs="Tahoma"/>
                <w:b w:val="0"/>
                <w:sz w:val="14"/>
              </w:rPr>
              <w:t>2013</w:t>
            </w:r>
            <w:bookmarkEnd w:id="33"/>
          </w:p>
        </w:tc>
        <w:tc>
          <w:tcPr>
            <w:tcW w:w="429" w:type="dxa"/>
            <w:tcBorders>
              <w:bottom w:val="single" w:sz="4" w:space="0" w:color="auto"/>
            </w:tcBorders>
            <w:shd w:val="clear" w:color="auto" w:fill="FABF8F"/>
            <w:vAlign w:val="center"/>
          </w:tcPr>
          <w:p w:rsidR="00B27742" w:rsidRPr="00BD7CEA" w:rsidRDefault="00B27742">
            <w:pPr>
              <w:pStyle w:val="TableText"/>
              <w:widowControl w:val="0"/>
              <w:rPr>
                <w:rStyle w:val="EndnoteReference"/>
                <w:b w:val="0"/>
                <w:color w:val="0000FF"/>
                <w:sz w:val="13"/>
                <w:szCs w:val="13"/>
                <w:u w:val="single"/>
              </w:rPr>
            </w:pPr>
            <w:bookmarkStart w:id="34" w:name="_Hlt301882262"/>
            <w:bookmarkStart w:id="35" w:name="_Hlt336250688"/>
          </w:p>
        </w:tc>
        <w:bookmarkEnd w:id="34"/>
        <w:bookmarkEnd w:id="35"/>
        <w:tc>
          <w:tcPr>
            <w:tcW w:w="429" w:type="dxa"/>
            <w:tcBorders>
              <w:bottom w:val="single" w:sz="4" w:space="0" w:color="auto"/>
            </w:tcBorders>
            <w:shd w:val="clear" w:color="auto" w:fill="FABF8F"/>
            <w:vAlign w:val="center"/>
          </w:tcPr>
          <w:p w:rsidR="00B27742" w:rsidRPr="00BD7CEA" w:rsidRDefault="00B27742" w:rsidP="004000C7">
            <w:pPr>
              <w:pStyle w:val="TableText"/>
              <w:widowControl w:val="0"/>
              <w:rPr>
                <w:rFonts w:ascii="Tahoma" w:hAnsi="Tahoma" w:cs="Tahoma"/>
                <w:sz w:val="13"/>
              </w:rPr>
            </w:pPr>
            <w:r w:rsidRPr="00BD7CEA">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1</w:t>
            </w:r>
          </w:p>
        </w:tc>
        <w:tc>
          <w:tcPr>
            <w:tcW w:w="429" w:type="dxa"/>
            <w:tcBorders>
              <w:bottom w:val="single" w:sz="4" w:space="0" w:color="auto"/>
            </w:tcBorders>
            <w:shd w:val="clear" w:color="auto" w:fill="FABF8F"/>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3</w:t>
            </w:r>
          </w:p>
        </w:tc>
        <w:tc>
          <w:tcPr>
            <w:tcW w:w="429" w:type="dxa"/>
            <w:tcBorders>
              <w:bottom w:val="single" w:sz="4" w:space="0" w:color="auto"/>
            </w:tcBorders>
            <w:shd w:val="clear" w:color="auto" w:fill="FABF8F"/>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2</w:t>
            </w:r>
          </w:p>
        </w:tc>
        <w:tc>
          <w:tcPr>
            <w:tcW w:w="429" w:type="dxa"/>
            <w:tcBorders>
              <w:bottom w:val="single" w:sz="4" w:space="0" w:color="auto"/>
            </w:tcBorders>
            <w:shd w:val="clear" w:color="auto" w:fill="FABF8F"/>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2</w:t>
            </w:r>
          </w:p>
        </w:tc>
        <w:tc>
          <w:tcPr>
            <w:tcW w:w="429" w:type="dxa"/>
            <w:tcBorders>
              <w:bottom w:val="single" w:sz="4" w:space="0" w:color="auto"/>
            </w:tcBorders>
            <w:shd w:val="clear" w:color="auto" w:fill="FABF8F"/>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2</w:t>
            </w:r>
          </w:p>
        </w:tc>
        <w:tc>
          <w:tcPr>
            <w:tcW w:w="429" w:type="dxa"/>
            <w:tcBorders>
              <w:bottom w:val="single" w:sz="4" w:space="0" w:color="auto"/>
            </w:tcBorders>
            <w:shd w:val="clear" w:color="auto" w:fill="FABF8F"/>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1</w:t>
            </w:r>
          </w:p>
        </w:tc>
        <w:tc>
          <w:tcPr>
            <w:tcW w:w="429" w:type="dxa"/>
            <w:tcBorders>
              <w:bottom w:val="single" w:sz="4" w:space="0" w:color="auto"/>
            </w:tcBorders>
            <w:shd w:val="clear" w:color="auto" w:fill="FABF8F"/>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P</w:t>
            </w:r>
          </w:p>
        </w:tc>
        <w:tc>
          <w:tcPr>
            <w:tcW w:w="514" w:type="dxa"/>
            <w:tcBorders>
              <w:bottom w:val="single" w:sz="4" w:space="0" w:color="auto"/>
            </w:tcBorders>
            <w:shd w:val="clear" w:color="auto" w:fill="FABF8F"/>
            <w:vAlign w:val="center"/>
          </w:tcPr>
          <w:p w:rsidR="00B27742" w:rsidRPr="00BD7CEA" w:rsidRDefault="00F440FF" w:rsidP="00080B33">
            <w:pPr>
              <w:pStyle w:val="TableText"/>
              <w:widowControl w:val="0"/>
              <w:rPr>
                <w:rFonts w:ascii="Tahoma" w:hAnsi="Tahoma" w:cs="Tahoma"/>
                <w:sz w:val="13"/>
              </w:rPr>
            </w:pPr>
            <w:r w:rsidRPr="00BD7CEA">
              <w:rPr>
                <w:rFonts w:ascii="Tahoma" w:hAnsi="Tahoma" w:cs="Tahoma"/>
                <w:sz w:val="13"/>
              </w:rPr>
              <w:t>A, ST</w:t>
            </w:r>
          </w:p>
        </w:tc>
        <w:tc>
          <w:tcPr>
            <w:tcW w:w="514" w:type="dxa"/>
            <w:tcBorders>
              <w:bottom w:val="single" w:sz="4" w:space="0" w:color="auto"/>
            </w:tcBorders>
            <w:shd w:val="clear" w:color="auto" w:fill="FABF8F"/>
            <w:vAlign w:val="center"/>
          </w:tcPr>
          <w:p w:rsidR="00B27742" w:rsidRPr="00BD7CEA" w:rsidRDefault="00B27742" w:rsidP="004B3534">
            <w:pPr>
              <w:pStyle w:val="TableText"/>
              <w:widowControl w:val="0"/>
              <w:rPr>
                <w:rFonts w:ascii="Tahoma" w:hAnsi="Tahoma" w:cs="Tahoma"/>
                <w:sz w:val="13"/>
              </w:rPr>
            </w:pPr>
          </w:p>
        </w:tc>
      </w:tr>
      <w:tr w:rsidR="00B33D0E" w:rsidRPr="00BD7CEA" w:rsidTr="007E466C">
        <w:trPr>
          <w:cantSplit/>
          <w:trHeight w:val="287"/>
        </w:trPr>
        <w:tc>
          <w:tcPr>
            <w:tcW w:w="2638" w:type="dxa"/>
            <w:tcBorders>
              <w:bottom w:val="single" w:sz="4" w:space="0" w:color="auto"/>
            </w:tcBorders>
            <w:shd w:val="clear" w:color="auto" w:fill="auto"/>
            <w:vAlign w:val="center"/>
          </w:tcPr>
          <w:p w:rsidR="00CA606E" w:rsidRPr="00BD7CEA" w:rsidRDefault="00CA606E" w:rsidP="00E215F4">
            <w:pPr>
              <w:pStyle w:val="Heading2"/>
              <w:spacing w:beforeLines="20" w:before="48" w:afterLines="20" w:after="48"/>
              <w:ind w:left="0"/>
              <w:rPr>
                <w:rFonts w:ascii="Tahoma" w:hAnsi="Tahoma" w:cs="Tahoma"/>
                <w:b w:val="0"/>
                <w:sz w:val="14"/>
              </w:rPr>
            </w:pPr>
            <w:bookmarkStart w:id="36" w:name="_Toc336337855"/>
            <w:bookmarkStart w:id="37" w:name="_Toc353375634"/>
            <w:r w:rsidRPr="00BD7CEA">
              <w:rPr>
                <w:rFonts w:ascii="Tahoma" w:hAnsi="Tahoma" w:cs="Tahoma"/>
                <w:b w:val="0"/>
                <w:sz w:val="14"/>
              </w:rPr>
              <w:t>Lync per Mac 2011</w:t>
            </w:r>
            <w:bookmarkEnd w:id="36"/>
            <w:bookmarkEnd w:id="37"/>
          </w:p>
        </w:tc>
        <w:tc>
          <w:tcPr>
            <w:tcW w:w="429" w:type="dxa"/>
            <w:tcBorders>
              <w:bottom w:val="single" w:sz="4" w:space="0" w:color="auto"/>
            </w:tcBorders>
            <w:shd w:val="clear" w:color="auto" w:fill="auto"/>
            <w:vAlign w:val="center"/>
          </w:tcPr>
          <w:p w:rsidR="00CA606E" w:rsidRPr="00BD7CEA" w:rsidRDefault="006E5080" w:rsidP="009832D3">
            <w:pPr>
              <w:pStyle w:val="TableText"/>
              <w:widowControl w:val="0"/>
              <w:rPr>
                <w:rStyle w:val="EndnoteReference"/>
                <w:b w:val="0"/>
                <w:color w:val="0000FF"/>
                <w:sz w:val="13"/>
                <w:szCs w:val="13"/>
                <w:u w:val="single"/>
              </w:rPr>
            </w:pPr>
            <w:hyperlink w:anchor="_23_Lync_for" w:history="1">
              <w:r w:rsidR="00955428" w:rsidRPr="00BD7CEA">
                <w:rPr>
                  <w:rStyle w:val="Hyperlink"/>
                  <w:b/>
                  <w:sz w:val="13"/>
                  <w:szCs w:val="13"/>
                </w:rPr>
                <w:t>2</w:t>
              </w:r>
            </w:hyperlink>
          </w:p>
        </w:tc>
        <w:tc>
          <w:tcPr>
            <w:tcW w:w="429" w:type="dxa"/>
            <w:tcBorders>
              <w:bottom w:val="single" w:sz="4" w:space="0" w:color="auto"/>
            </w:tcBorders>
            <w:shd w:val="clear" w:color="auto" w:fill="auto"/>
            <w:vAlign w:val="center"/>
          </w:tcPr>
          <w:p w:rsidR="00CA606E" w:rsidRPr="00BD7CEA" w:rsidRDefault="00C4684B" w:rsidP="004000C7">
            <w:pPr>
              <w:pStyle w:val="TableText"/>
              <w:widowControl w:val="0"/>
              <w:rPr>
                <w:rFonts w:ascii="Tahoma" w:hAnsi="Tahoma" w:cs="Tahoma"/>
                <w:sz w:val="13"/>
              </w:rPr>
            </w:pPr>
            <w:r w:rsidRPr="00BD7CEA">
              <w:rPr>
                <w:rFonts w:ascii="Tahoma" w:hAnsi="Tahoma" w:cs="Tahoma"/>
                <w:sz w:val="13"/>
              </w:rPr>
              <w:t>10/11</w:t>
            </w:r>
          </w:p>
        </w:tc>
        <w:tc>
          <w:tcPr>
            <w:tcW w:w="429" w:type="dxa"/>
            <w:tcBorders>
              <w:bottom w:val="single" w:sz="4" w:space="0" w:color="auto"/>
              <w:right w:val="single" w:sz="18" w:space="0" w:color="auto"/>
            </w:tcBorders>
            <w:shd w:val="clear" w:color="auto" w:fill="auto"/>
            <w:vAlign w:val="center"/>
          </w:tcPr>
          <w:p w:rsidR="00CA606E" w:rsidRPr="00BD7CEA" w:rsidRDefault="00CA606E" w:rsidP="00703595">
            <w:pPr>
              <w:pStyle w:val="TableText"/>
              <w:widowControl w:val="0"/>
              <w:rPr>
                <w:rFonts w:ascii="Tahoma" w:hAnsi="Tahoma" w:cs="Tahoma"/>
                <w:sz w:val="13"/>
              </w:rPr>
            </w:pPr>
            <w:r w:rsidRPr="00BD7CEA">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A606E" w:rsidRPr="00BD7CEA" w:rsidRDefault="00CA606E" w:rsidP="00703595">
            <w:pPr>
              <w:pStyle w:val="TableText"/>
              <w:widowControl w:val="0"/>
              <w:rPr>
                <w:rFonts w:ascii="Tahoma" w:hAnsi="Tahoma" w:cs="Tahoma"/>
                <w:sz w:val="13"/>
              </w:rPr>
            </w:pPr>
            <w:r w:rsidRPr="00BD7CEA">
              <w:rPr>
                <w:rFonts w:ascii="Tahoma" w:hAnsi="Tahoma" w:cs="Tahoma"/>
                <w:sz w:val="13"/>
              </w:rPr>
              <w:t>1</w:t>
            </w:r>
          </w:p>
        </w:tc>
        <w:tc>
          <w:tcPr>
            <w:tcW w:w="429" w:type="dxa"/>
            <w:tcBorders>
              <w:bottom w:val="single" w:sz="4" w:space="0" w:color="auto"/>
            </w:tcBorders>
            <w:shd w:val="clear" w:color="auto" w:fill="auto"/>
            <w:vAlign w:val="center"/>
          </w:tcPr>
          <w:p w:rsidR="00CA606E" w:rsidRPr="00BD7CEA" w:rsidRDefault="00CA606E" w:rsidP="00703595">
            <w:pPr>
              <w:pStyle w:val="TableText"/>
              <w:widowControl w:val="0"/>
              <w:rPr>
                <w:rFonts w:ascii="Tahoma" w:hAnsi="Tahoma" w:cs="Tahoma"/>
                <w:sz w:val="13"/>
              </w:rPr>
            </w:pPr>
            <w:r w:rsidRPr="00BD7CEA">
              <w:rPr>
                <w:rFonts w:ascii="Tahoma" w:hAnsi="Tahoma" w:cs="Tahoma"/>
                <w:sz w:val="13"/>
              </w:rPr>
              <w:t>3</w:t>
            </w:r>
          </w:p>
        </w:tc>
        <w:tc>
          <w:tcPr>
            <w:tcW w:w="429" w:type="dxa"/>
            <w:tcBorders>
              <w:bottom w:val="single" w:sz="4" w:space="0" w:color="auto"/>
            </w:tcBorders>
            <w:shd w:val="clear" w:color="auto" w:fill="auto"/>
            <w:vAlign w:val="center"/>
          </w:tcPr>
          <w:p w:rsidR="00CA606E" w:rsidRPr="00BD7CEA" w:rsidRDefault="00CA606E" w:rsidP="00703595">
            <w:pPr>
              <w:pStyle w:val="TableText"/>
              <w:widowControl w:val="0"/>
              <w:rPr>
                <w:rFonts w:ascii="Tahoma" w:hAnsi="Tahoma" w:cs="Tahoma"/>
                <w:sz w:val="13"/>
              </w:rPr>
            </w:pPr>
            <w:r w:rsidRPr="00BD7CEA">
              <w:rPr>
                <w:rFonts w:ascii="Tahoma" w:hAnsi="Tahoma" w:cs="Tahoma"/>
                <w:sz w:val="13"/>
              </w:rPr>
              <w:t>2</w:t>
            </w:r>
          </w:p>
        </w:tc>
        <w:tc>
          <w:tcPr>
            <w:tcW w:w="429" w:type="dxa"/>
            <w:tcBorders>
              <w:bottom w:val="single" w:sz="4" w:space="0" w:color="auto"/>
            </w:tcBorders>
            <w:shd w:val="clear" w:color="auto" w:fill="auto"/>
            <w:vAlign w:val="center"/>
          </w:tcPr>
          <w:p w:rsidR="00CA606E" w:rsidRPr="00BD7CEA" w:rsidRDefault="00CA606E" w:rsidP="00703595">
            <w:pPr>
              <w:pStyle w:val="TableText"/>
              <w:widowControl w:val="0"/>
              <w:rPr>
                <w:rFonts w:ascii="Tahoma" w:hAnsi="Tahoma" w:cs="Tahoma"/>
                <w:sz w:val="13"/>
              </w:rPr>
            </w:pPr>
            <w:r w:rsidRPr="00BD7CEA">
              <w:rPr>
                <w:rFonts w:ascii="Tahoma" w:hAnsi="Tahoma" w:cs="Tahoma"/>
                <w:sz w:val="13"/>
              </w:rPr>
              <w:t>2</w:t>
            </w:r>
          </w:p>
        </w:tc>
        <w:tc>
          <w:tcPr>
            <w:tcW w:w="429" w:type="dxa"/>
            <w:tcBorders>
              <w:bottom w:val="single" w:sz="4" w:space="0" w:color="auto"/>
            </w:tcBorders>
            <w:shd w:val="clear" w:color="auto" w:fill="auto"/>
            <w:vAlign w:val="center"/>
          </w:tcPr>
          <w:p w:rsidR="00CA606E" w:rsidRPr="00BD7CEA" w:rsidRDefault="00CA606E" w:rsidP="00703595">
            <w:pPr>
              <w:pStyle w:val="TableText"/>
              <w:widowControl w:val="0"/>
              <w:rPr>
                <w:rFonts w:ascii="Tahoma" w:hAnsi="Tahoma" w:cs="Tahoma"/>
                <w:sz w:val="13"/>
              </w:rPr>
            </w:pPr>
            <w:r w:rsidRPr="00BD7CEA">
              <w:rPr>
                <w:rFonts w:ascii="Tahoma" w:hAnsi="Tahoma" w:cs="Tahoma"/>
                <w:sz w:val="13"/>
              </w:rPr>
              <w:t>2</w:t>
            </w:r>
          </w:p>
        </w:tc>
        <w:tc>
          <w:tcPr>
            <w:tcW w:w="429" w:type="dxa"/>
            <w:tcBorders>
              <w:bottom w:val="single" w:sz="4" w:space="0" w:color="auto"/>
            </w:tcBorders>
            <w:shd w:val="clear" w:color="auto" w:fill="auto"/>
            <w:vAlign w:val="center"/>
          </w:tcPr>
          <w:p w:rsidR="00CA606E" w:rsidRPr="00BD7CEA" w:rsidRDefault="00CA606E" w:rsidP="00703595">
            <w:pPr>
              <w:pStyle w:val="TableText"/>
              <w:widowControl w:val="0"/>
              <w:rPr>
                <w:rFonts w:ascii="Tahoma" w:hAnsi="Tahoma" w:cs="Tahoma"/>
                <w:sz w:val="13"/>
              </w:rPr>
            </w:pPr>
            <w:r w:rsidRPr="00BD7CEA">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A606E" w:rsidRPr="00BD7CEA" w:rsidRDefault="00CA606E" w:rsidP="00703595">
            <w:pPr>
              <w:pStyle w:val="TableText"/>
              <w:widowControl w:val="0"/>
              <w:rPr>
                <w:rFonts w:ascii="Tahoma" w:hAnsi="Tahoma" w:cs="Tahoma"/>
                <w:sz w:val="13"/>
              </w:rPr>
            </w:pPr>
            <w:r w:rsidRPr="00BD7CEA">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A606E" w:rsidRPr="00BD7CEA" w:rsidRDefault="00CA606E" w:rsidP="00703595">
            <w:pPr>
              <w:pStyle w:val="TableText"/>
              <w:widowControl w:val="0"/>
              <w:rPr>
                <w:rFonts w:ascii="Tahoma" w:hAnsi="Tahoma" w:cs="Tahoma"/>
                <w:sz w:val="13"/>
              </w:rPr>
            </w:pPr>
            <w:r w:rsidRPr="00BD7CEA">
              <w:rPr>
                <w:rFonts w:ascii="Tahoma" w:hAnsi="Tahoma" w:cs="Tahoma"/>
                <w:sz w:val="13"/>
              </w:rPr>
              <w:t>1</w:t>
            </w:r>
          </w:p>
        </w:tc>
        <w:tc>
          <w:tcPr>
            <w:tcW w:w="429" w:type="dxa"/>
            <w:tcBorders>
              <w:bottom w:val="single" w:sz="4" w:space="0" w:color="auto"/>
            </w:tcBorders>
            <w:shd w:val="clear" w:color="auto" w:fill="auto"/>
            <w:vAlign w:val="center"/>
          </w:tcPr>
          <w:p w:rsidR="00CA606E" w:rsidRPr="00BD7CEA" w:rsidRDefault="00CA606E" w:rsidP="00703595">
            <w:pPr>
              <w:pStyle w:val="TableText"/>
              <w:widowControl w:val="0"/>
              <w:rPr>
                <w:rFonts w:ascii="Tahoma" w:hAnsi="Tahoma" w:cs="Tahoma"/>
                <w:sz w:val="13"/>
              </w:rPr>
            </w:pPr>
            <w:r w:rsidRPr="00BD7CEA">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A606E" w:rsidRPr="00BD7CEA" w:rsidRDefault="00CA606E" w:rsidP="00703595">
            <w:pPr>
              <w:pStyle w:val="TableText"/>
              <w:widowControl w:val="0"/>
              <w:rPr>
                <w:rFonts w:ascii="Tahoma" w:hAnsi="Tahoma" w:cs="Tahoma"/>
                <w:sz w:val="13"/>
              </w:rPr>
            </w:pPr>
            <w:r w:rsidRPr="00BD7CEA">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A606E" w:rsidRPr="00BD7CEA" w:rsidRDefault="00CA606E" w:rsidP="00703595">
            <w:pPr>
              <w:pStyle w:val="TableText"/>
              <w:widowControl w:val="0"/>
              <w:rPr>
                <w:rFonts w:ascii="Tahoma" w:hAnsi="Tahoma" w:cs="Tahoma"/>
                <w:sz w:val="13"/>
              </w:rPr>
            </w:pPr>
            <w:r w:rsidRPr="00BD7CEA">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A606E" w:rsidRPr="00BD7CEA" w:rsidRDefault="00CA606E" w:rsidP="00703595">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A606E" w:rsidRPr="00BD7CEA" w:rsidRDefault="00CA606E" w:rsidP="00703595">
            <w:pPr>
              <w:pStyle w:val="TableText"/>
              <w:widowControl w:val="0"/>
              <w:rPr>
                <w:rFonts w:ascii="Tahoma" w:hAnsi="Tahoma" w:cs="Tahoma"/>
                <w:sz w:val="13"/>
              </w:rPr>
            </w:pPr>
            <w:r w:rsidRPr="00BD7CEA">
              <w:rPr>
                <w:rFonts w:ascii="Tahoma" w:hAnsi="Tahoma" w:cs="Tahoma"/>
                <w:sz w:val="13"/>
              </w:rPr>
              <w:t>P</w:t>
            </w:r>
          </w:p>
        </w:tc>
        <w:tc>
          <w:tcPr>
            <w:tcW w:w="514" w:type="dxa"/>
            <w:tcBorders>
              <w:bottom w:val="single" w:sz="4" w:space="0" w:color="auto"/>
            </w:tcBorders>
            <w:shd w:val="clear" w:color="auto" w:fill="auto"/>
            <w:vAlign w:val="center"/>
          </w:tcPr>
          <w:p w:rsidR="00CA606E" w:rsidRPr="00BD7CEA" w:rsidRDefault="00CA606E"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A606E" w:rsidRPr="00BD7CEA" w:rsidRDefault="00CA606E" w:rsidP="00703595">
            <w:pPr>
              <w:pStyle w:val="TableText"/>
              <w:widowControl w:val="0"/>
              <w:rPr>
                <w:rFonts w:ascii="Tahoma" w:hAnsi="Tahoma" w:cs="Tahoma"/>
                <w:sz w:val="13"/>
              </w:rPr>
            </w:pPr>
          </w:p>
        </w:tc>
      </w:tr>
      <w:tr w:rsidR="00EF228F" w:rsidRPr="00BD7CEA" w:rsidTr="00C60100">
        <w:trPr>
          <w:cantSplit/>
          <w:trHeight w:val="287"/>
        </w:trPr>
        <w:tc>
          <w:tcPr>
            <w:tcW w:w="2638" w:type="dxa"/>
            <w:tcBorders>
              <w:bottom w:val="single" w:sz="4" w:space="0" w:color="auto"/>
            </w:tcBorders>
            <w:shd w:val="clear" w:color="auto" w:fill="FABF8F"/>
            <w:vAlign w:val="center"/>
          </w:tcPr>
          <w:p w:rsidR="00B27742" w:rsidRPr="00BD7CEA" w:rsidRDefault="00B27742" w:rsidP="00E215F4">
            <w:pPr>
              <w:pStyle w:val="Heading2"/>
              <w:spacing w:beforeLines="20" w:before="48" w:afterLines="20" w:after="48"/>
              <w:ind w:left="0"/>
              <w:rPr>
                <w:rFonts w:ascii="Tahoma" w:hAnsi="Tahoma" w:cs="Tahoma"/>
                <w:b w:val="0"/>
                <w:sz w:val="14"/>
              </w:rPr>
            </w:pPr>
            <w:bookmarkStart w:id="38" w:name="_Toc235859737"/>
            <w:bookmarkStart w:id="39" w:name="_Toc336337856"/>
            <w:bookmarkStart w:id="40" w:name="_Toc353375635"/>
            <w:r w:rsidRPr="00BD7CEA">
              <w:rPr>
                <w:rFonts w:ascii="Tahoma" w:hAnsi="Tahoma" w:cs="Tahoma"/>
                <w:b w:val="0"/>
                <w:sz w:val="14"/>
              </w:rPr>
              <w:t>MapPoint</w:t>
            </w:r>
            <w:r w:rsidR="00700C4B" w:rsidRPr="00BD7CEA">
              <w:rPr>
                <w:rFonts w:ascii="Tahoma" w:hAnsi="Tahoma" w:cs="Tahoma"/>
                <w:b w:val="0"/>
                <w:sz w:val="14"/>
                <w:vertAlign w:val="superscript"/>
              </w:rPr>
              <w:t>®</w:t>
            </w:r>
            <w:r w:rsidRPr="00BD7CEA">
              <w:rPr>
                <w:rFonts w:ascii="Tahoma" w:hAnsi="Tahoma" w:cs="Tahoma"/>
                <w:b w:val="0"/>
                <w:sz w:val="14"/>
              </w:rPr>
              <w:t xml:space="preserve"> Fleet Edition </w:t>
            </w:r>
            <w:bookmarkEnd w:id="38"/>
            <w:r w:rsidRPr="00BD7CEA">
              <w:rPr>
                <w:rFonts w:ascii="Tahoma" w:hAnsi="Tahoma" w:cs="Tahoma"/>
                <w:b w:val="0"/>
                <w:sz w:val="14"/>
              </w:rPr>
              <w:t>2013</w:t>
            </w:r>
            <w:bookmarkEnd w:id="39"/>
            <w:bookmarkEnd w:id="40"/>
          </w:p>
        </w:tc>
        <w:tc>
          <w:tcPr>
            <w:tcW w:w="429" w:type="dxa"/>
            <w:tcBorders>
              <w:bottom w:val="single" w:sz="4" w:space="0" w:color="auto"/>
            </w:tcBorders>
            <w:shd w:val="clear" w:color="auto" w:fill="FABF8F"/>
            <w:vAlign w:val="center"/>
          </w:tcPr>
          <w:p w:rsidR="00B27742" w:rsidRPr="00BD7CEA" w:rsidRDefault="00B27742">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FABF8F"/>
            <w:vAlign w:val="center"/>
          </w:tcPr>
          <w:p w:rsidR="00B27742" w:rsidRPr="00BD7CEA" w:rsidRDefault="00097B90" w:rsidP="004000C7">
            <w:pPr>
              <w:pStyle w:val="TableText"/>
              <w:widowControl w:val="0"/>
              <w:rPr>
                <w:rFonts w:ascii="Tahoma" w:hAnsi="Tahoma" w:cs="Tahoma"/>
                <w:sz w:val="13"/>
              </w:rPr>
            </w:pPr>
            <w:r w:rsidRPr="00BD7CEA">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4</w:t>
            </w:r>
          </w:p>
        </w:tc>
        <w:tc>
          <w:tcPr>
            <w:tcW w:w="429" w:type="dxa"/>
            <w:tcBorders>
              <w:bottom w:val="single" w:sz="4" w:space="0" w:color="auto"/>
            </w:tcBorders>
            <w:shd w:val="clear" w:color="auto" w:fill="FABF8F"/>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10</w:t>
            </w:r>
          </w:p>
        </w:tc>
        <w:tc>
          <w:tcPr>
            <w:tcW w:w="429" w:type="dxa"/>
            <w:tcBorders>
              <w:bottom w:val="single" w:sz="4" w:space="0" w:color="auto"/>
            </w:tcBorders>
            <w:shd w:val="clear" w:color="auto" w:fill="FABF8F"/>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8</w:t>
            </w:r>
          </w:p>
        </w:tc>
        <w:tc>
          <w:tcPr>
            <w:tcW w:w="429" w:type="dxa"/>
            <w:tcBorders>
              <w:bottom w:val="single" w:sz="4" w:space="0" w:color="auto"/>
            </w:tcBorders>
            <w:shd w:val="clear" w:color="auto" w:fill="FABF8F"/>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6</w:t>
            </w:r>
          </w:p>
        </w:tc>
        <w:tc>
          <w:tcPr>
            <w:tcW w:w="429" w:type="dxa"/>
            <w:tcBorders>
              <w:bottom w:val="single" w:sz="4" w:space="0" w:color="auto"/>
            </w:tcBorders>
            <w:shd w:val="clear" w:color="auto" w:fill="FABF8F"/>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6</w:t>
            </w:r>
          </w:p>
        </w:tc>
        <w:tc>
          <w:tcPr>
            <w:tcW w:w="429" w:type="dxa"/>
            <w:tcBorders>
              <w:bottom w:val="single" w:sz="4" w:space="0" w:color="auto"/>
            </w:tcBorders>
            <w:shd w:val="clear" w:color="auto" w:fill="FABF8F"/>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4</w:t>
            </w:r>
          </w:p>
        </w:tc>
        <w:tc>
          <w:tcPr>
            <w:tcW w:w="429" w:type="dxa"/>
            <w:tcBorders>
              <w:bottom w:val="single" w:sz="4" w:space="0" w:color="auto"/>
            </w:tcBorders>
            <w:shd w:val="clear" w:color="auto" w:fill="FABF8F"/>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8</w:t>
            </w:r>
          </w:p>
        </w:tc>
        <w:tc>
          <w:tcPr>
            <w:tcW w:w="429" w:type="dxa"/>
            <w:tcBorders>
              <w:bottom w:val="single" w:sz="4" w:space="0" w:color="auto"/>
              <w:right w:val="single" w:sz="18" w:space="0" w:color="auto"/>
            </w:tcBorders>
            <w:shd w:val="clear" w:color="auto" w:fill="FABF8F"/>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4</w:t>
            </w:r>
          </w:p>
        </w:tc>
        <w:tc>
          <w:tcPr>
            <w:tcW w:w="429" w:type="dxa"/>
            <w:tcBorders>
              <w:left w:val="single" w:sz="18" w:space="0" w:color="auto"/>
              <w:bottom w:val="single" w:sz="4" w:space="0" w:color="auto"/>
            </w:tcBorders>
            <w:shd w:val="clear" w:color="auto" w:fill="FABF8F"/>
            <w:vAlign w:val="center"/>
          </w:tcPr>
          <w:p w:rsidR="00B27742" w:rsidRPr="00BD7CEA"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P</w:t>
            </w:r>
          </w:p>
        </w:tc>
        <w:tc>
          <w:tcPr>
            <w:tcW w:w="514" w:type="dxa"/>
            <w:tcBorders>
              <w:bottom w:val="single" w:sz="4" w:space="0" w:color="auto"/>
            </w:tcBorders>
            <w:shd w:val="clear" w:color="auto" w:fill="FABF8F"/>
            <w:vAlign w:val="center"/>
          </w:tcPr>
          <w:p w:rsidR="00B27742" w:rsidRPr="00BD7CEA"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BD7CEA" w:rsidRDefault="00B27742" w:rsidP="004B3534">
            <w:pPr>
              <w:pStyle w:val="TableText"/>
              <w:widowControl w:val="0"/>
              <w:rPr>
                <w:rFonts w:ascii="Tahoma" w:hAnsi="Tahoma" w:cs="Tahoma"/>
                <w:sz w:val="13"/>
              </w:rPr>
            </w:pPr>
          </w:p>
        </w:tc>
      </w:tr>
      <w:tr w:rsidR="00B33D0E" w:rsidRPr="00BD7CEA" w:rsidTr="007E466C">
        <w:trPr>
          <w:cantSplit/>
          <w:trHeight w:val="323"/>
        </w:trPr>
        <w:tc>
          <w:tcPr>
            <w:tcW w:w="2638" w:type="dxa"/>
            <w:tcBorders>
              <w:bottom w:val="single" w:sz="4" w:space="0" w:color="auto"/>
            </w:tcBorders>
            <w:shd w:val="clear" w:color="auto" w:fill="auto"/>
            <w:vAlign w:val="center"/>
          </w:tcPr>
          <w:p w:rsidR="00B27742" w:rsidRPr="00BD7CEA" w:rsidRDefault="00B27742" w:rsidP="00E215F4">
            <w:pPr>
              <w:pStyle w:val="Heading2"/>
              <w:spacing w:beforeLines="20" w:before="48" w:afterLines="20" w:after="48"/>
              <w:ind w:left="0"/>
              <w:rPr>
                <w:rFonts w:ascii="Tahoma" w:hAnsi="Tahoma" w:cs="Tahoma"/>
                <w:b w:val="0"/>
                <w:sz w:val="14"/>
              </w:rPr>
            </w:pPr>
            <w:bookmarkStart w:id="41" w:name="_Toc235859738"/>
            <w:bookmarkStart w:id="42" w:name="_Toc336337857"/>
            <w:bookmarkStart w:id="43" w:name="_Toc353375636"/>
            <w:r w:rsidRPr="00BD7CEA">
              <w:rPr>
                <w:rFonts w:ascii="Tahoma" w:hAnsi="Tahoma" w:cs="Tahoma"/>
                <w:b w:val="0"/>
                <w:sz w:val="14"/>
              </w:rPr>
              <w:t>MapPoint</w:t>
            </w:r>
            <w:r w:rsidR="00700C4B" w:rsidRPr="00BD7CEA">
              <w:rPr>
                <w:rFonts w:ascii="Tahoma" w:hAnsi="Tahoma" w:cs="Tahoma"/>
                <w:b w:val="0"/>
                <w:sz w:val="14"/>
                <w:vertAlign w:val="superscript"/>
              </w:rPr>
              <w:t>®</w:t>
            </w:r>
            <w:r w:rsidRPr="00BD7CEA">
              <w:rPr>
                <w:rFonts w:ascii="Tahoma" w:hAnsi="Tahoma" w:cs="Tahoma"/>
                <w:b w:val="0"/>
                <w:sz w:val="14"/>
              </w:rPr>
              <w:t xml:space="preserve"> 2013 per Windows</w:t>
            </w:r>
            <w:bookmarkEnd w:id="41"/>
            <w:bookmarkEnd w:id="42"/>
            <w:bookmarkEnd w:id="43"/>
          </w:p>
        </w:tc>
        <w:tc>
          <w:tcPr>
            <w:tcW w:w="429" w:type="dxa"/>
            <w:tcBorders>
              <w:bottom w:val="single" w:sz="4" w:space="0" w:color="auto"/>
            </w:tcBorders>
            <w:shd w:val="clear" w:color="auto" w:fill="auto"/>
            <w:vAlign w:val="center"/>
          </w:tcPr>
          <w:p w:rsidR="00B27742" w:rsidRPr="00BD7CEA" w:rsidRDefault="00B27742">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auto"/>
            <w:vAlign w:val="center"/>
          </w:tcPr>
          <w:p w:rsidR="00B27742" w:rsidRPr="00BD7CEA" w:rsidRDefault="00097B90" w:rsidP="004000C7">
            <w:pPr>
              <w:pStyle w:val="TableText"/>
              <w:widowControl w:val="0"/>
              <w:rPr>
                <w:rFonts w:ascii="Tahoma" w:hAnsi="Tahoma" w:cs="Tahoma"/>
                <w:color w:val="000000"/>
                <w:sz w:val="13"/>
              </w:rPr>
            </w:pPr>
            <w:r w:rsidRPr="00BD7CEA">
              <w:rPr>
                <w:rFonts w:ascii="Tahoma"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rsidR="00B27742" w:rsidRPr="00BD7CEA" w:rsidRDefault="00B27742" w:rsidP="004B3534">
            <w:pPr>
              <w:pStyle w:val="TableText"/>
              <w:widowControl w:val="0"/>
              <w:rPr>
                <w:rFonts w:ascii="Tahoma" w:hAnsi="Tahoma" w:cs="Tahoma"/>
                <w:color w:val="000000"/>
                <w:sz w:val="13"/>
              </w:rPr>
            </w:pPr>
            <w:r w:rsidRPr="00BD7CEA">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1</w:t>
            </w:r>
          </w:p>
        </w:tc>
        <w:tc>
          <w:tcPr>
            <w:tcW w:w="429" w:type="dxa"/>
            <w:tcBorders>
              <w:bottom w:val="single" w:sz="4" w:space="0" w:color="auto"/>
            </w:tcBorders>
            <w:shd w:val="clear" w:color="auto" w:fill="auto"/>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3</w:t>
            </w:r>
          </w:p>
        </w:tc>
        <w:tc>
          <w:tcPr>
            <w:tcW w:w="429" w:type="dxa"/>
            <w:tcBorders>
              <w:bottom w:val="single" w:sz="4" w:space="0" w:color="auto"/>
            </w:tcBorders>
            <w:shd w:val="clear" w:color="auto" w:fill="auto"/>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2</w:t>
            </w:r>
          </w:p>
        </w:tc>
        <w:tc>
          <w:tcPr>
            <w:tcW w:w="429" w:type="dxa"/>
            <w:tcBorders>
              <w:bottom w:val="single" w:sz="4" w:space="0" w:color="auto"/>
            </w:tcBorders>
            <w:shd w:val="clear" w:color="auto" w:fill="auto"/>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2</w:t>
            </w:r>
          </w:p>
        </w:tc>
        <w:tc>
          <w:tcPr>
            <w:tcW w:w="429" w:type="dxa"/>
            <w:tcBorders>
              <w:bottom w:val="single" w:sz="4" w:space="0" w:color="auto"/>
            </w:tcBorders>
            <w:shd w:val="clear" w:color="auto" w:fill="auto"/>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2</w:t>
            </w:r>
          </w:p>
        </w:tc>
        <w:tc>
          <w:tcPr>
            <w:tcW w:w="429" w:type="dxa"/>
            <w:tcBorders>
              <w:bottom w:val="single" w:sz="4" w:space="0" w:color="auto"/>
            </w:tcBorders>
            <w:shd w:val="clear" w:color="auto" w:fill="auto"/>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1</w:t>
            </w:r>
          </w:p>
        </w:tc>
        <w:tc>
          <w:tcPr>
            <w:tcW w:w="429" w:type="dxa"/>
            <w:tcBorders>
              <w:bottom w:val="single" w:sz="4" w:space="0" w:color="auto"/>
            </w:tcBorders>
            <w:shd w:val="clear" w:color="auto" w:fill="auto"/>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B27742" w:rsidRPr="00BD7CEA" w:rsidRDefault="00B27742" w:rsidP="004B3534">
            <w:pPr>
              <w:pStyle w:val="TableText"/>
              <w:widowControl w:val="0"/>
              <w:rPr>
                <w:rFonts w:ascii="Tahoma" w:hAnsi="Tahoma" w:cs="Tahoma"/>
                <w:sz w:val="13"/>
              </w:rPr>
            </w:pPr>
            <w:r w:rsidRPr="00BD7CEA">
              <w:rPr>
                <w:rFonts w:ascii="Tahoma" w:hAnsi="Tahoma" w:cs="Tahoma"/>
                <w:sz w:val="13"/>
              </w:rPr>
              <w:t>P</w:t>
            </w:r>
          </w:p>
        </w:tc>
        <w:tc>
          <w:tcPr>
            <w:tcW w:w="514" w:type="dxa"/>
            <w:tcBorders>
              <w:bottom w:val="single" w:sz="4" w:space="0" w:color="auto"/>
            </w:tcBorders>
            <w:shd w:val="clear" w:color="auto" w:fill="auto"/>
            <w:vAlign w:val="center"/>
          </w:tcPr>
          <w:p w:rsidR="00B27742" w:rsidRPr="00BD7CEA" w:rsidRDefault="00F440FF" w:rsidP="00080B33">
            <w:pPr>
              <w:pStyle w:val="TableText"/>
              <w:widowControl w:val="0"/>
              <w:rPr>
                <w:rFonts w:ascii="Tahoma" w:hAnsi="Tahoma" w:cs="Tahoma"/>
                <w:sz w:val="13"/>
              </w:rPr>
            </w:pPr>
            <w:r w:rsidRPr="00BD7CEA">
              <w:rPr>
                <w:rFonts w:ascii="Tahoma" w:hAnsi="Tahoma" w:cs="Tahoma"/>
                <w:sz w:val="13"/>
              </w:rPr>
              <w:t>A, AO, ST</w:t>
            </w:r>
          </w:p>
        </w:tc>
        <w:tc>
          <w:tcPr>
            <w:tcW w:w="514" w:type="dxa"/>
            <w:tcBorders>
              <w:bottom w:val="single" w:sz="4" w:space="0" w:color="auto"/>
            </w:tcBorders>
            <w:shd w:val="clear" w:color="auto" w:fill="auto"/>
            <w:vAlign w:val="center"/>
          </w:tcPr>
          <w:p w:rsidR="00B27742" w:rsidRPr="00BD7CEA" w:rsidRDefault="00B27742" w:rsidP="004B3534">
            <w:pPr>
              <w:pStyle w:val="TableText"/>
              <w:widowControl w:val="0"/>
              <w:rPr>
                <w:rFonts w:ascii="Tahoma" w:hAnsi="Tahoma" w:cs="Tahoma"/>
                <w:sz w:val="13"/>
              </w:rPr>
            </w:pPr>
          </w:p>
        </w:tc>
      </w:tr>
      <w:tr w:rsidR="00EF228F" w:rsidRPr="00BD7CEA" w:rsidTr="00C60100">
        <w:trPr>
          <w:cantSplit/>
          <w:trHeight w:val="145"/>
        </w:trPr>
        <w:tc>
          <w:tcPr>
            <w:tcW w:w="2638" w:type="dxa"/>
            <w:tcBorders>
              <w:bottom w:val="single" w:sz="4" w:space="0" w:color="auto"/>
            </w:tcBorders>
            <w:shd w:val="clear" w:color="auto" w:fill="FABF8F"/>
            <w:vAlign w:val="center"/>
          </w:tcPr>
          <w:p w:rsidR="00B27742" w:rsidRPr="00BD7CEA" w:rsidRDefault="00B27742" w:rsidP="00E215F4">
            <w:pPr>
              <w:pStyle w:val="Heading2"/>
              <w:spacing w:beforeLines="20" w:before="48" w:afterLines="20" w:after="48"/>
              <w:ind w:left="0"/>
              <w:rPr>
                <w:rFonts w:ascii="Tahoma" w:hAnsi="Tahoma" w:cs="Tahoma"/>
                <w:b w:val="0"/>
                <w:sz w:val="14"/>
              </w:rPr>
            </w:pPr>
            <w:bookmarkStart w:id="44" w:name="_Toc336337858"/>
            <w:bookmarkStart w:id="45" w:name="_Toc353375637"/>
            <w:r w:rsidRPr="00BD7CEA">
              <w:rPr>
                <w:rFonts w:ascii="Tahoma" w:hAnsi="Tahoma" w:cs="Tahoma"/>
                <w:b w:val="0"/>
                <w:sz w:val="14"/>
              </w:rPr>
              <w:t>Sistemi Operativi MSDN</w:t>
            </w:r>
            <w:bookmarkEnd w:id="44"/>
            <w:bookmarkEnd w:id="45"/>
          </w:p>
        </w:tc>
        <w:tc>
          <w:tcPr>
            <w:tcW w:w="429" w:type="dxa"/>
            <w:tcBorders>
              <w:bottom w:val="single" w:sz="4" w:space="0" w:color="auto"/>
            </w:tcBorders>
            <w:shd w:val="clear" w:color="auto" w:fill="FABF8F"/>
            <w:vAlign w:val="center"/>
          </w:tcPr>
          <w:p w:rsidR="00B27742" w:rsidRPr="00BD7CEA" w:rsidRDefault="006E5080" w:rsidP="009832D3">
            <w:pPr>
              <w:pStyle w:val="TableText"/>
              <w:widowControl w:val="0"/>
              <w:rPr>
                <w:rStyle w:val="EndnoteReference"/>
                <w:b w:val="0"/>
                <w:color w:val="0000FF"/>
                <w:sz w:val="13"/>
                <w:szCs w:val="13"/>
                <w:u w:val="single"/>
              </w:rPr>
            </w:pPr>
            <w:hyperlink w:anchor="_34_MSDN_Operating" w:history="1">
              <w:r w:rsidR="00955428" w:rsidRPr="00BD7CEA">
                <w:rPr>
                  <w:rStyle w:val="Hyperlink"/>
                  <w:b/>
                  <w:sz w:val="13"/>
                  <w:szCs w:val="13"/>
                </w:rPr>
                <w:t>3</w:t>
              </w:r>
            </w:hyperlink>
          </w:p>
        </w:tc>
        <w:tc>
          <w:tcPr>
            <w:tcW w:w="429" w:type="dxa"/>
            <w:tcBorders>
              <w:bottom w:val="single" w:sz="4" w:space="0" w:color="auto"/>
            </w:tcBorders>
            <w:shd w:val="clear" w:color="auto" w:fill="FABF8F"/>
            <w:vAlign w:val="center"/>
          </w:tcPr>
          <w:p w:rsidR="00B27742" w:rsidRPr="00BD7CEA" w:rsidRDefault="00B27742" w:rsidP="004000C7">
            <w:pPr>
              <w:pStyle w:val="TableText"/>
              <w:rPr>
                <w:rFonts w:ascii="Tahoma" w:hAnsi="Tahoma" w:cs="Tahoma"/>
                <w:sz w:val="13"/>
              </w:rPr>
            </w:pPr>
            <w:r w:rsidRPr="00BD7CEA">
              <w:rPr>
                <w:rFonts w:ascii="Tahoma" w:hAnsi="Tahoma" w:cs="Tahoma"/>
                <w:sz w:val="13"/>
              </w:rPr>
              <w:t>01/06</w:t>
            </w:r>
          </w:p>
        </w:tc>
        <w:tc>
          <w:tcPr>
            <w:tcW w:w="429" w:type="dxa"/>
            <w:tcBorders>
              <w:bottom w:val="single" w:sz="4" w:space="0" w:color="auto"/>
              <w:right w:val="single" w:sz="18" w:space="0" w:color="auto"/>
            </w:tcBorders>
            <w:shd w:val="clear" w:color="auto" w:fill="FABF8F"/>
            <w:vAlign w:val="center"/>
          </w:tcPr>
          <w:p w:rsidR="00B27742" w:rsidRPr="00BD7CEA" w:rsidRDefault="00B27742"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B27742" w:rsidRPr="00BD7CEA" w:rsidRDefault="00B27742"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B27742" w:rsidRPr="00BD7CEA" w:rsidRDefault="00B27742" w:rsidP="004B3534">
            <w:pPr>
              <w:pStyle w:val="TableText"/>
              <w:rPr>
                <w:rFonts w:ascii="Tahoma" w:hAnsi="Tahoma" w:cs="Tahoma"/>
                <w:sz w:val="13"/>
              </w:rPr>
            </w:pPr>
            <w:r w:rsidRPr="00BD7CEA">
              <w:rPr>
                <w:rFonts w:ascii="Tahoma" w:hAnsi="Tahoma" w:cs="Tahoma"/>
                <w:sz w:val="13"/>
              </w:rPr>
              <w:t>5</w:t>
            </w:r>
          </w:p>
        </w:tc>
        <w:tc>
          <w:tcPr>
            <w:tcW w:w="429" w:type="dxa"/>
            <w:tcBorders>
              <w:bottom w:val="single" w:sz="4" w:space="0" w:color="auto"/>
            </w:tcBorders>
            <w:shd w:val="clear" w:color="auto" w:fill="FABF8F"/>
            <w:vAlign w:val="center"/>
          </w:tcPr>
          <w:p w:rsidR="00B27742" w:rsidRPr="00BD7CEA" w:rsidRDefault="00B27742" w:rsidP="004B3534">
            <w:pPr>
              <w:pStyle w:val="TableText"/>
              <w:rPr>
                <w:rFonts w:ascii="Tahoma" w:hAnsi="Tahoma" w:cs="Tahoma"/>
                <w:sz w:val="13"/>
              </w:rPr>
            </w:pPr>
            <w:r w:rsidRPr="00BD7CEA">
              <w:rPr>
                <w:rFonts w:ascii="Tahoma" w:hAnsi="Tahoma" w:cs="Tahoma"/>
                <w:sz w:val="13"/>
              </w:rPr>
              <w:t>4</w:t>
            </w:r>
          </w:p>
        </w:tc>
        <w:tc>
          <w:tcPr>
            <w:tcW w:w="429" w:type="dxa"/>
            <w:tcBorders>
              <w:bottom w:val="single" w:sz="4" w:space="0" w:color="auto"/>
            </w:tcBorders>
            <w:shd w:val="clear" w:color="auto" w:fill="FABF8F"/>
            <w:vAlign w:val="center"/>
          </w:tcPr>
          <w:p w:rsidR="00B27742" w:rsidRPr="00BD7CEA" w:rsidRDefault="00B27742" w:rsidP="004B3534">
            <w:pPr>
              <w:pStyle w:val="TableText"/>
              <w:rPr>
                <w:rFonts w:ascii="Tahoma" w:hAnsi="Tahoma" w:cs="Tahoma"/>
                <w:sz w:val="13"/>
              </w:rPr>
            </w:pPr>
            <w:r w:rsidRPr="00BD7CEA">
              <w:rPr>
                <w:rFonts w:ascii="Tahoma" w:hAnsi="Tahoma" w:cs="Tahoma"/>
                <w:sz w:val="13"/>
              </w:rPr>
              <w:t>3</w:t>
            </w:r>
          </w:p>
        </w:tc>
        <w:tc>
          <w:tcPr>
            <w:tcW w:w="429" w:type="dxa"/>
            <w:tcBorders>
              <w:bottom w:val="single" w:sz="4" w:space="0" w:color="auto"/>
            </w:tcBorders>
            <w:shd w:val="clear" w:color="auto" w:fill="FABF8F"/>
            <w:vAlign w:val="center"/>
          </w:tcPr>
          <w:p w:rsidR="00B27742" w:rsidRPr="00BD7CEA" w:rsidRDefault="00B27742" w:rsidP="004B3534">
            <w:pPr>
              <w:pStyle w:val="TableText"/>
              <w:rPr>
                <w:rFonts w:ascii="Tahoma" w:hAnsi="Tahoma" w:cs="Tahoma"/>
                <w:sz w:val="13"/>
              </w:rPr>
            </w:pPr>
            <w:r w:rsidRPr="00BD7CEA">
              <w:rPr>
                <w:rFonts w:ascii="Tahoma" w:hAnsi="Tahoma" w:cs="Tahoma"/>
                <w:sz w:val="13"/>
              </w:rPr>
              <w:t>3</w:t>
            </w:r>
          </w:p>
        </w:tc>
        <w:tc>
          <w:tcPr>
            <w:tcW w:w="429" w:type="dxa"/>
            <w:tcBorders>
              <w:bottom w:val="single" w:sz="4" w:space="0" w:color="auto"/>
            </w:tcBorders>
            <w:shd w:val="clear" w:color="auto" w:fill="FABF8F"/>
            <w:vAlign w:val="center"/>
          </w:tcPr>
          <w:p w:rsidR="00B27742" w:rsidRPr="00BD7CEA" w:rsidRDefault="00B27742" w:rsidP="004B3534">
            <w:pPr>
              <w:pStyle w:val="TableText"/>
              <w:rPr>
                <w:rFonts w:ascii="Tahoma" w:hAnsi="Tahoma" w:cs="Tahoma"/>
                <w:sz w:val="13"/>
              </w:rPr>
            </w:pPr>
            <w:r w:rsidRPr="00BD7CEA">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BD7CEA" w:rsidRDefault="00B27742" w:rsidP="004B3534">
            <w:pPr>
              <w:pStyle w:val="TableText"/>
              <w:rPr>
                <w:rFonts w:ascii="Tahoma" w:hAnsi="Tahoma" w:cs="Tahoma"/>
                <w:sz w:val="13"/>
              </w:rPr>
            </w:pPr>
            <w:r w:rsidRPr="00BD7CEA">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BD7CEA" w:rsidRDefault="00B27742"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B27742" w:rsidRPr="00BD7CEA" w:rsidRDefault="00B27742" w:rsidP="004B3534">
            <w:pPr>
              <w:pStyle w:val="TableText"/>
              <w:rPr>
                <w:rFonts w:ascii="Tahoma" w:hAnsi="Tahoma" w:cs="Tahoma"/>
                <w:sz w:val="13"/>
              </w:rPr>
            </w:pPr>
            <w:r w:rsidRPr="00BD7CEA">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B27742" w:rsidRPr="00BD7CEA" w:rsidRDefault="00B27742" w:rsidP="004B3534">
            <w:pPr>
              <w:pStyle w:val="TableText"/>
              <w:rPr>
                <w:rFonts w:ascii="Tahoma" w:hAnsi="Tahoma" w:cs="Tahoma"/>
                <w:sz w:val="13"/>
              </w:rPr>
            </w:pPr>
            <w:r w:rsidRPr="00BD7CEA">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B27742" w:rsidRPr="00BD7CEA" w:rsidRDefault="00B27742" w:rsidP="004B3534">
            <w:pPr>
              <w:pStyle w:val="TableText"/>
              <w:rPr>
                <w:rFonts w:ascii="Tahoma" w:hAnsi="Tahoma" w:cs="Tahoma"/>
                <w:sz w:val="13"/>
              </w:rPr>
            </w:pPr>
            <w:r w:rsidRPr="00BD7CEA">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BD7CEA" w:rsidRDefault="00B27742"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BD7CEA" w:rsidRDefault="00B27742" w:rsidP="004B3534">
            <w:pPr>
              <w:pStyle w:val="TableText"/>
              <w:rPr>
                <w:rFonts w:ascii="Tahoma" w:hAnsi="Tahoma" w:cs="Tahoma"/>
                <w:sz w:val="13"/>
              </w:rPr>
            </w:pPr>
            <w:r w:rsidRPr="00BD7CEA">
              <w:rPr>
                <w:rFonts w:ascii="Tahoma" w:hAnsi="Tahoma" w:cs="Tahoma"/>
                <w:sz w:val="13"/>
              </w:rPr>
              <w:t>P</w:t>
            </w:r>
          </w:p>
        </w:tc>
        <w:tc>
          <w:tcPr>
            <w:tcW w:w="514" w:type="dxa"/>
            <w:tcBorders>
              <w:bottom w:val="single" w:sz="4" w:space="0" w:color="auto"/>
            </w:tcBorders>
            <w:shd w:val="clear" w:color="auto" w:fill="FABF8F"/>
            <w:vAlign w:val="center"/>
          </w:tcPr>
          <w:p w:rsidR="00B27742" w:rsidRPr="00BD7CEA" w:rsidRDefault="00052BF4" w:rsidP="00080B33">
            <w:pPr>
              <w:pStyle w:val="TableText"/>
              <w:rPr>
                <w:rFonts w:ascii="Tahoma" w:hAnsi="Tahoma" w:cs="Tahoma"/>
                <w:sz w:val="13"/>
              </w:rPr>
            </w:pPr>
            <w:r w:rsidRPr="00BD7CEA">
              <w:rPr>
                <w:rFonts w:ascii="Tahoma" w:hAnsi="Tahoma" w:cs="Tahoma"/>
                <w:sz w:val="13"/>
              </w:rPr>
              <w:t>A</w:t>
            </w:r>
          </w:p>
        </w:tc>
        <w:tc>
          <w:tcPr>
            <w:tcW w:w="514" w:type="dxa"/>
            <w:tcBorders>
              <w:bottom w:val="single" w:sz="4" w:space="0" w:color="auto"/>
            </w:tcBorders>
            <w:shd w:val="clear" w:color="auto" w:fill="FABF8F"/>
            <w:vAlign w:val="center"/>
          </w:tcPr>
          <w:p w:rsidR="00B27742" w:rsidRPr="00BD7CEA" w:rsidRDefault="00B27742" w:rsidP="004B3534">
            <w:pPr>
              <w:pStyle w:val="TableText"/>
            </w:pPr>
            <w:r w:rsidRPr="00BD7CEA">
              <w:rPr>
                <w:rFonts w:ascii="Tahoma" w:hAnsi="Tahoma" w:cs="Tahoma"/>
                <w:sz w:val="13"/>
              </w:rPr>
              <w:t>OL/SA/</w:t>
            </w:r>
          </w:p>
          <w:p w:rsidR="00B27742" w:rsidRPr="00BD7CEA" w:rsidRDefault="00B27742" w:rsidP="004B3534">
            <w:pPr>
              <w:pStyle w:val="TableText"/>
              <w:rPr>
                <w:rFonts w:ascii="Tahoma" w:hAnsi="Tahoma" w:cs="Tahoma"/>
                <w:sz w:val="13"/>
              </w:rPr>
            </w:pPr>
            <w:r w:rsidRPr="00BD7CEA">
              <w:rPr>
                <w:rFonts w:ascii="Tahoma" w:hAnsi="Tahoma" w:cs="Tahoma"/>
                <w:sz w:val="13"/>
              </w:rPr>
              <w:t>OV</w:t>
            </w:r>
          </w:p>
        </w:tc>
      </w:tr>
      <w:tr w:rsidR="00B33D0E" w:rsidRPr="00BD7CEA" w:rsidTr="007E466C">
        <w:trPr>
          <w:cantSplit/>
          <w:trHeight w:val="287"/>
        </w:trPr>
        <w:tc>
          <w:tcPr>
            <w:tcW w:w="2638" w:type="dxa"/>
            <w:tcBorders>
              <w:bottom w:val="single" w:sz="4" w:space="0" w:color="auto"/>
            </w:tcBorders>
            <w:shd w:val="clear" w:color="auto" w:fill="auto"/>
            <w:vAlign w:val="center"/>
          </w:tcPr>
          <w:p w:rsidR="007B2C93" w:rsidRPr="007B74B7" w:rsidRDefault="007B2C93" w:rsidP="00E215F4">
            <w:pPr>
              <w:pStyle w:val="Heading2"/>
              <w:spacing w:beforeLines="20" w:before="48" w:afterLines="20" w:after="48"/>
              <w:ind w:left="0"/>
              <w:rPr>
                <w:rFonts w:ascii="Tahoma" w:hAnsi="Tahoma" w:cs="Tahoma"/>
                <w:b w:val="0"/>
                <w:sz w:val="14"/>
                <w:lang w:val="it-IT"/>
              </w:rPr>
            </w:pPr>
            <w:bookmarkStart w:id="46" w:name="_Toc336337859"/>
            <w:bookmarkStart w:id="47" w:name="_Toc353375638"/>
            <w:r w:rsidRPr="007B74B7">
              <w:rPr>
                <w:rFonts w:ascii="Tahoma" w:hAnsi="Tahoma" w:cs="Tahoma"/>
                <w:b w:val="0"/>
                <w:sz w:val="14"/>
                <w:lang w:val="it-IT"/>
              </w:rPr>
              <w:t>Office 365 A2 (SL per Utente)</w:t>
            </w:r>
            <w:bookmarkEnd w:id="46"/>
            <w:bookmarkEnd w:id="47"/>
          </w:p>
        </w:tc>
        <w:tc>
          <w:tcPr>
            <w:tcW w:w="429" w:type="dxa"/>
            <w:tcBorders>
              <w:bottom w:val="single" w:sz="4" w:space="0" w:color="auto"/>
            </w:tcBorders>
            <w:shd w:val="clear" w:color="auto" w:fill="auto"/>
            <w:vAlign w:val="center"/>
          </w:tcPr>
          <w:p w:rsidR="007B2C93" w:rsidRPr="00BD7CEA" w:rsidRDefault="006E5080" w:rsidP="009832D3">
            <w:pPr>
              <w:pStyle w:val="TableText"/>
              <w:widowControl w:val="0"/>
              <w:rPr>
                <w:b/>
                <w:color w:val="0000FF"/>
                <w:sz w:val="13"/>
                <w:szCs w:val="13"/>
                <w:u w:val="single"/>
              </w:rPr>
            </w:pPr>
            <w:hyperlink w:anchor="_45_Office_365" w:history="1">
              <w:r w:rsidR="00955428" w:rsidRPr="00BD7CEA">
                <w:rPr>
                  <w:rStyle w:val="Hyperlink"/>
                  <w:b/>
                  <w:sz w:val="13"/>
                  <w:szCs w:val="13"/>
                </w:rPr>
                <w:t>4</w:t>
              </w:r>
            </w:hyperlink>
          </w:p>
        </w:tc>
        <w:tc>
          <w:tcPr>
            <w:tcW w:w="429" w:type="dxa"/>
            <w:tcBorders>
              <w:bottom w:val="single" w:sz="4" w:space="0" w:color="auto"/>
            </w:tcBorders>
            <w:shd w:val="clear" w:color="auto" w:fill="auto"/>
            <w:vAlign w:val="center"/>
          </w:tcPr>
          <w:p w:rsidR="007B2C93" w:rsidRPr="00BD7CEA" w:rsidRDefault="007B2C93" w:rsidP="004000C7">
            <w:pPr>
              <w:pStyle w:val="TableText"/>
              <w:widowControl w:val="0"/>
              <w:rPr>
                <w:rFonts w:ascii="Tahoma" w:hAnsi="Tahoma" w:cs="Tahoma"/>
                <w:sz w:val="13"/>
              </w:rPr>
            </w:pPr>
            <w:r w:rsidRPr="00BD7CEA">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rsidR="007B2C93" w:rsidRPr="00BD7CEA" w:rsidRDefault="007B2C93" w:rsidP="004B3534">
            <w:pPr>
              <w:pStyle w:val="TableText"/>
              <w:widowControl w:val="0"/>
              <w:rPr>
                <w:rFonts w:ascii="Tahoma" w:hAnsi="Tahoma" w:cs="Tahoma"/>
                <w:sz w:val="13"/>
              </w:rPr>
            </w:pPr>
            <w:r w:rsidRPr="00BD7CEA">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7B2C93" w:rsidRPr="00BD7CEA"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BD7CEA"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BD7CEA"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BD7CEA"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BD7CEA"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BD7CEA"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7B2C93" w:rsidRPr="00BD7CEA"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7B2C93" w:rsidRPr="00BD7CEA"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BD7CEA"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7B2C93" w:rsidRPr="00BD7CEA"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7B2C93" w:rsidRPr="00BD7CEA"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7B2C93" w:rsidRPr="00BD7CEA" w:rsidDel="000365B0"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7B2C93" w:rsidRPr="00BD7CEA"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7B2C93" w:rsidRPr="00BD7CEA" w:rsidRDefault="007B2C93" w:rsidP="00080B33">
            <w:pPr>
              <w:pStyle w:val="TableText"/>
              <w:widowControl w:val="0"/>
              <w:rPr>
                <w:rFonts w:ascii="Tahoma" w:hAnsi="Tahoma" w:cs="Tahoma"/>
                <w:sz w:val="13"/>
              </w:rPr>
            </w:pPr>
            <w:r w:rsidRPr="00BD7CEA">
              <w:rPr>
                <w:rFonts w:ascii="Tahoma" w:hAnsi="Tahoma" w:cs="Tahoma"/>
                <w:sz w:val="13"/>
              </w:rPr>
              <w:t>EOLS (Solo EES)</w:t>
            </w:r>
          </w:p>
        </w:tc>
        <w:tc>
          <w:tcPr>
            <w:tcW w:w="514" w:type="dxa"/>
            <w:tcBorders>
              <w:bottom w:val="single" w:sz="4" w:space="0" w:color="auto"/>
            </w:tcBorders>
            <w:shd w:val="clear" w:color="auto" w:fill="auto"/>
            <w:vAlign w:val="center"/>
          </w:tcPr>
          <w:p w:rsidR="007B2C93" w:rsidRPr="00BD7CEA" w:rsidRDefault="007B2C93" w:rsidP="004B3534">
            <w:pPr>
              <w:pStyle w:val="TableText"/>
              <w:widowControl w:val="0"/>
              <w:rPr>
                <w:rFonts w:ascii="Tahoma" w:hAnsi="Tahoma" w:cs="Tahoma"/>
                <w:sz w:val="13"/>
              </w:rPr>
            </w:pPr>
          </w:p>
        </w:tc>
      </w:tr>
      <w:tr w:rsidR="00EF228F" w:rsidRPr="00BD7CEA" w:rsidTr="00C60100">
        <w:trPr>
          <w:cantSplit/>
          <w:trHeight w:val="287"/>
        </w:trPr>
        <w:tc>
          <w:tcPr>
            <w:tcW w:w="2638" w:type="dxa"/>
            <w:tcBorders>
              <w:bottom w:val="single" w:sz="4" w:space="0" w:color="auto"/>
            </w:tcBorders>
            <w:shd w:val="clear" w:color="auto" w:fill="FABF8F"/>
            <w:vAlign w:val="center"/>
          </w:tcPr>
          <w:p w:rsidR="007B2C93" w:rsidRPr="007B74B7" w:rsidRDefault="007B2C93" w:rsidP="00E215F4">
            <w:pPr>
              <w:pStyle w:val="Heading2"/>
              <w:spacing w:beforeLines="20" w:before="48" w:afterLines="20" w:after="48"/>
              <w:ind w:left="0"/>
              <w:rPr>
                <w:rFonts w:ascii="Tahoma" w:hAnsi="Tahoma" w:cs="Tahoma"/>
                <w:b w:val="0"/>
                <w:sz w:val="14"/>
                <w:lang w:val="it-IT"/>
              </w:rPr>
            </w:pPr>
            <w:bookmarkStart w:id="48" w:name="_Toc336337860"/>
            <w:bookmarkStart w:id="49" w:name="_Toc353375639"/>
            <w:r w:rsidRPr="007B74B7">
              <w:rPr>
                <w:rFonts w:ascii="Tahoma" w:hAnsi="Tahoma" w:cs="Tahoma"/>
                <w:b w:val="0"/>
                <w:sz w:val="14"/>
                <w:lang w:val="it-IT"/>
              </w:rPr>
              <w:t>Office 365 A3 (SL per Utente)</w:t>
            </w:r>
            <w:bookmarkEnd w:id="48"/>
            <w:bookmarkEnd w:id="49"/>
          </w:p>
        </w:tc>
        <w:tc>
          <w:tcPr>
            <w:tcW w:w="429" w:type="dxa"/>
            <w:tcBorders>
              <w:bottom w:val="single" w:sz="4" w:space="0" w:color="auto"/>
            </w:tcBorders>
            <w:shd w:val="clear" w:color="auto" w:fill="FABF8F"/>
            <w:vAlign w:val="center"/>
          </w:tcPr>
          <w:p w:rsidR="007B2C93" w:rsidRPr="00BD7CEA" w:rsidRDefault="006E5080" w:rsidP="009832D3">
            <w:pPr>
              <w:pStyle w:val="TableText"/>
              <w:widowControl w:val="0"/>
              <w:rPr>
                <w:b/>
                <w:color w:val="0000FF"/>
                <w:sz w:val="13"/>
                <w:szCs w:val="13"/>
                <w:u w:val="single"/>
              </w:rPr>
            </w:pPr>
            <w:hyperlink w:anchor="_45_Office_365" w:history="1">
              <w:r w:rsidR="00955428" w:rsidRPr="00BD7CEA">
                <w:rPr>
                  <w:rStyle w:val="Hyperlink"/>
                  <w:b/>
                  <w:sz w:val="13"/>
                  <w:szCs w:val="13"/>
                </w:rPr>
                <w:t>4</w:t>
              </w:r>
            </w:hyperlink>
          </w:p>
        </w:tc>
        <w:tc>
          <w:tcPr>
            <w:tcW w:w="429" w:type="dxa"/>
            <w:tcBorders>
              <w:bottom w:val="single" w:sz="4" w:space="0" w:color="auto"/>
            </w:tcBorders>
            <w:shd w:val="clear" w:color="auto" w:fill="FABF8F"/>
            <w:vAlign w:val="center"/>
          </w:tcPr>
          <w:p w:rsidR="007B2C93" w:rsidRPr="00BD7CEA" w:rsidRDefault="007B2C93" w:rsidP="004000C7">
            <w:pPr>
              <w:pStyle w:val="TableText"/>
              <w:widowControl w:val="0"/>
              <w:rPr>
                <w:rFonts w:ascii="Tahoma" w:hAnsi="Tahoma" w:cs="Tahoma"/>
                <w:sz w:val="13"/>
              </w:rPr>
            </w:pPr>
            <w:r w:rsidRPr="00BD7CEA">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rsidR="007B2C93" w:rsidRPr="00BD7CEA" w:rsidRDefault="007B2C93" w:rsidP="004B3534">
            <w:pPr>
              <w:pStyle w:val="TableText"/>
              <w:widowControl w:val="0"/>
              <w:rPr>
                <w:rFonts w:ascii="Tahoma" w:hAnsi="Tahoma" w:cs="Tahoma"/>
                <w:sz w:val="13"/>
              </w:rPr>
            </w:pPr>
            <w:r w:rsidRPr="00BD7CEA">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7B2C93" w:rsidRPr="00BD7CEA"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BD7CEA"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BD7CEA"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BD7CEA"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BD7CEA"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BD7CEA"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BD7CEA"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7B2C93" w:rsidRPr="00BD7CEA"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BD7CEA"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BD7CEA"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7B2C93" w:rsidRPr="00BD7CEA" w:rsidRDefault="007B2C93" w:rsidP="004B3534">
            <w:pPr>
              <w:pStyle w:val="TableText"/>
              <w:widowControl w:val="0"/>
              <w:rPr>
                <w:rFonts w:ascii="Tahoma" w:hAnsi="Tahoma" w:cs="Tahoma"/>
                <w:sz w:val="13"/>
              </w:rPr>
            </w:pPr>
            <w:r w:rsidRPr="00BD7CEA">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7B2C93" w:rsidRPr="00BD7CEA" w:rsidDel="000365B0"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BD7CEA"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7B2C93" w:rsidRPr="00BD7CEA" w:rsidRDefault="007B2C93" w:rsidP="00080B33">
            <w:pPr>
              <w:pStyle w:val="TableText"/>
              <w:widowControl w:val="0"/>
              <w:rPr>
                <w:rFonts w:ascii="Tahoma" w:hAnsi="Tahoma" w:cs="Tahoma"/>
                <w:sz w:val="13"/>
              </w:rPr>
            </w:pPr>
            <w:r w:rsidRPr="00BD7CEA">
              <w:rPr>
                <w:rFonts w:ascii="Tahoma" w:hAnsi="Tahoma" w:cs="Tahoma"/>
                <w:sz w:val="13"/>
              </w:rPr>
              <w:t>EOLS (Solo EES)</w:t>
            </w:r>
          </w:p>
        </w:tc>
        <w:tc>
          <w:tcPr>
            <w:tcW w:w="514" w:type="dxa"/>
            <w:tcBorders>
              <w:bottom w:val="single" w:sz="4" w:space="0" w:color="auto"/>
            </w:tcBorders>
            <w:shd w:val="clear" w:color="auto" w:fill="FABF8F"/>
            <w:vAlign w:val="center"/>
          </w:tcPr>
          <w:p w:rsidR="007B2C93" w:rsidRPr="00BD7CEA" w:rsidRDefault="007B2C93" w:rsidP="004B3534">
            <w:pPr>
              <w:pStyle w:val="TableText"/>
              <w:widowControl w:val="0"/>
              <w:rPr>
                <w:rFonts w:ascii="Tahoma" w:hAnsi="Tahoma" w:cs="Tahoma"/>
                <w:sz w:val="13"/>
              </w:rPr>
            </w:pPr>
          </w:p>
        </w:tc>
      </w:tr>
      <w:tr w:rsidR="00B33D0E" w:rsidRPr="00BD7CEA" w:rsidTr="007E466C">
        <w:trPr>
          <w:cantSplit/>
          <w:trHeight w:val="287"/>
        </w:trPr>
        <w:tc>
          <w:tcPr>
            <w:tcW w:w="2638" w:type="dxa"/>
            <w:tcBorders>
              <w:bottom w:val="single" w:sz="4" w:space="0" w:color="auto"/>
            </w:tcBorders>
            <w:shd w:val="clear" w:color="auto" w:fill="auto"/>
            <w:vAlign w:val="center"/>
          </w:tcPr>
          <w:p w:rsidR="007B2C93" w:rsidRPr="007B74B7" w:rsidRDefault="007B2C93" w:rsidP="00E215F4">
            <w:pPr>
              <w:pStyle w:val="Heading2"/>
              <w:spacing w:beforeLines="20" w:before="48" w:afterLines="20" w:after="48"/>
              <w:ind w:left="0"/>
              <w:rPr>
                <w:rFonts w:ascii="Tahoma" w:hAnsi="Tahoma" w:cs="Tahoma"/>
                <w:b w:val="0"/>
                <w:sz w:val="14"/>
                <w:lang w:val="it-IT"/>
              </w:rPr>
            </w:pPr>
            <w:bookmarkStart w:id="50" w:name="_Toc336337861"/>
            <w:bookmarkStart w:id="51" w:name="_Toc353375640"/>
            <w:r w:rsidRPr="007B74B7">
              <w:rPr>
                <w:rFonts w:ascii="Tahoma" w:hAnsi="Tahoma" w:cs="Tahoma"/>
                <w:b w:val="0"/>
                <w:sz w:val="14"/>
                <w:lang w:val="it-IT"/>
              </w:rPr>
              <w:t>Office 365 A4 (SL per Utente)</w:t>
            </w:r>
            <w:bookmarkEnd w:id="50"/>
            <w:bookmarkEnd w:id="51"/>
          </w:p>
        </w:tc>
        <w:tc>
          <w:tcPr>
            <w:tcW w:w="429" w:type="dxa"/>
            <w:tcBorders>
              <w:bottom w:val="single" w:sz="4" w:space="0" w:color="auto"/>
            </w:tcBorders>
            <w:shd w:val="clear" w:color="auto" w:fill="auto"/>
            <w:vAlign w:val="center"/>
          </w:tcPr>
          <w:p w:rsidR="007B2C93" w:rsidRPr="00BD7CEA" w:rsidRDefault="006E5080" w:rsidP="009832D3">
            <w:pPr>
              <w:pStyle w:val="TableText"/>
              <w:widowControl w:val="0"/>
              <w:rPr>
                <w:b/>
                <w:color w:val="0000FF"/>
                <w:sz w:val="13"/>
                <w:szCs w:val="13"/>
                <w:u w:val="single"/>
              </w:rPr>
            </w:pPr>
            <w:hyperlink w:anchor="_45_Office_365" w:history="1">
              <w:r w:rsidR="00955428" w:rsidRPr="00BD7CEA">
                <w:rPr>
                  <w:rStyle w:val="Hyperlink"/>
                  <w:b/>
                  <w:sz w:val="13"/>
                  <w:szCs w:val="13"/>
                </w:rPr>
                <w:t>4</w:t>
              </w:r>
            </w:hyperlink>
          </w:p>
        </w:tc>
        <w:tc>
          <w:tcPr>
            <w:tcW w:w="429" w:type="dxa"/>
            <w:tcBorders>
              <w:bottom w:val="single" w:sz="4" w:space="0" w:color="auto"/>
            </w:tcBorders>
            <w:shd w:val="clear" w:color="auto" w:fill="auto"/>
            <w:vAlign w:val="center"/>
          </w:tcPr>
          <w:p w:rsidR="007B2C93" w:rsidRPr="00BD7CEA" w:rsidRDefault="007B2C93" w:rsidP="004000C7">
            <w:pPr>
              <w:pStyle w:val="TableText"/>
              <w:widowControl w:val="0"/>
              <w:rPr>
                <w:rFonts w:ascii="Tahoma" w:hAnsi="Tahoma" w:cs="Tahoma"/>
                <w:sz w:val="13"/>
              </w:rPr>
            </w:pPr>
            <w:r w:rsidRPr="00BD7CEA">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rsidR="007B2C93" w:rsidRPr="00BD7CEA" w:rsidRDefault="007B2C93" w:rsidP="004B3534">
            <w:pPr>
              <w:pStyle w:val="TableText"/>
              <w:widowControl w:val="0"/>
              <w:rPr>
                <w:rFonts w:ascii="Tahoma" w:hAnsi="Tahoma" w:cs="Tahoma"/>
                <w:sz w:val="13"/>
              </w:rPr>
            </w:pPr>
            <w:r w:rsidRPr="00BD7CEA">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7B2C93" w:rsidRPr="00BD7CEA"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BD7CEA"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BD7CEA"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BD7CEA"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BD7CEA"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BD7CEA"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7B2C93" w:rsidRPr="00BD7CEA"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7B2C93" w:rsidRPr="00BD7CEA"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BD7CEA"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7B2C93" w:rsidRPr="00BD7CEA"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7B2C93" w:rsidRPr="00BD7CEA" w:rsidRDefault="007B2C93" w:rsidP="004B3534">
            <w:pPr>
              <w:pStyle w:val="TableText"/>
              <w:widowControl w:val="0"/>
              <w:rPr>
                <w:rFonts w:ascii="Tahoma" w:hAnsi="Tahoma" w:cs="Tahoma"/>
                <w:sz w:val="13"/>
              </w:rPr>
            </w:pPr>
            <w:r w:rsidRPr="00BD7CEA">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7B2C93" w:rsidRPr="00BD7CEA" w:rsidDel="000365B0"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7B2C93" w:rsidRPr="00BD7CEA"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7B2C93" w:rsidRPr="00BD7CEA" w:rsidRDefault="007B2C93" w:rsidP="00080B33">
            <w:pPr>
              <w:pStyle w:val="TableText"/>
              <w:widowControl w:val="0"/>
              <w:rPr>
                <w:rFonts w:ascii="Tahoma" w:hAnsi="Tahoma" w:cs="Tahoma"/>
                <w:sz w:val="13"/>
              </w:rPr>
            </w:pPr>
            <w:r w:rsidRPr="00BD7CEA">
              <w:rPr>
                <w:rFonts w:ascii="Tahoma" w:hAnsi="Tahoma" w:cs="Tahoma"/>
                <w:sz w:val="13"/>
              </w:rPr>
              <w:t>EOLS (Solo EES)</w:t>
            </w:r>
          </w:p>
        </w:tc>
        <w:tc>
          <w:tcPr>
            <w:tcW w:w="514" w:type="dxa"/>
            <w:tcBorders>
              <w:bottom w:val="single" w:sz="4" w:space="0" w:color="auto"/>
            </w:tcBorders>
            <w:shd w:val="clear" w:color="auto" w:fill="auto"/>
            <w:vAlign w:val="center"/>
          </w:tcPr>
          <w:p w:rsidR="007B2C93" w:rsidRPr="00BD7CEA" w:rsidRDefault="007B2C93" w:rsidP="004B3534">
            <w:pPr>
              <w:pStyle w:val="TableText"/>
              <w:widowControl w:val="0"/>
              <w:rPr>
                <w:rFonts w:ascii="Tahoma" w:hAnsi="Tahoma" w:cs="Tahoma"/>
                <w:sz w:val="13"/>
              </w:rPr>
            </w:pPr>
          </w:p>
        </w:tc>
      </w:tr>
      <w:tr w:rsidR="00EF228F" w:rsidRPr="00BD7CEA" w:rsidTr="00C60100">
        <w:trPr>
          <w:cantSplit/>
          <w:trHeight w:val="287"/>
        </w:trPr>
        <w:tc>
          <w:tcPr>
            <w:tcW w:w="2638" w:type="dxa"/>
            <w:tcBorders>
              <w:bottom w:val="single" w:sz="4" w:space="0" w:color="auto"/>
            </w:tcBorders>
            <w:shd w:val="clear" w:color="auto" w:fill="FABF8F"/>
            <w:vAlign w:val="center"/>
          </w:tcPr>
          <w:p w:rsidR="003E5902" w:rsidRPr="00BD7CEA" w:rsidRDefault="003E5902" w:rsidP="008D782D">
            <w:pPr>
              <w:pStyle w:val="Heading2"/>
              <w:spacing w:beforeLines="20" w:before="48" w:afterLines="20" w:after="48"/>
              <w:ind w:left="0"/>
              <w:rPr>
                <w:rFonts w:ascii="Tahoma" w:hAnsi="Tahoma" w:cs="Tahoma"/>
                <w:b w:val="0"/>
                <w:sz w:val="14"/>
              </w:rPr>
            </w:pPr>
            <w:bookmarkStart w:id="52" w:name="_Toc353375641"/>
            <w:r w:rsidRPr="00BD7CEA">
              <w:rPr>
                <w:rFonts w:ascii="Tahoma" w:hAnsi="Tahoma" w:cs="Tahoma"/>
                <w:b w:val="0"/>
                <w:sz w:val="14"/>
              </w:rPr>
              <w:t>Office 365 Midsize Business (SL</w:t>
            </w:r>
            <w:r w:rsidR="008D782D" w:rsidRPr="00BD7CEA">
              <w:rPr>
                <w:rFonts w:ascii="Tahoma" w:hAnsi="Tahoma" w:cs="Tahoma"/>
                <w:b w:val="0"/>
                <w:sz w:val="14"/>
              </w:rPr>
              <w:t> </w:t>
            </w:r>
            <w:r w:rsidRPr="00BD7CEA">
              <w:rPr>
                <w:rFonts w:ascii="Tahoma" w:hAnsi="Tahoma" w:cs="Tahoma"/>
                <w:b w:val="0"/>
                <w:sz w:val="14"/>
              </w:rPr>
              <w:t>per</w:t>
            </w:r>
            <w:r w:rsidR="008D782D" w:rsidRPr="00BD7CEA">
              <w:rPr>
                <w:rFonts w:ascii="Tahoma" w:hAnsi="Tahoma" w:cs="Tahoma"/>
                <w:b w:val="0"/>
                <w:sz w:val="14"/>
              </w:rPr>
              <w:t> </w:t>
            </w:r>
            <w:r w:rsidRPr="00BD7CEA">
              <w:rPr>
                <w:rFonts w:ascii="Tahoma" w:hAnsi="Tahoma" w:cs="Tahoma"/>
                <w:b w:val="0"/>
                <w:sz w:val="14"/>
              </w:rPr>
              <w:t>Utente)</w:t>
            </w:r>
            <w:bookmarkEnd w:id="52"/>
          </w:p>
        </w:tc>
        <w:tc>
          <w:tcPr>
            <w:tcW w:w="429" w:type="dxa"/>
            <w:tcBorders>
              <w:bottom w:val="single" w:sz="4" w:space="0" w:color="auto"/>
            </w:tcBorders>
            <w:shd w:val="clear" w:color="auto" w:fill="FABF8F"/>
            <w:vAlign w:val="center"/>
          </w:tcPr>
          <w:p w:rsidR="003E5902" w:rsidRPr="00BD7CEA" w:rsidRDefault="006E5080" w:rsidP="009832D3">
            <w:pPr>
              <w:pStyle w:val="TableText"/>
              <w:widowControl w:val="0"/>
              <w:rPr>
                <w:b/>
                <w:sz w:val="13"/>
                <w:szCs w:val="13"/>
              </w:rPr>
            </w:pPr>
            <w:hyperlink w:anchor="_5_Office_365" w:history="1">
              <w:r w:rsidR="00955428" w:rsidRPr="00BD7CEA">
                <w:rPr>
                  <w:rStyle w:val="Hyperlink"/>
                  <w:b/>
                  <w:sz w:val="13"/>
                  <w:szCs w:val="13"/>
                </w:rPr>
                <w:t>5</w:t>
              </w:r>
            </w:hyperlink>
          </w:p>
        </w:tc>
        <w:tc>
          <w:tcPr>
            <w:tcW w:w="429" w:type="dxa"/>
            <w:tcBorders>
              <w:bottom w:val="single" w:sz="4" w:space="0" w:color="auto"/>
            </w:tcBorders>
            <w:shd w:val="clear" w:color="auto" w:fill="FABF8F"/>
            <w:vAlign w:val="center"/>
          </w:tcPr>
          <w:p w:rsidR="003E5902" w:rsidRPr="00BD7CEA" w:rsidRDefault="003E5902" w:rsidP="004000C7">
            <w:pPr>
              <w:pStyle w:val="TableText"/>
              <w:widowControl w:val="0"/>
              <w:rPr>
                <w:rFonts w:ascii="Tahoma" w:hAnsi="Tahoma" w:cs="Tahoma"/>
                <w:sz w:val="13"/>
              </w:rPr>
            </w:pPr>
            <w:r w:rsidRPr="00BD7CEA">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3E5902" w:rsidRPr="00BD7CEA" w:rsidRDefault="003E590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3E5902" w:rsidRPr="00BD7CEA"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3E5902" w:rsidRPr="00BD7CEA"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3E5902" w:rsidRPr="00BD7CEA"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3E5902" w:rsidRPr="00BD7CEA"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3E5902" w:rsidRPr="00BD7CEA"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3E5902" w:rsidRPr="00BD7CEA" w:rsidRDefault="003E590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3E5902" w:rsidRPr="00BD7CEA" w:rsidRDefault="003E5902"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rsidR="003E5902" w:rsidRPr="00BD7CEA" w:rsidRDefault="003E5902" w:rsidP="004B3534">
            <w:pPr>
              <w:pStyle w:val="TableText"/>
              <w:widowControl w:val="0"/>
              <w:rPr>
                <w:rFonts w:ascii="Tahoma" w:hAnsi="Tahoma" w:cs="Tahoma"/>
                <w:sz w:val="13"/>
              </w:rPr>
            </w:pPr>
            <w:r w:rsidRPr="00BD7CEA">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3E5902" w:rsidRPr="00BD7CEA" w:rsidRDefault="003E590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3E5902" w:rsidRPr="00BD7CEA" w:rsidRDefault="003E5902" w:rsidP="00CC19FC">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3E5902" w:rsidRPr="00BD7CEA" w:rsidRDefault="003E5902" w:rsidP="004B3534">
            <w:pPr>
              <w:pStyle w:val="TableText"/>
              <w:widowControl w:val="0"/>
              <w:rPr>
                <w:rFonts w:ascii="Tahoma" w:hAnsi="Tahoma" w:cs="Tahoma"/>
                <w:sz w:val="13"/>
              </w:rPr>
            </w:pPr>
            <w:r w:rsidRPr="00BD7CEA">
              <w:rPr>
                <w:rFonts w:ascii="Tahoma" w:hAnsi="Tahoma" w:cs="Tahoma"/>
                <w:sz w:val="13"/>
              </w:rPr>
              <w:t>P</w:t>
            </w:r>
          </w:p>
        </w:tc>
        <w:tc>
          <w:tcPr>
            <w:tcW w:w="514" w:type="dxa"/>
            <w:tcBorders>
              <w:bottom w:val="single" w:sz="4" w:space="0" w:color="auto"/>
            </w:tcBorders>
            <w:shd w:val="clear" w:color="auto" w:fill="FABF8F"/>
            <w:vAlign w:val="center"/>
          </w:tcPr>
          <w:p w:rsidR="003E5902" w:rsidRPr="00BD7CEA" w:rsidRDefault="003E5902"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3E5902" w:rsidRPr="00BD7CEA" w:rsidRDefault="003E5902" w:rsidP="004B3534">
            <w:pPr>
              <w:pStyle w:val="TableText"/>
              <w:widowControl w:val="0"/>
              <w:rPr>
                <w:rFonts w:ascii="Tahoma" w:hAnsi="Tahoma" w:cs="Tahoma"/>
                <w:sz w:val="13"/>
              </w:rPr>
            </w:pPr>
            <w:r w:rsidRPr="00BD7CEA">
              <w:rPr>
                <w:rFonts w:ascii="Tahoma" w:hAnsi="Tahoma" w:cs="Tahoma"/>
                <w:sz w:val="13"/>
              </w:rPr>
              <w:t>OL/OV</w:t>
            </w:r>
          </w:p>
        </w:tc>
      </w:tr>
      <w:tr w:rsidR="00B33D0E" w:rsidRPr="00BD7CEA" w:rsidTr="007E466C">
        <w:trPr>
          <w:cantSplit/>
          <w:trHeight w:val="287"/>
        </w:trPr>
        <w:tc>
          <w:tcPr>
            <w:tcW w:w="2638" w:type="dxa"/>
            <w:tcBorders>
              <w:bottom w:val="single" w:sz="4" w:space="0" w:color="auto"/>
            </w:tcBorders>
            <w:shd w:val="clear" w:color="auto" w:fill="auto"/>
            <w:vAlign w:val="center"/>
          </w:tcPr>
          <w:p w:rsidR="00CC19FC" w:rsidRPr="007B74B7" w:rsidRDefault="00CC19FC" w:rsidP="00E215F4">
            <w:pPr>
              <w:pStyle w:val="Heading2"/>
              <w:spacing w:beforeLines="20" w:before="48" w:afterLines="20" w:after="48"/>
              <w:ind w:left="0"/>
              <w:rPr>
                <w:rFonts w:ascii="Tahoma" w:hAnsi="Tahoma" w:cs="Tahoma"/>
                <w:b w:val="0"/>
                <w:sz w:val="14"/>
                <w:lang w:val="it-IT"/>
              </w:rPr>
            </w:pPr>
            <w:bookmarkStart w:id="53" w:name="_Toc353375642"/>
            <w:r w:rsidRPr="007B74B7">
              <w:rPr>
                <w:rFonts w:ascii="Tahoma" w:hAnsi="Tahoma" w:cs="Tahoma"/>
                <w:b w:val="0"/>
                <w:sz w:val="14"/>
                <w:lang w:val="it-IT"/>
              </w:rPr>
              <w:t>Office 365 Enterprise E1 (SL per Utente)</w:t>
            </w:r>
            <w:bookmarkEnd w:id="53"/>
          </w:p>
        </w:tc>
        <w:tc>
          <w:tcPr>
            <w:tcW w:w="429" w:type="dxa"/>
            <w:tcBorders>
              <w:bottom w:val="single" w:sz="4" w:space="0" w:color="auto"/>
            </w:tcBorders>
            <w:shd w:val="clear" w:color="auto" w:fill="auto"/>
            <w:vAlign w:val="center"/>
          </w:tcPr>
          <w:p w:rsidR="00CC19FC" w:rsidRPr="007B74B7" w:rsidRDefault="00CC19FC" w:rsidP="009832D3">
            <w:pPr>
              <w:pStyle w:val="TableText"/>
              <w:widowControl w:val="0"/>
              <w:rPr>
                <w:b/>
                <w:sz w:val="13"/>
                <w:szCs w:val="13"/>
                <w:lang w:val="it-IT"/>
              </w:rPr>
            </w:pPr>
          </w:p>
        </w:tc>
        <w:tc>
          <w:tcPr>
            <w:tcW w:w="429" w:type="dxa"/>
            <w:tcBorders>
              <w:bottom w:val="single" w:sz="4" w:space="0" w:color="auto"/>
            </w:tcBorders>
            <w:shd w:val="clear" w:color="auto" w:fill="auto"/>
            <w:vAlign w:val="center"/>
          </w:tcPr>
          <w:p w:rsidR="00CC19FC" w:rsidRPr="00BD7CEA" w:rsidRDefault="00CC19FC" w:rsidP="004000C7">
            <w:pPr>
              <w:pStyle w:val="TableText"/>
              <w:widowControl w:val="0"/>
              <w:rPr>
                <w:rFonts w:ascii="Tahoma" w:hAnsi="Tahoma" w:cs="Tahoma"/>
                <w:sz w:val="13"/>
              </w:rPr>
            </w:pPr>
            <w:r w:rsidRPr="00BD7CEA">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BD7CEA" w:rsidRDefault="00CC19FC" w:rsidP="00CC19FC">
            <w:pPr>
              <w:pStyle w:val="TableText"/>
              <w:widowControl w:val="0"/>
              <w:rPr>
                <w:rFonts w:ascii="Tahoma" w:hAnsi="Tahoma" w:cs="Tahoma"/>
                <w:sz w:val="13"/>
              </w:rPr>
            </w:pPr>
            <w:r w:rsidRPr="00BD7CEA">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BD7CEA"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p>
        </w:tc>
      </w:tr>
      <w:tr w:rsidR="00EF228F" w:rsidRPr="00BD7CEA" w:rsidTr="00C60100">
        <w:trPr>
          <w:cantSplit/>
          <w:trHeight w:val="287"/>
        </w:trPr>
        <w:tc>
          <w:tcPr>
            <w:tcW w:w="2638" w:type="dxa"/>
            <w:tcBorders>
              <w:bottom w:val="single" w:sz="4" w:space="0" w:color="auto"/>
            </w:tcBorders>
            <w:shd w:val="clear" w:color="auto" w:fill="FABF8F"/>
            <w:vAlign w:val="center"/>
          </w:tcPr>
          <w:p w:rsidR="00CC19FC" w:rsidRPr="007B74B7" w:rsidRDefault="00CC19FC" w:rsidP="00E215F4">
            <w:pPr>
              <w:pStyle w:val="Heading2"/>
              <w:spacing w:beforeLines="20" w:before="48" w:afterLines="20" w:after="48"/>
              <w:ind w:left="0"/>
              <w:rPr>
                <w:rFonts w:ascii="Tahoma" w:hAnsi="Tahoma" w:cs="Tahoma"/>
                <w:b w:val="0"/>
                <w:sz w:val="14"/>
                <w:lang w:val="it-IT"/>
              </w:rPr>
            </w:pPr>
            <w:bookmarkStart w:id="54" w:name="_Toc291024473"/>
            <w:bookmarkStart w:id="55" w:name="_Toc336337862"/>
            <w:bookmarkStart w:id="56" w:name="_Toc353375643"/>
            <w:r w:rsidRPr="007B74B7">
              <w:rPr>
                <w:rFonts w:ascii="Tahoma" w:hAnsi="Tahoma" w:cs="Tahoma"/>
                <w:b w:val="0"/>
                <w:sz w:val="14"/>
                <w:lang w:val="it-IT"/>
              </w:rPr>
              <w:t>Office 365 Enterprise E2 (SL per Utente)</w:t>
            </w:r>
            <w:bookmarkEnd w:id="54"/>
            <w:bookmarkEnd w:id="55"/>
            <w:bookmarkEnd w:id="56"/>
          </w:p>
        </w:tc>
        <w:tc>
          <w:tcPr>
            <w:tcW w:w="429" w:type="dxa"/>
            <w:tcBorders>
              <w:bottom w:val="single" w:sz="4" w:space="0" w:color="auto"/>
            </w:tcBorders>
            <w:shd w:val="clear" w:color="auto" w:fill="FABF8F"/>
            <w:vAlign w:val="center"/>
          </w:tcPr>
          <w:p w:rsidR="00CC19FC" w:rsidRPr="00BD7CEA" w:rsidRDefault="006E5080" w:rsidP="00B0065F">
            <w:pPr>
              <w:pStyle w:val="TableText"/>
              <w:widowControl w:val="0"/>
              <w:rPr>
                <w:b/>
                <w:color w:val="0000FF"/>
                <w:sz w:val="13"/>
                <w:szCs w:val="13"/>
                <w:u w:val="single"/>
              </w:rPr>
            </w:pPr>
            <w:hyperlink w:anchor="_6_Office_365_1" w:history="1">
              <w:r w:rsidR="00B0065F" w:rsidRPr="00BD7CEA">
                <w:rPr>
                  <w:rStyle w:val="Hyperlink"/>
                  <w:b/>
                  <w:sz w:val="13"/>
                  <w:szCs w:val="13"/>
                </w:rPr>
                <w:t>6</w:t>
              </w:r>
            </w:hyperlink>
            <w:hyperlink w:anchor="_65_Office_365" w:history="1"/>
          </w:p>
        </w:tc>
        <w:tc>
          <w:tcPr>
            <w:tcW w:w="429" w:type="dxa"/>
            <w:tcBorders>
              <w:bottom w:val="single" w:sz="4" w:space="0" w:color="auto"/>
            </w:tcBorders>
            <w:shd w:val="clear" w:color="auto" w:fill="FABF8F"/>
            <w:vAlign w:val="center"/>
          </w:tcPr>
          <w:p w:rsidR="00CC19FC" w:rsidRPr="00BD7CEA" w:rsidRDefault="00CC19FC" w:rsidP="004000C7">
            <w:pPr>
              <w:pStyle w:val="TableText"/>
              <w:widowControl w:val="0"/>
              <w:rPr>
                <w:rFonts w:ascii="Tahoma" w:hAnsi="Tahoma" w:cs="Tahoma"/>
                <w:sz w:val="13"/>
              </w:rPr>
            </w:pPr>
            <w:r w:rsidRPr="00BD7CEA">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CC19FC" w:rsidRPr="00BD7CEA"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BD7CEA"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BD7CEA"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BD7CEA"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BD7CEA"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BD7CEA"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BD7CEA"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BD7CEA"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BD7CEA"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BD7CEA"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BD7CEA"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BD7CEA"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BD7CEA"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BD7CEA" w:rsidRDefault="00CC19FC" w:rsidP="004B3534">
            <w:pPr>
              <w:pStyle w:val="TableText"/>
              <w:widowControl w:val="0"/>
              <w:rPr>
                <w:rFonts w:ascii="Tahoma" w:hAnsi="Tahoma" w:cs="Tahoma"/>
                <w:sz w:val="13"/>
              </w:rPr>
            </w:pPr>
          </w:p>
        </w:tc>
      </w:tr>
      <w:tr w:rsidR="00B33D0E" w:rsidRPr="00BD7CEA" w:rsidTr="007E466C">
        <w:trPr>
          <w:cantSplit/>
          <w:trHeight w:val="287"/>
        </w:trPr>
        <w:tc>
          <w:tcPr>
            <w:tcW w:w="2638" w:type="dxa"/>
            <w:tcBorders>
              <w:bottom w:val="single" w:sz="4" w:space="0" w:color="auto"/>
            </w:tcBorders>
            <w:shd w:val="clear" w:color="auto" w:fill="auto"/>
            <w:vAlign w:val="center"/>
          </w:tcPr>
          <w:p w:rsidR="00CC19FC" w:rsidRPr="007B74B7" w:rsidRDefault="00CC19FC" w:rsidP="00E215F4">
            <w:pPr>
              <w:pStyle w:val="Heading2"/>
              <w:spacing w:beforeLines="20" w:before="48" w:afterLines="20" w:after="48"/>
              <w:ind w:left="0"/>
              <w:rPr>
                <w:rFonts w:ascii="Tahoma" w:hAnsi="Tahoma" w:cs="Tahoma"/>
                <w:b w:val="0"/>
                <w:sz w:val="14"/>
                <w:lang w:val="it-IT"/>
              </w:rPr>
            </w:pPr>
            <w:bookmarkStart w:id="57" w:name="_Toc291024474"/>
            <w:bookmarkStart w:id="58" w:name="_Toc336337863"/>
            <w:bookmarkStart w:id="59" w:name="_Toc353375644"/>
            <w:r w:rsidRPr="007B74B7">
              <w:rPr>
                <w:rFonts w:ascii="Tahoma" w:hAnsi="Tahoma" w:cs="Tahoma"/>
                <w:b w:val="0"/>
                <w:sz w:val="14"/>
                <w:lang w:val="it-IT"/>
              </w:rPr>
              <w:t>Office 365 Enterprise E3 (SL per Utente)</w:t>
            </w:r>
            <w:bookmarkEnd w:id="57"/>
            <w:bookmarkEnd w:id="58"/>
            <w:bookmarkEnd w:id="59"/>
          </w:p>
        </w:tc>
        <w:tc>
          <w:tcPr>
            <w:tcW w:w="429" w:type="dxa"/>
            <w:tcBorders>
              <w:bottom w:val="single" w:sz="4" w:space="0" w:color="auto"/>
            </w:tcBorders>
            <w:shd w:val="clear" w:color="auto" w:fill="auto"/>
            <w:vAlign w:val="center"/>
          </w:tcPr>
          <w:p w:rsidR="00CC19FC" w:rsidRPr="00BD7CEA" w:rsidRDefault="006E5080" w:rsidP="00B0065F">
            <w:pPr>
              <w:pStyle w:val="TableText"/>
              <w:widowControl w:val="0"/>
              <w:rPr>
                <w:b/>
                <w:color w:val="0000FF"/>
                <w:sz w:val="13"/>
                <w:szCs w:val="13"/>
                <w:u w:val="single"/>
              </w:rPr>
            </w:pPr>
            <w:hyperlink w:anchor="_6_Office_365_1" w:history="1">
              <w:r w:rsidR="00602C5D" w:rsidRPr="00BD7CEA">
                <w:rPr>
                  <w:rStyle w:val="Hyperlink"/>
                  <w:b/>
                  <w:sz w:val="13"/>
                  <w:szCs w:val="13"/>
                </w:rPr>
                <w:t>6</w:t>
              </w:r>
            </w:hyperlink>
            <w:hyperlink w:anchor="_65_Office_365" w:history="1"/>
          </w:p>
        </w:tc>
        <w:tc>
          <w:tcPr>
            <w:tcW w:w="429" w:type="dxa"/>
            <w:tcBorders>
              <w:bottom w:val="single" w:sz="4" w:space="0" w:color="auto"/>
            </w:tcBorders>
            <w:shd w:val="clear" w:color="auto" w:fill="auto"/>
            <w:vAlign w:val="center"/>
          </w:tcPr>
          <w:p w:rsidR="00CC19FC" w:rsidRPr="00BD7CEA" w:rsidRDefault="00CC19FC" w:rsidP="004000C7">
            <w:pPr>
              <w:pStyle w:val="TableText"/>
              <w:widowControl w:val="0"/>
              <w:rPr>
                <w:rFonts w:ascii="Tahoma" w:hAnsi="Tahoma" w:cs="Tahoma"/>
                <w:sz w:val="13"/>
              </w:rPr>
            </w:pPr>
            <w:r w:rsidRPr="00BD7CEA">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BD7CEA"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p>
        </w:tc>
      </w:tr>
      <w:tr w:rsidR="00EF228F" w:rsidRPr="00BD7CEA" w:rsidTr="00C60100">
        <w:trPr>
          <w:cantSplit/>
          <w:trHeight w:val="287"/>
        </w:trPr>
        <w:tc>
          <w:tcPr>
            <w:tcW w:w="2638" w:type="dxa"/>
            <w:tcBorders>
              <w:bottom w:val="single" w:sz="4" w:space="0" w:color="auto"/>
            </w:tcBorders>
            <w:shd w:val="clear" w:color="auto" w:fill="FABF8F"/>
            <w:vAlign w:val="center"/>
          </w:tcPr>
          <w:p w:rsidR="00CC19FC" w:rsidRPr="007B74B7" w:rsidRDefault="00CC19FC" w:rsidP="00E215F4">
            <w:pPr>
              <w:pStyle w:val="Heading2"/>
              <w:spacing w:beforeLines="20" w:before="48" w:afterLines="20" w:after="48"/>
              <w:ind w:left="0"/>
              <w:rPr>
                <w:rFonts w:ascii="Tahoma" w:hAnsi="Tahoma" w:cs="Tahoma"/>
                <w:b w:val="0"/>
                <w:sz w:val="14"/>
                <w:lang w:val="it-IT"/>
              </w:rPr>
            </w:pPr>
            <w:bookmarkStart w:id="60" w:name="_Toc291024475"/>
            <w:bookmarkStart w:id="61" w:name="_Toc336337864"/>
            <w:bookmarkStart w:id="62" w:name="_Toc353375645"/>
            <w:r w:rsidRPr="007B74B7">
              <w:rPr>
                <w:rFonts w:ascii="Tahoma" w:hAnsi="Tahoma" w:cs="Tahoma"/>
                <w:b w:val="0"/>
                <w:sz w:val="14"/>
                <w:lang w:val="it-IT"/>
              </w:rPr>
              <w:t>Office 365 Enterprise E4 (SL per Utente)</w:t>
            </w:r>
            <w:bookmarkEnd w:id="60"/>
            <w:bookmarkEnd w:id="61"/>
            <w:bookmarkEnd w:id="62"/>
          </w:p>
        </w:tc>
        <w:tc>
          <w:tcPr>
            <w:tcW w:w="429" w:type="dxa"/>
            <w:tcBorders>
              <w:bottom w:val="single" w:sz="4" w:space="0" w:color="auto"/>
            </w:tcBorders>
            <w:shd w:val="clear" w:color="auto" w:fill="FABF8F"/>
            <w:vAlign w:val="center"/>
          </w:tcPr>
          <w:p w:rsidR="00CC19FC" w:rsidRPr="00BD7CEA" w:rsidRDefault="006E5080" w:rsidP="00B0065F">
            <w:pPr>
              <w:pStyle w:val="TableText"/>
              <w:widowControl w:val="0"/>
              <w:rPr>
                <w:b/>
                <w:color w:val="0000FF"/>
                <w:sz w:val="13"/>
                <w:szCs w:val="13"/>
                <w:u w:val="single"/>
              </w:rPr>
            </w:pPr>
            <w:hyperlink w:anchor="_6_Office_365_1" w:history="1">
              <w:r w:rsidR="00602C5D" w:rsidRPr="00BD7CEA">
                <w:rPr>
                  <w:rStyle w:val="Hyperlink"/>
                  <w:b/>
                  <w:sz w:val="13"/>
                  <w:szCs w:val="13"/>
                </w:rPr>
                <w:t>6</w:t>
              </w:r>
            </w:hyperlink>
            <w:hyperlink w:anchor="_65_Office_365" w:history="1"/>
          </w:p>
        </w:tc>
        <w:tc>
          <w:tcPr>
            <w:tcW w:w="429" w:type="dxa"/>
            <w:tcBorders>
              <w:bottom w:val="single" w:sz="4" w:space="0" w:color="auto"/>
            </w:tcBorders>
            <w:shd w:val="clear" w:color="auto" w:fill="FABF8F"/>
            <w:vAlign w:val="center"/>
          </w:tcPr>
          <w:p w:rsidR="00CC19FC" w:rsidRPr="00BD7CEA" w:rsidRDefault="00CC19FC" w:rsidP="004000C7">
            <w:pPr>
              <w:pStyle w:val="TableText"/>
              <w:widowControl w:val="0"/>
              <w:rPr>
                <w:rFonts w:ascii="Tahoma" w:hAnsi="Tahoma" w:cs="Tahoma"/>
                <w:sz w:val="13"/>
              </w:rPr>
            </w:pPr>
            <w:r w:rsidRPr="00BD7CEA">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CC19FC" w:rsidRPr="00BD7CEA"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BD7CEA"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BD7CEA"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BD7CEA"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BD7CEA"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BD7CEA"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BD7CEA"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BD7CEA"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BD7CEA"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BD7CEA"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BD7CEA"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BD7CEA"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BD7CEA"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BD7CEA" w:rsidRDefault="00CC19FC" w:rsidP="004B3534">
            <w:pPr>
              <w:pStyle w:val="TableText"/>
              <w:widowControl w:val="0"/>
              <w:rPr>
                <w:rFonts w:ascii="Tahoma" w:hAnsi="Tahoma" w:cs="Tahoma"/>
                <w:sz w:val="13"/>
              </w:rPr>
            </w:pPr>
          </w:p>
        </w:tc>
      </w:tr>
      <w:tr w:rsidR="00B33D0E" w:rsidRPr="00BD7CEA" w:rsidTr="007E466C">
        <w:trPr>
          <w:cantSplit/>
          <w:trHeight w:val="287"/>
        </w:trPr>
        <w:tc>
          <w:tcPr>
            <w:tcW w:w="2638" w:type="dxa"/>
            <w:tcBorders>
              <w:bottom w:val="single" w:sz="4" w:space="0" w:color="auto"/>
            </w:tcBorders>
            <w:shd w:val="clear" w:color="auto" w:fill="auto"/>
            <w:vAlign w:val="center"/>
          </w:tcPr>
          <w:p w:rsidR="00CC19FC" w:rsidRPr="007B74B7" w:rsidRDefault="00CC19FC" w:rsidP="00E215F4">
            <w:pPr>
              <w:pStyle w:val="Heading2"/>
              <w:spacing w:beforeLines="20" w:before="48" w:afterLines="20" w:after="48"/>
              <w:ind w:left="0"/>
              <w:rPr>
                <w:rFonts w:ascii="Tahoma" w:hAnsi="Tahoma" w:cs="Tahoma"/>
                <w:b w:val="0"/>
                <w:sz w:val="14"/>
                <w:lang w:val="it-IT"/>
              </w:rPr>
            </w:pPr>
            <w:bookmarkStart w:id="63" w:name="_Toc353375646"/>
            <w:r w:rsidRPr="007B74B7">
              <w:rPr>
                <w:rFonts w:ascii="Tahoma" w:hAnsi="Tahoma" w:cs="Tahoma"/>
                <w:b w:val="0"/>
                <w:sz w:val="14"/>
                <w:lang w:val="it-IT"/>
              </w:rPr>
              <w:t>Diritti di Utilizzo Commerciale di Office Home and Student RT 2013</w:t>
            </w:r>
            <w:bookmarkEnd w:id="63"/>
          </w:p>
        </w:tc>
        <w:tc>
          <w:tcPr>
            <w:tcW w:w="429" w:type="dxa"/>
            <w:tcBorders>
              <w:bottom w:val="single" w:sz="4" w:space="0" w:color="auto"/>
            </w:tcBorders>
            <w:shd w:val="clear" w:color="auto" w:fill="auto"/>
            <w:vAlign w:val="center"/>
          </w:tcPr>
          <w:p w:rsidR="00CC19FC" w:rsidRPr="007B74B7" w:rsidRDefault="00CC19FC" w:rsidP="00152361">
            <w:pPr>
              <w:pStyle w:val="TableText"/>
              <w:widowControl w:val="0"/>
              <w:rPr>
                <w:b/>
                <w:color w:val="0000FF"/>
                <w:sz w:val="13"/>
                <w:szCs w:val="13"/>
                <w:u w:val="single"/>
                <w:lang w:val="it-IT"/>
              </w:rPr>
            </w:pPr>
          </w:p>
        </w:tc>
        <w:tc>
          <w:tcPr>
            <w:tcW w:w="429" w:type="dxa"/>
            <w:tcBorders>
              <w:bottom w:val="single" w:sz="4" w:space="0" w:color="auto"/>
            </w:tcBorders>
            <w:shd w:val="clear" w:color="auto" w:fill="auto"/>
            <w:vAlign w:val="center"/>
          </w:tcPr>
          <w:p w:rsidR="00CC19FC" w:rsidRPr="00BD7CEA" w:rsidRDefault="00CC19FC" w:rsidP="004000C7">
            <w:pPr>
              <w:pStyle w:val="TableText"/>
              <w:widowControl w:val="0"/>
              <w:rPr>
                <w:rFonts w:ascii="Tahoma" w:hAnsi="Tahoma" w:cs="Tahoma"/>
                <w:sz w:val="13"/>
              </w:rPr>
            </w:pPr>
            <w:r w:rsidRPr="00BD7CEA">
              <w:rPr>
                <w:rFonts w:ascii="Tahoma" w:hAnsi="Tahoma" w:cs="Tahoma"/>
                <w:sz w:val="13"/>
              </w:rPr>
              <w:t>12/12</w:t>
            </w:r>
          </w:p>
        </w:tc>
        <w:tc>
          <w:tcPr>
            <w:tcW w:w="429" w:type="dxa"/>
            <w:tcBorders>
              <w:bottom w:val="single" w:sz="4" w:space="0" w:color="auto"/>
              <w:right w:val="single" w:sz="18"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1</w:t>
            </w:r>
          </w:p>
        </w:tc>
        <w:tc>
          <w:tcPr>
            <w:tcW w:w="429" w:type="dxa"/>
            <w:tcBorders>
              <w:bottom w:val="single" w:sz="4"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3</w:t>
            </w:r>
          </w:p>
        </w:tc>
        <w:tc>
          <w:tcPr>
            <w:tcW w:w="429" w:type="dxa"/>
            <w:tcBorders>
              <w:bottom w:val="single" w:sz="4"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2</w:t>
            </w:r>
          </w:p>
        </w:tc>
        <w:tc>
          <w:tcPr>
            <w:tcW w:w="429" w:type="dxa"/>
            <w:tcBorders>
              <w:bottom w:val="single" w:sz="4"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2</w:t>
            </w:r>
          </w:p>
        </w:tc>
        <w:tc>
          <w:tcPr>
            <w:tcW w:w="429" w:type="dxa"/>
            <w:tcBorders>
              <w:bottom w:val="single" w:sz="4"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2</w:t>
            </w:r>
          </w:p>
        </w:tc>
        <w:tc>
          <w:tcPr>
            <w:tcW w:w="429" w:type="dxa"/>
            <w:tcBorders>
              <w:bottom w:val="single" w:sz="4"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1</w:t>
            </w:r>
          </w:p>
        </w:tc>
        <w:tc>
          <w:tcPr>
            <w:tcW w:w="429" w:type="dxa"/>
            <w:tcBorders>
              <w:bottom w:val="single" w:sz="4"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BD7CEA"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p>
        </w:tc>
      </w:tr>
      <w:tr w:rsidR="00EF228F" w:rsidRPr="00BD7CEA" w:rsidTr="00C60100">
        <w:trPr>
          <w:cantSplit/>
          <w:trHeight w:val="287"/>
        </w:trPr>
        <w:tc>
          <w:tcPr>
            <w:tcW w:w="2638" w:type="dxa"/>
            <w:tcBorders>
              <w:bottom w:val="single" w:sz="4" w:space="0" w:color="auto"/>
            </w:tcBorders>
            <w:shd w:val="clear" w:color="auto" w:fill="FABF8F"/>
            <w:vAlign w:val="center"/>
          </w:tcPr>
          <w:p w:rsidR="00CC19FC" w:rsidRPr="00BD7CEA" w:rsidRDefault="00CC19FC" w:rsidP="00E215F4">
            <w:pPr>
              <w:pStyle w:val="Heading2"/>
              <w:spacing w:beforeLines="20" w:before="48" w:afterLines="20" w:after="48"/>
              <w:ind w:left="0"/>
              <w:rPr>
                <w:rFonts w:ascii="Tahoma" w:hAnsi="Tahoma" w:cs="Tahoma"/>
                <w:b w:val="0"/>
                <w:sz w:val="14"/>
              </w:rPr>
            </w:pPr>
            <w:bookmarkStart w:id="64" w:name="_Toc336337865"/>
            <w:bookmarkStart w:id="65" w:name="_Toc353375647"/>
            <w:r w:rsidRPr="00BD7CEA">
              <w:rPr>
                <w:rFonts w:ascii="Tahoma" w:hAnsi="Tahoma" w:cs="Tahoma"/>
                <w:b w:val="0"/>
                <w:sz w:val="14"/>
              </w:rPr>
              <w:t>Office per Mac Standard 2011</w:t>
            </w:r>
            <w:bookmarkEnd w:id="64"/>
            <w:bookmarkEnd w:id="65"/>
            <w:r w:rsidRPr="00BD7CEA">
              <w:rPr>
                <w:rFonts w:ascii="Tahoma" w:hAnsi="Tahoma" w:cs="Tahoma"/>
                <w:b w:val="0"/>
                <w:sz w:val="14"/>
              </w:rPr>
              <w:t xml:space="preserve"> </w:t>
            </w:r>
          </w:p>
        </w:tc>
        <w:tc>
          <w:tcPr>
            <w:tcW w:w="429" w:type="dxa"/>
            <w:tcBorders>
              <w:bottom w:val="single" w:sz="4" w:space="0" w:color="auto"/>
            </w:tcBorders>
            <w:shd w:val="clear" w:color="auto" w:fill="FABF8F"/>
            <w:vAlign w:val="center"/>
          </w:tcPr>
          <w:p w:rsidR="00CC19FC" w:rsidRPr="00BD7CEA" w:rsidRDefault="006E5080" w:rsidP="00B0065F">
            <w:pPr>
              <w:pStyle w:val="TableText"/>
              <w:widowControl w:val="0"/>
              <w:rPr>
                <w:rStyle w:val="EndnoteReference"/>
                <w:b w:val="0"/>
                <w:color w:val="0000FF"/>
                <w:sz w:val="13"/>
                <w:szCs w:val="13"/>
                <w:u w:val="single"/>
              </w:rPr>
            </w:pPr>
            <w:hyperlink w:anchor="_7_Office_per" w:history="1">
              <w:r w:rsidR="00B0065F" w:rsidRPr="00BD7CEA">
                <w:rPr>
                  <w:rStyle w:val="Hyperlink"/>
                  <w:b/>
                  <w:sz w:val="13"/>
                  <w:szCs w:val="13"/>
                </w:rPr>
                <w:t>7</w:t>
              </w:r>
            </w:hyperlink>
            <w:hyperlink w:anchor="_76_Office_for" w:history="1"/>
          </w:p>
        </w:tc>
        <w:tc>
          <w:tcPr>
            <w:tcW w:w="429" w:type="dxa"/>
            <w:tcBorders>
              <w:bottom w:val="single" w:sz="4" w:space="0" w:color="auto"/>
            </w:tcBorders>
            <w:shd w:val="clear" w:color="auto" w:fill="FABF8F"/>
            <w:vAlign w:val="center"/>
          </w:tcPr>
          <w:p w:rsidR="00CC19FC" w:rsidRPr="00BD7CEA" w:rsidRDefault="00CC19FC" w:rsidP="004000C7">
            <w:pPr>
              <w:pStyle w:val="TableText"/>
              <w:widowControl w:val="0"/>
              <w:rPr>
                <w:rFonts w:ascii="Tahoma" w:hAnsi="Tahoma" w:cs="Tahoma"/>
                <w:sz w:val="13"/>
              </w:rPr>
            </w:pPr>
            <w:r w:rsidRPr="00BD7CEA">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2</w:t>
            </w:r>
          </w:p>
        </w:tc>
        <w:tc>
          <w:tcPr>
            <w:tcW w:w="429" w:type="dxa"/>
            <w:tcBorders>
              <w:bottom w:val="single" w:sz="4" w:space="0" w:color="auto"/>
            </w:tcBorders>
            <w:shd w:val="clear" w:color="auto" w:fill="FABF8F"/>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5</w:t>
            </w:r>
          </w:p>
        </w:tc>
        <w:tc>
          <w:tcPr>
            <w:tcW w:w="429" w:type="dxa"/>
            <w:tcBorders>
              <w:bottom w:val="single" w:sz="4" w:space="0" w:color="auto"/>
            </w:tcBorders>
            <w:shd w:val="clear" w:color="auto" w:fill="FABF8F"/>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4</w:t>
            </w:r>
          </w:p>
        </w:tc>
        <w:tc>
          <w:tcPr>
            <w:tcW w:w="429" w:type="dxa"/>
            <w:tcBorders>
              <w:bottom w:val="single" w:sz="4" w:space="0" w:color="auto"/>
            </w:tcBorders>
            <w:shd w:val="clear" w:color="auto" w:fill="FABF8F"/>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3</w:t>
            </w:r>
          </w:p>
        </w:tc>
        <w:tc>
          <w:tcPr>
            <w:tcW w:w="429" w:type="dxa"/>
            <w:tcBorders>
              <w:bottom w:val="single" w:sz="4" w:space="0" w:color="auto"/>
            </w:tcBorders>
            <w:shd w:val="clear" w:color="auto" w:fill="FABF8F"/>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3</w:t>
            </w:r>
          </w:p>
        </w:tc>
        <w:tc>
          <w:tcPr>
            <w:tcW w:w="429" w:type="dxa"/>
            <w:tcBorders>
              <w:bottom w:val="single" w:sz="4" w:space="0" w:color="auto"/>
            </w:tcBorders>
            <w:shd w:val="clear" w:color="auto" w:fill="FABF8F"/>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2</w:t>
            </w:r>
          </w:p>
        </w:tc>
        <w:tc>
          <w:tcPr>
            <w:tcW w:w="429" w:type="dxa"/>
            <w:tcBorders>
              <w:bottom w:val="single" w:sz="4" w:space="0" w:color="auto"/>
            </w:tcBorders>
            <w:shd w:val="clear" w:color="auto" w:fill="FABF8F"/>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BD7CEA"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P</w:t>
            </w:r>
          </w:p>
        </w:tc>
        <w:tc>
          <w:tcPr>
            <w:tcW w:w="514" w:type="dxa"/>
            <w:tcBorders>
              <w:bottom w:val="single" w:sz="4" w:space="0" w:color="auto"/>
            </w:tcBorders>
            <w:shd w:val="clear" w:color="auto" w:fill="FABF8F"/>
            <w:vAlign w:val="center"/>
          </w:tcPr>
          <w:p w:rsidR="00CC19FC" w:rsidRPr="00BD7CEA" w:rsidRDefault="00CC19FC" w:rsidP="00080B33">
            <w:pPr>
              <w:pStyle w:val="TableText"/>
              <w:widowControl w:val="0"/>
              <w:rPr>
                <w:rFonts w:ascii="Tahoma" w:hAnsi="Tahoma" w:cs="Tahoma"/>
                <w:sz w:val="13"/>
              </w:rPr>
            </w:pPr>
            <w:r w:rsidRPr="00BD7CEA">
              <w:rPr>
                <w:rFonts w:ascii="Tahoma" w:hAnsi="Tahoma" w:cs="Tahoma"/>
                <w:sz w:val="13"/>
              </w:rPr>
              <w:t>E</w:t>
            </w:r>
          </w:p>
        </w:tc>
        <w:tc>
          <w:tcPr>
            <w:tcW w:w="514" w:type="dxa"/>
            <w:tcBorders>
              <w:bottom w:val="single" w:sz="4" w:space="0" w:color="auto"/>
            </w:tcBorders>
            <w:shd w:val="clear" w:color="auto" w:fill="FABF8F"/>
            <w:vAlign w:val="center"/>
          </w:tcPr>
          <w:p w:rsidR="00CC19FC" w:rsidRPr="00BD7CEA" w:rsidRDefault="00CC19FC" w:rsidP="004B3534">
            <w:pPr>
              <w:pStyle w:val="TableText"/>
              <w:widowControl w:val="0"/>
              <w:rPr>
                <w:rFonts w:ascii="Tahoma" w:hAnsi="Tahoma" w:cs="Tahoma"/>
                <w:sz w:val="13"/>
              </w:rPr>
            </w:pPr>
          </w:p>
        </w:tc>
      </w:tr>
      <w:tr w:rsidR="00B33D0E" w:rsidRPr="00BD7CEA" w:rsidTr="007E466C">
        <w:trPr>
          <w:cantSplit/>
          <w:trHeight w:val="287"/>
        </w:trPr>
        <w:tc>
          <w:tcPr>
            <w:tcW w:w="2638" w:type="dxa"/>
            <w:tcBorders>
              <w:bottom w:val="single" w:sz="4" w:space="0" w:color="auto"/>
            </w:tcBorders>
            <w:shd w:val="clear" w:color="auto" w:fill="auto"/>
            <w:vAlign w:val="center"/>
          </w:tcPr>
          <w:p w:rsidR="00CC19FC" w:rsidRPr="00BD7CEA" w:rsidRDefault="00CC19FC" w:rsidP="00E215F4">
            <w:pPr>
              <w:pStyle w:val="Heading2"/>
              <w:spacing w:beforeLines="20" w:before="48" w:afterLines="20" w:after="48"/>
              <w:ind w:left="0"/>
              <w:rPr>
                <w:rFonts w:ascii="Tahoma" w:hAnsi="Tahoma" w:cs="Tahoma"/>
                <w:b w:val="0"/>
                <w:sz w:val="14"/>
              </w:rPr>
            </w:pPr>
            <w:bookmarkStart w:id="66" w:name="_Office_Multi-Language_Pack"/>
            <w:bookmarkStart w:id="67" w:name="_Toc336337866"/>
            <w:bookmarkStart w:id="68" w:name="_Toc353375648"/>
            <w:bookmarkEnd w:id="66"/>
            <w:r w:rsidRPr="00BD7CEA">
              <w:rPr>
                <w:rFonts w:ascii="Tahoma" w:hAnsi="Tahoma" w:cs="Tahoma"/>
                <w:b w:val="0"/>
                <w:sz w:val="14"/>
              </w:rPr>
              <w:t xml:space="preserve">Office Multi-Language Pack </w:t>
            </w:r>
            <w:bookmarkEnd w:id="67"/>
            <w:r w:rsidRPr="00BD7CEA">
              <w:rPr>
                <w:rFonts w:ascii="Tahoma" w:hAnsi="Tahoma" w:cs="Tahoma"/>
                <w:b w:val="0"/>
                <w:sz w:val="14"/>
              </w:rPr>
              <w:t>2013</w:t>
            </w:r>
            <w:bookmarkEnd w:id="68"/>
          </w:p>
        </w:tc>
        <w:tc>
          <w:tcPr>
            <w:tcW w:w="429" w:type="dxa"/>
            <w:tcBorders>
              <w:bottom w:val="single" w:sz="4" w:space="0" w:color="auto"/>
            </w:tcBorders>
            <w:shd w:val="clear" w:color="auto" w:fill="auto"/>
            <w:vAlign w:val="center"/>
          </w:tcPr>
          <w:p w:rsidR="00CC19FC" w:rsidRPr="00BD7CEA" w:rsidRDefault="006E5080" w:rsidP="00B0065F">
            <w:pPr>
              <w:pStyle w:val="TableText"/>
              <w:widowControl w:val="0"/>
              <w:rPr>
                <w:rStyle w:val="EndnoteReference"/>
                <w:b w:val="0"/>
                <w:color w:val="0000FF"/>
                <w:sz w:val="13"/>
                <w:szCs w:val="13"/>
                <w:u w:val="single"/>
              </w:rPr>
            </w:pPr>
            <w:hyperlink w:anchor="_8_Office_Multi-Language" w:history="1">
              <w:r w:rsidR="00B0065F" w:rsidRPr="00BD7CEA">
                <w:rPr>
                  <w:rStyle w:val="Hyperlink"/>
                  <w:b/>
                  <w:sz w:val="13"/>
                  <w:szCs w:val="13"/>
                </w:rPr>
                <w:t>8</w:t>
              </w:r>
            </w:hyperlink>
            <w:hyperlink w:anchor="_87_Office_Multi-Language" w:history="1"/>
          </w:p>
        </w:tc>
        <w:tc>
          <w:tcPr>
            <w:tcW w:w="429" w:type="dxa"/>
            <w:tcBorders>
              <w:bottom w:val="single" w:sz="4" w:space="0" w:color="auto"/>
            </w:tcBorders>
            <w:shd w:val="clear" w:color="auto" w:fill="auto"/>
            <w:vAlign w:val="center"/>
          </w:tcPr>
          <w:p w:rsidR="00CC19FC" w:rsidRPr="00BD7CEA" w:rsidRDefault="00CC19FC" w:rsidP="004000C7">
            <w:pPr>
              <w:pStyle w:val="TableText"/>
              <w:widowControl w:val="0"/>
              <w:rPr>
                <w:rFonts w:ascii="Tahoma" w:hAnsi="Tahoma" w:cs="Tahoma"/>
                <w:sz w:val="13"/>
              </w:rPr>
            </w:pPr>
            <w:r w:rsidRPr="00BD7CEA">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1</w:t>
            </w:r>
          </w:p>
        </w:tc>
        <w:tc>
          <w:tcPr>
            <w:tcW w:w="429" w:type="dxa"/>
            <w:tcBorders>
              <w:bottom w:val="single" w:sz="4"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3</w:t>
            </w:r>
          </w:p>
        </w:tc>
        <w:tc>
          <w:tcPr>
            <w:tcW w:w="429" w:type="dxa"/>
            <w:tcBorders>
              <w:bottom w:val="single" w:sz="4"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2</w:t>
            </w:r>
          </w:p>
        </w:tc>
        <w:tc>
          <w:tcPr>
            <w:tcW w:w="429" w:type="dxa"/>
            <w:tcBorders>
              <w:bottom w:val="single" w:sz="4"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2</w:t>
            </w:r>
          </w:p>
        </w:tc>
        <w:tc>
          <w:tcPr>
            <w:tcW w:w="429" w:type="dxa"/>
            <w:tcBorders>
              <w:bottom w:val="single" w:sz="4"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2</w:t>
            </w:r>
          </w:p>
        </w:tc>
        <w:tc>
          <w:tcPr>
            <w:tcW w:w="429" w:type="dxa"/>
            <w:tcBorders>
              <w:bottom w:val="single" w:sz="4"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1</w:t>
            </w:r>
          </w:p>
        </w:tc>
        <w:tc>
          <w:tcPr>
            <w:tcW w:w="429" w:type="dxa"/>
            <w:tcBorders>
              <w:bottom w:val="single" w:sz="4"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BD7CEA" w:rsidRDefault="00CC19FC" w:rsidP="00080B33">
            <w:pPr>
              <w:pStyle w:val="TableText"/>
              <w:widowControl w:val="0"/>
              <w:rPr>
                <w:rFonts w:ascii="Tahoma" w:hAnsi="Tahoma" w:cs="Tahoma"/>
                <w:sz w:val="13"/>
              </w:rPr>
            </w:pPr>
            <w:r w:rsidRPr="00BD7CEA">
              <w:rPr>
                <w:rFonts w:ascii="Tahoma" w:hAnsi="Tahoma" w:cs="Tahoma"/>
                <w:sz w:val="13"/>
              </w:rPr>
              <w:t>A</w:t>
            </w:r>
          </w:p>
        </w:tc>
        <w:tc>
          <w:tcPr>
            <w:tcW w:w="514" w:type="dxa"/>
            <w:tcBorders>
              <w:bottom w:val="single" w:sz="4"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p>
        </w:tc>
      </w:tr>
      <w:tr w:rsidR="00EF228F" w:rsidRPr="00BD7CEA" w:rsidTr="00C60100">
        <w:trPr>
          <w:cantSplit/>
          <w:trHeight w:val="422"/>
        </w:trPr>
        <w:tc>
          <w:tcPr>
            <w:tcW w:w="2638" w:type="dxa"/>
            <w:tcBorders>
              <w:bottom w:val="single" w:sz="4" w:space="0" w:color="auto"/>
            </w:tcBorders>
            <w:shd w:val="clear" w:color="auto" w:fill="FABF8F"/>
            <w:vAlign w:val="center"/>
          </w:tcPr>
          <w:p w:rsidR="00CC19FC" w:rsidRPr="00BD7CEA" w:rsidRDefault="00CC19FC" w:rsidP="00E215F4">
            <w:pPr>
              <w:pStyle w:val="ProductNames"/>
              <w:spacing w:beforeLines="20" w:before="48" w:afterLines="20" w:after="48"/>
              <w:rPr>
                <w:rFonts w:ascii="Tahoma" w:hAnsi="Tahoma" w:cs="Tahoma"/>
                <w:sz w:val="14"/>
              </w:rPr>
            </w:pPr>
            <w:bookmarkStart w:id="69" w:name="_Toc336337867"/>
            <w:bookmarkStart w:id="70" w:name="_Toc353375649"/>
            <w:r w:rsidRPr="00BD7CEA">
              <w:rPr>
                <w:rFonts w:ascii="Tahoma" w:hAnsi="Tahoma" w:cs="Tahoma"/>
                <w:sz w:val="14"/>
              </w:rPr>
              <w:t xml:space="preserve">Office Professional Plus </w:t>
            </w:r>
            <w:bookmarkEnd w:id="69"/>
            <w:r w:rsidRPr="00BD7CEA">
              <w:rPr>
                <w:rFonts w:ascii="Tahoma" w:hAnsi="Tahoma" w:cs="Tahoma"/>
                <w:sz w:val="14"/>
              </w:rPr>
              <w:t>2013</w:t>
            </w:r>
            <w:bookmarkEnd w:id="70"/>
          </w:p>
        </w:tc>
        <w:tc>
          <w:tcPr>
            <w:tcW w:w="429" w:type="dxa"/>
            <w:tcBorders>
              <w:bottom w:val="single" w:sz="4" w:space="0" w:color="auto"/>
            </w:tcBorders>
            <w:shd w:val="clear" w:color="auto" w:fill="FABF8F"/>
            <w:vAlign w:val="center"/>
          </w:tcPr>
          <w:p w:rsidR="00CC19FC" w:rsidRPr="00BD7CEA" w:rsidRDefault="006E5080" w:rsidP="00B0065F">
            <w:pPr>
              <w:pStyle w:val="TableText"/>
              <w:widowControl w:val="0"/>
              <w:rPr>
                <w:rStyle w:val="EndnoteReference"/>
                <w:b w:val="0"/>
                <w:color w:val="0000FF"/>
                <w:sz w:val="13"/>
                <w:szCs w:val="13"/>
                <w:u w:val="single"/>
              </w:rPr>
            </w:pPr>
            <w:hyperlink w:anchor="_9_Office_Professional" w:history="1">
              <w:r w:rsidR="00B0065F" w:rsidRPr="00BD7CEA">
                <w:rPr>
                  <w:rStyle w:val="Hyperlink"/>
                  <w:b/>
                  <w:sz w:val="13"/>
                  <w:szCs w:val="13"/>
                </w:rPr>
                <w:t>9</w:t>
              </w:r>
            </w:hyperlink>
          </w:p>
        </w:tc>
        <w:tc>
          <w:tcPr>
            <w:tcW w:w="429" w:type="dxa"/>
            <w:tcBorders>
              <w:bottom w:val="single" w:sz="4" w:space="0" w:color="auto"/>
            </w:tcBorders>
            <w:shd w:val="clear" w:color="auto" w:fill="FABF8F"/>
            <w:vAlign w:val="center"/>
          </w:tcPr>
          <w:p w:rsidR="00CC19FC" w:rsidRPr="00BD7CEA" w:rsidRDefault="00CC19FC" w:rsidP="004000C7">
            <w:pPr>
              <w:pStyle w:val="TableText"/>
              <w:widowControl w:val="0"/>
              <w:rPr>
                <w:rFonts w:ascii="Tahoma" w:hAnsi="Tahoma" w:cs="Tahoma"/>
                <w:sz w:val="13"/>
              </w:rPr>
            </w:pPr>
            <w:r w:rsidRPr="00BD7CEA">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2</w:t>
            </w:r>
          </w:p>
        </w:tc>
        <w:tc>
          <w:tcPr>
            <w:tcW w:w="429" w:type="dxa"/>
            <w:tcBorders>
              <w:bottom w:val="single" w:sz="4" w:space="0" w:color="auto"/>
            </w:tcBorders>
            <w:shd w:val="clear" w:color="auto" w:fill="FABF8F"/>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5</w:t>
            </w:r>
          </w:p>
        </w:tc>
        <w:tc>
          <w:tcPr>
            <w:tcW w:w="429" w:type="dxa"/>
            <w:tcBorders>
              <w:bottom w:val="single" w:sz="4" w:space="0" w:color="auto"/>
            </w:tcBorders>
            <w:shd w:val="clear" w:color="auto" w:fill="FABF8F"/>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4</w:t>
            </w:r>
          </w:p>
        </w:tc>
        <w:tc>
          <w:tcPr>
            <w:tcW w:w="429" w:type="dxa"/>
            <w:tcBorders>
              <w:bottom w:val="single" w:sz="4" w:space="0" w:color="auto"/>
            </w:tcBorders>
            <w:shd w:val="clear" w:color="auto" w:fill="FABF8F"/>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3</w:t>
            </w:r>
          </w:p>
        </w:tc>
        <w:tc>
          <w:tcPr>
            <w:tcW w:w="429" w:type="dxa"/>
            <w:tcBorders>
              <w:bottom w:val="single" w:sz="4" w:space="0" w:color="auto"/>
            </w:tcBorders>
            <w:shd w:val="clear" w:color="auto" w:fill="FABF8F"/>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3</w:t>
            </w:r>
          </w:p>
        </w:tc>
        <w:tc>
          <w:tcPr>
            <w:tcW w:w="429" w:type="dxa"/>
            <w:tcBorders>
              <w:bottom w:val="single" w:sz="4" w:space="0" w:color="auto"/>
            </w:tcBorders>
            <w:shd w:val="clear" w:color="auto" w:fill="FABF8F"/>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2</w:t>
            </w:r>
          </w:p>
        </w:tc>
        <w:tc>
          <w:tcPr>
            <w:tcW w:w="429" w:type="dxa"/>
            <w:tcBorders>
              <w:bottom w:val="single" w:sz="4" w:space="0" w:color="auto"/>
            </w:tcBorders>
            <w:shd w:val="clear" w:color="auto" w:fill="FABF8F"/>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CC19FC" w:rsidRPr="00BD7CEA" w:rsidRDefault="00CC19FC" w:rsidP="00097B90">
            <w:pPr>
              <w:pStyle w:val="TableText"/>
              <w:widowControl w:val="0"/>
              <w:rPr>
                <w:rFonts w:ascii="Tahoma" w:hAnsi="Tahoma" w:cs="Tahoma"/>
                <w:sz w:val="13"/>
              </w:rPr>
            </w:pPr>
            <w:r w:rsidRPr="00BD7CEA">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E, P</w:t>
            </w:r>
          </w:p>
        </w:tc>
        <w:tc>
          <w:tcPr>
            <w:tcW w:w="514" w:type="dxa"/>
            <w:tcBorders>
              <w:bottom w:val="single" w:sz="4" w:space="0" w:color="auto"/>
            </w:tcBorders>
            <w:shd w:val="clear" w:color="auto" w:fill="FABF8F"/>
            <w:vAlign w:val="center"/>
          </w:tcPr>
          <w:p w:rsidR="00CC19FC" w:rsidRPr="00BD7CEA" w:rsidRDefault="00CC19FC" w:rsidP="00080B33">
            <w:pPr>
              <w:pStyle w:val="TableText"/>
              <w:widowControl w:val="0"/>
              <w:rPr>
                <w:rFonts w:ascii="Tahoma" w:hAnsi="Tahoma" w:cs="Tahoma"/>
                <w:sz w:val="13"/>
              </w:rPr>
            </w:pPr>
            <w:r w:rsidRPr="00BD7CEA">
              <w:rPr>
                <w:rFonts w:ascii="Tahoma" w:hAnsi="Tahoma" w:cs="Tahoma"/>
                <w:sz w:val="13"/>
              </w:rPr>
              <w:t>E, ST</w:t>
            </w:r>
          </w:p>
        </w:tc>
        <w:tc>
          <w:tcPr>
            <w:tcW w:w="514" w:type="dxa"/>
            <w:tcBorders>
              <w:bottom w:val="single" w:sz="4" w:space="0" w:color="auto"/>
            </w:tcBorders>
            <w:shd w:val="clear" w:color="auto" w:fill="FABF8F"/>
            <w:vAlign w:val="center"/>
          </w:tcPr>
          <w:p w:rsidR="00CC19FC" w:rsidRPr="00BD7CEA" w:rsidRDefault="00CC19FC" w:rsidP="004B3534">
            <w:pPr>
              <w:pStyle w:val="TableText"/>
              <w:widowControl w:val="0"/>
              <w:rPr>
                <w:rFonts w:ascii="Tahoma" w:hAnsi="Tahoma" w:cs="Tahoma"/>
                <w:sz w:val="13"/>
              </w:rPr>
            </w:pPr>
          </w:p>
        </w:tc>
      </w:tr>
      <w:tr w:rsidR="00B33D0E" w:rsidRPr="00BD7CEA" w:rsidTr="007E466C">
        <w:trPr>
          <w:cantSplit/>
          <w:trHeight w:val="278"/>
        </w:trPr>
        <w:tc>
          <w:tcPr>
            <w:tcW w:w="2638" w:type="dxa"/>
            <w:tcBorders>
              <w:bottom w:val="single" w:sz="4" w:space="0" w:color="auto"/>
            </w:tcBorders>
            <w:shd w:val="clear" w:color="auto" w:fill="auto"/>
            <w:vAlign w:val="center"/>
          </w:tcPr>
          <w:p w:rsidR="00CC19FC" w:rsidRPr="00BD7CEA" w:rsidRDefault="00CC19FC" w:rsidP="00E215F4">
            <w:pPr>
              <w:pStyle w:val="Heading3"/>
              <w:spacing w:beforeLines="20" w:before="48" w:afterLines="20" w:after="48"/>
              <w:rPr>
                <w:rFonts w:ascii="Tahoma" w:hAnsi="Tahoma" w:cs="Tahoma"/>
                <w:b w:val="0"/>
                <w:sz w:val="14"/>
              </w:rPr>
            </w:pPr>
            <w:bookmarkStart w:id="71" w:name="_Toc336337868"/>
            <w:bookmarkStart w:id="72" w:name="_Toc353375650"/>
            <w:r w:rsidRPr="00BD7CEA">
              <w:rPr>
                <w:rFonts w:ascii="Tahoma" w:hAnsi="Tahoma" w:cs="Tahoma"/>
                <w:b w:val="0"/>
                <w:sz w:val="14"/>
              </w:rPr>
              <w:t xml:space="preserve">Office Standard </w:t>
            </w:r>
            <w:bookmarkEnd w:id="71"/>
            <w:r w:rsidRPr="00BD7CEA">
              <w:rPr>
                <w:rFonts w:ascii="Tahoma" w:hAnsi="Tahoma" w:cs="Tahoma"/>
                <w:b w:val="0"/>
                <w:sz w:val="14"/>
              </w:rPr>
              <w:t>2013</w:t>
            </w:r>
            <w:bookmarkEnd w:id="72"/>
            <w:r w:rsidRPr="00BD7CEA">
              <w:rPr>
                <w:rFonts w:ascii="Tahoma" w:hAnsi="Tahoma" w:cs="Tahoma"/>
                <w:b w:val="0"/>
                <w:sz w:val="14"/>
              </w:rPr>
              <w:t xml:space="preserve"> </w:t>
            </w:r>
          </w:p>
        </w:tc>
        <w:tc>
          <w:tcPr>
            <w:tcW w:w="429" w:type="dxa"/>
            <w:tcBorders>
              <w:bottom w:val="single" w:sz="4" w:space="0" w:color="auto"/>
            </w:tcBorders>
            <w:shd w:val="clear" w:color="auto" w:fill="auto"/>
            <w:vAlign w:val="center"/>
          </w:tcPr>
          <w:p w:rsidR="00CC19FC" w:rsidRPr="00BD7CEA" w:rsidRDefault="006E5080" w:rsidP="00B0065F">
            <w:pPr>
              <w:pStyle w:val="TableText"/>
              <w:widowControl w:val="0"/>
              <w:rPr>
                <w:rStyle w:val="EndnoteReference"/>
                <w:b w:val="0"/>
                <w:color w:val="0000FF"/>
                <w:sz w:val="13"/>
                <w:szCs w:val="13"/>
                <w:u w:val="single"/>
              </w:rPr>
            </w:pPr>
            <w:hyperlink w:anchor="_10_Office_Standard" w:history="1">
              <w:r w:rsidR="00B0065F" w:rsidRPr="00BD7CEA">
                <w:rPr>
                  <w:rStyle w:val="Hyperlink"/>
                  <w:b/>
                  <w:sz w:val="13"/>
                  <w:szCs w:val="13"/>
                </w:rPr>
                <w:t>10</w:t>
              </w:r>
            </w:hyperlink>
            <w:hyperlink w:anchor="_109_Office_Standard" w:history="1"/>
          </w:p>
        </w:tc>
        <w:tc>
          <w:tcPr>
            <w:tcW w:w="429" w:type="dxa"/>
            <w:tcBorders>
              <w:bottom w:val="single" w:sz="4" w:space="0" w:color="auto"/>
            </w:tcBorders>
            <w:shd w:val="clear" w:color="auto" w:fill="auto"/>
            <w:vAlign w:val="center"/>
          </w:tcPr>
          <w:p w:rsidR="00CC19FC" w:rsidRPr="00BD7CEA" w:rsidRDefault="00CC19FC" w:rsidP="004000C7">
            <w:pPr>
              <w:pStyle w:val="TableText"/>
              <w:widowControl w:val="0"/>
              <w:rPr>
                <w:rFonts w:ascii="Tahoma" w:hAnsi="Tahoma" w:cs="Tahoma"/>
                <w:sz w:val="13"/>
              </w:rPr>
            </w:pPr>
            <w:r w:rsidRPr="00BD7CEA">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BD7CEA" w:rsidRDefault="00CC19FC" w:rsidP="004B3534">
            <w:pPr>
              <w:pStyle w:val="TableText"/>
              <w:widowControl w:val="0"/>
              <w:rPr>
                <w:rFonts w:ascii="Tahoma" w:hAnsi="Tahoma" w:cs="Tahoma"/>
                <w:b/>
                <w:sz w:val="13"/>
              </w:rPr>
            </w:pPr>
            <w:r w:rsidRPr="00BD7CEA">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2</w:t>
            </w:r>
          </w:p>
        </w:tc>
        <w:tc>
          <w:tcPr>
            <w:tcW w:w="429" w:type="dxa"/>
            <w:tcBorders>
              <w:bottom w:val="single" w:sz="4"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5</w:t>
            </w:r>
          </w:p>
        </w:tc>
        <w:tc>
          <w:tcPr>
            <w:tcW w:w="429" w:type="dxa"/>
            <w:tcBorders>
              <w:bottom w:val="single" w:sz="4"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4</w:t>
            </w:r>
          </w:p>
        </w:tc>
        <w:tc>
          <w:tcPr>
            <w:tcW w:w="429" w:type="dxa"/>
            <w:tcBorders>
              <w:bottom w:val="single" w:sz="4"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3</w:t>
            </w:r>
          </w:p>
        </w:tc>
        <w:tc>
          <w:tcPr>
            <w:tcW w:w="429" w:type="dxa"/>
            <w:tcBorders>
              <w:bottom w:val="single" w:sz="4"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3</w:t>
            </w:r>
          </w:p>
        </w:tc>
        <w:tc>
          <w:tcPr>
            <w:tcW w:w="429" w:type="dxa"/>
            <w:tcBorders>
              <w:bottom w:val="single" w:sz="4"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2</w:t>
            </w:r>
          </w:p>
        </w:tc>
        <w:tc>
          <w:tcPr>
            <w:tcW w:w="429" w:type="dxa"/>
            <w:tcBorders>
              <w:bottom w:val="single" w:sz="4"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P</w:t>
            </w:r>
          </w:p>
        </w:tc>
        <w:tc>
          <w:tcPr>
            <w:tcW w:w="514" w:type="dxa"/>
            <w:tcBorders>
              <w:bottom w:val="single" w:sz="4" w:space="0" w:color="auto"/>
            </w:tcBorders>
            <w:shd w:val="clear" w:color="auto" w:fill="auto"/>
            <w:vAlign w:val="center"/>
          </w:tcPr>
          <w:p w:rsidR="00CC19FC" w:rsidRPr="00BD7CEA"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p>
        </w:tc>
      </w:tr>
      <w:tr w:rsidR="00EF228F" w:rsidRPr="00BD7CEA" w:rsidTr="00C60100">
        <w:trPr>
          <w:cantSplit/>
          <w:trHeight w:val="305"/>
        </w:trPr>
        <w:tc>
          <w:tcPr>
            <w:tcW w:w="2638" w:type="dxa"/>
            <w:tcBorders>
              <w:bottom w:val="single" w:sz="4" w:space="0" w:color="auto"/>
            </w:tcBorders>
            <w:shd w:val="clear" w:color="auto" w:fill="FABF8F"/>
          </w:tcPr>
          <w:p w:rsidR="00CC19FC" w:rsidRPr="00BD7CEA" w:rsidRDefault="00CC19FC" w:rsidP="00E215F4">
            <w:pPr>
              <w:pStyle w:val="Heading2"/>
              <w:spacing w:beforeLines="20" w:before="48" w:afterLines="20" w:after="48"/>
              <w:ind w:left="0"/>
              <w:rPr>
                <w:rFonts w:ascii="Tahoma" w:hAnsi="Tahoma" w:cs="Tahoma"/>
                <w:b w:val="0"/>
                <w:sz w:val="14"/>
              </w:rPr>
            </w:pPr>
            <w:bookmarkStart w:id="73" w:name="_Toc336337869"/>
            <w:bookmarkStart w:id="74" w:name="_Toc353375651"/>
            <w:r w:rsidRPr="00BD7CEA">
              <w:rPr>
                <w:rFonts w:ascii="Tahoma" w:hAnsi="Tahoma" w:cs="Tahoma"/>
                <w:b w:val="0"/>
                <w:sz w:val="14"/>
              </w:rPr>
              <w:t>Office 365 ProPlus (SL per Utente)</w:t>
            </w:r>
            <w:bookmarkEnd w:id="73"/>
            <w:bookmarkEnd w:id="74"/>
          </w:p>
        </w:tc>
        <w:tc>
          <w:tcPr>
            <w:tcW w:w="429" w:type="dxa"/>
            <w:tcBorders>
              <w:bottom w:val="single" w:sz="4" w:space="0" w:color="auto"/>
            </w:tcBorders>
            <w:shd w:val="clear" w:color="auto" w:fill="FABF8F"/>
          </w:tcPr>
          <w:p w:rsidR="00CC19FC" w:rsidRPr="00BD7CEA" w:rsidRDefault="006E5080" w:rsidP="00B0065F">
            <w:pPr>
              <w:pStyle w:val="TableText"/>
              <w:widowControl w:val="0"/>
              <w:spacing w:before="120"/>
              <w:rPr>
                <w:b/>
                <w:color w:val="0000FF"/>
                <w:sz w:val="13"/>
                <w:szCs w:val="13"/>
                <w:u w:val="single"/>
              </w:rPr>
            </w:pPr>
            <w:hyperlink w:anchor="_11_Office_365" w:history="1">
              <w:r w:rsidR="00955428" w:rsidRPr="00BD7CEA">
                <w:rPr>
                  <w:rStyle w:val="Hyperlink"/>
                  <w:b/>
                  <w:sz w:val="13"/>
                  <w:szCs w:val="13"/>
                </w:rPr>
                <w:t>11</w:t>
              </w:r>
            </w:hyperlink>
            <w:hyperlink w:anchor="Aps_9OfficeProPlusSubUserSL" w:history="1"/>
          </w:p>
        </w:tc>
        <w:tc>
          <w:tcPr>
            <w:tcW w:w="429" w:type="dxa"/>
            <w:tcBorders>
              <w:bottom w:val="single" w:sz="4" w:space="0" w:color="auto"/>
            </w:tcBorders>
            <w:shd w:val="clear" w:color="auto" w:fill="FABF8F"/>
            <w:vAlign w:val="center"/>
          </w:tcPr>
          <w:p w:rsidR="00CC19FC" w:rsidRPr="00BD7CEA" w:rsidRDefault="00CC19FC" w:rsidP="004000C7">
            <w:pPr>
              <w:pStyle w:val="TableText"/>
              <w:rPr>
                <w:rFonts w:ascii="Tahoma" w:hAnsi="Tahoma" w:cs="Tahoma"/>
                <w:sz w:val="13"/>
              </w:rPr>
            </w:pPr>
            <w:r w:rsidRPr="00BD7CEA">
              <w:rPr>
                <w:rFonts w:ascii="Tahoma" w:hAnsi="Tahoma" w:cs="Tahoma"/>
                <w:sz w:val="13"/>
              </w:rPr>
              <w:t>06/11</w:t>
            </w:r>
          </w:p>
        </w:tc>
        <w:tc>
          <w:tcPr>
            <w:tcW w:w="429" w:type="dxa"/>
            <w:tcBorders>
              <w:bottom w:val="single" w:sz="4" w:space="0" w:color="auto"/>
              <w:right w:val="single" w:sz="18" w:space="0" w:color="auto"/>
            </w:tcBorders>
            <w:shd w:val="clear" w:color="auto" w:fill="FABF8F"/>
          </w:tcPr>
          <w:p w:rsidR="00CC19FC" w:rsidRPr="00BD7CEA"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tcPr>
          <w:p w:rsidR="00CC19FC" w:rsidRPr="00BD7CEA" w:rsidRDefault="00CC19FC" w:rsidP="004B3534">
            <w:pPr>
              <w:pStyle w:val="TableText"/>
              <w:rPr>
                <w:rFonts w:ascii="Tahoma" w:hAnsi="Tahoma" w:cs="Tahoma"/>
                <w:sz w:val="13"/>
              </w:rPr>
            </w:pPr>
          </w:p>
        </w:tc>
        <w:tc>
          <w:tcPr>
            <w:tcW w:w="429" w:type="dxa"/>
            <w:tcBorders>
              <w:bottom w:val="single" w:sz="4" w:space="0" w:color="auto"/>
            </w:tcBorders>
            <w:shd w:val="clear" w:color="auto" w:fill="FABF8F"/>
          </w:tcPr>
          <w:p w:rsidR="00CC19FC" w:rsidRPr="00BD7CEA" w:rsidRDefault="00CC19FC" w:rsidP="004B3534">
            <w:pPr>
              <w:pStyle w:val="TableText"/>
              <w:rPr>
                <w:rFonts w:ascii="Tahoma" w:hAnsi="Tahoma" w:cs="Tahoma"/>
                <w:sz w:val="13"/>
              </w:rPr>
            </w:pPr>
          </w:p>
        </w:tc>
        <w:tc>
          <w:tcPr>
            <w:tcW w:w="429" w:type="dxa"/>
            <w:tcBorders>
              <w:bottom w:val="single" w:sz="4" w:space="0" w:color="auto"/>
            </w:tcBorders>
            <w:shd w:val="clear" w:color="auto" w:fill="FABF8F"/>
          </w:tcPr>
          <w:p w:rsidR="00CC19FC" w:rsidRPr="00BD7CEA" w:rsidRDefault="00CC19FC" w:rsidP="004B3534">
            <w:pPr>
              <w:pStyle w:val="TableText"/>
              <w:rPr>
                <w:rFonts w:ascii="Tahoma" w:hAnsi="Tahoma" w:cs="Tahoma"/>
                <w:sz w:val="13"/>
              </w:rPr>
            </w:pPr>
          </w:p>
        </w:tc>
        <w:tc>
          <w:tcPr>
            <w:tcW w:w="429" w:type="dxa"/>
            <w:tcBorders>
              <w:bottom w:val="single" w:sz="4" w:space="0" w:color="auto"/>
            </w:tcBorders>
            <w:shd w:val="clear" w:color="auto" w:fill="FABF8F"/>
          </w:tcPr>
          <w:p w:rsidR="00CC19FC" w:rsidRPr="00BD7CEA" w:rsidRDefault="00CC19FC" w:rsidP="004B3534">
            <w:pPr>
              <w:pStyle w:val="TableText"/>
              <w:rPr>
                <w:rFonts w:ascii="Tahoma" w:hAnsi="Tahoma" w:cs="Tahoma"/>
                <w:sz w:val="13"/>
              </w:rPr>
            </w:pPr>
          </w:p>
        </w:tc>
        <w:tc>
          <w:tcPr>
            <w:tcW w:w="429" w:type="dxa"/>
            <w:tcBorders>
              <w:bottom w:val="single" w:sz="4" w:space="0" w:color="auto"/>
            </w:tcBorders>
            <w:shd w:val="clear" w:color="auto" w:fill="FABF8F"/>
          </w:tcPr>
          <w:p w:rsidR="00CC19FC" w:rsidRPr="00BD7CEA" w:rsidRDefault="00CC19FC" w:rsidP="004B3534">
            <w:pPr>
              <w:pStyle w:val="TableText"/>
              <w:rPr>
                <w:rFonts w:ascii="Tahoma" w:hAnsi="Tahoma" w:cs="Tahoma"/>
                <w:sz w:val="13"/>
              </w:rPr>
            </w:pPr>
          </w:p>
        </w:tc>
        <w:tc>
          <w:tcPr>
            <w:tcW w:w="429" w:type="dxa"/>
            <w:tcBorders>
              <w:bottom w:val="single" w:sz="4" w:space="0" w:color="auto"/>
            </w:tcBorders>
            <w:shd w:val="clear" w:color="auto" w:fill="FABF8F"/>
          </w:tcPr>
          <w:p w:rsidR="00CC19FC" w:rsidRPr="00BD7CEA"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tcPr>
          <w:p w:rsidR="00CC19FC" w:rsidRPr="00BD7CEA"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tcPr>
          <w:p w:rsidR="00CC19FC" w:rsidRPr="00BD7CEA" w:rsidRDefault="00CC19FC" w:rsidP="004B3534">
            <w:pPr>
              <w:pStyle w:val="TableText"/>
              <w:rPr>
                <w:rFonts w:ascii="Tahoma" w:hAnsi="Tahoma" w:cs="Tahoma"/>
                <w:sz w:val="13"/>
              </w:rPr>
            </w:pPr>
          </w:p>
        </w:tc>
        <w:tc>
          <w:tcPr>
            <w:tcW w:w="429" w:type="dxa"/>
            <w:tcBorders>
              <w:bottom w:val="single" w:sz="4" w:space="0" w:color="auto"/>
            </w:tcBorders>
            <w:shd w:val="clear" w:color="auto" w:fill="FABF8F"/>
          </w:tcPr>
          <w:p w:rsidR="00CC19FC" w:rsidRPr="00BD7CEA"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tcPr>
          <w:p w:rsidR="00CC19FC" w:rsidRPr="00BD7CEA"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tcPr>
          <w:p w:rsidR="00CC19FC" w:rsidRPr="00BD7CEA"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BD7CEA" w:rsidRDefault="00CC19FC" w:rsidP="00140B67">
            <w:pPr>
              <w:pStyle w:val="TableText"/>
              <w:rPr>
                <w:rFonts w:ascii="Tahoma" w:hAnsi="Tahoma" w:cs="Tahoma"/>
                <w:sz w:val="13"/>
              </w:rPr>
            </w:pPr>
            <w:r w:rsidRPr="00BD7CEA">
              <w:rPr>
                <w:rFonts w:ascii="Tahoma" w:hAnsi="Tahoma" w:cs="Tahoma"/>
                <w:sz w:val="13"/>
              </w:rPr>
              <w:t>E, S</w:t>
            </w:r>
          </w:p>
        </w:tc>
        <w:tc>
          <w:tcPr>
            <w:tcW w:w="429" w:type="dxa"/>
            <w:tcBorders>
              <w:left w:val="single" w:sz="18" w:space="0" w:color="auto"/>
              <w:bottom w:val="single" w:sz="4" w:space="0" w:color="auto"/>
              <w:right w:val="single" w:sz="18" w:space="0" w:color="auto"/>
            </w:tcBorders>
            <w:shd w:val="clear" w:color="auto" w:fill="FABF8F"/>
          </w:tcPr>
          <w:p w:rsidR="00CC19FC" w:rsidRPr="00BD7CEA"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BD7CEA" w:rsidRDefault="00CC19FC" w:rsidP="00080B33">
            <w:pPr>
              <w:pStyle w:val="TableText"/>
              <w:rPr>
                <w:rFonts w:ascii="Tahoma" w:hAnsi="Tahoma" w:cs="Tahoma"/>
                <w:sz w:val="13"/>
              </w:rPr>
            </w:pPr>
          </w:p>
        </w:tc>
        <w:tc>
          <w:tcPr>
            <w:tcW w:w="514" w:type="dxa"/>
            <w:tcBorders>
              <w:bottom w:val="single" w:sz="4" w:space="0" w:color="auto"/>
            </w:tcBorders>
            <w:shd w:val="clear" w:color="auto" w:fill="FABF8F"/>
          </w:tcPr>
          <w:p w:rsidR="00CC19FC" w:rsidRPr="00BD7CEA" w:rsidRDefault="00CC19FC" w:rsidP="004B3534">
            <w:pPr>
              <w:pStyle w:val="TableText"/>
              <w:rPr>
                <w:rFonts w:ascii="Tahoma" w:hAnsi="Tahoma" w:cs="Tahoma"/>
                <w:sz w:val="13"/>
              </w:rPr>
            </w:pPr>
          </w:p>
        </w:tc>
      </w:tr>
      <w:tr w:rsidR="002253A3" w:rsidRPr="00BD7CEA" w:rsidTr="002253A3">
        <w:trPr>
          <w:cantSplit/>
          <w:trHeight w:val="305"/>
        </w:trPr>
        <w:tc>
          <w:tcPr>
            <w:tcW w:w="2638" w:type="dxa"/>
            <w:tcBorders>
              <w:bottom w:val="single" w:sz="4" w:space="0" w:color="auto"/>
            </w:tcBorders>
            <w:shd w:val="clear" w:color="auto" w:fill="auto"/>
            <w:vAlign w:val="center"/>
          </w:tcPr>
          <w:p w:rsidR="003418C5" w:rsidRPr="00BD7CEA" w:rsidRDefault="003418C5" w:rsidP="00E215F4">
            <w:pPr>
              <w:pStyle w:val="Heading2"/>
              <w:spacing w:beforeLines="20" w:before="48" w:afterLines="20" w:after="48"/>
              <w:ind w:left="0"/>
              <w:rPr>
                <w:rFonts w:ascii="Tahoma" w:hAnsi="Tahoma" w:cs="Tahoma"/>
                <w:b w:val="0"/>
                <w:sz w:val="14"/>
              </w:rPr>
            </w:pPr>
            <w:bookmarkStart w:id="75" w:name="_Toc353375652"/>
            <w:r w:rsidRPr="00BD7CEA">
              <w:rPr>
                <w:rFonts w:ascii="Tahoma" w:hAnsi="Tahoma" w:cs="Tahoma"/>
                <w:b w:val="0"/>
                <w:sz w:val="14"/>
              </w:rPr>
              <w:t xml:space="preserve">Office 365 ProPlus SA Transition </w:t>
            </w:r>
            <w:r w:rsidR="008D782D" w:rsidRPr="00BD7CEA">
              <w:rPr>
                <w:rFonts w:ascii="Tahoma" w:hAnsi="Tahoma" w:cs="Tahoma"/>
                <w:b w:val="0"/>
                <w:sz w:val="14"/>
              </w:rPr>
              <w:br/>
            </w:r>
            <w:r w:rsidRPr="00BD7CEA">
              <w:rPr>
                <w:rFonts w:ascii="Tahoma" w:hAnsi="Tahoma" w:cs="Tahoma"/>
                <w:b w:val="0"/>
                <w:sz w:val="14"/>
              </w:rPr>
              <w:t>(SL per Utente)</w:t>
            </w:r>
            <w:bookmarkEnd w:id="75"/>
          </w:p>
        </w:tc>
        <w:tc>
          <w:tcPr>
            <w:tcW w:w="429" w:type="dxa"/>
            <w:tcBorders>
              <w:bottom w:val="single" w:sz="4" w:space="0" w:color="auto"/>
            </w:tcBorders>
            <w:shd w:val="clear" w:color="auto" w:fill="auto"/>
            <w:vAlign w:val="center"/>
          </w:tcPr>
          <w:p w:rsidR="003418C5" w:rsidRPr="00BD7CEA" w:rsidRDefault="006E5080" w:rsidP="00B0065F">
            <w:pPr>
              <w:pStyle w:val="TableText"/>
              <w:widowControl w:val="0"/>
              <w:rPr>
                <w:b/>
                <w:color w:val="0000FF"/>
                <w:sz w:val="13"/>
                <w:szCs w:val="13"/>
                <w:u w:val="single"/>
              </w:rPr>
            </w:pPr>
            <w:hyperlink w:anchor="_11_Office_365" w:history="1">
              <w:r w:rsidR="003E3E1F" w:rsidRPr="00BD7CEA">
                <w:rPr>
                  <w:rStyle w:val="Hyperlink"/>
                  <w:b/>
                  <w:sz w:val="13"/>
                  <w:szCs w:val="13"/>
                </w:rPr>
                <w:t>11</w:t>
              </w:r>
            </w:hyperlink>
          </w:p>
        </w:tc>
        <w:tc>
          <w:tcPr>
            <w:tcW w:w="429" w:type="dxa"/>
            <w:tcBorders>
              <w:bottom w:val="single" w:sz="4" w:space="0" w:color="auto"/>
            </w:tcBorders>
            <w:shd w:val="clear" w:color="auto" w:fill="auto"/>
            <w:vAlign w:val="center"/>
          </w:tcPr>
          <w:p w:rsidR="003418C5" w:rsidRPr="00BD7CEA" w:rsidRDefault="003418C5" w:rsidP="004000C7">
            <w:pPr>
              <w:pStyle w:val="TableText"/>
              <w:rPr>
                <w:rFonts w:ascii="Tahoma" w:hAnsi="Tahoma" w:cs="Tahoma"/>
                <w:sz w:val="13"/>
              </w:rPr>
            </w:pPr>
            <w:r w:rsidRPr="00BD7CEA">
              <w:rPr>
                <w:rFonts w:ascii="Tahoma" w:hAnsi="Tahoma" w:cs="Tahoma"/>
                <w:sz w:val="13"/>
              </w:rPr>
              <w:t>04/13</w:t>
            </w:r>
          </w:p>
        </w:tc>
        <w:tc>
          <w:tcPr>
            <w:tcW w:w="429" w:type="dxa"/>
            <w:tcBorders>
              <w:bottom w:val="single" w:sz="4" w:space="0" w:color="auto"/>
              <w:right w:val="single" w:sz="18" w:space="0" w:color="auto"/>
            </w:tcBorders>
            <w:shd w:val="clear" w:color="auto" w:fill="auto"/>
            <w:vAlign w:val="center"/>
          </w:tcPr>
          <w:p w:rsidR="003418C5" w:rsidRPr="00BD7CEA" w:rsidRDefault="003418C5"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3418C5" w:rsidRPr="00BD7CEA" w:rsidRDefault="003418C5"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3418C5" w:rsidRPr="00BD7CEA" w:rsidRDefault="003418C5"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3418C5" w:rsidRPr="00BD7CEA" w:rsidRDefault="003418C5"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3418C5" w:rsidRPr="00BD7CEA" w:rsidRDefault="003418C5"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3418C5" w:rsidRPr="00BD7CEA" w:rsidRDefault="003418C5"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3418C5" w:rsidRPr="00BD7CEA" w:rsidRDefault="003418C5"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3418C5" w:rsidRPr="00BD7CEA" w:rsidRDefault="003418C5"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3418C5" w:rsidRPr="00BD7CEA" w:rsidRDefault="003418C5"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3418C5" w:rsidRPr="00BD7CEA" w:rsidRDefault="003418C5"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3418C5" w:rsidRPr="00BD7CEA" w:rsidRDefault="003418C5"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3418C5" w:rsidRPr="00BD7CEA" w:rsidRDefault="003418C5"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3418C5" w:rsidRPr="00BD7CEA" w:rsidRDefault="003418C5" w:rsidP="004B3534">
            <w:pPr>
              <w:pStyle w:val="TableText"/>
              <w:rPr>
                <w:rFonts w:ascii="Tahoma" w:hAnsi="Tahoma" w:cs="Tahoma"/>
                <w:sz w:val="13"/>
              </w:rPr>
            </w:pPr>
            <w:r w:rsidRPr="00BD7CEA">
              <w:rPr>
                <w:rFonts w:ascii="Tahoma" w:hAnsi="Tahoma" w:cs="Tahoma"/>
                <w:sz w:val="13"/>
              </w:rPr>
              <w:t>E, S</w:t>
            </w:r>
          </w:p>
        </w:tc>
        <w:tc>
          <w:tcPr>
            <w:tcW w:w="429" w:type="dxa"/>
            <w:tcBorders>
              <w:left w:val="single" w:sz="18" w:space="0" w:color="auto"/>
              <w:bottom w:val="single" w:sz="4" w:space="0" w:color="auto"/>
              <w:right w:val="single" w:sz="18" w:space="0" w:color="auto"/>
            </w:tcBorders>
            <w:shd w:val="clear" w:color="auto" w:fill="auto"/>
            <w:vAlign w:val="center"/>
          </w:tcPr>
          <w:p w:rsidR="003418C5" w:rsidRPr="00BD7CEA" w:rsidRDefault="003418C5"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rsidR="003418C5" w:rsidRPr="00BD7CEA" w:rsidRDefault="003418C5"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rsidR="003418C5" w:rsidRPr="00BD7CEA" w:rsidRDefault="003418C5" w:rsidP="004B3534">
            <w:pPr>
              <w:pStyle w:val="TableText"/>
              <w:rPr>
                <w:rFonts w:ascii="Tahoma" w:hAnsi="Tahoma" w:cs="Tahoma"/>
                <w:sz w:val="13"/>
              </w:rPr>
            </w:pPr>
          </w:p>
        </w:tc>
      </w:tr>
      <w:tr w:rsidR="00EF228F" w:rsidRPr="00BD7CEA" w:rsidTr="00C60100">
        <w:trPr>
          <w:cantSplit/>
          <w:trHeight w:val="305"/>
        </w:trPr>
        <w:tc>
          <w:tcPr>
            <w:tcW w:w="2638" w:type="dxa"/>
            <w:tcBorders>
              <w:bottom w:val="single" w:sz="4" w:space="0" w:color="auto"/>
            </w:tcBorders>
            <w:shd w:val="clear" w:color="auto" w:fill="FABF8F"/>
            <w:vAlign w:val="center"/>
          </w:tcPr>
          <w:p w:rsidR="00CC19FC" w:rsidRPr="007B74B7" w:rsidRDefault="00CC19FC" w:rsidP="00E215F4">
            <w:pPr>
              <w:pStyle w:val="Heading2"/>
              <w:spacing w:beforeLines="20" w:before="48" w:afterLines="20" w:after="48"/>
              <w:ind w:left="0"/>
              <w:rPr>
                <w:rFonts w:ascii="Tahoma" w:hAnsi="Tahoma" w:cs="Tahoma"/>
                <w:b w:val="0"/>
                <w:sz w:val="14"/>
                <w:lang w:val="it-IT"/>
              </w:rPr>
            </w:pPr>
            <w:bookmarkStart w:id="76" w:name="_Toc336337870"/>
            <w:bookmarkStart w:id="77" w:name="_Toc353375653"/>
            <w:r w:rsidRPr="007B74B7">
              <w:rPr>
                <w:rFonts w:ascii="Tahoma" w:hAnsi="Tahoma" w:cs="Tahoma"/>
                <w:b w:val="0"/>
                <w:sz w:val="14"/>
                <w:lang w:val="it-IT"/>
              </w:rPr>
              <w:lastRenderedPageBreak/>
              <w:t>Sottoscrizione Office Professional Plus A (SL per Utente)</w:t>
            </w:r>
            <w:bookmarkEnd w:id="76"/>
            <w:bookmarkEnd w:id="77"/>
          </w:p>
        </w:tc>
        <w:tc>
          <w:tcPr>
            <w:tcW w:w="429" w:type="dxa"/>
            <w:tcBorders>
              <w:bottom w:val="single" w:sz="4" w:space="0" w:color="auto"/>
            </w:tcBorders>
            <w:shd w:val="clear" w:color="auto" w:fill="FABF8F"/>
            <w:vAlign w:val="center"/>
          </w:tcPr>
          <w:p w:rsidR="00CC19FC" w:rsidRPr="007B74B7" w:rsidRDefault="00CC19FC" w:rsidP="00761E3B">
            <w:pPr>
              <w:pStyle w:val="TableText"/>
              <w:widowControl w:val="0"/>
              <w:rPr>
                <w:color w:val="0000FF"/>
                <w:sz w:val="13"/>
                <w:szCs w:val="13"/>
                <w:u w:val="single"/>
                <w:lang w:val="it-IT"/>
              </w:rPr>
            </w:pPr>
          </w:p>
        </w:tc>
        <w:tc>
          <w:tcPr>
            <w:tcW w:w="429" w:type="dxa"/>
            <w:tcBorders>
              <w:bottom w:val="single" w:sz="4" w:space="0" w:color="auto"/>
            </w:tcBorders>
            <w:shd w:val="clear" w:color="auto" w:fill="FABF8F"/>
            <w:vAlign w:val="center"/>
          </w:tcPr>
          <w:p w:rsidR="00CC19FC" w:rsidRPr="00BD7CEA" w:rsidRDefault="00CC19FC" w:rsidP="004000C7">
            <w:pPr>
              <w:pStyle w:val="TableText"/>
              <w:rPr>
                <w:rFonts w:ascii="Tahoma" w:hAnsi="Tahoma" w:cs="Tahoma"/>
                <w:sz w:val="13"/>
              </w:rPr>
            </w:pPr>
            <w:r w:rsidRPr="00BD7CEA">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rsidR="00CC19FC" w:rsidRPr="00BD7CEA"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BD7CEA"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BD7CEA"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BD7CEA"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BD7CEA"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BD7CEA"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BD7CEA"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BD7CEA"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BD7CEA"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BD7CEA"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BD7CEA"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BD7CEA"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BD7CEA" w:rsidRDefault="00CC19FC" w:rsidP="00080B33">
            <w:pPr>
              <w:pStyle w:val="TableText"/>
              <w:rPr>
                <w:rFonts w:ascii="Tahoma" w:hAnsi="Tahoma" w:cs="Tahoma"/>
                <w:sz w:val="13"/>
              </w:rPr>
            </w:pPr>
            <w:r w:rsidRPr="00BD7CEA">
              <w:rPr>
                <w:rFonts w:ascii="Tahoma" w:hAnsi="Tahoma" w:cs="Tahoma"/>
                <w:sz w:val="13"/>
              </w:rPr>
              <w:t>E (Solo EES)</w:t>
            </w:r>
          </w:p>
        </w:tc>
        <w:tc>
          <w:tcPr>
            <w:tcW w:w="514" w:type="dxa"/>
            <w:tcBorders>
              <w:bottom w:val="single" w:sz="4" w:space="0" w:color="auto"/>
            </w:tcBorders>
            <w:shd w:val="clear" w:color="auto" w:fill="FABF8F"/>
            <w:vAlign w:val="center"/>
          </w:tcPr>
          <w:p w:rsidR="00CC19FC" w:rsidRPr="00BD7CEA" w:rsidRDefault="00CC19FC" w:rsidP="004B3534">
            <w:pPr>
              <w:pStyle w:val="TableText"/>
              <w:rPr>
                <w:rFonts w:ascii="Tahoma" w:hAnsi="Tahoma" w:cs="Tahoma"/>
                <w:sz w:val="13"/>
              </w:rPr>
            </w:pPr>
          </w:p>
        </w:tc>
      </w:tr>
      <w:tr w:rsidR="00792825" w:rsidRPr="00BD7CEA" w:rsidTr="007E466C">
        <w:trPr>
          <w:cantSplit/>
          <w:trHeight w:val="305"/>
        </w:trPr>
        <w:tc>
          <w:tcPr>
            <w:tcW w:w="2638" w:type="dxa"/>
            <w:tcBorders>
              <w:bottom w:val="single" w:sz="4" w:space="0" w:color="auto"/>
            </w:tcBorders>
            <w:shd w:val="clear" w:color="auto" w:fill="auto"/>
            <w:vAlign w:val="center"/>
          </w:tcPr>
          <w:p w:rsidR="00CC19FC" w:rsidRPr="00BD7CEA" w:rsidRDefault="00CC19FC" w:rsidP="00E215F4">
            <w:pPr>
              <w:pStyle w:val="Heading2"/>
              <w:spacing w:beforeLines="20" w:before="48" w:afterLines="20" w:after="48"/>
              <w:ind w:left="0"/>
              <w:rPr>
                <w:rFonts w:ascii="Tahoma" w:hAnsi="Tahoma" w:cs="Tahoma"/>
                <w:b w:val="0"/>
                <w:sz w:val="14"/>
              </w:rPr>
            </w:pPr>
            <w:bookmarkStart w:id="78" w:name="_Toc336337873"/>
            <w:bookmarkStart w:id="79" w:name="_Toc353375654"/>
            <w:r w:rsidRPr="00BD7CEA">
              <w:rPr>
                <w:rFonts w:ascii="Tahoma" w:hAnsi="Tahoma" w:cs="Tahoma"/>
                <w:b w:val="0"/>
                <w:sz w:val="14"/>
              </w:rPr>
              <w:t>OneNote</w:t>
            </w:r>
            <w:r w:rsidR="00700C4B" w:rsidRPr="00BD7CEA">
              <w:rPr>
                <w:rFonts w:ascii="Tahoma" w:hAnsi="Tahoma" w:cs="Tahoma"/>
                <w:b w:val="0"/>
                <w:sz w:val="14"/>
                <w:vertAlign w:val="superscript"/>
              </w:rPr>
              <w:t>®</w:t>
            </w:r>
            <w:r w:rsidRPr="00BD7CEA">
              <w:rPr>
                <w:rFonts w:ascii="Tahoma" w:hAnsi="Tahoma" w:cs="Tahoma"/>
                <w:b w:val="0"/>
                <w:sz w:val="14"/>
              </w:rPr>
              <w:t xml:space="preserve"> </w:t>
            </w:r>
            <w:bookmarkEnd w:id="78"/>
            <w:r w:rsidRPr="00BD7CEA">
              <w:rPr>
                <w:rFonts w:ascii="Tahoma" w:hAnsi="Tahoma" w:cs="Tahoma"/>
                <w:b w:val="0"/>
                <w:sz w:val="14"/>
              </w:rPr>
              <w:t>2013</w:t>
            </w:r>
            <w:bookmarkEnd w:id="79"/>
          </w:p>
        </w:tc>
        <w:tc>
          <w:tcPr>
            <w:tcW w:w="429" w:type="dxa"/>
            <w:tcBorders>
              <w:bottom w:val="single" w:sz="4" w:space="0" w:color="auto"/>
            </w:tcBorders>
            <w:shd w:val="clear" w:color="auto" w:fill="auto"/>
            <w:vAlign w:val="center"/>
          </w:tcPr>
          <w:p w:rsidR="00CC19FC" w:rsidRPr="00BD7CEA" w:rsidRDefault="00CC19FC" w:rsidP="00761E3B">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auto"/>
            <w:vAlign w:val="center"/>
          </w:tcPr>
          <w:p w:rsidR="00CC19FC" w:rsidRPr="00BD7CEA" w:rsidRDefault="00CC19FC" w:rsidP="004000C7">
            <w:pPr>
              <w:pStyle w:val="TableText"/>
              <w:rPr>
                <w:rFonts w:ascii="Tahoma" w:hAnsi="Tahoma" w:cs="Tahoma"/>
                <w:sz w:val="13"/>
              </w:rPr>
            </w:pPr>
            <w:r w:rsidRPr="00BD7CEA">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1</w:t>
            </w:r>
          </w:p>
        </w:tc>
        <w:tc>
          <w:tcPr>
            <w:tcW w:w="429" w:type="dxa"/>
            <w:tcBorders>
              <w:bottom w:val="single" w:sz="4" w:space="0" w:color="auto"/>
            </w:tcBorders>
            <w:shd w:val="clear" w:color="auto" w:fill="auto"/>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3</w:t>
            </w:r>
          </w:p>
        </w:tc>
        <w:tc>
          <w:tcPr>
            <w:tcW w:w="429" w:type="dxa"/>
            <w:tcBorders>
              <w:bottom w:val="single" w:sz="4" w:space="0" w:color="auto"/>
            </w:tcBorders>
            <w:shd w:val="clear" w:color="auto" w:fill="auto"/>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2</w:t>
            </w:r>
          </w:p>
        </w:tc>
        <w:tc>
          <w:tcPr>
            <w:tcW w:w="429" w:type="dxa"/>
            <w:tcBorders>
              <w:bottom w:val="single" w:sz="4" w:space="0" w:color="auto"/>
            </w:tcBorders>
            <w:shd w:val="clear" w:color="auto" w:fill="auto"/>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2</w:t>
            </w:r>
          </w:p>
        </w:tc>
        <w:tc>
          <w:tcPr>
            <w:tcW w:w="429" w:type="dxa"/>
            <w:tcBorders>
              <w:bottom w:val="single" w:sz="4" w:space="0" w:color="auto"/>
            </w:tcBorders>
            <w:shd w:val="clear" w:color="auto" w:fill="auto"/>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2</w:t>
            </w:r>
          </w:p>
        </w:tc>
        <w:tc>
          <w:tcPr>
            <w:tcW w:w="429" w:type="dxa"/>
            <w:tcBorders>
              <w:bottom w:val="single" w:sz="4" w:space="0" w:color="auto"/>
            </w:tcBorders>
            <w:shd w:val="clear" w:color="auto" w:fill="auto"/>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1</w:t>
            </w:r>
          </w:p>
        </w:tc>
        <w:tc>
          <w:tcPr>
            <w:tcW w:w="429" w:type="dxa"/>
            <w:tcBorders>
              <w:bottom w:val="single" w:sz="4" w:space="0" w:color="auto"/>
            </w:tcBorders>
            <w:shd w:val="clear" w:color="auto" w:fill="auto"/>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BD7CEA"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BD7CEA"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P</w:t>
            </w:r>
          </w:p>
        </w:tc>
        <w:tc>
          <w:tcPr>
            <w:tcW w:w="514" w:type="dxa"/>
            <w:tcBorders>
              <w:bottom w:val="single" w:sz="4" w:space="0" w:color="auto"/>
            </w:tcBorders>
            <w:shd w:val="clear" w:color="auto" w:fill="auto"/>
          </w:tcPr>
          <w:p w:rsidR="00CC19FC" w:rsidRPr="00BD7CEA"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BD7CEA" w:rsidRDefault="00CC19FC" w:rsidP="004B3534">
            <w:pPr>
              <w:pStyle w:val="TableText"/>
              <w:rPr>
                <w:rFonts w:ascii="Tahoma" w:hAnsi="Tahoma" w:cs="Tahoma"/>
                <w:sz w:val="13"/>
              </w:rPr>
            </w:pPr>
          </w:p>
        </w:tc>
      </w:tr>
      <w:tr w:rsidR="00EF228F" w:rsidRPr="00BD7CEA" w:rsidTr="00C60100">
        <w:trPr>
          <w:cantSplit/>
          <w:trHeight w:val="350"/>
        </w:trPr>
        <w:tc>
          <w:tcPr>
            <w:tcW w:w="2638" w:type="dxa"/>
            <w:tcBorders>
              <w:bottom w:val="single" w:sz="4" w:space="0" w:color="auto"/>
            </w:tcBorders>
            <w:shd w:val="clear" w:color="auto" w:fill="FABF8F"/>
            <w:vAlign w:val="center"/>
          </w:tcPr>
          <w:p w:rsidR="00CC19FC" w:rsidRPr="00BD7CEA" w:rsidRDefault="00CC19FC" w:rsidP="00E215F4">
            <w:pPr>
              <w:pStyle w:val="Heading2"/>
              <w:spacing w:beforeLines="20" w:before="48" w:afterLines="20" w:after="48"/>
              <w:ind w:left="0"/>
              <w:rPr>
                <w:rFonts w:ascii="Tahoma" w:hAnsi="Tahoma" w:cs="Tahoma"/>
                <w:b w:val="0"/>
                <w:sz w:val="14"/>
              </w:rPr>
            </w:pPr>
            <w:bookmarkStart w:id="80" w:name="_Toc336337874"/>
            <w:bookmarkStart w:id="81" w:name="_Toc353375655"/>
            <w:r w:rsidRPr="00BD7CEA">
              <w:rPr>
                <w:rFonts w:ascii="Tahoma" w:hAnsi="Tahoma" w:cs="Tahoma"/>
                <w:b w:val="0"/>
                <w:sz w:val="14"/>
              </w:rPr>
              <w:t>Outlook</w:t>
            </w:r>
            <w:r w:rsidR="00700C4B" w:rsidRPr="00BD7CEA">
              <w:rPr>
                <w:rFonts w:ascii="Tahoma" w:hAnsi="Tahoma" w:cs="Tahoma"/>
                <w:b w:val="0"/>
                <w:sz w:val="14"/>
                <w:vertAlign w:val="superscript"/>
              </w:rPr>
              <w:t>®</w:t>
            </w:r>
            <w:r w:rsidRPr="00BD7CEA">
              <w:rPr>
                <w:rFonts w:ascii="Tahoma" w:hAnsi="Tahoma" w:cs="Tahoma"/>
                <w:b w:val="0"/>
                <w:sz w:val="14"/>
              </w:rPr>
              <w:t xml:space="preserve"> </w:t>
            </w:r>
            <w:bookmarkEnd w:id="80"/>
            <w:r w:rsidRPr="00BD7CEA">
              <w:rPr>
                <w:rFonts w:ascii="Tahoma" w:hAnsi="Tahoma" w:cs="Tahoma"/>
                <w:b w:val="0"/>
                <w:sz w:val="14"/>
              </w:rPr>
              <w:t>2013</w:t>
            </w:r>
            <w:bookmarkEnd w:id="81"/>
          </w:p>
        </w:tc>
        <w:tc>
          <w:tcPr>
            <w:tcW w:w="429" w:type="dxa"/>
            <w:tcBorders>
              <w:bottom w:val="single" w:sz="4" w:space="0" w:color="auto"/>
            </w:tcBorders>
            <w:shd w:val="clear" w:color="auto" w:fill="FABF8F"/>
            <w:vAlign w:val="center"/>
          </w:tcPr>
          <w:p w:rsidR="00CC19FC" w:rsidRPr="00BD7CEA" w:rsidRDefault="00CC19FC" w:rsidP="00761E3B">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FABF8F"/>
            <w:vAlign w:val="center"/>
          </w:tcPr>
          <w:p w:rsidR="00CC19FC" w:rsidRPr="00BD7CEA" w:rsidRDefault="00CC19FC" w:rsidP="004941B2">
            <w:pPr>
              <w:pStyle w:val="TableText"/>
              <w:spacing w:before="60" w:after="60"/>
              <w:rPr>
                <w:rFonts w:ascii="Tahoma" w:hAnsi="Tahoma" w:cs="Tahoma"/>
                <w:sz w:val="13"/>
              </w:rPr>
            </w:pPr>
            <w:r w:rsidRPr="00BD7CEA">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1</w:t>
            </w:r>
          </w:p>
        </w:tc>
        <w:tc>
          <w:tcPr>
            <w:tcW w:w="429" w:type="dxa"/>
            <w:tcBorders>
              <w:bottom w:val="single" w:sz="4" w:space="0" w:color="auto"/>
            </w:tcBorders>
            <w:shd w:val="clear" w:color="auto" w:fill="FABF8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3</w:t>
            </w:r>
          </w:p>
        </w:tc>
        <w:tc>
          <w:tcPr>
            <w:tcW w:w="429" w:type="dxa"/>
            <w:tcBorders>
              <w:bottom w:val="single" w:sz="4" w:space="0" w:color="auto"/>
            </w:tcBorders>
            <w:shd w:val="clear" w:color="auto" w:fill="FABF8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2</w:t>
            </w:r>
          </w:p>
        </w:tc>
        <w:tc>
          <w:tcPr>
            <w:tcW w:w="429" w:type="dxa"/>
            <w:tcBorders>
              <w:bottom w:val="single" w:sz="4" w:space="0" w:color="auto"/>
            </w:tcBorders>
            <w:shd w:val="clear" w:color="auto" w:fill="FABF8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2</w:t>
            </w:r>
          </w:p>
        </w:tc>
        <w:tc>
          <w:tcPr>
            <w:tcW w:w="429" w:type="dxa"/>
            <w:tcBorders>
              <w:bottom w:val="single" w:sz="4" w:space="0" w:color="auto"/>
            </w:tcBorders>
            <w:shd w:val="clear" w:color="auto" w:fill="FABF8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2</w:t>
            </w:r>
          </w:p>
        </w:tc>
        <w:tc>
          <w:tcPr>
            <w:tcW w:w="429" w:type="dxa"/>
            <w:tcBorders>
              <w:bottom w:val="single" w:sz="4" w:space="0" w:color="auto"/>
            </w:tcBorders>
            <w:shd w:val="clear" w:color="auto" w:fill="FABF8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1</w:t>
            </w:r>
          </w:p>
        </w:tc>
        <w:tc>
          <w:tcPr>
            <w:tcW w:w="429" w:type="dxa"/>
            <w:tcBorders>
              <w:bottom w:val="single" w:sz="4" w:space="0" w:color="auto"/>
            </w:tcBorders>
            <w:shd w:val="clear" w:color="auto" w:fill="FABF8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BD7CEA"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BD7CEA"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P</w:t>
            </w:r>
          </w:p>
        </w:tc>
        <w:tc>
          <w:tcPr>
            <w:tcW w:w="514" w:type="dxa"/>
            <w:tcBorders>
              <w:bottom w:val="single" w:sz="4" w:space="0" w:color="auto"/>
            </w:tcBorders>
            <w:shd w:val="clear" w:color="auto" w:fill="FABF8F"/>
            <w:vAlign w:val="center"/>
          </w:tcPr>
          <w:p w:rsidR="00CC19FC" w:rsidRPr="00BD7CEA"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BD7CEA" w:rsidRDefault="00CC19FC" w:rsidP="004B3534">
            <w:pPr>
              <w:pStyle w:val="TableText"/>
              <w:rPr>
                <w:rFonts w:ascii="Tahoma" w:hAnsi="Tahoma" w:cs="Tahoma"/>
                <w:sz w:val="13"/>
              </w:rPr>
            </w:pPr>
          </w:p>
        </w:tc>
      </w:tr>
      <w:tr w:rsidR="00CC19FC" w:rsidRPr="00BD7CEA" w:rsidTr="007E466C">
        <w:trPr>
          <w:cantSplit/>
          <w:trHeight w:val="305"/>
        </w:trPr>
        <w:tc>
          <w:tcPr>
            <w:tcW w:w="2638" w:type="dxa"/>
            <w:tcBorders>
              <w:bottom w:val="single" w:sz="4" w:space="0" w:color="auto"/>
            </w:tcBorders>
            <w:shd w:val="clear" w:color="auto" w:fill="auto"/>
            <w:vAlign w:val="center"/>
          </w:tcPr>
          <w:p w:rsidR="00CC19FC" w:rsidRPr="00BD7CEA" w:rsidRDefault="00CC19FC" w:rsidP="00E215F4">
            <w:pPr>
              <w:pStyle w:val="Heading2"/>
              <w:spacing w:beforeLines="20" w:before="48" w:afterLines="20" w:after="48"/>
              <w:ind w:left="0"/>
              <w:rPr>
                <w:rFonts w:ascii="Tahoma" w:hAnsi="Tahoma" w:cs="Tahoma"/>
                <w:b w:val="0"/>
                <w:sz w:val="16"/>
                <w:szCs w:val="16"/>
              </w:rPr>
            </w:pPr>
            <w:bookmarkStart w:id="82" w:name="_Toc336337875"/>
            <w:bookmarkStart w:id="83" w:name="_Toc353375656"/>
            <w:r w:rsidRPr="00BD7CEA">
              <w:rPr>
                <w:rFonts w:ascii="Tahoma" w:hAnsi="Tahoma" w:cs="Tahoma"/>
                <w:b w:val="0"/>
                <w:sz w:val="14"/>
                <w:szCs w:val="16"/>
              </w:rPr>
              <w:t xml:space="preserve">Outlook </w:t>
            </w:r>
            <w:bookmarkEnd w:id="82"/>
            <w:r w:rsidRPr="00BD7CEA">
              <w:rPr>
                <w:rFonts w:ascii="Tahoma" w:hAnsi="Tahoma" w:cs="Tahoma"/>
                <w:b w:val="0"/>
                <w:sz w:val="14"/>
                <w:szCs w:val="16"/>
              </w:rPr>
              <w:t>per Mac 2011</w:t>
            </w:r>
            <w:bookmarkEnd w:id="83"/>
          </w:p>
        </w:tc>
        <w:tc>
          <w:tcPr>
            <w:tcW w:w="429" w:type="dxa"/>
            <w:tcBorders>
              <w:bottom w:val="single" w:sz="4" w:space="0" w:color="auto"/>
            </w:tcBorders>
            <w:shd w:val="clear" w:color="auto" w:fill="auto"/>
            <w:vAlign w:val="center"/>
          </w:tcPr>
          <w:p w:rsidR="00CC19FC" w:rsidRPr="00BD7CEA" w:rsidRDefault="006E5080" w:rsidP="00B0065F">
            <w:pPr>
              <w:pStyle w:val="TableText"/>
              <w:widowControl w:val="0"/>
              <w:rPr>
                <w:rStyle w:val="EndnoteReference"/>
                <w:b w:val="0"/>
                <w:color w:val="0000FF"/>
                <w:sz w:val="13"/>
                <w:szCs w:val="13"/>
                <w:u w:val="single"/>
              </w:rPr>
            </w:pPr>
            <w:hyperlink w:anchor="_12_Outlook_per" w:history="1">
              <w:r w:rsidR="00955428" w:rsidRPr="00BD7CEA">
                <w:rPr>
                  <w:rStyle w:val="Hyperlink"/>
                  <w:b/>
                  <w:sz w:val="13"/>
                  <w:szCs w:val="13"/>
                </w:rPr>
                <w:t>12</w:t>
              </w:r>
            </w:hyperlink>
            <w:hyperlink w:anchor="Srv_9OutlookMac2011" w:history="1"/>
          </w:p>
        </w:tc>
        <w:tc>
          <w:tcPr>
            <w:tcW w:w="429" w:type="dxa"/>
            <w:tcBorders>
              <w:bottom w:val="single" w:sz="4"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1</w:t>
            </w:r>
          </w:p>
        </w:tc>
        <w:tc>
          <w:tcPr>
            <w:tcW w:w="429" w:type="dxa"/>
            <w:tcBorders>
              <w:bottom w:val="single" w:sz="4"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3</w:t>
            </w:r>
          </w:p>
        </w:tc>
        <w:tc>
          <w:tcPr>
            <w:tcW w:w="429" w:type="dxa"/>
            <w:tcBorders>
              <w:bottom w:val="single" w:sz="4"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2</w:t>
            </w:r>
          </w:p>
        </w:tc>
        <w:tc>
          <w:tcPr>
            <w:tcW w:w="429" w:type="dxa"/>
            <w:tcBorders>
              <w:bottom w:val="single" w:sz="4"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2</w:t>
            </w:r>
          </w:p>
        </w:tc>
        <w:tc>
          <w:tcPr>
            <w:tcW w:w="429" w:type="dxa"/>
            <w:tcBorders>
              <w:bottom w:val="single" w:sz="4"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2</w:t>
            </w:r>
          </w:p>
        </w:tc>
        <w:tc>
          <w:tcPr>
            <w:tcW w:w="429" w:type="dxa"/>
            <w:tcBorders>
              <w:bottom w:val="single" w:sz="4"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1</w:t>
            </w:r>
          </w:p>
        </w:tc>
        <w:tc>
          <w:tcPr>
            <w:tcW w:w="429" w:type="dxa"/>
            <w:tcBorders>
              <w:bottom w:val="single" w:sz="4"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P</w:t>
            </w:r>
          </w:p>
        </w:tc>
        <w:tc>
          <w:tcPr>
            <w:tcW w:w="514" w:type="dxa"/>
            <w:tcBorders>
              <w:bottom w:val="single" w:sz="4" w:space="0" w:color="auto"/>
            </w:tcBorders>
            <w:shd w:val="clear" w:color="auto" w:fill="auto"/>
            <w:vAlign w:val="center"/>
          </w:tcPr>
          <w:p w:rsidR="00CC19FC" w:rsidRPr="00BD7CEA"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BD7CEA" w:rsidRDefault="00CC19FC" w:rsidP="004B3534">
            <w:pPr>
              <w:pStyle w:val="TableText"/>
              <w:widowControl w:val="0"/>
              <w:rPr>
                <w:rFonts w:ascii="Tahoma" w:hAnsi="Tahoma" w:cs="Tahoma"/>
                <w:sz w:val="13"/>
              </w:rPr>
            </w:pPr>
          </w:p>
        </w:tc>
      </w:tr>
      <w:tr w:rsidR="00EF228F" w:rsidRPr="00BD7CEA" w:rsidTr="00C60100">
        <w:trPr>
          <w:cantSplit/>
          <w:trHeight w:val="305"/>
        </w:trPr>
        <w:tc>
          <w:tcPr>
            <w:tcW w:w="2638" w:type="dxa"/>
            <w:tcBorders>
              <w:bottom w:val="single" w:sz="4" w:space="0" w:color="auto"/>
            </w:tcBorders>
            <w:shd w:val="clear" w:color="auto" w:fill="FABF8F"/>
            <w:vAlign w:val="center"/>
          </w:tcPr>
          <w:p w:rsidR="00CC19FC" w:rsidRPr="00BD7CEA" w:rsidRDefault="00CC19FC" w:rsidP="00E215F4">
            <w:pPr>
              <w:pStyle w:val="Heading3"/>
              <w:spacing w:beforeLines="20" w:before="48" w:afterLines="20" w:after="48"/>
              <w:rPr>
                <w:rFonts w:ascii="Tahoma" w:hAnsi="Tahoma" w:cs="Tahoma"/>
                <w:b w:val="0"/>
                <w:sz w:val="14"/>
              </w:rPr>
            </w:pPr>
            <w:bookmarkStart w:id="84" w:name="_Toc353375657"/>
            <w:r w:rsidRPr="00BD7CEA">
              <w:rPr>
                <w:rFonts w:ascii="Tahoma" w:hAnsi="Tahoma" w:cs="Tahoma"/>
                <w:b w:val="0"/>
                <w:sz w:val="14"/>
              </w:rPr>
              <w:t>PowerPoint 2013</w:t>
            </w:r>
            <w:bookmarkEnd w:id="84"/>
          </w:p>
        </w:tc>
        <w:tc>
          <w:tcPr>
            <w:tcW w:w="429" w:type="dxa"/>
            <w:tcBorders>
              <w:bottom w:val="single" w:sz="4" w:space="0" w:color="auto"/>
            </w:tcBorders>
            <w:shd w:val="clear" w:color="auto" w:fill="FABF8F"/>
            <w:vAlign w:val="center"/>
          </w:tcPr>
          <w:p w:rsidR="00CC19FC" w:rsidRPr="00BD7CEA" w:rsidRDefault="00CC19FC" w:rsidP="00F62B9E">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rsidR="00CC19FC" w:rsidRPr="00BD7CEA" w:rsidRDefault="00CC19FC" w:rsidP="004941B2">
            <w:pPr>
              <w:pStyle w:val="TableText"/>
              <w:widowControl w:val="0"/>
              <w:rPr>
                <w:rFonts w:ascii="Tahoma" w:hAnsi="Tahoma" w:cs="Tahoma"/>
                <w:sz w:val="13"/>
              </w:rPr>
            </w:pPr>
            <w:r w:rsidRPr="00BD7CEA">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1</w:t>
            </w:r>
          </w:p>
        </w:tc>
        <w:tc>
          <w:tcPr>
            <w:tcW w:w="429" w:type="dxa"/>
            <w:tcBorders>
              <w:bottom w:val="single" w:sz="4" w:space="0" w:color="auto"/>
            </w:tcBorders>
            <w:shd w:val="clear" w:color="auto" w:fill="FABF8F"/>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3</w:t>
            </w:r>
          </w:p>
        </w:tc>
        <w:tc>
          <w:tcPr>
            <w:tcW w:w="429" w:type="dxa"/>
            <w:tcBorders>
              <w:bottom w:val="single" w:sz="4" w:space="0" w:color="auto"/>
            </w:tcBorders>
            <w:shd w:val="clear" w:color="auto" w:fill="FABF8F"/>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2</w:t>
            </w:r>
          </w:p>
        </w:tc>
        <w:tc>
          <w:tcPr>
            <w:tcW w:w="429" w:type="dxa"/>
            <w:tcBorders>
              <w:bottom w:val="single" w:sz="4" w:space="0" w:color="auto"/>
            </w:tcBorders>
            <w:shd w:val="clear" w:color="auto" w:fill="FABF8F"/>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2</w:t>
            </w:r>
          </w:p>
        </w:tc>
        <w:tc>
          <w:tcPr>
            <w:tcW w:w="429" w:type="dxa"/>
            <w:tcBorders>
              <w:bottom w:val="single" w:sz="4" w:space="0" w:color="auto"/>
            </w:tcBorders>
            <w:shd w:val="clear" w:color="auto" w:fill="FABF8F"/>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2</w:t>
            </w:r>
          </w:p>
        </w:tc>
        <w:tc>
          <w:tcPr>
            <w:tcW w:w="429" w:type="dxa"/>
            <w:tcBorders>
              <w:bottom w:val="single" w:sz="4" w:space="0" w:color="auto"/>
            </w:tcBorders>
            <w:shd w:val="clear" w:color="auto" w:fill="FABF8F"/>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1</w:t>
            </w:r>
          </w:p>
        </w:tc>
        <w:tc>
          <w:tcPr>
            <w:tcW w:w="429" w:type="dxa"/>
            <w:tcBorders>
              <w:bottom w:val="single" w:sz="4" w:space="0" w:color="auto"/>
            </w:tcBorders>
            <w:shd w:val="clear" w:color="auto" w:fill="FABF8F"/>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BD7CEA"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BD7CEA"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BD7CEA" w:rsidRDefault="00CC19FC" w:rsidP="004B3534">
            <w:pPr>
              <w:pStyle w:val="TableText"/>
              <w:widowControl w:val="0"/>
              <w:rPr>
                <w:rFonts w:ascii="Tahoma" w:hAnsi="Tahoma" w:cs="Tahoma"/>
                <w:sz w:val="13"/>
              </w:rPr>
            </w:pPr>
            <w:r w:rsidRPr="00BD7CEA">
              <w:rPr>
                <w:rFonts w:ascii="Tahoma" w:hAnsi="Tahoma" w:cs="Tahoma"/>
                <w:sz w:val="13"/>
              </w:rPr>
              <w:t>P</w:t>
            </w:r>
          </w:p>
        </w:tc>
        <w:tc>
          <w:tcPr>
            <w:tcW w:w="514" w:type="dxa"/>
            <w:tcBorders>
              <w:bottom w:val="single" w:sz="4" w:space="0" w:color="auto"/>
            </w:tcBorders>
            <w:shd w:val="clear" w:color="auto" w:fill="FABF8F"/>
            <w:vAlign w:val="center"/>
          </w:tcPr>
          <w:p w:rsidR="00CC19FC" w:rsidRPr="00BD7CEA"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BD7CEA" w:rsidRDefault="00CC19FC" w:rsidP="004B3534">
            <w:pPr>
              <w:pStyle w:val="TableText"/>
              <w:widowControl w:val="0"/>
              <w:rPr>
                <w:rFonts w:ascii="Tahoma" w:hAnsi="Tahoma" w:cs="Tahoma"/>
                <w:sz w:val="13"/>
              </w:rPr>
            </w:pPr>
          </w:p>
        </w:tc>
      </w:tr>
      <w:tr w:rsidR="00EF228F" w:rsidRPr="00BD7CEA" w:rsidTr="00C60100">
        <w:trPr>
          <w:cantSplit/>
          <w:trHeight w:val="145"/>
        </w:trPr>
        <w:tc>
          <w:tcPr>
            <w:tcW w:w="2638" w:type="dxa"/>
            <w:tcBorders>
              <w:bottom w:val="single" w:sz="4" w:space="0" w:color="auto"/>
            </w:tcBorders>
            <w:shd w:val="clear" w:color="auto" w:fill="FFFFFF"/>
          </w:tcPr>
          <w:p w:rsidR="00CC19FC" w:rsidRPr="00BD7CEA" w:rsidRDefault="00CC19FC" w:rsidP="00E215F4">
            <w:pPr>
              <w:pStyle w:val="Heading3"/>
              <w:spacing w:beforeLines="20" w:before="48" w:afterLines="20" w:after="48"/>
              <w:rPr>
                <w:rFonts w:ascii="Tahoma" w:hAnsi="Tahoma" w:cs="Tahoma"/>
                <w:b w:val="0"/>
                <w:sz w:val="14"/>
              </w:rPr>
            </w:pPr>
            <w:bookmarkStart w:id="85" w:name="_Toc336337878"/>
            <w:bookmarkStart w:id="86" w:name="_Toc353375658"/>
            <w:r w:rsidRPr="00BD7CEA">
              <w:rPr>
                <w:rFonts w:ascii="Tahoma" w:hAnsi="Tahoma" w:cs="Tahoma"/>
                <w:b w:val="0"/>
                <w:sz w:val="14"/>
              </w:rPr>
              <w:t>Powerpoint per Mac 2011</w:t>
            </w:r>
            <w:bookmarkEnd w:id="85"/>
            <w:bookmarkEnd w:id="86"/>
          </w:p>
        </w:tc>
        <w:tc>
          <w:tcPr>
            <w:tcW w:w="429" w:type="dxa"/>
            <w:tcBorders>
              <w:bottom w:val="single" w:sz="4" w:space="0" w:color="auto"/>
            </w:tcBorders>
            <w:shd w:val="clear" w:color="auto" w:fill="FFFFFF"/>
            <w:vAlign w:val="center"/>
          </w:tcPr>
          <w:p w:rsidR="00CC19FC" w:rsidRPr="00BD7CEA" w:rsidRDefault="00CC19FC" w:rsidP="00F62B9E">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FFFFF"/>
            <w:vAlign w:val="center"/>
          </w:tcPr>
          <w:p w:rsidR="00CC19FC" w:rsidRPr="00BD7CEA" w:rsidRDefault="00CC19FC" w:rsidP="004B3534">
            <w:pPr>
              <w:pStyle w:val="TableText"/>
              <w:spacing w:before="60" w:after="60"/>
              <w:rPr>
                <w:rFonts w:ascii="Tahoma" w:hAnsi="Tahoma" w:cs="Tahoma"/>
                <w:sz w:val="13"/>
              </w:rPr>
            </w:pPr>
            <w:r w:rsidRPr="00BD7CEA">
              <w:rPr>
                <w:rFonts w:ascii="Tahoma" w:hAnsi="Tahoma" w:cs="Tahoma"/>
                <w:sz w:val="13"/>
              </w:rPr>
              <w:t>09/10</w:t>
            </w:r>
          </w:p>
        </w:tc>
        <w:tc>
          <w:tcPr>
            <w:tcW w:w="429" w:type="dxa"/>
            <w:tcBorders>
              <w:bottom w:val="single" w:sz="4" w:space="0" w:color="auto"/>
              <w:right w:val="single" w:sz="18" w:space="0" w:color="auto"/>
            </w:tcBorders>
            <w:shd w:val="clear" w:color="auto" w:fill="FFFFF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DT</w:t>
            </w:r>
          </w:p>
        </w:tc>
        <w:tc>
          <w:tcPr>
            <w:tcW w:w="429" w:type="dxa"/>
            <w:tcBorders>
              <w:left w:val="single" w:sz="18" w:space="0" w:color="auto"/>
              <w:bottom w:val="single" w:sz="4" w:space="0" w:color="auto"/>
            </w:tcBorders>
            <w:shd w:val="clear" w:color="auto" w:fill="FFFFF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1</w:t>
            </w:r>
          </w:p>
        </w:tc>
        <w:tc>
          <w:tcPr>
            <w:tcW w:w="429" w:type="dxa"/>
            <w:tcBorders>
              <w:bottom w:val="single" w:sz="4" w:space="0" w:color="auto"/>
            </w:tcBorders>
            <w:shd w:val="clear" w:color="auto" w:fill="FFFFF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3</w:t>
            </w:r>
          </w:p>
        </w:tc>
        <w:tc>
          <w:tcPr>
            <w:tcW w:w="429" w:type="dxa"/>
            <w:tcBorders>
              <w:bottom w:val="single" w:sz="4" w:space="0" w:color="auto"/>
            </w:tcBorders>
            <w:shd w:val="clear" w:color="auto" w:fill="FFFFF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2</w:t>
            </w:r>
          </w:p>
        </w:tc>
        <w:tc>
          <w:tcPr>
            <w:tcW w:w="429" w:type="dxa"/>
            <w:tcBorders>
              <w:bottom w:val="single" w:sz="4" w:space="0" w:color="auto"/>
            </w:tcBorders>
            <w:shd w:val="clear" w:color="auto" w:fill="FFFFF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2</w:t>
            </w:r>
          </w:p>
        </w:tc>
        <w:tc>
          <w:tcPr>
            <w:tcW w:w="429" w:type="dxa"/>
            <w:tcBorders>
              <w:bottom w:val="single" w:sz="4" w:space="0" w:color="auto"/>
            </w:tcBorders>
            <w:shd w:val="clear" w:color="auto" w:fill="FFFFF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2</w:t>
            </w:r>
          </w:p>
        </w:tc>
        <w:tc>
          <w:tcPr>
            <w:tcW w:w="429" w:type="dxa"/>
            <w:tcBorders>
              <w:bottom w:val="single" w:sz="4" w:space="0" w:color="auto"/>
            </w:tcBorders>
            <w:shd w:val="clear" w:color="auto" w:fill="FFFFF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1</w:t>
            </w:r>
          </w:p>
        </w:tc>
        <w:tc>
          <w:tcPr>
            <w:tcW w:w="429" w:type="dxa"/>
            <w:tcBorders>
              <w:bottom w:val="single" w:sz="4" w:space="0" w:color="auto"/>
            </w:tcBorders>
            <w:shd w:val="clear" w:color="auto" w:fill="FFFFF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CC19FC" w:rsidRPr="00BD7CEA"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rsidR="00CC19FC" w:rsidRPr="00BD7CEA"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P</w:t>
            </w:r>
          </w:p>
        </w:tc>
        <w:tc>
          <w:tcPr>
            <w:tcW w:w="514" w:type="dxa"/>
            <w:tcBorders>
              <w:bottom w:val="single" w:sz="4" w:space="0" w:color="auto"/>
            </w:tcBorders>
            <w:shd w:val="clear" w:color="auto" w:fill="FFFFFF"/>
            <w:vAlign w:val="center"/>
          </w:tcPr>
          <w:p w:rsidR="00CC19FC" w:rsidRPr="00BD7CEA" w:rsidRDefault="00CC19FC" w:rsidP="00080B33">
            <w:pPr>
              <w:pStyle w:val="TableText"/>
              <w:rPr>
                <w:rFonts w:ascii="Tahoma" w:hAnsi="Tahoma" w:cs="Tahoma"/>
                <w:sz w:val="13"/>
              </w:rPr>
            </w:pPr>
          </w:p>
        </w:tc>
        <w:tc>
          <w:tcPr>
            <w:tcW w:w="514" w:type="dxa"/>
            <w:tcBorders>
              <w:bottom w:val="single" w:sz="4" w:space="0" w:color="auto"/>
            </w:tcBorders>
            <w:shd w:val="clear" w:color="auto" w:fill="FFFFFF"/>
            <w:vAlign w:val="center"/>
          </w:tcPr>
          <w:p w:rsidR="00CC19FC" w:rsidRPr="00BD7CEA" w:rsidRDefault="00CC19FC" w:rsidP="004B3534">
            <w:pPr>
              <w:pStyle w:val="TableText"/>
              <w:rPr>
                <w:rFonts w:ascii="Tahoma" w:hAnsi="Tahoma" w:cs="Tahoma"/>
                <w:sz w:val="13"/>
              </w:rPr>
            </w:pPr>
          </w:p>
        </w:tc>
      </w:tr>
      <w:tr w:rsidR="00EF228F" w:rsidRPr="00BD7CEA" w:rsidTr="00C60100">
        <w:trPr>
          <w:cantSplit/>
          <w:trHeight w:val="145"/>
        </w:trPr>
        <w:tc>
          <w:tcPr>
            <w:tcW w:w="2638" w:type="dxa"/>
            <w:tcBorders>
              <w:bottom w:val="single" w:sz="4" w:space="0" w:color="auto"/>
            </w:tcBorders>
            <w:shd w:val="clear" w:color="auto" w:fill="FABF8F"/>
          </w:tcPr>
          <w:p w:rsidR="00CC19FC" w:rsidRPr="00BD7CEA" w:rsidRDefault="00CC19FC" w:rsidP="00E215F4">
            <w:pPr>
              <w:pStyle w:val="Heading3"/>
              <w:spacing w:beforeLines="20" w:before="48" w:afterLines="20" w:after="48"/>
              <w:rPr>
                <w:rFonts w:ascii="Tahoma" w:hAnsi="Tahoma" w:cs="Tahoma"/>
                <w:b w:val="0"/>
                <w:sz w:val="14"/>
              </w:rPr>
            </w:pPr>
            <w:bookmarkStart w:id="87" w:name="_Toc336337879"/>
            <w:bookmarkStart w:id="88" w:name="_Toc353375659"/>
            <w:r w:rsidRPr="00BD7CEA">
              <w:rPr>
                <w:rFonts w:ascii="Tahoma" w:hAnsi="Tahoma" w:cs="Tahoma"/>
                <w:b w:val="0"/>
                <w:sz w:val="14"/>
              </w:rPr>
              <w:t>Project 2013 Standard</w:t>
            </w:r>
            <w:bookmarkEnd w:id="87"/>
            <w:bookmarkEnd w:id="88"/>
            <w:r w:rsidRPr="00BD7CEA">
              <w:rPr>
                <w:rFonts w:ascii="Tahoma" w:hAnsi="Tahoma" w:cs="Tahoma"/>
                <w:b w:val="0"/>
                <w:sz w:val="14"/>
              </w:rPr>
              <w:t xml:space="preserve"> </w:t>
            </w:r>
          </w:p>
        </w:tc>
        <w:tc>
          <w:tcPr>
            <w:tcW w:w="429" w:type="dxa"/>
            <w:tcBorders>
              <w:bottom w:val="single" w:sz="4" w:space="0" w:color="auto"/>
            </w:tcBorders>
            <w:shd w:val="clear" w:color="auto" w:fill="FABF8F"/>
            <w:vAlign w:val="center"/>
          </w:tcPr>
          <w:p w:rsidR="00CC19FC" w:rsidRPr="00BD7CEA" w:rsidRDefault="00CC19FC" w:rsidP="00D353E6">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rsidR="00CC19FC" w:rsidRPr="00BD7CEA" w:rsidRDefault="00CC19FC" w:rsidP="004941B2">
            <w:pPr>
              <w:pStyle w:val="TableText"/>
              <w:spacing w:before="60" w:after="60"/>
              <w:rPr>
                <w:rFonts w:ascii="Tahoma" w:hAnsi="Tahoma" w:cs="Tahoma"/>
                <w:sz w:val="13"/>
              </w:rPr>
            </w:pPr>
            <w:r w:rsidRPr="00BD7CEA">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2</w:t>
            </w:r>
          </w:p>
        </w:tc>
        <w:tc>
          <w:tcPr>
            <w:tcW w:w="429" w:type="dxa"/>
            <w:tcBorders>
              <w:bottom w:val="single" w:sz="4" w:space="0" w:color="auto"/>
            </w:tcBorders>
            <w:shd w:val="clear" w:color="auto" w:fill="FABF8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5</w:t>
            </w:r>
          </w:p>
        </w:tc>
        <w:tc>
          <w:tcPr>
            <w:tcW w:w="429" w:type="dxa"/>
            <w:tcBorders>
              <w:bottom w:val="single" w:sz="4" w:space="0" w:color="auto"/>
            </w:tcBorders>
            <w:shd w:val="clear" w:color="auto" w:fill="FABF8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4</w:t>
            </w:r>
          </w:p>
        </w:tc>
        <w:tc>
          <w:tcPr>
            <w:tcW w:w="429" w:type="dxa"/>
            <w:tcBorders>
              <w:bottom w:val="single" w:sz="4" w:space="0" w:color="auto"/>
            </w:tcBorders>
            <w:shd w:val="clear" w:color="auto" w:fill="FABF8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3</w:t>
            </w:r>
          </w:p>
        </w:tc>
        <w:tc>
          <w:tcPr>
            <w:tcW w:w="429" w:type="dxa"/>
            <w:tcBorders>
              <w:bottom w:val="single" w:sz="4" w:space="0" w:color="auto"/>
            </w:tcBorders>
            <w:shd w:val="clear" w:color="auto" w:fill="FABF8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3</w:t>
            </w:r>
          </w:p>
        </w:tc>
        <w:tc>
          <w:tcPr>
            <w:tcW w:w="429" w:type="dxa"/>
            <w:tcBorders>
              <w:bottom w:val="single" w:sz="4" w:space="0" w:color="auto"/>
            </w:tcBorders>
            <w:shd w:val="clear" w:color="auto" w:fill="FABF8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2</w:t>
            </w:r>
          </w:p>
        </w:tc>
        <w:tc>
          <w:tcPr>
            <w:tcW w:w="429" w:type="dxa"/>
            <w:tcBorders>
              <w:bottom w:val="single" w:sz="4" w:space="0" w:color="auto"/>
            </w:tcBorders>
            <w:shd w:val="clear" w:color="auto" w:fill="FABF8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CC19FC" w:rsidRPr="00BD7CEA"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P</w:t>
            </w:r>
          </w:p>
        </w:tc>
        <w:tc>
          <w:tcPr>
            <w:tcW w:w="514" w:type="dxa"/>
            <w:tcBorders>
              <w:bottom w:val="single" w:sz="4" w:space="0" w:color="auto"/>
            </w:tcBorders>
            <w:shd w:val="clear" w:color="auto" w:fill="FABF8F"/>
            <w:vAlign w:val="center"/>
          </w:tcPr>
          <w:p w:rsidR="00CC19FC" w:rsidRPr="00BD7CEA"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BD7CEA" w:rsidRDefault="00CC19FC" w:rsidP="004B3534">
            <w:pPr>
              <w:pStyle w:val="TableText"/>
              <w:rPr>
                <w:rFonts w:ascii="Tahoma" w:hAnsi="Tahoma" w:cs="Tahoma"/>
                <w:sz w:val="13"/>
              </w:rPr>
            </w:pPr>
          </w:p>
        </w:tc>
      </w:tr>
      <w:tr w:rsidR="00EF228F" w:rsidRPr="00BD7CEA" w:rsidTr="00C60100">
        <w:trPr>
          <w:cantSplit/>
          <w:trHeight w:val="145"/>
        </w:trPr>
        <w:tc>
          <w:tcPr>
            <w:tcW w:w="2638" w:type="dxa"/>
            <w:tcBorders>
              <w:bottom w:val="single" w:sz="4" w:space="0" w:color="auto"/>
            </w:tcBorders>
            <w:shd w:val="clear" w:color="auto" w:fill="FFFFFF"/>
          </w:tcPr>
          <w:p w:rsidR="00CC19FC" w:rsidRPr="00BD7CEA" w:rsidRDefault="00CC19FC" w:rsidP="00E215F4">
            <w:pPr>
              <w:pStyle w:val="Heading3"/>
              <w:spacing w:beforeLines="20" w:before="48" w:afterLines="20" w:after="48"/>
              <w:rPr>
                <w:rFonts w:ascii="Tahoma" w:hAnsi="Tahoma" w:cs="Tahoma"/>
                <w:b w:val="0"/>
                <w:sz w:val="14"/>
              </w:rPr>
            </w:pPr>
            <w:bookmarkStart w:id="89" w:name="_Toc336337880"/>
            <w:bookmarkStart w:id="90" w:name="_Toc353375660"/>
            <w:r w:rsidRPr="00BD7CEA">
              <w:rPr>
                <w:rFonts w:ascii="Tahoma" w:hAnsi="Tahoma" w:cs="Tahoma"/>
                <w:b w:val="0"/>
                <w:sz w:val="14"/>
              </w:rPr>
              <w:t>Project 2013 Professional</w:t>
            </w:r>
            <w:bookmarkEnd w:id="89"/>
            <w:bookmarkEnd w:id="90"/>
            <w:r w:rsidRPr="00BD7CEA">
              <w:rPr>
                <w:rFonts w:ascii="Tahoma" w:hAnsi="Tahoma" w:cs="Tahoma"/>
                <w:b w:val="0"/>
                <w:sz w:val="14"/>
              </w:rPr>
              <w:t xml:space="preserve"> </w:t>
            </w:r>
          </w:p>
        </w:tc>
        <w:tc>
          <w:tcPr>
            <w:tcW w:w="429" w:type="dxa"/>
            <w:tcBorders>
              <w:bottom w:val="single" w:sz="4" w:space="0" w:color="auto"/>
            </w:tcBorders>
            <w:shd w:val="clear" w:color="auto" w:fill="FFFFFF"/>
            <w:vAlign w:val="center"/>
          </w:tcPr>
          <w:p w:rsidR="00CC19FC" w:rsidRPr="00BD7CEA" w:rsidRDefault="006E5080" w:rsidP="00B0065F">
            <w:pPr>
              <w:pStyle w:val="TableText"/>
              <w:widowControl w:val="0"/>
              <w:rPr>
                <w:rStyle w:val="EndnoteReference"/>
                <w:b w:val="0"/>
                <w:color w:val="0000FF"/>
                <w:sz w:val="13"/>
                <w:szCs w:val="13"/>
                <w:u w:val="single"/>
              </w:rPr>
            </w:pPr>
            <w:hyperlink w:anchor="_13_Project_2013" w:history="1">
              <w:r w:rsidR="00955428" w:rsidRPr="00BD7CEA">
                <w:rPr>
                  <w:rStyle w:val="Hyperlink"/>
                  <w:b/>
                  <w:sz w:val="13"/>
                  <w:szCs w:val="13"/>
                </w:rPr>
                <w:t>13</w:t>
              </w:r>
            </w:hyperlink>
          </w:p>
        </w:tc>
        <w:tc>
          <w:tcPr>
            <w:tcW w:w="429" w:type="dxa"/>
            <w:tcBorders>
              <w:bottom w:val="single" w:sz="4" w:space="0" w:color="auto"/>
            </w:tcBorders>
            <w:shd w:val="clear" w:color="auto" w:fill="FFFFFF"/>
            <w:vAlign w:val="center"/>
          </w:tcPr>
          <w:p w:rsidR="00CC19FC" w:rsidRPr="00BD7CEA" w:rsidRDefault="00CC19FC" w:rsidP="004941B2">
            <w:pPr>
              <w:pStyle w:val="TableText"/>
              <w:spacing w:before="60" w:after="60"/>
              <w:rPr>
                <w:rFonts w:ascii="Tahoma" w:hAnsi="Tahoma" w:cs="Tahoma"/>
                <w:sz w:val="13"/>
              </w:rPr>
            </w:pPr>
            <w:r w:rsidRPr="00BD7CEA">
              <w:rPr>
                <w:rFonts w:ascii="Tahoma" w:hAnsi="Tahoma" w:cs="Tahoma"/>
                <w:sz w:val="13"/>
              </w:rPr>
              <w:t>10/12</w:t>
            </w:r>
          </w:p>
        </w:tc>
        <w:tc>
          <w:tcPr>
            <w:tcW w:w="429" w:type="dxa"/>
            <w:tcBorders>
              <w:bottom w:val="single" w:sz="4" w:space="0" w:color="auto"/>
              <w:right w:val="single" w:sz="18" w:space="0" w:color="auto"/>
            </w:tcBorders>
            <w:shd w:val="clear" w:color="auto" w:fill="FFFFF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DT</w:t>
            </w:r>
          </w:p>
        </w:tc>
        <w:tc>
          <w:tcPr>
            <w:tcW w:w="429" w:type="dxa"/>
            <w:tcBorders>
              <w:left w:val="single" w:sz="18" w:space="0" w:color="auto"/>
              <w:bottom w:val="single" w:sz="4" w:space="0" w:color="auto"/>
            </w:tcBorders>
            <w:shd w:val="clear" w:color="auto" w:fill="FFFFFF"/>
            <w:vAlign w:val="center"/>
          </w:tcPr>
          <w:p w:rsidR="00CC19FC" w:rsidRPr="00BD7CEA" w:rsidRDefault="00CC19FC" w:rsidP="0070485B">
            <w:pPr>
              <w:pStyle w:val="TableText"/>
              <w:rPr>
                <w:rFonts w:ascii="Tahoma" w:hAnsi="Tahoma" w:cs="Tahoma"/>
                <w:sz w:val="13"/>
                <w:szCs w:val="13"/>
              </w:rPr>
            </w:pPr>
            <w:r w:rsidRPr="00BD7CEA">
              <w:rPr>
                <w:rFonts w:ascii="Tahoma" w:hAnsi="Tahoma" w:cs="Tahoma"/>
                <w:sz w:val="13"/>
                <w:szCs w:val="13"/>
              </w:rPr>
              <w:t>4</w:t>
            </w:r>
          </w:p>
        </w:tc>
        <w:tc>
          <w:tcPr>
            <w:tcW w:w="429" w:type="dxa"/>
            <w:tcBorders>
              <w:bottom w:val="single" w:sz="4" w:space="0" w:color="auto"/>
            </w:tcBorders>
            <w:shd w:val="clear" w:color="auto" w:fill="FFFFFF"/>
            <w:vAlign w:val="center"/>
          </w:tcPr>
          <w:p w:rsidR="00CC19FC" w:rsidRPr="00BD7CEA" w:rsidRDefault="00CC19FC" w:rsidP="0070485B">
            <w:pPr>
              <w:pStyle w:val="TableText"/>
              <w:rPr>
                <w:rFonts w:ascii="Tahoma" w:hAnsi="Tahoma" w:cs="Tahoma"/>
                <w:sz w:val="13"/>
                <w:szCs w:val="13"/>
              </w:rPr>
            </w:pPr>
            <w:r w:rsidRPr="00BD7CEA">
              <w:rPr>
                <w:rFonts w:ascii="Tahoma" w:hAnsi="Tahoma" w:cs="Tahoma"/>
                <w:sz w:val="13"/>
                <w:szCs w:val="13"/>
              </w:rPr>
              <w:t>10</w:t>
            </w:r>
          </w:p>
        </w:tc>
        <w:tc>
          <w:tcPr>
            <w:tcW w:w="429" w:type="dxa"/>
            <w:tcBorders>
              <w:bottom w:val="single" w:sz="4" w:space="0" w:color="auto"/>
            </w:tcBorders>
            <w:shd w:val="clear" w:color="auto" w:fill="FFFFFF"/>
            <w:vAlign w:val="center"/>
          </w:tcPr>
          <w:p w:rsidR="00CC19FC" w:rsidRPr="00BD7CEA" w:rsidRDefault="00CC19FC" w:rsidP="0070485B">
            <w:pPr>
              <w:pStyle w:val="TableText"/>
              <w:rPr>
                <w:rFonts w:ascii="Tahoma" w:hAnsi="Tahoma" w:cs="Tahoma"/>
                <w:sz w:val="13"/>
                <w:szCs w:val="13"/>
              </w:rPr>
            </w:pPr>
            <w:r w:rsidRPr="00BD7CEA">
              <w:rPr>
                <w:rFonts w:ascii="Tahoma" w:hAnsi="Tahoma" w:cs="Tahoma"/>
                <w:sz w:val="13"/>
                <w:szCs w:val="13"/>
              </w:rPr>
              <w:t>8</w:t>
            </w:r>
          </w:p>
        </w:tc>
        <w:tc>
          <w:tcPr>
            <w:tcW w:w="429" w:type="dxa"/>
            <w:tcBorders>
              <w:bottom w:val="single" w:sz="4" w:space="0" w:color="auto"/>
            </w:tcBorders>
            <w:shd w:val="clear" w:color="auto" w:fill="FFFFFF"/>
            <w:vAlign w:val="center"/>
          </w:tcPr>
          <w:p w:rsidR="00CC19FC" w:rsidRPr="00BD7CEA" w:rsidRDefault="00CC19FC" w:rsidP="0070485B">
            <w:pPr>
              <w:pStyle w:val="TableText"/>
              <w:rPr>
                <w:rFonts w:ascii="Tahoma" w:hAnsi="Tahoma" w:cs="Tahoma"/>
                <w:sz w:val="13"/>
                <w:szCs w:val="13"/>
              </w:rPr>
            </w:pPr>
            <w:r w:rsidRPr="00BD7CEA">
              <w:rPr>
                <w:rFonts w:ascii="Tahoma" w:hAnsi="Tahoma" w:cs="Tahoma"/>
                <w:sz w:val="13"/>
                <w:szCs w:val="13"/>
              </w:rPr>
              <w:t>6</w:t>
            </w:r>
          </w:p>
        </w:tc>
        <w:tc>
          <w:tcPr>
            <w:tcW w:w="429" w:type="dxa"/>
            <w:tcBorders>
              <w:bottom w:val="single" w:sz="4" w:space="0" w:color="auto"/>
            </w:tcBorders>
            <w:shd w:val="clear" w:color="auto" w:fill="FFFFFF"/>
            <w:vAlign w:val="center"/>
          </w:tcPr>
          <w:p w:rsidR="00CC19FC" w:rsidRPr="00BD7CEA" w:rsidRDefault="00CC19FC" w:rsidP="0070485B">
            <w:pPr>
              <w:pStyle w:val="TableText"/>
              <w:rPr>
                <w:rFonts w:ascii="Tahoma" w:hAnsi="Tahoma" w:cs="Tahoma"/>
                <w:sz w:val="13"/>
                <w:szCs w:val="13"/>
              </w:rPr>
            </w:pPr>
            <w:r w:rsidRPr="00BD7CEA">
              <w:rPr>
                <w:rFonts w:ascii="Tahoma" w:hAnsi="Tahoma" w:cs="Tahoma"/>
                <w:sz w:val="13"/>
                <w:szCs w:val="13"/>
              </w:rPr>
              <w:t>6</w:t>
            </w:r>
          </w:p>
        </w:tc>
        <w:tc>
          <w:tcPr>
            <w:tcW w:w="429" w:type="dxa"/>
            <w:tcBorders>
              <w:bottom w:val="single" w:sz="4" w:space="0" w:color="auto"/>
            </w:tcBorders>
            <w:shd w:val="clear" w:color="auto" w:fill="FFFFFF"/>
            <w:vAlign w:val="center"/>
          </w:tcPr>
          <w:p w:rsidR="00CC19FC" w:rsidRPr="00BD7CEA" w:rsidRDefault="00CC19FC" w:rsidP="0070485B">
            <w:pPr>
              <w:pStyle w:val="TableText"/>
              <w:rPr>
                <w:rFonts w:ascii="Tahoma" w:hAnsi="Tahoma" w:cs="Tahoma"/>
                <w:sz w:val="13"/>
                <w:szCs w:val="13"/>
              </w:rPr>
            </w:pPr>
            <w:r w:rsidRPr="00BD7CEA">
              <w:rPr>
                <w:rFonts w:ascii="Tahoma" w:hAnsi="Tahoma" w:cs="Tahoma"/>
                <w:sz w:val="13"/>
                <w:szCs w:val="13"/>
              </w:rPr>
              <w:t>4</w:t>
            </w:r>
          </w:p>
        </w:tc>
        <w:tc>
          <w:tcPr>
            <w:tcW w:w="429" w:type="dxa"/>
            <w:tcBorders>
              <w:bottom w:val="single" w:sz="4" w:space="0" w:color="auto"/>
              <w:right w:val="single" w:sz="18" w:space="0" w:color="auto"/>
            </w:tcBorders>
            <w:shd w:val="clear" w:color="auto" w:fill="FFFFFF"/>
            <w:vAlign w:val="center"/>
          </w:tcPr>
          <w:p w:rsidR="00CC19FC" w:rsidRPr="00BD7CEA" w:rsidRDefault="00CC19FC" w:rsidP="0070485B">
            <w:pPr>
              <w:pStyle w:val="TableText"/>
              <w:rPr>
                <w:rFonts w:ascii="Tahoma" w:hAnsi="Tahoma" w:cs="Tahoma"/>
                <w:sz w:val="13"/>
                <w:szCs w:val="13"/>
              </w:rPr>
            </w:pPr>
            <w:r w:rsidRPr="00BD7CEA">
              <w:rPr>
                <w:rFonts w:ascii="Tahoma" w:hAnsi="Tahoma" w:cs="Tahoma"/>
                <w:sz w:val="13"/>
                <w:szCs w:val="13"/>
              </w:rPr>
              <w:t>2</w:t>
            </w:r>
          </w:p>
        </w:tc>
        <w:tc>
          <w:tcPr>
            <w:tcW w:w="429" w:type="dxa"/>
            <w:tcBorders>
              <w:left w:val="single" w:sz="18" w:space="0" w:color="auto"/>
              <w:bottom w:val="single" w:sz="4" w:space="0" w:color="auto"/>
            </w:tcBorders>
            <w:shd w:val="clear" w:color="auto" w:fill="FFFFFF"/>
            <w:vAlign w:val="center"/>
          </w:tcPr>
          <w:p w:rsidR="00CC19FC" w:rsidRPr="00BD7CEA" w:rsidRDefault="00CC19FC" w:rsidP="0070485B">
            <w:pPr>
              <w:pStyle w:val="TableText"/>
              <w:rPr>
                <w:rFonts w:ascii="Tahoma" w:hAnsi="Tahoma" w:cs="Tahoma"/>
                <w:sz w:val="13"/>
                <w:szCs w:val="13"/>
              </w:rPr>
            </w:pPr>
            <w:r w:rsidRPr="00BD7CEA">
              <w:rPr>
                <w:rFonts w:ascii="Tahoma" w:hAnsi="Tahoma" w:cs="Tahoma"/>
                <w:sz w:val="13"/>
                <w:szCs w:val="13"/>
              </w:rPr>
              <w:t>4</w:t>
            </w:r>
          </w:p>
        </w:tc>
        <w:tc>
          <w:tcPr>
            <w:tcW w:w="429" w:type="dxa"/>
            <w:tcBorders>
              <w:bottom w:val="single" w:sz="4" w:space="0" w:color="auto"/>
            </w:tcBorders>
            <w:shd w:val="clear" w:color="auto" w:fill="FFFFFF"/>
            <w:vAlign w:val="center"/>
          </w:tcPr>
          <w:p w:rsidR="00CC19FC" w:rsidRPr="00BD7CEA" w:rsidRDefault="00CC19FC" w:rsidP="0070485B">
            <w:pPr>
              <w:pStyle w:val="TableText"/>
              <w:rPr>
                <w:rFonts w:ascii="Tahoma" w:hAnsi="Tahoma" w:cs="Tahoma"/>
                <w:sz w:val="13"/>
                <w:szCs w:val="13"/>
              </w:rPr>
            </w:pPr>
            <w:r w:rsidRPr="00BD7CEA">
              <w:rPr>
                <w:rFonts w:ascii="Tahoma" w:hAnsi="Tahoma" w:cs="Tahoma"/>
                <w:sz w:val="13"/>
                <w:szCs w:val="13"/>
              </w:rPr>
              <w:t>8</w:t>
            </w:r>
          </w:p>
        </w:tc>
        <w:tc>
          <w:tcPr>
            <w:tcW w:w="429" w:type="dxa"/>
            <w:tcBorders>
              <w:bottom w:val="single" w:sz="4" w:space="0" w:color="auto"/>
              <w:right w:val="single" w:sz="18" w:space="0" w:color="auto"/>
            </w:tcBorders>
            <w:shd w:val="clear" w:color="auto" w:fill="FFFFFF"/>
            <w:vAlign w:val="center"/>
          </w:tcPr>
          <w:p w:rsidR="00CC19FC" w:rsidRPr="00BD7CEA" w:rsidRDefault="00CC19FC" w:rsidP="0070485B">
            <w:pPr>
              <w:pStyle w:val="TableText"/>
              <w:rPr>
                <w:rFonts w:ascii="Tahoma" w:hAnsi="Tahoma" w:cs="Tahoma"/>
                <w:sz w:val="13"/>
                <w:szCs w:val="13"/>
              </w:rPr>
            </w:pPr>
            <w:r w:rsidRPr="00BD7CEA">
              <w:rPr>
                <w:rFonts w:ascii="Tahoma" w:hAnsi="Tahoma" w:cs="Tahoma"/>
                <w:sz w:val="13"/>
                <w:szCs w:val="13"/>
              </w:rPr>
              <w:t>4</w:t>
            </w:r>
          </w:p>
        </w:tc>
        <w:tc>
          <w:tcPr>
            <w:tcW w:w="429" w:type="dxa"/>
            <w:tcBorders>
              <w:left w:val="single" w:sz="18" w:space="0" w:color="auto"/>
              <w:bottom w:val="single" w:sz="4" w:space="0" w:color="auto"/>
            </w:tcBorders>
            <w:shd w:val="clear" w:color="auto" w:fill="FFFFFF"/>
            <w:vAlign w:val="center"/>
          </w:tcPr>
          <w:p w:rsidR="00CC19FC" w:rsidRPr="00BD7CEA" w:rsidRDefault="00CC19FC" w:rsidP="0070485B">
            <w:pPr>
              <w:pStyle w:val="TableText"/>
              <w:rPr>
                <w:rFonts w:ascii="Tahoma" w:hAnsi="Tahoma" w:cs="Tahoma"/>
                <w:sz w:val="13"/>
                <w:szCs w:val="13"/>
              </w:rPr>
            </w:pPr>
            <w:r w:rsidRPr="00BD7CEA">
              <w:rPr>
                <w:rFonts w:ascii="Tahoma" w:hAnsi="Tahoma" w:cs="Tahoma"/>
                <w:sz w:val="13"/>
                <w:szCs w:val="13"/>
              </w:rPr>
              <w:t>1</w:t>
            </w:r>
          </w:p>
        </w:tc>
        <w:tc>
          <w:tcPr>
            <w:tcW w:w="429" w:type="dxa"/>
            <w:tcBorders>
              <w:bottom w:val="single" w:sz="4" w:space="0" w:color="auto"/>
              <w:right w:val="single" w:sz="18" w:space="0" w:color="auto"/>
            </w:tcBorders>
            <w:shd w:val="clear" w:color="auto" w:fill="FFFFFF"/>
            <w:vAlign w:val="center"/>
          </w:tcPr>
          <w:p w:rsidR="00CC19FC" w:rsidRPr="00BD7CEA" w:rsidRDefault="00CC19FC" w:rsidP="0070485B">
            <w:pPr>
              <w:pStyle w:val="TableText"/>
              <w:rPr>
                <w:rFonts w:ascii="Tahoma" w:hAnsi="Tahoma" w:cs="Tahoma"/>
                <w:sz w:val="13"/>
              </w:rPr>
            </w:pPr>
            <w:r w:rsidRPr="00BD7CEA">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rsidR="00CC19FC" w:rsidRPr="00BD7CEA" w:rsidRDefault="00CC19FC" w:rsidP="0070485B">
            <w:pPr>
              <w:pStyle w:val="TableText"/>
              <w:rPr>
                <w:rFonts w:ascii="Tahoma" w:hAnsi="Tahoma" w:cs="Tahoma"/>
                <w:sz w:val="13"/>
              </w:rPr>
            </w:pPr>
            <w:r w:rsidRPr="00BD7CEA">
              <w:rPr>
                <w:rFonts w:ascii="Tahoma" w:hAnsi="Tahoma" w:cs="Tahoma"/>
                <w:sz w:val="13"/>
              </w:rPr>
              <w:t>P</w:t>
            </w:r>
          </w:p>
        </w:tc>
        <w:tc>
          <w:tcPr>
            <w:tcW w:w="514" w:type="dxa"/>
            <w:tcBorders>
              <w:bottom w:val="single" w:sz="4" w:space="0" w:color="auto"/>
            </w:tcBorders>
            <w:shd w:val="clear" w:color="auto" w:fill="FFFFFF"/>
            <w:vAlign w:val="center"/>
          </w:tcPr>
          <w:p w:rsidR="00CC19FC" w:rsidRPr="00BD7CEA" w:rsidRDefault="00CC19FC" w:rsidP="0070485B">
            <w:pPr>
              <w:pStyle w:val="TableText"/>
              <w:rPr>
                <w:rFonts w:ascii="Tahoma" w:hAnsi="Tahoma" w:cs="Tahoma"/>
                <w:sz w:val="13"/>
              </w:rPr>
            </w:pPr>
            <w:r w:rsidRPr="00BD7CEA">
              <w:rPr>
                <w:rFonts w:ascii="Tahoma" w:hAnsi="Tahoma" w:cs="Tahoma"/>
                <w:sz w:val="13"/>
              </w:rPr>
              <w:t>A, AO, ST</w:t>
            </w:r>
          </w:p>
        </w:tc>
        <w:tc>
          <w:tcPr>
            <w:tcW w:w="514" w:type="dxa"/>
            <w:tcBorders>
              <w:bottom w:val="single" w:sz="4" w:space="0" w:color="auto"/>
            </w:tcBorders>
            <w:shd w:val="clear" w:color="auto" w:fill="FFFFFF"/>
            <w:vAlign w:val="center"/>
          </w:tcPr>
          <w:p w:rsidR="00CC19FC" w:rsidRPr="00BD7CEA" w:rsidRDefault="00CC19FC" w:rsidP="0070485B">
            <w:pPr>
              <w:pStyle w:val="TableText"/>
              <w:rPr>
                <w:rFonts w:ascii="Tahoma" w:hAnsi="Tahoma" w:cs="Tahoma"/>
                <w:sz w:val="13"/>
              </w:rPr>
            </w:pPr>
          </w:p>
        </w:tc>
      </w:tr>
      <w:tr w:rsidR="00EF228F" w:rsidRPr="00BD7CEA" w:rsidTr="00C60100">
        <w:trPr>
          <w:cantSplit/>
          <w:trHeight w:val="145"/>
        </w:trPr>
        <w:tc>
          <w:tcPr>
            <w:tcW w:w="2638" w:type="dxa"/>
            <w:tcBorders>
              <w:bottom w:val="single" w:sz="4" w:space="0" w:color="auto"/>
            </w:tcBorders>
            <w:shd w:val="clear" w:color="auto" w:fill="FABF8F"/>
          </w:tcPr>
          <w:p w:rsidR="00CC19FC" w:rsidRPr="00BD7CEA" w:rsidRDefault="00C24CBE" w:rsidP="00E215F4">
            <w:pPr>
              <w:pStyle w:val="Heading3"/>
              <w:spacing w:beforeLines="20" w:before="48" w:afterLines="20" w:after="48"/>
              <w:rPr>
                <w:rFonts w:ascii="Tahoma" w:hAnsi="Tahoma" w:cs="Tahoma"/>
                <w:b w:val="0"/>
                <w:sz w:val="14"/>
              </w:rPr>
            </w:pPr>
            <w:bookmarkStart w:id="91" w:name="_Toc353375661"/>
            <w:r w:rsidRPr="00BD7CEA">
              <w:rPr>
                <w:rFonts w:ascii="Tahoma" w:hAnsi="Tahoma" w:cs="Tahoma"/>
                <w:b w:val="0"/>
                <w:sz w:val="14"/>
              </w:rPr>
              <w:t>Project Pro per Office 365</w:t>
            </w:r>
            <w:bookmarkEnd w:id="91"/>
            <w:r w:rsidR="008D782D" w:rsidRPr="00BD7CEA">
              <w:rPr>
                <w:rFonts w:ascii="Tahoma" w:hAnsi="Tahoma" w:cs="Tahoma"/>
                <w:b w:val="0"/>
                <w:sz w:val="14"/>
              </w:rPr>
              <w:t xml:space="preserve"> </w:t>
            </w:r>
          </w:p>
        </w:tc>
        <w:tc>
          <w:tcPr>
            <w:tcW w:w="429" w:type="dxa"/>
            <w:tcBorders>
              <w:bottom w:val="single" w:sz="4" w:space="0" w:color="auto"/>
            </w:tcBorders>
            <w:shd w:val="clear" w:color="auto" w:fill="FABF8F"/>
            <w:vAlign w:val="center"/>
          </w:tcPr>
          <w:p w:rsidR="00CC19FC" w:rsidRPr="00BD7CEA" w:rsidRDefault="006E5080" w:rsidP="00B0065F">
            <w:pPr>
              <w:pStyle w:val="TableText"/>
              <w:widowControl w:val="0"/>
              <w:rPr>
                <w:b/>
                <w:color w:val="0000FF"/>
                <w:sz w:val="13"/>
                <w:szCs w:val="13"/>
                <w:u w:val="single"/>
              </w:rPr>
            </w:pPr>
            <w:hyperlink w:anchor="_14_Project_Pro" w:history="1">
              <w:r w:rsidR="00955428" w:rsidRPr="00BD7CEA">
                <w:rPr>
                  <w:rStyle w:val="Hyperlink"/>
                  <w:b/>
                  <w:sz w:val="13"/>
                  <w:szCs w:val="13"/>
                </w:rPr>
                <w:t>14</w:t>
              </w:r>
            </w:hyperlink>
          </w:p>
        </w:tc>
        <w:tc>
          <w:tcPr>
            <w:tcW w:w="429" w:type="dxa"/>
            <w:tcBorders>
              <w:bottom w:val="single" w:sz="4" w:space="0" w:color="auto"/>
            </w:tcBorders>
            <w:shd w:val="clear" w:color="auto" w:fill="FABF8F"/>
            <w:vAlign w:val="center"/>
          </w:tcPr>
          <w:p w:rsidR="00CC19FC" w:rsidRPr="00BD7CEA" w:rsidRDefault="00CC19FC" w:rsidP="004941B2">
            <w:pPr>
              <w:pStyle w:val="TableText"/>
              <w:spacing w:before="60" w:after="60"/>
              <w:rPr>
                <w:rFonts w:ascii="Tahoma" w:hAnsi="Tahoma" w:cs="Tahoma"/>
                <w:sz w:val="13"/>
              </w:rPr>
            </w:pPr>
            <w:r w:rsidRPr="00BD7CEA">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BD7CEA"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BD7CEA"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BD7CEA"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BD7CEA"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BD7CEA"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BD7CEA"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rsidR="00CC19FC" w:rsidRPr="00BD7CEA" w:rsidRDefault="00CC19FC" w:rsidP="004B3534">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rsidR="00CC19FC" w:rsidRPr="00BD7CEA"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BD7CEA"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rsidR="00CC19FC" w:rsidRPr="00BD7CEA" w:rsidRDefault="00CC19FC" w:rsidP="004B3534">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rsidR="00CC19FC" w:rsidRPr="00BD7CEA"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BD7CEA"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BD7CEA"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BD7CEA" w:rsidRDefault="00CC19FC" w:rsidP="004B3534">
            <w:pPr>
              <w:pStyle w:val="TableText"/>
              <w:rPr>
                <w:rFonts w:ascii="Tahoma" w:hAnsi="Tahoma" w:cs="Tahoma"/>
                <w:sz w:val="13"/>
              </w:rPr>
            </w:pPr>
          </w:p>
        </w:tc>
      </w:tr>
      <w:tr w:rsidR="00CC19FC" w:rsidRPr="00BD7CEA" w:rsidTr="007E466C">
        <w:trPr>
          <w:cantSplit/>
          <w:trHeight w:val="145"/>
        </w:trPr>
        <w:tc>
          <w:tcPr>
            <w:tcW w:w="2638" w:type="dxa"/>
            <w:tcBorders>
              <w:bottom w:val="single" w:sz="4" w:space="0" w:color="auto"/>
            </w:tcBorders>
            <w:shd w:val="clear" w:color="auto" w:fill="auto"/>
          </w:tcPr>
          <w:p w:rsidR="00CC19FC" w:rsidRPr="00BD7CEA" w:rsidRDefault="00CC19FC" w:rsidP="00E215F4">
            <w:pPr>
              <w:pStyle w:val="Heading3"/>
              <w:spacing w:beforeLines="20" w:before="48" w:afterLines="20" w:after="48"/>
              <w:rPr>
                <w:rFonts w:ascii="Tahoma" w:hAnsi="Tahoma" w:cs="Tahoma"/>
                <w:b w:val="0"/>
                <w:sz w:val="14"/>
              </w:rPr>
            </w:pPr>
            <w:bookmarkStart w:id="92" w:name="_Toc353375662"/>
            <w:r w:rsidRPr="00BD7CEA">
              <w:rPr>
                <w:rFonts w:ascii="Tahoma" w:hAnsi="Tahoma" w:cs="Tahoma"/>
                <w:b w:val="0"/>
                <w:sz w:val="14"/>
              </w:rPr>
              <w:t>Project Pro per Office 365 A</w:t>
            </w:r>
            <w:bookmarkEnd w:id="92"/>
          </w:p>
        </w:tc>
        <w:tc>
          <w:tcPr>
            <w:tcW w:w="429" w:type="dxa"/>
            <w:tcBorders>
              <w:bottom w:val="single" w:sz="4" w:space="0" w:color="auto"/>
            </w:tcBorders>
            <w:shd w:val="clear" w:color="auto" w:fill="auto"/>
            <w:vAlign w:val="center"/>
          </w:tcPr>
          <w:p w:rsidR="00CC19FC" w:rsidRPr="00BD7CEA" w:rsidRDefault="00CC19FC" w:rsidP="00152361">
            <w:pPr>
              <w:pStyle w:val="TableText"/>
              <w:widowControl w:val="0"/>
              <w:rPr>
                <w:b/>
                <w:color w:val="0000FF"/>
                <w:sz w:val="13"/>
                <w:szCs w:val="13"/>
                <w:u w:val="single"/>
              </w:rPr>
            </w:pPr>
          </w:p>
        </w:tc>
        <w:tc>
          <w:tcPr>
            <w:tcW w:w="429" w:type="dxa"/>
            <w:tcBorders>
              <w:bottom w:val="single" w:sz="4" w:space="0" w:color="auto"/>
            </w:tcBorders>
            <w:shd w:val="clear" w:color="auto" w:fill="auto"/>
            <w:vAlign w:val="center"/>
          </w:tcPr>
          <w:p w:rsidR="00CC19FC" w:rsidRPr="00BD7CEA" w:rsidRDefault="00CC19FC" w:rsidP="004941B2">
            <w:pPr>
              <w:pStyle w:val="TableText"/>
              <w:spacing w:before="60" w:after="60"/>
              <w:rPr>
                <w:rFonts w:ascii="Tahoma" w:hAnsi="Tahoma" w:cs="Tahoma"/>
                <w:sz w:val="13"/>
              </w:rPr>
            </w:pPr>
            <w:r w:rsidRPr="00BD7CEA">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BD7CEA"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BD7CEA"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BD7CEA"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BD7CEA"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BD7CEA"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BD7CEA"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CC19FC" w:rsidRPr="00BD7CEA" w:rsidRDefault="00CC19FC" w:rsidP="004B3534">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rsidR="00CC19FC" w:rsidRPr="00BD7CEA"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BD7CEA"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CC19FC" w:rsidRPr="00BD7CEA" w:rsidRDefault="00CC19FC" w:rsidP="004B3534">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rsidR="00CC19FC" w:rsidRPr="00BD7CEA" w:rsidRDefault="00C24CBE" w:rsidP="004B3534">
            <w:pPr>
              <w:pStyle w:val="TableText"/>
              <w:spacing w:after="120"/>
              <w:rPr>
                <w:rFonts w:ascii="Tahoma" w:hAnsi="Tahoma" w:cs="Tahoma"/>
                <w:sz w:val="13"/>
                <w:szCs w:val="13"/>
              </w:rPr>
            </w:pPr>
            <w:r w:rsidRPr="00BD7CEA">
              <w:rPr>
                <w:rFonts w:ascii="Tahoma" w:hAnsi="Tahoma" w:cs="Tahoma"/>
                <w:sz w:val="13"/>
                <w:szCs w:val="13"/>
              </w:rPr>
              <w:t>1</w:t>
            </w:r>
          </w:p>
        </w:tc>
        <w:tc>
          <w:tcPr>
            <w:tcW w:w="429" w:type="dxa"/>
            <w:tcBorders>
              <w:bottom w:val="single" w:sz="4" w:space="0" w:color="auto"/>
              <w:right w:val="single" w:sz="18" w:space="0" w:color="auto"/>
            </w:tcBorders>
            <w:shd w:val="clear" w:color="auto" w:fill="auto"/>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BD7CEA"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BD7CEA" w:rsidRDefault="00573BA8" w:rsidP="00080B33">
            <w:pPr>
              <w:pStyle w:val="TableText"/>
              <w:rPr>
                <w:rFonts w:ascii="Tahoma" w:hAnsi="Tahoma" w:cs="Tahoma"/>
                <w:sz w:val="13"/>
              </w:rPr>
            </w:pPr>
            <w:r w:rsidRPr="00BD7CEA">
              <w:rPr>
                <w:rFonts w:ascii="Tahoma" w:hAnsi="Tahoma" w:cs="Tahoma"/>
                <w:sz w:val="13"/>
              </w:rPr>
              <w:t>A, ST (Solo EES)</w:t>
            </w:r>
          </w:p>
        </w:tc>
        <w:tc>
          <w:tcPr>
            <w:tcW w:w="514" w:type="dxa"/>
            <w:tcBorders>
              <w:bottom w:val="single" w:sz="4" w:space="0" w:color="auto"/>
            </w:tcBorders>
            <w:shd w:val="clear" w:color="auto" w:fill="auto"/>
            <w:vAlign w:val="center"/>
          </w:tcPr>
          <w:p w:rsidR="00CC19FC" w:rsidRPr="00BD7CEA" w:rsidRDefault="00CC19FC" w:rsidP="004B3534">
            <w:pPr>
              <w:pStyle w:val="TableText"/>
              <w:rPr>
                <w:rFonts w:ascii="Tahoma" w:hAnsi="Tahoma" w:cs="Tahoma"/>
                <w:sz w:val="13"/>
              </w:rPr>
            </w:pPr>
          </w:p>
        </w:tc>
      </w:tr>
      <w:tr w:rsidR="00EF228F" w:rsidRPr="00BD7CEA" w:rsidTr="00C60100">
        <w:trPr>
          <w:cantSplit/>
          <w:trHeight w:val="145"/>
        </w:trPr>
        <w:tc>
          <w:tcPr>
            <w:tcW w:w="2638" w:type="dxa"/>
            <w:tcBorders>
              <w:bottom w:val="single" w:sz="4" w:space="0" w:color="auto"/>
            </w:tcBorders>
            <w:shd w:val="clear" w:color="auto" w:fill="FABF8F"/>
          </w:tcPr>
          <w:p w:rsidR="00CC19FC" w:rsidRPr="00BD7CEA" w:rsidRDefault="00CC19FC" w:rsidP="00E215F4">
            <w:pPr>
              <w:pStyle w:val="Heading3"/>
              <w:spacing w:beforeLines="20" w:before="48" w:afterLines="20" w:after="48"/>
              <w:rPr>
                <w:rFonts w:ascii="Tahoma" w:hAnsi="Tahoma" w:cs="Tahoma"/>
                <w:b w:val="0"/>
                <w:sz w:val="14"/>
              </w:rPr>
            </w:pPr>
            <w:bookmarkStart w:id="93" w:name="_Toc353375663"/>
            <w:r w:rsidRPr="00BD7CEA">
              <w:rPr>
                <w:rFonts w:ascii="Tahoma" w:hAnsi="Tahoma" w:cs="Tahoma"/>
                <w:b w:val="0"/>
                <w:sz w:val="14"/>
              </w:rPr>
              <w:t>Publisher 2013</w:t>
            </w:r>
            <w:bookmarkEnd w:id="93"/>
          </w:p>
        </w:tc>
        <w:tc>
          <w:tcPr>
            <w:tcW w:w="429" w:type="dxa"/>
            <w:tcBorders>
              <w:bottom w:val="single" w:sz="4" w:space="0" w:color="auto"/>
            </w:tcBorders>
            <w:shd w:val="clear" w:color="auto" w:fill="FABF8F"/>
            <w:vAlign w:val="center"/>
          </w:tcPr>
          <w:p w:rsidR="00CC19FC" w:rsidRPr="00BD7CEA" w:rsidRDefault="00CC19FC" w:rsidP="00152361">
            <w:pPr>
              <w:pStyle w:val="TableText"/>
              <w:widowControl w:val="0"/>
              <w:rPr>
                <w:b/>
                <w:color w:val="0000FF"/>
                <w:sz w:val="13"/>
                <w:szCs w:val="13"/>
                <w:u w:val="single"/>
              </w:rPr>
            </w:pPr>
            <w:bookmarkStart w:id="94" w:name="_Hlt335908485"/>
          </w:p>
        </w:tc>
        <w:bookmarkEnd w:id="94"/>
        <w:tc>
          <w:tcPr>
            <w:tcW w:w="429" w:type="dxa"/>
            <w:tcBorders>
              <w:bottom w:val="single" w:sz="4" w:space="0" w:color="auto"/>
            </w:tcBorders>
            <w:shd w:val="clear" w:color="auto" w:fill="FABF8F"/>
            <w:vAlign w:val="center"/>
          </w:tcPr>
          <w:p w:rsidR="00CC19FC" w:rsidRPr="00BD7CEA" w:rsidDel="00527D48" w:rsidRDefault="00CC19FC" w:rsidP="004941B2">
            <w:pPr>
              <w:pStyle w:val="TableText"/>
              <w:spacing w:before="60" w:after="60"/>
              <w:rPr>
                <w:rFonts w:ascii="Tahoma" w:hAnsi="Tahoma" w:cs="Tahoma"/>
                <w:sz w:val="13"/>
              </w:rPr>
            </w:pPr>
            <w:r w:rsidRPr="00BD7CEA">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BD7CEA"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BD7CEA" w:rsidRDefault="00CC19FC" w:rsidP="004B3534">
            <w:pPr>
              <w:pStyle w:val="TableText"/>
              <w:spacing w:after="120"/>
              <w:rPr>
                <w:rFonts w:ascii="Tahoma" w:hAnsi="Tahoma" w:cs="Tahoma"/>
                <w:sz w:val="13"/>
                <w:szCs w:val="13"/>
              </w:rPr>
            </w:pPr>
            <w:r w:rsidRPr="00BD7CEA">
              <w:rPr>
                <w:rFonts w:ascii="Tahoma" w:hAnsi="Tahoma" w:cs="Tahoma"/>
                <w:sz w:val="13"/>
                <w:szCs w:val="13"/>
              </w:rPr>
              <w:t>1</w:t>
            </w:r>
          </w:p>
        </w:tc>
        <w:tc>
          <w:tcPr>
            <w:tcW w:w="429" w:type="dxa"/>
            <w:tcBorders>
              <w:bottom w:val="single" w:sz="4" w:space="0" w:color="auto"/>
            </w:tcBorders>
            <w:shd w:val="clear" w:color="auto" w:fill="FABF8F"/>
            <w:vAlign w:val="center"/>
          </w:tcPr>
          <w:p w:rsidR="00CC19FC" w:rsidRPr="00BD7CEA" w:rsidRDefault="00CC19FC" w:rsidP="004B3534">
            <w:pPr>
              <w:pStyle w:val="TableText"/>
              <w:spacing w:after="120"/>
              <w:rPr>
                <w:rFonts w:ascii="Tahoma" w:hAnsi="Tahoma" w:cs="Tahoma"/>
                <w:sz w:val="13"/>
                <w:szCs w:val="13"/>
              </w:rPr>
            </w:pPr>
            <w:r w:rsidRPr="00BD7CEA">
              <w:rPr>
                <w:rFonts w:ascii="Tahoma" w:hAnsi="Tahoma" w:cs="Tahoma"/>
                <w:sz w:val="13"/>
                <w:szCs w:val="13"/>
              </w:rPr>
              <w:t>3</w:t>
            </w:r>
          </w:p>
        </w:tc>
        <w:tc>
          <w:tcPr>
            <w:tcW w:w="429" w:type="dxa"/>
            <w:tcBorders>
              <w:bottom w:val="single" w:sz="4" w:space="0" w:color="auto"/>
            </w:tcBorders>
            <w:shd w:val="clear" w:color="auto" w:fill="FABF8F"/>
            <w:vAlign w:val="center"/>
          </w:tcPr>
          <w:p w:rsidR="00CC19FC" w:rsidRPr="00BD7CEA" w:rsidRDefault="00CC19FC" w:rsidP="004B3534">
            <w:pPr>
              <w:pStyle w:val="TableText"/>
              <w:spacing w:after="120"/>
              <w:rPr>
                <w:rFonts w:ascii="Tahoma" w:hAnsi="Tahoma" w:cs="Tahoma"/>
                <w:sz w:val="13"/>
                <w:szCs w:val="13"/>
              </w:rPr>
            </w:pPr>
            <w:r w:rsidRPr="00BD7CEA">
              <w:rPr>
                <w:rFonts w:ascii="Tahoma" w:hAnsi="Tahoma" w:cs="Tahoma"/>
                <w:sz w:val="13"/>
                <w:szCs w:val="13"/>
              </w:rPr>
              <w:t>2</w:t>
            </w:r>
          </w:p>
        </w:tc>
        <w:tc>
          <w:tcPr>
            <w:tcW w:w="429" w:type="dxa"/>
            <w:tcBorders>
              <w:bottom w:val="single" w:sz="4" w:space="0" w:color="auto"/>
            </w:tcBorders>
            <w:shd w:val="clear" w:color="auto" w:fill="FABF8F"/>
            <w:vAlign w:val="center"/>
          </w:tcPr>
          <w:p w:rsidR="00CC19FC" w:rsidRPr="00BD7CEA" w:rsidRDefault="00CC19FC" w:rsidP="004B3534">
            <w:pPr>
              <w:pStyle w:val="TableText"/>
              <w:spacing w:after="120"/>
              <w:rPr>
                <w:rFonts w:ascii="Tahoma" w:hAnsi="Tahoma" w:cs="Tahoma"/>
                <w:sz w:val="13"/>
                <w:szCs w:val="13"/>
              </w:rPr>
            </w:pPr>
            <w:r w:rsidRPr="00BD7CEA">
              <w:rPr>
                <w:rFonts w:ascii="Tahoma" w:hAnsi="Tahoma" w:cs="Tahoma"/>
                <w:sz w:val="13"/>
                <w:szCs w:val="13"/>
              </w:rPr>
              <w:t>2</w:t>
            </w:r>
          </w:p>
        </w:tc>
        <w:tc>
          <w:tcPr>
            <w:tcW w:w="429" w:type="dxa"/>
            <w:tcBorders>
              <w:bottom w:val="single" w:sz="4" w:space="0" w:color="auto"/>
            </w:tcBorders>
            <w:shd w:val="clear" w:color="auto" w:fill="FABF8F"/>
            <w:vAlign w:val="center"/>
          </w:tcPr>
          <w:p w:rsidR="00CC19FC" w:rsidRPr="00BD7CEA" w:rsidRDefault="00CC19FC" w:rsidP="004B3534">
            <w:pPr>
              <w:pStyle w:val="TableText"/>
              <w:spacing w:after="120"/>
              <w:rPr>
                <w:rFonts w:ascii="Tahoma" w:hAnsi="Tahoma" w:cs="Tahoma"/>
                <w:sz w:val="13"/>
                <w:szCs w:val="13"/>
              </w:rPr>
            </w:pPr>
            <w:r w:rsidRPr="00BD7CEA">
              <w:rPr>
                <w:rFonts w:ascii="Tahoma" w:hAnsi="Tahoma" w:cs="Tahoma"/>
                <w:sz w:val="13"/>
                <w:szCs w:val="13"/>
              </w:rPr>
              <w:t>2</w:t>
            </w:r>
          </w:p>
        </w:tc>
        <w:tc>
          <w:tcPr>
            <w:tcW w:w="429" w:type="dxa"/>
            <w:tcBorders>
              <w:bottom w:val="single" w:sz="4" w:space="0" w:color="auto"/>
            </w:tcBorders>
            <w:shd w:val="clear" w:color="auto" w:fill="FABF8F"/>
            <w:vAlign w:val="center"/>
          </w:tcPr>
          <w:p w:rsidR="00CC19FC" w:rsidRPr="00BD7CEA" w:rsidRDefault="00CC19FC" w:rsidP="004B3534">
            <w:pPr>
              <w:pStyle w:val="TableText"/>
              <w:spacing w:after="120"/>
              <w:rPr>
                <w:rFonts w:ascii="Tahoma" w:hAnsi="Tahoma" w:cs="Tahoma"/>
                <w:sz w:val="13"/>
                <w:szCs w:val="13"/>
              </w:rPr>
            </w:pPr>
            <w:r w:rsidRPr="00BD7CEA">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rsidR="00CC19FC" w:rsidRPr="00BD7CEA" w:rsidRDefault="00CC19FC" w:rsidP="004B3534">
            <w:pPr>
              <w:pStyle w:val="TableText"/>
              <w:spacing w:after="120"/>
              <w:rPr>
                <w:rFonts w:ascii="Tahoma" w:hAnsi="Tahoma" w:cs="Tahoma"/>
                <w:sz w:val="13"/>
                <w:szCs w:val="13"/>
              </w:rPr>
            </w:pPr>
            <w:r w:rsidRPr="00BD7CEA">
              <w:rPr>
                <w:rFonts w:ascii="Tahoma" w:hAnsi="Tahoma" w:cs="Tahoma"/>
                <w:sz w:val="13"/>
                <w:szCs w:val="13"/>
              </w:rPr>
              <w:t>1</w:t>
            </w:r>
          </w:p>
        </w:tc>
        <w:tc>
          <w:tcPr>
            <w:tcW w:w="429" w:type="dxa"/>
            <w:tcBorders>
              <w:left w:val="single" w:sz="18" w:space="0" w:color="auto"/>
              <w:bottom w:val="single" w:sz="4" w:space="0" w:color="auto"/>
            </w:tcBorders>
            <w:shd w:val="clear" w:color="auto" w:fill="FABF8F"/>
            <w:vAlign w:val="center"/>
          </w:tcPr>
          <w:p w:rsidR="00CC19FC" w:rsidRPr="00BD7CEA" w:rsidRDefault="00CC19FC" w:rsidP="004B3534">
            <w:pPr>
              <w:pStyle w:val="TableText"/>
              <w:spacing w:after="120"/>
              <w:rPr>
                <w:rFonts w:ascii="Tahoma" w:hAnsi="Tahoma" w:cs="Tahoma"/>
                <w:sz w:val="13"/>
                <w:szCs w:val="13"/>
              </w:rPr>
            </w:pPr>
            <w:r w:rsidRPr="00BD7CEA">
              <w:rPr>
                <w:rFonts w:ascii="Tahoma" w:hAnsi="Tahoma" w:cs="Tahoma"/>
                <w:sz w:val="13"/>
                <w:szCs w:val="13"/>
              </w:rPr>
              <w:t>1</w:t>
            </w:r>
          </w:p>
        </w:tc>
        <w:tc>
          <w:tcPr>
            <w:tcW w:w="429" w:type="dxa"/>
            <w:tcBorders>
              <w:bottom w:val="single" w:sz="4" w:space="0" w:color="auto"/>
            </w:tcBorders>
            <w:shd w:val="clear" w:color="auto" w:fill="FABF8F"/>
            <w:vAlign w:val="center"/>
          </w:tcPr>
          <w:p w:rsidR="00CC19FC" w:rsidRPr="00BD7CEA" w:rsidRDefault="00CC19FC" w:rsidP="004B3534">
            <w:pPr>
              <w:pStyle w:val="TableText"/>
              <w:spacing w:after="120"/>
              <w:rPr>
                <w:rFonts w:ascii="Tahoma" w:hAnsi="Tahoma" w:cs="Tahoma"/>
                <w:sz w:val="13"/>
                <w:szCs w:val="13"/>
              </w:rPr>
            </w:pPr>
            <w:r w:rsidRPr="00BD7CEA">
              <w:rPr>
                <w:rFonts w:ascii="Tahoma" w:hAnsi="Tahoma" w:cs="Tahoma"/>
                <w:sz w:val="13"/>
                <w:szCs w:val="13"/>
              </w:rPr>
              <w:t>2</w:t>
            </w:r>
          </w:p>
        </w:tc>
        <w:tc>
          <w:tcPr>
            <w:tcW w:w="429" w:type="dxa"/>
            <w:tcBorders>
              <w:bottom w:val="single" w:sz="4" w:space="0" w:color="auto"/>
              <w:right w:val="single" w:sz="18" w:space="0" w:color="auto"/>
            </w:tcBorders>
            <w:shd w:val="clear" w:color="auto" w:fill="FABF8F"/>
            <w:vAlign w:val="center"/>
          </w:tcPr>
          <w:p w:rsidR="00CC19FC" w:rsidRPr="00BD7CEA" w:rsidRDefault="00CC19FC" w:rsidP="004B3534">
            <w:pPr>
              <w:pStyle w:val="TableText"/>
              <w:spacing w:after="120"/>
              <w:rPr>
                <w:rFonts w:ascii="Tahoma" w:hAnsi="Tahoma" w:cs="Tahoma"/>
                <w:sz w:val="13"/>
                <w:szCs w:val="13"/>
              </w:rPr>
            </w:pPr>
            <w:r w:rsidRPr="00BD7CEA">
              <w:rPr>
                <w:rFonts w:ascii="Tahoma" w:hAnsi="Tahoma" w:cs="Tahoma"/>
                <w:sz w:val="13"/>
                <w:szCs w:val="13"/>
              </w:rPr>
              <w:t>1</w:t>
            </w:r>
          </w:p>
        </w:tc>
        <w:tc>
          <w:tcPr>
            <w:tcW w:w="429" w:type="dxa"/>
            <w:tcBorders>
              <w:left w:val="single" w:sz="18" w:space="0" w:color="auto"/>
              <w:bottom w:val="single" w:sz="4" w:space="0" w:color="auto"/>
            </w:tcBorders>
            <w:shd w:val="clear" w:color="auto" w:fill="FABF8F"/>
            <w:vAlign w:val="center"/>
          </w:tcPr>
          <w:p w:rsidR="00CC19FC" w:rsidRPr="00BD7CEA"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rsidR="00CC19FC" w:rsidRPr="00BD7CEA"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P</w:t>
            </w:r>
          </w:p>
        </w:tc>
        <w:tc>
          <w:tcPr>
            <w:tcW w:w="514" w:type="dxa"/>
            <w:tcBorders>
              <w:bottom w:val="single" w:sz="4" w:space="0" w:color="auto"/>
            </w:tcBorders>
            <w:shd w:val="clear" w:color="auto" w:fill="FABF8F"/>
            <w:vAlign w:val="center"/>
          </w:tcPr>
          <w:p w:rsidR="00CC19FC" w:rsidRPr="00BD7CEA"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BD7CEA" w:rsidRDefault="00CC19FC" w:rsidP="004B3534">
            <w:pPr>
              <w:pStyle w:val="TableText"/>
              <w:rPr>
                <w:rFonts w:ascii="Tahoma" w:hAnsi="Tahoma" w:cs="Tahoma"/>
                <w:sz w:val="13"/>
              </w:rPr>
            </w:pPr>
          </w:p>
        </w:tc>
      </w:tr>
      <w:tr w:rsidR="00CC19FC" w:rsidRPr="00BD7CEA" w:rsidTr="007E466C">
        <w:trPr>
          <w:cantSplit/>
          <w:trHeight w:val="145"/>
        </w:trPr>
        <w:tc>
          <w:tcPr>
            <w:tcW w:w="2638" w:type="dxa"/>
            <w:tcBorders>
              <w:bottom w:val="single" w:sz="4" w:space="0" w:color="auto"/>
            </w:tcBorders>
            <w:shd w:val="clear" w:color="auto" w:fill="auto"/>
          </w:tcPr>
          <w:p w:rsidR="00CC19FC" w:rsidRPr="007B74B7" w:rsidRDefault="00CC19FC" w:rsidP="00E215F4">
            <w:pPr>
              <w:pStyle w:val="Heading3"/>
              <w:spacing w:beforeLines="20" w:before="48" w:afterLines="20" w:after="48"/>
              <w:rPr>
                <w:rFonts w:ascii="Tahoma" w:hAnsi="Tahoma" w:cs="Tahoma"/>
                <w:b w:val="0"/>
                <w:sz w:val="14"/>
                <w:lang w:val="it-IT"/>
              </w:rPr>
            </w:pPr>
            <w:bookmarkStart w:id="95" w:name="_Toc336337882"/>
            <w:bookmarkStart w:id="96" w:name="_Toc353375664"/>
            <w:r w:rsidRPr="007B74B7">
              <w:rPr>
                <w:rFonts w:ascii="Tahoma" w:hAnsi="Tahoma" w:cs="Tahoma"/>
                <w:b w:val="0"/>
                <w:sz w:val="14"/>
                <w:lang w:val="it-IT"/>
              </w:rPr>
              <w:t xml:space="preserve">Diritti di Noleggio per Office </w:t>
            </w:r>
            <w:bookmarkEnd w:id="95"/>
            <w:r w:rsidRPr="007B74B7">
              <w:rPr>
                <w:rFonts w:ascii="Tahoma" w:hAnsi="Tahoma" w:cs="Tahoma"/>
                <w:b w:val="0"/>
                <w:sz w:val="14"/>
                <w:lang w:val="it-IT"/>
              </w:rPr>
              <w:t>Standard</w:t>
            </w:r>
            <w:bookmarkEnd w:id="96"/>
          </w:p>
        </w:tc>
        <w:tc>
          <w:tcPr>
            <w:tcW w:w="429" w:type="dxa"/>
            <w:tcBorders>
              <w:bottom w:val="single" w:sz="4" w:space="0" w:color="auto"/>
            </w:tcBorders>
            <w:shd w:val="clear" w:color="auto" w:fill="auto"/>
            <w:vAlign w:val="center"/>
          </w:tcPr>
          <w:p w:rsidR="00CC19FC" w:rsidRPr="00BD7CEA" w:rsidRDefault="006E5080" w:rsidP="00B0065F">
            <w:pPr>
              <w:pStyle w:val="TableText"/>
              <w:widowControl w:val="0"/>
              <w:rPr>
                <w:rStyle w:val="EndnoteReference"/>
                <w:b w:val="0"/>
                <w:color w:val="0000FF"/>
                <w:sz w:val="13"/>
                <w:szCs w:val="13"/>
                <w:u w:val="single"/>
              </w:rPr>
            </w:pPr>
            <w:hyperlink w:anchor="_15_Diritti_di" w:history="1">
              <w:r w:rsidR="00955428" w:rsidRPr="00BD7CEA">
                <w:rPr>
                  <w:rStyle w:val="Hyperlink"/>
                  <w:b/>
                  <w:sz w:val="13"/>
                  <w:szCs w:val="13"/>
                </w:rPr>
                <w:t>15</w:t>
              </w:r>
            </w:hyperlink>
          </w:p>
        </w:tc>
        <w:tc>
          <w:tcPr>
            <w:tcW w:w="429" w:type="dxa"/>
            <w:tcBorders>
              <w:bottom w:val="single" w:sz="4" w:space="0" w:color="auto"/>
            </w:tcBorders>
            <w:shd w:val="clear" w:color="auto" w:fill="auto"/>
            <w:vAlign w:val="center"/>
          </w:tcPr>
          <w:p w:rsidR="00CC19FC" w:rsidRPr="00BD7CEA" w:rsidRDefault="00CC19FC" w:rsidP="004B3534">
            <w:pPr>
              <w:pStyle w:val="TableText"/>
              <w:spacing w:before="60" w:after="60"/>
              <w:rPr>
                <w:rFonts w:ascii="Tahoma" w:hAnsi="Tahoma" w:cs="Tahoma"/>
                <w:sz w:val="13"/>
              </w:rPr>
            </w:pPr>
            <w:r w:rsidRPr="00BD7CEA">
              <w:rPr>
                <w:rFonts w:ascii="Tahoma" w:hAnsi="Tahoma" w:cs="Tahoma"/>
                <w:sz w:val="13"/>
              </w:rPr>
              <w:t>4/09</w:t>
            </w:r>
          </w:p>
        </w:tc>
        <w:tc>
          <w:tcPr>
            <w:tcW w:w="429" w:type="dxa"/>
            <w:tcBorders>
              <w:bottom w:val="single" w:sz="4" w:space="0" w:color="auto"/>
              <w:right w:val="single" w:sz="18" w:space="0" w:color="auto"/>
            </w:tcBorders>
            <w:shd w:val="clear" w:color="auto" w:fill="auto"/>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1</w:t>
            </w:r>
          </w:p>
        </w:tc>
        <w:tc>
          <w:tcPr>
            <w:tcW w:w="429" w:type="dxa"/>
            <w:tcBorders>
              <w:bottom w:val="single" w:sz="4" w:space="0" w:color="auto"/>
            </w:tcBorders>
            <w:shd w:val="clear" w:color="auto" w:fill="auto"/>
            <w:vAlign w:val="center"/>
          </w:tcPr>
          <w:p w:rsidR="00CC19FC" w:rsidRPr="00BD7CEA"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BD7CEA"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BD7CEA"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BD7CEA"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BD7CEA"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BD7CEA"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1</w:t>
            </w:r>
          </w:p>
        </w:tc>
        <w:tc>
          <w:tcPr>
            <w:tcW w:w="429" w:type="dxa"/>
            <w:tcBorders>
              <w:bottom w:val="single" w:sz="4" w:space="0" w:color="auto"/>
            </w:tcBorders>
            <w:shd w:val="clear" w:color="auto" w:fill="auto"/>
            <w:vAlign w:val="center"/>
          </w:tcPr>
          <w:p w:rsidR="00CC19FC" w:rsidRPr="00BD7CEA"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BD7CEA"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BD7CEA"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BD7CEA"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BD7CEA"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BD7CEA"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BD7CEA" w:rsidRDefault="00CC19FC" w:rsidP="004B3534">
            <w:pPr>
              <w:pStyle w:val="TableText"/>
              <w:rPr>
                <w:rFonts w:ascii="Tahoma" w:hAnsi="Tahoma" w:cs="Tahoma"/>
                <w:sz w:val="13"/>
              </w:rPr>
            </w:pPr>
          </w:p>
        </w:tc>
      </w:tr>
      <w:tr w:rsidR="00EF228F" w:rsidRPr="00BD7CEA" w:rsidTr="00C60100">
        <w:trPr>
          <w:cantSplit/>
          <w:trHeight w:val="145"/>
        </w:trPr>
        <w:tc>
          <w:tcPr>
            <w:tcW w:w="2638" w:type="dxa"/>
            <w:tcBorders>
              <w:bottom w:val="single" w:sz="4" w:space="0" w:color="auto"/>
            </w:tcBorders>
            <w:shd w:val="clear" w:color="auto" w:fill="FABF8F"/>
          </w:tcPr>
          <w:p w:rsidR="00CC19FC" w:rsidRPr="007B74B7" w:rsidRDefault="00CC19FC" w:rsidP="003E3E1F">
            <w:pPr>
              <w:pStyle w:val="Heading3"/>
              <w:spacing w:beforeLines="20" w:before="48" w:afterLines="20" w:after="48"/>
              <w:rPr>
                <w:rFonts w:ascii="Tahoma" w:hAnsi="Tahoma" w:cs="Tahoma"/>
                <w:b w:val="0"/>
                <w:sz w:val="14"/>
                <w:lang w:val="it-IT"/>
              </w:rPr>
            </w:pPr>
            <w:bookmarkStart w:id="97" w:name="_Toc353375665"/>
            <w:r w:rsidRPr="007B74B7">
              <w:rPr>
                <w:rFonts w:ascii="Tahoma" w:hAnsi="Tahoma" w:cs="Tahoma"/>
                <w:b w:val="0"/>
                <w:sz w:val="14"/>
                <w:lang w:val="it-IT"/>
              </w:rPr>
              <w:t>Diritto di Noleggio per Office Professional</w:t>
            </w:r>
            <w:r w:rsidR="003E3E1F" w:rsidRPr="007B74B7">
              <w:rPr>
                <w:b w:val="0"/>
                <w:lang w:val="it-IT"/>
              </w:rPr>
              <w:t> </w:t>
            </w:r>
            <w:r w:rsidRPr="007B74B7">
              <w:rPr>
                <w:rFonts w:ascii="Tahoma" w:hAnsi="Tahoma" w:cs="Tahoma"/>
                <w:b w:val="0"/>
                <w:sz w:val="14"/>
                <w:lang w:val="it-IT"/>
              </w:rPr>
              <w:t>Plus</w:t>
            </w:r>
            <w:bookmarkEnd w:id="97"/>
          </w:p>
        </w:tc>
        <w:tc>
          <w:tcPr>
            <w:tcW w:w="429" w:type="dxa"/>
            <w:tcBorders>
              <w:bottom w:val="single" w:sz="4" w:space="0" w:color="auto"/>
            </w:tcBorders>
            <w:shd w:val="clear" w:color="auto" w:fill="FABF8F"/>
            <w:vAlign w:val="center"/>
          </w:tcPr>
          <w:p w:rsidR="00CC19FC" w:rsidRPr="00BD7CEA" w:rsidRDefault="006E5080" w:rsidP="00B0065F">
            <w:pPr>
              <w:pStyle w:val="TableText"/>
              <w:widowControl w:val="0"/>
              <w:rPr>
                <w:rStyle w:val="EndnoteReference"/>
                <w:b w:val="0"/>
                <w:color w:val="0000FF"/>
                <w:sz w:val="13"/>
                <w:szCs w:val="13"/>
                <w:u w:val="single"/>
              </w:rPr>
            </w:pPr>
            <w:hyperlink w:anchor="_15_Diritti_di" w:history="1">
              <w:r w:rsidR="003E3E1F" w:rsidRPr="00BD7CEA">
                <w:rPr>
                  <w:rStyle w:val="Hyperlink"/>
                  <w:b/>
                  <w:sz w:val="13"/>
                  <w:szCs w:val="13"/>
                </w:rPr>
                <w:t>15</w:t>
              </w:r>
            </w:hyperlink>
          </w:p>
        </w:tc>
        <w:tc>
          <w:tcPr>
            <w:tcW w:w="429" w:type="dxa"/>
            <w:tcBorders>
              <w:bottom w:val="single" w:sz="4" w:space="0" w:color="auto"/>
            </w:tcBorders>
            <w:shd w:val="clear" w:color="auto" w:fill="FABF8F"/>
            <w:vAlign w:val="center"/>
          </w:tcPr>
          <w:p w:rsidR="00CC19FC" w:rsidRPr="00BD7CEA" w:rsidRDefault="00CC19FC" w:rsidP="004B3534">
            <w:pPr>
              <w:pStyle w:val="TableText"/>
              <w:spacing w:before="60" w:after="60"/>
              <w:rPr>
                <w:rFonts w:ascii="Tahoma" w:hAnsi="Tahoma" w:cs="Tahoma"/>
                <w:sz w:val="13"/>
              </w:rPr>
            </w:pPr>
            <w:r w:rsidRPr="00BD7CEA">
              <w:rPr>
                <w:rFonts w:ascii="Tahoma" w:hAnsi="Tahoma" w:cs="Tahoma"/>
                <w:sz w:val="13"/>
              </w:rPr>
              <w:t>4/09</w:t>
            </w:r>
          </w:p>
        </w:tc>
        <w:tc>
          <w:tcPr>
            <w:tcW w:w="429" w:type="dxa"/>
            <w:tcBorders>
              <w:bottom w:val="single" w:sz="4" w:space="0" w:color="auto"/>
              <w:right w:val="single" w:sz="18" w:space="0" w:color="auto"/>
            </w:tcBorders>
            <w:shd w:val="clear" w:color="auto" w:fill="FABF8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1</w:t>
            </w:r>
          </w:p>
        </w:tc>
        <w:tc>
          <w:tcPr>
            <w:tcW w:w="429" w:type="dxa"/>
            <w:tcBorders>
              <w:bottom w:val="single" w:sz="4" w:space="0" w:color="auto"/>
            </w:tcBorders>
            <w:shd w:val="clear" w:color="auto" w:fill="FABF8F"/>
            <w:vAlign w:val="center"/>
          </w:tcPr>
          <w:p w:rsidR="00CC19FC" w:rsidRPr="00BD7CEA"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BD7CEA"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BD7CEA"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BD7CEA"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BD7CEA"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BD7CEA"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1</w:t>
            </w:r>
          </w:p>
        </w:tc>
        <w:tc>
          <w:tcPr>
            <w:tcW w:w="429" w:type="dxa"/>
            <w:tcBorders>
              <w:bottom w:val="single" w:sz="4" w:space="0" w:color="auto"/>
            </w:tcBorders>
            <w:shd w:val="clear" w:color="auto" w:fill="FABF8F"/>
            <w:vAlign w:val="center"/>
          </w:tcPr>
          <w:p w:rsidR="00CC19FC" w:rsidRPr="00BD7CEA"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BD7CEA"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BD7CEA"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BD7CEA"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BD7CEA"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BD7CEA"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BD7CEA" w:rsidRDefault="00CC19FC" w:rsidP="004B3534">
            <w:pPr>
              <w:pStyle w:val="TableText"/>
              <w:rPr>
                <w:rFonts w:ascii="Tahoma" w:hAnsi="Tahoma" w:cs="Tahoma"/>
                <w:sz w:val="13"/>
              </w:rPr>
            </w:pPr>
          </w:p>
        </w:tc>
      </w:tr>
      <w:tr w:rsidR="00CC19FC" w:rsidRPr="00BD7CEA" w:rsidTr="007E466C">
        <w:trPr>
          <w:cantSplit/>
          <w:trHeight w:val="145"/>
        </w:trPr>
        <w:tc>
          <w:tcPr>
            <w:tcW w:w="2638" w:type="dxa"/>
            <w:tcBorders>
              <w:bottom w:val="single" w:sz="4" w:space="0" w:color="auto"/>
            </w:tcBorders>
            <w:shd w:val="clear" w:color="auto" w:fill="auto"/>
          </w:tcPr>
          <w:p w:rsidR="00CC19FC" w:rsidRPr="00BD7CEA" w:rsidRDefault="00CC19FC" w:rsidP="00E215F4">
            <w:pPr>
              <w:pStyle w:val="Heading3"/>
              <w:spacing w:beforeLines="20" w:before="48" w:afterLines="20" w:after="48"/>
              <w:rPr>
                <w:rFonts w:ascii="Tahoma" w:hAnsi="Tahoma" w:cs="Tahoma"/>
                <w:b w:val="0"/>
                <w:sz w:val="14"/>
              </w:rPr>
            </w:pPr>
            <w:bookmarkStart w:id="98" w:name="_Toc336337884"/>
            <w:bookmarkStart w:id="99" w:name="_Toc353375666"/>
            <w:r w:rsidRPr="00BD7CEA">
              <w:rPr>
                <w:rFonts w:ascii="Tahoma" w:hAnsi="Tahoma" w:cs="Tahoma"/>
                <w:b w:val="0"/>
                <w:sz w:val="14"/>
              </w:rPr>
              <w:t>Streets and Trips 2013</w:t>
            </w:r>
            <w:bookmarkEnd w:id="98"/>
            <w:bookmarkEnd w:id="99"/>
          </w:p>
        </w:tc>
        <w:tc>
          <w:tcPr>
            <w:tcW w:w="429" w:type="dxa"/>
            <w:tcBorders>
              <w:bottom w:val="single" w:sz="4" w:space="0" w:color="auto"/>
            </w:tcBorders>
            <w:shd w:val="clear" w:color="auto" w:fill="auto"/>
            <w:vAlign w:val="center"/>
          </w:tcPr>
          <w:p w:rsidR="00CC19FC" w:rsidRPr="00BD7CEA" w:rsidRDefault="00CC19FC" w:rsidP="00D353E6">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auto"/>
            <w:vAlign w:val="center"/>
          </w:tcPr>
          <w:p w:rsidR="00CC19FC" w:rsidRPr="00BD7CEA" w:rsidRDefault="00CC19FC" w:rsidP="00097B90">
            <w:pPr>
              <w:pStyle w:val="TableText"/>
              <w:spacing w:before="60" w:after="60"/>
              <w:rPr>
                <w:rFonts w:ascii="Tahoma" w:hAnsi="Tahoma" w:cs="Tahoma"/>
                <w:sz w:val="13"/>
              </w:rPr>
            </w:pPr>
            <w:r w:rsidRPr="00BD7CEA">
              <w:rPr>
                <w:rFonts w:ascii="Tahoma" w:hAnsi="Tahoma" w:cs="Tahoma"/>
                <w:sz w:val="13"/>
              </w:rPr>
              <w:t>03/11</w:t>
            </w:r>
          </w:p>
        </w:tc>
        <w:tc>
          <w:tcPr>
            <w:tcW w:w="429" w:type="dxa"/>
            <w:tcBorders>
              <w:bottom w:val="single" w:sz="4" w:space="0" w:color="auto"/>
              <w:right w:val="single" w:sz="18" w:space="0" w:color="auto"/>
            </w:tcBorders>
            <w:shd w:val="clear" w:color="auto" w:fill="auto"/>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1</w:t>
            </w:r>
          </w:p>
        </w:tc>
        <w:tc>
          <w:tcPr>
            <w:tcW w:w="429" w:type="dxa"/>
            <w:tcBorders>
              <w:bottom w:val="single" w:sz="4" w:space="0" w:color="auto"/>
            </w:tcBorders>
            <w:shd w:val="clear" w:color="auto" w:fill="auto"/>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3</w:t>
            </w:r>
          </w:p>
        </w:tc>
        <w:tc>
          <w:tcPr>
            <w:tcW w:w="429" w:type="dxa"/>
            <w:tcBorders>
              <w:bottom w:val="single" w:sz="4" w:space="0" w:color="auto"/>
            </w:tcBorders>
            <w:shd w:val="clear" w:color="auto" w:fill="auto"/>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2</w:t>
            </w:r>
          </w:p>
        </w:tc>
        <w:tc>
          <w:tcPr>
            <w:tcW w:w="429" w:type="dxa"/>
            <w:tcBorders>
              <w:bottom w:val="single" w:sz="4" w:space="0" w:color="auto"/>
            </w:tcBorders>
            <w:shd w:val="clear" w:color="auto" w:fill="auto"/>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2</w:t>
            </w:r>
          </w:p>
        </w:tc>
        <w:tc>
          <w:tcPr>
            <w:tcW w:w="429" w:type="dxa"/>
            <w:tcBorders>
              <w:bottom w:val="single" w:sz="4" w:space="0" w:color="auto"/>
            </w:tcBorders>
            <w:shd w:val="clear" w:color="auto" w:fill="auto"/>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2</w:t>
            </w:r>
          </w:p>
        </w:tc>
        <w:tc>
          <w:tcPr>
            <w:tcW w:w="429" w:type="dxa"/>
            <w:tcBorders>
              <w:bottom w:val="single" w:sz="4" w:space="0" w:color="auto"/>
            </w:tcBorders>
            <w:shd w:val="clear" w:color="auto" w:fill="auto"/>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1</w:t>
            </w:r>
          </w:p>
        </w:tc>
        <w:tc>
          <w:tcPr>
            <w:tcW w:w="429" w:type="dxa"/>
            <w:tcBorders>
              <w:bottom w:val="single" w:sz="4" w:space="0" w:color="auto"/>
            </w:tcBorders>
            <w:shd w:val="clear" w:color="auto" w:fill="auto"/>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P</w:t>
            </w:r>
          </w:p>
        </w:tc>
        <w:tc>
          <w:tcPr>
            <w:tcW w:w="514" w:type="dxa"/>
            <w:tcBorders>
              <w:bottom w:val="single" w:sz="4" w:space="0" w:color="auto"/>
            </w:tcBorders>
            <w:shd w:val="clear" w:color="auto" w:fill="auto"/>
            <w:vAlign w:val="center"/>
          </w:tcPr>
          <w:p w:rsidR="00CC19FC" w:rsidRPr="00BD7CEA" w:rsidRDefault="00CC19FC" w:rsidP="00080B33">
            <w:pPr>
              <w:pStyle w:val="TableText"/>
              <w:rPr>
                <w:rFonts w:ascii="Tahoma" w:hAnsi="Tahoma" w:cs="Tahoma"/>
                <w:sz w:val="13"/>
              </w:rPr>
            </w:pPr>
            <w:r w:rsidRPr="00BD7CEA">
              <w:rPr>
                <w:rFonts w:ascii="Tahoma" w:hAnsi="Tahoma" w:cs="Tahoma"/>
                <w:sz w:val="13"/>
              </w:rPr>
              <w:t>A, ST</w:t>
            </w:r>
          </w:p>
        </w:tc>
        <w:tc>
          <w:tcPr>
            <w:tcW w:w="514" w:type="dxa"/>
            <w:tcBorders>
              <w:bottom w:val="single" w:sz="4" w:space="0" w:color="auto"/>
            </w:tcBorders>
            <w:shd w:val="clear" w:color="auto" w:fill="auto"/>
            <w:vAlign w:val="center"/>
          </w:tcPr>
          <w:p w:rsidR="00CC19FC" w:rsidRPr="00BD7CEA" w:rsidRDefault="00CC19FC" w:rsidP="004B3534">
            <w:pPr>
              <w:pStyle w:val="TableText"/>
              <w:rPr>
                <w:rFonts w:ascii="Tahoma" w:hAnsi="Tahoma" w:cs="Tahoma"/>
                <w:sz w:val="13"/>
              </w:rPr>
            </w:pPr>
          </w:p>
        </w:tc>
      </w:tr>
      <w:tr w:rsidR="00EF228F" w:rsidRPr="00BD7CEA" w:rsidTr="00C60100">
        <w:trPr>
          <w:cantSplit/>
          <w:trHeight w:val="145"/>
        </w:trPr>
        <w:tc>
          <w:tcPr>
            <w:tcW w:w="2638" w:type="dxa"/>
            <w:tcBorders>
              <w:bottom w:val="single" w:sz="4" w:space="0" w:color="auto"/>
            </w:tcBorders>
            <w:shd w:val="clear" w:color="auto" w:fill="FABF8F"/>
          </w:tcPr>
          <w:p w:rsidR="005F584F" w:rsidRPr="00BD7CEA" w:rsidRDefault="005F584F" w:rsidP="00E215F4">
            <w:pPr>
              <w:pStyle w:val="Heading3"/>
              <w:spacing w:beforeLines="20" w:before="48" w:afterLines="20" w:after="48"/>
              <w:rPr>
                <w:rFonts w:ascii="Tahoma" w:hAnsi="Tahoma" w:cs="Tahoma"/>
                <w:b w:val="0"/>
                <w:sz w:val="14"/>
              </w:rPr>
            </w:pPr>
            <w:bookmarkStart w:id="100" w:name="_Toc353375667"/>
            <w:r w:rsidRPr="00BD7CEA">
              <w:rPr>
                <w:rFonts w:ascii="Tahoma" w:hAnsi="Tahoma" w:cs="Tahoma"/>
                <w:b w:val="0"/>
                <w:sz w:val="14"/>
              </w:rPr>
              <w:t>TechNet Plus Direct</w:t>
            </w:r>
            <w:bookmarkEnd w:id="100"/>
            <w:r w:rsidRPr="00BD7CEA">
              <w:rPr>
                <w:rFonts w:ascii="Tahoma" w:hAnsi="Tahoma" w:cs="Tahoma"/>
                <w:b w:val="0"/>
                <w:sz w:val="14"/>
              </w:rPr>
              <w:t xml:space="preserve"> </w:t>
            </w:r>
          </w:p>
        </w:tc>
        <w:tc>
          <w:tcPr>
            <w:tcW w:w="429" w:type="dxa"/>
            <w:tcBorders>
              <w:bottom w:val="single" w:sz="4" w:space="0" w:color="auto"/>
            </w:tcBorders>
            <w:shd w:val="clear" w:color="auto" w:fill="FABF8F"/>
            <w:vAlign w:val="center"/>
          </w:tcPr>
          <w:p w:rsidR="005F584F" w:rsidRPr="00BD7CEA" w:rsidRDefault="005F584F" w:rsidP="005F584F">
            <w:pPr>
              <w:pStyle w:val="TableText"/>
              <w:widowControl w:val="0"/>
              <w:rPr>
                <w:b/>
                <w:sz w:val="13"/>
                <w:szCs w:val="13"/>
              </w:rPr>
            </w:pPr>
          </w:p>
        </w:tc>
        <w:tc>
          <w:tcPr>
            <w:tcW w:w="429" w:type="dxa"/>
            <w:tcBorders>
              <w:bottom w:val="single" w:sz="4" w:space="0" w:color="auto"/>
            </w:tcBorders>
            <w:shd w:val="clear" w:color="auto" w:fill="FABF8F"/>
            <w:vAlign w:val="center"/>
          </w:tcPr>
          <w:p w:rsidR="005F584F" w:rsidRPr="00BD7CEA" w:rsidRDefault="005F584F" w:rsidP="005F584F">
            <w:pPr>
              <w:pStyle w:val="TableText"/>
              <w:spacing w:before="60" w:after="60"/>
              <w:rPr>
                <w:rFonts w:ascii="Tahoma" w:hAnsi="Tahoma" w:cs="Tahoma"/>
                <w:sz w:val="13"/>
              </w:rPr>
            </w:pPr>
            <w:r w:rsidRPr="00BD7CEA">
              <w:rPr>
                <w:rFonts w:ascii="Tahoma" w:hAnsi="Tahoma" w:cs="Tahoma"/>
                <w:sz w:val="13"/>
              </w:rPr>
              <w:t>08/06</w:t>
            </w:r>
          </w:p>
        </w:tc>
        <w:tc>
          <w:tcPr>
            <w:tcW w:w="429" w:type="dxa"/>
            <w:tcBorders>
              <w:bottom w:val="single" w:sz="4" w:space="0" w:color="auto"/>
              <w:right w:val="single" w:sz="18" w:space="0" w:color="auto"/>
            </w:tcBorders>
            <w:shd w:val="clear" w:color="auto" w:fill="FABF8F"/>
            <w:vAlign w:val="center"/>
          </w:tcPr>
          <w:p w:rsidR="005F584F" w:rsidRPr="00BD7CEA" w:rsidRDefault="005F584F" w:rsidP="005F584F">
            <w:pPr>
              <w:pStyle w:val="TableText"/>
              <w:rPr>
                <w:rFonts w:ascii="Tahoma" w:hAnsi="Tahoma" w:cs="Tahoma"/>
                <w:sz w:val="13"/>
              </w:rPr>
            </w:pPr>
            <w:r w:rsidRPr="00BD7CEA">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5F584F" w:rsidRPr="00BD7CEA" w:rsidRDefault="005F584F" w:rsidP="005F584F">
            <w:pPr>
              <w:pStyle w:val="TableText"/>
              <w:rPr>
                <w:rFonts w:ascii="Tahoma" w:hAnsi="Tahoma" w:cs="Tahoma"/>
                <w:sz w:val="13"/>
              </w:rPr>
            </w:pPr>
          </w:p>
        </w:tc>
        <w:tc>
          <w:tcPr>
            <w:tcW w:w="429" w:type="dxa"/>
            <w:tcBorders>
              <w:bottom w:val="single" w:sz="4" w:space="0" w:color="auto"/>
            </w:tcBorders>
            <w:shd w:val="clear" w:color="auto" w:fill="FABF8F"/>
            <w:vAlign w:val="center"/>
          </w:tcPr>
          <w:p w:rsidR="005F584F" w:rsidRPr="00BD7CEA" w:rsidRDefault="005F584F" w:rsidP="005F584F">
            <w:pPr>
              <w:pStyle w:val="TableText"/>
              <w:rPr>
                <w:rFonts w:ascii="Tahoma" w:hAnsi="Tahoma" w:cs="Tahoma"/>
                <w:sz w:val="13"/>
              </w:rPr>
            </w:pPr>
            <w:r w:rsidRPr="00BD7CEA">
              <w:rPr>
                <w:rFonts w:ascii="Tahoma" w:hAnsi="Tahoma" w:cs="Tahoma"/>
                <w:sz w:val="13"/>
              </w:rPr>
              <w:t>5</w:t>
            </w:r>
          </w:p>
        </w:tc>
        <w:tc>
          <w:tcPr>
            <w:tcW w:w="429" w:type="dxa"/>
            <w:tcBorders>
              <w:bottom w:val="single" w:sz="4" w:space="0" w:color="auto"/>
            </w:tcBorders>
            <w:shd w:val="clear" w:color="auto" w:fill="FABF8F"/>
            <w:vAlign w:val="center"/>
          </w:tcPr>
          <w:p w:rsidR="005F584F" w:rsidRPr="00BD7CEA" w:rsidRDefault="005F584F" w:rsidP="005F584F">
            <w:pPr>
              <w:pStyle w:val="TableText"/>
              <w:rPr>
                <w:rFonts w:ascii="Tahoma" w:hAnsi="Tahoma" w:cs="Tahoma"/>
                <w:sz w:val="13"/>
              </w:rPr>
            </w:pPr>
            <w:r w:rsidRPr="00BD7CEA">
              <w:rPr>
                <w:rFonts w:ascii="Tahoma" w:hAnsi="Tahoma" w:cs="Tahoma"/>
                <w:sz w:val="13"/>
              </w:rPr>
              <w:t>4</w:t>
            </w:r>
          </w:p>
        </w:tc>
        <w:tc>
          <w:tcPr>
            <w:tcW w:w="429" w:type="dxa"/>
            <w:tcBorders>
              <w:bottom w:val="single" w:sz="4" w:space="0" w:color="auto"/>
            </w:tcBorders>
            <w:shd w:val="clear" w:color="auto" w:fill="FABF8F"/>
            <w:vAlign w:val="center"/>
          </w:tcPr>
          <w:p w:rsidR="005F584F" w:rsidRPr="00BD7CEA" w:rsidRDefault="005F584F" w:rsidP="005F584F">
            <w:pPr>
              <w:pStyle w:val="TableText"/>
              <w:rPr>
                <w:rFonts w:ascii="Tahoma" w:hAnsi="Tahoma" w:cs="Tahoma"/>
                <w:sz w:val="13"/>
              </w:rPr>
            </w:pPr>
            <w:r w:rsidRPr="00BD7CEA">
              <w:rPr>
                <w:rFonts w:ascii="Tahoma" w:hAnsi="Tahoma" w:cs="Tahoma"/>
                <w:sz w:val="13"/>
              </w:rPr>
              <w:t>3</w:t>
            </w:r>
          </w:p>
        </w:tc>
        <w:tc>
          <w:tcPr>
            <w:tcW w:w="429" w:type="dxa"/>
            <w:tcBorders>
              <w:bottom w:val="single" w:sz="4" w:space="0" w:color="auto"/>
            </w:tcBorders>
            <w:shd w:val="clear" w:color="auto" w:fill="FABF8F"/>
            <w:vAlign w:val="center"/>
          </w:tcPr>
          <w:p w:rsidR="005F584F" w:rsidRPr="00BD7CEA" w:rsidRDefault="005F584F" w:rsidP="005F584F">
            <w:pPr>
              <w:pStyle w:val="TableText"/>
              <w:rPr>
                <w:rFonts w:ascii="Tahoma" w:hAnsi="Tahoma" w:cs="Tahoma"/>
                <w:sz w:val="13"/>
              </w:rPr>
            </w:pPr>
            <w:r w:rsidRPr="00BD7CEA">
              <w:rPr>
                <w:rFonts w:ascii="Tahoma" w:hAnsi="Tahoma" w:cs="Tahoma"/>
                <w:sz w:val="13"/>
              </w:rPr>
              <w:t>3</w:t>
            </w:r>
          </w:p>
        </w:tc>
        <w:tc>
          <w:tcPr>
            <w:tcW w:w="429" w:type="dxa"/>
            <w:tcBorders>
              <w:bottom w:val="single" w:sz="4" w:space="0" w:color="auto"/>
            </w:tcBorders>
            <w:shd w:val="clear" w:color="auto" w:fill="FABF8F"/>
            <w:vAlign w:val="center"/>
          </w:tcPr>
          <w:p w:rsidR="005F584F" w:rsidRPr="00BD7CEA" w:rsidRDefault="005F584F" w:rsidP="005F584F">
            <w:pPr>
              <w:pStyle w:val="TableText"/>
              <w:rPr>
                <w:rFonts w:ascii="Tahoma" w:hAnsi="Tahoma" w:cs="Tahoma"/>
                <w:sz w:val="13"/>
              </w:rPr>
            </w:pPr>
            <w:r w:rsidRPr="00BD7CEA">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5F584F" w:rsidRPr="00BD7CEA" w:rsidRDefault="005F584F" w:rsidP="005F584F">
            <w:pPr>
              <w:pStyle w:val="TableText"/>
              <w:rPr>
                <w:rFonts w:ascii="Tahoma" w:hAnsi="Tahoma" w:cs="Tahoma"/>
                <w:sz w:val="13"/>
              </w:rPr>
            </w:pPr>
            <w:r w:rsidRPr="00BD7CEA">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5F584F" w:rsidRPr="00BD7CEA" w:rsidRDefault="005F584F" w:rsidP="005F584F">
            <w:pPr>
              <w:pStyle w:val="TableText"/>
              <w:rPr>
                <w:rFonts w:ascii="Tahoma" w:hAnsi="Tahoma" w:cs="Tahoma"/>
                <w:sz w:val="13"/>
              </w:rPr>
            </w:pPr>
          </w:p>
        </w:tc>
        <w:tc>
          <w:tcPr>
            <w:tcW w:w="429" w:type="dxa"/>
            <w:tcBorders>
              <w:bottom w:val="single" w:sz="4" w:space="0" w:color="auto"/>
            </w:tcBorders>
            <w:shd w:val="clear" w:color="auto" w:fill="FABF8F"/>
            <w:vAlign w:val="center"/>
          </w:tcPr>
          <w:p w:rsidR="005F584F" w:rsidRPr="00BD7CEA" w:rsidRDefault="005F584F" w:rsidP="005F584F">
            <w:pPr>
              <w:pStyle w:val="TableText"/>
              <w:rPr>
                <w:rFonts w:ascii="Tahoma" w:hAnsi="Tahoma" w:cs="Tahoma"/>
                <w:sz w:val="13"/>
              </w:rPr>
            </w:pPr>
            <w:r w:rsidRPr="00BD7CEA">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5F584F" w:rsidRPr="00BD7CEA" w:rsidRDefault="005F584F" w:rsidP="005F584F">
            <w:pPr>
              <w:pStyle w:val="TableText"/>
              <w:rPr>
                <w:rFonts w:ascii="Tahoma" w:hAnsi="Tahoma" w:cs="Tahoma"/>
                <w:sz w:val="13"/>
              </w:rPr>
            </w:pPr>
            <w:r w:rsidRPr="00BD7CEA">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5F584F" w:rsidRPr="00BD7CEA" w:rsidRDefault="005F584F" w:rsidP="005F584F">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5F584F" w:rsidRPr="00BD7CEA" w:rsidRDefault="005F584F" w:rsidP="005F584F">
            <w:pPr>
              <w:pStyle w:val="TableText"/>
              <w:rPr>
                <w:rFonts w:ascii="Tahoma" w:hAnsi="Tahoma" w:cs="Tahoma"/>
                <w:sz w:val="13"/>
              </w:rPr>
            </w:pPr>
            <w:r w:rsidRPr="00BD7CEA">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5F584F" w:rsidRPr="00BD7CEA" w:rsidRDefault="005F584F" w:rsidP="005F584F">
            <w:pPr>
              <w:pStyle w:val="TableText"/>
              <w:rPr>
                <w:rFonts w:ascii="Tahoma" w:hAnsi="Tahoma" w:cs="Tahoma"/>
                <w:sz w:val="13"/>
              </w:rPr>
            </w:pPr>
            <w:r w:rsidRPr="00BD7CEA">
              <w:rPr>
                <w:rFonts w:ascii="Tahoma" w:hAnsi="Tahoma" w:cs="Tahoma"/>
                <w:sz w:val="13"/>
              </w:rPr>
              <w:t>P</w:t>
            </w:r>
          </w:p>
        </w:tc>
        <w:tc>
          <w:tcPr>
            <w:tcW w:w="514" w:type="dxa"/>
            <w:tcBorders>
              <w:bottom w:val="single" w:sz="4" w:space="0" w:color="auto"/>
            </w:tcBorders>
            <w:shd w:val="clear" w:color="auto" w:fill="FABF8F"/>
            <w:vAlign w:val="center"/>
          </w:tcPr>
          <w:p w:rsidR="005F584F" w:rsidRPr="00BD7CEA" w:rsidRDefault="005F584F" w:rsidP="005F584F">
            <w:pPr>
              <w:pStyle w:val="TableText"/>
              <w:rPr>
                <w:rFonts w:ascii="Tahoma" w:hAnsi="Tahoma" w:cs="Tahoma"/>
                <w:sz w:val="13"/>
              </w:rPr>
            </w:pPr>
            <w:r w:rsidRPr="00BD7CEA">
              <w:rPr>
                <w:rFonts w:ascii="Tahoma" w:hAnsi="Tahoma" w:cs="Tahoma"/>
                <w:sz w:val="13"/>
              </w:rPr>
              <w:t>A</w:t>
            </w:r>
          </w:p>
        </w:tc>
        <w:tc>
          <w:tcPr>
            <w:tcW w:w="514" w:type="dxa"/>
            <w:tcBorders>
              <w:bottom w:val="single" w:sz="4" w:space="0" w:color="auto"/>
            </w:tcBorders>
            <w:shd w:val="clear" w:color="auto" w:fill="FABF8F"/>
            <w:vAlign w:val="center"/>
          </w:tcPr>
          <w:p w:rsidR="005F584F" w:rsidRPr="00BD7CEA" w:rsidRDefault="005F584F" w:rsidP="005F584F">
            <w:pPr>
              <w:pStyle w:val="TableText"/>
              <w:rPr>
                <w:rFonts w:ascii="Tahoma" w:hAnsi="Tahoma" w:cs="Tahoma"/>
                <w:sz w:val="13"/>
              </w:rPr>
            </w:pPr>
            <w:r w:rsidRPr="00BD7CEA">
              <w:rPr>
                <w:rFonts w:ascii="Tahoma" w:hAnsi="Tahoma" w:cs="Tahoma"/>
                <w:sz w:val="13"/>
              </w:rPr>
              <w:t>OL</w:t>
            </w:r>
          </w:p>
        </w:tc>
      </w:tr>
      <w:tr w:rsidR="005F584F" w:rsidRPr="00BD7CEA" w:rsidTr="002253A3">
        <w:trPr>
          <w:cantSplit/>
          <w:trHeight w:val="145"/>
        </w:trPr>
        <w:tc>
          <w:tcPr>
            <w:tcW w:w="2638" w:type="dxa"/>
            <w:tcBorders>
              <w:bottom w:val="single" w:sz="4" w:space="0" w:color="auto"/>
            </w:tcBorders>
            <w:shd w:val="clear" w:color="auto" w:fill="auto"/>
          </w:tcPr>
          <w:p w:rsidR="005F584F" w:rsidRPr="00BD7CEA" w:rsidRDefault="005F584F" w:rsidP="00E215F4">
            <w:pPr>
              <w:pStyle w:val="Heading3"/>
              <w:spacing w:beforeLines="20" w:before="48" w:afterLines="20" w:after="48"/>
              <w:rPr>
                <w:rFonts w:ascii="Tahoma" w:hAnsi="Tahoma" w:cs="Tahoma"/>
                <w:b w:val="0"/>
                <w:sz w:val="14"/>
              </w:rPr>
            </w:pPr>
            <w:bookmarkStart w:id="101" w:name="_Toc353375668"/>
            <w:r w:rsidRPr="00BD7CEA">
              <w:rPr>
                <w:rFonts w:ascii="Tahoma" w:hAnsi="Tahoma" w:cs="Tahoma"/>
                <w:b w:val="0"/>
                <w:sz w:val="14"/>
              </w:rPr>
              <w:t>Vexcel Desktop con Enhanced Content Pack</w:t>
            </w:r>
            <w:bookmarkEnd w:id="101"/>
          </w:p>
        </w:tc>
        <w:tc>
          <w:tcPr>
            <w:tcW w:w="429" w:type="dxa"/>
            <w:tcBorders>
              <w:bottom w:val="single" w:sz="4" w:space="0" w:color="auto"/>
            </w:tcBorders>
            <w:shd w:val="clear" w:color="auto" w:fill="auto"/>
            <w:vAlign w:val="center"/>
          </w:tcPr>
          <w:p w:rsidR="005F584F" w:rsidRPr="00BD7CEA" w:rsidRDefault="006E5080" w:rsidP="00B0065F">
            <w:pPr>
              <w:pStyle w:val="TableText"/>
              <w:widowControl w:val="0"/>
              <w:rPr>
                <w:b/>
                <w:sz w:val="13"/>
                <w:szCs w:val="13"/>
              </w:rPr>
            </w:pPr>
            <w:hyperlink w:anchor="_16_Vexcel_Desktop" w:history="1">
              <w:r w:rsidR="00955428" w:rsidRPr="00BD7CEA">
                <w:rPr>
                  <w:rStyle w:val="Hyperlink"/>
                  <w:b/>
                  <w:sz w:val="13"/>
                  <w:szCs w:val="13"/>
                </w:rPr>
                <w:t>16</w:t>
              </w:r>
            </w:hyperlink>
          </w:p>
        </w:tc>
        <w:tc>
          <w:tcPr>
            <w:tcW w:w="429" w:type="dxa"/>
            <w:tcBorders>
              <w:bottom w:val="single" w:sz="4" w:space="0" w:color="auto"/>
            </w:tcBorders>
            <w:shd w:val="clear" w:color="auto" w:fill="auto"/>
            <w:vAlign w:val="center"/>
          </w:tcPr>
          <w:p w:rsidR="005F584F" w:rsidRPr="00BD7CEA" w:rsidRDefault="005F584F" w:rsidP="004941B2">
            <w:pPr>
              <w:pStyle w:val="TableText"/>
              <w:spacing w:before="60" w:after="60"/>
              <w:rPr>
                <w:rFonts w:ascii="Tahoma" w:hAnsi="Tahoma" w:cs="Tahoma"/>
                <w:sz w:val="13"/>
              </w:rPr>
            </w:pPr>
            <w:r w:rsidRPr="00BD7CEA">
              <w:rPr>
                <w:rFonts w:ascii="Tahoma" w:hAnsi="Tahoma" w:cs="Tahoma"/>
                <w:sz w:val="13"/>
              </w:rPr>
              <w:t>08/09</w:t>
            </w:r>
          </w:p>
        </w:tc>
        <w:tc>
          <w:tcPr>
            <w:tcW w:w="429" w:type="dxa"/>
            <w:tcBorders>
              <w:bottom w:val="single" w:sz="4" w:space="0" w:color="auto"/>
              <w:right w:val="single" w:sz="18" w:space="0" w:color="auto"/>
            </w:tcBorders>
            <w:shd w:val="clear" w:color="auto" w:fill="auto"/>
            <w:vAlign w:val="center"/>
          </w:tcPr>
          <w:p w:rsidR="005F584F" w:rsidRPr="00BD7CEA" w:rsidRDefault="005F584F" w:rsidP="004B3534">
            <w:pPr>
              <w:pStyle w:val="TableText"/>
              <w:rPr>
                <w:rFonts w:ascii="Tahoma" w:hAnsi="Tahoma" w:cs="Tahoma"/>
                <w:sz w:val="13"/>
              </w:rPr>
            </w:pPr>
            <w:r w:rsidRPr="00BD7CEA">
              <w:rPr>
                <w:rFonts w:ascii="Tahoma" w:hAnsi="Tahoma" w:cs="Tahoma"/>
                <w:sz w:val="13"/>
              </w:rPr>
              <w:t>DT</w:t>
            </w:r>
          </w:p>
        </w:tc>
        <w:tc>
          <w:tcPr>
            <w:tcW w:w="3003" w:type="dxa"/>
            <w:gridSpan w:val="7"/>
            <w:tcBorders>
              <w:left w:val="single" w:sz="18" w:space="0" w:color="auto"/>
              <w:bottom w:val="single" w:sz="4" w:space="0" w:color="auto"/>
              <w:right w:val="single" w:sz="18" w:space="0" w:color="auto"/>
            </w:tcBorders>
            <w:shd w:val="clear" w:color="auto" w:fill="auto"/>
            <w:vAlign w:val="center"/>
          </w:tcPr>
          <w:p w:rsidR="005F584F" w:rsidRPr="00BD7CEA" w:rsidRDefault="005F584F" w:rsidP="004B3534">
            <w:pPr>
              <w:pStyle w:val="TableText"/>
              <w:rPr>
                <w:rFonts w:ascii="Tahoma" w:hAnsi="Tahoma" w:cs="Tahoma"/>
                <w:sz w:val="13"/>
              </w:rPr>
            </w:pPr>
            <w:r w:rsidRPr="00BD7CEA">
              <w:rPr>
                <w:rFonts w:ascii="Tahoma" w:hAnsi="Tahoma" w:cs="Tahoma"/>
                <w:sz w:val="13"/>
              </w:rPr>
              <w:t>1 punto</w:t>
            </w:r>
          </w:p>
        </w:tc>
        <w:tc>
          <w:tcPr>
            <w:tcW w:w="429" w:type="dxa"/>
            <w:tcBorders>
              <w:left w:val="single" w:sz="18" w:space="0" w:color="auto"/>
              <w:bottom w:val="single" w:sz="4" w:space="0" w:color="auto"/>
            </w:tcBorders>
            <w:shd w:val="clear" w:color="auto" w:fill="auto"/>
            <w:vAlign w:val="center"/>
          </w:tcPr>
          <w:p w:rsidR="005F584F" w:rsidRPr="00BD7CEA" w:rsidRDefault="005F584F"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5F584F" w:rsidRPr="00BD7CEA" w:rsidRDefault="005F584F"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5F584F" w:rsidRPr="00BD7CEA" w:rsidRDefault="005F584F"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5F584F" w:rsidRPr="00BD7CEA" w:rsidRDefault="005F584F" w:rsidP="004B3534">
            <w:pPr>
              <w:pStyle w:val="TableText"/>
              <w:rPr>
                <w:rFonts w:ascii="Tahoma" w:hAnsi="Tahoma" w:cs="Tahoma"/>
                <w:sz w:val="13"/>
              </w:rPr>
            </w:pPr>
            <w:r w:rsidRPr="00BD7CEA">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5F584F" w:rsidRPr="00BD7CEA" w:rsidRDefault="005F584F" w:rsidP="004B3534">
            <w:pPr>
              <w:pStyle w:val="TableText"/>
              <w:rPr>
                <w:rFonts w:ascii="Tahoma" w:hAnsi="Tahoma" w:cs="Tahoma"/>
                <w:sz w:val="13"/>
              </w:rPr>
            </w:pPr>
            <w:r w:rsidRPr="00BD7CEA">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5F584F" w:rsidRPr="00BD7CEA" w:rsidRDefault="005F584F" w:rsidP="004B3534">
            <w:pPr>
              <w:pStyle w:val="TableText"/>
              <w:rPr>
                <w:rFonts w:ascii="Tahoma" w:hAnsi="Tahoma" w:cs="Tahoma"/>
                <w:sz w:val="13"/>
              </w:rPr>
            </w:pPr>
            <w:r w:rsidRPr="00BD7CEA">
              <w:rPr>
                <w:rFonts w:ascii="Tahoma" w:hAnsi="Tahoma" w:cs="Tahoma"/>
                <w:sz w:val="13"/>
              </w:rPr>
              <w:t>P</w:t>
            </w:r>
          </w:p>
        </w:tc>
        <w:tc>
          <w:tcPr>
            <w:tcW w:w="514" w:type="dxa"/>
            <w:tcBorders>
              <w:bottom w:val="single" w:sz="4" w:space="0" w:color="auto"/>
            </w:tcBorders>
            <w:shd w:val="clear" w:color="auto" w:fill="auto"/>
            <w:vAlign w:val="center"/>
          </w:tcPr>
          <w:p w:rsidR="005F584F" w:rsidRPr="00BD7CEA" w:rsidRDefault="005F584F" w:rsidP="00080B33">
            <w:pPr>
              <w:pStyle w:val="TableText"/>
              <w:rPr>
                <w:rFonts w:ascii="Tahoma" w:hAnsi="Tahoma" w:cs="Tahoma"/>
                <w:sz w:val="13"/>
              </w:rPr>
            </w:pPr>
            <w:r w:rsidRPr="00BD7CEA">
              <w:rPr>
                <w:rFonts w:ascii="Tahoma" w:hAnsi="Tahoma" w:cs="Tahoma"/>
                <w:sz w:val="13"/>
              </w:rPr>
              <w:t>A</w:t>
            </w:r>
          </w:p>
        </w:tc>
        <w:tc>
          <w:tcPr>
            <w:tcW w:w="514" w:type="dxa"/>
            <w:tcBorders>
              <w:bottom w:val="single" w:sz="4" w:space="0" w:color="auto"/>
            </w:tcBorders>
            <w:shd w:val="clear" w:color="auto" w:fill="auto"/>
            <w:vAlign w:val="center"/>
          </w:tcPr>
          <w:p w:rsidR="005F584F" w:rsidRPr="00BD7CEA" w:rsidRDefault="005F584F" w:rsidP="004B3534">
            <w:pPr>
              <w:pStyle w:val="TableText"/>
              <w:rPr>
                <w:rFonts w:ascii="Tahoma" w:hAnsi="Tahoma" w:cs="Tahoma"/>
                <w:sz w:val="13"/>
              </w:rPr>
            </w:pPr>
          </w:p>
        </w:tc>
      </w:tr>
      <w:tr w:rsidR="00EF228F" w:rsidRPr="00BD7CEA" w:rsidTr="00C60100">
        <w:trPr>
          <w:cantSplit/>
          <w:trHeight w:val="145"/>
        </w:trPr>
        <w:tc>
          <w:tcPr>
            <w:tcW w:w="2638" w:type="dxa"/>
            <w:tcBorders>
              <w:bottom w:val="single" w:sz="4" w:space="0" w:color="auto"/>
            </w:tcBorders>
            <w:shd w:val="clear" w:color="auto" w:fill="FABF8F"/>
          </w:tcPr>
          <w:p w:rsidR="00CC19FC" w:rsidRPr="00BD7CEA" w:rsidRDefault="00CC19FC" w:rsidP="00E215F4">
            <w:pPr>
              <w:pStyle w:val="Heading3"/>
              <w:spacing w:beforeLines="20" w:before="48" w:afterLines="20" w:after="48"/>
              <w:rPr>
                <w:rFonts w:ascii="Tahoma" w:hAnsi="Tahoma" w:cs="Tahoma"/>
                <w:b w:val="0"/>
                <w:sz w:val="14"/>
              </w:rPr>
            </w:pPr>
            <w:bookmarkStart w:id="102" w:name="_Toc336337886"/>
            <w:bookmarkStart w:id="103" w:name="_Toc353375669"/>
            <w:r w:rsidRPr="00BD7CEA">
              <w:rPr>
                <w:rFonts w:ascii="Tahoma" w:hAnsi="Tahoma" w:cs="Tahoma"/>
                <w:b w:val="0"/>
                <w:sz w:val="14"/>
              </w:rPr>
              <w:t>Visio</w:t>
            </w:r>
            <w:r w:rsidR="00700C4B" w:rsidRPr="00BD7CEA">
              <w:rPr>
                <w:rFonts w:ascii="Tahoma" w:hAnsi="Tahoma" w:cs="Tahoma"/>
                <w:b w:val="0"/>
                <w:sz w:val="14"/>
                <w:vertAlign w:val="superscript"/>
              </w:rPr>
              <w:t>®</w:t>
            </w:r>
            <w:r w:rsidRPr="00BD7CEA">
              <w:rPr>
                <w:rFonts w:ascii="Tahoma" w:hAnsi="Tahoma" w:cs="Tahoma"/>
                <w:b w:val="0"/>
                <w:sz w:val="14"/>
              </w:rPr>
              <w:t xml:space="preserve"> 2013 Professional</w:t>
            </w:r>
            <w:bookmarkEnd w:id="102"/>
            <w:bookmarkEnd w:id="103"/>
            <w:r w:rsidR="008D782D" w:rsidRPr="00BD7CEA">
              <w:rPr>
                <w:rFonts w:ascii="Tahoma" w:hAnsi="Tahoma" w:cs="Tahoma"/>
                <w:b w:val="0"/>
                <w:sz w:val="14"/>
              </w:rPr>
              <w:t xml:space="preserve"> </w:t>
            </w:r>
          </w:p>
        </w:tc>
        <w:tc>
          <w:tcPr>
            <w:tcW w:w="429" w:type="dxa"/>
            <w:tcBorders>
              <w:bottom w:val="single" w:sz="4" w:space="0" w:color="auto"/>
            </w:tcBorders>
            <w:shd w:val="clear" w:color="auto" w:fill="FABF8F"/>
            <w:vAlign w:val="center"/>
          </w:tcPr>
          <w:p w:rsidR="00CC19FC" w:rsidRPr="00BD7CEA" w:rsidRDefault="006E5080" w:rsidP="00B0065F">
            <w:pPr>
              <w:pStyle w:val="TableText"/>
              <w:widowControl w:val="0"/>
              <w:rPr>
                <w:rStyle w:val="EndnoteReference"/>
                <w:b w:val="0"/>
                <w:color w:val="0000FF"/>
                <w:sz w:val="13"/>
                <w:szCs w:val="13"/>
                <w:u w:val="single"/>
              </w:rPr>
            </w:pPr>
            <w:hyperlink w:anchor="_17_Visio_Professional" w:history="1">
              <w:r w:rsidR="00955428" w:rsidRPr="00BD7CEA">
                <w:rPr>
                  <w:rStyle w:val="Hyperlink"/>
                  <w:b/>
                  <w:sz w:val="13"/>
                  <w:szCs w:val="13"/>
                </w:rPr>
                <w:t>17</w:t>
              </w:r>
            </w:hyperlink>
          </w:p>
        </w:tc>
        <w:tc>
          <w:tcPr>
            <w:tcW w:w="429" w:type="dxa"/>
            <w:tcBorders>
              <w:bottom w:val="single" w:sz="4" w:space="0" w:color="auto"/>
            </w:tcBorders>
            <w:shd w:val="clear" w:color="auto" w:fill="FABF8F"/>
            <w:vAlign w:val="center"/>
          </w:tcPr>
          <w:p w:rsidR="00CC19FC" w:rsidRPr="00BD7CEA" w:rsidRDefault="00CC19FC" w:rsidP="004941B2">
            <w:pPr>
              <w:pStyle w:val="TableText"/>
              <w:spacing w:before="60" w:after="60"/>
              <w:rPr>
                <w:rFonts w:ascii="Tahoma" w:hAnsi="Tahoma" w:cs="Tahoma"/>
                <w:sz w:val="13"/>
              </w:rPr>
            </w:pPr>
            <w:r w:rsidRPr="00BD7CEA">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2</w:t>
            </w:r>
          </w:p>
        </w:tc>
        <w:tc>
          <w:tcPr>
            <w:tcW w:w="429" w:type="dxa"/>
            <w:tcBorders>
              <w:bottom w:val="single" w:sz="4" w:space="0" w:color="auto"/>
            </w:tcBorders>
            <w:shd w:val="clear" w:color="auto" w:fill="FABF8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5</w:t>
            </w:r>
          </w:p>
        </w:tc>
        <w:tc>
          <w:tcPr>
            <w:tcW w:w="429" w:type="dxa"/>
            <w:tcBorders>
              <w:bottom w:val="single" w:sz="4" w:space="0" w:color="auto"/>
            </w:tcBorders>
            <w:shd w:val="clear" w:color="auto" w:fill="FABF8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4</w:t>
            </w:r>
          </w:p>
        </w:tc>
        <w:tc>
          <w:tcPr>
            <w:tcW w:w="429" w:type="dxa"/>
            <w:tcBorders>
              <w:bottom w:val="single" w:sz="4" w:space="0" w:color="auto"/>
            </w:tcBorders>
            <w:shd w:val="clear" w:color="auto" w:fill="FABF8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3</w:t>
            </w:r>
          </w:p>
        </w:tc>
        <w:tc>
          <w:tcPr>
            <w:tcW w:w="429" w:type="dxa"/>
            <w:tcBorders>
              <w:bottom w:val="single" w:sz="4" w:space="0" w:color="auto"/>
            </w:tcBorders>
            <w:shd w:val="clear" w:color="auto" w:fill="FABF8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3</w:t>
            </w:r>
          </w:p>
        </w:tc>
        <w:tc>
          <w:tcPr>
            <w:tcW w:w="429" w:type="dxa"/>
            <w:tcBorders>
              <w:bottom w:val="single" w:sz="4" w:space="0" w:color="auto"/>
            </w:tcBorders>
            <w:shd w:val="clear" w:color="auto" w:fill="FABF8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2</w:t>
            </w:r>
          </w:p>
        </w:tc>
        <w:tc>
          <w:tcPr>
            <w:tcW w:w="429" w:type="dxa"/>
            <w:tcBorders>
              <w:bottom w:val="single" w:sz="4" w:space="0" w:color="auto"/>
            </w:tcBorders>
            <w:shd w:val="clear" w:color="auto" w:fill="FABF8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P</w:t>
            </w:r>
          </w:p>
        </w:tc>
        <w:tc>
          <w:tcPr>
            <w:tcW w:w="514" w:type="dxa"/>
            <w:tcBorders>
              <w:bottom w:val="single" w:sz="4" w:space="0" w:color="auto"/>
            </w:tcBorders>
            <w:shd w:val="clear" w:color="auto" w:fill="FABF8F"/>
            <w:vAlign w:val="center"/>
          </w:tcPr>
          <w:p w:rsidR="00CC19FC" w:rsidRPr="00BD7CEA"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BD7CEA" w:rsidRDefault="00CC19FC" w:rsidP="004B3534">
            <w:pPr>
              <w:pStyle w:val="TableText"/>
              <w:rPr>
                <w:rFonts w:ascii="Tahoma" w:hAnsi="Tahoma" w:cs="Tahoma"/>
                <w:sz w:val="13"/>
              </w:rPr>
            </w:pPr>
          </w:p>
        </w:tc>
      </w:tr>
      <w:tr w:rsidR="00CC19FC" w:rsidRPr="00BD7CEA" w:rsidTr="007E466C">
        <w:trPr>
          <w:cantSplit/>
          <w:trHeight w:val="145"/>
        </w:trPr>
        <w:tc>
          <w:tcPr>
            <w:tcW w:w="2638" w:type="dxa"/>
            <w:tcBorders>
              <w:bottom w:val="single" w:sz="4" w:space="0" w:color="auto"/>
            </w:tcBorders>
            <w:shd w:val="clear" w:color="auto" w:fill="auto"/>
          </w:tcPr>
          <w:p w:rsidR="00CC19FC" w:rsidRPr="00BD7CEA" w:rsidRDefault="00CC19FC" w:rsidP="00E215F4">
            <w:pPr>
              <w:pStyle w:val="Heading3"/>
              <w:spacing w:beforeLines="20" w:before="48" w:afterLines="20" w:after="48"/>
              <w:rPr>
                <w:rFonts w:ascii="Tahoma" w:hAnsi="Tahoma" w:cs="Tahoma"/>
                <w:b w:val="0"/>
                <w:sz w:val="14"/>
              </w:rPr>
            </w:pPr>
            <w:bookmarkStart w:id="104" w:name="_Toc336337887"/>
            <w:bookmarkStart w:id="105" w:name="_Toc353375670"/>
            <w:r w:rsidRPr="00BD7CEA">
              <w:rPr>
                <w:rFonts w:ascii="Tahoma" w:hAnsi="Tahoma" w:cs="Tahoma"/>
                <w:b w:val="0"/>
                <w:sz w:val="14"/>
              </w:rPr>
              <w:t>Visio</w:t>
            </w:r>
            <w:r w:rsidR="00700C4B" w:rsidRPr="00BD7CEA">
              <w:rPr>
                <w:rFonts w:ascii="Tahoma" w:hAnsi="Tahoma" w:cs="Tahoma"/>
                <w:b w:val="0"/>
                <w:sz w:val="14"/>
                <w:vertAlign w:val="superscript"/>
              </w:rPr>
              <w:t>®</w:t>
            </w:r>
            <w:r w:rsidRPr="00BD7CEA">
              <w:rPr>
                <w:rFonts w:ascii="Tahoma" w:hAnsi="Tahoma" w:cs="Tahoma"/>
                <w:b w:val="0"/>
                <w:sz w:val="14"/>
              </w:rPr>
              <w:t xml:space="preserve"> 2013 Standard</w:t>
            </w:r>
            <w:bookmarkEnd w:id="104"/>
            <w:bookmarkEnd w:id="105"/>
            <w:r w:rsidRPr="00BD7CEA">
              <w:rPr>
                <w:rFonts w:ascii="Tahoma" w:hAnsi="Tahoma" w:cs="Tahoma"/>
                <w:b w:val="0"/>
                <w:sz w:val="14"/>
              </w:rPr>
              <w:t xml:space="preserve"> </w:t>
            </w:r>
          </w:p>
        </w:tc>
        <w:tc>
          <w:tcPr>
            <w:tcW w:w="429" w:type="dxa"/>
            <w:tcBorders>
              <w:bottom w:val="single" w:sz="4" w:space="0" w:color="auto"/>
            </w:tcBorders>
            <w:shd w:val="clear" w:color="auto" w:fill="auto"/>
            <w:vAlign w:val="center"/>
          </w:tcPr>
          <w:p w:rsidR="00CC19FC" w:rsidRPr="00BD7CEA" w:rsidRDefault="00CC19FC" w:rsidP="00D353E6">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auto"/>
            <w:vAlign w:val="center"/>
          </w:tcPr>
          <w:p w:rsidR="00CC19FC" w:rsidRPr="00BD7CEA" w:rsidRDefault="00CC19FC" w:rsidP="004941B2">
            <w:pPr>
              <w:pStyle w:val="TableText"/>
              <w:spacing w:before="60" w:after="60"/>
              <w:rPr>
                <w:rFonts w:ascii="Tahoma" w:hAnsi="Tahoma" w:cs="Tahoma"/>
                <w:sz w:val="13"/>
              </w:rPr>
            </w:pPr>
            <w:r w:rsidRPr="00BD7CEA">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1</w:t>
            </w:r>
          </w:p>
        </w:tc>
        <w:tc>
          <w:tcPr>
            <w:tcW w:w="429" w:type="dxa"/>
            <w:tcBorders>
              <w:bottom w:val="single" w:sz="4" w:space="0" w:color="auto"/>
            </w:tcBorders>
            <w:shd w:val="clear" w:color="auto" w:fill="auto"/>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3</w:t>
            </w:r>
          </w:p>
        </w:tc>
        <w:tc>
          <w:tcPr>
            <w:tcW w:w="429" w:type="dxa"/>
            <w:tcBorders>
              <w:bottom w:val="single" w:sz="4" w:space="0" w:color="auto"/>
            </w:tcBorders>
            <w:shd w:val="clear" w:color="auto" w:fill="auto"/>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2</w:t>
            </w:r>
          </w:p>
        </w:tc>
        <w:tc>
          <w:tcPr>
            <w:tcW w:w="429" w:type="dxa"/>
            <w:tcBorders>
              <w:bottom w:val="single" w:sz="4" w:space="0" w:color="auto"/>
            </w:tcBorders>
            <w:shd w:val="clear" w:color="auto" w:fill="auto"/>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2</w:t>
            </w:r>
          </w:p>
        </w:tc>
        <w:tc>
          <w:tcPr>
            <w:tcW w:w="429" w:type="dxa"/>
            <w:tcBorders>
              <w:bottom w:val="single" w:sz="4" w:space="0" w:color="auto"/>
            </w:tcBorders>
            <w:shd w:val="clear" w:color="auto" w:fill="auto"/>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2</w:t>
            </w:r>
          </w:p>
        </w:tc>
        <w:tc>
          <w:tcPr>
            <w:tcW w:w="429" w:type="dxa"/>
            <w:tcBorders>
              <w:bottom w:val="single" w:sz="4" w:space="0" w:color="auto"/>
            </w:tcBorders>
            <w:shd w:val="clear" w:color="auto" w:fill="auto"/>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1</w:t>
            </w:r>
          </w:p>
        </w:tc>
        <w:tc>
          <w:tcPr>
            <w:tcW w:w="429" w:type="dxa"/>
            <w:tcBorders>
              <w:bottom w:val="single" w:sz="4" w:space="0" w:color="auto"/>
            </w:tcBorders>
            <w:shd w:val="clear" w:color="auto" w:fill="auto"/>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BD7CEA"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P</w:t>
            </w:r>
          </w:p>
        </w:tc>
        <w:tc>
          <w:tcPr>
            <w:tcW w:w="514" w:type="dxa"/>
            <w:tcBorders>
              <w:bottom w:val="single" w:sz="4" w:space="0" w:color="auto"/>
            </w:tcBorders>
            <w:shd w:val="clear" w:color="auto" w:fill="auto"/>
            <w:vAlign w:val="center"/>
          </w:tcPr>
          <w:p w:rsidR="00CC19FC" w:rsidRPr="00BD7CEA"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BD7CEA" w:rsidRDefault="00CC19FC" w:rsidP="004B3534">
            <w:pPr>
              <w:pStyle w:val="TableText"/>
              <w:rPr>
                <w:rFonts w:ascii="Tahoma" w:hAnsi="Tahoma" w:cs="Tahoma"/>
                <w:sz w:val="13"/>
              </w:rPr>
            </w:pPr>
          </w:p>
        </w:tc>
      </w:tr>
      <w:tr w:rsidR="00EF228F" w:rsidRPr="00BD7CEA" w:rsidTr="00C60100">
        <w:trPr>
          <w:cantSplit/>
          <w:trHeight w:val="145"/>
        </w:trPr>
        <w:tc>
          <w:tcPr>
            <w:tcW w:w="2638" w:type="dxa"/>
            <w:tcBorders>
              <w:bottom w:val="single" w:sz="4" w:space="0" w:color="auto"/>
            </w:tcBorders>
            <w:shd w:val="clear" w:color="auto" w:fill="FABF8F"/>
          </w:tcPr>
          <w:p w:rsidR="00CC19FC" w:rsidRPr="00BD7CEA" w:rsidRDefault="00C24CBE" w:rsidP="00E215F4">
            <w:pPr>
              <w:pStyle w:val="ProductNames"/>
              <w:spacing w:beforeLines="20" w:before="48" w:afterLines="20" w:after="48"/>
              <w:rPr>
                <w:rFonts w:ascii="Tahoma" w:hAnsi="Tahoma" w:cs="Tahoma"/>
                <w:sz w:val="14"/>
              </w:rPr>
            </w:pPr>
            <w:bookmarkStart w:id="106" w:name="_Toc353375671"/>
            <w:r w:rsidRPr="00BD7CEA">
              <w:rPr>
                <w:rFonts w:ascii="Tahoma" w:hAnsi="Tahoma" w:cs="Tahoma"/>
                <w:sz w:val="14"/>
              </w:rPr>
              <w:t>Visio Pro per Office 365</w:t>
            </w:r>
            <w:bookmarkEnd w:id="106"/>
          </w:p>
        </w:tc>
        <w:tc>
          <w:tcPr>
            <w:tcW w:w="429" w:type="dxa"/>
            <w:tcBorders>
              <w:bottom w:val="single" w:sz="4" w:space="0" w:color="auto"/>
            </w:tcBorders>
            <w:shd w:val="clear" w:color="auto" w:fill="FABF8F"/>
            <w:vAlign w:val="center"/>
          </w:tcPr>
          <w:p w:rsidR="00CC19FC" w:rsidRPr="00BD7CEA" w:rsidRDefault="006E5080" w:rsidP="00B0065F">
            <w:pPr>
              <w:pStyle w:val="TableText"/>
              <w:widowControl w:val="0"/>
              <w:rPr>
                <w:rStyle w:val="EndnoteReference"/>
                <w:rFonts w:cs="Tahoma"/>
                <w:b w:val="0"/>
                <w:color w:val="0000FF"/>
                <w:sz w:val="13"/>
                <w:szCs w:val="13"/>
                <w:u w:val="single"/>
              </w:rPr>
            </w:pPr>
            <w:hyperlink w:anchor="_18_Visio_Pro" w:history="1">
              <w:r w:rsidR="00B0065F" w:rsidRPr="00BD7CEA">
                <w:rPr>
                  <w:rStyle w:val="Hyperlink"/>
                  <w:rFonts w:cs="Tahoma"/>
                  <w:b/>
                  <w:sz w:val="13"/>
                  <w:szCs w:val="13"/>
                </w:rPr>
                <w:t>18</w:t>
              </w:r>
            </w:hyperlink>
          </w:p>
        </w:tc>
        <w:tc>
          <w:tcPr>
            <w:tcW w:w="429" w:type="dxa"/>
            <w:tcBorders>
              <w:bottom w:val="single" w:sz="4" w:space="0" w:color="auto"/>
            </w:tcBorders>
            <w:shd w:val="clear" w:color="auto" w:fill="FABF8F"/>
            <w:vAlign w:val="center"/>
          </w:tcPr>
          <w:p w:rsidR="00CC19FC" w:rsidRPr="00BD7CEA" w:rsidRDefault="00CC19FC" w:rsidP="004B3534">
            <w:pPr>
              <w:pStyle w:val="TableText"/>
              <w:spacing w:before="60" w:after="60"/>
              <w:rPr>
                <w:rFonts w:ascii="Tahoma" w:hAnsi="Tahoma" w:cs="Tahoma"/>
                <w:sz w:val="13"/>
              </w:rPr>
            </w:pPr>
            <w:r w:rsidRPr="00BD7CEA">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BD7CEA"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BD7CEA"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BD7CEA"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BD7CEA"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BD7CEA"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BD7CEA"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BD7CEA"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BD7CEA"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BD7CEA"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BD7CEA"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BD7CEA"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BD7CEA"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BD7CEA"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BD7CEA" w:rsidRDefault="00CC19FC" w:rsidP="004B3534">
            <w:pPr>
              <w:pStyle w:val="TableText"/>
              <w:rPr>
                <w:rFonts w:ascii="Tahoma" w:hAnsi="Tahoma" w:cs="Tahoma"/>
                <w:sz w:val="13"/>
              </w:rPr>
            </w:pPr>
          </w:p>
        </w:tc>
      </w:tr>
      <w:tr w:rsidR="00CC19FC" w:rsidRPr="00BD7CEA" w:rsidTr="007E466C">
        <w:trPr>
          <w:cantSplit/>
          <w:trHeight w:val="145"/>
        </w:trPr>
        <w:tc>
          <w:tcPr>
            <w:tcW w:w="2638" w:type="dxa"/>
            <w:tcBorders>
              <w:bottom w:val="single" w:sz="4" w:space="0" w:color="auto"/>
            </w:tcBorders>
            <w:shd w:val="clear" w:color="auto" w:fill="auto"/>
            <w:vAlign w:val="center"/>
          </w:tcPr>
          <w:p w:rsidR="00CC19FC" w:rsidRPr="007B74B7" w:rsidRDefault="00CC19FC" w:rsidP="00E215F4">
            <w:pPr>
              <w:pStyle w:val="ProductNames"/>
              <w:spacing w:beforeLines="20" w:before="48" w:afterLines="20" w:after="48"/>
              <w:rPr>
                <w:rFonts w:ascii="Tahoma" w:hAnsi="Tahoma" w:cs="Tahoma"/>
                <w:sz w:val="14"/>
                <w:lang w:val="it-IT"/>
              </w:rPr>
            </w:pPr>
            <w:bookmarkStart w:id="107" w:name="_Toc353375672"/>
            <w:r w:rsidRPr="007B74B7">
              <w:rPr>
                <w:rFonts w:ascii="Tahoma" w:hAnsi="Tahoma" w:cs="Tahoma"/>
                <w:sz w:val="14"/>
                <w:lang w:val="it-IT"/>
              </w:rPr>
              <w:t>Visio Pro per Office 365 A</w:t>
            </w:r>
            <w:bookmarkEnd w:id="107"/>
          </w:p>
        </w:tc>
        <w:tc>
          <w:tcPr>
            <w:tcW w:w="429" w:type="dxa"/>
            <w:tcBorders>
              <w:bottom w:val="single" w:sz="4" w:space="0" w:color="auto"/>
            </w:tcBorders>
            <w:shd w:val="clear" w:color="auto" w:fill="auto"/>
            <w:vAlign w:val="center"/>
          </w:tcPr>
          <w:p w:rsidR="00CC19FC" w:rsidRPr="007B74B7" w:rsidRDefault="00CC19FC" w:rsidP="008A7B14">
            <w:pPr>
              <w:pStyle w:val="TableText"/>
              <w:widowControl w:val="0"/>
              <w:rPr>
                <w:rStyle w:val="EndnoteReference"/>
                <w:rFonts w:cs="Tahoma"/>
                <w:color w:val="0000FF"/>
                <w:sz w:val="13"/>
                <w:szCs w:val="13"/>
                <w:u w:val="single"/>
                <w:lang w:val="it-IT"/>
              </w:rPr>
            </w:pPr>
          </w:p>
        </w:tc>
        <w:tc>
          <w:tcPr>
            <w:tcW w:w="429" w:type="dxa"/>
            <w:tcBorders>
              <w:bottom w:val="single" w:sz="4" w:space="0" w:color="auto"/>
            </w:tcBorders>
            <w:shd w:val="clear" w:color="auto" w:fill="auto"/>
            <w:vAlign w:val="center"/>
          </w:tcPr>
          <w:p w:rsidR="00CC19FC" w:rsidRPr="00BD7CEA" w:rsidRDefault="00CC19FC" w:rsidP="004B3534">
            <w:pPr>
              <w:pStyle w:val="TableText"/>
              <w:spacing w:before="60" w:after="60"/>
              <w:rPr>
                <w:rFonts w:ascii="Tahoma" w:hAnsi="Tahoma" w:cs="Tahoma"/>
                <w:sz w:val="13"/>
              </w:rPr>
            </w:pPr>
            <w:r w:rsidRPr="00BD7CEA">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BD7CEA"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BD7CEA"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BD7CEA"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BD7CEA"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BD7CEA"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BD7CEA"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BD7CEA"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BD7CEA"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BD7CEA"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BD7CEA"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BD7CEA" w:rsidRDefault="00C24CBE" w:rsidP="004B3534">
            <w:pPr>
              <w:pStyle w:val="TableText"/>
              <w:rPr>
                <w:rFonts w:ascii="Tahoma" w:hAnsi="Tahoma" w:cs="Tahoma"/>
                <w:sz w:val="13"/>
              </w:rPr>
            </w:pPr>
            <w:r w:rsidRPr="00BD7CEA">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BD7CEA"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BD7CEA" w:rsidRDefault="00573BA8" w:rsidP="00080B33">
            <w:pPr>
              <w:pStyle w:val="TableText"/>
              <w:rPr>
                <w:rFonts w:ascii="Tahoma" w:hAnsi="Tahoma" w:cs="Tahoma"/>
                <w:sz w:val="13"/>
              </w:rPr>
            </w:pPr>
            <w:r w:rsidRPr="00BD7CEA">
              <w:rPr>
                <w:rFonts w:ascii="Tahoma" w:hAnsi="Tahoma" w:cs="Tahoma"/>
                <w:sz w:val="13"/>
              </w:rPr>
              <w:t>A, ST (Solo EES)</w:t>
            </w:r>
          </w:p>
        </w:tc>
        <w:tc>
          <w:tcPr>
            <w:tcW w:w="514" w:type="dxa"/>
            <w:tcBorders>
              <w:bottom w:val="single" w:sz="4" w:space="0" w:color="auto"/>
            </w:tcBorders>
            <w:shd w:val="clear" w:color="auto" w:fill="auto"/>
            <w:vAlign w:val="center"/>
          </w:tcPr>
          <w:p w:rsidR="00CC19FC" w:rsidRPr="00BD7CEA" w:rsidRDefault="00CC19FC" w:rsidP="004B3534">
            <w:pPr>
              <w:pStyle w:val="TableText"/>
              <w:rPr>
                <w:rFonts w:ascii="Tahoma" w:hAnsi="Tahoma" w:cs="Tahoma"/>
                <w:sz w:val="13"/>
              </w:rPr>
            </w:pPr>
          </w:p>
        </w:tc>
      </w:tr>
      <w:tr w:rsidR="00EF228F" w:rsidRPr="00BD7CEA" w:rsidTr="00C60100">
        <w:trPr>
          <w:cantSplit/>
          <w:trHeight w:val="145"/>
        </w:trPr>
        <w:tc>
          <w:tcPr>
            <w:tcW w:w="2638" w:type="dxa"/>
            <w:tcBorders>
              <w:bottom w:val="single" w:sz="4" w:space="0" w:color="auto"/>
            </w:tcBorders>
            <w:shd w:val="clear" w:color="auto" w:fill="FABF8F"/>
          </w:tcPr>
          <w:p w:rsidR="00CC19FC" w:rsidRPr="00BD7CEA" w:rsidRDefault="00CC19FC" w:rsidP="00E215F4">
            <w:pPr>
              <w:pStyle w:val="ProductNames"/>
              <w:spacing w:beforeLines="20" w:before="48" w:afterLines="20" w:after="48"/>
              <w:rPr>
                <w:rFonts w:ascii="Tahoma" w:hAnsi="Tahoma" w:cs="Tahoma"/>
                <w:sz w:val="14"/>
              </w:rPr>
            </w:pPr>
            <w:bookmarkStart w:id="108" w:name="_Toc336337889"/>
            <w:bookmarkStart w:id="109" w:name="_Toc353375673"/>
            <w:r w:rsidRPr="00BD7CEA">
              <w:rPr>
                <w:rFonts w:ascii="Tahoma" w:hAnsi="Tahoma" w:cs="Tahoma"/>
                <w:sz w:val="14"/>
              </w:rPr>
              <w:t>Visual Studio</w:t>
            </w:r>
            <w:r w:rsidR="00700C4B" w:rsidRPr="00BD7CEA">
              <w:rPr>
                <w:rFonts w:ascii="Tahoma" w:hAnsi="Tahoma" w:cs="Tahoma"/>
                <w:sz w:val="14"/>
                <w:vertAlign w:val="superscript"/>
              </w:rPr>
              <w:t>®</w:t>
            </w:r>
            <w:r w:rsidRPr="00BD7CEA">
              <w:rPr>
                <w:rFonts w:ascii="Tahoma" w:hAnsi="Tahoma" w:cs="Tahoma"/>
                <w:sz w:val="14"/>
              </w:rPr>
              <w:t xml:space="preserve"> Professional 2012</w:t>
            </w:r>
            <w:bookmarkEnd w:id="108"/>
            <w:bookmarkEnd w:id="109"/>
          </w:p>
        </w:tc>
        <w:tc>
          <w:tcPr>
            <w:tcW w:w="429" w:type="dxa"/>
            <w:tcBorders>
              <w:bottom w:val="single" w:sz="4" w:space="0" w:color="auto"/>
            </w:tcBorders>
            <w:shd w:val="clear" w:color="auto" w:fill="FABF8F"/>
            <w:vAlign w:val="center"/>
          </w:tcPr>
          <w:p w:rsidR="00CC19FC" w:rsidRPr="00BD7CEA" w:rsidRDefault="006E5080" w:rsidP="00B0065F">
            <w:pPr>
              <w:pStyle w:val="TableText"/>
              <w:widowControl w:val="0"/>
              <w:rPr>
                <w:b/>
                <w:color w:val="0000FF"/>
                <w:sz w:val="13"/>
                <w:szCs w:val="13"/>
                <w:u w:val="single"/>
              </w:rPr>
            </w:pPr>
            <w:hyperlink w:anchor="_19_Visual_Studio" w:history="1">
              <w:r w:rsidR="00955428" w:rsidRPr="00BD7CEA">
                <w:rPr>
                  <w:rStyle w:val="Hyperlink"/>
                  <w:b/>
                  <w:sz w:val="13"/>
                  <w:szCs w:val="13"/>
                </w:rPr>
                <w:t>19</w:t>
              </w:r>
            </w:hyperlink>
          </w:p>
        </w:tc>
        <w:tc>
          <w:tcPr>
            <w:tcW w:w="429" w:type="dxa"/>
            <w:tcBorders>
              <w:bottom w:val="single" w:sz="4" w:space="0" w:color="auto"/>
            </w:tcBorders>
            <w:shd w:val="clear" w:color="auto" w:fill="FABF8F"/>
            <w:vAlign w:val="center"/>
          </w:tcPr>
          <w:p w:rsidR="00CC19FC" w:rsidRPr="00BD7CEA" w:rsidRDefault="00CC19FC" w:rsidP="0090699E">
            <w:pPr>
              <w:pStyle w:val="TableText"/>
              <w:spacing w:before="60" w:after="60"/>
              <w:rPr>
                <w:rFonts w:ascii="Tahoma" w:hAnsi="Tahoma" w:cs="Tahoma"/>
                <w:sz w:val="13"/>
              </w:rPr>
            </w:pPr>
            <w:r w:rsidRPr="00BD7CEA">
              <w:rPr>
                <w:rFonts w:ascii="Tahoma" w:hAnsi="Tahoma" w:cs="Tahoma"/>
                <w:sz w:val="13"/>
              </w:rPr>
              <w:t>08/12</w:t>
            </w:r>
          </w:p>
        </w:tc>
        <w:tc>
          <w:tcPr>
            <w:tcW w:w="429" w:type="dxa"/>
            <w:tcBorders>
              <w:bottom w:val="single" w:sz="4" w:space="0" w:color="auto"/>
              <w:right w:val="single" w:sz="18" w:space="0" w:color="auto"/>
            </w:tcBorders>
            <w:shd w:val="clear" w:color="auto" w:fill="FABF8F"/>
            <w:vAlign w:val="center"/>
          </w:tcPr>
          <w:p w:rsidR="00CC19FC" w:rsidRPr="00BD7CEA"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BD7CEA" w:rsidRDefault="00CC19FC" w:rsidP="004B3534">
            <w:pPr>
              <w:pStyle w:val="TableText"/>
              <w:spacing w:after="120"/>
              <w:rPr>
                <w:rFonts w:ascii="Tahoma" w:hAnsi="Tahoma" w:cs="Tahoma"/>
                <w:sz w:val="13"/>
              </w:rPr>
            </w:pPr>
            <w:r w:rsidRPr="00BD7CEA">
              <w:rPr>
                <w:rFonts w:ascii="Tahoma" w:hAnsi="Tahoma" w:cs="Tahoma"/>
                <w:sz w:val="13"/>
              </w:rPr>
              <w:t>2</w:t>
            </w:r>
          </w:p>
        </w:tc>
        <w:tc>
          <w:tcPr>
            <w:tcW w:w="429" w:type="dxa"/>
            <w:tcBorders>
              <w:bottom w:val="single" w:sz="4" w:space="0" w:color="auto"/>
            </w:tcBorders>
            <w:shd w:val="clear" w:color="auto" w:fill="FABF8F"/>
            <w:vAlign w:val="center"/>
          </w:tcPr>
          <w:p w:rsidR="00CC19FC" w:rsidRPr="00BD7CEA"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BD7CEA"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BD7CEA"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BD7CEA"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BD7CEA" w:rsidRDefault="00CC19FC" w:rsidP="004B3534">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BD7CEA" w:rsidRDefault="00CC19FC" w:rsidP="004B3534">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BD7CEA" w:rsidRDefault="00CC19FC" w:rsidP="004B3534">
            <w:pPr>
              <w:pStyle w:val="TableText"/>
              <w:spacing w:after="120"/>
              <w:rPr>
                <w:rFonts w:ascii="Tahoma" w:hAnsi="Tahoma" w:cs="Tahoma"/>
                <w:sz w:val="13"/>
              </w:rPr>
            </w:pPr>
            <w:r w:rsidRPr="00BD7CEA">
              <w:rPr>
                <w:rFonts w:ascii="Tahoma" w:hAnsi="Tahoma" w:cs="Tahoma"/>
                <w:sz w:val="13"/>
              </w:rPr>
              <w:t>2</w:t>
            </w:r>
          </w:p>
        </w:tc>
        <w:tc>
          <w:tcPr>
            <w:tcW w:w="429" w:type="dxa"/>
            <w:tcBorders>
              <w:bottom w:val="single" w:sz="4" w:space="0" w:color="auto"/>
            </w:tcBorders>
            <w:shd w:val="clear" w:color="auto" w:fill="FABF8F"/>
            <w:vAlign w:val="center"/>
          </w:tcPr>
          <w:p w:rsidR="00CC19FC" w:rsidRPr="00BD7CEA" w:rsidRDefault="00CC19FC" w:rsidP="004B3534">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BD7CEA" w:rsidRDefault="00CC19FC" w:rsidP="004B3534">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BD7CEA" w:rsidRDefault="00CC19FC" w:rsidP="004B3534">
            <w:pPr>
              <w:pStyle w:val="TableText"/>
              <w:spacing w:before="120" w:after="1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BD7CEA"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BD7CEA"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BD7CEA"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BD7CEA" w:rsidRDefault="00CC19FC" w:rsidP="004B3534">
            <w:pPr>
              <w:pStyle w:val="TableText"/>
              <w:rPr>
                <w:rFonts w:ascii="Tahoma" w:hAnsi="Tahoma" w:cs="Tahoma"/>
                <w:sz w:val="13"/>
              </w:rPr>
            </w:pPr>
          </w:p>
        </w:tc>
      </w:tr>
      <w:tr w:rsidR="00B33D0E" w:rsidRPr="00BD7CEA" w:rsidTr="007E466C">
        <w:trPr>
          <w:cantSplit/>
          <w:trHeight w:val="145"/>
        </w:trPr>
        <w:tc>
          <w:tcPr>
            <w:tcW w:w="2638" w:type="dxa"/>
            <w:tcBorders>
              <w:bottom w:val="single" w:sz="4" w:space="0" w:color="auto"/>
            </w:tcBorders>
            <w:shd w:val="clear" w:color="auto" w:fill="auto"/>
          </w:tcPr>
          <w:p w:rsidR="00CC19FC" w:rsidRPr="007B74B7" w:rsidRDefault="00CC19FC" w:rsidP="003E3E1F">
            <w:pPr>
              <w:pStyle w:val="ProductNames"/>
              <w:spacing w:beforeLines="20" w:before="48" w:afterLines="20" w:after="48"/>
              <w:rPr>
                <w:rFonts w:ascii="Tahoma" w:hAnsi="Tahoma" w:cs="Tahoma"/>
                <w:sz w:val="14"/>
                <w:lang w:val="it-IT"/>
              </w:rPr>
            </w:pPr>
            <w:bookmarkStart w:id="110" w:name="_Toc336337890"/>
            <w:bookmarkStart w:id="111" w:name="_Toc353375674"/>
            <w:r w:rsidRPr="007B74B7">
              <w:rPr>
                <w:rFonts w:ascii="Tahoma" w:hAnsi="Tahoma" w:cs="Tahoma"/>
                <w:sz w:val="14"/>
                <w:lang w:val="it-IT"/>
              </w:rPr>
              <w:t>Visual Studio</w:t>
            </w:r>
            <w:r w:rsidR="00700C4B" w:rsidRPr="007B74B7">
              <w:rPr>
                <w:rFonts w:ascii="Tahoma" w:hAnsi="Tahoma" w:cs="Tahoma"/>
                <w:sz w:val="14"/>
                <w:vertAlign w:val="superscript"/>
                <w:lang w:val="it-IT"/>
              </w:rPr>
              <w:t>®</w:t>
            </w:r>
            <w:r w:rsidRPr="007B74B7">
              <w:rPr>
                <w:rFonts w:ascii="Tahoma" w:hAnsi="Tahoma" w:cs="Tahoma"/>
                <w:sz w:val="14"/>
                <w:lang w:val="it-IT"/>
              </w:rPr>
              <w:t xml:space="preserve"> Professional 2012 con</w:t>
            </w:r>
            <w:r w:rsidR="003E3E1F" w:rsidRPr="007B74B7">
              <w:rPr>
                <w:rFonts w:ascii="Tahoma" w:hAnsi="Tahoma" w:cs="Tahoma"/>
                <w:sz w:val="14"/>
                <w:lang w:val="it-IT"/>
              </w:rPr>
              <w:t> </w:t>
            </w:r>
            <w:r w:rsidRPr="007B74B7">
              <w:rPr>
                <w:rFonts w:ascii="Tahoma" w:hAnsi="Tahoma" w:cs="Tahoma"/>
                <w:sz w:val="14"/>
                <w:lang w:val="it-IT"/>
              </w:rPr>
              <w:t>MSDN</w:t>
            </w:r>
            <w:bookmarkEnd w:id="110"/>
            <w:bookmarkEnd w:id="111"/>
            <w:r w:rsidRPr="007B74B7">
              <w:rPr>
                <w:rFonts w:ascii="Tahoma" w:hAnsi="Tahoma" w:cs="Tahoma"/>
                <w:sz w:val="14"/>
                <w:lang w:val="it-IT"/>
              </w:rPr>
              <w:t xml:space="preserve"> </w:t>
            </w:r>
          </w:p>
        </w:tc>
        <w:tc>
          <w:tcPr>
            <w:tcW w:w="429" w:type="dxa"/>
            <w:tcBorders>
              <w:bottom w:val="single" w:sz="4" w:space="0" w:color="auto"/>
            </w:tcBorders>
            <w:shd w:val="clear" w:color="auto" w:fill="auto"/>
            <w:vAlign w:val="center"/>
          </w:tcPr>
          <w:p w:rsidR="00CC19FC" w:rsidRPr="00BD7CEA" w:rsidRDefault="006E5080" w:rsidP="00B0065F">
            <w:pPr>
              <w:pStyle w:val="TableText"/>
              <w:widowControl w:val="0"/>
              <w:rPr>
                <w:rStyle w:val="EndnoteReference"/>
                <w:b w:val="0"/>
                <w:color w:val="0000FF"/>
                <w:sz w:val="13"/>
                <w:szCs w:val="13"/>
                <w:u w:val="single"/>
              </w:rPr>
            </w:pPr>
            <w:hyperlink w:anchor="_20_Visual_Studio" w:history="1">
              <w:r w:rsidR="00B0065F" w:rsidRPr="00BD7CEA">
                <w:rPr>
                  <w:rStyle w:val="Hyperlink"/>
                  <w:b/>
                  <w:sz w:val="13"/>
                  <w:szCs w:val="13"/>
                </w:rPr>
                <w:t>20</w:t>
              </w:r>
            </w:hyperlink>
            <w:hyperlink w:anchor="Aps_13VS2010ProfessionalMSDN" w:history="1"/>
          </w:p>
        </w:tc>
        <w:tc>
          <w:tcPr>
            <w:tcW w:w="429" w:type="dxa"/>
            <w:tcBorders>
              <w:bottom w:val="single" w:sz="4" w:space="0" w:color="auto"/>
            </w:tcBorders>
            <w:shd w:val="clear" w:color="auto" w:fill="auto"/>
            <w:vAlign w:val="center"/>
          </w:tcPr>
          <w:p w:rsidR="00CC19FC" w:rsidRPr="00BD7CEA" w:rsidRDefault="00CC19FC" w:rsidP="00A1729A">
            <w:pPr>
              <w:pStyle w:val="TableText"/>
              <w:spacing w:before="60" w:after="60"/>
              <w:rPr>
                <w:rFonts w:ascii="Tahoma" w:hAnsi="Tahoma" w:cs="Tahoma"/>
                <w:sz w:val="13"/>
              </w:rPr>
            </w:pPr>
            <w:r w:rsidRPr="00BD7CEA">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BD7CEA"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CC19FC" w:rsidRPr="00BD7CEA" w:rsidRDefault="00CC19FC" w:rsidP="004B3534">
            <w:pPr>
              <w:pStyle w:val="TableText"/>
              <w:spacing w:after="120"/>
              <w:rPr>
                <w:rFonts w:ascii="Tahoma" w:hAnsi="Tahoma" w:cs="Tahoma"/>
                <w:sz w:val="13"/>
              </w:rPr>
            </w:pPr>
            <w:r w:rsidRPr="00BD7CEA">
              <w:rPr>
                <w:rFonts w:ascii="Tahoma" w:hAnsi="Tahoma" w:cs="Tahoma"/>
                <w:sz w:val="13"/>
              </w:rPr>
              <w:t>3</w:t>
            </w:r>
          </w:p>
        </w:tc>
        <w:tc>
          <w:tcPr>
            <w:tcW w:w="429" w:type="dxa"/>
            <w:tcBorders>
              <w:bottom w:val="single" w:sz="4" w:space="0" w:color="auto"/>
            </w:tcBorders>
            <w:shd w:val="clear" w:color="auto" w:fill="auto"/>
            <w:vAlign w:val="center"/>
          </w:tcPr>
          <w:p w:rsidR="00CC19FC" w:rsidRPr="00BD7CEA" w:rsidRDefault="00CC19FC" w:rsidP="004B3534">
            <w:pPr>
              <w:pStyle w:val="TableText"/>
              <w:spacing w:after="120"/>
              <w:rPr>
                <w:rFonts w:ascii="Tahoma" w:hAnsi="Tahoma" w:cs="Tahoma"/>
                <w:sz w:val="13"/>
              </w:rPr>
            </w:pPr>
            <w:r w:rsidRPr="00BD7CEA">
              <w:rPr>
                <w:rFonts w:ascii="Tahoma" w:hAnsi="Tahoma" w:cs="Tahoma"/>
                <w:sz w:val="13"/>
              </w:rPr>
              <w:t>2</w:t>
            </w:r>
          </w:p>
        </w:tc>
        <w:tc>
          <w:tcPr>
            <w:tcW w:w="429" w:type="dxa"/>
            <w:tcBorders>
              <w:bottom w:val="single" w:sz="4" w:space="0" w:color="auto"/>
            </w:tcBorders>
            <w:shd w:val="clear" w:color="auto" w:fill="auto"/>
            <w:vAlign w:val="center"/>
          </w:tcPr>
          <w:p w:rsidR="00CC19FC" w:rsidRPr="00BD7CEA" w:rsidRDefault="00CC19FC" w:rsidP="004B3534">
            <w:pPr>
              <w:pStyle w:val="TableText"/>
              <w:spacing w:after="120"/>
              <w:rPr>
                <w:rFonts w:ascii="Tahoma" w:hAnsi="Tahoma" w:cs="Tahoma"/>
                <w:sz w:val="13"/>
              </w:rPr>
            </w:pPr>
            <w:r w:rsidRPr="00BD7CEA">
              <w:rPr>
                <w:rFonts w:ascii="Tahoma" w:hAnsi="Tahoma" w:cs="Tahoma"/>
                <w:sz w:val="13"/>
              </w:rPr>
              <w:t>2</w:t>
            </w:r>
          </w:p>
        </w:tc>
        <w:tc>
          <w:tcPr>
            <w:tcW w:w="429" w:type="dxa"/>
            <w:tcBorders>
              <w:bottom w:val="single" w:sz="4" w:space="0" w:color="auto"/>
            </w:tcBorders>
            <w:shd w:val="clear" w:color="auto" w:fill="auto"/>
            <w:vAlign w:val="center"/>
          </w:tcPr>
          <w:p w:rsidR="00CC19FC" w:rsidRPr="00BD7CEA" w:rsidRDefault="00CC19FC" w:rsidP="004B3534">
            <w:pPr>
              <w:pStyle w:val="TableText"/>
              <w:spacing w:after="120"/>
              <w:rPr>
                <w:rFonts w:ascii="Tahoma" w:hAnsi="Tahoma" w:cs="Tahoma"/>
                <w:sz w:val="13"/>
              </w:rPr>
            </w:pPr>
            <w:r w:rsidRPr="00BD7CEA">
              <w:rPr>
                <w:rFonts w:ascii="Tahoma" w:hAnsi="Tahoma" w:cs="Tahoma"/>
                <w:sz w:val="13"/>
              </w:rPr>
              <w:t>2</w:t>
            </w:r>
          </w:p>
        </w:tc>
        <w:tc>
          <w:tcPr>
            <w:tcW w:w="429" w:type="dxa"/>
            <w:tcBorders>
              <w:bottom w:val="single" w:sz="4" w:space="0" w:color="auto"/>
            </w:tcBorders>
            <w:shd w:val="clear" w:color="auto" w:fill="auto"/>
            <w:vAlign w:val="center"/>
          </w:tcPr>
          <w:p w:rsidR="00CC19FC" w:rsidRPr="00BD7CEA" w:rsidRDefault="00CC19FC" w:rsidP="004B3534">
            <w:pPr>
              <w:pStyle w:val="TableText"/>
              <w:spacing w:after="120"/>
              <w:rPr>
                <w:rFonts w:ascii="Tahoma" w:hAnsi="Tahoma" w:cs="Tahoma"/>
                <w:sz w:val="13"/>
              </w:rPr>
            </w:pPr>
            <w:r w:rsidRPr="00BD7CEA">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BD7CEA" w:rsidRDefault="00CC19FC" w:rsidP="004B3534">
            <w:pPr>
              <w:pStyle w:val="TableText"/>
              <w:spacing w:after="120"/>
              <w:rPr>
                <w:rFonts w:ascii="Tahoma" w:hAnsi="Tahoma" w:cs="Tahoma"/>
                <w:sz w:val="13"/>
              </w:rPr>
            </w:pPr>
            <w:r w:rsidRPr="00BD7CEA">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BD7CEA"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CC19FC" w:rsidRPr="00BD7CEA" w:rsidRDefault="00CC19FC" w:rsidP="004B3534">
            <w:pPr>
              <w:pStyle w:val="TableText"/>
              <w:spacing w:after="120"/>
              <w:rPr>
                <w:rFonts w:ascii="Tahoma" w:hAnsi="Tahoma" w:cs="Tahoma"/>
                <w:sz w:val="13"/>
              </w:rPr>
            </w:pPr>
            <w:r w:rsidRPr="00BD7CEA">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BD7CEA" w:rsidRDefault="00CC19FC" w:rsidP="004B3534">
            <w:pPr>
              <w:pStyle w:val="TableText"/>
              <w:spacing w:after="120"/>
              <w:rPr>
                <w:rFonts w:ascii="Tahoma" w:hAnsi="Tahoma" w:cs="Tahoma"/>
                <w:sz w:val="13"/>
              </w:rPr>
            </w:pPr>
            <w:r w:rsidRPr="00BD7CEA">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A,S</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P</w:t>
            </w:r>
          </w:p>
        </w:tc>
        <w:tc>
          <w:tcPr>
            <w:tcW w:w="514" w:type="dxa"/>
            <w:tcBorders>
              <w:bottom w:val="single" w:sz="4" w:space="0" w:color="auto"/>
            </w:tcBorders>
            <w:shd w:val="clear" w:color="auto" w:fill="auto"/>
            <w:vAlign w:val="center"/>
          </w:tcPr>
          <w:p w:rsidR="00CC19FC" w:rsidRPr="00BD7CEA" w:rsidRDefault="00CC19FC" w:rsidP="00080B33">
            <w:pPr>
              <w:pStyle w:val="TableText"/>
              <w:rPr>
                <w:rFonts w:ascii="Tahoma" w:hAnsi="Tahoma" w:cs="Tahoma"/>
                <w:sz w:val="13"/>
              </w:rPr>
            </w:pPr>
            <w:r w:rsidRPr="00BD7CEA">
              <w:rPr>
                <w:rFonts w:ascii="Tahoma" w:hAnsi="Tahoma" w:cs="Tahoma"/>
                <w:sz w:val="13"/>
              </w:rPr>
              <w:t>A</w:t>
            </w:r>
          </w:p>
        </w:tc>
        <w:tc>
          <w:tcPr>
            <w:tcW w:w="514" w:type="dxa"/>
            <w:tcBorders>
              <w:bottom w:val="single" w:sz="4" w:space="0" w:color="auto"/>
            </w:tcBorders>
            <w:shd w:val="clear" w:color="auto" w:fill="auto"/>
            <w:vAlign w:val="center"/>
          </w:tcPr>
          <w:p w:rsidR="00CC19FC" w:rsidRPr="00BD7CEA" w:rsidRDefault="00CC19FC" w:rsidP="004B3534">
            <w:pPr>
              <w:pStyle w:val="TableText"/>
            </w:pPr>
            <w:r w:rsidRPr="00BD7CEA">
              <w:rPr>
                <w:rFonts w:ascii="Tahoma" w:hAnsi="Tahoma" w:cs="Tahoma"/>
                <w:sz w:val="13"/>
              </w:rPr>
              <w:t>OL/SA/</w:t>
            </w:r>
          </w:p>
          <w:p w:rsidR="00CC19FC" w:rsidRPr="00BD7CEA" w:rsidRDefault="00CC19FC" w:rsidP="004B3534">
            <w:pPr>
              <w:pStyle w:val="TableText"/>
              <w:rPr>
                <w:rFonts w:ascii="Tahoma" w:hAnsi="Tahoma" w:cs="Tahoma"/>
                <w:sz w:val="13"/>
              </w:rPr>
            </w:pPr>
            <w:r w:rsidRPr="00BD7CEA">
              <w:rPr>
                <w:rFonts w:ascii="Tahoma" w:hAnsi="Tahoma" w:cs="Tahoma"/>
                <w:sz w:val="13"/>
              </w:rPr>
              <w:t>OV</w:t>
            </w:r>
          </w:p>
        </w:tc>
      </w:tr>
      <w:tr w:rsidR="00EF228F" w:rsidRPr="00BD7CEA" w:rsidTr="00C60100">
        <w:trPr>
          <w:cantSplit/>
          <w:trHeight w:val="145"/>
        </w:trPr>
        <w:tc>
          <w:tcPr>
            <w:tcW w:w="2638" w:type="dxa"/>
            <w:tcBorders>
              <w:bottom w:val="single" w:sz="4" w:space="0" w:color="auto"/>
            </w:tcBorders>
            <w:shd w:val="clear" w:color="auto" w:fill="FABF8F"/>
          </w:tcPr>
          <w:p w:rsidR="00CC19FC" w:rsidRPr="00BD7CEA" w:rsidRDefault="00CC19FC" w:rsidP="00E215F4">
            <w:pPr>
              <w:pStyle w:val="Heading2"/>
              <w:spacing w:beforeLines="20" w:before="48" w:afterLines="20" w:after="48"/>
              <w:ind w:left="0"/>
              <w:rPr>
                <w:rFonts w:ascii="Tahoma" w:hAnsi="Tahoma" w:cs="Tahoma"/>
                <w:b w:val="0"/>
                <w:sz w:val="14"/>
              </w:rPr>
            </w:pPr>
            <w:bookmarkStart w:id="112" w:name="_Toc336337891"/>
            <w:bookmarkStart w:id="113" w:name="_Toc353375675"/>
            <w:r w:rsidRPr="00BD7CEA">
              <w:rPr>
                <w:rFonts w:ascii="Tahoma" w:hAnsi="Tahoma" w:cs="Tahoma"/>
                <w:b w:val="0"/>
                <w:sz w:val="14"/>
              </w:rPr>
              <w:t>Visual Studio</w:t>
            </w:r>
            <w:r w:rsidR="00700C4B" w:rsidRPr="00BD7CEA">
              <w:rPr>
                <w:rFonts w:ascii="Tahoma" w:hAnsi="Tahoma" w:cs="Tahoma"/>
                <w:sz w:val="14"/>
                <w:vertAlign w:val="superscript"/>
              </w:rPr>
              <w:t>®</w:t>
            </w:r>
            <w:r w:rsidRPr="00BD7CEA">
              <w:rPr>
                <w:rFonts w:ascii="Tahoma" w:hAnsi="Tahoma" w:cs="Tahoma"/>
                <w:b w:val="0"/>
                <w:sz w:val="14"/>
              </w:rPr>
              <w:t xml:space="preserve"> Premium 2012 con MSDN</w:t>
            </w:r>
            <w:bookmarkEnd w:id="112"/>
            <w:bookmarkEnd w:id="113"/>
          </w:p>
        </w:tc>
        <w:tc>
          <w:tcPr>
            <w:tcW w:w="429" w:type="dxa"/>
            <w:tcBorders>
              <w:bottom w:val="single" w:sz="4" w:space="0" w:color="auto"/>
            </w:tcBorders>
            <w:shd w:val="clear" w:color="auto" w:fill="FABF8F"/>
            <w:vAlign w:val="center"/>
          </w:tcPr>
          <w:p w:rsidR="00CC19FC" w:rsidRPr="00BD7CEA" w:rsidRDefault="006E5080" w:rsidP="00B0065F">
            <w:pPr>
              <w:pStyle w:val="TableText"/>
              <w:widowControl w:val="0"/>
              <w:rPr>
                <w:b/>
                <w:sz w:val="13"/>
                <w:szCs w:val="13"/>
                <w:u w:val="single"/>
              </w:rPr>
            </w:pPr>
            <w:hyperlink w:anchor="_21_Visual_Studio" w:history="1">
              <w:r w:rsidR="00955428" w:rsidRPr="00BD7CEA">
                <w:rPr>
                  <w:rStyle w:val="Hyperlink"/>
                  <w:b/>
                  <w:sz w:val="13"/>
                  <w:szCs w:val="13"/>
                </w:rPr>
                <w:t>21</w:t>
              </w:r>
            </w:hyperlink>
          </w:p>
        </w:tc>
        <w:tc>
          <w:tcPr>
            <w:tcW w:w="429" w:type="dxa"/>
            <w:tcBorders>
              <w:bottom w:val="single" w:sz="4" w:space="0" w:color="auto"/>
            </w:tcBorders>
            <w:shd w:val="clear" w:color="auto" w:fill="FABF8F"/>
            <w:vAlign w:val="center"/>
          </w:tcPr>
          <w:p w:rsidR="00CC19FC" w:rsidRPr="00BD7CEA" w:rsidRDefault="00CC19FC" w:rsidP="000C622E">
            <w:pPr>
              <w:pStyle w:val="TableText"/>
              <w:spacing w:before="60" w:after="60"/>
              <w:rPr>
                <w:rFonts w:ascii="Tahoma" w:hAnsi="Tahoma" w:cs="Tahoma"/>
                <w:sz w:val="13"/>
              </w:rPr>
            </w:pPr>
            <w:r w:rsidRPr="00BD7CEA">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BD7CEA"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BD7CEA" w:rsidRDefault="00CC19FC" w:rsidP="000C622E">
            <w:pPr>
              <w:pStyle w:val="TableText"/>
              <w:spacing w:after="120"/>
              <w:rPr>
                <w:rFonts w:ascii="Tahoma" w:hAnsi="Tahoma" w:cs="Tahoma"/>
                <w:sz w:val="13"/>
              </w:rPr>
            </w:pPr>
            <w:r w:rsidRPr="00BD7CEA">
              <w:rPr>
                <w:rFonts w:ascii="Tahoma" w:hAnsi="Tahoma" w:cs="Tahoma"/>
                <w:sz w:val="13"/>
              </w:rPr>
              <w:t>38</w:t>
            </w:r>
          </w:p>
        </w:tc>
        <w:tc>
          <w:tcPr>
            <w:tcW w:w="429" w:type="dxa"/>
            <w:tcBorders>
              <w:bottom w:val="single" w:sz="4" w:space="0" w:color="auto"/>
            </w:tcBorders>
            <w:shd w:val="clear" w:color="auto" w:fill="FABF8F"/>
            <w:vAlign w:val="center"/>
          </w:tcPr>
          <w:p w:rsidR="00CC19FC" w:rsidRPr="00BD7CEA" w:rsidRDefault="00CC19FC" w:rsidP="000C622E">
            <w:pPr>
              <w:pStyle w:val="TableText"/>
              <w:spacing w:after="120"/>
              <w:rPr>
                <w:rFonts w:ascii="Tahoma" w:hAnsi="Tahoma" w:cs="Tahoma"/>
                <w:sz w:val="13"/>
              </w:rPr>
            </w:pPr>
            <w:r w:rsidRPr="00BD7CEA">
              <w:rPr>
                <w:rFonts w:ascii="Tahoma" w:hAnsi="Tahoma" w:cs="Tahoma"/>
                <w:sz w:val="13"/>
              </w:rPr>
              <w:t>30</w:t>
            </w:r>
          </w:p>
        </w:tc>
        <w:tc>
          <w:tcPr>
            <w:tcW w:w="429" w:type="dxa"/>
            <w:tcBorders>
              <w:bottom w:val="single" w:sz="4" w:space="0" w:color="auto"/>
            </w:tcBorders>
            <w:shd w:val="clear" w:color="auto" w:fill="FABF8F"/>
            <w:vAlign w:val="center"/>
          </w:tcPr>
          <w:p w:rsidR="00CC19FC" w:rsidRPr="00BD7CEA" w:rsidRDefault="00CC19FC" w:rsidP="000C622E">
            <w:pPr>
              <w:pStyle w:val="TableText"/>
              <w:spacing w:after="120"/>
              <w:rPr>
                <w:rFonts w:ascii="Tahoma" w:hAnsi="Tahoma" w:cs="Tahoma"/>
                <w:sz w:val="13"/>
              </w:rPr>
            </w:pPr>
            <w:r w:rsidRPr="00BD7CEA">
              <w:rPr>
                <w:rFonts w:ascii="Tahoma" w:hAnsi="Tahoma" w:cs="Tahoma"/>
                <w:sz w:val="13"/>
              </w:rPr>
              <w:t>23</w:t>
            </w:r>
          </w:p>
        </w:tc>
        <w:tc>
          <w:tcPr>
            <w:tcW w:w="429" w:type="dxa"/>
            <w:tcBorders>
              <w:bottom w:val="single" w:sz="4" w:space="0" w:color="auto"/>
            </w:tcBorders>
            <w:shd w:val="clear" w:color="auto" w:fill="FABF8F"/>
            <w:vAlign w:val="center"/>
          </w:tcPr>
          <w:p w:rsidR="00CC19FC" w:rsidRPr="00BD7CEA" w:rsidRDefault="00CC19FC" w:rsidP="000C622E">
            <w:pPr>
              <w:pStyle w:val="TableText"/>
              <w:spacing w:after="120"/>
              <w:rPr>
                <w:rFonts w:ascii="Tahoma" w:hAnsi="Tahoma" w:cs="Tahoma"/>
                <w:sz w:val="13"/>
              </w:rPr>
            </w:pPr>
            <w:r w:rsidRPr="00BD7CEA">
              <w:rPr>
                <w:rFonts w:ascii="Tahoma" w:hAnsi="Tahoma" w:cs="Tahoma"/>
                <w:sz w:val="13"/>
              </w:rPr>
              <w:t>23</w:t>
            </w:r>
          </w:p>
        </w:tc>
        <w:tc>
          <w:tcPr>
            <w:tcW w:w="429" w:type="dxa"/>
            <w:tcBorders>
              <w:bottom w:val="single" w:sz="4" w:space="0" w:color="auto"/>
            </w:tcBorders>
            <w:shd w:val="clear" w:color="auto" w:fill="FABF8F"/>
            <w:vAlign w:val="center"/>
          </w:tcPr>
          <w:p w:rsidR="00CC19FC" w:rsidRPr="00BD7CEA" w:rsidRDefault="00CC19FC" w:rsidP="000C622E">
            <w:pPr>
              <w:pStyle w:val="TableText"/>
              <w:spacing w:after="120"/>
              <w:rPr>
                <w:rFonts w:ascii="Tahoma" w:hAnsi="Tahoma" w:cs="Tahoma"/>
                <w:sz w:val="13"/>
              </w:rPr>
            </w:pPr>
            <w:r w:rsidRPr="00BD7CEA">
              <w:rPr>
                <w:rFonts w:ascii="Tahoma" w:hAnsi="Tahoma" w:cs="Tahoma"/>
                <w:sz w:val="13"/>
              </w:rPr>
              <w:t>15</w:t>
            </w:r>
          </w:p>
        </w:tc>
        <w:tc>
          <w:tcPr>
            <w:tcW w:w="429" w:type="dxa"/>
            <w:tcBorders>
              <w:bottom w:val="single" w:sz="4" w:space="0" w:color="auto"/>
              <w:right w:val="single" w:sz="18" w:space="0" w:color="auto"/>
            </w:tcBorders>
            <w:shd w:val="clear" w:color="auto" w:fill="FABF8F"/>
            <w:vAlign w:val="center"/>
          </w:tcPr>
          <w:p w:rsidR="00CC19FC" w:rsidRPr="00BD7CEA" w:rsidRDefault="00CC19FC" w:rsidP="000C622E">
            <w:pPr>
              <w:pStyle w:val="TableText"/>
              <w:spacing w:after="120"/>
              <w:rPr>
                <w:rFonts w:ascii="Tahoma" w:hAnsi="Tahoma" w:cs="Tahoma"/>
                <w:sz w:val="13"/>
              </w:rPr>
            </w:pPr>
            <w:r w:rsidRPr="00BD7CEA">
              <w:rPr>
                <w:rFonts w:ascii="Tahoma" w:hAnsi="Tahoma" w:cs="Tahoma"/>
                <w:sz w:val="13"/>
              </w:rPr>
              <w:t>8</w:t>
            </w:r>
          </w:p>
        </w:tc>
        <w:tc>
          <w:tcPr>
            <w:tcW w:w="429" w:type="dxa"/>
            <w:tcBorders>
              <w:left w:val="single" w:sz="18" w:space="0" w:color="auto"/>
              <w:bottom w:val="single" w:sz="4" w:space="0" w:color="auto"/>
            </w:tcBorders>
            <w:shd w:val="clear" w:color="auto" w:fill="FABF8F"/>
            <w:vAlign w:val="center"/>
          </w:tcPr>
          <w:p w:rsidR="00CC19FC" w:rsidRPr="00BD7CEA"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BD7CEA" w:rsidRDefault="00CC19FC" w:rsidP="000C622E">
            <w:pPr>
              <w:pStyle w:val="TableText"/>
              <w:spacing w:after="120"/>
              <w:rPr>
                <w:rFonts w:ascii="Tahoma" w:hAnsi="Tahoma" w:cs="Tahoma"/>
                <w:sz w:val="13"/>
              </w:rPr>
            </w:pPr>
            <w:r w:rsidRPr="00BD7CEA">
              <w:rPr>
                <w:rFonts w:ascii="Tahoma" w:hAnsi="Tahoma" w:cs="Tahoma"/>
                <w:sz w:val="13"/>
              </w:rPr>
              <w:t>30</w:t>
            </w:r>
          </w:p>
        </w:tc>
        <w:tc>
          <w:tcPr>
            <w:tcW w:w="429" w:type="dxa"/>
            <w:tcBorders>
              <w:bottom w:val="single" w:sz="4" w:space="0" w:color="auto"/>
              <w:right w:val="single" w:sz="18" w:space="0" w:color="auto"/>
            </w:tcBorders>
            <w:shd w:val="clear" w:color="auto" w:fill="FABF8F"/>
            <w:vAlign w:val="center"/>
          </w:tcPr>
          <w:p w:rsidR="00CC19FC" w:rsidRPr="00BD7CEA" w:rsidRDefault="00CC19FC" w:rsidP="000C622E">
            <w:pPr>
              <w:pStyle w:val="TableText"/>
              <w:spacing w:after="120"/>
              <w:rPr>
                <w:rFonts w:ascii="Tahoma" w:hAnsi="Tahoma" w:cs="Tahoma"/>
                <w:sz w:val="13"/>
              </w:rPr>
            </w:pPr>
            <w:r w:rsidRPr="00BD7CEA">
              <w:rPr>
                <w:rFonts w:ascii="Tahoma" w:hAnsi="Tahoma" w:cs="Tahoma"/>
                <w:sz w:val="13"/>
              </w:rPr>
              <w:t>15</w:t>
            </w:r>
          </w:p>
        </w:tc>
        <w:tc>
          <w:tcPr>
            <w:tcW w:w="429" w:type="dxa"/>
            <w:tcBorders>
              <w:left w:val="single" w:sz="18" w:space="0" w:color="auto"/>
              <w:bottom w:val="single" w:sz="4" w:space="0" w:color="auto"/>
            </w:tcBorders>
            <w:shd w:val="clear" w:color="auto" w:fill="FABF8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A,S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P</w:t>
            </w:r>
          </w:p>
        </w:tc>
        <w:tc>
          <w:tcPr>
            <w:tcW w:w="514" w:type="dxa"/>
            <w:tcBorders>
              <w:bottom w:val="single" w:sz="4" w:space="0" w:color="auto"/>
            </w:tcBorders>
            <w:shd w:val="clear" w:color="auto" w:fill="FABF8F"/>
            <w:vAlign w:val="center"/>
          </w:tcPr>
          <w:p w:rsidR="00CC19FC" w:rsidRPr="00BD7CEA" w:rsidRDefault="00CC19FC" w:rsidP="00080B33">
            <w:pPr>
              <w:pStyle w:val="TableText"/>
              <w:rPr>
                <w:rFonts w:ascii="Tahoma" w:hAnsi="Tahoma" w:cs="Tahoma"/>
                <w:sz w:val="13"/>
              </w:rPr>
            </w:pPr>
            <w:r w:rsidRPr="00BD7CEA">
              <w:rPr>
                <w:rFonts w:ascii="Tahoma" w:hAnsi="Tahoma" w:cs="Tahoma"/>
                <w:sz w:val="13"/>
              </w:rPr>
              <w:t>A</w:t>
            </w:r>
          </w:p>
        </w:tc>
        <w:tc>
          <w:tcPr>
            <w:tcW w:w="514" w:type="dxa"/>
            <w:tcBorders>
              <w:bottom w:val="single" w:sz="4" w:space="0" w:color="auto"/>
            </w:tcBorders>
            <w:shd w:val="clear" w:color="auto" w:fill="FABF8F"/>
            <w:vAlign w:val="center"/>
          </w:tcPr>
          <w:p w:rsidR="00CC19FC" w:rsidRPr="00BD7CEA" w:rsidRDefault="00CC19FC" w:rsidP="00036150">
            <w:pPr>
              <w:pStyle w:val="TableText"/>
            </w:pPr>
            <w:r w:rsidRPr="00BD7CEA">
              <w:rPr>
                <w:rFonts w:ascii="Tahoma" w:hAnsi="Tahoma" w:cs="Tahoma"/>
                <w:sz w:val="13"/>
              </w:rPr>
              <w:t>OL/SA/</w:t>
            </w:r>
          </w:p>
          <w:p w:rsidR="00CC19FC" w:rsidRPr="00BD7CEA" w:rsidRDefault="00CC19FC" w:rsidP="00036150">
            <w:pPr>
              <w:pStyle w:val="TableText"/>
              <w:rPr>
                <w:rFonts w:ascii="Tahoma" w:hAnsi="Tahoma" w:cs="Tahoma"/>
                <w:sz w:val="13"/>
              </w:rPr>
            </w:pPr>
            <w:r w:rsidRPr="00BD7CEA">
              <w:rPr>
                <w:rFonts w:ascii="Tahoma" w:hAnsi="Tahoma" w:cs="Tahoma"/>
                <w:sz w:val="13"/>
              </w:rPr>
              <w:t>OV</w:t>
            </w:r>
          </w:p>
        </w:tc>
      </w:tr>
      <w:tr w:rsidR="00B33D0E" w:rsidRPr="00BD7CEA" w:rsidTr="007E466C">
        <w:trPr>
          <w:cantSplit/>
          <w:trHeight w:val="145"/>
        </w:trPr>
        <w:tc>
          <w:tcPr>
            <w:tcW w:w="2638" w:type="dxa"/>
            <w:tcBorders>
              <w:bottom w:val="single" w:sz="4" w:space="0" w:color="auto"/>
            </w:tcBorders>
            <w:shd w:val="clear" w:color="auto" w:fill="auto"/>
          </w:tcPr>
          <w:p w:rsidR="00CC19FC" w:rsidRPr="007B74B7" w:rsidRDefault="00CC19FC" w:rsidP="00E215F4">
            <w:pPr>
              <w:pStyle w:val="Heading2"/>
              <w:spacing w:beforeLines="20" w:before="48" w:afterLines="20" w:after="48"/>
              <w:ind w:left="0"/>
              <w:rPr>
                <w:rFonts w:ascii="Tahoma" w:hAnsi="Tahoma" w:cs="Tahoma"/>
                <w:b w:val="0"/>
                <w:sz w:val="14"/>
                <w:lang w:val="it-IT"/>
              </w:rPr>
            </w:pPr>
            <w:bookmarkStart w:id="114" w:name="_Toc336337892"/>
            <w:bookmarkStart w:id="115" w:name="_Toc353375676"/>
            <w:r w:rsidRPr="007B74B7">
              <w:rPr>
                <w:rFonts w:ascii="Tahoma" w:hAnsi="Tahoma" w:cs="Tahoma"/>
                <w:b w:val="0"/>
                <w:sz w:val="14"/>
                <w:lang w:val="it-IT"/>
              </w:rPr>
              <w:t>Visual Studio</w:t>
            </w:r>
            <w:r w:rsidR="00700C4B" w:rsidRPr="007B74B7">
              <w:rPr>
                <w:rFonts w:ascii="Tahoma" w:hAnsi="Tahoma" w:cs="Tahoma"/>
                <w:sz w:val="14"/>
                <w:vertAlign w:val="superscript"/>
                <w:lang w:val="it-IT"/>
              </w:rPr>
              <w:t>®</w:t>
            </w:r>
            <w:r w:rsidRPr="007B74B7">
              <w:rPr>
                <w:rFonts w:ascii="Tahoma" w:hAnsi="Tahoma" w:cs="Tahoma"/>
                <w:b w:val="0"/>
                <w:sz w:val="14"/>
                <w:lang w:val="it-IT"/>
              </w:rPr>
              <w:t xml:space="preserve"> Ultimate 2012 con MSDN</w:t>
            </w:r>
            <w:bookmarkEnd w:id="114"/>
            <w:bookmarkEnd w:id="115"/>
          </w:p>
        </w:tc>
        <w:tc>
          <w:tcPr>
            <w:tcW w:w="429" w:type="dxa"/>
            <w:tcBorders>
              <w:bottom w:val="single" w:sz="4" w:space="0" w:color="auto"/>
            </w:tcBorders>
            <w:shd w:val="clear" w:color="auto" w:fill="auto"/>
            <w:vAlign w:val="center"/>
          </w:tcPr>
          <w:p w:rsidR="00CC19FC" w:rsidRPr="00BD7CEA" w:rsidRDefault="006E5080" w:rsidP="00B0065F">
            <w:pPr>
              <w:pStyle w:val="TableText"/>
              <w:widowControl w:val="0"/>
              <w:rPr>
                <w:b/>
                <w:sz w:val="13"/>
                <w:szCs w:val="13"/>
                <w:u w:val="single"/>
              </w:rPr>
            </w:pPr>
            <w:hyperlink w:anchor="_22_Visual_Studio" w:history="1">
              <w:r w:rsidR="00955428" w:rsidRPr="00BD7CEA">
                <w:rPr>
                  <w:rStyle w:val="Hyperlink"/>
                  <w:b/>
                  <w:sz w:val="13"/>
                  <w:szCs w:val="13"/>
                </w:rPr>
                <w:t>22</w:t>
              </w:r>
            </w:hyperlink>
          </w:p>
        </w:tc>
        <w:tc>
          <w:tcPr>
            <w:tcW w:w="429" w:type="dxa"/>
            <w:tcBorders>
              <w:bottom w:val="single" w:sz="4" w:space="0" w:color="auto"/>
            </w:tcBorders>
            <w:shd w:val="clear" w:color="auto" w:fill="auto"/>
            <w:vAlign w:val="center"/>
          </w:tcPr>
          <w:p w:rsidR="00CC19FC" w:rsidRPr="00BD7CEA" w:rsidRDefault="00CC19FC" w:rsidP="00E46F60">
            <w:pPr>
              <w:pStyle w:val="TableText"/>
              <w:spacing w:before="60" w:after="60"/>
              <w:rPr>
                <w:rFonts w:ascii="Tahoma" w:hAnsi="Tahoma" w:cs="Tahoma"/>
                <w:sz w:val="13"/>
              </w:rPr>
            </w:pPr>
            <w:r w:rsidRPr="00BD7CEA">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BD7CEA" w:rsidRDefault="00CC19FC" w:rsidP="0070485B">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BD7CEA" w:rsidRDefault="00CC19FC" w:rsidP="0070485B">
            <w:pPr>
              <w:pStyle w:val="TableText"/>
              <w:rPr>
                <w:rFonts w:ascii="Tahoma" w:hAnsi="Tahoma" w:cs="Tahoma"/>
                <w:sz w:val="13"/>
              </w:rPr>
            </w:pPr>
            <w:r w:rsidRPr="00BD7CEA">
              <w:rPr>
                <w:rFonts w:ascii="Tahoma" w:hAnsi="Tahoma" w:cs="Tahoma"/>
                <w:sz w:val="13"/>
              </w:rPr>
              <w:t>83</w:t>
            </w:r>
          </w:p>
        </w:tc>
        <w:tc>
          <w:tcPr>
            <w:tcW w:w="429" w:type="dxa"/>
            <w:tcBorders>
              <w:bottom w:val="single" w:sz="4" w:space="0" w:color="auto"/>
            </w:tcBorders>
            <w:shd w:val="clear" w:color="auto" w:fill="auto"/>
            <w:vAlign w:val="center"/>
          </w:tcPr>
          <w:p w:rsidR="00CC19FC" w:rsidRPr="00BD7CEA" w:rsidRDefault="00CC19FC" w:rsidP="0070485B">
            <w:pPr>
              <w:pStyle w:val="TableText"/>
              <w:rPr>
                <w:rFonts w:ascii="Tahoma" w:hAnsi="Tahoma" w:cs="Tahoma"/>
                <w:sz w:val="13"/>
              </w:rPr>
            </w:pPr>
            <w:r w:rsidRPr="00BD7CEA">
              <w:rPr>
                <w:rFonts w:ascii="Tahoma" w:hAnsi="Tahoma" w:cs="Tahoma"/>
                <w:sz w:val="13"/>
              </w:rPr>
              <w:t>66</w:t>
            </w:r>
          </w:p>
        </w:tc>
        <w:tc>
          <w:tcPr>
            <w:tcW w:w="429" w:type="dxa"/>
            <w:tcBorders>
              <w:bottom w:val="single" w:sz="4" w:space="0" w:color="auto"/>
            </w:tcBorders>
            <w:shd w:val="clear" w:color="auto" w:fill="auto"/>
            <w:vAlign w:val="center"/>
          </w:tcPr>
          <w:p w:rsidR="00CC19FC" w:rsidRPr="00BD7CEA" w:rsidRDefault="00CC19FC" w:rsidP="0070485B">
            <w:pPr>
              <w:pStyle w:val="TableText"/>
              <w:rPr>
                <w:rFonts w:ascii="Tahoma" w:hAnsi="Tahoma" w:cs="Tahoma"/>
                <w:sz w:val="13"/>
              </w:rPr>
            </w:pPr>
            <w:r w:rsidRPr="00BD7CEA">
              <w:rPr>
                <w:rFonts w:ascii="Tahoma" w:hAnsi="Tahoma" w:cs="Tahoma"/>
                <w:sz w:val="13"/>
              </w:rPr>
              <w:t>50</w:t>
            </w:r>
          </w:p>
        </w:tc>
        <w:tc>
          <w:tcPr>
            <w:tcW w:w="429" w:type="dxa"/>
            <w:tcBorders>
              <w:bottom w:val="single" w:sz="4" w:space="0" w:color="auto"/>
            </w:tcBorders>
            <w:shd w:val="clear" w:color="auto" w:fill="auto"/>
            <w:vAlign w:val="center"/>
          </w:tcPr>
          <w:p w:rsidR="00CC19FC" w:rsidRPr="00BD7CEA" w:rsidRDefault="00CC19FC" w:rsidP="0070485B">
            <w:pPr>
              <w:pStyle w:val="TableText"/>
              <w:rPr>
                <w:rFonts w:ascii="Tahoma" w:hAnsi="Tahoma" w:cs="Tahoma"/>
                <w:sz w:val="13"/>
              </w:rPr>
            </w:pPr>
            <w:r w:rsidRPr="00BD7CEA">
              <w:rPr>
                <w:rFonts w:ascii="Tahoma" w:hAnsi="Tahoma" w:cs="Tahoma"/>
                <w:sz w:val="13"/>
              </w:rPr>
              <w:t>50</w:t>
            </w:r>
          </w:p>
        </w:tc>
        <w:tc>
          <w:tcPr>
            <w:tcW w:w="429" w:type="dxa"/>
            <w:tcBorders>
              <w:bottom w:val="single" w:sz="4" w:space="0" w:color="auto"/>
            </w:tcBorders>
            <w:shd w:val="clear" w:color="auto" w:fill="auto"/>
            <w:vAlign w:val="center"/>
          </w:tcPr>
          <w:p w:rsidR="00CC19FC" w:rsidRPr="00BD7CEA" w:rsidRDefault="00CC19FC" w:rsidP="0070485B">
            <w:pPr>
              <w:pStyle w:val="TableText"/>
              <w:rPr>
                <w:rFonts w:ascii="Tahoma" w:hAnsi="Tahoma" w:cs="Tahoma"/>
                <w:sz w:val="13"/>
              </w:rPr>
            </w:pPr>
            <w:r w:rsidRPr="00BD7CEA">
              <w:rPr>
                <w:rFonts w:ascii="Tahoma" w:hAnsi="Tahoma" w:cs="Tahoma"/>
                <w:sz w:val="13"/>
              </w:rPr>
              <w:t>33</w:t>
            </w:r>
          </w:p>
        </w:tc>
        <w:tc>
          <w:tcPr>
            <w:tcW w:w="429" w:type="dxa"/>
            <w:tcBorders>
              <w:bottom w:val="single" w:sz="4" w:space="0" w:color="auto"/>
              <w:right w:val="single" w:sz="18" w:space="0" w:color="auto"/>
            </w:tcBorders>
            <w:shd w:val="clear" w:color="auto" w:fill="auto"/>
            <w:vAlign w:val="center"/>
          </w:tcPr>
          <w:p w:rsidR="00CC19FC" w:rsidRPr="00BD7CEA" w:rsidRDefault="00CC19FC" w:rsidP="0070485B">
            <w:pPr>
              <w:pStyle w:val="TableText"/>
              <w:rPr>
                <w:rFonts w:ascii="Tahoma" w:hAnsi="Tahoma" w:cs="Tahoma"/>
                <w:sz w:val="13"/>
              </w:rPr>
            </w:pPr>
            <w:r w:rsidRPr="00BD7CEA">
              <w:rPr>
                <w:rFonts w:ascii="Tahoma" w:hAnsi="Tahoma" w:cs="Tahoma"/>
                <w:sz w:val="13"/>
              </w:rPr>
              <w:t>17</w:t>
            </w:r>
          </w:p>
        </w:tc>
        <w:tc>
          <w:tcPr>
            <w:tcW w:w="429" w:type="dxa"/>
            <w:tcBorders>
              <w:left w:val="single" w:sz="18" w:space="0" w:color="auto"/>
              <w:bottom w:val="single" w:sz="4" w:space="0" w:color="auto"/>
            </w:tcBorders>
            <w:shd w:val="clear" w:color="auto" w:fill="auto"/>
            <w:vAlign w:val="center"/>
          </w:tcPr>
          <w:p w:rsidR="00CC19FC" w:rsidRPr="00BD7CEA" w:rsidRDefault="00CC19FC" w:rsidP="0070485B">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BD7CEA" w:rsidRDefault="00CC19FC" w:rsidP="0070485B">
            <w:pPr>
              <w:pStyle w:val="TableText"/>
              <w:rPr>
                <w:rFonts w:ascii="Tahoma" w:hAnsi="Tahoma" w:cs="Tahoma"/>
                <w:sz w:val="13"/>
              </w:rPr>
            </w:pPr>
            <w:r w:rsidRPr="00BD7CEA">
              <w:rPr>
                <w:rFonts w:ascii="Tahoma" w:hAnsi="Tahoma" w:cs="Tahoma"/>
                <w:sz w:val="13"/>
              </w:rPr>
              <w:t>66</w:t>
            </w:r>
          </w:p>
        </w:tc>
        <w:tc>
          <w:tcPr>
            <w:tcW w:w="429" w:type="dxa"/>
            <w:tcBorders>
              <w:bottom w:val="single" w:sz="4" w:space="0" w:color="auto"/>
              <w:right w:val="single" w:sz="18" w:space="0" w:color="auto"/>
            </w:tcBorders>
            <w:shd w:val="clear" w:color="auto" w:fill="auto"/>
            <w:vAlign w:val="center"/>
          </w:tcPr>
          <w:p w:rsidR="00CC19FC" w:rsidRPr="00BD7CEA" w:rsidRDefault="00CC19FC" w:rsidP="0070485B">
            <w:pPr>
              <w:pStyle w:val="TableText"/>
              <w:rPr>
                <w:rFonts w:ascii="Tahoma" w:hAnsi="Tahoma" w:cs="Tahoma"/>
                <w:sz w:val="13"/>
              </w:rPr>
            </w:pPr>
            <w:r w:rsidRPr="00BD7CEA">
              <w:rPr>
                <w:rFonts w:ascii="Tahoma" w:hAnsi="Tahoma" w:cs="Tahoma"/>
                <w:sz w:val="13"/>
              </w:rPr>
              <w:t>33</w:t>
            </w:r>
          </w:p>
        </w:tc>
        <w:tc>
          <w:tcPr>
            <w:tcW w:w="429" w:type="dxa"/>
            <w:tcBorders>
              <w:left w:val="single" w:sz="18" w:space="0" w:color="auto"/>
              <w:bottom w:val="single" w:sz="4" w:space="0" w:color="auto"/>
            </w:tcBorders>
            <w:shd w:val="clear" w:color="auto" w:fill="auto"/>
            <w:vAlign w:val="center"/>
          </w:tcPr>
          <w:p w:rsidR="00CC19FC" w:rsidRPr="00BD7CEA" w:rsidRDefault="00CC19FC" w:rsidP="0070485B">
            <w:pPr>
              <w:pStyle w:val="TableText"/>
              <w:rPr>
                <w:rFonts w:ascii="Tahoma" w:hAnsi="Tahoma" w:cs="Tahoma"/>
                <w:sz w:val="13"/>
              </w:rPr>
            </w:pPr>
            <w:r w:rsidRPr="00BD7CEA">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BD7CEA" w:rsidRDefault="00CC19FC" w:rsidP="0070485B">
            <w:pPr>
              <w:pStyle w:val="TableText"/>
              <w:rPr>
                <w:rFonts w:ascii="Tahoma" w:hAnsi="Tahoma" w:cs="Tahoma"/>
                <w:sz w:val="13"/>
              </w:rPr>
            </w:pPr>
            <w:r w:rsidRPr="00BD7CEA">
              <w:rPr>
                <w:rFonts w:ascii="Tahoma" w:hAnsi="Tahoma" w:cs="Tahoma"/>
                <w:sz w:val="13"/>
              </w:rPr>
              <w:t>A,S</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BD7CEA" w:rsidRDefault="00CC19FC" w:rsidP="0070485B">
            <w:pPr>
              <w:pStyle w:val="TableText"/>
              <w:rPr>
                <w:rFonts w:ascii="Tahoma" w:hAnsi="Tahoma" w:cs="Tahoma"/>
                <w:sz w:val="13"/>
              </w:rPr>
            </w:pPr>
            <w:r w:rsidRPr="00BD7CEA">
              <w:rPr>
                <w:rFonts w:ascii="Tahoma" w:hAnsi="Tahoma" w:cs="Tahoma"/>
                <w:sz w:val="13"/>
              </w:rPr>
              <w:t>P</w:t>
            </w:r>
          </w:p>
        </w:tc>
        <w:tc>
          <w:tcPr>
            <w:tcW w:w="514" w:type="dxa"/>
            <w:tcBorders>
              <w:bottom w:val="single" w:sz="4" w:space="0" w:color="auto"/>
            </w:tcBorders>
            <w:shd w:val="clear" w:color="auto" w:fill="auto"/>
            <w:vAlign w:val="center"/>
          </w:tcPr>
          <w:p w:rsidR="00CC19FC" w:rsidRPr="00BD7CEA" w:rsidRDefault="00CC19FC" w:rsidP="0070485B">
            <w:pPr>
              <w:pStyle w:val="TableText"/>
              <w:rPr>
                <w:rFonts w:ascii="Tahoma" w:hAnsi="Tahoma" w:cs="Tahoma"/>
                <w:sz w:val="13"/>
              </w:rPr>
            </w:pPr>
            <w:r w:rsidRPr="00BD7CEA">
              <w:rPr>
                <w:rFonts w:ascii="Tahoma" w:hAnsi="Tahoma" w:cs="Tahoma"/>
                <w:sz w:val="13"/>
              </w:rPr>
              <w:t>A</w:t>
            </w:r>
          </w:p>
        </w:tc>
        <w:tc>
          <w:tcPr>
            <w:tcW w:w="514" w:type="dxa"/>
            <w:tcBorders>
              <w:bottom w:val="single" w:sz="4" w:space="0" w:color="auto"/>
            </w:tcBorders>
            <w:shd w:val="clear" w:color="auto" w:fill="auto"/>
            <w:vAlign w:val="center"/>
          </w:tcPr>
          <w:p w:rsidR="00CC19FC" w:rsidRPr="00BD7CEA" w:rsidRDefault="00CC19FC" w:rsidP="0070485B">
            <w:pPr>
              <w:pStyle w:val="TableText"/>
            </w:pPr>
            <w:r w:rsidRPr="00BD7CEA">
              <w:rPr>
                <w:rFonts w:ascii="Tahoma" w:hAnsi="Tahoma" w:cs="Tahoma"/>
                <w:sz w:val="13"/>
              </w:rPr>
              <w:t>OL/SA/</w:t>
            </w:r>
          </w:p>
          <w:p w:rsidR="00CC19FC" w:rsidRPr="00BD7CEA" w:rsidRDefault="00CC19FC" w:rsidP="0070485B">
            <w:pPr>
              <w:pStyle w:val="TableText"/>
              <w:rPr>
                <w:rFonts w:ascii="Tahoma" w:hAnsi="Tahoma" w:cs="Tahoma"/>
                <w:sz w:val="13"/>
              </w:rPr>
            </w:pPr>
            <w:r w:rsidRPr="00BD7CEA">
              <w:rPr>
                <w:rFonts w:ascii="Tahoma" w:hAnsi="Tahoma" w:cs="Tahoma"/>
                <w:sz w:val="13"/>
              </w:rPr>
              <w:t>OV</w:t>
            </w:r>
          </w:p>
        </w:tc>
      </w:tr>
      <w:tr w:rsidR="00EF228F" w:rsidRPr="00BD7CEA" w:rsidTr="00C60100">
        <w:trPr>
          <w:cantSplit/>
          <w:trHeight w:val="145"/>
        </w:trPr>
        <w:tc>
          <w:tcPr>
            <w:tcW w:w="2638" w:type="dxa"/>
            <w:tcBorders>
              <w:bottom w:val="single" w:sz="4" w:space="0" w:color="auto"/>
            </w:tcBorders>
            <w:shd w:val="clear" w:color="auto" w:fill="FABF8F"/>
          </w:tcPr>
          <w:p w:rsidR="00CC19FC" w:rsidRPr="00BD7CEA" w:rsidRDefault="00CC19FC" w:rsidP="003E3E1F">
            <w:pPr>
              <w:pStyle w:val="Heading2"/>
              <w:spacing w:beforeLines="20" w:before="48" w:afterLines="20" w:after="48"/>
              <w:ind w:left="0"/>
              <w:rPr>
                <w:rFonts w:ascii="Tahoma" w:hAnsi="Tahoma" w:cs="Tahoma"/>
                <w:b w:val="0"/>
                <w:sz w:val="14"/>
              </w:rPr>
            </w:pPr>
            <w:bookmarkStart w:id="116" w:name="_Toc336337893"/>
            <w:bookmarkStart w:id="117" w:name="_Toc353375677"/>
            <w:r w:rsidRPr="00BD7CEA">
              <w:rPr>
                <w:rFonts w:ascii="Tahoma" w:hAnsi="Tahoma" w:cs="Tahoma"/>
                <w:b w:val="0"/>
                <w:sz w:val="14"/>
              </w:rPr>
              <w:t>Visual Studio</w:t>
            </w:r>
            <w:r w:rsidR="00700C4B" w:rsidRPr="00BD7CEA">
              <w:rPr>
                <w:rFonts w:ascii="Tahoma" w:hAnsi="Tahoma" w:cs="Tahoma"/>
                <w:sz w:val="14"/>
                <w:vertAlign w:val="superscript"/>
              </w:rPr>
              <w:t>®</w:t>
            </w:r>
            <w:r w:rsidRPr="00BD7CEA">
              <w:rPr>
                <w:rFonts w:ascii="Tahoma" w:hAnsi="Tahoma" w:cs="Tahoma"/>
                <w:b w:val="0"/>
                <w:sz w:val="14"/>
              </w:rPr>
              <w:t xml:space="preserve"> Test Professional 2012 con</w:t>
            </w:r>
            <w:r w:rsidR="003E3E1F" w:rsidRPr="00BD7CEA">
              <w:rPr>
                <w:rFonts w:ascii="Tahoma" w:hAnsi="Tahoma" w:cs="Tahoma"/>
                <w:b w:val="0"/>
                <w:sz w:val="14"/>
              </w:rPr>
              <w:t> </w:t>
            </w:r>
            <w:r w:rsidRPr="00BD7CEA">
              <w:rPr>
                <w:rFonts w:ascii="Tahoma" w:hAnsi="Tahoma" w:cs="Tahoma"/>
                <w:b w:val="0"/>
                <w:sz w:val="14"/>
              </w:rPr>
              <w:t>MSDN</w:t>
            </w:r>
            <w:bookmarkEnd w:id="116"/>
            <w:bookmarkEnd w:id="117"/>
          </w:p>
        </w:tc>
        <w:tc>
          <w:tcPr>
            <w:tcW w:w="429" w:type="dxa"/>
            <w:tcBorders>
              <w:bottom w:val="single" w:sz="4" w:space="0" w:color="auto"/>
            </w:tcBorders>
            <w:shd w:val="clear" w:color="auto" w:fill="FABF8F"/>
            <w:vAlign w:val="center"/>
          </w:tcPr>
          <w:p w:rsidR="00CC19FC" w:rsidRPr="00BD7CEA" w:rsidRDefault="006E5080" w:rsidP="00B0065F">
            <w:pPr>
              <w:pStyle w:val="TableText"/>
              <w:widowControl w:val="0"/>
              <w:rPr>
                <w:b/>
                <w:sz w:val="13"/>
                <w:szCs w:val="13"/>
                <w:u w:val="single"/>
              </w:rPr>
            </w:pPr>
            <w:hyperlink w:anchor="_23_Visual_Studio" w:history="1">
              <w:r w:rsidR="00955428" w:rsidRPr="00BD7CEA">
                <w:rPr>
                  <w:rStyle w:val="Hyperlink"/>
                  <w:b/>
                  <w:sz w:val="13"/>
                  <w:szCs w:val="13"/>
                </w:rPr>
                <w:t>23</w:t>
              </w:r>
            </w:hyperlink>
          </w:p>
        </w:tc>
        <w:tc>
          <w:tcPr>
            <w:tcW w:w="429" w:type="dxa"/>
            <w:tcBorders>
              <w:bottom w:val="single" w:sz="4" w:space="0" w:color="auto"/>
            </w:tcBorders>
            <w:shd w:val="clear" w:color="auto" w:fill="FABF8F"/>
            <w:vAlign w:val="center"/>
          </w:tcPr>
          <w:p w:rsidR="00CC19FC" w:rsidRPr="00BD7CEA" w:rsidRDefault="00CC19FC" w:rsidP="00E46F60">
            <w:pPr>
              <w:pStyle w:val="TableText"/>
              <w:spacing w:before="60" w:after="60"/>
              <w:rPr>
                <w:rFonts w:ascii="Tahoma" w:hAnsi="Tahoma" w:cs="Tahoma"/>
                <w:sz w:val="13"/>
              </w:rPr>
            </w:pPr>
            <w:r w:rsidRPr="00BD7CEA">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BD7CEA" w:rsidRDefault="00CC19FC" w:rsidP="0070485B">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BD7CEA" w:rsidRDefault="00CC19FC" w:rsidP="0070485B">
            <w:pPr>
              <w:pStyle w:val="TableText"/>
              <w:rPr>
                <w:rFonts w:ascii="Tahoma" w:hAnsi="Tahoma" w:cs="Tahoma"/>
                <w:sz w:val="13"/>
              </w:rPr>
            </w:pPr>
            <w:r w:rsidRPr="00BD7CEA">
              <w:rPr>
                <w:rFonts w:ascii="Tahoma" w:hAnsi="Tahoma" w:cs="Tahoma"/>
                <w:sz w:val="13"/>
              </w:rPr>
              <w:t>15</w:t>
            </w:r>
          </w:p>
        </w:tc>
        <w:tc>
          <w:tcPr>
            <w:tcW w:w="429" w:type="dxa"/>
            <w:tcBorders>
              <w:bottom w:val="single" w:sz="4" w:space="0" w:color="auto"/>
            </w:tcBorders>
            <w:shd w:val="clear" w:color="auto" w:fill="FABF8F"/>
            <w:vAlign w:val="center"/>
          </w:tcPr>
          <w:p w:rsidR="00CC19FC" w:rsidRPr="00BD7CEA" w:rsidRDefault="00CC19FC" w:rsidP="0070485B">
            <w:pPr>
              <w:pStyle w:val="TableText"/>
              <w:rPr>
                <w:rFonts w:ascii="Tahoma" w:hAnsi="Tahoma" w:cs="Tahoma"/>
                <w:sz w:val="13"/>
              </w:rPr>
            </w:pPr>
            <w:r w:rsidRPr="00BD7CEA">
              <w:rPr>
                <w:rFonts w:ascii="Tahoma" w:hAnsi="Tahoma" w:cs="Tahoma"/>
                <w:sz w:val="13"/>
              </w:rPr>
              <w:t>12</w:t>
            </w:r>
          </w:p>
        </w:tc>
        <w:tc>
          <w:tcPr>
            <w:tcW w:w="429" w:type="dxa"/>
            <w:tcBorders>
              <w:bottom w:val="single" w:sz="4" w:space="0" w:color="auto"/>
            </w:tcBorders>
            <w:shd w:val="clear" w:color="auto" w:fill="FABF8F"/>
            <w:vAlign w:val="center"/>
          </w:tcPr>
          <w:p w:rsidR="00CC19FC" w:rsidRPr="00BD7CEA" w:rsidRDefault="00CC19FC" w:rsidP="0070485B">
            <w:pPr>
              <w:pStyle w:val="TableText"/>
              <w:rPr>
                <w:rFonts w:ascii="Tahoma" w:hAnsi="Tahoma" w:cs="Tahoma"/>
                <w:sz w:val="13"/>
              </w:rPr>
            </w:pPr>
            <w:r w:rsidRPr="00BD7CEA">
              <w:rPr>
                <w:rFonts w:ascii="Tahoma" w:hAnsi="Tahoma" w:cs="Tahoma"/>
                <w:sz w:val="13"/>
              </w:rPr>
              <w:t>9</w:t>
            </w:r>
          </w:p>
        </w:tc>
        <w:tc>
          <w:tcPr>
            <w:tcW w:w="429" w:type="dxa"/>
            <w:tcBorders>
              <w:bottom w:val="single" w:sz="4" w:space="0" w:color="auto"/>
            </w:tcBorders>
            <w:shd w:val="clear" w:color="auto" w:fill="FABF8F"/>
            <w:vAlign w:val="center"/>
          </w:tcPr>
          <w:p w:rsidR="00CC19FC" w:rsidRPr="00BD7CEA" w:rsidRDefault="00CC19FC" w:rsidP="0070485B">
            <w:pPr>
              <w:pStyle w:val="TableText"/>
              <w:rPr>
                <w:rFonts w:ascii="Tahoma" w:hAnsi="Tahoma" w:cs="Tahoma"/>
                <w:sz w:val="13"/>
              </w:rPr>
            </w:pPr>
            <w:r w:rsidRPr="00BD7CEA">
              <w:rPr>
                <w:rFonts w:ascii="Tahoma" w:hAnsi="Tahoma" w:cs="Tahoma"/>
                <w:sz w:val="13"/>
              </w:rPr>
              <w:t>9</w:t>
            </w:r>
          </w:p>
        </w:tc>
        <w:tc>
          <w:tcPr>
            <w:tcW w:w="429" w:type="dxa"/>
            <w:tcBorders>
              <w:bottom w:val="single" w:sz="4" w:space="0" w:color="auto"/>
            </w:tcBorders>
            <w:shd w:val="clear" w:color="auto" w:fill="FABF8F"/>
            <w:vAlign w:val="center"/>
          </w:tcPr>
          <w:p w:rsidR="00CC19FC" w:rsidRPr="00BD7CEA" w:rsidRDefault="00CC19FC" w:rsidP="0070485B">
            <w:pPr>
              <w:pStyle w:val="TableText"/>
              <w:rPr>
                <w:rFonts w:ascii="Tahoma" w:hAnsi="Tahoma" w:cs="Tahoma"/>
                <w:sz w:val="13"/>
              </w:rPr>
            </w:pPr>
            <w:r w:rsidRPr="00BD7CEA">
              <w:rPr>
                <w:rFonts w:ascii="Tahoma" w:hAnsi="Tahoma" w:cs="Tahoma"/>
                <w:sz w:val="13"/>
              </w:rPr>
              <w:t>6</w:t>
            </w:r>
          </w:p>
        </w:tc>
        <w:tc>
          <w:tcPr>
            <w:tcW w:w="429" w:type="dxa"/>
            <w:tcBorders>
              <w:bottom w:val="single" w:sz="4" w:space="0" w:color="auto"/>
              <w:right w:val="single" w:sz="18" w:space="0" w:color="auto"/>
            </w:tcBorders>
            <w:shd w:val="clear" w:color="auto" w:fill="FABF8F"/>
            <w:vAlign w:val="center"/>
          </w:tcPr>
          <w:p w:rsidR="00CC19FC" w:rsidRPr="00BD7CEA" w:rsidRDefault="00CC19FC" w:rsidP="0070485B">
            <w:pPr>
              <w:pStyle w:val="TableText"/>
              <w:rPr>
                <w:rFonts w:ascii="Tahoma" w:hAnsi="Tahoma" w:cs="Tahoma"/>
                <w:sz w:val="13"/>
              </w:rPr>
            </w:pPr>
            <w:r w:rsidRPr="00BD7CEA">
              <w:rPr>
                <w:rFonts w:ascii="Tahoma" w:hAnsi="Tahoma" w:cs="Tahoma"/>
                <w:sz w:val="13"/>
              </w:rPr>
              <w:t>3</w:t>
            </w:r>
          </w:p>
        </w:tc>
        <w:tc>
          <w:tcPr>
            <w:tcW w:w="429" w:type="dxa"/>
            <w:tcBorders>
              <w:left w:val="single" w:sz="18" w:space="0" w:color="auto"/>
              <w:bottom w:val="single" w:sz="4" w:space="0" w:color="auto"/>
            </w:tcBorders>
            <w:shd w:val="clear" w:color="auto" w:fill="FABF8F"/>
            <w:vAlign w:val="center"/>
          </w:tcPr>
          <w:p w:rsidR="00CC19FC" w:rsidRPr="00BD7CEA" w:rsidRDefault="00CC19FC" w:rsidP="0070485B">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BD7CEA" w:rsidRDefault="00CC19FC" w:rsidP="0070485B">
            <w:pPr>
              <w:pStyle w:val="TableText"/>
              <w:rPr>
                <w:rFonts w:ascii="Tahoma" w:hAnsi="Tahoma" w:cs="Tahoma"/>
                <w:sz w:val="13"/>
              </w:rPr>
            </w:pPr>
            <w:r w:rsidRPr="00BD7CEA">
              <w:rPr>
                <w:rFonts w:ascii="Tahoma" w:hAnsi="Tahoma" w:cs="Tahoma"/>
                <w:sz w:val="13"/>
              </w:rPr>
              <w:t>12</w:t>
            </w:r>
          </w:p>
        </w:tc>
        <w:tc>
          <w:tcPr>
            <w:tcW w:w="429" w:type="dxa"/>
            <w:tcBorders>
              <w:bottom w:val="single" w:sz="4" w:space="0" w:color="auto"/>
              <w:right w:val="single" w:sz="18" w:space="0" w:color="auto"/>
            </w:tcBorders>
            <w:shd w:val="clear" w:color="auto" w:fill="FABF8F"/>
            <w:vAlign w:val="center"/>
          </w:tcPr>
          <w:p w:rsidR="00CC19FC" w:rsidRPr="00BD7CEA" w:rsidRDefault="00CC19FC" w:rsidP="0070485B">
            <w:pPr>
              <w:pStyle w:val="TableText"/>
              <w:rPr>
                <w:rFonts w:ascii="Tahoma" w:hAnsi="Tahoma" w:cs="Tahoma"/>
                <w:sz w:val="13"/>
              </w:rPr>
            </w:pPr>
            <w:r w:rsidRPr="00BD7CEA">
              <w:rPr>
                <w:rFonts w:ascii="Tahoma" w:hAnsi="Tahoma" w:cs="Tahoma"/>
                <w:sz w:val="13"/>
              </w:rPr>
              <w:t>6</w:t>
            </w:r>
          </w:p>
        </w:tc>
        <w:tc>
          <w:tcPr>
            <w:tcW w:w="429" w:type="dxa"/>
            <w:tcBorders>
              <w:left w:val="single" w:sz="18" w:space="0" w:color="auto"/>
              <w:bottom w:val="single" w:sz="4" w:space="0" w:color="auto"/>
            </w:tcBorders>
            <w:shd w:val="clear" w:color="auto" w:fill="FABF8F"/>
            <w:vAlign w:val="center"/>
          </w:tcPr>
          <w:p w:rsidR="00CC19FC" w:rsidRPr="00BD7CEA" w:rsidRDefault="00CC19FC" w:rsidP="0070485B">
            <w:pPr>
              <w:pStyle w:val="TableText"/>
              <w:rPr>
                <w:rFonts w:ascii="Tahoma" w:hAnsi="Tahoma" w:cs="Tahoma"/>
                <w:sz w:val="13"/>
              </w:rPr>
            </w:pPr>
            <w:r w:rsidRPr="00BD7CEA">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BD7CEA" w:rsidRDefault="00CC19FC" w:rsidP="0070485B">
            <w:pPr>
              <w:pStyle w:val="TableText"/>
              <w:rPr>
                <w:rFonts w:ascii="Tahoma" w:hAnsi="Tahoma" w:cs="Tahoma"/>
                <w:sz w:val="13"/>
              </w:rPr>
            </w:pPr>
            <w:r w:rsidRPr="00BD7CEA">
              <w:rPr>
                <w:rFonts w:ascii="Tahoma" w:hAnsi="Tahoma" w:cs="Tahoma"/>
                <w:sz w:val="13"/>
              </w:rPr>
              <w:t>A,S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BD7CEA" w:rsidRDefault="00CC19FC" w:rsidP="0070485B">
            <w:pPr>
              <w:pStyle w:val="TableText"/>
              <w:rPr>
                <w:rFonts w:ascii="Tahoma" w:hAnsi="Tahoma" w:cs="Tahoma"/>
                <w:sz w:val="13"/>
              </w:rPr>
            </w:pPr>
            <w:r w:rsidRPr="00BD7CEA">
              <w:rPr>
                <w:rFonts w:ascii="Tahoma" w:hAnsi="Tahoma" w:cs="Tahoma"/>
                <w:sz w:val="13"/>
              </w:rPr>
              <w:t>P</w:t>
            </w:r>
          </w:p>
        </w:tc>
        <w:tc>
          <w:tcPr>
            <w:tcW w:w="514" w:type="dxa"/>
            <w:tcBorders>
              <w:bottom w:val="single" w:sz="4" w:space="0" w:color="auto"/>
            </w:tcBorders>
            <w:shd w:val="clear" w:color="auto" w:fill="FABF8F"/>
            <w:vAlign w:val="center"/>
          </w:tcPr>
          <w:p w:rsidR="00CC19FC" w:rsidRPr="00BD7CEA" w:rsidRDefault="00CC19FC" w:rsidP="0070485B">
            <w:pPr>
              <w:pStyle w:val="TableText"/>
              <w:rPr>
                <w:rFonts w:ascii="Tahoma" w:hAnsi="Tahoma" w:cs="Tahoma"/>
                <w:sz w:val="13"/>
              </w:rPr>
            </w:pPr>
            <w:r w:rsidRPr="00BD7CEA">
              <w:rPr>
                <w:rFonts w:ascii="Tahoma" w:hAnsi="Tahoma" w:cs="Tahoma"/>
                <w:sz w:val="13"/>
              </w:rPr>
              <w:t>A</w:t>
            </w:r>
          </w:p>
        </w:tc>
        <w:tc>
          <w:tcPr>
            <w:tcW w:w="514" w:type="dxa"/>
            <w:tcBorders>
              <w:bottom w:val="single" w:sz="4" w:space="0" w:color="auto"/>
            </w:tcBorders>
            <w:shd w:val="clear" w:color="auto" w:fill="FABF8F"/>
            <w:vAlign w:val="center"/>
          </w:tcPr>
          <w:p w:rsidR="00CC19FC" w:rsidRPr="00BD7CEA" w:rsidRDefault="00CC19FC" w:rsidP="0070485B">
            <w:pPr>
              <w:pStyle w:val="TableText"/>
            </w:pPr>
            <w:r w:rsidRPr="00BD7CEA">
              <w:rPr>
                <w:rFonts w:ascii="Tahoma" w:hAnsi="Tahoma" w:cs="Tahoma"/>
                <w:sz w:val="13"/>
              </w:rPr>
              <w:t>OL/SA/</w:t>
            </w:r>
          </w:p>
          <w:p w:rsidR="00CC19FC" w:rsidRPr="00BD7CEA" w:rsidRDefault="00CC19FC" w:rsidP="0070485B">
            <w:pPr>
              <w:pStyle w:val="TableText"/>
              <w:rPr>
                <w:rFonts w:ascii="Tahoma" w:hAnsi="Tahoma" w:cs="Tahoma"/>
                <w:sz w:val="13"/>
              </w:rPr>
            </w:pPr>
            <w:r w:rsidRPr="00BD7CEA">
              <w:rPr>
                <w:rFonts w:ascii="Tahoma" w:hAnsi="Tahoma" w:cs="Tahoma"/>
                <w:sz w:val="13"/>
              </w:rPr>
              <w:t>OV</w:t>
            </w:r>
          </w:p>
        </w:tc>
      </w:tr>
      <w:tr w:rsidR="00B33D0E" w:rsidRPr="00BD7CEA" w:rsidTr="007E466C">
        <w:trPr>
          <w:cantSplit/>
          <w:trHeight w:val="70"/>
        </w:trPr>
        <w:tc>
          <w:tcPr>
            <w:tcW w:w="2638" w:type="dxa"/>
            <w:tcBorders>
              <w:bottom w:val="single" w:sz="4" w:space="0" w:color="auto"/>
            </w:tcBorders>
            <w:shd w:val="clear" w:color="auto" w:fill="auto"/>
          </w:tcPr>
          <w:p w:rsidR="00CC19FC" w:rsidRPr="00BD7CEA" w:rsidRDefault="00CC19FC" w:rsidP="00E215F4">
            <w:pPr>
              <w:pStyle w:val="Heading2"/>
              <w:spacing w:beforeLines="20" w:before="48" w:afterLines="20" w:after="48"/>
              <w:ind w:left="0"/>
              <w:rPr>
                <w:rFonts w:ascii="Tahoma" w:hAnsi="Tahoma" w:cs="Tahoma"/>
                <w:b w:val="0"/>
                <w:sz w:val="14"/>
              </w:rPr>
            </w:pPr>
            <w:bookmarkStart w:id="118" w:name="_Toc336337894"/>
            <w:bookmarkStart w:id="119" w:name="_Toc353375678"/>
            <w:r w:rsidRPr="00BD7CEA">
              <w:rPr>
                <w:rFonts w:ascii="Tahoma" w:hAnsi="Tahoma" w:cs="Tahoma"/>
                <w:b w:val="0"/>
                <w:sz w:val="14"/>
              </w:rPr>
              <w:t xml:space="preserve">Word </w:t>
            </w:r>
            <w:bookmarkEnd w:id="118"/>
            <w:r w:rsidRPr="00BD7CEA">
              <w:rPr>
                <w:rFonts w:ascii="Tahoma" w:hAnsi="Tahoma" w:cs="Tahoma"/>
                <w:b w:val="0"/>
                <w:sz w:val="14"/>
              </w:rPr>
              <w:t>2013</w:t>
            </w:r>
            <w:bookmarkEnd w:id="119"/>
          </w:p>
        </w:tc>
        <w:tc>
          <w:tcPr>
            <w:tcW w:w="429" w:type="dxa"/>
            <w:tcBorders>
              <w:bottom w:val="single" w:sz="4" w:space="0" w:color="auto"/>
            </w:tcBorders>
            <w:shd w:val="clear" w:color="auto" w:fill="auto"/>
            <w:vAlign w:val="center"/>
          </w:tcPr>
          <w:p w:rsidR="00CC19FC" w:rsidRPr="00BD7CEA" w:rsidRDefault="00CC19FC" w:rsidP="00F62B9E">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auto"/>
            <w:vAlign w:val="center"/>
          </w:tcPr>
          <w:p w:rsidR="00CC19FC" w:rsidRPr="00BD7CEA" w:rsidRDefault="00CC19FC" w:rsidP="004941B2">
            <w:pPr>
              <w:pStyle w:val="TableText"/>
              <w:spacing w:before="60" w:after="60"/>
              <w:rPr>
                <w:rFonts w:ascii="Tahoma" w:hAnsi="Tahoma" w:cs="Tahoma"/>
                <w:sz w:val="13"/>
              </w:rPr>
            </w:pPr>
            <w:r w:rsidRPr="00BD7CEA">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BD7CEA" w:rsidRDefault="00CC19FC" w:rsidP="004B3534">
            <w:pPr>
              <w:pStyle w:val="TableText"/>
              <w:spacing w:after="120"/>
              <w:rPr>
                <w:rFonts w:ascii="Tahoma" w:hAnsi="Tahoma" w:cs="Tahoma"/>
                <w:sz w:val="13"/>
              </w:rPr>
            </w:pPr>
            <w:r w:rsidRPr="00BD7CEA">
              <w:rPr>
                <w:rFonts w:ascii="Tahoma" w:hAnsi="Tahoma" w:cs="Tahoma"/>
                <w:sz w:val="13"/>
              </w:rPr>
              <w:t>1</w:t>
            </w:r>
          </w:p>
        </w:tc>
        <w:tc>
          <w:tcPr>
            <w:tcW w:w="429" w:type="dxa"/>
            <w:tcBorders>
              <w:bottom w:val="single" w:sz="4" w:space="0" w:color="auto"/>
            </w:tcBorders>
            <w:shd w:val="clear" w:color="auto" w:fill="auto"/>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3</w:t>
            </w:r>
          </w:p>
        </w:tc>
        <w:tc>
          <w:tcPr>
            <w:tcW w:w="429" w:type="dxa"/>
            <w:tcBorders>
              <w:bottom w:val="single" w:sz="4" w:space="0" w:color="auto"/>
            </w:tcBorders>
            <w:shd w:val="clear" w:color="auto" w:fill="auto"/>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2</w:t>
            </w:r>
          </w:p>
        </w:tc>
        <w:tc>
          <w:tcPr>
            <w:tcW w:w="429" w:type="dxa"/>
            <w:tcBorders>
              <w:bottom w:val="single" w:sz="4" w:space="0" w:color="auto"/>
            </w:tcBorders>
            <w:shd w:val="clear" w:color="auto" w:fill="auto"/>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2</w:t>
            </w:r>
          </w:p>
        </w:tc>
        <w:tc>
          <w:tcPr>
            <w:tcW w:w="429" w:type="dxa"/>
            <w:tcBorders>
              <w:bottom w:val="single" w:sz="4" w:space="0" w:color="auto"/>
            </w:tcBorders>
            <w:shd w:val="clear" w:color="auto" w:fill="auto"/>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2</w:t>
            </w:r>
          </w:p>
        </w:tc>
        <w:tc>
          <w:tcPr>
            <w:tcW w:w="429" w:type="dxa"/>
            <w:tcBorders>
              <w:bottom w:val="single" w:sz="4" w:space="0" w:color="auto"/>
            </w:tcBorders>
            <w:shd w:val="clear" w:color="auto" w:fill="auto"/>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1</w:t>
            </w:r>
          </w:p>
        </w:tc>
        <w:tc>
          <w:tcPr>
            <w:tcW w:w="429" w:type="dxa"/>
            <w:tcBorders>
              <w:bottom w:val="single" w:sz="4" w:space="0" w:color="auto"/>
            </w:tcBorders>
            <w:shd w:val="clear" w:color="auto" w:fill="auto"/>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BD7CEA"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BD7CEA"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P</w:t>
            </w:r>
          </w:p>
        </w:tc>
        <w:tc>
          <w:tcPr>
            <w:tcW w:w="514" w:type="dxa"/>
            <w:tcBorders>
              <w:bottom w:val="single" w:sz="4" w:space="0" w:color="auto"/>
            </w:tcBorders>
            <w:shd w:val="clear" w:color="auto" w:fill="auto"/>
            <w:vAlign w:val="center"/>
          </w:tcPr>
          <w:p w:rsidR="00CC19FC" w:rsidRPr="00BD7CEA"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BD7CEA" w:rsidRDefault="00CC19FC" w:rsidP="004B3534">
            <w:pPr>
              <w:pStyle w:val="TableText"/>
              <w:rPr>
                <w:rFonts w:ascii="Tahoma" w:hAnsi="Tahoma" w:cs="Tahoma"/>
                <w:sz w:val="13"/>
              </w:rPr>
            </w:pPr>
          </w:p>
        </w:tc>
      </w:tr>
      <w:tr w:rsidR="00EF228F" w:rsidRPr="00BD7CEA" w:rsidTr="00C60100">
        <w:trPr>
          <w:cantSplit/>
          <w:trHeight w:val="323"/>
        </w:trPr>
        <w:tc>
          <w:tcPr>
            <w:tcW w:w="2638" w:type="dxa"/>
            <w:tcBorders>
              <w:bottom w:val="single" w:sz="4" w:space="0" w:color="auto"/>
            </w:tcBorders>
            <w:shd w:val="clear" w:color="auto" w:fill="FABF8F"/>
          </w:tcPr>
          <w:p w:rsidR="00CC19FC" w:rsidRPr="00BD7CEA" w:rsidRDefault="00CC19FC" w:rsidP="00E215F4">
            <w:pPr>
              <w:pStyle w:val="Heading2"/>
              <w:spacing w:beforeLines="20" w:before="48" w:afterLines="20" w:after="48"/>
              <w:ind w:left="0"/>
              <w:rPr>
                <w:rFonts w:ascii="Tahoma" w:hAnsi="Tahoma" w:cs="Tahoma"/>
                <w:b w:val="0"/>
                <w:sz w:val="14"/>
              </w:rPr>
            </w:pPr>
            <w:bookmarkStart w:id="120" w:name="_Toc336337895"/>
            <w:bookmarkStart w:id="121" w:name="_Toc353375679"/>
            <w:r w:rsidRPr="00BD7CEA">
              <w:rPr>
                <w:rFonts w:ascii="Tahoma" w:hAnsi="Tahoma" w:cs="Tahoma"/>
                <w:b w:val="0"/>
                <w:sz w:val="14"/>
              </w:rPr>
              <w:t>Word per Mac 2011</w:t>
            </w:r>
            <w:bookmarkEnd w:id="120"/>
            <w:bookmarkEnd w:id="121"/>
          </w:p>
        </w:tc>
        <w:tc>
          <w:tcPr>
            <w:tcW w:w="429" w:type="dxa"/>
            <w:tcBorders>
              <w:bottom w:val="single" w:sz="4" w:space="0" w:color="auto"/>
            </w:tcBorders>
            <w:shd w:val="clear" w:color="auto" w:fill="FABF8F"/>
            <w:vAlign w:val="center"/>
          </w:tcPr>
          <w:p w:rsidR="00CC19FC" w:rsidRPr="00BD7CEA" w:rsidRDefault="00CC19FC" w:rsidP="00F62B9E">
            <w:pPr>
              <w:pStyle w:val="TableText"/>
              <w:widowControl w:val="0"/>
              <w:rPr>
                <w:rStyle w:val="EndnoteReference"/>
                <w:rFonts w:ascii="Tahoma" w:hAnsi="Tahoma"/>
                <w:color w:val="0000FF"/>
                <w:sz w:val="14"/>
              </w:rPr>
            </w:pPr>
          </w:p>
        </w:tc>
        <w:tc>
          <w:tcPr>
            <w:tcW w:w="429" w:type="dxa"/>
            <w:tcBorders>
              <w:bottom w:val="single" w:sz="4" w:space="0" w:color="auto"/>
            </w:tcBorders>
            <w:shd w:val="clear" w:color="auto" w:fill="FABF8F"/>
            <w:vAlign w:val="center"/>
          </w:tcPr>
          <w:p w:rsidR="00CC19FC" w:rsidRPr="00BD7CEA" w:rsidRDefault="00CC19FC" w:rsidP="004B3534">
            <w:pPr>
              <w:pStyle w:val="TableText"/>
              <w:spacing w:before="60" w:after="60"/>
              <w:rPr>
                <w:rFonts w:ascii="Tahoma" w:hAnsi="Tahoma" w:cs="Tahoma"/>
                <w:sz w:val="13"/>
              </w:rPr>
            </w:pPr>
            <w:r w:rsidRPr="00BD7CEA">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BD7CEA" w:rsidRDefault="00CC19FC" w:rsidP="004B3534">
            <w:pPr>
              <w:pStyle w:val="TableText"/>
              <w:spacing w:after="120"/>
              <w:rPr>
                <w:rFonts w:ascii="Tahoma" w:hAnsi="Tahoma" w:cs="Tahoma"/>
                <w:sz w:val="13"/>
              </w:rPr>
            </w:pPr>
            <w:r w:rsidRPr="00BD7CEA">
              <w:rPr>
                <w:rFonts w:ascii="Tahoma" w:hAnsi="Tahoma" w:cs="Tahoma"/>
                <w:sz w:val="13"/>
              </w:rPr>
              <w:t>1</w:t>
            </w:r>
          </w:p>
        </w:tc>
        <w:tc>
          <w:tcPr>
            <w:tcW w:w="429" w:type="dxa"/>
            <w:tcBorders>
              <w:bottom w:val="single" w:sz="4" w:space="0" w:color="auto"/>
            </w:tcBorders>
            <w:shd w:val="clear" w:color="auto" w:fill="FABF8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3</w:t>
            </w:r>
          </w:p>
        </w:tc>
        <w:tc>
          <w:tcPr>
            <w:tcW w:w="429" w:type="dxa"/>
            <w:tcBorders>
              <w:bottom w:val="single" w:sz="4" w:space="0" w:color="auto"/>
            </w:tcBorders>
            <w:shd w:val="clear" w:color="auto" w:fill="FABF8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2</w:t>
            </w:r>
          </w:p>
        </w:tc>
        <w:tc>
          <w:tcPr>
            <w:tcW w:w="429" w:type="dxa"/>
            <w:tcBorders>
              <w:bottom w:val="single" w:sz="4" w:space="0" w:color="auto"/>
            </w:tcBorders>
            <w:shd w:val="clear" w:color="auto" w:fill="FABF8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2</w:t>
            </w:r>
          </w:p>
        </w:tc>
        <w:tc>
          <w:tcPr>
            <w:tcW w:w="429" w:type="dxa"/>
            <w:tcBorders>
              <w:bottom w:val="single" w:sz="4" w:space="0" w:color="auto"/>
            </w:tcBorders>
            <w:shd w:val="clear" w:color="auto" w:fill="FABF8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2</w:t>
            </w:r>
          </w:p>
        </w:tc>
        <w:tc>
          <w:tcPr>
            <w:tcW w:w="429" w:type="dxa"/>
            <w:tcBorders>
              <w:bottom w:val="single" w:sz="4" w:space="0" w:color="auto"/>
            </w:tcBorders>
            <w:shd w:val="clear" w:color="auto" w:fill="FABF8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1</w:t>
            </w:r>
          </w:p>
        </w:tc>
        <w:tc>
          <w:tcPr>
            <w:tcW w:w="429" w:type="dxa"/>
            <w:tcBorders>
              <w:bottom w:val="single" w:sz="4" w:space="0" w:color="auto"/>
            </w:tcBorders>
            <w:shd w:val="clear" w:color="auto" w:fill="FABF8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BD7CEA"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BD7CEA"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BD7CEA" w:rsidRDefault="00CC19FC" w:rsidP="004B3534">
            <w:pPr>
              <w:pStyle w:val="TableText"/>
              <w:rPr>
                <w:rFonts w:ascii="Tahoma" w:hAnsi="Tahoma" w:cs="Tahoma"/>
                <w:sz w:val="13"/>
              </w:rPr>
            </w:pPr>
            <w:r w:rsidRPr="00BD7CEA">
              <w:rPr>
                <w:rFonts w:ascii="Tahoma" w:hAnsi="Tahoma" w:cs="Tahoma"/>
                <w:sz w:val="13"/>
              </w:rPr>
              <w:t>P</w:t>
            </w:r>
          </w:p>
        </w:tc>
        <w:tc>
          <w:tcPr>
            <w:tcW w:w="514" w:type="dxa"/>
            <w:tcBorders>
              <w:bottom w:val="single" w:sz="4" w:space="0" w:color="auto"/>
            </w:tcBorders>
            <w:shd w:val="clear" w:color="auto" w:fill="FABF8F"/>
            <w:vAlign w:val="center"/>
          </w:tcPr>
          <w:p w:rsidR="00CC19FC" w:rsidRPr="00BD7CEA"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BD7CEA" w:rsidRDefault="00CC19FC" w:rsidP="004B3534">
            <w:pPr>
              <w:pStyle w:val="TableText"/>
              <w:rPr>
                <w:rFonts w:ascii="Tahoma" w:hAnsi="Tahoma" w:cs="Tahoma"/>
                <w:sz w:val="13"/>
              </w:rPr>
            </w:pPr>
          </w:p>
        </w:tc>
      </w:tr>
    </w:tbl>
    <w:p w:rsidR="00023FE7" w:rsidRPr="00BD7CEA" w:rsidRDefault="004A59D9">
      <w:pPr>
        <w:pStyle w:val="Bodywithspace"/>
        <w:ind w:left="0"/>
      </w:pPr>
      <w:r>
        <w:rPr>
          <w:noProof/>
          <w:sz w:val="14"/>
        </w:rPr>
        <mc:AlternateContent>
          <mc:Choice Requires="wps">
            <w:drawing>
              <wp:anchor distT="0" distB="0" distL="114300" distR="114300" simplePos="0" relativeHeight="251653632" behindDoc="0" locked="0" layoutInCell="1" allowOverlap="1">
                <wp:simplePos x="0" y="0"/>
                <wp:positionH relativeFrom="column">
                  <wp:posOffset>-317500</wp:posOffset>
                </wp:positionH>
                <wp:positionV relativeFrom="paragraph">
                  <wp:posOffset>19685</wp:posOffset>
                </wp:positionV>
                <wp:extent cx="6547485" cy="427355"/>
                <wp:effectExtent l="0" t="0" r="0" b="0"/>
                <wp:wrapNone/>
                <wp:docPr id="13"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26D7" w:rsidRDefault="001126D7">
                            <w:pPr>
                              <w:rPr>
                                <w:rFonts w:cs="Tahoma"/>
                                <w:i/>
                                <w:color w:val="000000"/>
                                <w:sz w:val="14"/>
                                <w:szCs w:val="14"/>
                              </w:rPr>
                            </w:pPr>
                            <w:r>
                              <w:rPr>
                                <w:rFonts w:cs="Tahoma"/>
                                <w:i/>
                                <w:color w:val="000000"/>
                                <w:sz w:val="14"/>
                                <w:szCs w:val="14"/>
                              </w:rPr>
                              <w:t>Nota: se la cella del prodotto è vuota significa che il prodotto non è attualmente offerto nel programma.</w:t>
                            </w:r>
                          </w:p>
                          <w:p w:rsidR="001126D7" w:rsidRDefault="001126D7">
                            <w:pPr>
                              <w:rPr>
                                <w:rFonts w:cs="Tahoma"/>
                                <w:i/>
                                <w:color w:val="000000"/>
                                <w:sz w:val="14"/>
                                <w:szCs w:val="14"/>
                              </w:rPr>
                            </w:pPr>
                            <w:r>
                              <w:rPr>
                                <w:rFonts w:cs="Tahoma"/>
                                <w:i/>
                                <w:color w:val="000000"/>
                                <w:sz w:val="14"/>
                                <w:szCs w:val="14"/>
                              </w:rPr>
                              <w:t>*Per quanto riguarda Select Plus verranno utilizzati solo i valori "L" e tre anni per "L&amp;SA" / "SA".</w:t>
                            </w:r>
                          </w:p>
                          <w:p w:rsidR="001126D7" w:rsidRDefault="001126D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ZzY4tgIAALsFAAAOAAAAZHJzL2Uyb0RvYy54bWysVNtu2zAMfR+wfxD07voSOYmNOkUbx8OA&#10;7gK0+wDFlmNhtuRJSpxu2L+PkpM0aTFg2OYHQxKpQx7yiNc3+65FO6Y0lyLD4VWAEROlrLjYZPjL&#10;Y+HNMdKGioq2UrAMPzGNbxZv31wPfcoi2ci2YgoBiNDp0Ge4MaZPfV+XDeuovpI9E2Cspeqoga3a&#10;+JWiA6B3rR8FwdQfpKp6JUumNZzmoxEvHH5ds9J8qmvNDGozDLkZ91fuv7Z/f3FN042ifcPLQxr0&#10;L7LoKBcQ9ASVU0PRVvFXUB0vldSyNlel7HxZ17xkjgOwCYMXbB4a2jPHBYqj+1OZ9P+DLT/uPivE&#10;K+jdBCNBO+jRI9sbdCf3iExsfYZep+D20IOj2cM5+Dquur+X5VeNhFw2VGzYrVJyaBitIL/Q3vTP&#10;ro442oKshw+ygjh0a6QD2teqs8WDciBAhz49nXpjcynhcBqTGZnHGJVgI9FsEscuBE2Pt3ulzTsm&#10;O2QXGVbQe4dOd/fa2GxoenSxwYQseNu6/rfi4gAcxxOIDVetzWbh2vkjCZLVfDUnHommK48Eee7d&#10;FkviTYtwFueTfLnMw582bkjShlcVEzbMUVoh+bPWHUQ+iuIkLi1bXlk4m5JWm/WyVWhHQdqF+w4F&#10;OXPzL9NwRQAuLyiFEQnuosQrpvOZRwoSe8ksmHtBmNwl04AkJC8uKd1zwf6dEhoynMRRPIrpt9wC&#10;973mRtOOGxgeLe8yPD850dRKcCUq11pDeTuuz0ph038uBbT72GgnWKvRUa1mv94DilXxWlZPIF0l&#10;QVmgT5h4sGik+o7RANMjw/rbliqGUftegPyTkBA7btyGxLMINurcsj63UFECVIYNRuNyacYRte0V&#10;3zQQaXxwQt7Ck6m5U/NzVoeHBhPCkTpMMzuCzvfO63nmLn4B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DZzY4tgIAALsF&#10;AAAOAAAAAAAAAAAAAAAAAC4CAABkcnMvZTJvRG9jLnhtbFBLAQItABQABgAIAAAAIQD2TosO3QAA&#10;AAgBAAAPAAAAAAAAAAAAAAAAABAFAABkcnMvZG93bnJldi54bWxQSwUGAAAAAAQABADzAAAAGgYA&#10;AAAA&#10;" filled="f" stroked="f">
                <v:textbox>
                  <w:txbxContent>
                    <w:p w:rsidR="001126D7" w:rsidRDefault="001126D7">
                      <w:pPr>
                        <w:rPr>
                          <w:rFonts w:cs="Tahoma"/>
                          <w:i/>
                          <w:color w:val="000000"/>
                          <w:sz w:val="14"/>
                          <w:szCs w:val="14"/>
                        </w:rPr>
                      </w:pPr>
                      <w:r>
                        <w:rPr>
                          <w:rFonts w:cs="Tahoma"/>
                          <w:i/>
                          <w:color w:val="000000"/>
                          <w:sz w:val="14"/>
                          <w:szCs w:val="14"/>
                        </w:rPr>
                        <w:t>Nota: se la cella del prodotto è vuota significa che il prodotto non è attualmente offerto nel programma.</w:t>
                      </w:r>
                    </w:p>
                    <w:p w:rsidR="001126D7" w:rsidRDefault="001126D7">
                      <w:pPr>
                        <w:rPr>
                          <w:rFonts w:cs="Tahoma"/>
                          <w:i/>
                          <w:color w:val="000000"/>
                          <w:sz w:val="14"/>
                          <w:szCs w:val="14"/>
                        </w:rPr>
                      </w:pPr>
                      <w:r>
                        <w:rPr>
                          <w:rFonts w:cs="Tahoma"/>
                          <w:i/>
                          <w:color w:val="000000"/>
                          <w:sz w:val="14"/>
                          <w:szCs w:val="14"/>
                        </w:rPr>
                        <w:t>*Per quanto riguarda Select Plus verranno utilizzati solo i valori "L" e tre anni per "L&amp;SA" / "SA".</w:t>
                      </w:r>
                    </w:p>
                    <w:p w:rsidR="001126D7" w:rsidRDefault="001126D7"/>
                  </w:txbxContent>
                </v:textbox>
              </v:shape>
            </w:pict>
          </mc:Fallback>
        </mc:AlternateContent>
      </w:r>
    </w:p>
    <w:p w:rsidR="00023FE7" w:rsidRPr="00BD7CEA" w:rsidRDefault="00023FE7">
      <w:pPr>
        <w:pStyle w:val="ProductPool"/>
      </w:pPr>
    </w:p>
    <w:p w:rsidR="00A872B3" w:rsidRPr="00BD7CEA" w:rsidRDefault="00A872B3" w:rsidP="004E292A">
      <w:pPr>
        <w:pStyle w:val="Heading3"/>
        <w:rPr>
          <w:rFonts w:ascii="Tahoma" w:hAnsi="Tahoma" w:cs="Tahoma"/>
          <w:sz w:val="22"/>
        </w:rPr>
        <w:sectPr w:rsidR="00A872B3" w:rsidRPr="00BD7CEA" w:rsidSect="00B40674">
          <w:footerReference w:type="default" r:id="rId20"/>
          <w:headerReference w:type="first" r:id="rId21"/>
          <w:footerReference w:type="first" r:id="rId22"/>
          <w:endnotePr>
            <w:numFmt w:val="decimal"/>
          </w:endnotePr>
          <w:pgSz w:w="12240" w:h="15840" w:code="1"/>
          <w:pgMar w:top="1170" w:right="1440" w:bottom="720" w:left="1440" w:header="720" w:footer="720" w:gutter="0"/>
          <w:cols w:space="720"/>
          <w:docGrid w:linePitch="360"/>
        </w:sectPr>
      </w:pPr>
      <w:bookmarkStart w:id="122" w:name="_Toc336337896"/>
    </w:p>
    <w:p w:rsidR="00023FE7" w:rsidRPr="00BD7CEA" w:rsidRDefault="00023FE7" w:rsidP="004E292A">
      <w:pPr>
        <w:pStyle w:val="Heading3"/>
      </w:pPr>
      <w:bookmarkStart w:id="123" w:name="_Toc353375680"/>
      <w:r w:rsidRPr="00BD7CEA">
        <w:rPr>
          <w:rFonts w:ascii="Tahoma" w:hAnsi="Tahoma" w:cs="Tahoma"/>
          <w:sz w:val="22"/>
        </w:rPr>
        <w:lastRenderedPageBreak/>
        <w:t>POOL DI SISTEMI</w:t>
      </w:r>
      <w:bookmarkEnd w:id="122"/>
      <w:bookmarkEnd w:id="123"/>
    </w:p>
    <w:p w:rsidR="00023FE7" w:rsidRPr="00BD7CEA" w:rsidRDefault="00023FE7"/>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60"/>
        <w:gridCol w:w="450"/>
        <w:gridCol w:w="360"/>
        <w:gridCol w:w="450"/>
        <w:gridCol w:w="450"/>
        <w:gridCol w:w="450"/>
        <w:gridCol w:w="450"/>
        <w:gridCol w:w="450"/>
        <w:gridCol w:w="450"/>
        <w:gridCol w:w="360"/>
        <w:gridCol w:w="450"/>
        <w:gridCol w:w="450"/>
        <w:gridCol w:w="450"/>
        <w:gridCol w:w="450"/>
        <w:gridCol w:w="450"/>
        <w:gridCol w:w="450"/>
        <w:gridCol w:w="450"/>
        <w:gridCol w:w="540"/>
      </w:tblGrid>
      <w:tr w:rsidR="00AF4B30" w:rsidRPr="007B74B7" w:rsidTr="00A872B3">
        <w:trPr>
          <w:cantSplit/>
          <w:trHeight w:val="389"/>
          <w:tblHeader/>
        </w:trPr>
        <w:tc>
          <w:tcPr>
            <w:tcW w:w="2610" w:type="dxa"/>
            <w:vMerge w:val="restart"/>
            <w:tcBorders>
              <w:top w:val="single" w:sz="4" w:space="0" w:color="FFFFFF"/>
              <w:left w:val="single" w:sz="4" w:space="0" w:color="FFFFFF"/>
            </w:tcBorders>
          </w:tcPr>
          <w:p w:rsidR="00B27742" w:rsidRPr="00BD7CEA" w:rsidRDefault="004A59D9">
            <w:pPr>
              <w:rPr>
                <w:rFonts w:cs="Tahoma"/>
                <w:sz w:val="20"/>
              </w:rPr>
            </w:pPr>
            <w:r>
              <w:rPr>
                <w:rFonts w:cs="Tahoma"/>
                <w:noProof/>
                <w:sz w:val="9"/>
              </w:rPr>
              <mc:AlternateContent>
                <mc:Choice Requires="wps">
                  <w:drawing>
                    <wp:anchor distT="0" distB="0" distL="114300" distR="114300" simplePos="0" relativeHeight="251660800" behindDoc="0" locked="0" layoutInCell="1" allowOverlap="1">
                      <wp:simplePos x="0" y="0"/>
                      <wp:positionH relativeFrom="column">
                        <wp:posOffset>1564640</wp:posOffset>
                      </wp:positionH>
                      <wp:positionV relativeFrom="paragraph">
                        <wp:posOffset>721360</wp:posOffset>
                      </wp:positionV>
                      <wp:extent cx="367030" cy="213995"/>
                      <wp:effectExtent l="0" t="0" r="0" b="0"/>
                      <wp:wrapNone/>
                      <wp:docPr id="12"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26D7" w:rsidRPr="00A872B3" w:rsidRDefault="001126D7">
                                  <w:pPr>
                                    <w:rPr>
                                      <w:color w:val="0000FF"/>
                                      <w:sz w:val="8"/>
                                      <w:szCs w:val="8"/>
                                    </w:rPr>
                                  </w:pPr>
                                  <w:r w:rsidRPr="00A872B3">
                                    <w:rPr>
                                      <w:rFonts w:cs="Tahoma"/>
                                      <w:b/>
                                      <w:color w:val="0000FF"/>
                                      <w:sz w:val="8"/>
                                      <w:szCs w:val="8"/>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1" o:spid="_x0000_s1027" type="#_x0000_t202" style="position:absolute;margin-left:123.2pt;margin-top:56.8pt;width:28.9pt;height:16.85pt;z-index:25166080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2x1ctwIAAME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FfQuwkjQDnr0yPYG3ck9ikNbn6HXKbg99OBo9nAOvo6r7u9l+VUjIZcNFRt2q5QcGkYryM/d9M+u&#10;jjjagqyHD7KCOHRrpAPa16qzxYNyIECHPj2demNzKeFwEs+CCVhKMEXhJEmmNjefpsfLvdLmHZMd&#10;sosMK2i9A6e7e21G16OLjSVkwdvWtb8VFweAOZ5AaLhqbTYJ180fSZCs5qs58UgUrzwS5Ll3WyyJ&#10;FxfhbJpP8uUyD3/auCFJG15VTNgwR2WF5M86d9D4qImTtrRseWXhbEpabdbLVqEdBWUX7jsU5MzN&#10;v0zD1Qu4vKAURiS4ixKviOczjxRk6iWzYO4FYXKXxAFJSF5cUrrngv07JTRkOJlG01FLv+UWuO81&#10;N5p23MDsaHmX4fnJiaZWgStRudYayttxfVYKm/5zKaDdx0Y7vVqJjmI1+/V+fBrHZ7CW1RMIWEkQ&#10;GGgR5h4sGqm+YzTADMmw/ralimHUvhfwCJKQEDt03IZMZxFs1LllfW6hogSoDBuMxuXSjINq2yu+&#10;aSDS8dndwsMpuBO1fWFjVsDIbmBOOG6HmWYH0fneeT1P3sUvAAAA//8DAFBLAwQUAAYACAAAACEA&#10;O+3Dvt8AAAALAQAADwAAAGRycy9kb3ducmV2LnhtbEyPwU7DMAyG70i8Q2QkbixZW3WoazpNaBtH&#10;YFScsyZrKxqnSrKuvD3mxI72/+n353Iz24FNxofeoYTlQgAz2DjdYyuh/tw/PQMLUaFWg0Mj4ccE&#10;2FT3d6UqtLvih5mOsWVUgqFQEroYx4Lz0HTGqrBwo0HKzs5bFWn0LddeXancDjwRIudW9UgXOjWa&#10;l84038eLlTDG8bB69W/v291+EvXXoU76difl48O8XQOLZo7/MPzpkzpU5HRyF9SBDRKSLM8IpWCZ&#10;5sCISEWWADvRJlulwKuS3/5Q/QIAAP//AwBQSwECLQAUAAYACAAAACEAtoM4kv4AAADhAQAAEwAA&#10;AAAAAAAAAAAAAAAAAAAAW0NvbnRlbnRfVHlwZXNdLnhtbFBLAQItABQABgAIAAAAIQA4/SH/1gAA&#10;AJQBAAALAAAAAAAAAAAAAAAAAC8BAABfcmVscy8ucmVsc1BLAQItABQABgAIAAAAIQBy2x1ctwIA&#10;AMEFAAAOAAAAAAAAAAAAAAAAAC4CAABkcnMvZTJvRG9jLnhtbFBLAQItABQABgAIAAAAIQA77cO+&#10;3wAAAAsBAAAPAAAAAAAAAAAAAAAAABEFAABkcnMvZG93bnJldi54bWxQSwUGAAAAAAQABADzAAAA&#10;HQYAAAAA&#10;" filled="f" stroked="f">
                      <v:textbox style="mso-fit-shape-to-text:t">
                        <w:txbxContent>
                          <w:p w:rsidR="001126D7" w:rsidRPr="00A872B3" w:rsidRDefault="001126D7">
                            <w:pPr>
                              <w:rPr>
                                <w:color w:val="0000FF"/>
                                <w:sz w:val="8"/>
                                <w:szCs w:val="8"/>
                              </w:rPr>
                            </w:pPr>
                            <w:r w:rsidRPr="00A872B3">
                              <w:rPr>
                                <w:rFonts w:cs="Tahoma"/>
                                <w:b/>
                                <w:color w:val="0000FF"/>
                                <w:sz w:val="8"/>
                                <w:szCs w:val="8"/>
                              </w:rPr>
                              <w:t>(Ctrl + Clic)</w:t>
                            </w:r>
                          </w:p>
                        </w:txbxContent>
                      </v:textbox>
                    </v:shape>
                  </w:pict>
                </mc:Fallback>
              </mc:AlternateContent>
            </w:r>
          </w:p>
        </w:tc>
        <w:tc>
          <w:tcPr>
            <w:tcW w:w="360" w:type="dxa"/>
            <w:vMerge w:val="restart"/>
            <w:tcBorders>
              <w:top w:val="single" w:sz="12" w:space="0" w:color="auto"/>
            </w:tcBorders>
            <w:textDirection w:val="btLr"/>
            <w:vAlign w:val="center"/>
          </w:tcPr>
          <w:p w:rsidR="00B27742" w:rsidRPr="00BD7CEA" w:rsidRDefault="00B27742" w:rsidP="003F1F7D">
            <w:pPr>
              <w:pStyle w:val="TableVerticalText"/>
              <w:rPr>
                <w:rFonts w:ascii="Tahoma" w:hAnsi="Tahoma" w:cs="Tahoma"/>
                <w:sz w:val="9"/>
              </w:rPr>
            </w:pPr>
            <w:r w:rsidRPr="00BD7CEA">
              <w:rPr>
                <w:rFonts w:ascii="Tahoma" w:hAnsi="Tahoma" w:cs="Tahoma"/>
                <w:sz w:val="9"/>
              </w:rPr>
              <w:t>Note del Prodotto</w:t>
            </w:r>
          </w:p>
        </w:tc>
        <w:tc>
          <w:tcPr>
            <w:tcW w:w="450" w:type="dxa"/>
            <w:vMerge w:val="restart"/>
            <w:tcBorders>
              <w:top w:val="single" w:sz="12" w:space="0" w:color="auto"/>
            </w:tcBorders>
            <w:textDirection w:val="btLr"/>
          </w:tcPr>
          <w:p w:rsidR="00B27742" w:rsidRPr="00BD7CEA" w:rsidRDefault="00B27742" w:rsidP="0019788A">
            <w:pPr>
              <w:pStyle w:val="TableVerticalText"/>
              <w:spacing w:before="120"/>
              <w:rPr>
                <w:rFonts w:ascii="Tahoma" w:hAnsi="Tahoma" w:cs="Tahoma"/>
                <w:sz w:val="9"/>
              </w:rPr>
            </w:pPr>
            <w:r w:rsidRPr="00BD7CEA">
              <w:rPr>
                <w:rFonts w:ascii="Tahoma" w:hAnsi="Tahoma" w:cs="Tahoma"/>
                <w:sz w:val="9"/>
              </w:rPr>
              <w:t>Data Disponibilità</w:t>
            </w:r>
          </w:p>
        </w:tc>
        <w:tc>
          <w:tcPr>
            <w:tcW w:w="360" w:type="dxa"/>
            <w:vMerge w:val="restart"/>
            <w:tcBorders>
              <w:top w:val="single" w:sz="12" w:space="0" w:color="auto"/>
              <w:right w:val="single" w:sz="18" w:space="0" w:color="auto"/>
            </w:tcBorders>
            <w:textDirection w:val="btLr"/>
            <w:vAlign w:val="center"/>
          </w:tcPr>
          <w:p w:rsidR="00B27742" w:rsidRPr="00BD7CEA" w:rsidRDefault="00B27742">
            <w:pPr>
              <w:pStyle w:val="TableVerticalText"/>
              <w:rPr>
                <w:rFonts w:ascii="Tahoma" w:hAnsi="Tahoma" w:cs="Tahoma"/>
                <w:sz w:val="9"/>
              </w:rPr>
            </w:pPr>
            <w:r w:rsidRPr="00BD7CEA">
              <w:rPr>
                <w:rFonts w:ascii="Tahoma" w:hAnsi="Tahoma" w:cs="Tahoma"/>
                <w:sz w:val="9"/>
              </w:rPr>
              <w:t>SAB</w:t>
            </w:r>
          </w:p>
        </w:tc>
        <w:tc>
          <w:tcPr>
            <w:tcW w:w="3060" w:type="dxa"/>
            <w:gridSpan w:val="7"/>
            <w:tcBorders>
              <w:top w:val="single" w:sz="12" w:space="0" w:color="auto"/>
              <w:left w:val="single" w:sz="18" w:space="0" w:color="auto"/>
              <w:right w:val="single" w:sz="18" w:space="0" w:color="auto"/>
            </w:tcBorders>
            <w:vAlign w:val="center"/>
          </w:tcPr>
          <w:p w:rsidR="00B27742" w:rsidRPr="00BD7CEA" w:rsidRDefault="00B27742">
            <w:pPr>
              <w:pStyle w:val="TableHeadingsBlack"/>
              <w:rPr>
                <w:rFonts w:ascii="Tahoma" w:hAnsi="Tahoma" w:cs="Tahoma"/>
                <w:sz w:val="9"/>
              </w:rPr>
            </w:pPr>
            <w:r w:rsidRPr="00BD7CEA">
              <w:rPr>
                <w:rFonts w:ascii="Tahoma"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rsidR="00B27742" w:rsidRPr="00BD7CEA" w:rsidRDefault="00B27742">
            <w:pPr>
              <w:pStyle w:val="TableHeadingsBlack"/>
              <w:rPr>
                <w:rFonts w:ascii="Tahoma" w:hAnsi="Tahoma" w:cs="Tahoma"/>
                <w:sz w:val="9"/>
              </w:rPr>
            </w:pPr>
            <w:r w:rsidRPr="00BD7CEA">
              <w:rPr>
                <w:rFonts w:ascii="Tahoma" w:hAnsi="Tahoma" w:cs="Tahoma"/>
                <w:sz w:val="9"/>
              </w:rPr>
              <w:t>Licenza Open</w:t>
            </w:r>
          </w:p>
        </w:tc>
        <w:tc>
          <w:tcPr>
            <w:tcW w:w="450" w:type="dxa"/>
            <w:vMerge w:val="restart"/>
            <w:tcBorders>
              <w:top w:val="single" w:sz="12" w:space="0" w:color="auto"/>
              <w:left w:val="single" w:sz="18" w:space="0" w:color="auto"/>
            </w:tcBorders>
            <w:textDirection w:val="btLr"/>
            <w:vAlign w:val="center"/>
          </w:tcPr>
          <w:p w:rsidR="00B27742" w:rsidRPr="00BD7CEA" w:rsidRDefault="00B27742" w:rsidP="00A872B3">
            <w:pPr>
              <w:pStyle w:val="TableVerticalText"/>
              <w:rPr>
                <w:rFonts w:ascii="Tahoma" w:hAnsi="Tahoma" w:cs="Tahoma"/>
                <w:sz w:val="9"/>
              </w:rPr>
            </w:pPr>
            <w:r w:rsidRPr="00BD7CEA">
              <w:rPr>
                <w:rFonts w:ascii="Tahoma" w:hAnsi="Tahoma" w:cs="Tahoma"/>
                <w:sz w:val="9"/>
              </w:rPr>
              <w:t>Unità Campus/School</w:t>
            </w:r>
          </w:p>
        </w:tc>
        <w:tc>
          <w:tcPr>
            <w:tcW w:w="450" w:type="dxa"/>
            <w:vMerge w:val="restart"/>
            <w:tcBorders>
              <w:top w:val="single" w:sz="12" w:space="0" w:color="auto"/>
              <w:right w:val="single" w:sz="18" w:space="0" w:color="auto"/>
            </w:tcBorders>
            <w:textDirection w:val="btLr"/>
            <w:vAlign w:val="center"/>
          </w:tcPr>
          <w:p w:rsidR="00B27742" w:rsidRPr="00BD7CEA" w:rsidRDefault="00B27742" w:rsidP="00A872B3">
            <w:pPr>
              <w:pStyle w:val="TableVerticalText"/>
              <w:rPr>
                <w:rFonts w:ascii="Tahoma" w:hAnsi="Tahoma" w:cs="Tahoma"/>
                <w:sz w:val="9"/>
              </w:rPr>
            </w:pPr>
            <w:r w:rsidRPr="00BD7CEA">
              <w:rPr>
                <w:rFonts w:ascii="Tahoma" w:hAnsi="Tahoma" w:cs="Tahoma"/>
                <w:sz w:val="9"/>
              </w:rPr>
              <w:t>EA ed EA Sub</w:t>
            </w:r>
          </w:p>
        </w:tc>
        <w:tc>
          <w:tcPr>
            <w:tcW w:w="450" w:type="dxa"/>
            <w:vMerge w:val="restart"/>
            <w:tcBorders>
              <w:top w:val="single" w:sz="12" w:space="0" w:color="auto"/>
              <w:left w:val="single" w:sz="18" w:space="0" w:color="auto"/>
              <w:right w:val="single" w:sz="18" w:space="0" w:color="auto"/>
            </w:tcBorders>
            <w:textDirection w:val="btLr"/>
            <w:vAlign w:val="center"/>
          </w:tcPr>
          <w:p w:rsidR="00B27742" w:rsidRPr="00BD7CEA" w:rsidRDefault="00B27742" w:rsidP="00A872B3">
            <w:pPr>
              <w:pStyle w:val="TableVerticalText"/>
              <w:rPr>
                <w:rFonts w:ascii="Tahoma" w:hAnsi="Tahoma" w:cs="Tahoma"/>
                <w:sz w:val="9"/>
              </w:rPr>
            </w:pPr>
            <w:r w:rsidRPr="00BD7CEA">
              <w:rPr>
                <w:rFonts w:ascii="Tahoma" w:hAnsi="Tahoma" w:cs="Tahoma"/>
                <w:sz w:val="9"/>
              </w:rPr>
              <w:t>OV / OVS</w:t>
            </w:r>
          </w:p>
        </w:tc>
        <w:tc>
          <w:tcPr>
            <w:tcW w:w="450" w:type="dxa"/>
            <w:vMerge w:val="restart"/>
            <w:tcBorders>
              <w:top w:val="single" w:sz="12" w:space="0" w:color="auto"/>
            </w:tcBorders>
            <w:textDirection w:val="btLr"/>
            <w:vAlign w:val="center"/>
          </w:tcPr>
          <w:p w:rsidR="00B27742" w:rsidRPr="00BD7CEA" w:rsidRDefault="00B0036E" w:rsidP="00A872B3">
            <w:pPr>
              <w:pStyle w:val="TableVerticalText"/>
              <w:spacing w:before="120"/>
              <w:rPr>
                <w:rFonts w:ascii="Tahoma" w:hAnsi="Tahoma" w:cs="Tahoma"/>
                <w:sz w:val="9"/>
              </w:rPr>
            </w:pPr>
            <w:r w:rsidRPr="00BD7CEA">
              <w:rPr>
                <w:rFonts w:ascii="Tahoma" w:hAnsi="Tahoma" w:cs="Tahoma"/>
                <w:sz w:val="9"/>
              </w:rPr>
              <w:t>EES / OVS ES</w:t>
            </w:r>
          </w:p>
        </w:tc>
        <w:tc>
          <w:tcPr>
            <w:tcW w:w="540" w:type="dxa"/>
            <w:vMerge w:val="restart"/>
            <w:tcBorders>
              <w:top w:val="single" w:sz="12" w:space="0" w:color="auto"/>
            </w:tcBorders>
            <w:textDirection w:val="btLr"/>
            <w:vAlign w:val="center"/>
          </w:tcPr>
          <w:p w:rsidR="00B27742" w:rsidRPr="007B74B7" w:rsidRDefault="00B27742" w:rsidP="00A872B3">
            <w:pPr>
              <w:pStyle w:val="TableVerticalText"/>
              <w:rPr>
                <w:rFonts w:ascii="Tahoma" w:hAnsi="Tahoma" w:cs="Tahoma"/>
                <w:sz w:val="9"/>
                <w:lang w:val="it-IT"/>
              </w:rPr>
            </w:pPr>
            <w:r w:rsidRPr="007B74B7">
              <w:rPr>
                <w:rFonts w:ascii="Tahoma" w:hAnsi="Tahoma" w:cs="Tahoma"/>
                <w:sz w:val="9"/>
                <w:lang w:val="it-IT"/>
              </w:rPr>
              <w:t>Requisito minimo per i Programmi Open</w:t>
            </w:r>
          </w:p>
        </w:tc>
      </w:tr>
      <w:tr w:rsidR="00CE5AB1" w:rsidRPr="00BD7CEA" w:rsidTr="00A872B3">
        <w:trPr>
          <w:cantSplit/>
          <w:trHeight w:val="262"/>
          <w:tblHeader/>
        </w:trPr>
        <w:tc>
          <w:tcPr>
            <w:tcW w:w="2610" w:type="dxa"/>
            <w:vMerge/>
            <w:tcBorders>
              <w:left w:val="single" w:sz="4" w:space="0" w:color="FFFFFF"/>
            </w:tcBorders>
          </w:tcPr>
          <w:p w:rsidR="00B27742" w:rsidRPr="007B74B7" w:rsidRDefault="00B27742">
            <w:pPr>
              <w:rPr>
                <w:rFonts w:cs="Tahoma"/>
                <w:sz w:val="20"/>
                <w:lang w:val="it-IT"/>
              </w:rPr>
            </w:pPr>
          </w:p>
        </w:tc>
        <w:tc>
          <w:tcPr>
            <w:tcW w:w="360" w:type="dxa"/>
            <w:vMerge/>
          </w:tcPr>
          <w:p w:rsidR="00B27742" w:rsidRPr="007B74B7" w:rsidRDefault="00B27742">
            <w:pPr>
              <w:rPr>
                <w:rFonts w:cs="Tahoma"/>
                <w:b/>
                <w:sz w:val="20"/>
                <w:lang w:val="it-IT"/>
              </w:rPr>
            </w:pPr>
          </w:p>
        </w:tc>
        <w:tc>
          <w:tcPr>
            <w:tcW w:w="450" w:type="dxa"/>
            <w:vMerge/>
          </w:tcPr>
          <w:p w:rsidR="00B27742" w:rsidRPr="007B74B7" w:rsidRDefault="00B27742">
            <w:pPr>
              <w:rPr>
                <w:rFonts w:cs="Tahoma"/>
                <w:sz w:val="20"/>
                <w:lang w:val="it-IT"/>
              </w:rPr>
            </w:pPr>
          </w:p>
        </w:tc>
        <w:tc>
          <w:tcPr>
            <w:tcW w:w="360" w:type="dxa"/>
            <w:vMerge/>
            <w:tcBorders>
              <w:right w:val="single" w:sz="18" w:space="0" w:color="auto"/>
            </w:tcBorders>
          </w:tcPr>
          <w:p w:rsidR="00B27742" w:rsidRPr="007B74B7" w:rsidRDefault="00B27742">
            <w:pPr>
              <w:rPr>
                <w:rFonts w:cs="Tahoma"/>
                <w:sz w:val="20"/>
                <w:lang w:val="it-IT"/>
              </w:rPr>
            </w:pPr>
          </w:p>
        </w:tc>
        <w:tc>
          <w:tcPr>
            <w:tcW w:w="450" w:type="dxa"/>
            <w:vMerge w:val="restart"/>
            <w:tcBorders>
              <w:left w:val="single" w:sz="18" w:space="0" w:color="auto"/>
            </w:tcBorders>
            <w:vAlign w:val="center"/>
          </w:tcPr>
          <w:p w:rsidR="00B27742" w:rsidRPr="00BD7CEA" w:rsidRDefault="00B27742">
            <w:pPr>
              <w:pStyle w:val="TableHeadingsRed"/>
              <w:rPr>
                <w:rFonts w:ascii="Tahoma" w:hAnsi="Tahoma" w:cs="Tahoma"/>
                <w:sz w:val="9"/>
              </w:rPr>
            </w:pPr>
            <w:r w:rsidRPr="00BD7CEA">
              <w:rPr>
                <w:rFonts w:ascii="Tahoma" w:hAnsi="Tahoma" w:cs="Tahoma"/>
                <w:sz w:val="9"/>
              </w:rPr>
              <w:t>L</w:t>
            </w:r>
          </w:p>
        </w:tc>
        <w:tc>
          <w:tcPr>
            <w:tcW w:w="1350" w:type="dxa"/>
            <w:gridSpan w:val="3"/>
            <w:vAlign w:val="center"/>
          </w:tcPr>
          <w:p w:rsidR="00B27742" w:rsidRPr="00BD7CEA" w:rsidRDefault="00B27742">
            <w:pPr>
              <w:pStyle w:val="TableHeadingsGreen"/>
              <w:rPr>
                <w:rFonts w:ascii="Tahoma" w:hAnsi="Tahoma" w:cs="Tahoma"/>
                <w:sz w:val="9"/>
              </w:rPr>
            </w:pPr>
            <w:r w:rsidRPr="00BD7CEA">
              <w:rPr>
                <w:rFonts w:ascii="Tahoma" w:hAnsi="Tahoma" w:cs="Tahoma"/>
                <w:sz w:val="9"/>
              </w:rPr>
              <w:t>L&amp;SA</w:t>
            </w:r>
          </w:p>
        </w:tc>
        <w:tc>
          <w:tcPr>
            <w:tcW w:w="1260" w:type="dxa"/>
            <w:gridSpan w:val="3"/>
            <w:tcBorders>
              <w:right w:val="single" w:sz="18" w:space="0" w:color="auto"/>
            </w:tcBorders>
            <w:vAlign w:val="center"/>
          </w:tcPr>
          <w:p w:rsidR="00B27742" w:rsidRPr="00BD7CEA" w:rsidRDefault="00B27742">
            <w:pPr>
              <w:pStyle w:val="TableHeadingsBlue"/>
              <w:rPr>
                <w:rFonts w:ascii="Tahoma" w:hAnsi="Tahoma" w:cs="Tahoma"/>
                <w:sz w:val="9"/>
              </w:rPr>
            </w:pPr>
            <w:r w:rsidRPr="00BD7CEA">
              <w:rPr>
                <w:rFonts w:ascii="Tahoma" w:hAnsi="Tahoma" w:cs="Tahoma"/>
                <w:sz w:val="9"/>
              </w:rPr>
              <w:t>SA</w:t>
            </w:r>
          </w:p>
        </w:tc>
        <w:tc>
          <w:tcPr>
            <w:tcW w:w="450" w:type="dxa"/>
            <w:vMerge w:val="restart"/>
            <w:tcBorders>
              <w:left w:val="single" w:sz="18" w:space="0" w:color="auto"/>
            </w:tcBorders>
            <w:vAlign w:val="center"/>
          </w:tcPr>
          <w:p w:rsidR="00B27742" w:rsidRPr="00BD7CEA" w:rsidRDefault="00B27742">
            <w:pPr>
              <w:pStyle w:val="TableHeadingsRed"/>
              <w:rPr>
                <w:rFonts w:ascii="Tahoma" w:hAnsi="Tahoma" w:cs="Tahoma"/>
                <w:sz w:val="9"/>
              </w:rPr>
            </w:pPr>
            <w:r w:rsidRPr="00BD7CEA">
              <w:rPr>
                <w:rFonts w:ascii="Tahoma" w:hAnsi="Tahoma" w:cs="Tahoma"/>
                <w:sz w:val="9"/>
              </w:rPr>
              <w:t>L</w:t>
            </w:r>
          </w:p>
        </w:tc>
        <w:tc>
          <w:tcPr>
            <w:tcW w:w="450" w:type="dxa"/>
            <w:vAlign w:val="center"/>
          </w:tcPr>
          <w:p w:rsidR="00B27742" w:rsidRPr="00BD7CEA" w:rsidRDefault="00B27742">
            <w:pPr>
              <w:pStyle w:val="TableHeadingsGreen"/>
              <w:rPr>
                <w:rFonts w:ascii="Tahoma" w:hAnsi="Tahoma" w:cs="Tahoma"/>
                <w:sz w:val="9"/>
              </w:rPr>
            </w:pPr>
            <w:r w:rsidRPr="00BD7CEA">
              <w:rPr>
                <w:rFonts w:ascii="Tahoma" w:hAnsi="Tahoma" w:cs="Tahoma"/>
                <w:sz w:val="9"/>
              </w:rPr>
              <w:t>L&amp;SA</w:t>
            </w:r>
          </w:p>
        </w:tc>
        <w:tc>
          <w:tcPr>
            <w:tcW w:w="450" w:type="dxa"/>
            <w:vMerge w:val="restart"/>
            <w:tcBorders>
              <w:right w:val="single" w:sz="18" w:space="0" w:color="auto"/>
            </w:tcBorders>
            <w:vAlign w:val="center"/>
          </w:tcPr>
          <w:p w:rsidR="00B27742" w:rsidRPr="00BD7CEA" w:rsidRDefault="00B27742">
            <w:pPr>
              <w:pStyle w:val="TableHeadingsBlue"/>
              <w:rPr>
                <w:rFonts w:ascii="Tahoma" w:hAnsi="Tahoma" w:cs="Tahoma"/>
                <w:sz w:val="9"/>
              </w:rPr>
            </w:pPr>
            <w:r w:rsidRPr="00BD7CEA">
              <w:rPr>
                <w:rFonts w:ascii="Tahoma" w:hAnsi="Tahoma" w:cs="Tahoma"/>
                <w:sz w:val="9"/>
              </w:rPr>
              <w:t>SA</w:t>
            </w:r>
          </w:p>
        </w:tc>
        <w:tc>
          <w:tcPr>
            <w:tcW w:w="450" w:type="dxa"/>
            <w:vMerge/>
            <w:tcBorders>
              <w:left w:val="single" w:sz="18" w:space="0" w:color="auto"/>
            </w:tcBorders>
            <w:vAlign w:val="center"/>
          </w:tcPr>
          <w:p w:rsidR="00B27742" w:rsidRPr="00BD7CEA" w:rsidRDefault="00B27742" w:rsidP="00A872B3">
            <w:pPr>
              <w:jc w:val="center"/>
              <w:rPr>
                <w:rFonts w:cs="Tahoma"/>
                <w:sz w:val="20"/>
              </w:rPr>
            </w:pPr>
          </w:p>
        </w:tc>
        <w:tc>
          <w:tcPr>
            <w:tcW w:w="450" w:type="dxa"/>
            <w:vMerge/>
            <w:tcBorders>
              <w:right w:val="single" w:sz="18" w:space="0" w:color="auto"/>
            </w:tcBorders>
            <w:vAlign w:val="center"/>
          </w:tcPr>
          <w:p w:rsidR="00B27742" w:rsidRPr="00BD7CEA" w:rsidRDefault="00B27742" w:rsidP="00A872B3">
            <w:pPr>
              <w:jc w:val="center"/>
              <w:rPr>
                <w:rFonts w:cs="Tahoma"/>
                <w:sz w:val="20"/>
              </w:rPr>
            </w:pPr>
          </w:p>
        </w:tc>
        <w:tc>
          <w:tcPr>
            <w:tcW w:w="450" w:type="dxa"/>
            <w:vMerge/>
            <w:tcBorders>
              <w:left w:val="single" w:sz="18" w:space="0" w:color="auto"/>
              <w:right w:val="single" w:sz="18" w:space="0" w:color="auto"/>
            </w:tcBorders>
            <w:vAlign w:val="center"/>
          </w:tcPr>
          <w:p w:rsidR="00B27742" w:rsidRPr="00BD7CEA" w:rsidRDefault="00B27742" w:rsidP="00A872B3">
            <w:pPr>
              <w:jc w:val="center"/>
              <w:rPr>
                <w:rFonts w:cs="Tahoma"/>
                <w:sz w:val="20"/>
              </w:rPr>
            </w:pPr>
          </w:p>
        </w:tc>
        <w:tc>
          <w:tcPr>
            <w:tcW w:w="450" w:type="dxa"/>
            <w:vMerge/>
            <w:vAlign w:val="center"/>
          </w:tcPr>
          <w:p w:rsidR="00B27742" w:rsidRPr="00BD7CEA" w:rsidRDefault="00B27742" w:rsidP="00A872B3">
            <w:pPr>
              <w:jc w:val="center"/>
              <w:rPr>
                <w:rFonts w:cs="Tahoma"/>
                <w:sz w:val="20"/>
              </w:rPr>
            </w:pPr>
          </w:p>
        </w:tc>
        <w:tc>
          <w:tcPr>
            <w:tcW w:w="540" w:type="dxa"/>
            <w:vMerge/>
            <w:vAlign w:val="center"/>
          </w:tcPr>
          <w:p w:rsidR="00B27742" w:rsidRPr="00BD7CEA" w:rsidRDefault="00B27742" w:rsidP="00A872B3">
            <w:pPr>
              <w:jc w:val="center"/>
              <w:rPr>
                <w:rFonts w:cs="Tahoma"/>
                <w:sz w:val="20"/>
              </w:rPr>
            </w:pPr>
          </w:p>
        </w:tc>
      </w:tr>
      <w:tr w:rsidR="00AF4B30" w:rsidRPr="00BD7CEA" w:rsidTr="00A872B3">
        <w:trPr>
          <w:cantSplit/>
          <w:trHeight w:val="818"/>
          <w:tblHeader/>
        </w:trPr>
        <w:tc>
          <w:tcPr>
            <w:tcW w:w="2610" w:type="dxa"/>
            <w:vMerge/>
            <w:tcBorders>
              <w:left w:val="single" w:sz="4" w:space="0" w:color="FFFFFF"/>
              <w:bottom w:val="single" w:sz="4" w:space="0" w:color="auto"/>
            </w:tcBorders>
          </w:tcPr>
          <w:p w:rsidR="00B27742" w:rsidRPr="00BD7CEA" w:rsidRDefault="00B27742">
            <w:pPr>
              <w:rPr>
                <w:rFonts w:cs="Tahoma"/>
                <w:sz w:val="20"/>
              </w:rPr>
            </w:pPr>
          </w:p>
        </w:tc>
        <w:tc>
          <w:tcPr>
            <w:tcW w:w="360" w:type="dxa"/>
            <w:vMerge/>
            <w:tcBorders>
              <w:bottom w:val="single" w:sz="4" w:space="0" w:color="auto"/>
            </w:tcBorders>
          </w:tcPr>
          <w:p w:rsidR="00B27742" w:rsidRPr="00BD7CEA" w:rsidRDefault="00B27742">
            <w:pPr>
              <w:rPr>
                <w:rFonts w:cs="Tahoma"/>
                <w:b/>
                <w:sz w:val="20"/>
              </w:rPr>
            </w:pPr>
          </w:p>
        </w:tc>
        <w:tc>
          <w:tcPr>
            <w:tcW w:w="450" w:type="dxa"/>
            <w:vMerge/>
            <w:tcBorders>
              <w:bottom w:val="single" w:sz="4" w:space="0" w:color="auto"/>
            </w:tcBorders>
          </w:tcPr>
          <w:p w:rsidR="00B27742" w:rsidRPr="00BD7CEA" w:rsidRDefault="00B27742">
            <w:pPr>
              <w:rPr>
                <w:rFonts w:cs="Tahoma"/>
                <w:sz w:val="20"/>
              </w:rPr>
            </w:pPr>
          </w:p>
        </w:tc>
        <w:tc>
          <w:tcPr>
            <w:tcW w:w="360" w:type="dxa"/>
            <w:vMerge/>
            <w:tcBorders>
              <w:bottom w:val="single" w:sz="4" w:space="0" w:color="auto"/>
              <w:right w:val="single" w:sz="18" w:space="0" w:color="auto"/>
            </w:tcBorders>
          </w:tcPr>
          <w:p w:rsidR="00B27742" w:rsidRPr="00BD7CEA" w:rsidRDefault="00B27742">
            <w:pPr>
              <w:rPr>
                <w:rFonts w:cs="Tahoma"/>
                <w:sz w:val="20"/>
              </w:rPr>
            </w:pPr>
          </w:p>
        </w:tc>
        <w:tc>
          <w:tcPr>
            <w:tcW w:w="450" w:type="dxa"/>
            <w:vMerge/>
            <w:tcBorders>
              <w:left w:val="single" w:sz="18" w:space="0" w:color="auto"/>
              <w:bottom w:val="single" w:sz="4" w:space="0" w:color="auto"/>
            </w:tcBorders>
            <w:vAlign w:val="center"/>
          </w:tcPr>
          <w:p w:rsidR="00B27742" w:rsidRPr="00BD7CEA" w:rsidRDefault="00B27742">
            <w:pPr>
              <w:jc w:val="center"/>
              <w:rPr>
                <w:rFonts w:cs="Tahoma"/>
                <w:sz w:val="20"/>
              </w:rPr>
            </w:pPr>
          </w:p>
        </w:tc>
        <w:tc>
          <w:tcPr>
            <w:tcW w:w="450" w:type="dxa"/>
            <w:tcBorders>
              <w:bottom w:val="single" w:sz="4" w:space="0" w:color="auto"/>
            </w:tcBorders>
            <w:vAlign w:val="center"/>
          </w:tcPr>
          <w:p w:rsidR="00B27742" w:rsidRPr="00BD7CEA" w:rsidRDefault="00B27742">
            <w:pPr>
              <w:pStyle w:val="TableHeadingsGreen"/>
              <w:rPr>
                <w:rFonts w:ascii="Tahoma" w:hAnsi="Tahoma" w:cs="Tahoma"/>
                <w:sz w:val="9"/>
              </w:rPr>
            </w:pPr>
            <w:r w:rsidRPr="00BD7CEA">
              <w:rPr>
                <w:rFonts w:ascii="Tahoma" w:hAnsi="Tahoma" w:cs="Tahoma"/>
                <w:sz w:val="9"/>
              </w:rPr>
              <w:t>3An</w:t>
            </w:r>
          </w:p>
        </w:tc>
        <w:tc>
          <w:tcPr>
            <w:tcW w:w="450" w:type="dxa"/>
            <w:tcBorders>
              <w:bottom w:val="single" w:sz="4" w:space="0" w:color="auto"/>
            </w:tcBorders>
            <w:vAlign w:val="center"/>
          </w:tcPr>
          <w:p w:rsidR="00B27742" w:rsidRPr="00BD7CEA" w:rsidRDefault="00B27742">
            <w:pPr>
              <w:pStyle w:val="TableHeadingsGreen"/>
              <w:rPr>
                <w:rFonts w:ascii="Tahoma" w:hAnsi="Tahoma" w:cs="Tahoma"/>
                <w:sz w:val="9"/>
              </w:rPr>
            </w:pPr>
            <w:r w:rsidRPr="00BD7CEA">
              <w:rPr>
                <w:rFonts w:ascii="Tahoma" w:hAnsi="Tahoma" w:cs="Tahoma"/>
                <w:sz w:val="9"/>
              </w:rPr>
              <w:t>2An</w:t>
            </w:r>
          </w:p>
        </w:tc>
        <w:tc>
          <w:tcPr>
            <w:tcW w:w="450" w:type="dxa"/>
            <w:tcBorders>
              <w:bottom w:val="single" w:sz="4" w:space="0" w:color="auto"/>
            </w:tcBorders>
            <w:vAlign w:val="center"/>
          </w:tcPr>
          <w:p w:rsidR="00B27742" w:rsidRPr="00BD7CEA" w:rsidRDefault="00B27742">
            <w:pPr>
              <w:pStyle w:val="TableHeadingsGreen"/>
              <w:rPr>
                <w:rFonts w:ascii="Tahoma" w:hAnsi="Tahoma" w:cs="Tahoma"/>
                <w:sz w:val="9"/>
              </w:rPr>
            </w:pPr>
            <w:r w:rsidRPr="00BD7CEA">
              <w:rPr>
                <w:rFonts w:ascii="Tahoma" w:hAnsi="Tahoma" w:cs="Tahoma"/>
                <w:sz w:val="9"/>
              </w:rPr>
              <w:t>1An</w:t>
            </w:r>
          </w:p>
        </w:tc>
        <w:tc>
          <w:tcPr>
            <w:tcW w:w="450" w:type="dxa"/>
            <w:tcBorders>
              <w:bottom w:val="single" w:sz="4" w:space="0" w:color="auto"/>
            </w:tcBorders>
            <w:vAlign w:val="center"/>
          </w:tcPr>
          <w:p w:rsidR="00B27742" w:rsidRPr="00BD7CEA" w:rsidRDefault="00B27742">
            <w:pPr>
              <w:pStyle w:val="TableHeadingsBlue"/>
              <w:rPr>
                <w:rFonts w:ascii="Tahoma" w:hAnsi="Tahoma" w:cs="Tahoma"/>
                <w:sz w:val="9"/>
              </w:rPr>
            </w:pPr>
            <w:r w:rsidRPr="00BD7CEA">
              <w:rPr>
                <w:rFonts w:ascii="Tahoma" w:hAnsi="Tahoma" w:cs="Tahoma"/>
                <w:sz w:val="9"/>
              </w:rPr>
              <w:t>3An</w:t>
            </w:r>
          </w:p>
        </w:tc>
        <w:tc>
          <w:tcPr>
            <w:tcW w:w="450" w:type="dxa"/>
            <w:tcBorders>
              <w:bottom w:val="single" w:sz="4" w:space="0" w:color="auto"/>
            </w:tcBorders>
            <w:vAlign w:val="center"/>
          </w:tcPr>
          <w:p w:rsidR="00B27742" w:rsidRPr="00BD7CEA" w:rsidRDefault="00B27742">
            <w:pPr>
              <w:pStyle w:val="TableHeadingsBlue"/>
              <w:rPr>
                <w:rFonts w:ascii="Tahoma" w:hAnsi="Tahoma" w:cs="Tahoma"/>
                <w:sz w:val="9"/>
              </w:rPr>
            </w:pPr>
            <w:r w:rsidRPr="00BD7CEA">
              <w:rPr>
                <w:rFonts w:ascii="Tahoma" w:hAnsi="Tahoma" w:cs="Tahoma"/>
                <w:sz w:val="9"/>
              </w:rPr>
              <w:t>2An</w:t>
            </w:r>
          </w:p>
        </w:tc>
        <w:tc>
          <w:tcPr>
            <w:tcW w:w="360" w:type="dxa"/>
            <w:tcBorders>
              <w:bottom w:val="single" w:sz="4" w:space="0" w:color="auto"/>
              <w:right w:val="single" w:sz="18" w:space="0" w:color="auto"/>
            </w:tcBorders>
            <w:vAlign w:val="center"/>
          </w:tcPr>
          <w:p w:rsidR="00B27742" w:rsidRPr="00BD7CEA" w:rsidRDefault="00B27742">
            <w:pPr>
              <w:pStyle w:val="TableHeadingsBlue"/>
              <w:rPr>
                <w:rFonts w:ascii="Tahoma" w:hAnsi="Tahoma" w:cs="Tahoma"/>
                <w:sz w:val="9"/>
              </w:rPr>
            </w:pPr>
            <w:r w:rsidRPr="00BD7CEA">
              <w:rPr>
                <w:rFonts w:ascii="Tahoma" w:hAnsi="Tahoma" w:cs="Tahoma"/>
                <w:sz w:val="9"/>
              </w:rPr>
              <w:t>1An</w:t>
            </w:r>
          </w:p>
        </w:tc>
        <w:tc>
          <w:tcPr>
            <w:tcW w:w="450" w:type="dxa"/>
            <w:vMerge/>
            <w:tcBorders>
              <w:left w:val="single" w:sz="18" w:space="0" w:color="auto"/>
              <w:bottom w:val="single" w:sz="4" w:space="0" w:color="auto"/>
            </w:tcBorders>
            <w:vAlign w:val="center"/>
          </w:tcPr>
          <w:p w:rsidR="00B27742" w:rsidRPr="00BD7CEA" w:rsidRDefault="00B27742">
            <w:pPr>
              <w:jc w:val="center"/>
              <w:rPr>
                <w:rFonts w:cs="Tahoma"/>
                <w:sz w:val="20"/>
              </w:rPr>
            </w:pPr>
          </w:p>
        </w:tc>
        <w:tc>
          <w:tcPr>
            <w:tcW w:w="450" w:type="dxa"/>
            <w:tcBorders>
              <w:bottom w:val="single" w:sz="4" w:space="0" w:color="auto"/>
            </w:tcBorders>
            <w:vAlign w:val="center"/>
          </w:tcPr>
          <w:p w:rsidR="00B27742" w:rsidRPr="00BD7CEA" w:rsidRDefault="00B27742">
            <w:pPr>
              <w:pStyle w:val="TableHeadingsGreen"/>
              <w:rPr>
                <w:rFonts w:ascii="Tahoma" w:hAnsi="Tahoma" w:cs="Tahoma"/>
                <w:sz w:val="9"/>
              </w:rPr>
            </w:pPr>
            <w:r w:rsidRPr="00BD7CEA">
              <w:rPr>
                <w:rFonts w:ascii="Tahoma" w:hAnsi="Tahoma" w:cs="Tahoma"/>
                <w:sz w:val="9"/>
              </w:rPr>
              <w:t>P</w:t>
            </w:r>
          </w:p>
        </w:tc>
        <w:tc>
          <w:tcPr>
            <w:tcW w:w="450" w:type="dxa"/>
            <w:vMerge/>
            <w:tcBorders>
              <w:bottom w:val="single" w:sz="4" w:space="0" w:color="auto"/>
              <w:right w:val="single" w:sz="18" w:space="0" w:color="auto"/>
            </w:tcBorders>
            <w:vAlign w:val="center"/>
          </w:tcPr>
          <w:p w:rsidR="00B27742" w:rsidRPr="00BD7CEA" w:rsidRDefault="00B27742">
            <w:pPr>
              <w:jc w:val="center"/>
              <w:rPr>
                <w:rFonts w:cs="Tahoma"/>
                <w:sz w:val="20"/>
              </w:rPr>
            </w:pPr>
          </w:p>
        </w:tc>
        <w:tc>
          <w:tcPr>
            <w:tcW w:w="450" w:type="dxa"/>
            <w:vMerge/>
            <w:tcBorders>
              <w:left w:val="single" w:sz="18" w:space="0" w:color="auto"/>
              <w:bottom w:val="single" w:sz="4" w:space="0" w:color="auto"/>
            </w:tcBorders>
            <w:vAlign w:val="center"/>
          </w:tcPr>
          <w:p w:rsidR="00B27742" w:rsidRPr="00BD7CEA" w:rsidRDefault="00B27742" w:rsidP="00A872B3">
            <w:pPr>
              <w:jc w:val="center"/>
              <w:rPr>
                <w:rFonts w:cs="Tahoma"/>
                <w:sz w:val="20"/>
              </w:rPr>
            </w:pPr>
          </w:p>
        </w:tc>
        <w:tc>
          <w:tcPr>
            <w:tcW w:w="450" w:type="dxa"/>
            <w:vMerge/>
            <w:tcBorders>
              <w:bottom w:val="single" w:sz="4" w:space="0" w:color="auto"/>
              <w:right w:val="single" w:sz="18" w:space="0" w:color="auto"/>
            </w:tcBorders>
            <w:vAlign w:val="center"/>
          </w:tcPr>
          <w:p w:rsidR="00B27742" w:rsidRPr="00BD7CEA" w:rsidRDefault="00B27742" w:rsidP="00A872B3">
            <w:pPr>
              <w:jc w:val="center"/>
              <w:rPr>
                <w:rFonts w:cs="Tahoma"/>
                <w:sz w:val="20"/>
              </w:rPr>
            </w:pPr>
          </w:p>
        </w:tc>
        <w:tc>
          <w:tcPr>
            <w:tcW w:w="450" w:type="dxa"/>
            <w:vMerge/>
            <w:tcBorders>
              <w:left w:val="single" w:sz="18" w:space="0" w:color="auto"/>
              <w:bottom w:val="single" w:sz="4" w:space="0" w:color="auto"/>
              <w:right w:val="single" w:sz="18" w:space="0" w:color="auto"/>
            </w:tcBorders>
            <w:vAlign w:val="center"/>
          </w:tcPr>
          <w:p w:rsidR="00B27742" w:rsidRPr="00BD7CEA" w:rsidRDefault="00B27742" w:rsidP="00A872B3">
            <w:pPr>
              <w:jc w:val="center"/>
              <w:rPr>
                <w:rFonts w:cs="Tahoma"/>
                <w:sz w:val="20"/>
              </w:rPr>
            </w:pPr>
          </w:p>
        </w:tc>
        <w:tc>
          <w:tcPr>
            <w:tcW w:w="450" w:type="dxa"/>
            <w:vMerge/>
            <w:tcBorders>
              <w:bottom w:val="single" w:sz="4" w:space="0" w:color="auto"/>
            </w:tcBorders>
            <w:vAlign w:val="center"/>
          </w:tcPr>
          <w:p w:rsidR="00B27742" w:rsidRPr="00BD7CEA" w:rsidRDefault="00B27742" w:rsidP="00A872B3">
            <w:pPr>
              <w:jc w:val="center"/>
              <w:rPr>
                <w:rFonts w:cs="Tahoma"/>
                <w:sz w:val="20"/>
              </w:rPr>
            </w:pPr>
          </w:p>
        </w:tc>
        <w:tc>
          <w:tcPr>
            <w:tcW w:w="540" w:type="dxa"/>
            <w:vMerge/>
            <w:tcBorders>
              <w:bottom w:val="single" w:sz="4" w:space="0" w:color="auto"/>
            </w:tcBorders>
            <w:vAlign w:val="center"/>
          </w:tcPr>
          <w:p w:rsidR="00B27742" w:rsidRPr="00BD7CEA" w:rsidRDefault="00B27742" w:rsidP="00A872B3">
            <w:pPr>
              <w:jc w:val="center"/>
              <w:rPr>
                <w:rFonts w:cs="Tahoma"/>
                <w:sz w:val="20"/>
              </w:rPr>
            </w:pPr>
          </w:p>
        </w:tc>
      </w:tr>
      <w:tr w:rsidR="001A63C6" w:rsidRPr="00BD7CEA" w:rsidTr="007E466C">
        <w:trPr>
          <w:trHeight w:val="145"/>
        </w:trPr>
        <w:tc>
          <w:tcPr>
            <w:tcW w:w="2610" w:type="dxa"/>
            <w:tcBorders>
              <w:bottom w:val="single" w:sz="4" w:space="0" w:color="auto"/>
            </w:tcBorders>
            <w:shd w:val="clear" w:color="auto" w:fill="FABF8F"/>
          </w:tcPr>
          <w:p w:rsidR="001A63C6" w:rsidRPr="00BD7CEA" w:rsidRDefault="001A63C6" w:rsidP="00C627F9">
            <w:pPr>
              <w:pStyle w:val="ProductNames"/>
              <w:rPr>
                <w:rFonts w:ascii="Tahoma" w:hAnsi="Tahoma" w:cs="Tahoma"/>
                <w:sz w:val="14"/>
              </w:rPr>
            </w:pPr>
            <w:bookmarkStart w:id="124" w:name="_Toc353375681"/>
            <w:r w:rsidRPr="00BD7CEA">
              <w:rPr>
                <w:rFonts w:ascii="Tahoma" w:hAnsi="Tahoma" w:cs="Tahoma"/>
                <w:sz w:val="14"/>
              </w:rPr>
              <w:t>Microsoft Desktop Optimization Pack per Software Assurance.</w:t>
            </w:r>
            <w:bookmarkEnd w:id="124"/>
          </w:p>
        </w:tc>
        <w:tc>
          <w:tcPr>
            <w:tcW w:w="360" w:type="dxa"/>
            <w:tcBorders>
              <w:bottom w:val="single" w:sz="4" w:space="0" w:color="auto"/>
            </w:tcBorders>
            <w:shd w:val="clear" w:color="auto" w:fill="FABF8F"/>
            <w:vAlign w:val="center"/>
          </w:tcPr>
          <w:p w:rsidR="001A63C6" w:rsidRPr="00BD7CEA" w:rsidRDefault="006E5080" w:rsidP="00B0065F">
            <w:pPr>
              <w:pStyle w:val="TableText"/>
              <w:widowControl w:val="0"/>
              <w:rPr>
                <w:b/>
                <w:color w:val="0000FF"/>
                <w:sz w:val="13"/>
                <w:szCs w:val="13"/>
                <w:u w:val="single"/>
              </w:rPr>
            </w:pPr>
            <w:hyperlink w:anchor="_24_Microsoft_Desktop" w:history="1">
              <w:r w:rsidR="00955428" w:rsidRPr="00BD7CEA">
                <w:rPr>
                  <w:rStyle w:val="Hyperlink"/>
                  <w:b/>
                  <w:sz w:val="13"/>
                  <w:szCs w:val="13"/>
                </w:rPr>
                <w:t>24</w:t>
              </w:r>
            </w:hyperlink>
          </w:p>
        </w:tc>
        <w:tc>
          <w:tcPr>
            <w:tcW w:w="450" w:type="dxa"/>
            <w:tcBorders>
              <w:bottom w:val="single" w:sz="4" w:space="0" w:color="auto"/>
            </w:tcBorders>
            <w:shd w:val="clear" w:color="auto" w:fill="FABF8F"/>
            <w:vAlign w:val="center"/>
          </w:tcPr>
          <w:p w:rsidR="001A63C6" w:rsidRPr="00BD7CEA" w:rsidRDefault="004D199A" w:rsidP="004D199A">
            <w:pPr>
              <w:pStyle w:val="TableText"/>
              <w:rPr>
                <w:rFonts w:ascii="Tahoma" w:hAnsi="Tahoma" w:cs="Tahoma"/>
                <w:sz w:val="13"/>
              </w:rPr>
            </w:pPr>
            <w:r w:rsidRPr="00BD7CEA">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rsidR="001A63C6" w:rsidRPr="00BD7CEA" w:rsidRDefault="001A63C6">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1A63C6" w:rsidRPr="00BD7CEA" w:rsidRDefault="009A015E">
            <w:pPr>
              <w:pStyle w:val="TableText"/>
              <w:rPr>
                <w:rFonts w:ascii="Tahoma" w:hAnsi="Tahoma" w:cs="Tahoma"/>
                <w:sz w:val="13"/>
              </w:rPr>
            </w:pPr>
            <w:r w:rsidRPr="00BD7CEA">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BD7CEA" w:rsidRDefault="001A63C6">
            <w:pPr>
              <w:pStyle w:val="TableText"/>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4D199A" w:rsidP="004479EA">
            <w:pPr>
              <w:pStyle w:val="TableText"/>
              <w:rPr>
                <w:rFonts w:ascii="Tahoma" w:hAnsi="Tahoma" w:cs="Tahoma"/>
                <w:sz w:val="13"/>
              </w:rPr>
            </w:pPr>
            <w:r w:rsidRPr="00BD7CEA">
              <w:rPr>
                <w:rFonts w:ascii="Tahoma" w:hAnsi="Tahoma" w:cs="Tahoma"/>
                <w:sz w:val="13"/>
              </w:rPr>
              <w:t>1,E</w:t>
            </w:r>
          </w:p>
        </w:tc>
        <w:tc>
          <w:tcPr>
            <w:tcW w:w="450" w:type="dxa"/>
            <w:tcBorders>
              <w:bottom w:val="single" w:sz="4" w:space="0" w:color="auto"/>
              <w:right w:val="single" w:sz="18" w:space="0" w:color="auto"/>
            </w:tcBorders>
            <w:shd w:val="clear" w:color="auto" w:fill="FABF8F"/>
            <w:vAlign w:val="center"/>
          </w:tcPr>
          <w:p w:rsidR="001A63C6" w:rsidRPr="00BD7CEA" w:rsidRDefault="004D199A" w:rsidP="008925CF">
            <w:pPr>
              <w:pStyle w:val="TableText"/>
              <w:rPr>
                <w:rFonts w:ascii="Tahoma" w:hAnsi="Tahoma" w:cs="Tahoma"/>
                <w:sz w:val="13"/>
              </w:rPr>
            </w:pPr>
            <w:r w:rsidRPr="00BD7CEA">
              <w:rPr>
                <w:rFonts w:ascii="Tahoma" w:hAnsi="Tahoma" w:cs="Tahoma"/>
                <w:sz w:val="13"/>
              </w:rPr>
              <w:t>E,A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4D199A">
            <w:pPr>
              <w:pStyle w:val="TableText"/>
              <w:rPr>
                <w:rFonts w:ascii="Tahoma" w:hAnsi="Tahoma" w:cs="Tahoma"/>
                <w:sz w:val="13"/>
              </w:rPr>
            </w:pPr>
            <w:r w:rsidRPr="00BD7CEA">
              <w:rPr>
                <w:rFonts w:ascii="Tahoma" w:hAnsi="Tahoma" w:cs="Tahoma"/>
                <w:sz w:val="13"/>
              </w:rPr>
              <w:t>P</w:t>
            </w:r>
          </w:p>
        </w:tc>
        <w:tc>
          <w:tcPr>
            <w:tcW w:w="450" w:type="dxa"/>
            <w:tcBorders>
              <w:bottom w:val="single" w:sz="4" w:space="0" w:color="auto"/>
            </w:tcBorders>
            <w:shd w:val="clear" w:color="auto" w:fill="FABF8F"/>
            <w:vAlign w:val="center"/>
          </w:tcPr>
          <w:p w:rsidR="001A63C6" w:rsidRPr="00BD7CEA" w:rsidRDefault="009A015E" w:rsidP="009A015E">
            <w:pPr>
              <w:pStyle w:val="TableText"/>
              <w:rPr>
                <w:rFonts w:ascii="Tahoma" w:hAnsi="Tahoma" w:cs="Tahoma"/>
                <w:sz w:val="13"/>
              </w:rPr>
            </w:pPr>
            <w:r w:rsidRPr="00BD7CEA">
              <w:rPr>
                <w:rFonts w:ascii="Tahoma" w:hAnsi="Tahoma" w:cs="Tahoma"/>
                <w:sz w:val="13"/>
              </w:rPr>
              <w:t>A, ST</w:t>
            </w:r>
          </w:p>
        </w:tc>
        <w:tc>
          <w:tcPr>
            <w:tcW w:w="540" w:type="dxa"/>
            <w:tcBorders>
              <w:bottom w:val="single" w:sz="4" w:space="0" w:color="auto"/>
            </w:tcBorders>
            <w:shd w:val="clear" w:color="auto" w:fill="FABF8F"/>
            <w:vAlign w:val="center"/>
          </w:tcPr>
          <w:p w:rsidR="001A63C6" w:rsidRPr="00BD7CEA" w:rsidRDefault="001A63C6">
            <w:pPr>
              <w:pStyle w:val="TableText"/>
              <w:rPr>
                <w:rFonts w:ascii="Tahoma" w:hAnsi="Tahoma" w:cs="Tahoma"/>
                <w:sz w:val="13"/>
              </w:rPr>
            </w:pPr>
          </w:p>
        </w:tc>
      </w:tr>
      <w:tr w:rsidR="002854D4" w:rsidRPr="00BD7CEA" w:rsidTr="00483B3D">
        <w:trPr>
          <w:trHeight w:val="145"/>
        </w:trPr>
        <w:tc>
          <w:tcPr>
            <w:tcW w:w="2610" w:type="dxa"/>
            <w:tcBorders>
              <w:bottom w:val="single" w:sz="4" w:space="0" w:color="auto"/>
            </w:tcBorders>
            <w:shd w:val="clear" w:color="auto" w:fill="auto"/>
          </w:tcPr>
          <w:p w:rsidR="002854D4" w:rsidRPr="00BD7CEA" w:rsidRDefault="002854D4" w:rsidP="00F70479">
            <w:pPr>
              <w:pStyle w:val="ProductNames"/>
              <w:rPr>
                <w:rFonts w:ascii="Tahoma" w:hAnsi="Tahoma" w:cs="Tahoma"/>
                <w:sz w:val="14"/>
              </w:rPr>
            </w:pPr>
            <w:bookmarkStart w:id="125" w:name="_Toc336337897"/>
            <w:bookmarkStart w:id="126" w:name="_Toc353375682"/>
            <w:r w:rsidRPr="00BD7CEA">
              <w:rPr>
                <w:rFonts w:ascii="Tahoma" w:hAnsi="Tahoma" w:cs="Tahoma"/>
                <w:sz w:val="14"/>
              </w:rPr>
              <w:t>Licenza “Subscription” per Windows Companion</w:t>
            </w:r>
            <w:bookmarkEnd w:id="125"/>
            <w:bookmarkEnd w:id="126"/>
          </w:p>
        </w:tc>
        <w:tc>
          <w:tcPr>
            <w:tcW w:w="360" w:type="dxa"/>
            <w:tcBorders>
              <w:bottom w:val="single" w:sz="4" w:space="0" w:color="auto"/>
            </w:tcBorders>
            <w:shd w:val="clear" w:color="auto" w:fill="auto"/>
            <w:vAlign w:val="center"/>
          </w:tcPr>
          <w:p w:rsidR="002854D4" w:rsidRPr="00BD7CEA" w:rsidRDefault="006E5080" w:rsidP="00B0065F">
            <w:pPr>
              <w:pStyle w:val="TableText"/>
              <w:widowControl w:val="0"/>
              <w:rPr>
                <w:b/>
                <w:color w:val="0000FF"/>
                <w:sz w:val="13"/>
                <w:szCs w:val="13"/>
                <w:u w:val="single"/>
              </w:rPr>
            </w:pPr>
            <w:hyperlink r:id="rId23" w:anchor="_25_Licenza_" w:history="1">
              <w:r w:rsidR="00955428" w:rsidRPr="00BD7CEA">
                <w:rPr>
                  <w:rStyle w:val="Hyperlink"/>
                  <w:b/>
                  <w:sz w:val="13"/>
                  <w:szCs w:val="13"/>
                </w:rPr>
                <w:t>25</w:t>
              </w:r>
            </w:hyperlink>
          </w:p>
        </w:tc>
        <w:tc>
          <w:tcPr>
            <w:tcW w:w="450" w:type="dxa"/>
            <w:tcBorders>
              <w:bottom w:val="single" w:sz="4" w:space="0" w:color="auto"/>
            </w:tcBorders>
            <w:shd w:val="clear" w:color="auto" w:fill="auto"/>
            <w:vAlign w:val="center"/>
          </w:tcPr>
          <w:p w:rsidR="002854D4" w:rsidRPr="00BD7CEA" w:rsidRDefault="002854D4" w:rsidP="004D199A">
            <w:pPr>
              <w:pStyle w:val="TableText"/>
              <w:rPr>
                <w:rFonts w:ascii="Tahoma" w:hAnsi="Tahoma" w:cs="Tahoma"/>
                <w:sz w:val="13"/>
              </w:rPr>
            </w:pPr>
            <w:r w:rsidRPr="00BD7CEA">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2854D4" w:rsidRPr="00BD7CEA" w:rsidRDefault="002854D4">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2854D4" w:rsidRPr="00BD7CEA" w:rsidRDefault="002854D4">
            <w:pPr>
              <w:pStyle w:val="TableText"/>
              <w:rPr>
                <w:rFonts w:ascii="Tahoma" w:hAnsi="Tahoma" w:cs="Tahoma"/>
                <w:sz w:val="13"/>
              </w:rPr>
            </w:pPr>
            <w:r w:rsidRPr="00BD7CEA">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rsidR="002854D4" w:rsidRPr="00BD7CEA" w:rsidRDefault="002854D4">
            <w:pPr>
              <w:pStyle w:val="TableText"/>
              <w:rPr>
                <w:rFonts w:ascii="Tahoma" w:hAnsi="Tahoma" w:cs="Tahoma"/>
                <w:sz w:val="13"/>
              </w:rPr>
            </w:pPr>
          </w:p>
        </w:tc>
        <w:tc>
          <w:tcPr>
            <w:tcW w:w="450" w:type="dxa"/>
            <w:tcBorders>
              <w:bottom w:val="single" w:sz="4" w:space="0" w:color="auto"/>
            </w:tcBorders>
            <w:shd w:val="clear" w:color="auto" w:fill="auto"/>
            <w:vAlign w:val="center"/>
          </w:tcPr>
          <w:p w:rsidR="002854D4" w:rsidRPr="00BD7CEA" w:rsidRDefault="002854D4">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854D4" w:rsidRPr="00BD7CEA" w:rsidRDefault="002854D4">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854D4" w:rsidRPr="00BD7CEA" w:rsidRDefault="002854D4" w:rsidP="004479EA">
            <w:pPr>
              <w:pStyle w:val="TableText"/>
              <w:rPr>
                <w:rFonts w:ascii="Tahoma" w:hAnsi="Tahoma" w:cs="Tahoma"/>
                <w:sz w:val="13"/>
              </w:rPr>
            </w:pPr>
            <w:r w:rsidRPr="00BD7CE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2854D4" w:rsidRPr="00BD7CEA" w:rsidRDefault="002854D4" w:rsidP="008925CF">
            <w:pPr>
              <w:pStyle w:val="TableText"/>
              <w:rPr>
                <w:rFonts w:ascii="Tahoma" w:hAnsi="Tahoma" w:cs="Tahoma"/>
                <w:sz w:val="13"/>
              </w:rPr>
            </w:pPr>
            <w:r w:rsidRPr="00BD7CEA">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2854D4" w:rsidRPr="00BD7CEA" w:rsidRDefault="002854D4">
            <w:pPr>
              <w:pStyle w:val="TableText"/>
              <w:rPr>
                <w:rFonts w:ascii="Tahoma" w:hAnsi="Tahoma" w:cs="Tahoma"/>
                <w:sz w:val="13"/>
              </w:rPr>
            </w:pPr>
          </w:p>
        </w:tc>
        <w:tc>
          <w:tcPr>
            <w:tcW w:w="450" w:type="dxa"/>
            <w:tcBorders>
              <w:bottom w:val="single" w:sz="4" w:space="0" w:color="auto"/>
            </w:tcBorders>
            <w:shd w:val="clear" w:color="auto" w:fill="auto"/>
          </w:tcPr>
          <w:p w:rsidR="002854D4" w:rsidRPr="00BD7CEA" w:rsidRDefault="002854D4">
            <w:pPr>
              <w:pStyle w:val="TableText"/>
              <w:rPr>
                <w:rFonts w:ascii="Tahoma" w:hAnsi="Tahoma" w:cs="Tahoma"/>
                <w:sz w:val="13"/>
              </w:rPr>
            </w:pPr>
            <w:r w:rsidRPr="00BD7CEA">
              <w:rPr>
                <w:rFonts w:ascii="Tahoma" w:hAnsi="Tahoma" w:cs="Tahoma"/>
                <w:sz w:val="13"/>
              </w:rPr>
              <w:t>A (Solo EES)</w:t>
            </w:r>
          </w:p>
        </w:tc>
        <w:tc>
          <w:tcPr>
            <w:tcW w:w="540" w:type="dxa"/>
            <w:tcBorders>
              <w:bottom w:val="single" w:sz="4" w:space="0" w:color="auto"/>
            </w:tcBorders>
            <w:shd w:val="clear" w:color="auto" w:fill="auto"/>
            <w:vAlign w:val="center"/>
          </w:tcPr>
          <w:p w:rsidR="002854D4" w:rsidRPr="00BD7CEA" w:rsidRDefault="002854D4">
            <w:pPr>
              <w:pStyle w:val="TableText"/>
              <w:rPr>
                <w:rFonts w:ascii="Tahoma" w:hAnsi="Tahoma" w:cs="Tahoma"/>
                <w:sz w:val="13"/>
              </w:rPr>
            </w:pPr>
          </w:p>
        </w:tc>
      </w:tr>
      <w:tr w:rsidR="00B33D0E" w:rsidRPr="00BD7CEA" w:rsidTr="002B327C">
        <w:trPr>
          <w:trHeight w:val="145"/>
        </w:trPr>
        <w:tc>
          <w:tcPr>
            <w:tcW w:w="2610" w:type="dxa"/>
            <w:tcBorders>
              <w:bottom w:val="single" w:sz="4" w:space="0" w:color="auto"/>
            </w:tcBorders>
            <w:shd w:val="clear" w:color="auto" w:fill="FABF8F"/>
          </w:tcPr>
          <w:p w:rsidR="008357AC" w:rsidRPr="00BD7CEA" w:rsidRDefault="008357AC" w:rsidP="00F70479">
            <w:pPr>
              <w:pStyle w:val="ProductNames"/>
              <w:rPr>
                <w:rFonts w:ascii="Tahoma" w:hAnsi="Tahoma" w:cs="Tahoma"/>
                <w:sz w:val="14"/>
              </w:rPr>
            </w:pPr>
            <w:bookmarkStart w:id="127" w:name="_Toc336337898"/>
            <w:bookmarkStart w:id="128" w:name="_Toc353375683"/>
            <w:r w:rsidRPr="00BD7CEA">
              <w:rPr>
                <w:rFonts w:ascii="Tahoma" w:hAnsi="Tahoma" w:cs="Tahoma"/>
                <w:sz w:val="14"/>
              </w:rPr>
              <w:t>Windows Vista DVD Playback Pack</w:t>
            </w:r>
            <w:bookmarkEnd w:id="127"/>
            <w:bookmarkEnd w:id="128"/>
            <w:r w:rsidRPr="00BD7CEA">
              <w:rPr>
                <w:rFonts w:ascii="Tahoma" w:hAnsi="Tahoma" w:cs="Tahoma"/>
                <w:sz w:val="14"/>
              </w:rPr>
              <w:t xml:space="preserve"> </w:t>
            </w:r>
          </w:p>
        </w:tc>
        <w:tc>
          <w:tcPr>
            <w:tcW w:w="360" w:type="dxa"/>
            <w:tcBorders>
              <w:bottom w:val="single" w:sz="4" w:space="0" w:color="auto"/>
            </w:tcBorders>
            <w:shd w:val="clear" w:color="auto" w:fill="FABF8F"/>
            <w:vAlign w:val="center"/>
          </w:tcPr>
          <w:p w:rsidR="008357AC" w:rsidRPr="00BD7CEA" w:rsidRDefault="006E5080" w:rsidP="00B0065F">
            <w:pPr>
              <w:pStyle w:val="TableText"/>
              <w:widowControl w:val="0"/>
              <w:rPr>
                <w:b/>
                <w:color w:val="0000FF"/>
                <w:sz w:val="13"/>
                <w:szCs w:val="13"/>
                <w:u w:val="single"/>
              </w:rPr>
            </w:pPr>
            <w:hyperlink w:anchor="_26_Windows_Vista" w:history="1">
              <w:r w:rsidR="00955428" w:rsidRPr="00BD7CEA">
                <w:rPr>
                  <w:rStyle w:val="Hyperlink"/>
                  <w:b/>
                  <w:sz w:val="13"/>
                  <w:szCs w:val="13"/>
                </w:rPr>
                <w:t>26</w:t>
              </w:r>
            </w:hyperlink>
          </w:p>
        </w:tc>
        <w:tc>
          <w:tcPr>
            <w:tcW w:w="450" w:type="dxa"/>
            <w:tcBorders>
              <w:bottom w:val="single" w:sz="4" w:space="0" w:color="auto"/>
            </w:tcBorders>
            <w:shd w:val="clear" w:color="auto" w:fill="FABF8F"/>
          </w:tcPr>
          <w:p w:rsidR="008357AC" w:rsidRPr="00BD7CEA" w:rsidDel="00587D23" w:rsidRDefault="008357AC" w:rsidP="00384940">
            <w:pPr>
              <w:pStyle w:val="TableText"/>
              <w:rPr>
                <w:rFonts w:ascii="Tahoma" w:hAnsi="Tahoma" w:cs="Tahoma"/>
                <w:sz w:val="13"/>
              </w:rPr>
            </w:pPr>
            <w:r w:rsidRPr="00BD7CEA">
              <w:rPr>
                <w:rFonts w:ascii="Tahoma" w:hAnsi="Tahoma" w:cs="Tahoma"/>
                <w:sz w:val="13"/>
              </w:rPr>
              <w:t>03/11</w:t>
            </w:r>
          </w:p>
        </w:tc>
        <w:tc>
          <w:tcPr>
            <w:tcW w:w="360" w:type="dxa"/>
            <w:tcBorders>
              <w:bottom w:val="single" w:sz="4" w:space="0" w:color="auto"/>
              <w:right w:val="single" w:sz="18" w:space="0" w:color="auto"/>
            </w:tcBorders>
            <w:shd w:val="clear" w:color="auto" w:fill="FABF8F"/>
            <w:vAlign w:val="center"/>
          </w:tcPr>
          <w:p w:rsidR="008357AC" w:rsidRPr="00BD7CEA" w:rsidRDefault="008357AC">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8357AC" w:rsidRPr="00BD7CEA" w:rsidRDefault="00FC7674">
            <w:pPr>
              <w:pStyle w:val="TableText"/>
              <w:rPr>
                <w:rFonts w:ascii="Tahoma" w:hAnsi="Tahoma" w:cs="Tahoma"/>
                <w:sz w:val="13"/>
              </w:rPr>
            </w:pPr>
            <w:r w:rsidRPr="00BD7CEA">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8357AC" w:rsidRPr="00BD7CEA" w:rsidRDefault="00FC7674">
            <w:pPr>
              <w:pStyle w:val="TableText"/>
              <w:rPr>
                <w:rFonts w:ascii="Tahoma" w:hAnsi="Tahoma" w:cs="Tahoma"/>
                <w:sz w:val="13"/>
              </w:rPr>
            </w:pPr>
            <w:r w:rsidRPr="00BD7CEA">
              <w:rPr>
                <w:rFonts w:ascii="Tahoma" w:hAnsi="Tahoma" w:cs="Tahoma"/>
                <w:sz w:val="13"/>
              </w:rPr>
              <w:t>2</w:t>
            </w:r>
          </w:p>
        </w:tc>
        <w:tc>
          <w:tcPr>
            <w:tcW w:w="450" w:type="dxa"/>
            <w:tcBorders>
              <w:bottom w:val="single" w:sz="4" w:space="0" w:color="auto"/>
            </w:tcBorders>
            <w:shd w:val="clear" w:color="auto" w:fill="FABF8F"/>
            <w:vAlign w:val="center"/>
          </w:tcPr>
          <w:p w:rsidR="008357AC" w:rsidRPr="00BD7CEA" w:rsidRDefault="008357AC">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8357AC" w:rsidRPr="00BD7CEA" w:rsidRDefault="008357AC">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8357AC" w:rsidRPr="00BD7CEA" w:rsidRDefault="008357AC" w:rsidP="004479EA">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8357AC" w:rsidRPr="00BD7CEA" w:rsidRDefault="008357AC" w:rsidP="008925CF">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8357AC" w:rsidRPr="00BD7CEA" w:rsidRDefault="008357AC">
            <w:pPr>
              <w:pStyle w:val="TableText"/>
              <w:rPr>
                <w:rFonts w:ascii="Tahoma" w:hAnsi="Tahoma" w:cs="Tahoma"/>
                <w:sz w:val="13"/>
              </w:rPr>
            </w:pPr>
          </w:p>
        </w:tc>
        <w:tc>
          <w:tcPr>
            <w:tcW w:w="450" w:type="dxa"/>
            <w:tcBorders>
              <w:bottom w:val="single" w:sz="4" w:space="0" w:color="auto"/>
            </w:tcBorders>
            <w:shd w:val="clear" w:color="auto" w:fill="FABF8F"/>
          </w:tcPr>
          <w:p w:rsidR="008357AC" w:rsidRPr="00BD7CEA" w:rsidRDefault="008357AC">
            <w:pPr>
              <w:pStyle w:val="TableText"/>
              <w:rPr>
                <w:rFonts w:ascii="Tahoma" w:hAnsi="Tahoma" w:cs="Tahoma"/>
                <w:sz w:val="13"/>
              </w:rPr>
            </w:pPr>
          </w:p>
        </w:tc>
        <w:tc>
          <w:tcPr>
            <w:tcW w:w="540" w:type="dxa"/>
            <w:tcBorders>
              <w:bottom w:val="single" w:sz="4" w:space="0" w:color="auto"/>
            </w:tcBorders>
            <w:shd w:val="clear" w:color="auto" w:fill="FABF8F"/>
            <w:vAlign w:val="center"/>
          </w:tcPr>
          <w:p w:rsidR="008357AC" w:rsidRPr="00BD7CEA" w:rsidRDefault="008357AC">
            <w:pPr>
              <w:pStyle w:val="TableText"/>
              <w:rPr>
                <w:rFonts w:ascii="Tahoma" w:hAnsi="Tahoma" w:cs="Tahoma"/>
                <w:sz w:val="13"/>
              </w:rPr>
            </w:pPr>
          </w:p>
        </w:tc>
      </w:tr>
      <w:tr w:rsidR="00B50A5B" w:rsidRPr="00BD7CEA" w:rsidTr="007E466C">
        <w:trPr>
          <w:trHeight w:val="145"/>
        </w:trPr>
        <w:tc>
          <w:tcPr>
            <w:tcW w:w="2610" w:type="dxa"/>
            <w:tcBorders>
              <w:bottom w:val="single" w:sz="4" w:space="0" w:color="auto"/>
            </w:tcBorders>
            <w:shd w:val="clear" w:color="auto" w:fill="auto"/>
          </w:tcPr>
          <w:p w:rsidR="00B27742" w:rsidRPr="007B74B7" w:rsidRDefault="00B27742" w:rsidP="00F70479">
            <w:pPr>
              <w:pStyle w:val="ProductNames"/>
              <w:rPr>
                <w:rFonts w:ascii="Tahoma" w:hAnsi="Tahoma" w:cs="Tahoma"/>
                <w:sz w:val="14"/>
                <w:lang w:val="it-IT"/>
              </w:rPr>
            </w:pPr>
            <w:bookmarkStart w:id="129" w:name="_Toc336337901"/>
            <w:bookmarkStart w:id="130" w:name="_Toc353375684"/>
            <w:r w:rsidRPr="007B74B7">
              <w:rPr>
                <w:rFonts w:ascii="Tahoma" w:hAnsi="Tahoma" w:cs="Tahoma"/>
                <w:sz w:val="14"/>
                <w:lang w:val="it-IT"/>
              </w:rPr>
              <w:t>Diritti di Noleggio per Windows</w:t>
            </w:r>
            <w:bookmarkEnd w:id="129"/>
            <w:bookmarkEnd w:id="130"/>
          </w:p>
        </w:tc>
        <w:tc>
          <w:tcPr>
            <w:tcW w:w="360" w:type="dxa"/>
            <w:tcBorders>
              <w:bottom w:val="single" w:sz="4" w:space="0" w:color="auto"/>
            </w:tcBorders>
            <w:shd w:val="clear" w:color="auto" w:fill="auto"/>
            <w:vAlign w:val="center"/>
          </w:tcPr>
          <w:p w:rsidR="00B27742" w:rsidRPr="007B74B7" w:rsidRDefault="00B27742" w:rsidP="008A7B14">
            <w:pPr>
              <w:pStyle w:val="TableText"/>
              <w:widowControl w:val="0"/>
              <w:rPr>
                <w:sz w:val="13"/>
                <w:szCs w:val="13"/>
                <w:lang w:val="it-IT"/>
              </w:rPr>
            </w:pPr>
          </w:p>
        </w:tc>
        <w:tc>
          <w:tcPr>
            <w:tcW w:w="450" w:type="dxa"/>
            <w:tcBorders>
              <w:bottom w:val="single" w:sz="4" w:space="0" w:color="auto"/>
            </w:tcBorders>
            <w:shd w:val="clear" w:color="auto" w:fill="auto"/>
            <w:vAlign w:val="center"/>
          </w:tcPr>
          <w:p w:rsidR="00B27742" w:rsidRPr="00BD7CEA" w:rsidRDefault="00B27742" w:rsidP="004D199A">
            <w:pPr>
              <w:pStyle w:val="TableText"/>
              <w:rPr>
                <w:rFonts w:ascii="Tahoma" w:hAnsi="Tahoma" w:cs="Tahoma"/>
                <w:sz w:val="13"/>
              </w:rPr>
            </w:pPr>
            <w:r w:rsidRPr="00BD7CEA">
              <w:rPr>
                <w:rFonts w:ascii="Tahoma" w:hAnsi="Tahoma" w:cs="Tahoma"/>
                <w:sz w:val="13"/>
              </w:rPr>
              <w:t>04/09</w:t>
            </w:r>
          </w:p>
        </w:tc>
        <w:tc>
          <w:tcPr>
            <w:tcW w:w="360" w:type="dxa"/>
            <w:tcBorders>
              <w:bottom w:val="single" w:sz="4" w:space="0" w:color="auto"/>
              <w:right w:val="single" w:sz="18" w:space="0" w:color="auto"/>
            </w:tcBorders>
            <w:shd w:val="clear" w:color="auto" w:fill="auto"/>
            <w:vAlign w:val="center"/>
          </w:tcPr>
          <w:p w:rsidR="00B27742" w:rsidRPr="00BD7CEA"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BD7CEA" w:rsidRDefault="00391582">
            <w:pPr>
              <w:pStyle w:val="TableText"/>
              <w:rPr>
                <w:rFonts w:ascii="Tahoma" w:hAnsi="Tahoma" w:cs="Tahoma"/>
                <w:sz w:val="13"/>
              </w:rPr>
            </w:pPr>
            <w:r w:rsidRPr="00BD7CEA">
              <w:rPr>
                <w:rFonts w:ascii="Tahoma" w:hAnsi="Tahoma" w:cs="Tahoma"/>
                <w:sz w:val="13"/>
              </w:rPr>
              <w:t>2</w:t>
            </w:r>
          </w:p>
        </w:tc>
        <w:tc>
          <w:tcPr>
            <w:tcW w:w="450" w:type="dxa"/>
            <w:tcBorders>
              <w:bottom w:val="single" w:sz="4" w:space="0" w:color="auto"/>
            </w:tcBorders>
            <w:shd w:val="clear" w:color="auto" w:fill="auto"/>
            <w:vAlign w:val="center"/>
          </w:tcPr>
          <w:p w:rsidR="00B27742" w:rsidRPr="00BD7CEA"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BD7CEA"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BD7CEA"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BD7CEA"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BD7CEA" w:rsidRDefault="00B27742">
            <w:pPr>
              <w:pStyle w:val="TableText"/>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B27742" w:rsidRPr="00BD7CEA"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BD7CEA" w:rsidRDefault="00391582">
            <w:pPr>
              <w:pStyle w:val="TableText"/>
              <w:rPr>
                <w:rFonts w:ascii="Tahoma" w:hAnsi="Tahoma" w:cs="Tahoma"/>
                <w:sz w:val="13"/>
              </w:rPr>
            </w:pPr>
            <w:r w:rsidRPr="00BD7CEA">
              <w:rPr>
                <w:rFonts w:ascii="Tahoma" w:hAnsi="Tahoma" w:cs="Tahoma"/>
                <w:sz w:val="13"/>
              </w:rPr>
              <w:t>2</w:t>
            </w:r>
          </w:p>
        </w:tc>
        <w:tc>
          <w:tcPr>
            <w:tcW w:w="450" w:type="dxa"/>
            <w:tcBorders>
              <w:bottom w:val="single" w:sz="4" w:space="0" w:color="auto"/>
            </w:tcBorders>
            <w:shd w:val="clear" w:color="auto" w:fill="auto"/>
            <w:vAlign w:val="center"/>
          </w:tcPr>
          <w:p w:rsidR="00B27742" w:rsidRPr="00BD7CEA" w:rsidRDefault="00B27742">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27742" w:rsidRPr="00BD7CEA"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BD7CEA" w:rsidRDefault="00B27742">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27742" w:rsidRPr="00BD7CEA" w:rsidRDefault="00B27742">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B27742" w:rsidRPr="00BD7CEA" w:rsidRDefault="00B27742">
            <w:pPr>
              <w:pStyle w:val="TableText"/>
              <w:rPr>
                <w:rFonts w:ascii="Tahoma" w:hAnsi="Tahoma" w:cs="Tahoma"/>
                <w:sz w:val="13"/>
              </w:rPr>
            </w:pPr>
          </w:p>
        </w:tc>
        <w:tc>
          <w:tcPr>
            <w:tcW w:w="450" w:type="dxa"/>
            <w:tcBorders>
              <w:bottom w:val="single" w:sz="4" w:space="0" w:color="auto"/>
            </w:tcBorders>
            <w:shd w:val="clear" w:color="auto" w:fill="auto"/>
          </w:tcPr>
          <w:p w:rsidR="00B27742" w:rsidRPr="00BD7CEA" w:rsidRDefault="00B27742" w:rsidP="00A0765A">
            <w:pPr>
              <w:pStyle w:val="TableText"/>
              <w:spacing w:before="120"/>
              <w:rPr>
                <w:rFonts w:ascii="Tahoma" w:hAnsi="Tahoma" w:cs="Tahoma"/>
                <w:sz w:val="13"/>
              </w:rPr>
            </w:pPr>
          </w:p>
        </w:tc>
        <w:tc>
          <w:tcPr>
            <w:tcW w:w="540" w:type="dxa"/>
            <w:tcBorders>
              <w:bottom w:val="single" w:sz="4" w:space="0" w:color="auto"/>
            </w:tcBorders>
            <w:shd w:val="clear" w:color="auto" w:fill="auto"/>
            <w:vAlign w:val="center"/>
          </w:tcPr>
          <w:p w:rsidR="00B27742" w:rsidRPr="00BD7CEA" w:rsidRDefault="00B27742">
            <w:pPr>
              <w:pStyle w:val="TableText"/>
              <w:rPr>
                <w:rFonts w:ascii="Tahoma" w:hAnsi="Tahoma" w:cs="Tahoma"/>
                <w:sz w:val="13"/>
              </w:rPr>
            </w:pPr>
          </w:p>
        </w:tc>
      </w:tr>
      <w:tr w:rsidR="00024DF4" w:rsidRPr="00BD7CEA" w:rsidTr="002E59B1">
        <w:trPr>
          <w:trHeight w:val="145"/>
        </w:trPr>
        <w:tc>
          <w:tcPr>
            <w:tcW w:w="2610" w:type="dxa"/>
            <w:tcBorders>
              <w:bottom w:val="single" w:sz="4" w:space="0" w:color="auto"/>
            </w:tcBorders>
            <w:shd w:val="clear" w:color="auto" w:fill="FABF8F"/>
          </w:tcPr>
          <w:p w:rsidR="00024DF4" w:rsidRPr="00BD7CEA" w:rsidRDefault="00024DF4" w:rsidP="00A872B3">
            <w:pPr>
              <w:pStyle w:val="ProductNames"/>
              <w:rPr>
                <w:rFonts w:ascii="Tahoma" w:hAnsi="Tahoma" w:cs="Tahoma"/>
                <w:sz w:val="14"/>
              </w:rPr>
            </w:pPr>
            <w:bookmarkStart w:id="131" w:name="_Toc336337902"/>
            <w:bookmarkStart w:id="132" w:name="_Toc353375685"/>
            <w:r w:rsidRPr="00BD7CEA">
              <w:rPr>
                <w:rFonts w:ascii="Tahoma" w:hAnsi="Tahoma" w:cs="Tahoma"/>
                <w:sz w:val="14"/>
              </w:rPr>
              <w:t>Windows 8 Enterprise Sideloading (100</w:t>
            </w:r>
            <w:r w:rsidR="00A872B3" w:rsidRPr="00BD7CEA">
              <w:rPr>
                <w:rFonts w:ascii="Tahoma" w:hAnsi="Tahoma" w:cs="Tahoma"/>
                <w:sz w:val="14"/>
              </w:rPr>
              <w:t> </w:t>
            </w:r>
            <w:r w:rsidRPr="00BD7CEA">
              <w:rPr>
                <w:rFonts w:ascii="Tahoma" w:hAnsi="Tahoma" w:cs="Tahoma"/>
                <w:sz w:val="14"/>
              </w:rPr>
              <w:t>Confezioni)</w:t>
            </w:r>
            <w:bookmarkEnd w:id="131"/>
            <w:bookmarkEnd w:id="132"/>
          </w:p>
        </w:tc>
        <w:tc>
          <w:tcPr>
            <w:tcW w:w="360" w:type="dxa"/>
            <w:tcBorders>
              <w:bottom w:val="single" w:sz="4" w:space="0" w:color="auto"/>
            </w:tcBorders>
            <w:shd w:val="clear" w:color="auto" w:fill="FABF8F"/>
            <w:vAlign w:val="center"/>
          </w:tcPr>
          <w:p w:rsidR="00024DF4" w:rsidRPr="00BD7CEA" w:rsidRDefault="006E5080" w:rsidP="00B0065F">
            <w:pPr>
              <w:pStyle w:val="TableText"/>
              <w:widowControl w:val="0"/>
              <w:rPr>
                <w:b/>
                <w:sz w:val="13"/>
                <w:szCs w:val="13"/>
                <w:u w:val="single"/>
              </w:rPr>
            </w:pPr>
            <w:hyperlink w:anchor="_27_Windows®_8" w:history="1">
              <w:r w:rsidR="00955428" w:rsidRPr="00BD7CEA">
                <w:rPr>
                  <w:rStyle w:val="Hyperlink"/>
                  <w:b/>
                  <w:sz w:val="13"/>
                  <w:szCs w:val="13"/>
                </w:rPr>
                <w:t>27</w:t>
              </w:r>
            </w:hyperlink>
          </w:p>
        </w:tc>
        <w:tc>
          <w:tcPr>
            <w:tcW w:w="450" w:type="dxa"/>
            <w:tcBorders>
              <w:bottom w:val="single" w:sz="4" w:space="0" w:color="auto"/>
            </w:tcBorders>
            <w:shd w:val="clear" w:color="auto" w:fill="FABF8F"/>
          </w:tcPr>
          <w:p w:rsidR="00024DF4" w:rsidRPr="00BD7CEA" w:rsidRDefault="00024DF4" w:rsidP="009124DC">
            <w:pPr>
              <w:pStyle w:val="TableText"/>
              <w:spacing w:before="120"/>
              <w:rPr>
                <w:rFonts w:ascii="Tahoma" w:hAnsi="Tahoma" w:cs="Tahoma"/>
                <w:sz w:val="13"/>
              </w:rPr>
            </w:pPr>
            <w:r w:rsidRPr="00BD7CEA">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024DF4" w:rsidRPr="00BD7CEA" w:rsidRDefault="00024DF4">
            <w:pPr>
              <w:pStyle w:val="TableText"/>
              <w:rPr>
                <w:rFonts w:ascii="Tahoma" w:hAnsi="Tahoma" w:cs="Tahoma"/>
                <w:sz w:val="13"/>
              </w:rPr>
            </w:pPr>
            <w:r w:rsidRPr="00BD7CEA">
              <w:rPr>
                <w:rFonts w:ascii="Tahoma" w:hAnsi="Tahoma" w:cs="Tahoma"/>
                <w:sz w:val="13"/>
              </w:rPr>
              <w:t>DT</w:t>
            </w: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024DF4" w:rsidRPr="00BD7CEA" w:rsidRDefault="00024DF4">
            <w:pPr>
              <w:pStyle w:val="TableText"/>
              <w:rPr>
                <w:rFonts w:ascii="Tahoma" w:hAnsi="Tahoma" w:cs="Tahoma"/>
                <w:sz w:val="13"/>
              </w:rPr>
            </w:pPr>
            <w:r w:rsidRPr="00BD7CEA">
              <w:rPr>
                <w:rFonts w:ascii="Tahoma" w:hAnsi="Tahoma" w:cs="Tahoma"/>
                <w:sz w:val="13"/>
              </w:rPr>
              <w:t>12</w:t>
            </w:r>
          </w:p>
        </w:tc>
        <w:tc>
          <w:tcPr>
            <w:tcW w:w="450" w:type="dxa"/>
            <w:tcBorders>
              <w:left w:val="single" w:sz="18" w:space="0" w:color="auto"/>
              <w:bottom w:val="single" w:sz="4" w:space="0" w:color="auto"/>
            </w:tcBorders>
            <w:shd w:val="clear" w:color="auto" w:fill="FABF8F"/>
            <w:vAlign w:val="center"/>
          </w:tcPr>
          <w:p w:rsidR="00024DF4" w:rsidRPr="00BD7CEA" w:rsidRDefault="00024DF4">
            <w:pPr>
              <w:pStyle w:val="TableText"/>
              <w:rPr>
                <w:rFonts w:ascii="Tahoma" w:hAnsi="Tahoma" w:cs="Tahoma"/>
                <w:sz w:val="13"/>
              </w:rPr>
            </w:pPr>
            <w:r w:rsidRPr="00BD7CEA">
              <w:rPr>
                <w:rFonts w:ascii="Tahoma" w:hAnsi="Tahoma" w:cs="Tahoma"/>
                <w:sz w:val="13"/>
              </w:rPr>
              <w:t>12</w:t>
            </w:r>
          </w:p>
        </w:tc>
        <w:tc>
          <w:tcPr>
            <w:tcW w:w="450" w:type="dxa"/>
            <w:tcBorders>
              <w:bottom w:val="single" w:sz="4" w:space="0" w:color="auto"/>
            </w:tcBorders>
            <w:shd w:val="clear" w:color="auto" w:fill="FABF8F"/>
            <w:vAlign w:val="center"/>
          </w:tcPr>
          <w:p w:rsidR="00024DF4" w:rsidRPr="00BD7CEA" w:rsidRDefault="00024DF4">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024DF4" w:rsidRPr="00BD7CEA" w:rsidRDefault="00024DF4">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024DF4" w:rsidRPr="00BD7CEA" w:rsidRDefault="00024DF4">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024DF4" w:rsidRPr="00BD7CEA" w:rsidRDefault="00024DF4">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024DF4" w:rsidRPr="00BD7CEA" w:rsidRDefault="00024DF4">
            <w:pPr>
              <w:pStyle w:val="TableText"/>
              <w:rPr>
                <w:rFonts w:ascii="Tahoma" w:hAnsi="Tahoma" w:cs="Tahoma"/>
                <w:sz w:val="13"/>
              </w:rPr>
            </w:pPr>
          </w:p>
        </w:tc>
        <w:tc>
          <w:tcPr>
            <w:tcW w:w="450" w:type="dxa"/>
            <w:tcBorders>
              <w:bottom w:val="single" w:sz="4" w:space="0" w:color="auto"/>
            </w:tcBorders>
            <w:shd w:val="clear" w:color="auto" w:fill="FABF8F"/>
          </w:tcPr>
          <w:p w:rsidR="00024DF4" w:rsidRPr="00BD7CEA" w:rsidRDefault="00024DF4" w:rsidP="00A0765A">
            <w:pPr>
              <w:pStyle w:val="TableText"/>
              <w:spacing w:before="120"/>
              <w:rPr>
                <w:rFonts w:ascii="Tahoma" w:hAnsi="Tahoma" w:cs="Tahoma"/>
                <w:sz w:val="13"/>
              </w:rPr>
            </w:pPr>
          </w:p>
        </w:tc>
        <w:tc>
          <w:tcPr>
            <w:tcW w:w="540" w:type="dxa"/>
            <w:tcBorders>
              <w:bottom w:val="single" w:sz="4" w:space="0" w:color="auto"/>
            </w:tcBorders>
            <w:shd w:val="clear" w:color="auto" w:fill="FABF8F"/>
            <w:vAlign w:val="center"/>
          </w:tcPr>
          <w:p w:rsidR="00024DF4" w:rsidRPr="00BD7CEA" w:rsidRDefault="00024DF4">
            <w:pPr>
              <w:pStyle w:val="TableText"/>
              <w:rPr>
                <w:rFonts w:ascii="Tahoma" w:hAnsi="Tahoma" w:cs="Tahoma"/>
                <w:sz w:val="13"/>
              </w:rPr>
            </w:pPr>
            <w:r w:rsidRPr="00BD7CEA">
              <w:rPr>
                <w:rFonts w:ascii="Tahoma" w:hAnsi="Tahoma" w:cs="Tahoma"/>
                <w:sz w:val="13"/>
              </w:rPr>
              <w:t>OL</w:t>
            </w:r>
          </w:p>
        </w:tc>
      </w:tr>
      <w:tr w:rsidR="00B50A5B" w:rsidRPr="00BD7CEA" w:rsidTr="0070485B">
        <w:trPr>
          <w:trHeight w:val="145"/>
        </w:trPr>
        <w:tc>
          <w:tcPr>
            <w:tcW w:w="2610" w:type="dxa"/>
            <w:tcBorders>
              <w:bottom w:val="single" w:sz="4" w:space="0" w:color="auto"/>
            </w:tcBorders>
            <w:shd w:val="clear" w:color="auto" w:fill="auto"/>
            <w:vAlign w:val="center"/>
          </w:tcPr>
          <w:p w:rsidR="00B27742" w:rsidRPr="00BD7CEA" w:rsidRDefault="00B27742" w:rsidP="0070485B">
            <w:pPr>
              <w:pStyle w:val="ProductNames"/>
              <w:rPr>
                <w:rFonts w:ascii="Tahoma" w:hAnsi="Tahoma" w:cs="Tahoma"/>
                <w:sz w:val="14"/>
              </w:rPr>
            </w:pPr>
            <w:bookmarkStart w:id="133" w:name="_Toc336337903"/>
            <w:bookmarkStart w:id="134" w:name="_Toc353375686"/>
            <w:r w:rsidRPr="00BD7CEA">
              <w:rPr>
                <w:rFonts w:ascii="Tahoma" w:hAnsi="Tahoma" w:cs="Tahoma"/>
                <w:sz w:val="14"/>
              </w:rPr>
              <w:t>Windows</w:t>
            </w:r>
            <w:r w:rsidR="00700C4B" w:rsidRPr="00BD7CEA">
              <w:rPr>
                <w:rFonts w:ascii="Tahoma" w:hAnsi="Tahoma" w:cs="Tahoma"/>
                <w:sz w:val="14"/>
                <w:vertAlign w:val="superscript"/>
              </w:rPr>
              <w:t>®</w:t>
            </w:r>
            <w:r w:rsidRPr="00BD7CEA">
              <w:rPr>
                <w:rFonts w:ascii="Tahoma" w:hAnsi="Tahoma" w:cs="Tahoma"/>
                <w:sz w:val="14"/>
              </w:rPr>
              <w:t xml:space="preserve"> 7 Partners in Learning</w:t>
            </w:r>
            <w:bookmarkEnd w:id="133"/>
            <w:bookmarkEnd w:id="134"/>
          </w:p>
        </w:tc>
        <w:tc>
          <w:tcPr>
            <w:tcW w:w="360" w:type="dxa"/>
            <w:tcBorders>
              <w:bottom w:val="single" w:sz="4" w:space="0" w:color="auto"/>
            </w:tcBorders>
            <w:shd w:val="clear" w:color="auto" w:fill="auto"/>
            <w:vAlign w:val="center"/>
          </w:tcPr>
          <w:p w:rsidR="00B27742" w:rsidRPr="00BD7CEA" w:rsidRDefault="006E5080" w:rsidP="00B0065F">
            <w:pPr>
              <w:pStyle w:val="TableText"/>
              <w:widowControl w:val="0"/>
              <w:rPr>
                <w:b/>
                <w:sz w:val="13"/>
                <w:szCs w:val="13"/>
                <w:u w:val="single"/>
              </w:rPr>
            </w:pPr>
            <w:hyperlink w:anchor="_28_Windows®_7" w:history="1">
              <w:r w:rsidR="00955428" w:rsidRPr="00BD7CEA">
                <w:rPr>
                  <w:rStyle w:val="Hyperlink"/>
                  <w:b/>
                  <w:sz w:val="13"/>
                  <w:szCs w:val="13"/>
                </w:rPr>
                <w:t>28</w:t>
              </w:r>
            </w:hyperlink>
          </w:p>
        </w:tc>
        <w:tc>
          <w:tcPr>
            <w:tcW w:w="450" w:type="dxa"/>
            <w:tcBorders>
              <w:bottom w:val="single" w:sz="4" w:space="0" w:color="auto"/>
            </w:tcBorders>
            <w:shd w:val="clear" w:color="auto" w:fill="auto"/>
          </w:tcPr>
          <w:p w:rsidR="00B27742" w:rsidRPr="00BD7CEA" w:rsidRDefault="00B27742" w:rsidP="009124DC">
            <w:pPr>
              <w:pStyle w:val="TableText"/>
              <w:spacing w:before="120"/>
              <w:rPr>
                <w:rFonts w:ascii="Tahoma" w:hAnsi="Tahoma" w:cs="Tahoma"/>
                <w:sz w:val="13"/>
              </w:rPr>
            </w:pPr>
            <w:r w:rsidRPr="00BD7CEA">
              <w:rPr>
                <w:rFonts w:ascii="Tahoma" w:hAnsi="Tahoma" w:cs="Tahoma"/>
                <w:sz w:val="13"/>
              </w:rPr>
              <w:t>11/09</w:t>
            </w:r>
          </w:p>
        </w:tc>
        <w:tc>
          <w:tcPr>
            <w:tcW w:w="360" w:type="dxa"/>
            <w:tcBorders>
              <w:bottom w:val="single" w:sz="4" w:space="0" w:color="auto"/>
              <w:right w:val="single" w:sz="18" w:space="0" w:color="auto"/>
            </w:tcBorders>
            <w:shd w:val="clear" w:color="auto" w:fill="auto"/>
            <w:vAlign w:val="center"/>
          </w:tcPr>
          <w:p w:rsidR="00B27742" w:rsidRPr="00BD7CEA"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BD7CEA"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BD7CEA"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BD7CEA"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BD7CEA"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BD7CEA"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BD7CEA" w:rsidRDefault="00B27742">
            <w:pPr>
              <w:pStyle w:val="TableText"/>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B27742" w:rsidRPr="00BD7CEA"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BD7CEA"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BD7CEA" w:rsidRDefault="00B27742">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27742" w:rsidRPr="00BD7CEA"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BD7CEA" w:rsidRDefault="00B27742">
            <w:pPr>
              <w:pStyle w:val="TableText"/>
              <w:rPr>
                <w:rFonts w:ascii="Tahoma" w:hAnsi="Tahoma" w:cs="Tahoma"/>
                <w:sz w:val="13"/>
              </w:rPr>
            </w:pPr>
            <w:r w:rsidRPr="00BD7CEA">
              <w:rPr>
                <w:rFonts w:ascii="Tahoma" w:hAnsi="Tahoma" w:cs="Tahoma"/>
                <w:sz w:val="13"/>
              </w:rPr>
              <w:t xml:space="preserve">2 </w:t>
            </w:r>
            <w:r w:rsidRPr="00BD7CEA">
              <w:rPr>
                <w:rFonts w:ascii="Tahoma" w:hAnsi="Tahoma" w:cs="Tahoma"/>
                <w:sz w:val="10"/>
                <w:szCs w:val="12"/>
              </w:rPr>
              <w:t>(solo School)</w:t>
            </w:r>
          </w:p>
        </w:tc>
        <w:tc>
          <w:tcPr>
            <w:tcW w:w="450" w:type="dxa"/>
            <w:tcBorders>
              <w:bottom w:val="single" w:sz="4" w:space="0" w:color="auto"/>
              <w:right w:val="single" w:sz="18" w:space="0" w:color="auto"/>
            </w:tcBorders>
            <w:shd w:val="clear" w:color="auto" w:fill="auto"/>
            <w:vAlign w:val="center"/>
          </w:tcPr>
          <w:p w:rsidR="00B27742" w:rsidRPr="00BD7CEA" w:rsidRDefault="00B27742">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B27742" w:rsidRPr="00BD7CEA" w:rsidRDefault="00B27742">
            <w:pPr>
              <w:pStyle w:val="TableText"/>
              <w:rPr>
                <w:rFonts w:ascii="Tahoma" w:hAnsi="Tahoma" w:cs="Tahoma"/>
                <w:sz w:val="13"/>
              </w:rPr>
            </w:pPr>
          </w:p>
        </w:tc>
        <w:tc>
          <w:tcPr>
            <w:tcW w:w="450" w:type="dxa"/>
            <w:tcBorders>
              <w:bottom w:val="single" w:sz="4" w:space="0" w:color="auto"/>
            </w:tcBorders>
            <w:shd w:val="clear" w:color="auto" w:fill="auto"/>
          </w:tcPr>
          <w:p w:rsidR="00B27742" w:rsidRPr="00BD7CEA" w:rsidRDefault="00B27742" w:rsidP="00A0765A">
            <w:pPr>
              <w:pStyle w:val="TableText"/>
              <w:spacing w:before="120"/>
              <w:rPr>
                <w:rFonts w:ascii="Tahoma" w:hAnsi="Tahoma" w:cs="Tahoma"/>
                <w:sz w:val="13"/>
              </w:rPr>
            </w:pPr>
          </w:p>
        </w:tc>
        <w:tc>
          <w:tcPr>
            <w:tcW w:w="540" w:type="dxa"/>
            <w:tcBorders>
              <w:bottom w:val="single" w:sz="4" w:space="0" w:color="auto"/>
            </w:tcBorders>
            <w:shd w:val="clear" w:color="auto" w:fill="auto"/>
            <w:vAlign w:val="center"/>
          </w:tcPr>
          <w:p w:rsidR="00B27742" w:rsidRPr="00BD7CEA" w:rsidRDefault="00B27742">
            <w:pPr>
              <w:pStyle w:val="TableText"/>
              <w:rPr>
                <w:rFonts w:ascii="Tahoma" w:hAnsi="Tahoma" w:cs="Tahoma"/>
                <w:sz w:val="13"/>
              </w:rPr>
            </w:pPr>
          </w:p>
        </w:tc>
      </w:tr>
      <w:tr w:rsidR="00B50A5B" w:rsidRPr="00BD7CEA" w:rsidTr="004000C7">
        <w:trPr>
          <w:trHeight w:val="145"/>
        </w:trPr>
        <w:tc>
          <w:tcPr>
            <w:tcW w:w="2610" w:type="dxa"/>
            <w:tcBorders>
              <w:bottom w:val="single" w:sz="4" w:space="0" w:color="auto"/>
            </w:tcBorders>
            <w:shd w:val="clear" w:color="auto" w:fill="FABF8F"/>
          </w:tcPr>
          <w:p w:rsidR="00B27742" w:rsidRPr="00BD7CEA" w:rsidRDefault="00B27742" w:rsidP="00F70479">
            <w:pPr>
              <w:pStyle w:val="ProductNames"/>
              <w:rPr>
                <w:rFonts w:ascii="Tahoma" w:hAnsi="Tahoma" w:cs="Tahoma"/>
                <w:sz w:val="14"/>
              </w:rPr>
            </w:pPr>
            <w:bookmarkStart w:id="135" w:name="_Toc336337904"/>
            <w:bookmarkStart w:id="136" w:name="_Toc353375687"/>
            <w:r w:rsidRPr="00BD7CEA">
              <w:rPr>
                <w:rFonts w:ascii="Tahoma" w:hAnsi="Tahoma" w:cs="Tahoma"/>
                <w:sz w:val="14"/>
              </w:rPr>
              <w:t>Windows</w:t>
            </w:r>
            <w:r w:rsidR="00700C4B" w:rsidRPr="00BD7CEA">
              <w:rPr>
                <w:rFonts w:ascii="Tahoma" w:hAnsi="Tahoma" w:cs="Tahoma"/>
                <w:sz w:val="14"/>
                <w:vertAlign w:val="superscript"/>
              </w:rPr>
              <w:t>®</w:t>
            </w:r>
            <w:r w:rsidRPr="00BD7CEA">
              <w:rPr>
                <w:rFonts w:ascii="Tahoma" w:hAnsi="Tahoma" w:cs="Tahoma"/>
                <w:sz w:val="14"/>
              </w:rPr>
              <w:t xml:space="preserve"> 8 Pro</w:t>
            </w:r>
            <w:bookmarkEnd w:id="135"/>
            <w:bookmarkEnd w:id="136"/>
            <w:r w:rsidRPr="00BD7CEA">
              <w:rPr>
                <w:rFonts w:ascii="Tahoma" w:hAnsi="Tahoma" w:cs="Tahoma"/>
                <w:sz w:val="14"/>
              </w:rPr>
              <w:t xml:space="preserve"> </w:t>
            </w:r>
          </w:p>
        </w:tc>
        <w:tc>
          <w:tcPr>
            <w:tcW w:w="360" w:type="dxa"/>
            <w:tcBorders>
              <w:bottom w:val="single" w:sz="4" w:space="0" w:color="auto"/>
            </w:tcBorders>
            <w:shd w:val="clear" w:color="auto" w:fill="FABF8F"/>
            <w:vAlign w:val="center"/>
          </w:tcPr>
          <w:p w:rsidR="00B27742" w:rsidRPr="00BD7CEA" w:rsidRDefault="006E5080" w:rsidP="00B0065F">
            <w:pPr>
              <w:pStyle w:val="TableText"/>
              <w:widowControl w:val="0"/>
              <w:rPr>
                <w:rStyle w:val="EndnoteReference"/>
                <w:b w:val="0"/>
                <w:color w:val="0000FF"/>
                <w:sz w:val="13"/>
                <w:szCs w:val="13"/>
                <w:u w:val="single"/>
              </w:rPr>
            </w:pPr>
            <w:hyperlink w:anchor="_29_Aggiornamento_per" w:history="1">
              <w:r w:rsidR="00955428" w:rsidRPr="00BD7CEA">
                <w:rPr>
                  <w:rStyle w:val="Hyperlink"/>
                  <w:b/>
                  <w:sz w:val="13"/>
                  <w:szCs w:val="13"/>
                </w:rPr>
                <w:t>29</w:t>
              </w:r>
            </w:hyperlink>
          </w:p>
        </w:tc>
        <w:tc>
          <w:tcPr>
            <w:tcW w:w="450" w:type="dxa"/>
            <w:tcBorders>
              <w:bottom w:val="single" w:sz="4" w:space="0" w:color="auto"/>
            </w:tcBorders>
            <w:shd w:val="clear" w:color="auto" w:fill="FABF8F"/>
          </w:tcPr>
          <w:p w:rsidR="00B27742" w:rsidRPr="00BD7CEA" w:rsidRDefault="00B27742" w:rsidP="009124DC">
            <w:pPr>
              <w:pStyle w:val="TableText"/>
              <w:spacing w:before="120"/>
              <w:rPr>
                <w:rFonts w:ascii="Tahoma" w:hAnsi="Tahoma" w:cs="Tahoma"/>
                <w:sz w:val="13"/>
              </w:rPr>
            </w:pPr>
            <w:r w:rsidRPr="00BD7CEA">
              <w:rPr>
                <w:rFonts w:ascii="Tahoma" w:hAnsi="Tahoma" w:cs="Tahoma"/>
                <w:sz w:val="13"/>
              </w:rPr>
              <w:t>08/12</w:t>
            </w:r>
          </w:p>
        </w:tc>
        <w:tc>
          <w:tcPr>
            <w:tcW w:w="360" w:type="dxa"/>
            <w:tcBorders>
              <w:bottom w:val="single" w:sz="4" w:space="0" w:color="auto"/>
              <w:right w:val="single" w:sz="18" w:space="0" w:color="auto"/>
            </w:tcBorders>
            <w:shd w:val="clear" w:color="auto" w:fill="FABF8F"/>
            <w:vAlign w:val="center"/>
          </w:tcPr>
          <w:p w:rsidR="00B27742" w:rsidRPr="00BD7CEA" w:rsidRDefault="00B27742">
            <w:pPr>
              <w:pStyle w:val="TableText"/>
              <w:rPr>
                <w:rFonts w:ascii="Tahoma" w:hAnsi="Tahoma" w:cs="Tahoma"/>
                <w:sz w:val="13"/>
              </w:rPr>
            </w:pPr>
            <w:r w:rsidRPr="00BD7CEA">
              <w:rPr>
                <w:rFonts w:ascii="Tahoma" w:hAnsi="Tahoma" w:cs="Tahoma"/>
                <w:sz w:val="13"/>
              </w:rPr>
              <w:t>DT</w:t>
            </w:r>
          </w:p>
        </w:tc>
        <w:tc>
          <w:tcPr>
            <w:tcW w:w="450" w:type="dxa"/>
            <w:tcBorders>
              <w:left w:val="single" w:sz="18" w:space="0" w:color="auto"/>
              <w:bottom w:val="single" w:sz="4" w:space="0" w:color="auto"/>
            </w:tcBorders>
            <w:shd w:val="clear" w:color="auto" w:fill="FABF8F"/>
            <w:vAlign w:val="center"/>
          </w:tcPr>
          <w:p w:rsidR="00B27742" w:rsidRPr="00BD7CEA" w:rsidRDefault="00B27742">
            <w:pPr>
              <w:pStyle w:val="TableText"/>
              <w:rPr>
                <w:rFonts w:ascii="Tahoma" w:hAnsi="Tahoma" w:cs="Tahoma"/>
                <w:sz w:val="13"/>
              </w:rPr>
            </w:pPr>
            <w:r w:rsidRPr="00BD7CEA">
              <w:rPr>
                <w:rFonts w:ascii="Tahoma" w:hAnsi="Tahoma" w:cs="Tahoma"/>
                <w:sz w:val="13"/>
              </w:rPr>
              <w:t>2</w:t>
            </w:r>
          </w:p>
        </w:tc>
        <w:tc>
          <w:tcPr>
            <w:tcW w:w="450" w:type="dxa"/>
            <w:tcBorders>
              <w:bottom w:val="single" w:sz="4" w:space="0" w:color="auto"/>
            </w:tcBorders>
            <w:shd w:val="clear" w:color="auto" w:fill="FABF8F"/>
            <w:vAlign w:val="center"/>
          </w:tcPr>
          <w:p w:rsidR="00B27742" w:rsidRPr="00BD7CEA" w:rsidRDefault="00B27742">
            <w:pPr>
              <w:pStyle w:val="TableText"/>
              <w:rPr>
                <w:rFonts w:ascii="Tahoma" w:hAnsi="Tahoma" w:cs="Tahoma"/>
                <w:sz w:val="13"/>
              </w:rPr>
            </w:pPr>
            <w:r w:rsidRPr="00BD7CEA">
              <w:rPr>
                <w:rFonts w:ascii="Tahoma" w:hAnsi="Tahoma" w:cs="Tahoma"/>
                <w:sz w:val="13"/>
              </w:rPr>
              <w:t>5</w:t>
            </w:r>
          </w:p>
        </w:tc>
        <w:tc>
          <w:tcPr>
            <w:tcW w:w="450" w:type="dxa"/>
            <w:tcBorders>
              <w:bottom w:val="single" w:sz="4" w:space="0" w:color="auto"/>
            </w:tcBorders>
            <w:shd w:val="clear" w:color="auto" w:fill="FABF8F"/>
            <w:vAlign w:val="center"/>
          </w:tcPr>
          <w:p w:rsidR="00B27742" w:rsidRPr="00BD7CEA" w:rsidRDefault="00B27742">
            <w:pPr>
              <w:pStyle w:val="TableText"/>
              <w:rPr>
                <w:rFonts w:ascii="Tahoma" w:hAnsi="Tahoma" w:cs="Tahoma"/>
                <w:sz w:val="13"/>
              </w:rPr>
            </w:pPr>
            <w:r w:rsidRPr="00BD7CEA">
              <w:rPr>
                <w:rFonts w:ascii="Tahoma" w:hAnsi="Tahoma" w:cs="Tahoma"/>
                <w:sz w:val="13"/>
              </w:rPr>
              <w:t>4</w:t>
            </w:r>
          </w:p>
        </w:tc>
        <w:tc>
          <w:tcPr>
            <w:tcW w:w="450" w:type="dxa"/>
            <w:tcBorders>
              <w:bottom w:val="single" w:sz="4" w:space="0" w:color="auto"/>
            </w:tcBorders>
            <w:shd w:val="clear" w:color="auto" w:fill="FABF8F"/>
            <w:vAlign w:val="center"/>
          </w:tcPr>
          <w:p w:rsidR="00B27742" w:rsidRPr="00BD7CEA" w:rsidRDefault="00B27742">
            <w:pPr>
              <w:pStyle w:val="TableText"/>
              <w:rPr>
                <w:rFonts w:ascii="Tahoma" w:hAnsi="Tahoma" w:cs="Tahoma"/>
                <w:sz w:val="13"/>
              </w:rPr>
            </w:pPr>
            <w:r w:rsidRPr="00BD7CEA">
              <w:rPr>
                <w:rFonts w:ascii="Tahoma" w:hAnsi="Tahoma" w:cs="Tahoma"/>
                <w:sz w:val="13"/>
              </w:rPr>
              <w:t>3</w:t>
            </w:r>
          </w:p>
        </w:tc>
        <w:tc>
          <w:tcPr>
            <w:tcW w:w="450" w:type="dxa"/>
            <w:tcBorders>
              <w:bottom w:val="single" w:sz="4" w:space="0" w:color="auto"/>
            </w:tcBorders>
            <w:shd w:val="clear" w:color="auto" w:fill="FABF8F"/>
            <w:vAlign w:val="center"/>
          </w:tcPr>
          <w:p w:rsidR="00B27742" w:rsidRPr="00BD7CEA" w:rsidRDefault="00B27742">
            <w:pPr>
              <w:pStyle w:val="TableText"/>
              <w:rPr>
                <w:rFonts w:ascii="Tahoma" w:hAnsi="Tahoma" w:cs="Tahoma"/>
                <w:sz w:val="13"/>
              </w:rPr>
            </w:pPr>
            <w:r w:rsidRPr="00BD7CEA">
              <w:rPr>
                <w:rFonts w:ascii="Tahoma" w:hAnsi="Tahoma" w:cs="Tahoma"/>
                <w:sz w:val="13"/>
              </w:rPr>
              <w:t>3</w:t>
            </w:r>
          </w:p>
        </w:tc>
        <w:tc>
          <w:tcPr>
            <w:tcW w:w="450" w:type="dxa"/>
            <w:tcBorders>
              <w:bottom w:val="single" w:sz="4" w:space="0" w:color="auto"/>
            </w:tcBorders>
            <w:shd w:val="clear" w:color="auto" w:fill="FABF8F"/>
            <w:vAlign w:val="center"/>
          </w:tcPr>
          <w:p w:rsidR="00B27742" w:rsidRPr="00BD7CEA" w:rsidRDefault="00B27742">
            <w:pPr>
              <w:pStyle w:val="TableText"/>
              <w:rPr>
                <w:rFonts w:ascii="Tahoma" w:hAnsi="Tahoma" w:cs="Tahoma"/>
                <w:sz w:val="13"/>
              </w:rPr>
            </w:pPr>
            <w:r w:rsidRPr="00BD7CEA">
              <w:rPr>
                <w:rFonts w:ascii="Tahoma" w:hAnsi="Tahoma" w:cs="Tahoma"/>
                <w:sz w:val="13"/>
              </w:rPr>
              <w:t>2</w:t>
            </w:r>
          </w:p>
        </w:tc>
        <w:tc>
          <w:tcPr>
            <w:tcW w:w="360" w:type="dxa"/>
            <w:tcBorders>
              <w:bottom w:val="single" w:sz="4" w:space="0" w:color="auto"/>
              <w:right w:val="single" w:sz="18" w:space="0" w:color="auto"/>
            </w:tcBorders>
            <w:shd w:val="clear" w:color="auto" w:fill="FABF8F"/>
            <w:vAlign w:val="center"/>
          </w:tcPr>
          <w:p w:rsidR="00B27742" w:rsidRPr="00BD7CEA" w:rsidRDefault="00B27742">
            <w:pPr>
              <w:pStyle w:val="TableText"/>
              <w:rPr>
                <w:rFonts w:ascii="Tahoma" w:hAnsi="Tahoma" w:cs="Tahoma"/>
                <w:sz w:val="13"/>
              </w:rPr>
            </w:pPr>
            <w:r w:rsidRPr="00BD7CEA">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B27742" w:rsidRPr="00BD7CEA" w:rsidRDefault="00B27742">
            <w:pPr>
              <w:pStyle w:val="TableText"/>
              <w:rPr>
                <w:rFonts w:ascii="Tahoma" w:hAnsi="Tahoma" w:cs="Tahoma"/>
                <w:sz w:val="13"/>
              </w:rPr>
            </w:pPr>
            <w:r w:rsidRPr="00BD7CEA">
              <w:rPr>
                <w:rFonts w:ascii="Tahoma" w:hAnsi="Tahoma" w:cs="Tahoma"/>
                <w:sz w:val="13"/>
              </w:rPr>
              <w:t>2</w:t>
            </w:r>
          </w:p>
        </w:tc>
        <w:tc>
          <w:tcPr>
            <w:tcW w:w="450" w:type="dxa"/>
            <w:tcBorders>
              <w:bottom w:val="single" w:sz="4" w:space="0" w:color="auto"/>
            </w:tcBorders>
            <w:shd w:val="clear" w:color="auto" w:fill="FABF8F"/>
            <w:vAlign w:val="center"/>
          </w:tcPr>
          <w:p w:rsidR="00B27742" w:rsidRPr="00BD7CEA" w:rsidRDefault="00B27742">
            <w:pPr>
              <w:pStyle w:val="TableText"/>
              <w:rPr>
                <w:rFonts w:ascii="Tahoma" w:hAnsi="Tahoma" w:cs="Tahoma"/>
                <w:sz w:val="13"/>
              </w:rPr>
            </w:pPr>
            <w:r w:rsidRPr="00BD7CEA">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rsidR="00B27742" w:rsidRPr="00BD7CEA" w:rsidRDefault="00B27742">
            <w:pPr>
              <w:pStyle w:val="TableText"/>
              <w:rPr>
                <w:rFonts w:ascii="Tahoma" w:hAnsi="Tahoma" w:cs="Tahoma"/>
                <w:sz w:val="13"/>
              </w:rPr>
            </w:pPr>
            <w:r w:rsidRPr="00BD7CEA">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B27742" w:rsidRPr="00BD7CEA" w:rsidRDefault="00664EE9">
            <w:pPr>
              <w:pStyle w:val="TableText"/>
              <w:rPr>
                <w:rFonts w:ascii="Tahoma" w:hAnsi="Tahoma" w:cs="Tahoma"/>
                <w:sz w:val="13"/>
              </w:rPr>
            </w:pPr>
            <w:r w:rsidRPr="00BD7CEA">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B27742" w:rsidRPr="00BD7CEA" w:rsidRDefault="00B27742">
            <w:pPr>
              <w:pStyle w:val="TableText"/>
              <w:rPr>
                <w:rFonts w:ascii="Tahoma" w:hAnsi="Tahoma" w:cs="Tahoma"/>
                <w:sz w:val="13"/>
              </w:rPr>
            </w:pPr>
            <w:r w:rsidRPr="00BD7CEA">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BD7CEA" w:rsidRDefault="00B27742">
            <w:pPr>
              <w:pStyle w:val="TableText"/>
              <w:rPr>
                <w:rFonts w:ascii="Tahoma" w:hAnsi="Tahoma" w:cs="Tahoma"/>
                <w:sz w:val="13"/>
              </w:rPr>
            </w:pPr>
            <w:r w:rsidRPr="00BD7CEA">
              <w:rPr>
                <w:rFonts w:ascii="Tahoma" w:hAnsi="Tahoma" w:cs="Tahoma"/>
                <w:sz w:val="13"/>
              </w:rPr>
              <w:t>E, P</w:t>
            </w:r>
          </w:p>
        </w:tc>
        <w:tc>
          <w:tcPr>
            <w:tcW w:w="450" w:type="dxa"/>
            <w:tcBorders>
              <w:bottom w:val="single" w:sz="4" w:space="0" w:color="auto"/>
            </w:tcBorders>
            <w:shd w:val="clear" w:color="auto" w:fill="FABF8F"/>
            <w:vAlign w:val="center"/>
          </w:tcPr>
          <w:p w:rsidR="00B27742" w:rsidRPr="00BD7CEA" w:rsidRDefault="00B27742" w:rsidP="004000C7">
            <w:pPr>
              <w:pStyle w:val="TableText"/>
              <w:rPr>
                <w:rFonts w:ascii="Tahoma" w:hAnsi="Tahoma" w:cs="Tahoma"/>
                <w:sz w:val="13"/>
              </w:rPr>
            </w:pPr>
            <w:r w:rsidRPr="00BD7CEA">
              <w:rPr>
                <w:rFonts w:ascii="Tahoma" w:hAnsi="Tahoma" w:cs="Tahoma"/>
                <w:sz w:val="13"/>
              </w:rPr>
              <w:t>E, ST</w:t>
            </w:r>
          </w:p>
        </w:tc>
        <w:tc>
          <w:tcPr>
            <w:tcW w:w="540" w:type="dxa"/>
            <w:tcBorders>
              <w:bottom w:val="single" w:sz="4" w:space="0" w:color="auto"/>
            </w:tcBorders>
            <w:shd w:val="clear" w:color="auto" w:fill="FABF8F"/>
            <w:vAlign w:val="center"/>
          </w:tcPr>
          <w:p w:rsidR="00B27742" w:rsidRPr="00BD7CEA" w:rsidRDefault="00B27742">
            <w:pPr>
              <w:pStyle w:val="TableText"/>
              <w:rPr>
                <w:rFonts w:ascii="Tahoma" w:hAnsi="Tahoma" w:cs="Tahoma"/>
                <w:sz w:val="13"/>
              </w:rPr>
            </w:pPr>
          </w:p>
        </w:tc>
      </w:tr>
      <w:tr w:rsidR="00B50A5B" w:rsidRPr="00BD7CEA" w:rsidTr="004000C7">
        <w:trPr>
          <w:trHeight w:val="145"/>
        </w:trPr>
        <w:tc>
          <w:tcPr>
            <w:tcW w:w="2610" w:type="dxa"/>
            <w:tcBorders>
              <w:bottom w:val="single" w:sz="4" w:space="0" w:color="auto"/>
            </w:tcBorders>
            <w:shd w:val="clear" w:color="auto" w:fill="auto"/>
          </w:tcPr>
          <w:p w:rsidR="00B27742" w:rsidRPr="00BD7CEA" w:rsidRDefault="00B27742" w:rsidP="00F70479">
            <w:pPr>
              <w:pStyle w:val="ProductNames"/>
              <w:rPr>
                <w:rFonts w:ascii="Tahoma" w:hAnsi="Tahoma" w:cs="Tahoma"/>
                <w:sz w:val="14"/>
              </w:rPr>
            </w:pPr>
            <w:bookmarkStart w:id="137" w:name="_Toc336337905"/>
            <w:bookmarkStart w:id="138" w:name="_Toc353375688"/>
            <w:r w:rsidRPr="00BD7CEA">
              <w:rPr>
                <w:rFonts w:ascii="Tahoma" w:hAnsi="Tahoma" w:cs="Tahoma"/>
                <w:sz w:val="14"/>
              </w:rPr>
              <w:t>Windows</w:t>
            </w:r>
            <w:r w:rsidR="00700C4B" w:rsidRPr="00BD7CEA">
              <w:rPr>
                <w:rFonts w:ascii="Tahoma" w:hAnsi="Tahoma" w:cs="Tahoma"/>
                <w:sz w:val="14"/>
                <w:vertAlign w:val="superscript"/>
              </w:rPr>
              <w:t>®</w:t>
            </w:r>
            <w:r w:rsidRPr="00BD7CEA">
              <w:rPr>
                <w:rFonts w:ascii="Tahoma" w:hAnsi="Tahoma" w:cs="Tahoma"/>
                <w:sz w:val="14"/>
              </w:rPr>
              <w:t xml:space="preserve"> 8 Pro con MDOP</w:t>
            </w:r>
            <w:bookmarkEnd w:id="137"/>
            <w:bookmarkEnd w:id="138"/>
            <w:r w:rsidRPr="00BD7CEA">
              <w:rPr>
                <w:rFonts w:ascii="Tahoma" w:hAnsi="Tahoma" w:cs="Tahoma"/>
                <w:sz w:val="14"/>
              </w:rPr>
              <w:t xml:space="preserve"> </w:t>
            </w:r>
          </w:p>
        </w:tc>
        <w:tc>
          <w:tcPr>
            <w:tcW w:w="360" w:type="dxa"/>
            <w:tcBorders>
              <w:bottom w:val="single" w:sz="4" w:space="0" w:color="auto"/>
            </w:tcBorders>
            <w:shd w:val="clear" w:color="auto" w:fill="auto"/>
            <w:vAlign w:val="center"/>
          </w:tcPr>
          <w:p w:rsidR="00B27742" w:rsidRPr="00BD7CEA" w:rsidRDefault="00B27742" w:rsidP="005D1AD1">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auto"/>
          </w:tcPr>
          <w:p w:rsidR="00B27742" w:rsidRPr="00BD7CEA" w:rsidRDefault="001327D3" w:rsidP="00690165">
            <w:pPr>
              <w:pStyle w:val="TableText"/>
              <w:spacing w:before="120"/>
              <w:rPr>
                <w:rFonts w:ascii="Tahoma" w:hAnsi="Tahoma" w:cs="Tahoma"/>
                <w:sz w:val="13"/>
              </w:rPr>
            </w:pPr>
            <w:r w:rsidRPr="00BD7CEA">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B27742" w:rsidRPr="00BD7CEA" w:rsidRDefault="00B27742" w:rsidP="005D1AD1">
            <w:pPr>
              <w:pStyle w:val="TableText"/>
              <w:rPr>
                <w:rFonts w:ascii="Tahoma" w:hAnsi="Tahoma" w:cs="Tahoma"/>
                <w:sz w:val="13"/>
              </w:rPr>
            </w:pPr>
            <w:r w:rsidRPr="00BD7CEA">
              <w:rPr>
                <w:rFonts w:ascii="Tahoma" w:hAnsi="Tahoma" w:cs="Tahoma"/>
                <w:sz w:val="13"/>
              </w:rPr>
              <w:t>DT</w:t>
            </w:r>
          </w:p>
        </w:tc>
        <w:tc>
          <w:tcPr>
            <w:tcW w:w="450" w:type="dxa"/>
            <w:tcBorders>
              <w:left w:val="single" w:sz="18" w:space="0" w:color="auto"/>
              <w:bottom w:val="single" w:sz="4" w:space="0" w:color="auto"/>
            </w:tcBorders>
            <w:shd w:val="clear" w:color="auto" w:fill="auto"/>
            <w:vAlign w:val="center"/>
          </w:tcPr>
          <w:p w:rsidR="00B27742" w:rsidRPr="00BD7CEA" w:rsidRDefault="00B27742" w:rsidP="005D1AD1">
            <w:pPr>
              <w:pStyle w:val="TableText"/>
              <w:rPr>
                <w:rFonts w:ascii="Tahoma" w:hAnsi="Tahoma" w:cs="Tahoma"/>
                <w:sz w:val="13"/>
              </w:rPr>
            </w:pPr>
            <w:r w:rsidRPr="00BD7CEA">
              <w:rPr>
                <w:rFonts w:ascii="Tahoma" w:hAnsi="Tahoma" w:cs="Tahoma"/>
                <w:sz w:val="13"/>
              </w:rPr>
              <w:t>2</w:t>
            </w:r>
          </w:p>
        </w:tc>
        <w:tc>
          <w:tcPr>
            <w:tcW w:w="450" w:type="dxa"/>
            <w:tcBorders>
              <w:bottom w:val="single" w:sz="4" w:space="0" w:color="auto"/>
            </w:tcBorders>
            <w:shd w:val="clear" w:color="auto" w:fill="auto"/>
            <w:vAlign w:val="center"/>
          </w:tcPr>
          <w:p w:rsidR="00B27742" w:rsidRPr="00BD7CEA" w:rsidRDefault="00287725" w:rsidP="005D1AD1">
            <w:pPr>
              <w:pStyle w:val="TableText"/>
              <w:rPr>
                <w:rFonts w:ascii="Tahoma" w:hAnsi="Tahoma" w:cs="Tahoma"/>
                <w:sz w:val="13"/>
              </w:rPr>
            </w:pPr>
            <w:r w:rsidRPr="00BD7CEA">
              <w:rPr>
                <w:rFonts w:ascii="Tahoma" w:hAnsi="Tahoma" w:cs="Tahoma"/>
                <w:sz w:val="13"/>
              </w:rPr>
              <w:t>6</w:t>
            </w:r>
          </w:p>
        </w:tc>
        <w:tc>
          <w:tcPr>
            <w:tcW w:w="450" w:type="dxa"/>
            <w:tcBorders>
              <w:bottom w:val="single" w:sz="4" w:space="0" w:color="auto"/>
            </w:tcBorders>
            <w:shd w:val="clear" w:color="auto" w:fill="auto"/>
            <w:vAlign w:val="center"/>
          </w:tcPr>
          <w:p w:rsidR="00B27742" w:rsidRPr="00BD7CEA" w:rsidRDefault="00287725" w:rsidP="005D1AD1">
            <w:pPr>
              <w:pStyle w:val="TableText"/>
              <w:rPr>
                <w:rFonts w:ascii="Tahoma" w:hAnsi="Tahoma" w:cs="Tahoma"/>
                <w:sz w:val="13"/>
              </w:rPr>
            </w:pPr>
            <w:r w:rsidRPr="00BD7CEA">
              <w:rPr>
                <w:rFonts w:ascii="Tahoma" w:hAnsi="Tahoma" w:cs="Tahoma"/>
                <w:sz w:val="13"/>
              </w:rPr>
              <w:t>5</w:t>
            </w:r>
          </w:p>
        </w:tc>
        <w:tc>
          <w:tcPr>
            <w:tcW w:w="450" w:type="dxa"/>
            <w:tcBorders>
              <w:bottom w:val="single" w:sz="4" w:space="0" w:color="auto"/>
            </w:tcBorders>
            <w:shd w:val="clear" w:color="auto" w:fill="auto"/>
            <w:vAlign w:val="center"/>
          </w:tcPr>
          <w:p w:rsidR="00B27742" w:rsidRPr="00BD7CEA" w:rsidRDefault="00287725" w:rsidP="005D1AD1">
            <w:pPr>
              <w:pStyle w:val="TableText"/>
              <w:rPr>
                <w:rFonts w:ascii="Tahoma" w:hAnsi="Tahoma" w:cs="Tahoma"/>
                <w:sz w:val="13"/>
              </w:rPr>
            </w:pPr>
            <w:r w:rsidRPr="00BD7CEA">
              <w:rPr>
                <w:rFonts w:ascii="Tahoma" w:hAnsi="Tahoma" w:cs="Tahoma"/>
                <w:sz w:val="13"/>
              </w:rPr>
              <w:t>4</w:t>
            </w:r>
          </w:p>
        </w:tc>
        <w:tc>
          <w:tcPr>
            <w:tcW w:w="450" w:type="dxa"/>
            <w:tcBorders>
              <w:bottom w:val="single" w:sz="4" w:space="0" w:color="auto"/>
            </w:tcBorders>
            <w:shd w:val="clear" w:color="auto" w:fill="auto"/>
            <w:vAlign w:val="center"/>
          </w:tcPr>
          <w:p w:rsidR="00B27742" w:rsidRPr="00BD7CEA" w:rsidRDefault="00B27742" w:rsidP="005D1AD1">
            <w:pPr>
              <w:pStyle w:val="TableText"/>
              <w:rPr>
                <w:rFonts w:ascii="Tahoma" w:hAnsi="Tahoma" w:cs="Tahoma"/>
                <w:sz w:val="13"/>
              </w:rPr>
            </w:pPr>
            <w:r w:rsidRPr="00BD7CEA">
              <w:rPr>
                <w:rFonts w:ascii="Tahoma" w:hAnsi="Tahoma" w:cs="Tahoma"/>
                <w:sz w:val="13"/>
              </w:rPr>
              <w:t>3</w:t>
            </w:r>
          </w:p>
        </w:tc>
        <w:tc>
          <w:tcPr>
            <w:tcW w:w="450" w:type="dxa"/>
            <w:tcBorders>
              <w:bottom w:val="single" w:sz="4" w:space="0" w:color="auto"/>
            </w:tcBorders>
            <w:shd w:val="clear" w:color="auto" w:fill="auto"/>
            <w:vAlign w:val="center"/>
          </w:tcPr>
          <w:p w:rsidR="00B27742" w:rsidRPr="00BD7CEA" w:rsidRDefault="00B27742" w:rsidP="005D1AD1">
            <w:pPr>
              <w:pStyle w:val="TableText"/>
              <w:rPr>
                <w:rFonts w:ascii="Tahoma" w:hAnsi="Tahoma" w:cs="Tahoma"/>
                <w:sz w:val="13"/>
              </w:rPr>
            </w:pPr>
            <w:r w:rsidRPr="00BD7CEA">
              <w:rPr>
                <w:rFonts w:ascii="Tahoma" w:hAnsi="Tahoma" w:cs="Tahoma"/>
                <w:sz w:val="13"/>
              </w:rPr>
              <w:t>2</w:t>
            </w:r>
          </w:p>
        </w:tc>
        <w:tc>
          <w:tcPr>
            <w:tcW w:w="360" w:type="dxa"/>
            <w:tcBorders>
              <w:bottom w:val="single" w:sz="4" w:space="0" w:color="auto"/>
              <w:right w:val="single" w:sz="18" w:space="0" w:color="auto"/>
            </w:tcBorders>
            <w:shd w:val="clear" w:color="auto" w:fill="auto"/>
            <w:vAlign w:val="center"/>
          </w:tcPr>
          <w:p w:rsidR="00B27742" w:rsidRPr="00BD7CEA" w:rsidRDefault="00B27742" w:rsidP="005D1AD1">
            <w:pPr>
              <w:pStyle w:val="TableText"/>
              <w:rPr>
                <w:rFonts w:ascii="Tahoma" w:hAnsi="Tahoma" w:cs="Tahoma"/>
                <w:sz w:val="13"/>
              </w:rPr>
            </w:pPr>
            <w:r w:rsidRPr="00BD7CE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B27742" w:rsidRPr="00BD7CEA" w:rsidRDefault="00B27742" w:rsidP="005D1AD1">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BD7CEA" w:rsidRDefault="00B27742" w:rsidP="005D1AD1">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27742" w:rsidRPr="00BD7CEA" w:rsidRDefault="00B27742" w:rsidP="005D1AD1">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BD7CEA" w:rsidRDefault="00664EE9" w:rsidP="005D1AD1">
            <w:pPr>
              <w:pStyle w:val="TableText"/>
              <w:rPr>
                <w:rFonts w:ascii="Tahoma" w:hAnsi="Tahoma" w:cs="Tahoma"/>
                <w:sz w:val="13"/>
              </w:rPr>
            </w:pPr>
            <w:r w:rsidRPr="00BD7CEA">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B27742" w:rsidRPr="00BD7CEA" w:rsidRDefault="00B27742" w:rsidP="005D1AD1">
            <w:pPr>
              <w:pStyle w:val="TableText"/>
              <w:rPr>
                <w:rFonts w:ascii="Tahoma" w:hAnsi="Tahoma" w:cs="Tahoma"/>
                <w:sz w:val="13"/>
              </w:rPr>
            </w:pPr>
            <w:r w:rsidRPr="00BD7CEA">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B27742" w:rsidRPr="00BD7CEA" w:rsidRDefault="00B27742" w:rsidP="005D1AD1">
            <w:pPr>
              <w:pStyle w:val="TableText"/>
              <w:rPr>
                <w:rFonts w:ascii="Tahoma" w:hAnsi="Tahoma" w:cs="Tahoma"/>
                <w:sz w:val="13"/>
              </w:rPr>
            </w:pPr>
            <w:r w:rsidRPr="00BD7CEA">
              <w:rPr>
                <w:rFonts w:ascii="Tahoma" w:hAnsi="Tahoma" w:cs="Tahoma"/>
                <w:sz w:val="13"/>
              </w:rPr>
              <w:t>E, P</w:t>
            </w:r>
          </w:p>
        </w:tc>
        <w:tc>
          <w:tcPr>
            <w:tcW w:w="450" w:type="dxa"/>
            <w:tcBorders>
              <w:bottom w:val="single" w:sz="4" w:space="0" w:color="auto"/>
            </w:tcBorders>
            <w:shd w:val="clear" w:color="auto" w:fill="auto"/>
            <w:vAlign w:val="center"/>
          </w:tcPr>
          <w:p w:rsidR="00B27742" w:rsidRPr="00BD7CEA" w:rsidRDefault="00B27742" w:rsidP="004000C7">
            <w:pPr>
              <w:pStyle w:val="TableText"/>
              <w:rPr>
                <w:rFonts w:ascii="Tahoma" w:hAnsi="Tahoma" w:cs="Tahoma"/>
                <w:sz w:val="13"/>
              </w:rPr>
            </w:pPr>
            <w:r w:rsidRPr="00BD7CEA">
              <w:rPr>
                <w:rFonts w:ascii="Tahoma" w:hAnsi="Tahoma" w:cs="Tahoma"/>
                <w:sz w:val="13"/>
              </w:rPr>
              <w:t>E, ST</w:t>
            </w:r>
          </w:p>
        </w:tc>
        <w:tc>
          <w:tcPr>
            <w:tcW w:w="540" w:type="dxa"/>
            <w:tcBorders>
              <w:bottom w:val="single" w:sz="4" w:space="0" w:color="auto"/>
            </w:tcBorders>
            <w:shd w:val="clear" w:color="auto" w:fill="auto"/>
            <w:vAlign w:val="center"/>
          </w:tcPr>
          <w:p w:rsidR="00B27742" w:rsidRPr="00BD7CEA" w:rsidRDefault="00B27742" w:rsidP="005D1AD1">
            <w:pPr>
              <w:pStyle w:val="TableText"/>
              <w:rPr>
                <w:rFonts w:ascii="Tahoma" w:hAnsi="Tahoma" w:cs="Tahoma"/>
                <w:sz w:val="13"/>
              </w:rPr>
            </w:pPr>
          </w:p>
        </w:tc>
      </w:tr>
      <w:tr w:rsidR="00B50A5B" w:rsidRPr="00BD7CEA" w:rsidTr="007E466C">
        <w:trPr>
          <w:trHeight w:val="123"/>
        </w:trPr>
        <w:tc>
          <w:tcPr>
            <w:tcW w:w="2610" w:type="dxa"/>
            <w:shd w:val="clear" w:color="auto" w:fill="FABF8F"/>
          </w:tcPr>
          <w:p w:rsidR="00B27742" w:rsidRPr="00BD7CEA" w:rsidRDefault="00B27742" w:rsidP="0070485B">
            <w:pPr>
              <w:pStyle w:val="ProductNames"/>
              <w:spacing w:before="40" w:after="40"/>
              <w:rPr>
                <w:rFonts w:ascii="Tahoma" w:hAnsi="Tahoma" w:cs="Tahoma"/>
                <w:sz w:val="14"/>
              </w:rPr>
            </w:pPr>
            <w:bookmarkStart w:id="139" w:name="_Toc336337906"/>
            <w:bookmarkStart w:id="140" w:name="_Toc353375689"/>
            <w:r w:rsidRPr="00BD7CEA">
              <w:rPr>
                <w:rFonts w:ascii="Tahoma" w:hAnsi="Tahoma" w:cs="Tahoma"/>
                <w:sz w:val="14"/>
              </w:rPr>
              <w:t>Windows Virtual Desktop Access (VDA)</w:t>
            </w:r>
            <w:bookmarkEnd w:id="139"/>
            <w:bookmarkEnd w:id="140"/>
          </w:p>
        </w:tc>
        <w:tc>
          <w:tcPr>
            <w:tcW w:w="360" w:type="dxa"/>
            <w:shd w:val="clear" w:color="auto" w:fill="FABF8F"/>
            <w:vAlign w:val="center"/>
          </w:tcPr>
          <w:p w:rsidR="00B27742" w:rsidRPr="00BD7CEA" w:rsidRDefault="00B27742">
            <w:pPr>
              <w:pStyle w:val="TableText"/>
              <w:widowControl w:val="0"/>
              <w:rPr>
                <w:rStyle w:val="EndnoteReference"/>
                <w:rFonts w:ascii="Tahoma" w:hAnsi="Tahoma"/>
                <w:color w:val="0000FF"/>
                <w:sz w:val="13"/>
                <w:szCs w:val="13"/>
              </w:rPr>
            </w:pPr>
          </w:p>
        </w:tc>
        <w:tc>
          <w:tcPr>
            <w:tcW w:w="450" w:type="dxa"/>
            <w:shd w:val="clear" w:color="auto" w:fill="FABF8F"/>
            <w:vAlign w:val="center"/>
          </w:tcPr>
          <w:p w:rsidR="00B27742" w:rsidRPr="00BD7CEA" w:rsidRDefault="00B27742" w:rsidP="007E466C">
            <w:pPr>
              <w:pStyle w:val="TableText"/>
              <w:rPr>
                <w:rFonts w:ascii="Tahoma" w:hAnsi="Tahoma" w:cs="Tahoma"/>
                <w:sz w:val="13"/>
              </w:rPr>
            </w:pPr>
            <w:r w:rsidRPr="00BD7CEA">
              <w:rPr>
                <w:rFonts w:ascii="Tahoma" w:hAnsi="Tahoma" w:cs="Tahoma"/>
                <w:sz w:val="13"/>
              </w:rPr>
              <w:t>07/10</w:t>
            </w:r>
          </w:p>
        </w:tc>
        <w:tc>
          <w:tcPr>
            <w:tcW w:w="360" w:type="dxa"/>
            <w:tcBorders>
              <w:right w:val="single" w:sz="18" w:space="0" w:color="auto"/>
            </w:tcBorders>
            <w:shd w:val="clear" w:color="auto" w:fill="FABF8F"/>
            <w:vAlign w:val="center"/>
          </w:tcPr>
          <w:p w:rsidR="00B27742" w:rsidRPr="00BD7CEA" w:rsidRDefault="00B27742">
            <w:pPr>
              <w:pStyle w:val="TableText"/>
              <w:rPr>
                <w:rFonts w:ascii="Tahoma" w:hAnsi="Tahoma" w:cs="Tahoma"/>
                <w:sz w:val="13"/>
              </w:rPr>
            </w:pPr>
            <w:r w:rsidRPr="00BD7CEA">
              <w:rPr>
                <w:rFonts w:ascii="Tahoma" w:hAnsi="Tahoma" w:cs="Tahoma"/>
                <w:sz w:val="13"/>
              </w:rPr>
              <w:t>DT</w:t>
            </w:r>
          </w:p>
        </w:tc>
        <w:tc>
          <w:tcPr>
            <w:tcW w:w="3060" w:type="dxa"/>
            <w:gridSpan w:val="7"/>
            <w:tcBorders>
              <w:left w:val="single" w:sz="18" w:space="0" w:color="auto"/>
              <w:right w:val="single" w:sz="18" w:space="0" w:color="auto"/>
            </w:tcBorders>
            <w:shd w:val="clear" w:color="auto" w:fill="FABF8F"/>
            <w:vAlign w:val="center"/>
          </w:tcPr>
          <w:p w:rsidR="00B27742" w:rsidRPr="00BD7CEA" w:rsidRDefault="00B27742">
            <w:pPr>
              <w:pStyle w:val="TableText"/>
              <w:rPr>
                <w:rFonts w:ascii="Tahoma" w:hAnsi="Tahoma" w:cs="Tahoma"/>
                <w:sz w:val="13"/>
              </w:rPr>
            </w:pPr>
            <w:r w:rsidRPr="00BD7CEA">
              <w:rPr>
                <w:rFonts w:ascii="Tahoma" w:hAnsi="Tahoma" w:cs="Tahoma"/>
                <w:sz w:val="13"/>
              </w:rPr>
              <w:t>2</w:t>
            </w:r>
          </w:p>
        </w:tc>
        <w:tc>
          <w:tcPr>
            <w:tcW w:w="450" w:type="dxa"/>
            <w:tcBorders>
              <w:left w:val="single" w:sz="18" w:space="0" w:color="auto"/>
            </w:tcBorders>
            <w:shd w:val="clear" w:color="auto" w:fill="FABF8F"/>
            <w:vAlign w:val="center"/>
          </w:tcPr>
          <w:p w:rsidR="00B27742" w:rsidRPr="00BD7CEA" w:rsidRDefault="00B27742">
            <w:pPr>
              <w:pStyle w:val="TableText"/>
              <w:rPr>
                <w:rFonts w:ascii="Tahoma" w:hAnsi="Tahoma" w:cs="Tahoma"/>
                <w:sz w:val="13"/>
              </w:rPr>
            </w:pPr>
          </w:p>
        </w:tc>
        <w:tc>
          <w:tcPr>
            <w:tcW w:w="450" w:type="dxa"/>
            <w:shd w:val="clear" w:color="auto" w:fill="FABF8F"/>
            <w:vAlign w:val="center"/>
          </w:tcPr>
          <w:p w:rsidR="00B27742" w:rsidRPr="00BD7CEA" w:rsidRDefault="00B27742">
            <w:pPr>
              <w:pStyle w:val="TableText"/>
              <w:rPr>
                <w:rFonts w:ascii="Tahoma" w:hAnsi="Tahoma" w:cs="Tahoma"/>
                <w:sz w:val="13"/>
              </w:rPr>
            </w:pPr>
          </w:p>
        </w:tc>
        <w:tc>
          <w:tcPr>
            <w:tcW w:w="450" w:type="dxa"/>
            <w:tcBorders>
              <w:right w:val="single" w:sz="18" w:space="0" w:color="auto"/>
            </w:tcBorders>
            <w:shd w:val="clear" w:color="auto" w:fill="FABF8F"/>
            <w:vAlign w:val="center"/>
          </w:tcPr>
          <w:p w:rsidR="00B27742" w:rsidRPr="00BD7CEA" w:rsidRDefault="00B27742">
            <w:pPr>
              <w:pStyle w:val="TableText"/>
              <w:rPr>
                <w:rFonts w:ascii="Tahoma" w:hAnsi="Tahoma" w:cs="Tahoma"/>
                <w:sz w:val="13"/>
              </w:rPr>
            </w:pPr>
          </w:p>
        </w:tc>
        <w:tc>
          <w:tcPr>
            <w:tcW w:w="450" w:type="dxa"/>
            <w:tcBorders>
              <w:left w:val="single" w:sz="18" w:space="0" w:color="auto"/>
            </w:tcBorders>
            <w:shd w:val="clear" w:color="auto" w:fill="FABF8F"/>
            <w:vAlign w:val="center"/>
          </w:tcPr>
          <w:p w:rsidR="00B27742" w:rsidRPr="00BD7CEA" w:rsidRDefault="00751F50">
            <w:pPr>
              <w:pStyle w:val="TableText"/>
              <w:rPr>
                <w:rFonts w:ascii="Tahoma" w:hAnsi="Tahoma" w:cs="Tahoma"/>
                <w:sz w:val="13"/>
              </w:rPr>
            </w:pPr>
            <w:r w:rsidRPr="00BD7CEA">
              <w:rPr>
                <w:rFonts w:ascii="Tahoma" w:hAnsi="Tahoma" w:cs="Tahoma"/>
                <w:sz w:val="13"/>
              </w:rPr>
              <w:t>1)</w:t>
            </w:r>
          </w:p>
        </w:tc>
        <w:tc>
          <w:tcPr>
            <w:tcW w:w="450" w:type="dxa"/>
            <w:tcBorders>
              <w:right w:val="single" w:sz="18" w:space="0" w:color="auto"/>
            </w:tcBorders>
            <w:shd w:val="clear" w:color="auto" w:fill="FABF8F"/>
            <w:vAlign w:val="center"/>
          </w:tcPr>
          <w:p w:rsidR="00B27742" w:rsidRPr="00BD7CEA" w:rsidRDefault="00B27742" w:rsidP="00BD5039">
            <w:pPr>
              <w:pStyle w:val="TableText"/>
              <w:rPr>
                <w:rFonts w:ascii="Tahoma" w:hAnsi="Tahoma" w:cs="Tahoma"/>
                <w:sz w:val="13"/>
              </w:rPr>
            </w:pPr>
            <w:r w:rsidRPr="00BD7CEA">
              <w:rPr>
                <w:rFonts w:ascii="Tahoma" w:hAnsi="Tahoma" w:cs="Tahoma"/>
                <w:sz w:val="13"/>
              </w:rPr>
              <w:t>E, A</w:t>
            </w:r>
          </w:p>
        </w:tc>
        <w:tc>
          <w:tcPr>
            <w:tcW w:w="450" w:type="dxa"/>
            <w:tcBorders>
              <w:left w:val="single" w:sz="18" w:space="0" w:color="auto"/>
              <w:right w:val="single" w:sz="18" w:space="0" w:color="auto"/>
            </w:tcBorders>
            <w:shd w:val="clear" w:color="auto" w:fill="FABF8F"/>
            <w:vAlign w:val="center"/>
          </w:tcPr>
          <w:p w:rsidR="00B27742" w:rsidRPr="00BD7CEA" w:rsidRDefault="00B27742">
            <w:pPr>
              <w:pStyle w:val="TableText"/>
              <w:rPr>
                <w:rFonts w:ascii="Tahoma" w:hAnsi="Tahoma" w:cs="Tahoma"/>
                <w:sz w:val="13"/>
              </w:rPr>
            </w:pPr>
            <w:r w:rsidRPr="00BD7CEA">
              <w:rPr>
                <w:rFonts w:ascii="Tahoma" w:hAnsi="Tahoma" w:cs="Tahoma"/>
                <w:sz w:val="13"/>
              </w:rPr>
              <w:t>P</w:t>
            </w:r>
          </w:p>
        </w:tc>
        <w:tc>
          <w:tcPr>
            <w:tcW w:w="450" w:type="dxa"/>
            <w:shd w:val="clear" w:color="auto" w:fill="FABF8F"/>
            <w:vAlign w:val="center"/>
          </w:tcPr>
          <w:p w:rsidR="00B27742" w:rsidRPr="00BD7CEA" w:rsidRDefault="00954BF1" w:rsidP="00722522">
            <w:pPr>
              <w:pStyle w:val="TableText"/>
              <w:rPr>
                <w:rFonts w:ascii="Tahoma" w:hAnsi="Tahoma" w:cs="Tahoma"/>
                <w:sz w:val="13"/>
              </w:rPr>
            </w:pPr>
            <w:r w:rsidRPr="00BD7CEA">
              <w:rPr>
                <w:rFonts w:ascii="Tahoma" w:hAnsi="Tahoma" w:cs="Tahoma"/>
                <w:sz w:val="13"/>
              </w:rPr>
              <w:t>A</w:t>
            </w:r>
          </w:p>
        </w:tc>
        <w:tc>
          <w:tcPr>
            <w:tcW w:w="540" w:type="dxa"/>
            <w:shd w:val="clear" w:color="auto" w:fill="FABF8F"/>
            <w:vAlign w:val="center"/>
          </w:tcPr>
          <w:p w:rsidR="00B27742" w:rsidRPr="00BD7CEA" w:rsidRDefault="00B27742">
            <w:pPr>
              <w:pStyle w:val="TableText"/>
              <w:rPr>
                <w:rFonts w:ascii="Tahoma" w:hAnsi="Tahoma" w:cs="Tahoma"/>
                <w:sz w:val="13"/>
              </w:rPr>
            </w:pPr>
          </w:p>
        </w:tc>
      </w:tr>
      <w:tr w:rsidR="006F741C" w:rsidRPr="00BD7CEA" w:rsidTr="004000C7">
        <w:trPr>
          <w:trHeight w:val="123"/>
        </w:trPr>
        <w:tc>
          <w:tcPr>
            <w:tcW w:w="2610" w:type="dxa"/>
            <w:shd w:val="clear" w:color="auto" w:fill="auto"/>
          </w:tcPr>
          <w:p w:rsidR="006F741C" w:rsidRPr="00BD7CEA" w:rsidRDefault="006F741C" w:rsidP="00F70479">
            <w:pPr>
              <w:pStyle w:val="ProductNames"/>
              <w:rPr>
                <w:rFonts w:ascii="Tahoma" w:hAnsi="Tahoma" w:cs="Tahoma"/>
                <w:sz w:val="14"/>
              </w:rPr>
            </w:pPr>
            <w:bookmarkStart w:id="141" w:name="_Toc353375690"/>
            <w:r w:rsidRPr="00BD7CEA">
              <w:rPr>
                <w:rFonts w:ascii="Tahoma" w:hAnsi="Tahoma" w:cs="Tahoma"/>
                <w:sz w:val="14"/>
              </w:rPr>
              <w:t>Windows Intune (Per Dispositivo)</w:t>
            </w:r>
            <w:bookmarkEnd w:id="141"/>
          </w:p>
        </w:tc>
        <w:tc>
          <w:tcPr>
            <w:tcW w:w="360" w:type="dxa"/>
            <w:shd w:val="clear" w:color="auto" w:fill="auto"/>
            <w:vAlign w:val="center"/>
          </w:tcPr>
          <w:p w:rsidR="006F741C" w:rsidRPr="00BD7CEA" w:rsidRDefault="006E5080" w:rsidP="00B0065F">
            <w:pPr>
              <w:pStyle w:val="TableText"/>
              <w:widowControl w:val="0"/>
              <w:rPr>
                <w:rStyle w:val="EndnoteReference"/>
                <w:b w:val="0"/>
                <w:color w:val="0000FF"/>
                <w:sz w:val="13"/>
                <w:szCs w:val="13"/>
              </w:rPr>
            </w:pPr>
            <w:hyperlink w:anchor="_29_Aggiornamento_per" w:history="1">
              <w:r w:rsidR="00C36760" w:rsidRPr="00BD7CEA">
                <w:rPr>
                  <w:rStyle w:val="Hyperlink"/>
                  <w:b/>
                  <w:sz w:val="13"/>
                  <w:szCs w:val="13"/>
                </w:rPr>
                <w:t>29</w:t>
              </w:r>
            </w:hyperlink>
          </w:p>
        </w:tc>
        <w:tc>
          <w:tcPr>
            <w:tcW w:w="450" w:type="dxa"/>
            <w:shd w:val="clear" w:color="auto" w:fill="auto"/>
          </w:tcPr>
          <w:p w:rsidR="006F741C" w:rsidRPr="00BD7CEA" w:rsidRDefault="006F741C" w:rsidP="006640D1">
            <w:pPr>
              <w:pStyle w:val="TableText"/>
              <w:spacing w:before="120"/>
              <w:rPr>
                <w:rFonts w:ascii="Tahoma" w:hAnsi="Tahoma" w:cs="Tahoma"/>
                <w:sz w:val="13"/>
              </w:rPr>
            </w:pPr>
            <w:r w:rsidRPr="00BD7CEA">
              <w:rPr>
                <w:rFonts w:ascii="Tahoma" w:hAnsi="Tahoma" w:cs="Tahoma"/>
                <w:sz w:val="13"/>
              </w:rPr>
              <w:t>4/11</w:t>
            </w:r>
          </w:p>
        </w:tc>
        <w:tc>
          <w:tcPr>
            <w:tcW w:w="360" w:type="dxa"/>
            <w:tcBorders>
              <w:right w:val="single" w:sz="18" w:space="0" w:color="auto"/>
            </w:tcBorders>
            <w:shd w:val="clear" w:color="auto" w:fill="auto"/>
            <w:vAlign w:val="center"/>
          </w:tcPr>
          <w:p w:rsidR="006F741C" w:rsidRPr="00BD7CEA" w:rsidRDefault="006F741C">
            <w:pPr>
              <w:pStyle w:val="TableText"/>
              <w:rPr>
                <w:rFonts w:ascii="Tahoma" w:hAnsi="Tahoma" w:cs="Tahoma"/>
                <w:sz w:val="13"/>
              </w:rPr>
            </w:pPr>
          </w:p>
        </w:tc>
        <w:tc>
          <w:tcPr>
            <w:tcW w:w="3060" w:type="dxa"/>
            <w:gridSpan w:val="7"/>
            <w:tcBorders>
              <w:left w:val="single" w:sz="18" w:space="0" w:color="auto"/>
              <w:right w:val="single" w:sz="18" w:space="0" w:color="auto"/>
            </w:tcBorders>
            <w:shd w:val="clear" w:color="auto" w:fill="auto"/>
            <w:vAlign w:val="center"/>
          </w:tcPr>
          <w:p w:rsidR="006F741C" w:rsidRPr="00BD7CEA" w:rsidRDefault="006F741C">
            <w:pPr>
              <w:pStyle w:val="TableText"/>
              <w:rPr>
                <w:rFonts w:ascii="Tahoma" w:hAnsi="Tahoma" w:cs="Tahoma"/>
                <w:sz w:val="13"/>
              </w:rPr>
            </w:pPr>
          </w:p>
        </w:tc>
        <w:tc>
          <w:tcPr>
            <w:tcW w:w="450" w:type="dxa"/>
            <w:tcBorders>
              <w:left w:val="single" w:sz="18" w:space="0" w:color="auto"/>
            </w:tcBorders>
            <w:shd w:val="clear" w:color="auto" w:fill="auto"/>
            <w:vAlign w:val="center"/>
          </w:tcPr>
          <w:p w:rsidR="006F741C" w:rsidRPr="00BD7CEA" w:rsidRDefault="006F741C">
            <w:pPr>
              <w:pStyle w:val="TableText"/>
              <w:rPr>
                <w:rFonts w:ascii="Tahoma" w:hAnsi="Tahoma" w:cs="Tahoma"/>
                <w:sz w:val="13"/>
              </w:rPr>
            </w:pPr>
          </w:p>
        </w:tc>
        <w:tc>
          <w:tcPr>
            <w:tcW w:w="450" w:type="dxa"/>
            <w:shd w:val="clear" w:color="auto" w:fill="auto"/>
            <w:vAlign w:val="center"/>
          </w:tcPr>
          <w:p w:rsidR="006F741C" w:rsidRPr="00BD7CEA" w:rsidRDefault="006F741C">
            <w:pPr>
              <w:pStyle w:val="TableText"/>
              <w:rPr>
                <w:rFonts w:ascii="Tahoma" w:hAnsi="Tahoma" w:cs="Tahoma"/>
                <w:sz w:val="13"/>
              </w:rPr>
            </w:pPr>
          </w:p>
        </w:tc>
        <w:tc>
          <w:tcPr>
            <w:tcW w:w="450" w:type="dxa"/>
            <w:tcBorders>
              <w:right w:val="single" w:sz="18" w:space="0" w:color="auto"/>
            </w:tcBorders>
            <w:shd w:val="clear" w:color="auto" w:fill="auto"/>
            <w:vAlign w:val="center"/>
          </w:tcPr>
          <w:p w:rsidR="006F741C" w:rsidRPr="00BD7CEA" w:rsidRDefault="006F741C">
            <w:pPr>
              <w:pStyle w:val="TableText"/>
              <w:rPr>
                <w:rFonts w:ascii="Tahoma" w:hAnsi="Tahoma" w:cs="Tahoma"/>
                <w:sz w:val="13"/>
              </w:rPr>
            </w:pPr>
          </w:p>
        </w:tc>
        <w:tc>
          <w:tcPr>
            <w:tcW w:w="450" w:type="dxa"/>
            <w:tcBorders>
              <w:left w:val="single" w:sz="18" w:space="0" w:color="auto"/>
            </w:tcBorders>
            <w:shd w:val="clear" w:color="auto" w:fill="auto"/>
            <w:vAlign w:val="center"/>
          </w:tcPr>
          <w:p w:rsidR="006F741C" w:rsidRPr="00BD7CEA" w:rsidRDefault="006F741C">
            <w:pPr>
              <w:pStyle w:val="TableText"/>
              <w:rPr>
                <w:rFonts w:ascii="Tahoma" w:hAnsi="Tahoma" w:cs="Tahoma"/>
                <w:sz w:val="13"/>
              </w:rPr>
            </w:pPr>
          </w:p>
        </w:tc>
        <w:tc>
          <w:tcPr>
            <w:tcW w:w="450" w:type="dxa"/>
            <w:tcBorders>
              <w:right w:val="single" w:sz="18" w:space="0" w:color="auto"/>
            </w:tcBorders>
            <w:shd w:val="clear" w:color="auto" w:fill="auto"/>
            <w:vAlign w:val="center"/>
          </w:tcPr>
          <w:p w:rsidR="006F741C" w:rsidRPr="00BD7CEA" w:rsidRDefault="006F741C" w:rsidP="00BD5039">
            <w:pPr>
              <w:pStyle w:val="TableText"/>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rsidR="006F741C" w:rsidRPr="00BD7CEA" w:rsidRDefault="006F741C">
            <w:pPr>
              <w:pStyle w:val="TableText"/>
              <w:rPr>
                <w:rFonts w:ascii="Tahoma" w:hAnsi="Tahoma" w:cs="Tahoma"/>
                <w:sz w:val="13"/>
              </w:rPr>
            </w:pPr>
          </w:p>
        </w:tc>
        <w:tc>
          <w:tcPr>
            <w:tcW w:w="450" w:type="dxa"/>
            <w:shd w:val="clear" w:color="auto" w:fill="auto"/>
            <w:vAlign w:val="center"/>
          </w:tcPr>
          <w:p w:rsidR="006F741C" w:rsidRPr="00BD7CEA" w:rsidRDefault="006F741C" w:rsidP="00722522">
            <w:pPr>
              <w:pStyle w:val="TableText"/>
              <w:rPr>
                <w:rFonts w:ascii="Tahoma" w:hAnsi="Tahoma" w:cs="Tahoma"/>
                <w:sz w:val="13"/>
              </w:rPr>
            </w:pPr>
          </w:p>
        </w:tc>
        <w:tc>
          <w:tcPr>
            <w:tcW w:w="540" w:type="dxa"/>
            <w:shd w:val="clear" w:color="auto" w:fill="auto"/>
            <w:vAlign w:val="center"/>
          </w:tcPr>
          <w:p w:rsidR="006F741C" w:rsidRPr="00BD7CEA" w:rsidRDefault="006F741C">
            <w:pPr>
              <w:pStyle w:val="TableText"/>
              <w:rPr>
                <w:rFonts w:ascii="Tahoma" w:hAnsi="Tahoma" w:cs="Tahoma"/>
                <w:sz w:val="13"/>
              </w:rPr>
            </w:pPr>
          </w:p>
        </w:tc>
      </w:tr>
      <w:tr w:rsidR="00955DF1" w:rsidRPr="00BD7CEA" w:rsidTr="0070485B">
        <w:trPr>
          <w:trHeight w:val="123"/>
        </w:trPr>
        <w:tc>
          <w:tcPr>
            <w:tcW w:w="2610" w:type="dxa"/>
            <w:tcBorders>
              <w:bottom w:val="single" w:sz="4" w:space="0" w:color="auto"/>
            </w:tcBorders>
            <w:shd w:val="clear" w:color="auto" w:fill="FABF8F"/>
          </w:tcPr>
          <w:p w:rsidR="00955DF1" w:rsidRPr="007B74B7" w:rsidRDefault="00955DF1" w:rsidP="00163658">
            <w:pPr>
              <w:pStyle w:val="ProductNames"/>
              <w:rPr>
                <w:rFonts w:ascii="Tahoma" w:hAnsi="Tahoma" w:cs="Tahoma"/>
                <w:sz w:val="14"/>
                <w:lang w:val="it-IT"/>
              </w:rPr>
            </w:pPr>
            <w:bookmarkStart w:id="142" w:name="_Toc353375691"/>
            <w:r w:rsidRPr="007B74B7">
              <w:rPr>
                <w:rFonts w:ascii="Tahoma" w:hAnsi="Tahoma" w:cs="Tahoma"/>
                <w:sz w:val="14"/>
                <w:lang w:val="it-IT"/>
              </w:rPr>
              <w:t>Componente Aggiuntivo per Windows Intune (Per Dispositivo)</w:t>
            </w:r>
            <w:bookmarkEnd w:id="142"/>
          </w:p>
        </w:tc>
        <w:tc>
          <w:tcPr>
            <w:tcW w:w="360" w:type="dxa"/>
            <w:tcBorders>
              <w:bottom w:val="single" w:sz="4" w:space="0" w:color="auto"/>
            </w:tcBorders>
            <w:shd w:val="clear" w:color="auto" w:fill="FABF8F"/>
            <w:vAlign w:val="center"/>
          </w:tcPr>
          <w:p w:rsidR="00955DF1" w:rsidRPr="00BD7CEA" w:rsidRDefault="006E5080" w:rsidP="00B0065F">
            <w:pPr>
              <w:pStyle w:val="TableText"/>
              <w:widowControl w:val="0"/>
              <w:rPr>
                <w:rStyle w:val="EndnoteReference"/>
                <w:b w:val="0"/>
                <w:color w:val="0000FF"/>
                <w:sz w:val="13"/>
                <w:szCs w:val="13"/>
              </w:rPr>
            </w:pPr>
            <w:hyperlink w:anchor="_30_Componente_Aggiuntivo" w:history="1">
              <w:r w:rsidR="00B0065F" w:rsidRPr="00BD7CEA">
                <w:rPr>
                  <w:rStyle w:val="Hyperlink"/>
                  <w:b/>
                  <w:sz w:val="13"/>
                  <w:szCs w:val="13"/>
                </w:rPr>
                <w:t>30</w:t>
              </w:r>
            </w:hyperlink>
            <w:hyperlink w:anchor="Sys_27WindowsVistaProUpgrade" w:history="1"/>
          </w:p>
        </w:tc>
        <w:tc>
          <w:tcPr>
            <w:tcW w:w="450" w:type="dxa"/>
            <w:tcBorders>
              <w:bottom w:val="single" w:sz="4" w:space="0" w:color="auto"/>
            </w:tcBorders>
            <w:shd w:val="clear" w:color="auto" w:fill="FABF8F"/>
          </w:tcPr>
          <w:p w:rsidR="00955DF1" w:rsidRPr="00BD7CEA" w:rsidRDefault="00955DF1" w:rsidP="00163658">
            <w:pPr>
              <w:pStyle w:val="TableText"/>
              <w:spacing w:before="120"/>
              <w:rPr>
                <w:rFonts w:ascii="Tahoma" w:hAnsi="Tahoma" w:cs="Tahoma"/>
                <w:sz w:val="13"/>
              </w:rPr>
            </w:pPr>
            <w:r w:rsidRPr="00BD7CEA">
              <w:rPr>
                <w:rFonts w:ascii="Tahoma" w:hAnsi="Tahoma" w:cs="Tahoma"/>
                <w:sz w:val="13"/>
              </w:rPr>
              <w:t>4/11</w:t>
            </w:r>
          </w:p>
        </w:tc>
        <w:tc>
          <w:tcPr>
            <w:tcW w:w="360" w:type="dxa"/>
            <w:tcBorders>
              <w:bottom w:val="single" w:sz="4" w:space="0" w:color="auto"/>
              <w:right w:val="single" w:sz="18" w:space="0" w:color="auto"/>
            </w:tcBorders>
            <w:shd w:val="clear" w:color="auto" w:fill="FABF8F"/>
            <w:vAlign w:val="center"/>
          </w:tcPr>
          <w:p w:rsidR="00955DF1" w:rsidRPr="00BD7CEA" w:rsidRDefault="00955DF1">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955DF1" w:rsidRPr="00BD7CEA" w:rsidRDefault="00955DF1">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55DF1" w:rsidRPr="00BD7CEA" w:rsidRDefault="00955DF1">
            <w:pPr>
              <w:pStyle w:val="TableText"/>
              <w:rPr>
                <w:rFonts w:ascii="Tahoma" w:hAnsi="Tahoma" w:cs="Tahoma"/>
                <w:sz w:val="13"/>
              </w:rPr>
            </w:pPr>
          </w:p>
        </w:tc>
        <w:tc>
          <w:tcPr>
            <w:tcW w:w="450" w:type="dxa"/>
            <w:tcBorders>
              <w:bottom w:val="single" w:sz="4" w:space="0" w:color="auto"/>
            </w:tcBorders>
            <w:shd w:val="clear" w:color="auto" w:fill="FABF8F"/>
            <w:vAlign w:val="center"/>
          </w:tcPr>
          <w:p w:rsidR="00955DF1" w:rsidRPr="00BD7CEA" w:rsidRDefault="00955DF1">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55DF1" w:rsidRPr="00BD7CEA" w:rsidRDefault="00955DF1">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55DF1" w:rsidRPr="00BD7CEA" w:rsidRDefault="00955DF1">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55DF1" w:rsidRPr="00BD7CEA" w:rsidRDefault="00955DF1" w:rsidP="00BD5039">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55DF1" w:rsidRPr="00BD7CEA" w:rsidRDefault="00955DF1">
            <w:pPr>
              <w:pStyle w:val="TableText"/>
              <w:rPr>
                <w:rFonts w:ascii="Tahoma" w:hAnsi="Tahoma" w:cs="Tahoma"/>
                <w:sz w:val="13"/>
              </w:rPr>
            </w:pPr>
          </w:p>
        </w:tc>
        <w:tc>
          <w:tcPr>
            <w:tcW w:w="450" w:type="dxa"/>
            <w:tcBorders>
              <w:bottom w:val="single" w:sz="4" w:space="0" w:color="auto"/>
            </w:tcBorders>
            <w:shd w:val="clear" w:color="auto" w:fill="FABF8F"/>
            <w:vAlign w:val="center"/>
          </w:tcPr>
          <w:p w:rsidR="00955DF1" w:rsidRPr="00BD7CEA" w:rsidRDefault="00955DF1" w:rsidP="00722522">
            <w:pPr>
              <w:pStyle w:val="TableText"/>
              <w:rPr>
                <w:rFonts w:ascii="Tahoma" w:hAnsi="Tahoma" w:cs="Tahoma"/>
                <w:sz w:val="13"/>
              </w:rPr>
            </w:pPr>
          </w:p>
        </w:tc>
        <w:tc>
          <w:tcPr>
            <w:tcW w:w="540" w:type="dxa"/>
            <w:tcBorders>
              <w:bottom w:val="single" w:sz="4" w:space="0" w:color="auto"/>
            </w:tcBorders>
            <w:shd w:val="clear" w:color="auto" w:fill="FABF8F"/>
            <w:vAlign w:val="center"/>
          </w:tcPr>
          <w:p w:rsidR="00955DF1" w:rsidRPr="00BD7CEA" w:rsidRDefault="00955DF1">
            <w:pPr>
              <w:pStyle w:val="TableText"/>
              <w:rPr>
                <w:rFonts w:ascii="Tahoma" w:hAnsi="Tahoma" w:cs="Tahoma"/>
                <w:sz w:val="13"/>
              </w:rPr>
            </w:pPr>
          </w:p>
        </w:tc>
      </w:tr>
    </w:tbl>
    <w:p w:rsidR="00091558" w:rsidRPr="00BD7CEA" w:rsidRDefault="00091558">
      <w:pPr>
        <w:pStyle w:val="ProductPool"/>
      </w:pPr>
    </w:p>
    <w:p w:rsidR="0021637C" w:rsidRPr="00BD7CEA" w:rsidRDefault="0021637C" w:rsidP="004E292A">
      <w:pPr>
        <w:pStyle w:val="Heading3"/>
      </w:pPr>
    </w:p>
    <w:p w:rsidR="00023FE7" w:rsidRPr="00BD7CEA" w:rsidRDefault="00023FE7" w:rsidP="004E292A">
      <w:pPr>
        <w:pStyle w:val="Heading3"/>
      </w:pPr>
      <w:bookmarkStart w:id="143" w:name="_Toc336337908"/>
      <w:bookmarkStart w:id="144" w:name="_Toc353375692"/>
      <w:r w:rsidRPr="00BD7CEA">
        <w:rPr>
          <w:rFonts w:ascii="Tahoma" w:hAnsi="Tahoma" w:cs="Tahoma"/>
          <w:sz w:val="22"/>
          <w:szCs w:val="22"/>
        </w:rPr>
        <w:t>POOL DI SERVER</w:t>
      </w:r>
      <w:bookmarkEnd w:id="143"/>
      <w:bookmarkEnd w:id="144"/>
    </w:p>
    <w:p w:rsidR="00023FE7" w:rsidRPr="00BD7CEA" w:rsidRDefault="00023FE7"/>
    <w:tbl>
      <w:tblPr>
        <w:tblW w:w="10654"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714"/>
        <w:gridCol w:w="450"/>
        <w:gridCol w:w="450"/>
        <w:gridCol w:w="360"/>
        <w:gridCol w:w="360"/>
        <w:gridCol w:w="450"/>
        <w:gridCol w:w="450"/>
        <w:gridCol w:w="450"/>
        <w:gridCol w:w="450"/>
        <w:gridCol w:w="450"/>
        <w:gridCol w:w="360"/>
        <w:gridCol w:w="450"/>
        <w:gridCol w:w="450"/>
        <w:gridCol w:w="450"/>
        <w:gridCol w:w="450"/>
        <w:gridCol w:w="450"/>
        <w:gridCol w:w="450"/>
        <w:gridCol w:w="450"/>
        <w:gridCol w:w="540"/>
      </w:tblGrid>
      <w:tr w:rsidR="001C38D4" w:rsidRPr="007B74B7" w:rsidTr="00554295">
        <w:trPr>
          <w:cantSplit/>
          <w:trHeight w:val="389"/>
          <w:tblHeader/>
        </w:trPr>
        <w:tc>
          <w:tcPr>
            <w:tcW w:w="2734" w:type="dxa"/>
            <w:gridSpan w:val="2"/>
            <w:vMerge w:val="restart"/>
            <w:tcBorders>
              <w:top w:val="single" w:sz="4" w:space="0" w:color="FFFFFF"/>
              <w:left w:val="single" w:sz="4" w:space="0" w:color="FFFFFF"/>
            </w:tcBorders>
          </w:tcPr>
          <w:p w:rsidR="00C031FA" w:rsidRPr="00BD7CEA" w:rsidRDefault="004A59D9">
            <w:pPr>
              <w:rPr>
                <w:rFonts w:cs="Tahoma"/>
                <w:sz w:val="20"/>
              </w:rPr>
            </w:pPr>
            <w:r>
              <w:rPr>
                <w:noProof/>
              </w:rPr>
              <mc:AlternateContent>
                <mc:Choice Requires="wps">
                  <w:drawing>
                    <wp:anchor distT="0" distB="0" distL="114300" distR="114300" simplePos="0" relativeHeight="251664896" behindDoc="0" locked="0" layoutInCell="1" allowOverlap="0">
                      <wp:simplePos x="0" y="0"/>
                      <wp:positionH relativeFrom="column">
                        <wp:posOffset>1676400</wp:posOffset>
                      </wp:positionH>
                      <wp:positionV relativeFrom="page">
                        <wp:posOffset>655955</wp:posOffset>
                      </wp:positionV>
                      <wp:extent cx="367030" cy="213995"/>
                      <wp:effectExtent l="0" t="0" r="0" b="0"/>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26D7" w:rsidRPr="00A872B3" w:rsidRDefault="001126D7" w:rsidP="00554295">
                                  <w:pPr>
                                    <w:rPr>
                                      <w:color w:val="0000FF"/>
                                      <w:sz w:val="8"/>
                                      <w:szCs w:val="8"/>
                                    </w:rPr>
                                  </w:pPr>
                                  <w:r w:rsidRPr="00A872B3">
                                    <w:rPr>
                                      <w:rFonts w:cs="Tahoma"/>
                                      <w:b/>
                                      <w:color w:val="0000FF"/>
                                      <w:sz w:val="8"/>
                                      <w:szCs w:val="8"/>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_x0000_s1028" type="#_x0000_t202" style="position:absolute;margin-left:132pt;margin-top:51.65pt;width:28.9pt;height:16.85pt;z-index:251664896;visibility:visible;mso-wrap-style:square;mso-width-percent:0;mso-height-percent:200;mso-wrap-distance-left:9pt;mso-wrap-distance-top:0;mso-wrap-distance-right:9pt;mso-wrap-distance-bottom:0;mso-position-horizontal:absolute;mso-position-horizontal-relative:text;mso-position-vertical:absolute;mso-position-vertical-relative:page;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bLx9twIAAME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FfQOyiNoBz16ZHuD7uQexaGtz9DrFNweenA0ezgHX8dV9/ey/KqRkMuGig27VUoODaMV5Odu+mdX&#10;RxxtQdbDB1lBHLo10gHta9XZ4kE5EKBDIk+n3thcSjicxLNgApYSTFE4SZKpzc2n6fFyr7R5x2SH&#10;7CLDClrvwOnuXpvR9ehiYwlZ8LZ17W/FxQFgjicQGq5am03CdfNHEiSr+WpOPBLFK48Eee7dFkvi&#10;xUU4m+aTfLnMw582bkjShlcVEzbMUVkh+bPOHTQ+auKkLS1bXlk4m5JWm/WyVWhHQdmF+w4FOXPz&#10;L9Nw9QIuLyiFEQnuosQr4vnMIwWZesksmHtBmNwlcUASkheXlO65YP9OCQ0ZTqbRdNTSb7kF7nvN&#10;jaYdNzA7Wt5leH5yoqlV4EpUrrWG8nZcn5XCpv9cCmj3sdFOr1aio1jNfr13TyM6PoO1rJ5AwEqC&#10;wECLMPdg0Uj1HaMBZkiG9bctVQyj9r2AR5CEhICbcRsynUWwUeeW9bmFihKgMmwwGpdLMw6qba/4&#10;poFIx2d3Cw+n4E7U9oWNWQEju4E54bgdZpodROd75/U8eRe/AAAA//8DAFBLAwQUAAYACAAAACEA&#10;i2/yG94AAAALAQAADwAAAGRycy9kb3ducmV2LnhtbEyPwU7DMBBE70j8g7VI3KjdBLUoxKkq1JYj&#10;UCLObrwkEfHait00/D3LCY47M5qdV25mN4gJx9h70rBcKBBIjbc9tRrq9/3dA4iYDFkzeEIN3xhh&#10;U11flaaw/kJvOB1TK7iEYmE0dCmFQsrYdOhMXPiAxN6nH51JfI6ttKO5cLkbZKbUSjrTE3/oTMCn&#10;Dpuv49lpCCkc1s/jy+t2t59U/XGos77daX17M28fQSSc018YfufzdKh408mfyUYxaMhW98yS2FB5&#10;DoITebZkmBMr+VqBrEr5n6H6AQAA//8DAFBLAQItABQABgAIAAAAIQC2gziS/gAAAOEBAAATAAAA&#10;AAAAAAAAAAAAAAAAAABbQ29udGVudF9UeXBlc10ueG1sUEsBAi0AFAAGAAgAAAAhADj9If/WAAAA&#10;lAEAAAsAAAAAAAAAAAAAAAAALwEAAF9yZWxzLy5yZWxzUEsBAi0AFAAGAAgAAAAhAElsvH23AgAA&#10;wQUAAA4AAAAAAAAAAAAAAAAALgIAAGRycy9lMm9Eb2MueG1sUEsBAi0AFAAGAAgAAAAhAItv8hve&#10;AAAACwEAAA8AAAAAAAAAAAAAAAAAEQUAAGRycy9kb3ducmV2LnhtbFBLBQYAAAAABAAEAPMAAAAc&#10;BgAAAAA=&#10;" o:allowoverlap="f" filled="f" stroked="f">
                      <v:textbox style="mso-fit-shape-to-text:t">
                        <w:txbxContent>
                          <w:p w:rsidR="001126D7" w:rsidRPr="00A872B3" w:rsidRDefault="001126D7" w:rsidP="00554295">
                            <w:pPr>
                              <w:rPr>
                                <w:color w:val="0000FF"/>
                                <w:sz w:val="8"/>
                                <w:szCs w:val="8"/>
                              </w:rPr>
                            </w:pPr>
                            <w:r w:rsidRPr="00A872B3">
                              <w:rPr>
                                <w:rFonts w:cs="Tahoma"/>
                                <w:b/>
                                <w:color w:val="0000FF"/>
                                <w:sz w:val="8"/>
                                <w:szCs w:val="8"/>
                              </w:rPr>
                              <w:t>(Ctrl + Clic)</w:t>
                            </w:r>
                          </w:p>
                        </w:txbxContent>
                      </v:textbox>
                      <w10:wrap anchory="page"/>
                    </v:shape>
                  </w:pict>
                </mc:Fallback>
              </mc:AlternateContent>
            </w:r>
          </w:p>
        </w:tc>
        <w:tc>
          <w:tcPr>
            <w:tcW w:w="450" w:type="dxa"/>
            <w:vMerge w:val="restart"/>
            <w:tcBorders>
              <w:top w:val="single" w:sz="12" w:space="0" w:color="auto"/>
            </w:tcBorders>
            <w:textDirection w:val="btLr"/>
            <w:vAlign w:val="center"/>
          </w:tcPr>
          <w:p w:rsidR="00C031FA" w:rsidRPr="00BD7CEA" w:rsidRDefault="00C031FA" w:rsidP="00554295">
            <w:pPr>
              <w:pStyle w:val="TableVerticalText"/>
              <w:rPr>
                <w:rFonts w:ascii="Tahoma" w:hAnsi="Tahoma" w:cs="Tahoma"/>
                <w:sz w:val="9"/>
              </w:rPr>
            </w:pPr>
            <w:r w:rsidRPr="00BD7CEA">
              <w:rPr>
                <w:rFonts w:ascii="Tahoma" w:hAnsi="Tahoma" w:cs="Tahoma"/>
                <w:sz w:val="9"/>
              </w:rPr>
              <w:t>Note del Prodotto</w:t>
            </w:r>
          </w:p>
        </w:tc>
        <w:tc>
          <w:tcPr>
            <w:tcW w:w="450" w:type="dxa"/>
            <w:vMerge w:val="restart"/>
            <w:tcBorders>
              <w:top w:val="single" w:sz="12" w:space="0" w:color="auto"/>
            </w:tcBorders>
            <w:textDirection w:val="btLr"/>
            <w:vAlign w:val="center"/>
          </w:tcPr>
          <w:p w:rsidR="00C031FA" w:rsidRPr="00BD7CEA" w:rsidRDefault="00C031FA" w:rsidP="00554295">
            <w:pPr>
              <w:pStyle w:val="TableVerticalText"/>
              <w:rPr>
                <w:rFonts w:ascii="Tahoma" w:hAnsi="Tahoma" w:cs="Tahoma"/>
                <w:sz w:val="9"/>
              </w:rPr>
            </w:pPr>
            <w:r w:rsidRPr="00BD7CEA">
              <w:rPr>
                <w:rFonts w:ascii="Tahoma" w:hAnsi="Tahoma" w:cs="Tahoma"/>
                <w:sz w:val="9"/>
              </w:rPr>
              <w:t>Data Disponibilità</w:t>
            </w:r>
          </w:p>
        </w:tc>
        <w:tc>
          <w:tcPr>
            <w:tcW w:w="360" w:type="dxa"/>
            <w:vMerge w:val="restart"/>
            <w:tcBorders>
              <w:top w:val="single" w:sz="12" w:space="0" w:color="auto"/>
              <w:right w:val="single" w:sz="18" w:space="0" w:color="auto"/>
            </w:tcBorders>
            <w:textDirection w:val="btLr"/>
            <w:vAlign w:val="center"/>
          </w:tcPr>
          <w:p w:rsidR="00C031FA" w:rsidRPr="00BD7CEA" w:rsidRDefault="00C031FA" w:rsidP="00554295">
            <w:pPr>
              <w:pStyle w:val="TableVerticalText"/>
              <w:rPr>
                <w:rFonts w:ascii="Tahoma" w:hAnsi="Tahoma" w:cs="Tahoma"/>
                <w:sz w:val="9"/>
              </w:rPr>
            </w:pPr>
            <w:r w:rsidRPr="00BD7CEA">
              <w:rPr>
                <w:rFonts w:ascii="Tahoma" w:hAnsi="Tahoma" w:cs="Tahoma"/>
                <w:sz w:val="9"/>
              </w:rPr>
              <w:t>SAB / OLB</w:t>
            </w:r>
          </w:p>
        </w:tc>
        <w:tc>
          <w:tcPr>
            <w:tcW w:w="2970" w:type="dxa"/>
            <w:gridSpan w:val="7"/>
            <w:tcBorders>
              <w:top w:val="single" w:sz="12" w:space="0" w:color="auto"/>
              <w:left w:val="single" w:sz="18" w:space="0" w:color="auto"/>
              <w:right w:val="single" w:sz="18" w:space="0" w:color="auto"/>
            </w:tcBorders>
            <w:vAlign w:val="center"/>
          </w:tcPr>
          <w:p w:rsidR="00C031FA" w:rsidRPr="00BD7CEA" w:rsidRDefault="00C031FA">
            <w:pPr>
              <w:pStyle w:val="TableHeadingsBlack"/>
              <w:rPr>
                <w:rFonts w:ascii="Tahoma" w:hAnsi="Tahoma" w:cs="Tahoma"/>
              </w:rPr>
            </w:pPr>
            <w:r w:rsidRPr="00BD7CEA">
              <w:rPr>
                <w:rFonts w:ascii="Tahoma" w:hAnsi="Tahoma" w:cs="Tahoma"/>
              </w:rPr>
              <w:t>Select / Select Plus*</w:t>
            </w:r>
          </w:p>
        </w:tc>
        <w:tc>
          <w:tcPr>
            <w:tcW w:w="1350" w:type="dxa"/>
            <w:gridSpan w:val="3"/>
            <w:tcBorders>
              <w:top w:val="single" w:sz="12" w:space="0" w:color="auto"/>
              <w:left w:val="single" w:sz="18" w:space="0" w:color="auto"/>
              <w:right w:val="single" w:sz="18" w:space="0" w:color="auto"/>
            </w:tcBorders>
            <w:vAlign w:val="center"/>
          </w:tcPr>
          <w:p w:rsidR="00C031FA" w:rsidRPr="00BD7CEA" w:rsidRDefault="00C031FA">
            <w:pPr>
              <w:pStyle w:val="TableHeadingsBlack"/>
              <w:rPr>
                <w:rFonts w:ascii="Tahoma" w:hAnsi="Tahoma" w:cs="Tahoma"/>
                <w:szCs w:val="11"/>
              </w:rPr>
            </w:pPr>
            <w:r w:rsidRPr="00BD7CEA">
              <w:rPr>
                <w:rFonts w:ascii="Tahoma" w:hAnsi="Tahoma" w:cs="Tahoma"/>
                <w:szCs w:val="11"/>
              </w:rPr>
              <w:t>Licenza Open</w:t>
            </w:r>
          </w:p>
        </w:tc>
        <w:tc>
          <w:tcPr>
            <w:tcW w:w="450" w:type="dxa"/>
            <w:vMerge w:val="restart"/>
            <w:tcBorders>
              <w:top w:val="single" w:sz="12" w:space="0" w:color="auto"/>
              <w:left w:val="single" w:sz="18" w:space="0" w:color="auto"/>
            </w:tcBorders>
            <w:textDirection w:val="btLr"/>
            <w:vAlign w:val="center"/>
          </w:tcPr>
          <w:p w:rsidR="00C031FA" w:rsidRPr="00BD7CEA" w:rsidRDefault="00C031FA">
            <w:pPr>
              <w:pStyle w:val="TableVerticalText"/>
              <w:rPr>
                <w:rFonts w:ascii="Tahoma" w:hAnsi="Tahoma" w:cs="Tahoma"/>
                <w:sz w:val="9"/>
              </w:rPr>
            </w:pPr>
            <w:r w:rsidRPr="00BD7CEA">
              <w:rPr>
                <w:rFonts w:ascii="Tahoma" w:hAnsi="Tahoma" w:cs="Tahoma"/>
                <w:sz w:val="9"/>
              </w:rPr>
              <w:t>Unità Campus/School</w:t>
            </w:r>
          </w:p>
        </w:tc>
        <w:tc>
          <w:tcPr>
            <w:tcW w:w="450" w:type="dxa"/>
            <w:vMerge w:val="restart"/>
            <w:tcBorders>
              <w:top w:val="single" w:sz="12" w:space="0" w:color="auto"/>
              <w:right w:val="single" w:sz="18" w:space="0" w:color="auto"/>
            </w:tcBorders>
            <w:textDirection w:val="btLr"/>
            <w:vAlign w:val="center"/>
          </w:tcPr>
          <w:p w:rsidR="00C031FA" w:rsidRPr="00BD7CEA" w:rsidRDefault="00C031FA">
            <w:pPr>
              <w:pStyle w:val="TableVerticalText"/>
              <w:rPr>
                <w:rFonts w:ascii="Tahoma" w:hAnsi="Tahoma" w:cs="Tahoma"/>
                <w:sz w:val="9"/>
              </w:rPr>
            </w:pPr>
            <w:r w:rsidRPr="00BD7CEA">
              <w:rPr>
                <w:rFonts w:ascii="Tahoma" w:hAnsi="Tahoma" w:cs="Tahoma"/>
                <w:sz w:val="9"/>
              </w:rPr>
              <w:t xml:space="preserve">EA ed </w:t>
            </w:r>
            <w:r w:rsidRPr="00BD7CEA">
              <w:rPr>
                <w:rFonts w:ascii="Tahoma"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rsidR="00C031FA" w:rsidRPr="00BD7CEA" w:rsidRDefault="00C031FA">
            <w:pPr>
              <w:pStyle w:val="TableVerticalText"/>
              <w:rPr>
                <w:rFonts w:ascii="Tahoma" w:hAnsi="Tahoma" w:cs="Tahoma"/>
                <w:sz w:val="9"/>
              </w:rPr>
            </w:pPr>
            <w:r w:rsidRPr="00BD7CEA">
              <w:rPr>
                <w:rFonts w:ascii="Tahoma" w:hAnsi="Tahoma" w:cs="Tahoma"/>
                <w:sz w:val="9"/>
              </w:rPr>
              <w:t>OV / OVS</w:t>
            </w:r>
          </w:p>
        </w:tc>
        <w:tc>
          <w:tcPr>
            <w:tcW w:w="450" w:type="dxa"/>
            <w:vMerge w:val="restart"/>
            <w:tcBorders>
              <w:top w:val="single" w:sz="12" w:space="0" w:color="auto"/>
            </w:tcBorders>
            <w:textDirection w:val="btLr"/>
          </w:tcPr>
          <w:p w:rsidR="00C031FA" w:rsidRPr="00BD7CEA" w:rsidRDefault="00C031FA" w:rsidP="00384940">
            <w:pPr>
              <w:pStyle w:val="TableVerticalText"/>
              <w:spacing w:before="120"/>
              <w:rPr>
                <w:rFonts w:ascii="Tahoma" w:hAnsi="Tahoma" w:cs="Tahoma"/>
                <w:sz w:val="9"/>
              </w:rPr>
            </w:pPr>
            <w:r w:rsidRPr="00BD7CEA">
              <w:rPr>
                <w:rFonts w:ascii="Tahoma" w:hAnsi="Tahoma" w:cs="Tahoma"/>
                <w:sz w:val="9"/>
              </w:rPr>
              <w:t>EES / OVS</w:t>
            </w:r>
            <w:r w:rsidR="00FD7C0D">
              <w:rPr>
                <w:rFonts w:ascii="Tahoma" w:hAnsi="Tahoma" w:cs="Tahoma"/>
                <w:sz w:val="9"/>
              </w:rPr>
              <w:t xml:space="preserve"> – </w:t>
            </w:r>
            <w:r w:rsidRPr="00BD7CEA">
              <w:rPr>
                <w:rFonts w:ascii="Tahoma" w:hAnsi="Tahoma" w:cs="Tahoma"/>
                <w:sz w:val="9"/>
              </w:rPr>
              <w:t>ES</w:t>
            </w:r>
          </w:p>
        </w:tc>
        <w:tc>
          <w:tcPr>
            <w:tcW w:w="540" w:type="dxa"/>
            <w:vMerge w:val="restart"/>
            <w:tcBorders>
              <w:top w:val="single" w:sz="12" w:space="0" w:color="auto"/>
            </w:tcBorders>
            <w:textDirection w:val="btLr"/>
            <w:vAlign w:val="center"/>
          </w:tcPr>
          <w:p w:rsidR="00C031FA" w:rsidRPr="007B74B7" w:rsidRDefault="00C031FA" w:rsidP="00456002">
            <w:pPr>
              <w:pStyle w:val="TableVerticalText"/>
              <w:rPr>
                <w:rFonts w:ascii="Tahoma" w:hAnsi="Tahoma" w:cs="Tahoma"/>
                <w:sz w:val="9"/>
                <w:lang w:val="it-IT"/>
              </w:rPr>
            </w:pPr>
            <w:r w:rsidRPr="007B74B7">
              <w:rPr>
                <w:rFonts w:ascii="Tahoma" w:hAnsi="Tahoma" w:cs="Tahoma"/>
                <w:sz w:val="9"/>
                <w:lang w:val="it-IT"/>
              </w:rPr>
              <w:t>Requisito minimo per i Programmi Open</w:t>
            </w:r>
          </w:p>
        </w:tc>
      </w:tr>
      <w:tr w:rsidR="001C38D4" w:rsidRPr="00BD7CEA" w:rsidTr="007E466C">
        <w:trPr>
          <w:cantSplit/>
          <w:trHeight w:val="262"/>
          <w:tblHeader/>
        </w:trPr>
        <w:tc>
          <w:tcPr>
            <w:tcW w:w="2734" w:type="dxa"/>
            <w:gridSpan w:val="2"/>
            <w:vMerge/>
            <w:tcBorders>
              <w:left w:val="single" w:sz="4" w:space="0" w:color="FFFFFF"/>
            </w:tcBorders>
          </w:tcPr>
          <w:p w:rsidR="00C031FA" w:rsidRPr="007B74B7" w:rsidRDefault="00C031FA">
            <w:pPr>
              <w:rPr>
                <w:rFonts w:cs="Tahoma"/>
                <w:sz w:val="20"/>
                <w:lang w:val="it-IT"/>
              </w:rPr>
            </w:pPr>
          </w:p>
        </w:tc>
        <w:tc>
          <w:tcPr>
            <w:tcW w:w="450" w:type="dxa"/>
            <w:vMerge/>
          </w:tcPr>
          <w:p w:rsidR="00C031FA" w:rsidRPr="007B74B7" w:rsidRDefault="00C031FA">
            <w:pPr>
              <w:rPr>
                <w:rFonts w:cs="Tahoma"/>
                <w:b/>
                <w:sz w:val="20"/>
                <w:lang w:val="it-IT"/>
              </w:rPr>
            </w:pPr>
          </w:p>
        </w:tc>
        <w:tc>
          <w:tcPr>
            <w:tcW w:w="450" w:type="dxa"/>
            <w:vMerge/>
          </w:tcPr>
          <w:p w:rsidR="00C031FA" w:rsidRPr="007B74B7" w:rsidRDefault="00C031FA">
            <w:pPr>
              <w:rPr>
                <w:rFonts w:cs="Tahoma"/>
                <w:sz w:val="20"/>
                <w:lang w:val="it-IT"/>
              </w:rPr>
            </w:pPr>
          </w:p>
        </w:tc>
        <w:tc>
          <w:tcPr>
            <w:tcW w:w="360" w:type="dxa"/>
            <w:vMerge/>
            <w:tcBorders>
              <w:right w:val="single" w:sz="18" w:space="0" w:color="auto"/>
            </w:tcBorders>
          </w:tcPr>
          <w:p w:rsidR="00C031FA" w:rsidRPr="007B74B7" w:rsidRDefault="00C031FA">
            <w:pPr>
              <w:rPr>
                <w:rFonts w:cs="Tahoma"/>
                <w:sz w:val="20"/>
                <w:lang w:val="it-IT"/>
              </w:rPr>
            </w:pPr>
          </w:p>
        </w:tc>
        <w:tc>
          <w:tcPr>
            <w:tcW w:w="360" w:type="dxa"/>
            <w:vMerge w:val="restart"/>
            <w:tcBorders>
              <w:left w:val="single" w:sz="18" w:space="0" w:color="auto"/>
            </w:tcBorders>
            <w:vAlign w:val="center"/>
          </w:tcPr>
          <w:p w:rsidR="00C031FA" w:rsidRPr="00BD7CEA" w:rsidRDefault="00C031FA">
            <w:pPr>
              <w:pStyle w:val="TableHeadingsRed"/>
              <w:rPr>
                <w:rFonts w:ascii="Tahoma" w:hAnsi="Tahoma" w:cs="Tahoma"/>
                <w:sz w:val="9"/>
              </w:rPr>
            </w:pPr>
            <w:r w:rsidRPr="00BD7CEA">
              <w:rPr>
                <w:rFonts w:ascii="Tahoma" w:hAnsi="Tahoma" w:cs="Tahoma"/>
                <w:sz w:val="9"/>
              </w:rPr>
              <w:t>L</w:t>
            </w:r>
          </w:p>
        </w:tc>
        <w:tc>
          <w:tcPr>
            <w:tcW w:w="1350" w:type="dxa"/>
            <w:gridSpan w:val="3"/>
            <w:vAlign w:val="center"/>
          </w:tcPr>
          <w:p w:rsidR="00C031FA" w:rsidRPr="00BD7CEA" w:rsidRDefault="00C031FA">
            <w:pPr>
              <w:pStyle w:val="TableHeadingsGreen"/>
              <w:rPr>
                <w:rFonts w:ascii="Tahoma" w:hAnsi="Tahoma" w:cs="Tahoma"/>
                <w:sz w:val="9"/>
              </w:rPr>
            </w:pPr>
            <w:r w:rsidRPr="00BD7CEA">
              <w:rPr>
                <w:rFonts w:ascii="Tahoma" w:hAnsi="Tahoma" w:cs="Tahoma"/>
                <w:sz w:val="9"/>
              </w:rPr>
              <w:t>L&amp;SA</w:t>
            </w:r>
          </w:p>
        </w:tc>
        <w:tc>
          <w:tcPr>
            <w:tcW w:w="1260" w:type="dxa"/>
            <w:gridSpan w:val="3"/>
            <w:tcBorders>
              <w:right w:val="single" w:sz="18" w:space="0" w:color="auto"/>
            </w:tcBorders>
            <w:vAlign w:val="center"/>
          </w:tcPr>
          <w:p w:rsidR="00C031FA" w:rsidRPr="00BD7CEA" w:rsidRDefault="00C031FA">
            <w:pPr>
              <w:pStyle w:val="TableHeadingsBlue"/>
              <w:rPr>
                <w:rFonts w:ascii="Tahoma" w:hAnsi="Tahoma" w:cs="Tahoma"/>
                <w:sz w:val="9"/>
              </w:rPr>
            </w:pPr>
            <w:r w:rsidRPr="00BD7CEA">
              <w:rPr>
                <w:rFonts w:ascii="Tahoma" w:hAnsi="Tahoma" w:cs="Tahoma"/>
                <w:sz w:val="9"/>
              </w:rPr>
              <w:t>SA</w:t>
            </w:r>
          </w:p>
        </w:tc>
        <w:tc>
          <w:tcPr>
            <w:tcW w:w="450" w:type="dxa"/>
            <w:vMerge w:val="restart"/>
            <w:tcBorders>
              <w:left w:val="single" w:sz="18" w:space="0" w:color="auto"/>
            </w:tcBorders>
            <w:vAlign w:val="center"/>
          </w:tcPr>
          <w:p w:rsidR="00C031FA" w:rsidRPr="00BD7CEA" w:rsidRDefault="00C031FA">
            <w:pPr>
              <w:pStyle w:val="TableHeadingsRed"/>
              <w:rPr>
                <w:rFonts w:ascii="Tahoma" w:hAnsi="Tahoma" w:cs="Tahoma"/>
                <w:sz w:val="9"/>
              </w:rPr>
            </w:pPr>
            <w:r w:rsidRPr="00BD7CEA">
              <w:rPr>
                <w:rFonts w:ascii="Tahoma" w:hAnsi="Tahoma" w:cs="Tahoma"/>
                <w:sz w:val="9"/>
              </w:rPr>
              <w:t>L</w:t>
            </w:r>
          </w:p>
        </w:tc>
        <w:tc>
          <w:tcPr>
            <w:tcW w:w="450" w:type="dxa"/>
            <w:vAlign w:val="center"/>
          </w:tcPr>
          <w:p w:rsidR="00C031FA" w:rsidRPr="00BD7CEA" w:rsidRDefault="00C031FA">
            <w:pPr>
              <w:pStyle w:val="TableHeadingsGreen"/>
              <w:rPr>
                <w:rFonts w:ascii="Tahoma" w:hAnsi="Tahoma" w:cs="Tahoma"/>
                <w:sz w:val="9"/>
              </w:rPr>
            </w:pPr>
            <w:r w:rsidRPr="00BD7CEA">
              <w:rPr>
                <w:rFonts w:ascii="Tahoma" w:hAnsi="Tahoma" w:cs="Tahoma"/>
                <w:sz w:val="9"/>
              </w:rPr>
              <w:t>L&amp;SA</w:t>
            </w:r>
          </w:p>
        </w:tc>
        <w:tc>
          <w:tcPr>
            <w:tcW w:w="450" w:type="dxa"/>
            <w:vMerge w:val="restart"/>
            <w:tcBorders>
              <w:right w:val="single" w:sz="18" w:space="0" w:color="auto"/>
            </w:tcBorders>
            <w:vAlign w:val="center"/>
          </w:tcPr>
          <w:p w:rsidR="00C031FA" w:rsidRPr="00BD7CEA" w:rsidRDefault="00C031FA">
            <w:pPr>
              <w:pStyle w:val="TableHeadingsBlue"/>
              <w:rPr>
                <w:rFonts w:ascii="Tahoma" w:hAnsi="Tahoma" w:cs="Tahoma"/>
                <w:sz w:val="9"/>
              </w:rPr>
            </w:pPr>
            <w:r w:rsidRPr="00BD7CEA">
              <w:rPr>
                <w:rFonts w:ascii="Tahoma" w:hAnsi="Tahoma" w:cs="Tahoma"/>
                <w:sz w:val="9"/>
              </w:rPr>
              <w:t>SA</w:t>
            </w:r>
          </w:p>
        </w:tc>
        <w:tc>
          <w:tcPr>
            <w:tcW w:w="450" w:type="dxa"/>
            <w:vMerge/>
            <w:tcBorders>
              <w:left w:val="single" w:sz="18" w:space="0" w:color="auto"/>
            </w:tcBorders>
          </w:tcPr>
          <w:p w:rsidR="00C031FA" w:rsidRPr="00BD7CEA" w:rsidRDefault="00C031FA">
            <w:pPr>
              <w:rPr>
                <w:rFonts w:cs="Tahoma"/>
                <w:sz w:val="20"/>
              </w:rPr>
            </w:pPr>
          </w:p>
        </w:tc>
        <w:tc>
          <w:tcPr>
            <w:tcW w:w="450" w:type="dxa"/>
            <w:vMerge/>
            <w:tcBorders>
              <w:right w:val="single" w:sz="18" w:space="0" w:color="auto"/>
            </w:tcBorders>
          </w:tcPr>
          <w:p w:rsidR="00C031FA" w:rsidRPr="00BD7CEA" w:rsidRDefault="00C031FA">
            <w:pPr>
              <w:rPr>
                <w:rFonts w:cs="Tahoma"/>
                <w:sz w:val="20"/>
              </w:rPr>
            </w:pPr>
          </w:p>
        </w:tc>
        <w:tc>
          <w:tcPr>
            <w:tcW w:w="450" w:type="dxa"/>
            <w:vMerge/>
            <w:tcBorders>
              <w:left w:val="single" w:sz="18" w:space="0" w:color="auto"/>
              <w:right w:val="single" w:sz="18" w:space="0" w:color="auto"/>
            </w:tcBorders>
          </w:tcPr>
          <w:p w:rsidR="00C031FA" w:rsidRPr="00BD7CEA" w:rsidRDefault="00C031FA">
            <w:pPr>
              <w:rPr>
                <w:rFonts w:cs="Tahoma"/>
                <w:sz w:val="20"/>
              </w:rPr>
            </w:pPr>
          </w:p>
        </w:tc>
        <w:tc>
          <w:tcPr>
            <w:tcW w:w="450" w:type="dxa"/>
            <w:vMerge/>
          </w:tcPr>
          <w:p w:rsidR="00C031FA" w:rsidRPr="00BD7CEA" w:rsidRDefault="00C031FA">
            <w:pPr>
              <w:rPr>
                <w:rFonts w:cs="Tahoma"/>
                <w:sz w:val="20"/>
              </w:rPr>
            </w:pPr>
          </w:p>
        </w:tc>
        <w:tc>
          <w:tcPr>
            <w:tcW w:w="540" w:type="dxa"/>
            <w:vMerge/>
          </w:tcPr>
          <w:p w:rsidR="00C031FA" w:rsidRPr="00BD7CEA" w:rsidRDefault="00C031FA">
            <w:pPr>
              <w:rPr>
                <w:rFonts w:cs="Tahoma"/>
                <w:sz w:val="20"/>
              </w:rPr>
            </w:pPr>
          </w:p>
        </w:tc>
      </w:tr>
      <w:tr w:rsidR="001C38D4" w:rsidRPr="00BD7CEA" w:rsidTr="00554295">
        <w:trPr>
          <w:cantSplit/>
          <w:trHeight w:val="728"/>
          <w:tblHeader/>
        </w:trPr>
        <w:tc>
          <w:tcPr>
            <w:tcW w:w="2734" w:type="dxa"/>
            <w:gridSpan w:val="2"/>
            <w:vMerge/>
            <w:tcBorders>
              <w:left w:val="single" w:sz="4" w:space="0" w:color="FFFFFF"/>
              <w:bottom w:val="single" w:sz="4" w:space="0" w:color="auto"/>
            </w:tcBorders>
          </w:tcPr>
          <w:p w:rsidR="00C031FA" w:rsidRPr="00BD7CEA" w:rsidRDefault="00C031FA">
            <w:pPr>
              <w:rPr>
                <w:rFonts w:cs="Tahoma"/>
                <w:sz w:val="20"/>
              </w:rPr>
            </w:pPr>
          </w:p>
        </w:tc>
        <w:tc>
          <w:tcPr>
            <w:tcW w:w="450" w:type="dxa"/>
            <w:vMerge/>
            <w:tcBorders>
              <w:bottom w:val="single" w:sz="4" w:space="0" w:color="auto"/>
            </w:tcBorders>
          </w:tcPr>
          <w:p w:rsidR="00C031FA" w:rsidRPr="00BD7CEA" w:rsidRDefault="00C031FA">
            <w:pPr>
              <w:rPr>
                <w:rFonts w:cs="Tahoma"/>
                <w:b/>
                <w:sz w:val="20"/>
              </w:rPr>
            </w:pPr>
          </w:p>
        </w:tc>
        <w:tc>
          <w:tcPr>
            <w:tcW w:w="450" w:type="dxa"/>
            <w:vMerge/>
            <w:tcBorders>
              <w:bottom w:val="single" w:sz="4" w:space="0" w:color="auto"/>
            </w:tcBorders>
          </w:tcPr>
          <w:p w:rsidR="00C031FA" w:rsidRPr="00BD7CEA" w:rsidRDefault="00C031FA">
            <w:pPr>
              <w:rPr>
                <w:rFonts w:cs="Tahoma"/>
                <w:sz w:val="20"/>
              </w:rPr>
            </w:pPr>
          </w:p>
        </w:tc>
        <w:tc>
          <w:tcPr>
            <w:tcW w:w="360" w:type="dxa"/>
            <w:vMerge/>
            <w:tcBorders>
              <w:bottom w:val="single" w:sz="4" w:space="0" w:color="auto"/>
              <w:right w:val="single" w:sz="18" w:space="0" w:color="auto"/>
            </w:tcBorders>
          </w:tcPr>
          <w:p w:rsidR="00C031FA" w:rsidRPr="00BD7CEA" w:rsidRDefault="00C031FA">
            <w:pPr>
              <w:rPr>
                <w:rFonts w:cs="Tahoma"/>
                <w:sz w:val="20"/>
              </w:rPr>
            </w:pPr>
          </w:p>
        </w:tc>
        <w:tc>
          <w:tcPr>
            <w:tcW w:w="360" w:type="dxa"/>
            <w:vMerge/>
            <w:tcBorders>
              <w:left w:val="single" w:sz="18" w:space="0" w:color="auto"/>
              <w:bottom w:val="single" w:sz="4" w:space="0" w:color="auto"/>
            </w:tcBorders>
            <w:vAlign w:val="center"/>
          </w:tcPr>
          <w:p w:rsidR="00C031FA" w:rsidRPr="00BD7CEA" w:rsidRDefault="00C031FA">
            <w:pPr>
              <w:jc w:val="center"/>
              <w:rPr>
                <w:rFonts w:cs="Tahoma"/>
                <w:sz w:val="20"/>
              </w:rPr>
            </w:pPr>
          </w:p>
        </w:tc>
        <w:tc>
          <w:tcPr>
            <w:tcW w:w="450" w:type="dxa"/>
            <w:tcBorders>
              <w:bottom w:val="single" w:sz="4" w:space="0" w:color="auto"/>
            </w:tcBorders>
            <w:vAlign w:val="center"/>
          </w:tcPr>
          <w:p w:rsidR="00C031FA" w:rsidRPr="00BD7CEA" w:rsidRDefault="00C031FA">
            <w:pPr>
              <w:pStyle w:val="TableHeadingsGreen"/>
              <w:rPr>
                <w:rFonts w:ascii="Tahoma" w:hAnsi="Tahoma" w:cs="Tahoma"/>
                <w:sz w:val="9"/>
              </w:rPr>
            </w:pPr>
            <w:r w:rsidRPr="00BD7CEA">
              <w:rPr>
                <w:rFonts w:ascii="Tahoma" w:hAnsi="Tahoma" w:cs="Tahoma"/>
                <w:sz w:val="9"/>
              </w:rPr>
              <w:t>3An</w:t>
            </w:r>
          </w:p>
        </w:tc>
        <w:tc>
          <w:tcPr>
            <w:tcW w:w="450" w:type="dxa"/>
            <w:tcBorders>
              <w:bottom w:val="single" w:sz="4" w:space="0" w:color="auto"/>
            </w:tcBorders>
            <w:vAlign w:val="center"/>
          </w:tcPr>
          <w:p w:rsidR="00C031FA" w:rsidRPr="00BD7CEA" w:rsidRDefault="00C031FA">
            <w:pPr>
              <w:pStyle w:val="TableHeadingsGreen"/>
              <w:rPr>
                <w:rFonts w:ascii="Tahoma" w:hAnsi="Tahoma" w:cs="Tahoma"/>
                <w:sz w:val="9"/>
              </w:rPr>
            </w:pPr>
            <w:r w:rsidRPr="00BD7CEA">
              <w:rPr>
                <w:rFonts w:ascii="Tahoma" w:hAnsi="Tahoma" w:cs="Tahoma"/>
                <w:sz w:val="9"/>
              </w:rPr>
              <w:t>2An</w:t>
            </w:r>
          </w:p>
        </w:tc>
        <w:tc>
          <w:tcPr>
            <w:tcW w:w="450" w:type="dxa"/>
            <w:tcBorders>
              <w:bottom w:val="single" w:sz="4" w:space="0" w:color="auto"/>
            </w:tcBorders>
            <w:vAlign w:val="center"/>
          </w:tcPr>
          <w:p w:rsidR="00C031FA" w:rsidRPr="00BD7CEA" w:rsidRDefault="00C031FA">
            <w:pPr>
              <w:pStyle w:val="TableHeadingsGreen"/>
              <w:rPr>
                <w:rFonts w:ascii="Tahoma" w:hAnsi="Tahoma" w:cs="Tahoma"/>
                <w:sz w:val="9"/>
              </w:rPr>
            </w:pPr>
            <w:r w:rsidRPr="00BD7CEA">
              <w:rPr>
                <w:rFonts w:ascii="Tahoma" w:hAnsi="Tahoma" w:cs="Tahoma"/>
                <w:sz w:val="9"/>
              </w:rPr>
              <w:t>1An</w:t>
            </w:r>
          </w:p>
        </w:tc>
        <w:tc>
          <w:tcPr>
            <w:tcW w:w="450" w:type="dxa"/>
            <w:tcBorders>
              <w:bottom w:val="single" w:sz="4" w:space="0" w:color="auto"/>
            </w:tcBorders>
            <w:vAlign w:val="center"/>
          </w:tcPr>
          <w:p w:rsidR="00C031FA" w:rsidRPr="00BD7CEA" w:rsidRDefault="00C031FA">
            <w:pPr>
              <w:pStyle w:val="TableHeadingsBlue"/>
              <w:rPr>
                <w:rFonts w:ascii="Tahoma" w:hAnsi="Tahoma" w:cs="Tahoma"/>
                <w:sz w:val="9"/>
              </w:rPr>
            </w:pPr>
            <w:r w:rsidRPr="00BD7CEA">
              <w:rPr>
                <w:rFonts w:ascii="Tahoma" w:hAnsi="Tahoma" w:cs="Tahoma"/>
                <w:sz w:val="9"/>
              </w:rPr>
              <w:t>3An</w:t>
            </w:r>
          </w:p>
        </w:tc>
        <w:tc>
          <w:tcPr>
            <w:tcW w:w="450" w:type="dxa"/>
            <w:tcBorders>
              <w:bottom w:val="single" w:sz="4" w:space="0" w:color="auto"/>
            </w:tcBorders>
            <w:vAlign w:val="center"/>
          </w:tcPr>
          <w:p w:rsidR="00C031FA" w:rsidRPr="00BD7CEA" w:rsidRDefault="00C031FA">
            <w:pPr>
              <w:pStyle w:val="TableHeadingsBlue"/>
              <w:rPr>
                <w:rFonts w:ascii="Tahoma" w:hAnsi="Tahoma" w:cs="Tahoma"/>
                <w:sz w:val="9"/>
              </w:rPr>
            </w:pPr>
            <w:r w:rsidRPr="00BD7CEA">
              <w:rPr>
                <w:rFonts w:ascii="Tahoma" w:hAnsi="Tahoma" w:cs="Tahoma"/>
                <w:sz w:val="9"/>
              </w:rPr>
              <w:t>2An</w:t>
            </w:r>
          </w:p>
        </w:tc>
        <w:tc>
          <w:tcPr>
            <w:tcW w:w="360" w:type="dxa"/>
            <w:tcBorders>
              <w:bottom w:val="single" w:sz="4" w:space="0" w:color="auto"/>
              <w:right w:val="single" w:sz="18" w:space="0" w:color="auto"/>
            </w:tcBorders>
            <w:vAlign w:val="center"/>
          </w:tcPr>
          <w:p w:rsidR="00C031FA" w:rsidRPr="00BD7CEA" w:rsidRDefault="00C031FA">
            <w:pPr>
              <w:pStyle w:val="TableHeadingsBlue"/>
              <w:rPr>
                <w:rFonts w:ascii="Tahoma" w:hAnsi="Tahoma" w:cs="Tahoma"/>
                <w:sz w:val="9"/>
              </w:rPr>
            </w:pPr>
            <w:r w:rsidRPr="00BD7CEA">
              <w:rPr>
                <w:rFonts w:ascii="Tahoma" w:hAnsi="Tahoma" w:cs="Tahoma"/>
                <w:sz w:val="9"/>
              </w:rPr>
              <w:t>1An</w:t>
            </w:r>
          </w:p>
        </w:tc>
        <w:tc>
          <w:tcPr>
            <w:tcW w:w="450" w:type="dxa"/>
            <w:vMerge/>
            <w:tcBorders>
              <w:left w:val="single" w:sz="18" w:space="0" w:color="auto"/>
              <w:bottom w:val="single" w:sz="4" w:space="0" w:color="auto"/>
            </w:tcBorders>
            <w:vAlign w:val="center"/>
          </w:tcPr>
          <w:p w:rsidR="00C031FA" w:rsidRPr="00BD7CEA" w:rsidRDefault="00C031FA">
            <w:pPr>
              <w:jc w:val="center"/>
              <w:rPr>
                <w:rFonts w:cs="Tahoma"/>
                <w:sz w:val="20"/>
              </w:rPr>
            </w:pPr>
          </w:p>
        </w:tc>
        <w:tc>
          <w:tcPr>
            <w:tcW w:w="450" w:type="dxa"/>
            <w:tcBorders>
              <w:bottom w:val="single" w:sz="4" w:space="0" w:color="auto"/>
            </w:tcBorders>
            <w:vAlign w:val="center"/>
          </w:tcPr>
          <w:p w:rsidR="00C031FA" w:rsidRPr="00BD7CEA" w:rsidRDefault="00C031FA">
            <w:pPr>
              <w:pStyle w:val="TableHeadingsGreen"/>
              <w:rPr>
                <w:rFonts w:ascii="Tahoma" w:hAnsi="Tahoma" w:cs="Tahoma"/>
                <w:sz w:val="9"/>
              </w:rPr>
            </w:pPr>
            <w:r w:rsidRPr="00BD7CEA">
              <w:rPr>
                <w:rFonts w:ascii="Tahoma" w:hAnsi="Tahoma" w:cs="Tahoma"/>
                <w:sz w:val="9"/>
              </w:rPr>
              <w:t>P</w:t>
            </w:r>
          </w:p>
        </w:tc>
        <w:tc>
          <w:tcPr>
            <w:tcW w:w="450" w:type="dxa"/>
            <w:vMerge/>
            <w:tcBorders>
              <w:bottom w:val="single" w:sz="4" w:space="0" w:color="auto"/>
              <w:right w:val="single" w:sz="18" w:space="0" w:color="auto"/>
            </w:tcBorders>
            <w:vAlign w:val="center"/>
          </w:tcPr>
          <w:p w:rsidR="00C031FA" w:rsidRPr="00BD7CEA" w:rsidRDefault="00C031FA">
            <w:pPr>
              <w:jc w:val="center"/>
              <w:rPr>
                <w:rFonts w:cs="Tahoma"/>
                <w:sz w:val="20"/>
              </w:rPr>
            </w:pPr>
          </w:p>
        </w:tc>
        <w:tc>
          <w:tcPr>
            <w:tcW w:w="450" w:type="dxa"/>
            <w:vMerge/>
            <w:tcBorders>
              <w:left w:val="single" w:sz="18" w:space="0" w:color="auto"/>
              <w:bottom w:val="single" w:sz="4" w:space="0" w:color="auto"/>
            </w:tcBorders>
          </w:tcPr>
          <w:p w:rsidR="00C031FA" w:rsidRPr="00BD7CEA" w:rsidRDefault="00C031FA">
            <w:pPr>
              <w:rPr>
                <w:rFonts w:cs="Tahoma"/>
                <w:sz w:val="20"/>
              </w:rPr>
            </w:pPr>
          </w:p>
        </w:tc>
        <w:tc>
          <w:tcPr>
            <w:tcW w:w="450" w:type="dxa"/>
            <w:vMerge/>
            <w:tcBorders>
              <w:bottom w:val="single" w:sz="4" w:space="0" w:color="auto"/>
              <w:right w:val="single" w:sz="18" w:space="0" w:color="auto"/>
            </w:tcBorders>
          </w:tcPr>
          <w:p w:rsidR="00C031FA" w:rsidRPr="00BD7CEA" w:rsidRDefault="00C031FA">
            <w:pPr>
              <w:rPr>
                <w:rFonts w:cs="Tahoma"/>
                <w:sz w:val="20"/>
              </w:rPr>
            </w:pPr>
          </w:p>
        </w:tc>
        <w:tc>
          <w:tcPr>
            <w:tcW w:w="450" w:type="dxa"/>
            <w:vMerge/>
            <w:tcBorders>
              <w:left w:val="single" w:sz="18" w:space="0" w:color="auto"/>
              <w:bottom w:val="single" w:sz="4" w:space="0" w:color="auto"/>
              <w:right w:val="single" w:sz="18" w:space="0" w:color="auto"/>
            </w:tcBorders>
          </w:tcPr>
          <w:p w:rsidR="00C031FA" w:rsidRPr="00BD7CEA" w:rsidRDefault="00C031FA">
            <w:pPr>
              <w:rPr>
                <w:rFonts w:cs="Tahoma"/>
                <w:sz w:val="20"/>
              </w:rPr>
            </w:pPr>
          </w:p>
        </w:tc>
        <w:tc>
          <w:tcPr>
            <w:tcW w:w="450" w:type="dxa"/>
            <w:vMerge/>
            <w:tcBorders>
              <w:bottom w:val="single" w:sz="4" w:space="0" w:color="auto"/>
            </w:tcBorders>
          </w:tcPr>
          <w:p w:rsidR="00C031FA" w:rsidRPr="00BD7CEA" w:rsidRDefault="00C031FA">
            <w:pPr>
              <w:rPr>
                <w:rFonts w:cs="Tahoma"/>
                <w:sz w:val="20"/>
              </w:rPr>
            </w:pPr>
          </w:p>
        </w:tc>
        <w:tc>
          <w:tcPr>
            <w:tcW w:w="540" w:type="dxa"/>
            <w:vMerge/>
            <w:tcBorders>
              <w:bottom w:val="single" w:sz="4" w:space="0" w:color="auto"/>
            </w:tcBorders>
          </w:tcPr>
          <w:p w:rsidR="00C031FA" w:rsidRPr="00BD7CEA" w:rsidRDefault="00C031FA">
            <w:pPr>
              <w:rPr>
                <w:rFonts w:cs="Tahoma"/>
                <w:sz w:val="20"/>
              </w:rPr>
            </w:pPr>
          </w:p>
        </w:tc>
      </w:tr>
      <w:tr w:rsidR="00EF228F" w:rsidRPr="00BD7CEA" w:rsidTr="00B1475C">
        <w:trPr>
          <w:trHeight w:val="145"/>
        </w:trPr>
        <w:tc>
          <w:tcPr>
            <w:tcW w:w="2734" w:type="dxa"/>
            <w:gridSpan w:val="2"/>
            <w:tcBorders>
              <w:bottom w:val="single" w:sz="4" w:space="0" w:color="auto"/>
            </w:tcBorders>
            <w:shd w:val="clear" w:color="auto" w:fill="auto"/>
            <w:vAlign w:val="center"/>
          </w:tcPr>
          <w:p w:rsidR="00DC5AE8" w:rsidRPr="00BD7CEA" w:rsidRDefault="00DC5AE8" w:rsidP="007E466C">
            <w:pPr>
              <w:pStyle w:val="ProductNames"/>
              <w:spacing w:before="0" w:after="0"/>
              <w:rPr>
                <w:rFonts w:ascii="Tahoma" w:hAnsi="Tahoma" w:cs="Tahoma"/>
                <w:sz w:val="14"/>
              </w:rPr>
            </w:pPr>
            <w:bookmarkStart w:id="145" w:name="_Toc353375693"/>
            <w:r w:rsidRPr="00BD7CEA">
              <w:rPr>
                <w:rFonts w:ascii="Tahoma" w:hAnsi="Tahoma" w:cs="Tahoma"/>
                <w:sz w:val="14"/>
              </w:rPr>
              <w:t>Bing Maps Consumer Tracked Per Asset Monthly Sub</w:t>
            </w:r>
            <w:bookmarkEnd w:id="145"/>
          </w:p>
        </w:tc>
        <w:tc>
          <w:tcPr>
            <w:tcW w:w="450" w:type="dxa"/>
            <w:tcBorders>
              <w:bottom w:val="single" w:sz="4" w:space="0" w:color="auto"/>
            </w:tcBorders>
            <w:shd w:val="clear" w:color="auto" w:fill="auto"/>
            <w:vAlign w:val="center"/>
          </w:tcPr>
          <w:p w:rsidR="00DC5AE8" w:rsidRPr="00BD7CEA" w:rsidRDefault="006E5080" w:rsidP="00B0065F">
            <w:pPr>
              <w:jc w:val="center"/>
              <w:rPr>
                <w:rFonts w:ascii="Trebuchet MS" w:hAnsi="Trebuchet MS"/>
                <w:b/>
                <w:sz w:val="13"/>
                <w:szCs w:val="13"/>
              </w:rPr>
            </w:pPr>
            <w:hyperlink w:anchor="_31_SL_Add-On" w:history="1">
              <w:r w:rsidR="00955428" w:rsidRPr="00BD7CEA">
                <w:rPr>
                  <w:rStyle w:val="Hyperlink"/>
                  <w:rFonts w:ascii="Trebuchet MS" w:hAnsi="Trebuchet MS"/>
                  <w:b/>
                  <w:sz w:val="13"/>
                  <w:szCs w:val="13"/>
                </w:rPr>
                <w:t>31</w:t>
              </w:r>
            </w:hyperlink>
          </w:p>
        </w:tc>
        <w:tc>
          <w:tcPr>
            <w:tcW w:w="450" w:type="dxa"/>
            <w:tcBorders>
              <w:bottom w:val="single" w:sz="4" w:space="0" w:color="auto"/>
            </w:tcBorders>
            <w:shd w:val="clear" w:color="auto" w:fill="auto"/>
            <w:vAlign w:val="center"/>
          </w:tcPr>
          <w:p w:rsidR="00DC5AE8" w:rsidRPr="00BD7CEA" w:rsidRDefault="00DC5AE8" w:rsidP="002253A3">
            <w:pPr>
              <w:jc w:val="center"/>
              <w:rPr>
                <w:rFonts w:cs="Tahoma"/>
                <w:sz w:val="13"/>
              </w:rPr>
            </w:pPr>
            <w:r w:rsidRPr="00BD7CEA">
              <w:rPr>
                <w:rFonts w:cs="Tahoma"/>
                <w:sz w:val="13"/>
              </w:rPr>
              <w:t>4/13</w:t>
            </w:r>
          </w:p>
        </w:tc>
        <w:tc>
          <w:tcPr>
            <w:tcW w:w="360" w:type="dxa"/>
            <w:tcBorders>
              <w:bottom w:val="single" w:sz="4" w:space="0" w:color="auto"/>
              <w:right w:val="single" w:sz="18" w:space="0" w:color="auto"/>
            </w:tcBorders>
            <w:shd w:val="clear" w:color="auto" w:fill="auto"/>
            <w:vAlign w:val="center"/>
          </w:tcPr>
          <w:p w:rsidR="00DC5AE8" w:rsidRPr="00BD7CEA" w:rsidRDefault="00DC5AE8"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DC5AE8" w:rsidRPr="00BD7CEA" w:rsidRDefault="00DC5AE8" w:rsidP="002253A3">
            <w:pPr>
              <w:jc w:val="center"/>
              <w:rPr>
                <w:rFonts w:cs="Tahoma"/>
                <w:sz w:val="13"/>
              </w:rPr>
            </w:pPr>
            <w:r w:rsidRPr="00BD7CEA">
              <w:rPr>
                <w:rFonts w:cs="Tahoma"/>
                <w:sz w:val="13"/>
              </w:rPr>
              <w:t>1 punto</w:t>
            </w:r>
          </w:p>
        </w:tc>
        <w:tc>
          <w:tcPr>
            <w:tcW w:w="450" w:type="dxa"/>
            <w:tcBorders>
              <w:left w:val="single" w:sz="18" w:space="0" w:color="auto"/>
              <w:bottom w:val="single" w:sz="4" w:space="0" w:color="auto"/>
            </w:tcBorders>
            <w:shd w:val="clear" w:color="auto" w:fill="auto"/>
            <w:vAlign w:val="center"/>
          </w:tcPr>
          <w:p w:rsidR="00DC5AE8" w:rsidRPr="00BD7CEA" w:rsidRDefault="00DC5AE8" w:rsidP="002253A3">
            <w:pPr>
              <w:jc w:val="center"/>
              <w:rPr>
                <w:rFonts w:cs="Tahoma"/>
                <w:sz w:val="13"/>
              </w:rPr>
            </w:pPr>
            <w:r w:rsidRPr="00BD7CEA">
              <w:rPr>
                <w:rFonts w:cs="Tahoma"/>
                <w:sz w:val="13"/>
              </w:rPr>
              <w:t>1</w:t>
            </w:r>
          </w:p>
        </w:tc>
        <w:tc>
          <w:tcPr>
            <w:tcW w:w="450" w:type="dxa"/>
            <w:tcBorders>
              <w:bottom w:val="single" w:sz="4" w:space="0" w:color="auto"/>
            </w:tcBorders>
            <w:shd w:val="clear" w:color="auto" w:fill="auto"/>
            <w:vAlign w:val="center"/>
          </w:tcPr>
          <w:p w:rsidR="00DC5AE8" w:rsidRPr="00BD7CEA" w:rsidRDefault="00DC5AE8"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DC5AE8" w:rsidRPr="00BD7CEA" w:rsidRDefault="00DC5AE8"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DC5AE8" w:rsidRPr="00BD7CEA" w:rsidRDefault="00DC5AE8"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DC5AE8" w:rsidRPr="00BD7CEA" w:rsidRDefault="00DC5AE8" w:rsidP="002253A3">
            <w:pPr>
              <w:jc w:val="center"/>
              <w:rPr>
                <w:rFonts w:cs="Tahoma"/>
                <w:sz w:val="13"/>
              </w:rPr>
            </w:pPr>
            <w:r w:rsidRPr="00BD7CEA">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DC5AE8" w:rsidRPr="00BD7CEA" w:rsidRDefault="00DC5AE8" w:rsidP="002253A3">
            <w:pPr>
              <w:jc w:val="center"/>
              <w:rPr>
                <w:rFonts w:cs="Tahoma"/>
                <w:sz w:val="13"/>
              </w:rPr>
            </w:pPr>
            <w:r w:rsidRPr="00BD7CEA">
              <w:rPr>
                <w:rFonts w:cs="Tahoma"/>
                <w:sz w:val="13"/>
              </w:rPr>
              <w:t>P</w:t>
            </w:r>
          </w:p>
        </w:tc>
        <w:tc>
          <w:tcPr>
            <w:tcW w:w="450" w:type="dxa"/>
            <w:tcBorders>
              <w:bottom w:val="single" w:sz="4" w:space="0" w:color="auto"/>
            </w:tcBorders>
            <w:shd w:val="clear" w:color="auto" w:fill="auto"/>
            <w:vAlign w:val="center"/>
          </w:tcPr>
          <w:p w:rsidR="00DC5AE8" w:rsidRPr="00BD7CEA" w:rsidRDefault="00DC5AE8" w:rsidP="002253A3">
            <w:pPr>
              <w:jc w:val="center"/>
              <w:rPr>
                <w:rFonts w:cs="Tahoma"/>
                <w:sz w:val="13"/>
              </w:rPr>
            </w:pPr>
          </w:p>
        </w:tc>
        <w:tc>
          <w:tcPr>
            <w:tcW w:w="540" w:type="dxa"/>
            <w:tcBorders>
              <w:bottom w:val="single" w:sz="4" w:space="0" w:color="auto"/>
            </w:tcBorders>
            <w:shd w:val="clear" w:color="auto" w:fill="auto"/>
            <w:vAlign w:val="center"/>
          </w:tcPr>
          <w:p w:rsidR="00DC5AE8" w:rsidRPr="00BD7CEA" w:rsidRDefault="00DC5AE8" w:rsidP="002253A3">
            <w:pPr>
              <w:jc w:val="center"/>
              <w:rPr>
                <w:rFonts w:cs="Tahoma"/>
                <w:sz w:val="13"/>
              </w:rPr>
            </w:pPr>
            <w:r w:rsidRPr="00BD7CEA">
              <w:rPr>
                <w:rFonts w:cs="Tahoma"/>
                <w:sz w:val="13"/>
              </w:rPr>
              <w:t>OL/OV</w:t>
            </w:r>
          </w:p>
        </w:tc>
      </w:tr>
      <w:tr w:rsidR="001A63C6" w:rsidRPr="00BD7CEA" w:rsidTr="006900D9">
        <w:trPr>
          <w:trHeight w:val="145"/>
        </w:trPr>
        <w:tc>
          <w:tcPr>
            <w:tcW w:w="2734" w:type="dxa"/>
            <w:gridSpan w:val="2"/>
            <w:tcBorders>
              <w:bottom w:val="single" w:sz="4" w:space="0" w:color="auto"/>
            </w:tcBorders>
            <w:shd w:val="clear" w:color="auto" w:fill="FABF8F"/>
          </w:tcPr>
          <w:p w:rsidR="001A63C6" w:rsidRPr="00BD7CEA" w:rsidRDefault="001A63C6" w:rsidP="001A63C6">
            <w:pPr>
              <w:pStyle w:val="ProductNames"/>
              <w:spacing w:before="0" w:after="0"/>
              <w:rPr>
                <w:rFonts w:ascii="Tahoma" w:hAnsi="Tahoma" w:cs="Tahoma"/>
                <w:sz w:val="14"/>
              </w:rPr>
            </w:pPr>
            <w:bookmarkStart w:id="146" w:name="_Toc353375694"/>
            <w:r w:rsidRPr="00BD7CEA">
              <w:rPr>
                <w:rFonts w:ascii="Tahoma" w:hAnsi="Tahoma" w:cs="Tahoma"/>
                <w:sz w:val="14"/>
              </w:rPr>
              <w:t>Bing Maps for Enterprise Platform Fee Monthly Sub</w:t>
            </w:r>
            <w:bookmarkEnd w:id="146"/>
          </w:p>
        </w:tc>
        <w:tc>
          <w:tcPr>
            <w:tcW w:w="450" w:type="dxa"/>
            <w:tcBorders>
              <w:bottom w:val="single" w:sz="4" w:space="0" w:color="auto"/>
            </w:tcBorders>
            <w:shd w:val="clear" w:color="auto" w:fill="FABF8F"/>
            <w:vAlign w:val="center"/>
          </w:tcPr>
          <w:p w:rsidR="001A63C6" w:rsidRPr="00BD7CEA" w:rsidRDefault="006E5080" w:rsidP="00B0065F">
            <w:pPr>
              <w:jc w:val="center"/>
              <w:rPr>
                <w:rFonts w:ascii="Trebuchet MS" w:hAnsi="Trebuchet MS" w:cs="Tahoma"/>
                <w:b/>
                <w:sz w:val="13"/>
                <w:szCs w:val="13"/>
              </w:rPr>
            </w:pPr>
            <w:hyperlink w:anchor="_31_SL_Add-On" w:history="1">
              <w:r w:rsidR="00C36760" w:rsidRPr="00BD7CEA">
                <w:rPr>
                  <w:rStyle w:val="Hyperlink"/>
                  <w:rFonts w:ascii="Trebuchet MS" w:hAnsi="Trebuchet MS"/>
                  <w:b/>
                  <w:sz w:val="13"/>
                  <w:szCs w:val="13"/>
                </w:rPr>
                <w:t>31</w:t>
              </w:r>
            </w:hyperlink>
          </w:p>
        </w:tc>
        <w:tc>
          <w:tcPr>
            <w:tcW w:w="450" w:type="dxa"/>
            <w:tcBorders>
              <w:bottom w:val="single" w:sz="4" w:space="0" w:color="auto"/>
            </w:tcBorders>
            <w:shd w:val="clear" w:color="auto" w:fill="FABF8F"/>
            <w:vAlign w:val="center"/>
          </w:tcPr>
          <w:p w:rsidR="001A63C6" w:rsidRPr="00BD7CEA" w:rsidRDefault="00D15BAA" w:rsidP="002253A3">
            <w:pPr>
              <w:jc w:val="center"/>
              <w:rPr>
                <w:rFonts w:cs="Tahoma"/>
                <w:sz w:val="14"/>
              </w:rPr>
            </w:pPr>
            <w:r w:rsidRPr="00BD7CEA">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BD7CEA"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BD7CEA" w:rsidRDefault="001A63C6" w:rsidP="002253A3">
            <w:pPr>
              <w:jc w:val="center"/>
              <w:rPr>
                <w:rFonts w:cs="Tahoma"/>
                <w:sz w:val="14"/>
              </w:rPr>
            </w:pPr>
            <w:r w:rsidRPr="00BD7CEA">
              <w:rPr>
                <w:rFonts w:cs="Tahoma"/>
                <w:sz w:val="14"/>
              </w:rPr>
              <w:t>50 crediti</w:t>
            </w:r>
          </w:p>
        </w:tc>
        <w:tc>
          <w:tcPr>
            <w:tcW w:w="450" w:type="dxa"/>
            <w:tcBorders>
              <w:left w:val="single" w:sz="18" w:space="0" w:color="auto"/>
              <w:bottom w:val="single" w:sz="4" w:space="0" w:color="auto"/>
            </w:tcBorders>
            <w:shd w:val="clear" w:color="auto" w:fill="FABF8F"/>
            <w:vAlign w:val="center"/>
          </w:tcPr>
          <w:p w:rsidR="001A63C6" w:rsidRPr="00BD7CEA" w:rsidRDefault="001A63C6" w:rsidP="002253A3">
            <w:pPr>
              <w:jc w:val="center"/>
              <w:rPr>
                <w:rFonts w:cs="Tahoma"/>
                <w:sz w:val="14"/>
              </w:rPr>
            </w:pPr>
            <w:r w:rsidRPr="00BD7CEA">
              <w:rPr>
                <w:rFonts w:cs="Tahoma"/>
                <w:sz w:val="14"/>
              </w:rPr>
              <w:t>50</w:t>
            </w:r>
          </w:p>
        </w:tc>
        <w:tc>
          <w:tcPr>
            <w:tcW w:w="450" w:type="dxa"/>
            <w:tcBorders>
              <w:bottom w:val="single" w:sz="4" w:space="0" w:color="auto"/>
            </w:tcBorders>
            <w:shd w:val="clear" w:color="auto" w:fill="FABF8F"/>
            <w:vAlign w:val="center"/>
          </w:tcPr>
          <w:p w:rsidR="001A63C6" w:rsidRPr="00BD7CEA"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2253A3">
            <w:pPr>
              <w:jc w:val="center"/>
              <w:rPr>
                <w:rFonts w:cs="Tahoma"/>
                <w:sz w:val="14"/>
              </w:rPr>
            </w:pPr>
            <w:r w:rsidRPr="00BD7CEA">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2253A3">
            <w:pPr>
              <w:jc w:val="center"/>
              <w:rPr>
                <w:rFonts w:cs="Tahoma"/>
                <w:sz w:val="14"/>
              </w:rPr>
            </w:pPr>
            <w:r w:rsidRPr="00BD7CEA">
              <w:rPr>
                <w:rFonts w:cs="Tahoma"/>
                <w:sz w:val="13"/>
              </w:rPr>
              <w:t>P</w:t>
            </w:r>
          </w:p>
        </w:tc>
        <w:tc>
          <w:tcPr>
            <w:tcW w:w="450" w:type="dxa"/>
            <w:tcBorders>
              <w:bottom w:val="single" w:sz="4" w:space="0" w:color="auto"/>
            </w:tcBorders>
            <w:shd w:val="clear" w:color="auto" w:fill="FABF8F"/>
            <w:vAlign w:val="center"/>
          </w:tcPr>
          <w:p w:rsidR="001A63C6" w:rsidRPr="00BD7CEA" w:rsidRDefault="001A63C6" w:rsidP="002253A3">
            <w:pPr>
              <w:jc w:val="center"/>
              <w:rPr>
                <w:rFonts w:cs="Tahoma"/>
                <w:sz w:val="14"/>
              </w:rPr>
            </w:pPr>
          </w:p>
        </w:tc>
        <w:tc>
          <w:tcPr>
            <w:tcW w:w="540" w:type="dxa"/>
            <w:tcBorders>
              <w:bottom w:val="single" w:sz="4" w:space="0" w:color="auto"/>
            </w:tcBorders>
            <w:shd w:val="clear" w:color="auto" w:fill="FABF8F"/>
            <w:vAlign w:val="center"/>
          </w:tcPr>
          <w:p w:rsidR="001A63C6" w:rsidRPr="00BD7CEA" w:rsidRDefault="001A63C6" w:rsidP="002253A3">
            <w:pPr>
              <w:jc w:val="center"/>
              <w:rPr>
                <w:rFonts w:cs="Tahoma"/>
                <w:sz w:val="14"/>
              </w:rPr>
            </w:pPr>
            <w:r w:rsidRPr="00BD7CEA">
              <w:rPr>
                <w:rFonts w:cs="Tahoma"/>
                <w:sz w:val="13"/>
              </w:rPr>
              <w:t>OL/OV</w:t>
            </w:r>
          </w:p>
        </w:tc>
      </w:tr>
      <w:tr w:rsidR="001A63C6" w:rsidRPr="00BD7CEA" w:rsidTr="00B1475C">
        <w:trPr>
          <w:trHeight w:val="145"/>
        </w:trPr>
        <w:tc>
          <w:tcPr>
            <w:tcW w:w="2734" w:type="dxa"/>
            <w:gridSpan w:val="2"/>
            <w:tcBorders>
              <w:bottom w:val="single" w:sz="4" w:space="0" w:color="auto"/>
            </w:tcBorders>
            <w:shd w:val="clear" w:color="auto" w:fill="auto"/>
          </w:tcPr>
          <w:p w:rsidR="001A63C6" w:rsidRPr="00BD7CEA" w:rsidRDefault="001A63C6" w:rsidP="001A63C6">
            <w:pPr>
              <w:pStyle w:val="ProductNames"/>
              <w:spacing w:before="0" w:after="0"/>
              <w:rPr>
                <w:rFonts w:ascii="Tahoma" w:hAnsi="Tahoma" w:cs="Tahoma"/>
                <w:sz w:val="14"/>
              </w:rPr>
            </w:pPr>
            <w:bookmarkStart w:id="147" w:name="_Toc353375695"/>
            <w:r w:rsidRPr="00BD7CEA">
              <w:rPr>
                <w:rFonts w:ascii="Tahoma" w:hAnsi="Tahoma" w:cs="Tahoma"/>
                <w:sz w:val="14"/>
              </w:rPr>
              <w:t>Bing Maps Public Website Usage 100K Transactions Monthly Sub</w:t>
            </w:r>
            <w:bookmarkEnd w:id="147"/>
          </w:p>
        </w:tc>
        <w:tc>
          <w:tcPr>
            <w:tcW w:w="450" w:type="dxa"/>
            <w:tcBorders>
              <w:bottom w:val="single" w:sz="4" w:space="0" w:color="auto"/>
            </w:tcBorders>
            <w:shd w:val="clear" w:color="auto" w:fill="auto"/>
            <w:vAlign w:val="center"/>
          </w:tcPr>
          <w:p w:rsidR="001A63C6" w:rsidRPr="00BD7CEA" w:rsidRDefault="006E5080" w:rsidP="00132E08">
            <w:pPr>
              <w:jc w:val="center"/>
              <w:rPr>
                <w:rFonts w:ascii="Trebuchet MS" w:hAnsi="Trebuchet MS" w:cs="Tahoma"/>
                <w:b/>
                <w:sz w:val="13"/>
                <w:szCs w:val="13"/>
              </w:rPr>
            </w:pPr>
            <w:hyperlink w:anchor="_31_SL_Add-On" w:history="1">
              <w:r w:rsidR="00C36760" w:rsidRPr="00BD7CEA">
                <w:rPr>
                  <w:rStyle w:val="Hyperlink"/>
                  <w:rFonts w:ascii="Trebuchet MS" w:hAnsi="Trebuchet MS"/>
                  <w:b/>
                  <w:sz w:val="13"/>
                  <w:szCs w:val="13"/>
                </w:rPr>
                <w:t>31</w:t>
              </w:r>
            </w:hyperlink>
          </w:p>
        </w:tc>
        <w:tc>
          <w:tcPr>
            <w:tcW w:w="450" w:type="dxa"/>
            <w:tcBorders>
              <w:bottom w:val="single" w:sz="4" w:space="0" w:color="auto"/>
            </w:tcBorders>
            <w:shd w:val="clear" w:color="auto" w:fill="auto"/>
            <w:vAlign w:val="center"/>
          </w:tcPr>
          <w:p w:rsidR="001A63C6" w:rsidRPr="00BD7CEA" w:rsidRDefault="00D15BAA" w:rsidP="002253A3">
            <w:pPr>
              <w:jc w:val="center"/>
              <w:rPr>
                <w:rFonts w:cs="Tahoma"/>
                <w:sz w:val="14"/>
              </w:rPr>
            </w:pPr>
            <w:r w:rsidRPr="00BD7CEA">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BD7CEA"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BD7CEA" w:rsidRDefault="001A63C6" w:rsidP="002253A3">
            <w:pPr>
              <w:jc w:val="center"/>
              <w:rPr>
                <w:rFonts w:cs="Tahoma"/>
                <w:sz w:val="14"/>
              </w:rPr>
            </w:pPr>
            <w:r w:rsidRPr="00BD7CEA">
              <w:rPr>
                <w:rFonts w:cs="Tahoma"/>
                <w:sz w:val="14"/>
              </w:rPr>
              <w:t>50 crediti</w:t>
            </w:r>
          </w:p>
        </w:tc>
        <w:tc>
          <w:tcPr>
            <w:tcW w:w="450" w:type="dxa"/>
            <w:tcBorders>
              <w:left w:val="single" w:sz="18" w:space="0" w:color="auto"/>
              <w:bottom w:val="single" w:sz="4" w:space="0" w:color="auto"/>
            </w:tcBorders>
            <w:shd w:val="clear" w:color="auto" w:fill="auto"/>
            <w:vAlign w:val="center"/>
          </w:tcPr>
          <w:p w:rsidR="001A63C6" w:rsidRPr="00BD7CEA" w:rsidRDefault="001A63C6" w:rsidP="002253A3">
            <w:pPr>
              <w:jc w:val="center"/>
              <w:rPr>
                <w:rFonts w:cs="Tahoma"/>
                <w:sz w:val="14"/>
              </w:rPr>
            </w:pPr>
            <w:r w:rsidRPr="00BD7CEA">
              <w:rPr>
                <w:rFonts w:cs="Tahoma"/>
                <w:sz w:val="14"/>
              </w:rPr>
              <w:t>50</w:t>
            </w:r>
          </w:p>
        </w:tc>
        <w:tc>
          <w:tcPr>
            <w:tcW w:w="450" w:type="dxa"/>
            <w:tcBorders>
              <w:bottom w:val="single" w:sz="4" w:space="0" w:color="auto"/>
            </w:tcBorders>
            <w:shd w:val="clear" w:color="auto" w:fill="auto"/>
            <w:vAlign w:val="center"/>
          </w:tcPr>
          <w:p w:rsidR="001A63C6" w:rsidRPr="00BD7CEA"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2253A3">
            <w:pPr>
              <w:jc w:val="center"/>
              <w:rPr>
                <w:rFonts w:cs="Tahoma"/>
                <w:sz w:val="14"/>
              </w:rPr>
            </w:pPr>
            <w:r w:rsidRPr="00BD7CEA">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2253A3">
            <w:pPr>
              <w:jc w:val="center"/>
              <w:rPr>
                <w:rFonts w:cs="Tahoma"/>
                <w:sz w:val="14"/>
              </w:rPr>
            </w:pPr>
            <w:r w:rsidRPr="00BD7CEA">
              <w:rPr>
                <w:rFonts w:cs="Tahoma"/>
                <w:sz w:val="13"/>
              </w:rPr>
              <w:t>P</w:t>
            </w:r>
          </w:p>
        </w:tc>
        <w:tc>
          <w:tcPr>
            <w:tcW w:w="450" w:type="dxa"/>
            <w:tcBorders>
              <w:bottom w:val="single" w:sz="4" w:space="0" w:color="auto"/>
            </w:tcBorders>
            <w:shd w:val="clear" w:color="auto" w:fill="auto"/>
            <w:vAlign w:val="center"/>
          </w:tcPr>
          <w:p w:rsidR="001A63C6" w:rsidRPr="00BD7CEA" w:rsidRDefault="001A63C6" w:rsidP="002253A3">
            <w:pPr>
              <w:jc w:val="center"/>
              <w:rPr>
                <w:rFonts w:cs="Tahoma"/>
                <w:sz w:val="14"/>
              </w:rPr>
            </w:pPr>
          </w:p>
        </w:tc>
        <w:tc>
          <w:tcPr>
            <w:tcW w:w="540" w:type="dxa"/>
            <w:tcBorders>
              <w:bottom w:val="single" w:sz="4" w:space="0" w:color="auto"/>
            </w:tcBorders>
            <w:shd w:val="clear" w:color="auto" w:fill="auto"/>
            <w:vAlign w:val="center"/>
          </w:tcPr>
          <w:p w:rsidR="001A63C6" w:rsidRPr="00BD7CEA" w:rsidRDefault="001A63C6" w:rsidP="002253A3">
            <w:pPr>
              <w:jc w:val="center"/>
              <w:rPr>
                <w:rFonts w:cs="Tahoma"/>
                <w:sz w:val="14"/>
              </w:rPr>
            </w:pPr>
            <w:r w:rsidRPr="00BD7CEA">
              <w:rPr>
                <w:rFonts w:cs="Tahoma"/>
                <w:sz w:val="13"/>
              </w:rPr>
              <w:t>OL/OV</w:t>
            </w:r>
          </w:p>
        </w:tc>
      </w:tr>
      <w:tr w:rsidR="001A63C6" w:rsidRPr="00BD7CEA" w:rsidTr="006900D9">
        <w:trPr>
          <w:trHeight w:val="145"/>
        </w:trPr>
        <w:tc>
          <w:tcPr>
            <w:tcW w:w="2734" w:type="dxa"/>
            <w:gridSpan w:val="2"/>
            <w:tcBorders>
              <w:bottom w:val="single" w:sz="4" w:space="0" w:color="auto"/>
            </w:tcBorders>
            <w:shd w:val="clear" w:color="auto" w:fill="FABF8F"/>
          </w:tcPr>
          <w:p w:rsidR="001A63C6" w:rsidRPr="00BD7CEA" w:rsidRDefault="001A63C6" w:rsidP="001A63C6">
            <w:pPr>
              <w:pStyle w:val="ProductNames"/>
              <w:spacing w:before="0" w:after="0"/>
              <w:rPr>
                <w:rFonts w:ascii="Tahoma" w:hAnsi="Tahoma" w:cs="Tahoma"/>
                <w:sz w:val="14"/>
              </w:rPr>
            </w:pPr>
            <w:bookmarkStart w:id="148" w:name="_Toc353375696"/>
            <w:r w:rsidRPr="00BD7CEA">
              <w:rPr>
                <w:rFonts w:ascii="Tahoma" w:hAnsi="Tahoma" w:cs="Tahoma"/>
                <w:sz w:val="14"/>
              </w:rPr>
              <w:t>Bing Maps Public Website Usage 250K Transactions Monthly Sub</w:t>
            </w:r>
            <w:bookmarkEnd w:id="148"/>
          </w:p>
        </w:tc>
        <w:tc>
          <w:tcPr>
            <w:tcW w:w="450" w:type="dxa"/>
            <w:tcBorders>
              <w:bottom w:val="single" w:sz="4" w:space="0" w:color="auto"/>
            </w:tcBorders>
            <w:shd w:val="clear" w:color="auto" w:fill="FABF8F"/>
            <w:vAlign w:val="center"/>
          </w:tcPr>
          <w:p w:rsidR="001A63C6" w:rsidRPr="00BD7CEA" w:rsidRDefault="006E5080" w:rsidP="00132E08">
            <w:pPr>
              <w:jc w:val="center"/>
              <w:rPr>
                <w:rFonts w:ascii="Trebuchet MS" w:hAnsi="Trebuchet MS" w:cs="Tahoma"/>
                <w:b/>
                <w:sz w:val="13"/>
                <w:szCs w:val="13"/>
              </w:rPr>
            </w:pPr>
            <w:hyperlink w:anchor="_31_SL_Add-On" w:history="1">
              <w:r w:rsidR="00C36760" w:rsidRPr="00BD7CEA">
                <w:rPr>
                  <w:rStyle w:val="Hyperlink"/>
                  <w:rFonts w:ascii="Trebuchet MS" w:hAnsi="Trebuchet MS"/>
                  <w:b/>
                  <w:sz w:val="13"/>
                  <w:szCs w:val="13"/>
                </w:rPr>
                <w:t>31</w:t>
              </w:r>
            </w:hyperlink>
          </w:p>
        </w:tc>
        <w:tc>
          <w:tcPr>
            <w:tcW w:w="450" w:type="dxa"/>
            <w:tcBorders>
              <w:bottom w:val="single" w:sz="4" w:space="0" w:color="auto"/>
            </w:tcBorders>
            <w:shd w:val="clear" w:color="auto" w:fill="FABF8F"/>
            <w:vAlign w:val="center"/>
          </w:tcPr>
          <w:p w:rsidR="001A63C6" w:rsidRPr="00BD7CEA" w:rsidRDefault="00D15BAA" w:rsidP="002253A3">
            <w:pPr>
              <w:jc w:val="center"/>
              <w:rPr>
                <w:rFonts w:cs="Tahoma"/>
                <w:sz w:val="14"/>
              </w:rPr>
            </w:pPr>
            <w:r w:rsidRPr="00BD7CEA">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BD7CEA"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BD7CEA" w:rsidRDefault="001A63C6" w:rsidP="002253A3">
            <w:pPr>
              <w:jc w:val="center"/>
              <w:rPr>
                <w:rFonts w:cs="Tahoma"/>
                <w:sz w:val="14"/>
              </w:rPr>
            </w:pPr>
            <w:r w:rsidRPr="00BD7CEA">
              <w:rPr>
                <w:rFonts w:cs="Tahoma"/>
                <w:sz w:val="14"/>
              </w:rPr>
              <w:t>125 crediti</w:t>
            </w:r>
          </w:p>
        </w:tc>
        <w:tc>
          <w:tcPr>
            <w:tcW w:w="450" w:type="dxa"/>
            <w:tcBorders>
              <w:left w:val="single" w:sz="18" w:space="0" w:color="auto"/>
              <w:bottom w:val="single" w:sz="4" w:space="0" w:color="auto"/>
            </w:tcBorders>
            <w:shd w:val="clear" w:color="auto" w:fill="FABF8F"/>
            <w:vAlign w:val="center"/>
          </w:tcPr>
          <w:p w:rsidR="001A63C6" w:rsidRPr="00BD7CEA" w:rsidRDefault="001A63C6" w:rsidP="002253A3">
            <w:pPr>
              <w:jc w:val="center"/>
              <w:rPr>
                <w:rFonts w:cs="Tahoma"/>
                <w:sz w:val="14"/>
              </w:rPr>
            </w:pPr>
            <w:r w:rsidRPr="00BD7CEA">
              <w:rPr>
                <w:rFonts w:cs="Tahoma"/>
                <w:sz w:val="14"/>
              </w:rPr>
              <w:t>125</w:t>
            </w:r>
          </w:p>
        </w:tc>
        <w:tc>
          <w:tcPr>
            <w:tcW w:w="450" w:type="dxa"/>
            <w:tcBorders>
              <w:bottom w:val="single" w:sz="4" w:space="0" w:color="auto"/>
            </w:tcBorders>
            <w:shd w:val="clear" w:color="auto" w:fill="FABF8F"/>
            <w:vAlign w:val="center"/>
          </w:tcPr>
          <w:p w:rsidR="001A63C6" w:rsidRPr="00BD7CEA"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2253A3">
            <w:pPr>
              <w:jc w:val="center"/>
              <w:rPr>
                <w:rFonts w:cs="Tahoma"/>
                <w:sz w:val="14"/>
              </w:rPr>
            </w:pPr>
            <w:r w:rsidRPr="00BD7CEA">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2253A3">
            <w:pPr>
              <w:jc w:val="center"/>
              <w:rPr>
                <w:rFonts w:cs="Tahoma"/>
                <w:sz w:val="14"/>
              </w:rPr>
            </w:pPr>
            <w:r w:rsidRPr="00BD7CEA">
              <w:rPr>
                <w:rFonts w:cs="Tahoma"/>
                <w:sz w:val="13"/>
              </w:rPr>
              <w:t>P</w:t>
            </w:r>
          </w:p>
        </w:tc>
        <w:tc>
          <w:tcPr>
            <w:tcW w:w="450" w:type="dxa"/>
            <w:tcBorders>
              <w:bottom w:val="single" w:sz="4" w:space="0" w:color="auto"/>
            </w:tcBorders>
            <w:shd w:val="clear" w:color="auto" w:fill="FABF8F"/>
            <w:vAlign w:val="center"/>
          </w:tcPr>
          <w:p w:rsidR="001A63C6" w:rsidRPr="00BD7CEA" w:rsidRDefault="001A63C6" w:rsidP="002253A3">
            <w:pPr>
              <w:jc w:val="center"/>
              <w:rPr>
                <w:rFonts w:cs="Tahoma"/>
                <w:sz w:val="14"/>
              </w:rPr>
            </w:pPr>
          </w:p>
        </w:tc>
        <w:tc>
          <w:tcPr>
            <w:tcW w:w="540" w:type="dxa"/>
            <w:tcBorders>
              <w:bottom w:val="single" w:sz="4" w:space="0" w:color="auto"/>
            </w:tcBorders>
            <w:shd w:val="clear" w:color="auto" w:fill="FABF8F"/>
            <w:vAlign w:val="center"/>
          </w:tcPr>
          <w:p w:rsidR="001A63C6" w:rsidRPr="00BD7CEA" w:rsidRDefault="001A63C6" w:rsidP="002253A3">
            <w:pPr>
              <w:jc w:val="center"/>
              <w:rPr>
                <w:rFonts w:cs="Tahoma"/>
                <w:sz w:val="14"/>
              </w:rPr>
            </w:pPr>
            <w:r w:rsidRPr="00BD7CEA">
              <w:rPr>
                <w:rFonts w:cs="Tahoma"/>
                <w:sz w:val="13"/>
              </w:rPr>
              <w:t>OL/OV</w:t>
            </w:r>
          </w:p>
        </w:tc>
      </w:tr>
      <w:tr w:rsidR="001A63C6" w:rsidRPr="00BD7CEA" w:rsidTr="00B1475C">
        <w:trPr>
          <w:trHeight w:val="145"/>
        </w:trPr>
        <w:tc>
          <w:tcPr>
            <w:tcW w:w="2734" w:type="dxa"/>
            <w:gridSpan w:val="2"/>
            <w:tcBorders>
              <w:bottom w:val="single" w:sz="4" w:space="0" w:color="auto"/>
            </w:tcBorders>
            <w:shd w:val="clear" w:color="auto" w:fill="auto"/>
          </w:tcPr>
          <w:p w:rsidR="001A63C6" w:rsidRPr="00BD7CEA" w:rsidRDefault="001A63C6" w:rsidP="001A63C6">
            <w:pPr>
              <w:pStyle w:val="ProductNames"/>
              <w:spacing w:before="0" w:after="0"/>
              <w:rPr>
                <w:rFonts w:ascii="Tahoma" w:hAnsi="Tahoma" w:cs="Tahoma"/>
                <w:sz w:val="14"/>
              </w:rPr>
            </w:pPr>
            <w:bookmarkStart w:id="149" w:name="_Toc353375697"/>
            <w:r w:rsidRPr="00BD7CEA">
              <w:rPr>
                <w:rFonts w:ascii="Tahoma" w:hAnsi="Tahoma" w:cs="Tahoma"/>
                <w:sz w:val="14"/>
              </w:rPr>
              <w:t>Bing Maps Public Website Usage 420K Transactions Monthly Sub</w:t>
            </w:r>
            <w:bookmarkEnd w:id="149"/>
          </w:p>
        </w:tc>
        <w:tc>
          <w:tcPr>
            <w:tcW w:w="450" w:type="dxa"/>
            <w:tcBorders>
              <w:bottom w:val="single" w:sz="4" w:space="0" w:color="auto"/>
            </w:tcBorders>
            <w:shd w:val="clear" w:color="auto" w:fill="auto"/>
            <w:vAlign w:val="center"/>
          </w:tcPr>
          <w:p w:rsidR="001A63C6" w:rsidRPr="00BD7CEA" w:rsidRDefault="006E5080" w:rsidP="00132E08">
            <w:pPr>
              <w:jc w:val="center"/>
              <w:rPr>
                <w:rFonts w:ascii="Trebuchet MS" w:hAnsi="Trebuchet MS" w:cs="Tahoma"/>
                <w:b/>
                <w:sz w:val="13"/>
                <w:szCs w:val="13"/>
              </w:rPr>
            </w:pPr>
            <w:hyperlink w:anchor="_31_SL_Add-On" w:history="1">
              <w:r w:rsidR="00C36760" w:rsidRPr="00BD7CEA">
                <w:rPr>
                  <w:rStyle w:val="Hyperlink"/>
                  <w:rFonts w:ascii="Trebuchet MS" w:hAnsi="Trebuchet MS"/>
                  <w:b/>
                  <w:sz w:val="13"/>
                  <w:szCs w:val="13"/>
                </w:rPr>
                <w:t>31</w:t>
              </w:r>
            </w:hyperlink>
          </w:p>
        </w:tc>
        <w:tc>
          <w:tcPr>
            <w:tcW w:w="450" w:type="dxa"/>
            <w:tcBorders>
              <w:bottom w:val="single" w:sz="4" w:space="0" w:color="auto"/>
            </w:tcBorders>
            <w:shd w:val="clear" w:color="auto" w:fill="auto"/>
            <w:vAlign w:val="center"/>
          </w:tcPr>
          <w:p w:rsidR="001A63C6" w:rsidRPr="00BD7CEA" w:rsidRDefault="00D15BAA" w:rsidP="002253A3">
            <w:pPr>
              <w:jc w:val="center"/>
              <w:rPr>
                <w:rFonts w:cs="Tahoma"/>
                <w:sz w:val="14"/>
              </w:rPr>
            </w:pPr>
            <w:r w:rsidRPr="00BD7CEA">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BD7CEA"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BD7CEA" w:rsidRDefault="001A63C6" w:rsidP="002253A3">
            <w:pPr>
              <w:jc w:val="center"/>
              <w:rPr>
                <w:rFonts w:cs="Tahoma"/>
                <w:sz w:val="14"/>
              </w:rPr>
            </w:pPr>
            <w:r w:rsidRPr="00BD7CEA">
              <w:rPr>
                <w:rFonts w:cs="Tahoma"/>
                <w:sz w:val="14"/>
              </w:rPr>
              <w:t>200 crediti</w:t>
            </w:r>
          </w:p>
        </w:tc>
        <w:tc>
          <w:tcPr>
            <w:tcW w:w="450" w:type="dxa"/>
            <w:tcBorders>
              <w:left w:val="single" w:sz="18" w:space="0" w:color="auto"/>
              <w:bottom w:val="single" w:sz="4" w:space="0" w:color="auto"/>
            </w:tcBorders>
            <w:shd w:val="clear" w:color="auto" w:fill="auto"/>
            <w:vAlign w:val="center"/>
          </w:tcPr>
          <w:p w:rsidR="001A63C6" w:rsidRPr="00BD7CEA" w:rsidRDefault="001A63C6" w:rsidP="002253A3">
            <w:pPr>
              <w:jc w:val="center"/>
              <w:rPr>
                <w:rFonts w:cs="Tahoma"/>
                <w:sz w:val="14"/>
              </w:rPr>
            </w:pPr>
            <w:r w:rsidRPr="00BD7CEA">
              <w:rPr>
                <w:rFonts w:cs="Tahoma"/>
                <w:sz w:val="14"/>
              </w:rPr>
              <w:t>200</w:t>
            </w:r>
          </w:p>
        </w:tc>
        <w:tc>
          <w:tcPr>
            <w:tcW w:w="450" w:type="dxa"/>
            <w:tcBorders>
              <w:bottom w:val="single" w:sz="4" w:space="0" w:color="auto"/>
            </w:tcBorders>
            <w:shd w:val="clear" w:color="auto" w:fill="auto"/>
            <w:vAlign w:val="center"/>
          </w:tcPr>
          <w:p w:rsidR="001A63C6" w:rsidRPr="00BD7CEA"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2253A3">
            <w:pPr>
              <w:jc w:val="center"/>
              <w:rPr>
                <w:rFonts w:cs="Tahoma"/>
                <w:sz w:val="14"/>
              </w:rPr>
            </w:pPr>
            <w:r w:rsidRPr="00BD7CEA">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2253A3">
            <w:pPr>
              <w:jc w:val="center"/>
              <w:rPr>
                <w:rFonts w:cs="Tahoma"/>
                <w:sz w:val="14"/>
              </w:rPr>
            </w:pPr>
            <w:r w:rsidRPr="00BD7CEA">
              <w:rPr>
                <w:rFonts w:cs="Tahoma"/>
                <w:sz w:val="13"/>
              </w:rPr>
              <w:t>P</w:t>
            </w:r>
          </w:p>
        </w:tc>
        <w:tc>
          <w:tcPr>
            <w:tcW w:w="450" w:type="dxa"/>
            <w:tcBorders>
              <w:bottom w:val="single" w:sz="4" w:space="0" w:color="auto"/>
            </w:tcBorders>
            <w:shd w:val="clear" w:color="auto" w:fill="auto"/>
            <w:vAlign w:val="center"/>
          </w:tcPr>
          <w:p w:rsidR="001A63C6" w:rsidRPr="00BD7CEA" w:rsidRDefault="001A63C6" w:rsidP="002253A3">
            <w:pPr>
              <w:jc w:val="center"/>
              <w:rPr>
                <w:rFonts w:cs="Tahoma"/>
                <w:sz w:val="14"/>
              </w:rPr>
            </w:pPr>
          </w:p>
        </w:tc>
        <w:tc>
          <w:tcPr>
            <w:tcW w:w="540" w:type="dxa"/>
            <w:tcBorders>
              <w:bottom w:val="single" w:sz="4" w:space="0" w:color="auto"/>
            </w:tcBorders>
            <w:shd w:val="clear" w:color="auto" w:fill="auto"/>
            <w:vAlign w:val="center"/>
          </w:tcPr>
          <w:p w:rsidR="001A63C6" w:rsidRPr="00BD7CEA" w:rsidRDefault="001A63C6" w:rsidP="002253A3">
            <w:pPr>
              <w:jc w:val="center"/>
              <w:rPr>
                <w:rFonts w:cs="Tahoma"/>
                <w:sz w:val="14"/>
              </w:rPr>
            </w:pPr>
            <w:r w:rsidRPr="00BD7CEA">
              <w:rPr>
                <w:rFonts w:cs="Tahoma"/>
                <w:sz w:val="13"/>
              </w:rPr>
              <w:t>OL/OV</w:t>
            </w:r>
          </w:p>
        </w:tc>
      </w:tr>
      <w:tr w:rsidR="001A63C6" w:rsidRPr="00BD7CEA" w:rsidTr="006B1F3F">
        <w:trPr>
          <w:trHeight w:val="145"/>
        </w:trPr>
        <w:tc>
          <w:tcPr>
            <w:tcW w:w="2734" w:type="dxa"/>
            <w:gridSpan w:val="2"/>
            <w:tcBorders>
              <w:bottom w:val="single" w:sz="4" w:space="0" w:color="auto"/>
            </w:tcBorders>
            <w:shd w:val="clear" w:color="auto" w:fill="FABF8F"/>
          </w:tcPr>
          <w:p w:rsidR="001A63C6" w:rsidRPr="00BD7CEA" w:rsidRDefault="001A63C6" w:rsidP="001A63C6">
            <w:pPr>
              <w:pStyle w:val="ProductNames"/>
              <w:spacing w:before="0" w:after="0"/>
              <w:rPr>
                <w:rFonts w:ascii="Tahoma" w:hAnsi="Tahoma" w:cs="Tahoma"/>
                <w:sz w:val="14"/>
              </w:rPr>
            </w:pPr>
            <w:bookmarkStart w:id="150" w:name="_Toc353375698"/>
            <w:r w:rsidRPr="00BD7CEA">
              <w:rPr>
                <w:rFonts w:ascii="Tahoma" w:hAnsi="Tahoma" w:cs="Tahoma"/>
                <w:sz w:val="14"/>
              </w:rPr>
              <w:t>Bing Maps Public Website Usage 840K Transactions Monthly Sub</w:t>
            </w:r>
            <w:bookmarkEnd w:id="150"/>
          </w:p>
        </w:tc>
        <w:tc>
          <w:tcPr>
            <w:tcW w:w="450" w:type="dxa"/>
            <w:tcBorders>
              <w:bottom w:val="single" w:sz="4" w:space="0" w:color="auto"/>
            </w:tcBorders>
            <w:shd w:val="clear" w:color="auto" w:fill="FABF8F"/>
            <w:vAlign w:val="center"/>
          </w:tcPr>
          <w:p w:rsidR="001A63C6" w:rsidRPr="00BD7CEA" w:rsidRDefault="006E5080" w:rsidP="00132E08">
            <w:pPr>
              <w:jc w:val="center"/>
              <w:rPr>
                <w:rFonts w:ascii="Trebuchet MS" w:hAnsi="Trebuchet MS" w:cs="Tahoma"/>
                <w:b/>
                <w:sz w:val="13"/>
                <w:szCs w:val="13"/>
              </w:rPr>
            </w:pPr>
            <w:hyperlink w:anchor="_31_SL_Add-On" w:history="1">
              <w:r w:rsidR="00C36760" w:rsidRPr="00BD7CEA">
                <w:rPr>
                  <w:rStyle w:val="Hyperlink"/>
                  <w:rFonts w:ascii="Trebuchet MS" w:hAnsi="Trebuchet MS"/>
                  <w:b/>
                  <w:sz w:val="13"/>
                  <w:szCs w:val="13"/>
                </w:rPr>
                <w:t>31</w:t>
              </w:r>
            </w:hyperlink>
          </w:p>
        </w:tc>
        <w:tc>
          <w:tcPr>
            <w:tcW w:w="450" w:type="dxa"/>
            <w:tcBorders>
              <w:bottom w:val="single" w:sz="4" w:space="0" w:color="auto"/>
            </w:tcBorders>
            <w:shd w:val="clear" w:color="auto" w:fill="FABF8F"/>
            <w:vAlign w:val="center"/>
          </w:tcPr>
          <w:p w:rsidR="001A63C6" w:rsidRPr="00BD7CEA" w:rsidRDefault="00D15BAA" w:rsidP="002253A3">
            <w:pPr>
              <w:jc w:val="center"/>
              <w:rPr>
                <w:rFonts w:cs="Tahoma"/>
                <w:sz w:val="14"/>
              </w:rPr>
            </w:pPr>
            <w:r w:rsidRPr="00BD7CEA">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BD7CEA"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BD7CEA" w:rsidRDefault="001A63C6" w:rsidP="002253A3">
            <w:pPr>
              <w:jc w:val="center"/>
              <w:rPr>
                <w:rFonts w:cs="Tahoma"/>
                <w:sz w:val="14"/>
              </w:rPr>
            </w:pPr>
            <w:r w:rsidRPr="00BD7CEA">
              <w:rPr>
                <w:rFonts w:cs="Tahoma"/>
                <w:sz w:val="14"/>
              </w:rPr>
              <w:t>200 crediti</w:t>
            </w:r>
          </w:p>
        </w:tc>
        <w:tc>
          <w:tcPr>
            <w:tcW w:w="450" w:type="dxa"/>
            <w:tcBorders>
              <w:left w:val="single" w:sz="18" w:space="0" w:color="auto"/>
              <w:bottom w:val="single" w:sz="4" w:space="0" w:color="auto"/>
            </w:tcBorders>
            <w:shd w:val="clear" w:color="auto" w:fill="FABF8F"/>
            <w:vAlign w:val="center"/>
          </w:tcPr>
          <w:p w:rsidR="001A63C6" w:rsidRPr="00BD7CEA" w:rsidRDefault="001A63C6" w:rsidP="002253A3">
            <w:pPr>
              <w:jc w:val="center"/>
              <w:rPr>
                <w:rFonts w:cs="Tahoma"/>
                <w:sz w:val="14"/>
              </w:rPr>
            </w:pPr>
            <w:r w:rsidRPr="00BD7CEA">
              <w:rPr>
                <w:rFonts w:cs="Tahoma"/>
                <w:sz w:val="14"/>
              </w:rPr>
              <w:t>200</w:t>
            </w:r>
          </w:p>
        </w:tc>
        <w:tc>
          <w:tcPr>
            <w:tcW w:w="450" w:type="dxa"/>
            <w:tcBorders>
              <w:bottom w:val="single" w:sz="4" w:space="0" w:color="auto"/>
            </w:tcBorders>
            <w:shd w:val="clear" w:color="auto" w:fill="FABF8F"/>
            <w:vAlign w:val="center"/>
          </w:tcPr>
          <w:p w:rsidR="001A63C6" w:rsidRPr="00BD7CEA"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2253A3">
            <w:pPr>
              <w:jc w:val="center"/>
              <w:rPr>
                <w:rFonts w:cs="Tahoma"/>
                <w:sz w:val="14"/>
              </w:rPr>
            </w:pPr>
            <w:r w:rsidRPr="00BD7CEA">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2253A3">
            <w:pPr>
              <w:jc w:val="center"/>
              <w:rPr>
                <w:rFonts w:cs="Tahoma"/>
                <w:sz w:val="14"/>
              </w:rPr>
            </w:pPr>
            <w:r w:rsidRPr="00BD7CEA">
              <w:rPr>
                <w:rFonts w:cs="Tahoma"/>
                <w:sz w:val="13"/>
              </w:rPr>
              <w:t>P</w:t>
            </w:r>
          </w:p>
        </w:tc>
        <w:tc>
          <w:tcPr>
            <w:tcW w:w="450" w:type="dxa"/>
            <w:tcBorders>
              <w:bottom w:val="single" w:sz="4" w:space="0" w:color="auto"/>
            </w:tcBorders>
            <w:shd w:val="clear" w:color="auto" w:fill="FABF8F"/>
            <w:vAlign w:val="center"/>
          </w:tcPr>
          <w:p w:rsidR="001A63C6" w:rsidRPr="00BD7CEA" w:rsidRDefault="001A63C6" w:rsidP="002253A3">
            <w:pPr>
              <w:jc w:val="center"/>
              <w:rPr>
                <w:rFonts w:cs="Tahoma"/>
                <w:sz w:val="14"/>
              </w:rPr>
            </w:pPr>
          </w:p>
        </w:tc>
        <w:tc>
          <w:tcPr>
            <w:tcW w:w="540" w:type="dxa"/>
            <w:tcBorders>
              <w:bottom w:val="single" w:sz="4" w:space="0" w:color="auto"/>
            </w:tcBorders>
            <w:shd w:val="clear" w:color="auto" w:fill="FABF8F"/>
            <w:vAlign w:val="center"/>
          </w:tcPr>
          <w:p w:rsidR="001A63C6" w:rsidRPr="00BD7CEA" w:rsidRDefault="001A63C6" w:rsidP="002253A3">
            <w:pPr>
              <w:jc w:val="center"/>
              <w:rPr>
                <w:rFonts w:cs="Tahoma"/>
                <w:sz w:val="14"/>
              </w:rPr>
            </w:pPr>
            <w:r w:rsidRPr="00BD7CEA">
              <w:rPr>
                <w:rFonts w:cs="Tahoma"/>
                <w:sz w:val="13"/>
              </w:rPr>
              <w:t>OL/OV</w:t>
            </w:r>
          </w:p>
        </w:tc>
      </w:tr>
      <w:tr w:rsidR="001A63C6" w:rsidRPr="00BD7CEA" w:rsidTr="007E466C">
        <w:trPr>
          <w:trHeight w:val="145"/>
        </w:trPr>
        <w:tc>
          <w:tcPr>
            <w:tcW w:w="2734" w:type="dxa"/>
            <w:gridSpan w:val="2"/>
            <w:tcBorders>
              <w:bottom w:val="single" w:sz="4" w:space="0" w:color="auto"/>
            </w:tcBorders>
            <w:shd w:val="clear" w:color="auto" w:fill="auto"/>
          </w:tcPr>
          <w:p w:rsidR="001A63C6" w:rsidRPr="00BD7CEA" w:rsidRDefault="001A63C6" w:rsidP="001A63C6">
            <w:pPr>
              <w:pStyle w:val="ProductNames"/>
              <w:spacing w:before="0" w:after="0"/>
              <w:rPr>
                <w:rFonts w:ascii="Tahoma" w:hAnsi="Tahoma" w:cs="Tahoma"/>
                <w:sz w:val="14"/>
              </w:rPr>
            </w:pPr>
            <w:bookmarkStart w:id="151" w:name="_Toc353375699"/>
            <w:r w:rsidRPr="00BD7CEA">
              <w:rPr>
                <w:rFonts w:ascii="Tahoma" w:hAnsi="Tahoma" w:cs="Tahoma"/>
                <w:sz w:val="14"/>
              </w:rPr>
              <w:t>Bing Maps Public Website Usage 2.5m Transactions Monthly Sub</w:t>
            </w:r>
            <w:bookmarkEnd w:id="151"/>
          </w:p>
        </w:tc>
        <w:tc>
          <w:tcPr>
            <w:tcW w:w="450" w:type="dxa"/>
            <w:tcBorders>
              <w:bottom w:val="single" w:sz="4" w:space="0" w:color="auto"/>
            </w:tcBorders>
            <w:shd w:val="clear" w:color="auto" w:fill="auto"/>
            <w:vAlign w:val="center"/>
          </w:tcPr>
          <w:p w:rsidR="001A63C6" w:rsidRPr="00BD7CEA" w:rsidRDefault="006E5080" w:rsidP="00132E08">
            <w:pPr>
              <w:jc w:val="center"/>
              <w:rPr>
                <w:rFonts w:ascii="Trebuchet MS" w:hAnsi="Trebuchet MS" w:cs="Tahoma"/>
                <w:b/>
                <w:sz w:val="13"/>
                <w:szCs w:val="13"/>
              </w:rPr>
            </w:pPr>
            <w:hyperlink w:anchor="_31_SL_Add-On" w:history="1">
              <w:r w:rsidR="00C36760" w:rsidRPr="00BD7CEA">
                <w:rPr>
                  <w:rStyle w:val="Hyperlink"/>
                  <w:rFonts w:ascii="Trebuchet MS" w:hAnsi="Trebuchet MS"/>
                  <w:b/>
                  <w:sz w:val="13"/>
                  <w:szCs w:val="13"/>
                </w:rPr>
                <w:t>31</w:t>
              </w:r>
            </w:hyperlink>
          </w:p>
        </w:tc>
        <w:tc>
          <w:tcPr>
            <w:tcW w:w="450" w:type="dxa"/>
            <w:tcBorders>
              <w:bottom w:val="single" w:sz="4" w:space="0" w:color="auto"/>
            </w:tcBorders>
            <w:shd w:val="clear" w:color="auto" w:fill="auto"/>
            <w:vAlign w:val="center"/>
          </w:tcPr>
          <w:p w:rsidR="001A63C6" w:rsidRPr="00BD7CEA" w:rsidRDefault="00D15BAA" w:rsidP="002253A3">
            <w:pPr>
              <w:jc w:val="center"/>
              <w:rPr>
                <w:rFonts w:cs="Tahoma"/>
                <w:sz w:val="14"/>
              </w:rPr>
            </w:pPr>
            <w:r w:rsidRPr="00BD7CEA">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BD7CEA"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BD7CEA" w:rsidRDefault="001A63C6" w:rsidP="002253A3">
            <w:pPr>
              <w:jc w:val="center"/>
              <w:rPr>
                <w:rFonts w:cs="Tahoma"/>
                <w:sz w:val="14"/>
              </w:rPr>
            </w:pPr>
            <w:r w:rsidRPr="00BD7CEA">
              <w:rPr>
                <w:rFonts w:cs="Tahoma"/>
                <w:sz w:val="14"/>
              </w:rPr>
              <w:t>200 crediti</w:t>
            </w:r>
          </w:p>
        </w:tc>
        <w:tc>
          <w:tcPr>
            <w:tcW w:w="450" w:type="dxa"/>
            <w:tcBorders>
              <w:left w:val="single" w:sz="18" w:space="0" w:color="auto"/>
              <w:bottom w:val="single" w:sz="4" w:space="0" w:color="auto"/>
            </w:tcBorders>
            <w:shd w:val="clear" w:color="auto" w:fill="auto"/>
            <w:vAlign w:val="center"/>
          </w:tcPr>
          <w:p w:rsidR="001A63C6" w:rsidRPr="00BD7CEA" w:rsidRDefault="001A63C6" w:rsidP="002253A3">
            <w:pPr>
              <w:jc w:val="center"/>
              <w:rPr>
                <w:rFonts w:cs="Tahoma"/>
                <w:sz w:val="14"/>
              </w:rPr>
            </w:pPr>
            <w:r w:rsidRPr="00BD7CEA">
              <w:rPr>
                <w:rFonts w:cs="Tahoma"/>
                <w:sz w:val="14"/>
              </w:rPr>
              <w:t>200</w:t>
            </w:r>
          </w:p>
        </w:tc>
        <w:tc>
          <w:tcPr>
            <w:tcW w:w="450" w:type="dxa"/>
            <w:tcBorders>
              <w:bottom w:val="single" w:sz="4" w:space="0" w:color="auto"/>
            </w:tcBorders>
            <w:shd w:val="clear" w:color="auto" w:fill="auto"/>
            <w:vAlign w:val="center"/>
          </w:tcPr>
          <w:p w:rsidR="001A63C6" w:rsidRPr="00BD7CEA"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2253A3">
            <w:pPr>
              <w:jc w:val="center"/>
              <w:rPr>
                <w:rFonts w:cs="Tahoma"/>
                <w:sz w:val="14"/>
              </w:rPr>
            </w:pPr>
            <w:r w:rsidRPr="00BD7CEA">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2253A3">
            <w:pPr>
              <w:jc w:val="center"/>
              <w:rPr>
                <w:rFonts w:cs="Tahoma"/>
                <w:sz w:val="14"/>
              </w:rPr>
            </w:pPr>
            <w:r w:rsidRPr="00BD7CEA">
              <w:rPr>
                <w:rFonts w:cs="Tahoma"/>
                <w:sz w:val="13"/>
              </w:rPr>
              <w:t>P</w:t>
            </w:r>
          </w:p>
        </w:tc>
        <w:tc>
          <w:tcPr>
            <w:tcW w:w="450" w:type="dxa"/>
            <w:tcBorders>
              <w:bottom w:val="single" w:sz="4" w:space="0" w:color="auto"/>
            </w:tcBorders>
            <w:shd w:val="clear" w:color="auto" w:fill="auto"/>
            <w:vAlign w:val="center"/>
          </w:tcPr>
          <w:p w:rsidR="001A63C6" w:rsidRPr="00BD7CEA" w:rsidRDefault="001A63C6" w:rsidP="002253A3">
            <w:pPr>
              <w:jc w:val="center"/>
              <w:rPr>
                <w:rFonts w:cs="Tahoma"/>
                <w:sz w:val="14"/>
              </w:rPr>
            </w:pPr>
          </w:p>
        </w:tc>
        <w:tc>
          <w:tcPr>
            <w:tcW w:w="540" w:type="dxa"/>
            <w:tcBorders>
              <w:bottom w:val="single" w:sz="4" w:space="0" w:color="auto"/>
            </w:tcBorders>
            <w:shd w:val="clear" w:color="auto" w:fill="auto"/>
            <w:vAlign w:val="center"/>
          </w:tcPr>
          <w:p w:rsidR="001A63C6" w:rsidRPr="00BD7CEA" w:rsidRDefault="001A63C6" w:rsidP="002253A3">
            <w:pPr>
              <w:jc w:val="center"/>
              <w:rPr>
                <w:rFonts w:cs="Tahoma"/>
                <w:sz w:val="14"/>
              </w:rPr>
            </w:pPr>
            <w:r w:rsidRPr="00BD7CEA">
              <w:rPr>
                <w:rFonts w:cs="Tahoma"/>
                <w:sz w:val="13"/>
              </w:rPr>
              <w:t>OL/OV</w:t>
            </w:r>
          </w:p>
        </w:tc>
      </w:tr>
      <w:tr w:rsidR="001A63C6" w:rsidRPr="00BD7CEA" w:rsidTr="006B1F3F">
        <w:trPr>
          <w:trHeight w:val="145"/>
        </w:trPr>
        <w:tc>
          <w:tcPr>
            <w:tcW w:w="2734" w:type="dxa"/>
            <w:gridSpan w:val="2"/>
            <w:tcBorders>
              <w:bottom w:val="single" w:sz="4" w:space="0" w:color="auto"/>
            </w:tcBorders>
            <w:shd w:val="clear" w:color="auto" w:fill="FABF8F"/>
          </w:tcPr>
          <w:p w:rsidR="001A63C6" w:rsidRPr="00BD7CEA" w:rsidRDefault="001A63C6" w:rsidP="001A63C6">
            <w:pPr>
              <w:pStyle w:val="ProductNames"/>
              <w:spacing w:before="0" w:after="0"/>
              <w:rPr>
                <w:rFonts w:ascii="Tahoma" w:hAnsi="Tahoma" w:cs="Tahoma"/>
                <w:sz w:val="14"/>
              </w:rPr>
            </w:pPr>
            <w:bookmarkStart w:id="152" w:name="_Toc353375700"/>
            <w:r w:rsidRPr="00BD7CEA">
              <w:rPr>
                <w:rFonts w:ascii="Tahoma" w:hAnsi="Tahoma" w:cs="Tahoma"/>
                <w:sz w:val="14"/>
              </w:rPr>
              <w:t>Bing Maps Public Website Usage 4.2m Transactions Monthly Sub</w:t>
            </w:r>
            <w:bookmarkEnd w:id="152"/>
          </w:p>
        </w:tc>
        <w:tc>
          <w:tcPr>
            <w:tcW w:w="450" w:type="dxa"/>
            <w:tcBorders>
              <w:bottom w:val="single" w:sz="4" w:space="0" w:color="auto"/>
            </w:tcBorders>
            <w:shd w:val="clear" w:color="auto" w:fill="FABF8F"/>
            <w:vAlign w:val="center"/>
          </w:tcPr>
          <w:p w:rsidR="001A63C6" w:rsidRPr="00BD7CEA" w:rsidRDefault="006E5080" w:rsidP="00132E08">
            <w:pPr>
              <w:jc w:val="center"/>
              <w:rPr>
                <w:rFonts w:ascii="Trebuchet MS" w:hAnsi="Trebuchet MS" w:cs="Tahoma"/>
                <w:b/>
                <w:sz w:val="13"/>
                <w:szCs w:val="13"/>
              </w:rPr>
            </w:pPr>
            <w:hyperlink w:anchor="_31_SL_Add-On" w:history="1">
              <w:r w:rsidR="00C36760" w:rsidRPr="00BD7CEA">
                <w:rPr>
                  <w:rStyle w:val="Hyperlink"/>
                  <w:rFonts w:ascii="Trebuchet MS" w:hAnsi="Trebuchet MS"/>
                  <w:b/>
                  <w:sz w:val="13"/>
                  <w:szCs w:val="13"/>
                </w:rPr>
                <w:t>31</w:t>
              </w:r>
            </w:hyperlink>
          </w:p>
        </w:tc>
        <w:tc>
          <w:tcPr>
            <w:tcW w:w="450" w:type="dxa"/>
            <w:tcBorders>
              <w:bottom w:val="single" w:sz="4" w:space="0" w:color="auto"/>
            </w:tcBorders>
            <w:shd w:val="clear" w:color="auto" w:fill="FABF8F"/>
            <w:vAlign w:val="center"/>
          </w:tcPr>
          <w:p w:rsidR="001A63C6" w:rsidRPr="00BD7CEA" w:rsidRDefault="00D15BAA" w:rsidP="002253A3">
            <w:pPr>
              <w:jc w:val="center"/>
              <w:rPr>
                <w:rFonts w:cs="Tahoma"/>
                <w:sz w:val="14"/>
              </w:rPr>
            </w:pPr>
            <w:r w:rsidRPr="00BD7CEA">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BD7CEA"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BD7CEA" w:rsidRDefault="001A63C6" w:rsidP="002253A3">
            <w:pPr>
              <w:jc w:val="center"/>
              <w:rPr>
                <w:rFonts w:cs="Tahoma"/>
                <w:sz w:val="14"/>
              </w:rPr>
            </w:pPr>
            <w:r w:rsidRPr="00BD7CEA">
              <w:rPr>
                <w:rFonts w:cs="Tahoma"/>
                <w:sz w:val="14"/>
              </w:rPr>
              <w:t>200 crediti</w:t>
            </w:r>
          </w:p>
        </w:tc>
        <w:tc>
          <w:tcPr>
            <w:tcW w:w="450" w:type="dxa"/>
            <w:tcBorders>
              <w:left w:val="single" w:sz="18" w:space="0" w:color="auto"/>
              <w:bottom w:val="single" w:sz="4" w:space="0" w:color="auto"/>
            </w:tcBorders>
            <w:shd w:val="clear" w:color="auto" w:fill="FABF8F"/>
            <w:vAlign w:val="center"/>
          </w:tcPr>
          <w:p w:rsidR="001A63C6" w:rsidRPr="00BD7CEA" w:rsidRDefault="001A63C6" w:rsidP="002253A3">
            <w:pPr>
              <w:jc w:val="center"/>
              <w:rPr>
                <w:rFonts w:cs="Tahoma"/>
                <w:sz w:val="14"/>
              </w:rPr>
            </w:pPr>
            <w:r w:rsidRPr="00BD7CEA">
              <w:rPr>
                <w:rFonts w:cs="Tahoma"/>
                <w:sz w:val="14"/>
              </w:rPr>
              <w:t>200</w:t>
            </w:r>
          </w:p>
        </w:tc>
        <w:tc>
          <w:tcPr>
            <w:tcW w:w="450" w:type="dxa"/>
            <w:tcBorders>
              <w:bottom w:val="single" w:sz="4" w:space="0" w:color="auto"/>
            </w:tcBorders>
            <w:shd w:val="clear" w:color="auto" w:fill="FABF8F"/>
            <w:vAlign w:val="center"/>
          </w:tcPr>
          <w:p w:rsidR="001A63C6" w:rsidRPr="00BD7CEA"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2253A3">
            <w:pPr>
              <w:jc w:val="center"/>
              <w:rPr>
                <w:rFonts w:cs="Tahoma"/>
                <w:sz w:val="14"/>
              </w:rPr>
            </w:pPr>
            <w:r w:rsidRPr="00BD7CEA">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2253A3">
            <w:pPr>
              <w:jc w:val="center"/>
              <w:rPr>
                <w:rFonts w:cs="Tahoma"/>
                <w:sz w:val="14"/>
              </w:rPr>
            </w:pPr>
            <w:r w:rsidRPr="00BD7CEA">
              <w:rPr>
                <w:rFonts w:cs="Tahoma"/>
                <w:sz w:val="13"/>
              </w:rPr>
              <w:t>P</w:t>
            </w:r>
          </w:p>
        </w:tc>
        <w:tc>
          <w:tcPr>
            <w:tcW w:w="450" w:type="dxa"/>
            <w:tcBorders>
              <w:bottom w:val="single" w:sz="4" w:space="0" w:color="auto"/>
            </w:tcBorders>
            <w:shd w:val="clear" w:color="auto" w:fill="FABF8F"/>
            <w:vAlign w:val="center"/>
          </w:tcPr>
          <w:p w:rsidR="001A63C6" w:rsidRPr="00BD7CEA" w:rsidRDefault="001A63C6" w:rsidP="002253A3">
            <w:pPr>
              <w:jc w:val="center"/>
              <w:rPr>
                <w:rFonts w:cs="Tahoma"/>
                <w:sz w:val="14"/>
              </w:rPr>
            </w:pPr>
          </w:p>
        </w:tc>
        <w:tc>
          <w:tcPr>
            <w:tcW w:w="540" w:type="dxa"/>
            <w:tcBorders>
              <w:bottom w:val="single" w:sz="4" w:space="0" w:color="auto"/>
            </w:tcBorders>
            <w:shd w:val="clear" w:color="auto" w:fill="FABF8F"/>
            <w:vAlign w:val="center"/>
          </w:tcPr>
          <w:p w:rsidR="001A63C6" w:rsidRPr="00BD7CEA" w:rsidRDefault="001A63C6" w:rsidP="002253A3">
            <w:pPr>
              <w:jc w:val="center"/>
              <w:rPr>
                <w:rFonts w:cs="Tahoma"/>
                <w:sz w:val="14"/>
              </w:rPr>
            </w:pPr>
            <w:r w:rsidRPr="00BD7CEA">
              <w:rPr>
                <w:rFonts w:cs="Tahoma"/>
                <w:sz w:val="13"/>
              </w:rPr>
              <w:t>OL/OV</w:t>
            </w:r>
          </w:p>
        </w:tc>
      </w:tr>
      <w:tr w:rsidR="001A63C6" w:rsidRPr="00BD7CEA" w:rsidTr="006B1F3F">
        <w:trPr>
          <w:trHeight w:val="145"/>
        </w:trPr>
        <w:tc>
          <w:tcPr>
            <w:tcW w:w="2734" w:type="dxa"/>
            <w:gridSpan w:val="2"/>
            <w:tcBorders>
              <w:bottom w:val="single" w:sz="4" w:space="0" w:color="auto"/>
            </w:tcBorders>
            <w:shd w:val="clear" w:color="auto" w:fill="auto"/>
          </w:tcPr>
          <w:p w:rsidR="001A63C6" w:rsidRPr="00BD7CEA" w:rsidRDefault="001A63C6" w:rsidP="001A63C6">
            <w:pPr>
              <w:pStyle w:val="ProductNames"/>
              <w:spacing w:before="0" w:after="0"/>
              <w:rPr>
                <w:rFonts w:ascii="Tahoma" w:hAnsi="Tahoma" w:cs="Tahoma"/>
                <w:sz w:val="14"/>
              </w:rPr>
            </w:pPr>
            <w:bookmarkStart w:id="153" w:name="_Toc353375701"/>
            <w:r w:rsidRPr="00BD7CEA">
              <w:rPr>
                <w:rFonts w:ascii="Tahoma" w:hAnsi="Tahoma" w:cs="Tahoma"/>
                <w:sz w:val="14"/>
              </w:rPr>
              <w:t>Bing Maps Public Website Usage 8.4m Transactions Monthly Sub</w:t>
            </w:r>
            <w:bookmarkEnd w:id="153"/>
          </w:p>
        </w:tc>
        <w:tc>
          <w:tcPr>
            <w:tcW w:w="450" w:type="dxa"/>
            <w:tcBorders>
              <w:bottom w:val="single" w:sz="4" w:space="0" w:color="auto"/>
            </w:tcBorders>
            <w:shd w:val="clear" w:color="auto" w:fill="auto"/>
            <w:vAlign w:val="center"/>
          </w:tcPr>
          <w:p w:rsidR="001A63C6" w:rsidRPr="00BD7CEA" w:rsidRDefault="006E5080" w:rsidP="00132E08">
            <w:pPr>
              <w:jc w:val="center"/>
              <w:rPr>
                <w:rFonts w:ascii="Trebuchet MS" w:hAnsi="Trebuchet MS" w:cs="Tahoma"/>
                <w:b/>
                <w:sz w:val="13"/>
                <w:szCs w:val="13"/>
              </w:rPr>
            </w:pPr>
            <w:hyperlink w:anchor="_31_SL_Add-On" w:history="1">
              <w:r w:rsidR="00C36760" w:rsidRPr="00BD7CEA">
                <w:rPr>
                  <w:rStyle w:val="Hyperlink"/>
                  <w:rFonts w:ascii="Trebuchet MS" w:hAnsi="Trebuchet MS"/>
                  <w:b/>
                  <w:sz w:val="13"/>
                  <w:szCs w:val="13"/>
                </w:rPr>
                <w:t>31</w:t>
              </w:r>
            </w:hyperlink>
          </w:p>
        </w:tc>
        <w:tc>
          <w:tcPr>
            <w:tcW w:w="450" w:type="dxa"/>
            <w:tcBorders>
              <w:bottom w:val="single" w:sz="4" w:space="0" w:color="auto"/>
            </w:tcBorders>
            <w:shd w:val="clear" w:color="auto" w:fill="auto"/>
            <w:vAlign w:val="center"/>
          </w:tcPr>
          <w:p w:rsidR="001A63C6" w:rsidRPr="00BD7CEA" w:rsidRDefault="00D15BAA" w:rsidP="002253A3">
            <w:pPr>
              <w:jc w:val="center"/>
              <w:rPr>
                <w:rFonts w:cs="Tahoma"/>
                <w:sz w:val="14"/>
              </w:rPr>
            </w:pPr>
            <w:r w:rsidRPr="00BD7CEA">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BD7CEA"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BD7CEA" w:rsidRDefault="001A63C6" w:rsidP="002253A3">
            <w:pPr>
              <w:jc w:val="center"/>
              <w:rPr>
                <w:rFonts w:cs="Tahoma"/>
                <w:sz w:val="14"/>
              </w:rPr>
            </w:pPr>
            <w:r w:rsidRPr="00BD7CEA">
              <w:rPr>
                <w:rFonts w:cs="Tahoma"/>
                <w:sz w:val="14"/>
              </w:rPr>
              <w:t>200 crediti</w:t>
            </w:r>
          </w:p>
        </w:tc>
        <w:tc>
          <w:tcPr>
            <w:tcW w:w="450" w:type="dxa"/>
            <w:tcBorders>
              <w:left w:val="single" w:sz="18" w:space="0" w:color="auto"/>
              <w:bottom w:val="single" w:sz="4" w:space="0" w:color="auto"/>
            </w:tcBorders>
            <w:shd w:val="clear" w:color="auto" w:fill="auto"/>
            <w:vAlign w:val="center"/>
          </w:tcPr>
          <w:p w:rsidR="001A63C6" w:rsidRPr="00BD7CEA" w:rsidRDefault="001A63C6" w:rsidP="002253A3">
            <w:pPr>
              <w:jc w:val="center"/>
              <w:rPr>
                <w:rFonts w:cs="Tahoma"/>
                <w:sz w:val="14"/>
              </w:rPr>
            </w:pPr>
            <w:r w:rsidRPr="00BD7CEA">
              <w:rPr>
                <w:rFonts w:cs="Tahoma"/>
                <w:sz w:val="14"/>
              </w:rPr>
              <w:t>200</w:t>
            </w:r>
          </w:p>
        </w:tc>
        <w:tc>
          <w:tcPr>
            <w:tcW w:w="450" w:type="dxa"/>
            <w:tcBorders>
              <w:bottom w:val="single" w:sz="4" w:space="0" w:color="auto"/>
            </w:tcBorders>
            <w:shd w:val="clear" w:color="auto" w:fill="auto"/>
            <w:vAlign w:val="center"/>
          </w:tcPr>
          <w:p w:rsidR="001A63C6" w:rsidRPr="00BD7CEA"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2253A3">
            <w:pPr>
              <w:jc w:val="center"/>
              <w:rPr>
                <w:rFonts w:cs="Tahoma"/>
                <w:sz w:val="14"/>
              </w:rPr>
            </w:pPr>
            <w:r w:rsidRPr="00BD7CEA">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2253A3">
            <w:pPr>
              <w:jc w:val="center"/>
              <w:rPr>
                <w:rFonts w:cs="Tahoma"/>
                <w:sz w:val="14"/>
              </w:rPr>
            </w:pPr>
            <w:r w:rsidRPr="00BD7CEA">
              <w:rPr>
                <w:rFonts w:cs="Tahoma"/>
                <w:sz w:val="13"/>
              </w:rPr>
              <w:t>P</w:t>
            </w:r>
          </w:p>
        </w:tc>
        <w:tc>
          <w:tcPr>
            <w:tcW w:w="450" w:type="dxa"/>
            <w:tcBorders>
              <w:bottom w:val="single" w:sz="4" w:space="0" w:color="auto"/>
            </w:tcBorders>
            <w:shd w:val="clear" w:color="auto" w:fill="auto"/>
            <w:vAlign w:val="center"/>
          </w:tcPr>
          <w:p w:rsidR="001A63C6" w:rsidRPr="00BD7CEA" w:rsidRDefault="001A63C6" w:rsidP="002253A3">
            <w:pPr>
              <w:jc w:val="center"/>
              <w:rPr>
                <w:rFonts w:cs="Tahoma"/>
                <w:sz w:val="14"/>
              </w:rPr>
            </w:pPr>
          </w:p>
        </w:tc>
        <w:tc>
          <w:tcPr>
            <w:tcW w:w="540" w:type="dxa"/>
            <w:tcBorders>
              <w:bottom w:val="single" w:sz="4" w:space="0" w:color="auto"/>
            </w:tcBorders>
            <w:shd w:val="clear" w:color="auto" w:fill="auto"/>
            <w:vAlign w:val="center"/>
          </w:tcPr>
          <w:p w:rsidR="001A63C6" w:rsidRPr="00BD7CEA" w:rsidRDefault="001A63C6" w:rsidP="002253A3">
            <w:pPr>
              <w:jc w:val="center"/>
              <w:rPr>
                <w:rFonts w:cs="Tahoma"/>
                <w:sz w:val="14"/>
              </w:rPr>
            </w:pPr>
            <w:r w:rsidRPr="00BD7CEA">
              <w:rPr>
                <w:rFonts w:cs="Tahoma"/>
                <w:sz w:val="13"/>
              </w:rPr>
              <w:t>OL/OV</w:t>
            </w:r>
          </w:p>
        </w:tc>
      </w:tr>
      <w:tr w:rsidR="00EF228F" w:rsidRPr="00BD7CEA" w:rsidTr="006B1F3F">
        <w:trPr>
          <w:trHeight w:val="145"/>
        </w:trPr>
        <w:tc>
          <w:tcPr>
            <w:tcW w:w="2734" w:type="dxa"/>
            <w:gridSpan w:val="2"/>
            <w:tcBorders>
              <w:bottom w:val="single" w:sz="4" w:space="0" w:color="auto"/>
            </w:tcBorders>
            <w:shd w:val="clear" w:color="auto" w:fill="FABF8F"/>
          </w:tcPr>
          <w:p w:rsidR="001A63C6" w:rsidRPr="00BD7CEA" w:rsidRDefault="001A63C6" w:rsidP="001A63C6">
            <w:pPr>
              <w:pStyle w:val="ProductNames"/>
              <w:spacing w:before="0" w:after="0"/>
              <w:rPr>
                <w:rFonts w:ascii="Tahoma" w:hAnsi="Tahoma" w:cs="Tahoma"/>
                <w:sz w:val="14"/>
              </w:rPr>
            </w:pPr>
            <w:bookmarkStart w:id="154" w:name="_Toc353375702"/>
            <w:r w:rsidRPr="00BD7CEA">
              <w:rPr>
                <w:rFonts w:ascii="Tahoma" w:hAnsi="Tahoma" w:cs="Tahoma"/>
                <w:sz w:val="14"/>
              </w:rPr>
              <w:t>Bing Maps Public Website Usage Unlimited Transactions Monthly Sub</w:t>
            </w:r>
            <w:bookmarkEnd w:id="154"/>
          </w:p>
        </w:tc>
        <w:tc>
          <w:tcPr>
            <w:tcW w:w="450" w:type="dxa"/>
            <w:tcBorders>
              <w:bottom w:val="single" w:sz="4" w:space="0" w:color="auto"/>
            </w:tcBorders>
            <w:shd w:val="clear" w:color="auto" w:fill="FABF8F"/>
            <w:vAlign w:val="center"/>
          </w:tcPr>
          <w:p w:rsidR="001A63C6" w:rsidRPr="00BD7CEA" w:rsidRDefault="006E5080" w:rsidP="00132E08">
            <w:pPr>
              <w:jc w:val="center"/>
              <w:rPr>
                <w:rFonts w:ascii="Trebuchet MS" w:hAnsi="Trebuchet MS" w:cs="Tahoma"/>
                <w:b/>
                <w:sz w:val="13"/>
                <w:szCs w:val="13"/>
              </w:rPr>
            </w:pPr>
            <w:hyperlink w:anchor="_31_SL_Add-On" w:history="1">
              <w:r w:rsidR="00C36760" w:rsidRPr="00BD7CEA">
                <w:rPr>
                  <w:rStyle w:val="Hyperlink"/>
                  <w:rFonts w:ascii="Trebuchet MS" w:hAnsi="Trebuchet MS"/>
                  <w:b/>
                  <w:sz w:val="13"/>
                  <w:szCs w:val="13"/>
                </w:rPr>
                <w:t>31</w:t>
              </w:r>
            </w:hyperlink>
          </w:p>
        </w:tc>
        <w:tc>
          <w:tcPr>
            <w:tcW w:w="450" w:type="dxa"/>
            <w:tcBorders>
              <w:bottom w:val="single" w:sz="4" w:space="0" w:color="auto"/>
            </w:tcBorders>
            <w:shd w:val="clear" w:color="auto" w:fill="FABF8F"/>
            <w:vAlign w:val="center"/>
          </w:tcPr>
          <w:p w:rsidR="001A63C6" w:rsidRPr="00BD7CEA" w:rsidRDefault="00D15BAA" w:rsidP="002253A3">
            <w:pPr>
              <w:jc w:val="center"/>
              <w:rPr>
                <w:rFonts w:cs="Tahoma"/>
                <w:sz w:val="14"/>
              </w:rPr>
            </w:pPr>
            <w:r w:rsidRPr="00BD7CEA">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BD7CEA"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BD7CEA" w:rsidRDefault="001A63C6" w:rsidP="002253A3">
            <w:pPr>
              <w:jc w:val="center"/>
              <w:rPr>
                <w:rFonts w:cs="Tahoma"/>
                <w:sz w:val="14"/>
              </w:rPr>
            </w:pPr>
            <w:r w:rsidRPr="00BD7CEA">
              <w:rPr>
                <w:rFonts w:cs="Tahoma"/>
                <w:sz w:val="14"/>
              </w:rPr>
              <w:t>200 crediti</w:t>
            </w:r>
          </w:p>
        </w:tc>
        <w:tc>
          <w:tcPr>
            <w:tcW w:w="450" w:type="dxa"/>
            <w:tcBorders>
              <w:left w:val="single" w:sz="18" w:space="0" w:color="auto"/>
              <w:bottom w:val="single" w:sz="4" w:space="0" w:color="auto"/>
            </w:tcBorders>
            <w:shd w:val="clear" w:color="auto" w:fill="FABF8F"/>
            <w:vAlign w:val="center"/>
          </w:tcPr>
          <w:p w:rsidR="001A63C6" w:rsidRPr="00BD7CEA" w:rsidRDefault="001A63C6" w:rsidP="002253A3">
            <w:pPr>
              <w:jc w:val="center"/>
              <w:rPr>
                <w:rFonts w:cs="Tahoma"/>
                <w:sz w:val="14"/>
              </w:rPr>
            </w:pPr>
            <w:r w:rsidRPr="00BD7CEA">
              <w:rPr>
                <w:rFonts w:cs="Tahoma"/>
                <w:sz w:val="14"/>
              </w:rPr>
              <w:t>200</w:t>
            </w:r>
          </w:p>
        </w:tc>
        <w:tc>
          <w:tcPr>
            <w:tcW w:w="450" w:type="dxa"/>
            <w:tcBorders>
              <w:bottom w:val="single" w:sz="4" w:space="0" w:color="auto"/>
            </w:tcBorders>
            <w:shd w:val="clear" w:color="auto" w:fill="FABF8F"/>
            <w:vAlign w:val="center"/>
          </w:tcPr>
          <w:p w:rsidR="001A63C6" w:rsidRPr="00BD7CEA"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2253A3">
            <w:pPr>
              <w:jc w:val="center"/>
              <w:rPr>
                <w:rFonts w:cs="Tahoma"/>
                <w:b/>
                <w:sz w:val="14"/>
              </w:rPr>
            </w:pPr>
            <w:r w:rsidRPr="00BD7CEA">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2253A3">
            <w:pPr>
              <w:jc w:val="center"/>
              <w:rPr>
                <w:rFonts w:cs="Tahoma"/>
                <w:sz w:val="14"/>
              </w:rPr>
            </w:pPr>
            <w:r w:rsidRPr="00BD7CEA">
              <w:rPr>
                <w:rFonts w:cs="Tahoma"/>
                <w:sz w:val="13"/>
              </w:rPr>
              <w:t>P</w:t>
            </w:r>
          </w:p>
        </w:tc>
        <w:tc>
          <w:tcPr>
            <w:tcW w:w="450" w:type="dxa"/>
            <w:tcBorders>
              <w:bottom w:val="single" w:sz="4" w:space="0" w:color="auto"/>
            </w:tcBorders>
            <w:shd w:val="clear" w:color="auto" w:fill="FABF8F"/>
            <w:vAlign w:val="center"/>
          </w:tcPr>
          <w:p w:rsidR="001A63C6" w:rsidRPr="00BD7CEA" w:rsidRDefault="001A63C6" w:rsidP="002253A3">
            <w:pPr>
              <w:jc w:val="center"/>
              <w:rPr>
                <w:rFonts w:cs="Tahoma"/>
                <w:sz w:val="14"/>
              </w:rPr>
            </w:pPr>
          </w:p>
        </w:tc>
        <w:tc>
          <w:tcPr>
            <w:tcW w:w="540" w:type="dxa"/>
            <w:tcBorders>
              <w:bottom w:val="single" w:sz="4" w:space="0" w:color="auto"/>
            </w:tcBorders>
            <w:shd w:val="clear" w:color="auto" w:fill="FABF8F"/>
            <w:vAlign w:val="center"/>
          </w:tcPr>
          <w:p w:rsidR="001A63C6" w:rsidRPr="00BD7CEA" w:rsidRDefault="001A63C6" w:rsidP="002253A3">
            <w:pPr>
              <w:jc w:val="center"/>
              <w:rPr>
                <w:rFonts w:cs="Tahoma"/>
                <w:sz w:val="14"/>
              </w:rPr>
            </w:pPr>
            <w:r w:rsidRPr="00BD7CEA">
              <w:rPr>
                <w:rFonts w:cs="Tahoma"/>
                <w:sz w:val="13"/>
              </w:rPr>
              <w:t>OL/OV</w:t>
            </w:r>
          </w:p>
        </w:tc>
      </w:tr>
      <w:tr w:rsidR="001A63C6" w:rsidRPr="00BD7CEA" w:rsidTr="006B1F3F">
        <w:trPr>
          <w:trHeight w:val="145"/>
        </w:trPr>
        <w:tc>
          <w:tcPr>
            <w:tcW w:w="2734" w:type="dxa"/>
            <w:gridSpan w:val="2"/>
            <w:tcBorders>
              <w:bottom w:val="single" w:sz="4" w:space="0" w:color="auto"/>
            </w:tcBorders>
            <w:shd w:val="clear" w:color="auto" w:fill="auto"/>
          </w:tcPr>
          <w:p w:rsidR="001A63C6" w:rsidRPr="00BD7CEA" w:rsidRDefault="001A63C6" w:rsidP="001A63C6">
            <w:pPr>
              <w:pStyle w:val="ProductNames"/>
              <w:spacing w:before="0" w:after="0"/>
              <w:rPr>
                <w:rFonts w:ascii="Tahoma" w:hAnsi="Tahoma" w:cs="Tahoma"/>
                <w:sz w:val="14"/>
              </w:rPr>
            </w:pPr>
            <w:bookmarkStart w:id="155" w:name="_Toc353375703"/>
            <w:r w:rsidRPr="00BD7CEA">
              <w:rPr>
                <w:rFonts w:ascii="Tahoma" w:hAnsi="Tahoma" w:cs="Tahoma"/>
                <w:sz w:val="14"/>
              </w:rPr>
              <w:t>Bing Maps Internal Website Usage 100K Transactions Monthly Sub</w:t>
            </w:r>
            <w:bookmarkEnd w:id="155"/>
          </w:p>
        </w:tc>
        <w:tc>
          <w:tcPr>
            <w:tcW w:w="450" w:type="dxa"/>
            <w:tcBorders>
              <w:bottom w:val="single" w:sz="4" w:space="0" w:color="auto"/>
            </w:tcBorders>
            <w:shd w:val="clear" w:color="auto" w:fill="auto"/>
            <w:vAlign w:val="center"/>
          </w:tcPr>
          <w:p w:rsidR="001A63C6" w:rsidRPr="00BD7CEA" w:rsidRDefault="006E5080" w:rsidP="00132E08">
            <w:pPr>
              <w:jc w:val="center"/>
              <w:rPr>
                <w:rFonts w:ascii="Trebuchet MS" w:hAnsi="Trebuchet MS" w:cs="Tahoma"/>
                <w:b/>
                <w:sz w:val="13"/>
                <w:szCs w:val="13"/>
              </w:rPr>
            </w:pPr>
            <w:hyperlink w:anchor="_31_SL_Add-On" w:history="1">
              <w:r w:rsidR="00C36760" w:rsidRPr="00BD7CEA">
                <w:rPr>
                  <w:rStyle w:val="Hyperlink"/>
                  <w:rFonts w:ascii="Trebuchet MS" w:hAnsi="Trebuchet MS"/>
                  <w:b/>
                  <w:sz w:val="13"/>
                  <w:szCs w:val="13"/>
                </w:rPr>
                <w:t>31</w:t>
              </w:r>
            </w:hyperlink>
          </w:p>
        </w:tc>
        <w:tc>
          <w:tcPr>
            <w:tcW w:w="450" w:type="dxa"/>
            <w:tcBorders>
              <w:bottom w:val="single" w:sz="4" w:space="0" w:color="auto"/>
            </w:tcBorders>
            <w:shd w:val="clear" w:color="auto" w:fill="auto"/>
            <w:vAlign w:val="center"/>
          </w:tcPr>
          <w:p w:rsidR="001A63C6" w:rsidRPr="00BD7CEA" w:rsidRDefault="00D15BAA" w:rsidP="002253A3">
            <w:pPr>
              <w:jc w:val="center"/>
              <w:rPr>
                <w:rFonts w:cs="Tahoma"/>
                <w:sz w:val="14"/>
              </w:rPr>
            </w:pPr>
            <w:r w:rsidRPr="00BD7CEA">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BD7CEA"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BD7CEA" w:rsidRDefault="001A63C6" w:rsidP="002253A3">
            <w:pPr>
              <w:jc w:val="center"/>
              <w:rPr>
                <w:rFonts w:cs="Tahoma"/>
                <w:sz w:val="14"/>
              </w:rPr>
            </w:pPr>
            <w:r w:rsidRPr="00BD7CEA">
              <w:rPr>
                <w:rFonts w:cs="Tahoma"/>
                <w:sz w:val="14"/>
              </w:rPr>
              <w:t>125 crediti</w:t>
            </w:r>
          </w:p>
        </w:tc>
        <w:tc>
          <w:tcPr>
            <w:tcW w:w="450" w:type="dxa"/>
            <w:tcBorders>
              <w:left w:val="single" w:sz="18" w:space="0" w:color="auto"/>
              <w:bottom w:val="single" w:sz="4" w:space="0" w:color="auto"/>
            </w:tcBorders>
            <w:shd w:val="clear" w:color="auto" w:fill="auto"/>
            <w:vAlign w:val="center"/>
          </w:tcPr>
          <w:p w:rsidR="001A63C6" w:rsidRPr="00BD7CEA" w:rsidRDefault="001A63C6" w:rsidP="002253A3">
            <w:pPr>
              <w:jc w:val="center"/>
              <w:rPr>
                <w:rFonts w:cs="Tahoma"/>
                <w:sz w:val="14"/>
              </w:rPr>
            </w:pPr>
            <w:r w:rsidRPr="00BD7CEA">
              <w:rPr>
                <w:rFonts w:cs="Tahoma"/>
                <w:sz w:val="14"/>
              </w:rPr>
              <w:t>125</w:t>
            </w:r>
          </w:p>
        </w:tc>
        <w:tc>
          <w:tcPr>
            <w:tcW w:w="450" w:type="dxa"/>
            <w:tcBorders>
              <w:bottom w:val="single" w:sz="4" w:space="0" w:color="auto"/>
            </w:tcBorders>
            <w:shd w:val="clear" w:color="auto" w:fill="auto"/>
            <w:vAlign w:val="center"/>
          </w:tcPr>
          <w:p w:rsidR="001A63C6" w:rsidRPr="00BD7CEA"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2253A3">
            <w:pPr>
              <w:jc w:val="center"/>
              <w:rPr>
                <w:rFonts w:cs="Tahoma"/>
                <w:sz w:val="14"/>
              </w:rPr>
            </w:pPr>
            <w:r w:rsidRPr="00BD7CEA">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2253A3">
            <w:pPr>
              <w:jc w:val="center"/>
              <w:rPr>
                <w:rFonts w:cs="Tahoma"/>
                <w:sz w:val="14"/>
              </w:rPr>
            </w:pPr>
            <w:r w:rsidRPr="00BD7CEA">
              <w:rPr>
                <w:rFonts w:cs="Tahoma"/>
                <w:sz w:val="13"/>
              </w:rPr>
              <w:t>P</w:t>
            </w:r>
          </w:p>
        </w:tc>
        <w:tc>
          <w:tcPr>
            <w:tcW w:w="450" w:type="dxa"/>
            <w:tcBorders>
              <w:bottom w:val="single" w:sz="4" w:space="0" w:color="auto"/>
            </w:tcBorders>
            <w:shd w:val="clear" w:color="auto" w:fill="auto"/>
            <w:vAlign w:val="center"/>
          </w:tcPr>
          <w:p w:rsidR="001A63C6" w:rsidRPr="00BD7CEA" w:rsidRDefault="001A63C6" w:rsidP="002253A3">
            <w:pPr>
              <w:jc w:val="center"/>
              <w:rPr>
                <w:rFonts w:cs="Tahoma"/>
                <w:sz w:val="14"/>
              </w:rPr>
            </w:pPr>
          </w:p>
        </w:tc>
        <w:tc>
          <w:tcPr>
            <w:tcW w:w="540" w:type="dxa"/>
            <w:tcBorders>
              <w:bottom w:val="single" w:sz="4" w:space="0" w:color="auto"/>
            </w:tcBorders>
            <w:shd w:val="clear" w:color="auto" w:fill="auto"/>
            <w:vAlign w:val="center"/>
          </w:tcPr>
          <w:p w:rsidR="001A63C6" w:rsidRPr="00BD7CEA" w:rsidRDefault="001A63C6" w:rsidP="002253A3">
            <w:pPr>
              <w:jc w:val="center"/>
              <w:rPr>
                <w:rFonts w:cs="Tahoma"/>
                <w:sz w:val="14"/>
              </w:rPr>
            </w:pPr>
            <w:r w:rsidRPr="00BD7CEA">
              <w:rPr>
                <w:rFonts w:cs="Tahoma"/>
                <w:sz w:val="13"/>
              </w:rPr>
              <w:t>OL/OV</w:t>
            </w:r>
          </w:p>
        </w:tc>
      </w:tr>
      <w:tr w:rsidR="001A63C6" w:rsidRPr="00BD7CEA" w:rsidTr="006B1F3F">
        <w:trPr>
          <w:trHeight w:val="145"/>
        </w:trPr>
        <w:tc>
          <w:tcPr>
            <w:tcW w:w="2734" w:type="dxa"/>
            <w:gridSpan w:val="2"/>
            <w:tcBorders>
              <w:bottom w:val="single" w:sz="4" w:space="0" w:color="auto"/>
            </w:tcBorders>
            <w:shd w:val="clear" w:color="auto" w:fill="FABF8F"/>
          </w:tcPr>
          <w:p w:rsidR="001A63C6" w:rsidRPr="00BD7CEA" w:rsidRDefault="001A63C6" w:rsidP="001A63C6">
            <w:pPr>
              <w:pStyle w:val="ProductNames"/>
              <w:spacing w:before="0" w:after="0"/>
              <w:rPr>
                <w:rFonts w:ascii="Tahoma" w:hAnsi="Tahoma" w:cs="Tahoma"/>
                <w:sz w:val="14"/>
              </w:rPr>
            </w:pPr>
            <w:bookmarkStart w:id="156" w:name="_Toc353375704"/>
            <w:r w:rsidRPr="00BD7CEA">
              <w:rPr>
                <w:rFonts w:ascii="Tahoma" w:hAnsi="Tahoma" w:cs="Tahoma"/>
                <w:sz w:val="14"/>
              </w:rPr>
              <w:t>Bing Maps Internal Website Usage 250K Transactions Monthly Sub</w:t>
            </w:r>
            <w:bookmarkEnd w:id="156"/>
          </w:p>
        </w:tc>
        <w:tc>
          <w:tcPr>
            <w:tcW w:w="450" w:type="dxa"/>
            <w:tcBorders>
              <w:bottom w:val="single" w:sz="4" w:space="0" w:color="auto"/>
            </w:tcBorders>
            <w:shd w:val="clear" w:color="auto" w:fill="FABF8F"/>
            <w:vAlign w:val="center"/>
          </w:tcPr>
          <w:p w:rsidR="001A63C6" w:rsidRPr="00BD7CEA" w:rsidRDefault="006E5080" w:rsidP="00132E08">
            <w:pPr>
              <w:jc w:val="center"/>
              <w:rPr>
                <w:rFonts w:ascii="Trebuchet MS" w:hAnsi="Trebuchet MS" w:cs="Tahoma"/>
                <w:b/>
                <w:sz w:val="13"/>
                <w:szCs w:val="13"/>
              </w:rPr>
            </w:pPr>
            <w:hyperlink w:anchor="_31_SL_Add-On" w:history="1">
              <w:r w:rsidR="00C36760" w:rsidRPr="00BD7CEA">
                <w:rPr>
                  <w:rStyle w:val="Hyperlink"/>
                  <w:rFonts w:ascii="Trebuchet MS" w:hAnsi="Trebuchet MS"/>
                  <w:b/>
                  <w:sz w:val="13"/>
                  <w:szCs w:val="13"/>
                </w:rPr>
                <w:t>31</w:t>
              </w:r>
            </w:hyperlink>
          </w:p>
        </w:tc>
        <w:tc>
          <w:tcPr>
            <w:tcW w:w="450" w:type="dxa"/>
            <w:tcBorders>
              <w:bottom w:val="single" w:sz="4" w:space="0" w:color="auto"/>
            </w:tcBorders>
            <w:shd w:val="clear" w:color="auto" w:fill="FABF8F"/>
            <w:vAlign w:val="center"/>
          </w:tcPr>
          <w:p w:rsidR="001A63C6" w:rsidRPr="00BD7CEA" w:rsidRDefault="00D15BAA" w:rsidP="002253A3">
            <w:pPr>
              <w:jc w:val="center"/>
              <w:rPr>
                <w:rFonts w:cs="Tahoma"/>
                <w:sz w:val="14"/>
              </w:rPr>
            </w:pPr>
            <w:r w:rsidRPr="00BD7CEA">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BD7CEA"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BD7CEA" w:rsidRDefault="001A63C6" w:rsidP="002253A3">
            <w:pPr>
              <w:jc w:val="center"/>
              <w:rPr>
                <w:rFonts w:cs="Tahoma"/>
                <w:sz w:val="14"/>
              </w:rPr>
            </w:pPr>
            <w:r w:rsidRPr="00BD7CEA">
              <w:rPr>
                <w:rFonts w:cs="Tahoma"/>
                <w:sz w:val="14"/>
              </w:rPr>
              <w:t>200 crediti</w:t>
            </w:r>
          </w:p>
        </w:tc>
        <w:tc>
          <w:tcPr>
            <w:tcW w:w="450" w:type="dxa"/>
            <w:tcBorders>
              <w:left w:val="single" w:sz="18" w:space="0" w:color="auto"/>
              <w:bottom w:val="single" w:sz="4" w:space="0" w:color="auto"/>
            </w:tcBorders>
            <w:shd w:val="clear" w:color="auto" w:fill="FABF8F"/>
            <w:vAlign w:val="center"/>
          </w:tcPr>
          <w:p w:rsidR="001A63C6" w:rsidRPr="00BD7CEA" w:rsidRDefault="001A63C6" w:rsidP="002253A3">
            <w:pPr>
              <w:jc w:val="center"/>
              <w:rPr>
                <w:rFonts w:cs="Tahoma"/>
                <w:sz w:val="14"/>
              </w:rPr>
            </w:pPr>
            <w:r w:rsidRPr="00BD7CEA">
              <w:rPr>
                <w:rFonts w:cs="Tahoma"/>
                <w:sz w:val="14"/>
              </w:rPr>
              <w:t>200</w:t>
            </w:r>
          </w:p>
        </w:tc>
        <w:tc>
          <w:tcPr>
            <w:tcW w:w="450" w:type="dxa"/>
            <w:tcBorders>
              <w:bottom w:val="single" w:sz="4" w:space="0" w:color="auto"/>
            </w:tcBorders>
            <w:shd w:val="clear" w:color="auto" w:fill="FABF8F"/>
            <w:vAlign w:val="center"/>
          </w:tcPr>
          <w:p w:rsidR="001A63C6" w:rsidRPr="00BD7CEA"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2253A3">
            <w:pPr>
              <w:jc w:val="center"/>
              <w:rPr>
                <w:rFonts w:cs="Tahoma"/>
                <w:sz w:val="14"/>
              </w:rPr>
            </w:pPr>
            <w:r w:rsidRPr="00BD7CEA">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2253A3">
            <w:pPr>
              <w:jc w:val="center"/>
              <w:rPr>
                <w:rFonts w:cs="Tahoma"/>
                <w:sz w:val="14"/>
              </w:rPr>
            </w:pPr>
            <w:r w:rsidRPr="00BD7CEA">
              <w:rPr>
                <w:rFonts w:cs="Tahoma"/>
                <w:sz w:val="13"/>
              </w:rPr>
              <w:t>P</w:t>
            </w:r>
          </w:p>
        </w:tc>
        <w:tc>
          <w:tcPr>
            <w:tcW w:w="450" w:type="dxa"/>
            <w:tcBorders>
              <w:bottom w:val="single" w:sz="4" w:space="0" w:color="auto"/>
            </w:tcBorders>
            <w:shd w:val="clear" w:color="auto" w:fill="FABF8F"/>
            <w:vAlign w:val="center"/>
          </w:tcPr>
          <w:p w:rsidR="001A63C6" w:rsidRPr="00BD7CEA" w:rsidRDefault="001A63C6" w:rsidP="002253A3">
            <w:pPr>
              <w:jc w:val="center"/>
              <w:rPr>
                <w:rFonts w:cs="Tahoma"/>
                <w:sz w:val="14"/>
              </w:rPr>
            </w:pPr>
          </w:p>
        </w:tc>
        <w:tc>
          <w:tcPr>
            <w:tcW w:w="540" w:type="dxa"/>
            <w:tcBorders>
              <w:bottom w:val="single" w:sz="4" w:space="0" w:color="auto"/>
            </w:tcBorders>
            <w:shd w:val="clear" w:color="auto" w:fill="FABF8F"/>
            <w:vAlign w:val="center"/>
          </w:tcPr>
          <w:p w:rsidR="001A63C6" w:rsidRPr="00BD7CEA" w:rsidRDefault="001A63C6" w:rsidP="002253A3">
            <w:pPr>
              <w:jc w:val="center"/>
              <w:rPr>
                <w:rFonts w:cs="Tahoma"/>
                <w:sz w:val="14"/>
              </w:rPr>
            </w:pPr>
            <w:r w:rsidRPr="00BD7CEA">
              <w:rPr>
                <w:rFonts w:cs="Tahoma"/>
                <w:sz w:val="13"/>
              </w:rPr>
              <w:t>OL/OV</w:t>
            </w:r>
          </w:p>
        </w:tc>
      </w:tr>
      <w:tr w:rsidR="001A63C6" w:rsidRPr="00BD7CEA" w:rsidTr="007E466C">
        <w:trPr>
          <w:trHeight w:val="145"/>
        </w:trPr>
        <w:tc>
          <w:tcPr>
            <w:tcW w:w="2734" w:type="dxa"/>
            <w:gridSpan w:val="2"/>
            <w:tcBorders>
              <w:bottom w:val="single" w:sz="4" w:space="0" w:color="auto"/>
            </w:tcBorders>
            <w:shd w:val="clear" w:color="auto" w:fill="auto"/>
          </w:tcPr>
          <w:p w:rsidR="001A63C6" w:rsidRPr="00BD7CEA" w:rsidRDefault="001A63C6" w:rsidP="00E215F4">
            <w:pPr>
              <w:pStyle w:val="ProductNames"/>
              <w:spacing w:beforeLines="20" w:before="48" w:afterLines="20" w:after="48"/>
              <w:rPr>
                <w:rFonts w:ascii="Tahoma" w:hAnsi="Tahoma" w:cs="Tahoma"/>
                <w:sz w:val="14"/>
              </w:rPr>
            </w:pPr>
            <w:bookmarkStart w:id="157" w:name="_Toc353375705"/>
            <w:r w:rsidRPr="00BD7CEA">
              <w:rPr>
                <w:rFonts w:ascii="Tahoma" w:hAnsi="Tahoma" w:cs="Tahoma"/>
                <w:sz w:val="14"/>
              </w:rPr>
              <w:t>Bing Maps Internal Website Usage 420K Transactions Monthly Sub</w:t>
            </w:r>
            <w:bookmarkEnd w:id="157"/>
          </w:p>
        </w:tc>
        <w:tc>
          <w:tcPr>
            <w:tcW w:w="450" w:type="dxa"/>
            <w:tcBorders>
              <w:bottom w:val="single" w:sz="4" w:space="0" w:color="auto"/>
            </w:tcBorders>
            <w:shd w:val="clear" w:color="auto" w:fill="auto"/>
            <w:vAlign w:val="center"/>
          </w:tcPr>
          <w:p w:rsidR="001A63C6" w:rsidRPr="00BD7CEA" w:rsidRDefault="006E5080" w:rsidP="00132E08">
            <w:pPr>
              <w:jc w:val="center"/>
              <w:rPr>
                <w:rFonts w:ascii="Trebuchet MS" w:hAnsi="Trebuchet MS"/>
                <w:b/>
                <w:sz w:val="13"/>
                <w:szCs w:val="13"/>
              </w:rPr>
            </w:pPr>
            <w:hyperlink w:anchor="_31_SL_Add-On" w:history="1">
              <w:r w:rsidR="00C36760" w:rsidRPr="00BD7CEA">
                <w:rPr>
                  <w:rStyle w:val="Hyperlink"/>
                  <w:rFonts w:ascii="Trebuchet MS" w:hAnsi="Trebuchet MS"/>
                  <w:b/>
                  <w:sz w:val="13"/>
                  <w:szCs w:val="13"/>
                </w:rPr>
                <w:t>31</w:t>
              </w:r>
            </w:hyperlink>
          </w:p>
        </w:tc>
        <w:tc>
          <w:tcPr>
            <w:tcW w:w="450" w:type="dxa"/>
            <w:tcBorders>
              <w:bottom w:val="single" w:sz="4" w:space="0" w:color="auto"/>
            </w:tcBorders>
            <w:shd w:val="clear" w:color="auto" w:fill="auto"/>
            <w:vAlign w:val="center"/>
          </w:tcPr>
          <w:p w:rsidR="001A63C6" w:rsidRPr="00BD7CEA" w:rsidRDefault="00D15BAA" w:rsidP="002253A3">
            <w:pPr>
              <w:jc w:val="center"/>
              <w:rPr>
                <w:rFonts w:cs="Tahoma"/>
                <w:sz w:val="14"/>
              </w:rPr>
            </w:pPr>
            <w:r w:rsidRPr="00BD7CEA">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BD7CEA"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BD7CEA" w:rsidRDefault="001A63C6" w:rsidP="002253A3">
            <w:pPr>
              <w:jc w:val="center"/>
              <w:rPr>
                <w:rFonts w:cs="Tahoma"/>
                <w:sz w:val="14"/>
              </w:rPr>
            </w:pPr>
            <w:r w:rsidRPr="00BD7CEA">
              <w:rPr>
                <w:rFonts w:cs="Tahoma"/>
                <w:sz w:val="14"/>
              </w:rPr>
              <w:t>200 crediti</w:t>
            </w:r>
          </w:p>
        </w:tc>
        <w:tc>
          <w:tcPr>
            <w:tcW w:w="450" w:type="dxa"/>
            <w:tcBorders>
              <w:left w:val="single" w:sz="18" w:space="0" w:color="auto"/>
              <w:bottom w:val="single" w:sz="4" w:space="0" w:color="auto"/>
            </w:tcBorders>
            <w:shd w:val="clear" w:color="auto" w:fill="auto"/>
            <w:vAlign w:val="center"/>
          </w:tcPr>
          <w:p w:rsidR="001A63C6" w:rsidRPr="00BD7CEA" w:rsidRDefault="001A63C6" w:rsidP="002253A3">
            <w:pPr>
              <w:jc w:val="center"/>
              <w:rPr>
                <w:rFonts w:cs="Tahoma"/>
                <w:sz w:val="14"/>
              </w:rPr>
            </w:pPr>
            <w:r w:rsidRPr="00BD7CEA">
              <w:rPr>
                <w:rFonts w:cs="Tahoma"/>
                <w:sz w:val="14"/>
              </w:rPr>
              <w:t>200</w:t>
            </w:r>
          </w:p>
        </w:tc>
        <w:tc>
          <w:tcPr>
            <w:tcW w:w="450" w:type="dxa"/>
            <w:tcBorders>
              <w:bottom w:val="single" w:sz="4" w:space="0" w:color="auto"/>
            </w:tcBorders>
            <w:shd w:val="clear" w:color="auto" w:fill="auto"/>
            <w:vAlign w:val="center"/>
          </w:tcPr>
          <w:p w:rsidR="001A63C6" w:rsidRPr="00BD7CEA"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2253A3">
            <w:pPr>
              <w:jc w:val="center"/>
              <w:rPr>
                <w:rFonts w:cs="Tahoma"/>
                <w:sz w:val="14"/>
              </w:rPr>
            </w:pPr>
            <w:r w:rsidRPr="00BD7CEA">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2253A3">
            <w:pPr>
              <w:jc w:val="center"/>
              <w:rPr>
                <w:rFonts w:cs="Tahoma"/>
                <w:sz w:val="14"/>
              </w:rPr>
            </w:pPr>
            <w:r w:rsidRPr="00BD7CEA">
              <w:rPr>
                <w:rFonts w:cs="Tahoma"/>
                <w:sz w:val="13"/>
              </w:rPr>
              <w:t>P</w:t>
            </w:r>
          </w:p>
        </w:tc>
        <w:tc>
          <w:tcPr>
            <w:tcW w:w="450" w:type="dxa"/>
            <w:tcBorders>
              <w:bottom w:val="single" w:sz="4" w:space="0" w:color="auto"/>
            </w:tcBorders>
            <w:shd w:val="clear" w:color="auto" w:fill="auto"/>
            <w:vAlign w:val="center"/>
          </w:tcPr>
          <w:p w:rsidR="001A63C6" w:rsidRPr="00BD7CEA"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BD7CEA" w:rsidRDefault="001A63C6" w:rsidP="002253A3">
            <w:pPr>
              <w:jc w:val="center"/>
              <w:rPr>
                <w:rFonts w:cs="Tahoma"/>
                <w:sz w:val="14"/>
              </w:rPr>
            </w:pPr>
            <w:r w:rsidRPr="00BD7CEA">
              <w:rPr>
                <w:rFonts w:cs="Tahoma"/>
                <w:sz w:val="13"/>
              </w:rPr>
              <w:t>OL/OV</w:t>
            </w:r>
          </w:p>
        </w:tc>
      </w:tr>
      <w:tr w:rsidR="001A63C6" w:rsidRPr="00BD7CEA" w:rsidTr="00C36760">
        <w:trPr>
          <w:cantSplit/>
          <w:trHeight w:val="145"/>
        </w:trPr>
        <w:tc>
          <w:tcPr>
            <w:tcW w:w="2734" w:type="dxa"/>
            <w:gridSpan w:val="2"/>
            <w:tcBorders>
              <w:bottom w:val="single" w:sz="4" w:space="0" w:color="auto"/>
            </w:tcBorders>
            <w:shd w:val="clear" w:color="auto" w:fill="FABF8F"/>
          </w:tcPr>
          <w:p w:rsidR="001A63C6" w:rsidRPr="00BD7CEA" w:rsidRDefault="001A63C6" w:rsidP="00E215F4">
            <w:pPr>
              <w:pStyle w:val="ProductNames"/>
              <w:spacing w:beforeLines="20" w:before="48" w:afterLines="20" w:after="48"/>
              <w:rPr>
                <w:rFonts w:ascii="Tahoma" w:hAnsi="Tahoma" w:cs="Tahoma"/>
                <w:sz w:val="14"/>
              </w:rPr>
            </w:pPr>
            <w:bookmarkStart w:id="158" w:name="_Toc353375706"/>
            <w:r w:rsidRPr="00BD7CEA">
              <w:rPr>
                <w:rFonts w:ascii="Tahoma" w:hAnsi="Tahoma" w:cs="Tahoma"/>
                <w:sz w:val="14"/>
              </w:rPr>
              <w:lastRenderedPageBreak/>
              <w:t>Bing Maps Internal Website Usage 1.25m Transactions Monthly Sub</w:t>
            </w:r>
            <w:bookmarkEnd w:id="158"/>
          </w:p>
        </w:tc>
        <w:tc>
          <w:tcPr>
            <w:tcW w:w="450" w:type="dxa"/>
            <w:tcBorders>
              <w:bottom w:val="single" w:sz="4" w:space="0" w:color="auto"/>
            </w:tcBorders>
            <w:shd w:val="clear" w:color="auto" w:fill="FABF8F"/>
            <w:vAlign w:val="center"/>
          </w:tcPr>
          <w:p w:rsidR="001A63C6" w:rsidRPr="00BD7CEA" w:rsidRDefault="006E5080" w:rsidP="00132E08">
            <w:pPr>
              <w:jc w:val="center"/>
              <w:rPr>
                <w:rFonts w:ascii="Trebuchet MS" w:hAnsi="Trebuchet MS"/>
                <w:b/>
                <w:sz w:val="13"/>
                <w:szCs w:val="13"/>
              </w:rPr>
            </w:pPr>
            <w:hyperlink w:anchor="_31_SL_Add-On" w:history="1">
              <w:r w:rsidR="00C36760" w:rsidRPr="00BD7CEA">
                <w:rPr>
                  <w:rStyle w:val="Hyperlink"/>
                  <w:rFonts w:ascii="Trebuchet MS" w:hAnsi="Trebuchet MS"/>
                  <w:b/>
                  <w:sz w:val="13"/>
                  <w:szCs w:val="13"/>
                </w:rPr>
                <w:t>31</w:t>
              </w:r>
            </w:hyperlink>
          </w:p>
        </w:tc>
        <w:tc>
          <w:tcPr>
            <w:tcW w:w="450" w:type="dxa"/>
            <w:tcBorders>
              <w:bottom w:val="single" w:sz="4" w:space="0" w:color="auto"/>
            </w:tcBorders>
            <w:shd w:val="clear" w:color="auto" w:fill="FABF8F"/>
            <w:vAlign w:val="center"/>
          </w:tcPr>
          <w:p w:rsidR="001A63C6" w:rsidRPr="00BD7CEA" w:rsidRDefault="00D15BAA" w:rsidP="002253A3">
            <w:pPr>
              <w:jc w:val="center"/>
              <w:rPr>
                <w:rFonts w:cs="Tahoma"/>
                <w:sz w:val="14"/>
              </w:rPr>
            </w:pPr>
            <w:r w:rsidRPr="00BD7CEA">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BD7CEA"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BD7CEA" w:rsidRDefault="001A63C6" w:rsidP="002253A3">
            <w:pPr>
              <w:jc w:val="center"/>
              <w:rPr>
                <w:rFonts w:cs="Tahoma"/>
                <w:sz w:val="14"/>
              </w:rPr>
            </w:pPr>
            <w:r w:rsidRPr="00BD7CEA">
              <w:rPr>
                <w:rFonts w:cs="Tahoma"/>
                <w:sz w:val="14"/>
              </w:rPr>
              <w:t>200 crediti</w:t>
            </w:r>
          </w:p>
        </w:tc>
        <w:tc>
          <w:tcPr>
            <w:tcW w:w="450" w:type="dxa"/>
            <w:tcBorders>
              <w:left w:val="single" w:sz="18" w:space="0" w:color="auto"/>
              <w:bottom w:val="single" w:sz="4" w:space="0" w:color="auto"/>
            </w:tcBorders>
            <w:shd w:val="clear" w:color="auto" w:fill="FABF8F"/>
            <w:vAlign w:val="center"/>
          </w:tcPr>
          <w:p w:rsidR="001A63C6" w:rsidRPr="00BD7CEA" w:rsidRDefault="001A63C6" w:rsidP="002253A3">
            <w:pPr>
              <w:jc w:val="center"/>
              <w:rPr>
                <w:rFonts w:cs="Tahoma"/>
                <w:sz w:val="14"/>
              </w:rPr>
            </w:pPr>
            <w:r w:rsidRPr="00BD7CEA">
              <w:rPr>
                <w:rFonts w:cs="Tahoma"/>
                <w:sz w:val="14"/>
              </w:rPr>
              <w:t>200</w:t>
            </w:r>
          </w:p>
        </w:tc>
        <w:tc>
          <w:tcPr>
            <w:tcW w:w="450" w:type="dxa"/>
            <w:tcBorders>
              <w:bottom w:val="single" w:sz="4" w:space="0" w:color="auto"/>
            </w:tcBorders>
            <w:shd w:val="clear" w:color="auto" w:fill="FABF8F"/>
            <w:vAlign w:val="center"/>
          </w:tcPr>
          <w:p w:rsidR="001A63C6" w:rsidRPr="00BD7CEA"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2253A3">
            <w:pPr>
              <w:jc w:val="center"/>
              <w:rPr>
                <w:rFonts w:cs="Tahoma"/>
                <w:sz w:val="14"/>
              </w:rPr>
            </w:pPr>
            <w:r w:rsidRPr="00BD7CEA">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2253A3">
            <w:pPr>
              <w:jc w:val="center"/>
              <w:rPr>
                <w:rFonts w:cs="Tahoma"/>
                <w:sz w:val="14"/>
              </w:rPr>
            </w:pPr>
            <w:r w:rsidRPr="00BD7CEA">
              <w:rPr>
                <w:rFonts w:cs="Tahoma"/>
                <w:sz w:val="13"/>
              </w:rPr>
              <w:t>P</w:t>
            </w:r>
          </w:p>
        </w:tc>
        <w:tc>
          <w:tcPr>
            <w:tcW w:w="450" w:type="dxa"/>
            <w:tcBorders>
              <w:bottom w:val="single" w:sz="4" w:space="0" w:color="auto"/>
            </w:tcBorders>
            <w:shd w:val="clear" w:color="auto" w:fill="FABF8F"/>
            <w:vAlign w:val="center"/>
          </w:tcPr>
          <w:p w:rsidR="001A63C6" w:rsidRPr="00BD7CEA" w:rsidRDefault="001A63C6" w:rsidP="002253A3">
            <w:pPr>
              <w:jc w:val="center"/>
              <w:rPr>
                <w:rFonts w:cs="Tahoma"/>
                <w:sz w:val="13"/>
              </w:rPr>
            </w:pPr>
          </w:p>
        </w:tc>
        <w:tc>
          <w:tcPr>
            <w:tcW w:w="540" w:type="dxa"/>
            <w:tcBorders>
              <w:bottom w:val="single" w:sz="4" w:space="0" w:color="auto"/>
            </w:tcBorders>
            <w:shd w:val="clear" w:color="auto" w:fill="FABF8F"/>
            <w:vAlign w:val="center"/>
          </w:tcPr>
          <w:p w:rsidR="001A63C6" w:rsidRPr="00BD7CEA" w:rsidRDefault="001A63C6" w:rsidP="002253A3">
            <w:pPr>
              <w:jc w:val="center"/>
              <w:rPr>
                <w:rFonts w:cs="Tahoma"/>
                <w:sz w:val="14"/>
              </w:rPr>
            </w:pPr>
            <w:r w:rsidRPr="00BD7CEA">
              <w:rPr>
                <w:rFonts w:cs="Tahoma"/>
                <w:sz w:val="13"/>
              </w:rPr>
              <w:t>OL/OV</w:t>
            </w:r>
          </w:p>
        </w:tc>
      </w:tr>
      <w:tr w:rsidR="001A63C6" w:rsidRPr="00BD7CEA" w:rsidTr="006B1F3F">
        <w:trPr>
          <w:trHeight w:val="145"/>
        </w:trPr>
        <w:tc>
          <w:tcPr>
            <w:tcW w:w="2734" w:type="dxa"/>
            <w:gridSpan w:val="2"/>
            <w:tcBorders>
              <w:bottom w:val="single" w:sz="4" w:space="0" w:color="auto"/>
            </w:tcBorders>
            <w:shd w:val="clear" w:color="auto" w:fill="auto"/>
          </w:tcPr>
          <w:p w:rsidR="001A63C6" w:rsidRPr="00BD7CEA" w:rsidRDefault="001A63C6" w:rsidP="00E215F4">
            <w:pPr>
              <w:pStyle w:val="ProductNames"/>
              <w:spacing w:beforeLines="20" w:before="48" w:afterLines="20" w:after="48"/>
              <w:rPr>
                <w:rFonts w:ascii="Tahoma" w:hAnsi="Tahoma" w:cs="Tahoma"/>
                <w:sz w:val="14"/>
              </w:rPr>
            </w:pPr>
            <w:bookmarkStart w:id="159" w:name="_Toc353375707"/>
            <w:r w:rsidRPr="00BD7CEA">
              <w:rPr>
                <w:rFonts w:ascii="Tahoma" w:hAnsi="Tahoma" w:cs="Tahoma"/>
                <w:sz w:val="14"/>
              </w:rPr>
              <w:t>Bing Maps Internal Website Usage 2.1m Transactions Monthly Sub</w:t>
            </w:r>
            <w:bookmarkEnd w:id="159"/>
          </w:p>
        </w:tc>
        <w:tc>
          <w:tcPr>
            <w:tcW w:w="450" w:type="dxa"/>
            <w:tcBorders>
              <w:bottom w:val="single" w:sz="4" w:space="0" w:color="auto"/>
            </w:tcBorders>
            <w:shd w:val="clear" w:color="auto" w:fill="auto"/>
            <w:vAlign w:val="center"/>
          </w:tcPr>
          <w:p w:rsidR="001A63C6" w:rsidRPr="00BD7CEA" w:rsidRDefault="006E5080" w:rsidP="00132E08">
            <w:pPr>
              <w:jc w:val="center"/>
              <w:rPr>
                <w:rFonts w:ascii="Trebuchet MS" w:hAnsi="Trebuchet MS"/>
                <w:b/>
                <w:sz w:val="13"/>
                <w:szCs w:val="13"/>
              </w:rPr>
            </w:pPr>
            <w:hyperlink w:anchor="_31_SL_Add-On" w:history="1">
              <w:r w:rsidR="00C36760" w:rsidRPr="00BD7CEA">
                <w:rPr>
                  <w:rStyle w:val="Hyperlink"/>
                  <w:rFonts w:ascii="Trebuchet MS" w:hAnsi="Trebuchet MS"/>
                  <w:b/>
                  <w:sz w:val="13"/>
                  <w:szCs w:val="13"/>
                </w:rPr>
                <w:t>31</w:t>
              </w:r>
            </w:hyperlink>
          </w:p>
        </w:tc>
        <w:tc>
          <w:tcPr>
            <w:tcW w:w="450" w:type="dxa"/>
            <w:tcBorders>
              <w:bottom w:val="single" w:sz="4" w:space="0" w:color="auto"/>
            </w:tcBorders>
            <w:shd w:val="clear" w:color="auto" w:fill="auto"/>
            <w:vAlign w:val="center"/>
          </w:tcPr>
          <w:p w:rsidR="001A63C6" w:rsidRPr="00BD7CEA" w:rsidRDefault="00D15BAA" w:rsidP="002253A3">
            <w:pPr>
              <w:jc w:val="center"/>
              <w:rPr>
                <w:rFonts w:cs="Tahoma"/>
                <w:sz w:val="14"/>
              </w:rPr>
            </w:pPr>
            <w:r w:rsidRPr="00BD7CEA">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BD7CEA"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BD7CEA" w:rsidRDefault="001A63C6" w:rsidP="002253A3">
            <w:pPr>
              <w:jc w:val="center"/>
              <w:rPr>
                <w:rFonts w:cs="Tahoma"/>
                <w:sz w:val="14"/>
              </w:rPr>
            </w:pPr>
            <w:r w:rsidRPr="00BD7CEA">
              <w:rPr>
                <w:rFonts w:cs="Tahoma"/>
                <w:sz w:val="14"/>
              </w:rPr>
              <w:t>200 crediti</w:t>
            </w:r>
          </w:p>
        </w:tc>
        <w:tc>
          <w:tcPr>
            <w:tcW w:w="450" w:type="dxa"/>
            <w:tcBorders>
              <w:left w:val="single" w:sz="18" w:space="0" w:color="auto"/>
              <w:bottom w:val="single" w:sz="4" w:space="0" w:color="auto"/>
            </w:tcBorders>
            <w:shd w:val="clear" w:color="auto" w:fill="auto"/>
            <w:vAlign w:val="center"/>
          </w:tcPr>
          <w:p w:rsidR="001A63C6" w:rsidRPr="00BD7CEA" w:rsidRDefault="001A63C6" w:rsidP="002253A3">
            <w:pPr>
              <w:jc w:val="center"/>
              <w:rPr>
                <w:rFonts w:cs="Tahoma"/>
                <w:sz w:val="14"/>
              </w:rPr>
            </w:pPr>
            <w:r w:rsidRPr="00BD7CEA">
              <w:rPr>
                <w:rFonts w:cs="Tahoma"/>
                <w:sz w:val="14"/>
              </w:rPr>
              <w:t>200</w:t>
            </w:r>
          </w:p>
        </w:tc>
        <w:tc>
          <w:tcPr>
            <w:tcW w:w="450" w:type="dxa"/>
            <w:tcBorders>
              <w:bottom w:val="single" w:sz="4" w:space="0" w:color="auto"/>
            </w:tcBorders>
            <w:shd w:val="clear" w:color="auto" w:fill="auto"/>
            <w:vAlign w:val="center"/>
          </w:tcPr>
          <w:p w:rsidR="001A63C6" w:rsidRPr="00BD7CEA"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2253A3">
            <w:pPr>
              <w:jc w:val="center"/>
              <w:rPr>
                <w:rFonts w:cs="Tahoma"/>
                <w:sz w:val="14"/>
              </w:rPr>
            </w:pPr>
            <w:r w:rsidRPr="00BD7CEA">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2253A3">
            <w:pPr>
              <w:jc w:val="center"/>
              <w:rPr>
                <w:rFonts w:cs="Tahoma"/>
                <w:sz w:val="14"/>
              </w:rPr>
            </w:pPr>
            <w:r w:rsidRPr="00BD7CEA">
              <w:rPr>
                <w:rFonts w:cs="Tahoma"/>
                <w:sz w:val="13"/>
              </w:rPr>
              <w:t>P</w:t>
            </w:r>
          </w:p>
        </w:tc>
        <w:tc>
          <w:tcPr>
            <w:tcW w:w="450" w:type="dxa"/>
            <w:tcBorders>
              <w:bottom w:val="single" w:sz="4" w:space="0" w:color="auto"/>
            </w:tcBorders>
            <w:shd w:val="clear" w:color="auto" w:fill="auto"/>
            <w:vAlign w:val="center"/>
          </w:tcPr>
          <w:p w:rsidR="001A63C6" w:rsidRPr="00BD7CEA"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BD7CEA" w:rsidRDefault="001A63C6" w:rsidP="002253A3">
            <w:pPr>
              <w:jc w:val="center"/>
              <w:rPr>
                <w:rFonts w:cs="Tahoma"/>
                <w:sz w:val="14"/>
              </w:rPr>
            </w:pPr>
            <w:r w:rsidRPr="00BD7CEA">
              <w:rPr>
                <w:rFonts w:cs="Tahoma"/>
                <w:sz w:val="13"/>
              </w:rPr>
              <w:t>OL/OV</w:t>
            </w:r>
          </w:p>
        </w:tc>
      </w:tr>
      <w:tr w:rsidR="001A63C6" w:rsidRPr="00BD7CEA" w:rsidTr="006B1F3F">
        <w:trPr>
          <w:trHeight w:val="145"/>
        </w:trPr>
        <w:tc>
          <w:tcPr>
            <w:tcW w:w="2734" w:type="dxa"/>
            <w:gridSpan w:val="2"/>
            <w:tcBorders>
              <w:bottom w:val="single" w:sz="4" w:space="0" w:color="auto"/>
            </w:tcBorders>
            <w:shd w:val="clear" w:color="auto" w:fill="FABF8F"/>
          </w:tcPr>
          <w:p w:rsidR="001A63C6" w:rsidRPr="00BD7CEA" w:rsidRDefault="001A63C6" w:rsidP="00E215F4">
            <w:pPr>
              <w:pStyle w:val="ProductNames"/>
              <w:spacing w:beforeLines="20" w:before="48" w:afterLines="20" w:after="48"/>
              <w:rPr>
                <w:rFonts w:ascii="Tahoma" w:hAnsi="Tahoma" w:cs="Tahoma"/>
                <w:sz w:val="14"/>
              </w:rPr>
            </w:pPr>
            <w:bookmarkStart w:id="160" w:name="_Toc353375708"/>
            <w:r w:rsidRPr="00BD7CEA">
              <w:rPr>
                <w:rFonts w:ascii="Tahoma" w:hAnsi="Tahoma" w:cs="Tahoma"/>
                <w:sz w:val="14"/>
              </w:rPr>
              <w:t>Bing Maps Internal Website Usage Unlimited Transactions Monthly Sub</w:t>
            </w:r>
            <w:bookmarkEnd w:id="160"/>
          </w:p>
        </w:tc>
        <w:tc>
          <w:tcPr>
            <w:tcW w:w="450" w:type="dxa"/>
            <w:tcBorders>
              <w:bottom w:val="single" w:sz="4" w:space="0" w:color="auto"/>
            </w:tcBorders>
            <w:shd w:val="clear" w:color="auto" w:fill="FABF8F"/>
            <w:vAlign w:val="center"/>
          </w:tcPr>
          <w:p w:rsidR="001A63C6" w:rsidRPr="00BD7CEA" w:rsidRDefault="006E5080" w:rsidP="00132E08">
            <w:pPr>
              <w:jc w:val="center"/>
              <w:rPr>
                <w:rFonts w:ascii="Trebuchet MS" w:hAnsi="Trebuchet MS"/>
                <w:b/>
                <w:sz w:val="13"/>
                <w:szCs w:val="13"/>
              </w:rPr>
            </w:pPr>
            <w:hyperlink w:anchor="_31_SL_Add-On" w:history="1">
              <w:r w:rsidR="00C36760" w:rsidRPr="00BD7CEA">
                <w:rPr>
                  <w:rStyle w:val="Hyperlink"/>
                  <w:rFonts w:ascii="Trebuchet MS" w:hAnsi="Trebuchet MS"/>
                  <w:b/>
                  <w:sz w:val="13"/>
                  <w:szCs w:val="13"/>
                </w:rPr>
                <w:t>31</w:t>
              </w:r>
            </w:hyperlink>
          </w:p>
        </w:tc>
        <w:tc>
          <w:tcPr>
            <w:tcW w:w="450" w:type="dxa"/>
            <w:tcBorders>
              <w:bottom w:val="single" w:sz="4" w:space="0" w:color="auto"/>
            </w:tcBorders>
            <w:shd w:val="clear" w:color="auto" w:fill="FABF8F"/>
            <w:vAlign w:val="center"/>
          </w:tcPr>
          <w:p w:rsidR="001A63C6" w:rsidRPr="00BD7CEA" w:rsidRDefault="00D15BAA" w:rsidP="002253A3">
            <w:pPr>
              <w:jc w:val="center"/>
              <w:rPr>
                <w:rFonts w:cs="Tahoma"/>
                <w:sz w:val="14"/>
              </w:rPr>
            </w:pPr>
            <w:r w:rsidRPr="00BD7CEA">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BD7CEA"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BD7CEA" w:rsidRDefault="001A63C6" w:rsidP="002253A3">
            <w:pPr>
              <w:jc w:val="center"/>
              <w:rPr>
                <w:rFonts w:cs="Tahoma"/>
                <w:sz w:val="14"/>
              </w:rPr>
            </w:pPr>
            <w:r w:rsidRPr="00BD7CEA">
              <w:rPr>
                <w:rFonts w:cs="Tahoma"/>
                <w:sz w:val="14"/>
              </w:rPr>
              <w:t>200 crediti</w:t>
            </w:r>
          </w:p>
        </w:tc>
        <w:tc>
          <w:tcPr>
            <w:tcW w:w="450" w:type="dxa"/>
            <w:tcBorders>
              <w:left w:val="single" w:sz="18" w:space="0" w:color="auto"/>
              <w:bottom w:val="single" w:sz="4" w:space="0" w:color="auto"/>
            </w:tcBorders>
            <w:shd w:val="clear" w:color="auto" w:fill="FABF8F"/>
            <w:vAlign w:val="center"/>
          </w:tcPr>
          <w:p w:rsidR="001A63C6" w:rsidRPr="00BD7CEA" w:rsidRDefault="001A63C6" w:rsidP="002253A3">
            <w:pPr>
              <w:jc w:val="center"/>
              <w:rPr>
                <w:rFonts w:cs="Tahoma"/>
                <w:sz w:val="14"/>
              </w:rPr>
            </w:pPr>
            <w:r w:rsidRPr="00BD7CEA">
              <w:rPr>
                <w:rFonts w:cs="Tahoma"/>
                <w:sz w:val="14"/>
              </w:rPr>
              <w:t>200</w:t>
            </w:r>
          </w:p>
        </w:tc>
        <w:tc>
          <w:tcPr>
            <w:tcW w:w="450" w:type="dxa"/>
            <w:tcBorders>
              <w:bottom w:val="single" w:sz="4" w:space="0" w:color="auto"/>
            </w:tcBorders>
            <w:shd w:val="clear" w:color="auto" w:fill="FABF8F"/>
            <w:vAlign w:val="center"/>
          </w:tcPr>
          <w:p w:rsidR="001A63C6" w:rsidRPr="00BD7CEA"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2253A3">
            <w:pPr>
              <w:jc w:val="center"/>
              <w:rPr>
                <w:rFonts w:cs="Tahoma"/>
                <w:sz w:val="14"/>
              </w:rPr>
            </w:pPr>
            <w:r w:rsidRPr="00BD7CEA">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2253A3">
            <w:pPr>
              <w:jc w:val="center"/>
              <w:rPr>
                <w:rFonts w:cs="Tahoma"/>
                <w:sz w:val="14"/>
              </w:rPr>
            </w:pPr>
            <w:r w:rsidRPr="00BD7CEA">
              <w:rPr>
                <w:rFonts w:cs="Tahoma"/>
                <w:sz w:val="13"/>
              </w:rPr>
              <w:t>P</w:t>
            </w:r>
          </w:p>
        </w:tc>
        <w:tc>
          <w:tcPr>
            <w:tcW w:w="450" w:type="dxa"/>
            <w:tcBorders>
              <w:bottom w:val="single" w:sz="4" w:space="0" w:color="auto"/>
            </w:tcBorders>
            <w:shd w:val="clear" w:color="auto" w:fill="FABF8F"/>
            <w:vAlign w:val="center"/>
          </w:tcPr>
          <w:p w:rsidR="001A63C6" w:rsidRPr="00BD7CEA" w:rsidRDefault="001A63C6" w:rsidP="002253A3">
            <w:pPr>
              <w:jc w:val="center"/>
              <w:rPr>
                <w:rFonts w:cs="Tahoma"/>
                <w:sz w:val="13"/>
              </w:rPr>
            </w:pPr>
          </w:p>
        </w:tc>
        <w:tc>
          <w:tcPr>
            <w:tcW w:w="540" w:type="dxa"/>
            <w:tcBorders>
              <w:bottom w:val="single" w:sz="4" w:space="0" w:color="auto"/>
            </w:tcBorders>
            <w:shd w:val="clear" w:color="auto" w:fill="FABF8F"/>
            <w:vAlign w:val="center"/>
          </w:tcPr>
          <w:p w:rsidR="001A63C6" w:rsidRPr="00BD7CEA" w:rsidRDefault="001A63C6" w:rsidP="002253A3">
            <w:pPr>
              <w:jc w:val="center"/>
              <w:rPr>
                <w:rFonts w:cs="Tahoma"/>
                <w:sz w:val="14"/>
              </w:rPr>
            </w:pPr>
            <w:r w:rsidRPr="00BD7CEA">
              <w:rPr>
                <w:rFonts w:cs="Tahoma"/>
                <w:sz w:val="13"/>
              </w:rPr>
              <w:t>OL/OV</w:t>
            </w:r>
          </w:p>
        </w:tc>
      </w:tr>
      <w:tr w:rsidR="001A63C6" w:rsidRPr="00BD7CEA" w:rsidTr="006B1F3F">
        <w:trPr>
          <w:trHeight w:val="145"/>
        </w:trPr>
        <w:tc>
          <w:tcPr>
            <w:tcW w:w="2734" w:type="dxa"/>
            <w:gridSpan w:val="2"/>
            <w:tcBorders>
              <w:bottom w:val="single" w:sz="4" w:space="0" w:color="auto"/>
            </w:tcBorders>
            <w:shd w:val="clear" w:color="auto" w:fill="auto"/>
          </w:tcPr>
          <w:p w:rsidR="001A63C6" w:rsidRPr="00BD7CEA" w:rsidRDefault="001A63C6" w:rsidP="00E215F4">
            <w:pPr>
              <w:pStyle w:val="ProductNames"/>
              <w:spacing w:beforeLines="20" w:before="48" w:afterLines="20" w:after="48"/>
              <w:rPr>
                <w:rFonts w:ascii="Tahoma" w:hAnsi="Tahoma" w:cs="Tahoma"/>
                <w:sz w:val="14"/>
              </w:rPr>
            </w:pPr>
            <w:bookmarkStart w:id="161" w:name="_Toc353375709"/>
            <w:r w:rsidRPr="00BD7CEA">
              <w:rPr>
                <w:rFonts w:ascii="Tahoma" w:hAnsi="Tahoma" w:cs="Tahoma"/>
                <w:sz w:val="14"/>
              </w:rPr>
              <w:t>Bing Maps Per Known User Monthly Sub</w:t>
            </w:r>
            <w:bookmarkEnd w:id="161"/>
          </w:p>
        </w:tc>
        <w:tc>
          <w:tcPr>
            <w:tcW w:w="450" w:type="dxa"/>
            <w:tcBorders>
              <w:bottom w:val="single" w:sz="4" w:space="0" w:color="auto"/>
            </w:tcBorders>
            <w:shd w:val="clear" w:color="auto" w:fill="auto"/>
            <w:vAlign w:val="center"/>
          </w:tcPr>
          <w:p w:rsidR="001A63C6" w:rsidRPr="00BD7CEA" w:rsidRDefault="006E5080" w:rsidP="00132E08">
            <w:pPr>
              <w:jc w:val="center"/>
              <w:rPr>
                <w:rFonts w:ascii="Trebuchet MS" w:hAnsi="Trebuchet MS"/>
                <w:b/>
                <w:sz w:val="13"/>
                <w:szCs w:val="13"/>
              </w:rPr>
            </w:pPr>
            <w:hyperlink w:anchor="_31_SL_Add-On" w:history="1">
              <w:r w:rsidR="00C36760" w:rsidRPr="00BD7CEA">
                <w:rPr>
                  <w:rStyle w:val="Hyperlink"/>
                  <w:rFonts w:ascii="Trebuchet MS" w:hAnsi="Trebuchet MS"/>
                  <w:b/>
                  <w:sz w:val="13"/>
                  <w:szCs w:val="13"/>
                </w:rPr>
                <w:t>31</w:t>
              </w:r>
            </w:hyperlink>
          </w:p>
        </w:tc>
        <w:tc>
          <w:tcPr>
            <w:tcW w:w="450" w:type="dxa"/>
            <w:tcBorders>
              <w:bottom w:val="single" w:sz="4" w:space="0" w:color="auto"/>
            </w:tcBorders>
            <w:shd w:val="clear" w:color="auto" w:fill="auto"/>
            <w:vAlign w:val="center"/>
          </w:tcPr>
          <w:p w:rsidR="001A63C6" w:rsidRPr="00BD7CEA" w:rsidRDefault="00D15BAA" w:rsidP="002253A3">
            <w:pPr>
              <w:jc w:val="center"/>
              <w:rPr>
                <w:rFonts w:cs="Tahoma"/>
                <w:sz w:val="14"/>
              </w:rPr>
            </w:pPr>
            <w:r w:rsidRPr="00BD7CEA">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BD7CEA"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BD7CEA" w:rsidRDefault="001A63C6" w:rsidP="002253A3">
            <w:pPr>
              <w:jc w:val="center"/>
              <w:rPr>
                <w:rFonts w:cs="Tahoma"/>
                <w:sz w:val="14"/>
              </w:rPr>
            </w:pPr>
            <w:r w:rsidRPr="00BD7CEA">
              <w:rPr>
                <w:rFonts w:cs="Tahoma"/>
                <w:sz w:val="14"/>
              </w:rPr>
              <w:t>1 punto</w:t>
            </w:r>
          </w:p>
        </w:tc>
        <w:tc>
          <w:tcPr>
            <w:tcW w:w="450" w:type="dxa"/>
            <w:tcBorders>
              <w:left w:val="single" w:sz="18" w:space="0" w:color="auto"/>
              <w:bottom w:val="single" w:sz="4" w:space="0" w:color="auto"/>
            </w:tcBorders>
            <w:shd w:val="clear" w:color="auto" w:fill="auto"/>
            <w:vAlign w:val="center"/>
          </w:tcPr>
          <w:p w:rsidR="001A63C6" w:rsidRPr="00BD7CEA" w:rsidRDefault="001A63C6" w:rsidP="002253A3">
            <w:pPr>
              <w:jc w:val="center"/>
              <w:rPr>
                <w:rFonts w:cs="Tahoma"/>
                <w:sz w:val="14"/>
              </w:rPr>
            </w:pPr>
            <w:r w:rsidRPr="00BD7CEA">
              <w:rPr>
                <w:rFonts w:cs="Tahoma"/>
                <w:sz w:val="14"/>
              </w:rPr>
              <w:t>1</w:t>
            </w:r>
          </w:p>
        </w:tc>
        <w:tc>
          <w:tcPr>
            <w:tcW w:w="450" w:type="dxa"/>
            <w:tcBorders>
              <w:bottom w:val="single" w:sz="4" w:space="0" w:color="auto"/>
            </w:tcBorders>
            <w:shd w:val="clear" w:color="auto" w:fill="auto"/>
            <w:vAlign w:val="center"/>
          </w:tcPr>
          <w:p w:rsidR="001A63C6" w:rsidRPr="00BD7CEA"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2253A3">
            <w:pPr>
              <w:jc w:val="center"/>
              <w:rPr>
                <w:rFonts w:cs="Tahoma"/>
                <w:sz w:val="14"/>
              </w:rPr>
            </w:pPr>
            <w:r w:rsidRPr="00BD7CEA">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2253A3">
            <w:pPr>
              <w:jc w:val="center"/>
              <w:rPr>
                <w:rFonts w:cs="Tahoma"/>
                <w:sz w:val="14"/>
              </w:rPr>
            </w:pPr>
            <w:r w:rsidRPr="00BD7CEA">
              <w:rPr>
                <w:rFonts w:cs="Tahoma"/>
                <w:sz w:val="13"/>
              </w:rPr>
              <w:t>P</w:t>
            </w:r>
          </w:p>
        </w:tc>
        <w:tc>
          <w:tcPr>
            <w:tcW w:w="450" w:type="dxa"/>
            <w:tcBorders>
              <w:bottom w:val="single" w:sz="4" w:space="0" w:color="auto"/>
            </w:tcBorders>
            <w:shd w:val="clear" w:color="auto" w:fill="auto"/>
            <w:vAlign w:val="center"/>
          </w:tcPr>
          <w:p w:rsidR="001A63C6" w:rsidRPr="00BD7CEA"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BD7CEA" w:rsidRDefault="001A63C6" w:rsidP="002253A3">
            <w:pPr>
              <w:jc w:val="center"/>
              <w:rPr>
                <w:rFonts w:cs="Tahoma"/>
                <w:sz w:val="14"/>
              </w:rPr>
            </w:pPr>
            <w:r w:rsidRPr="00BD7CEA">
              <w:rPr>
                <w:rFonts w:cs="Tahoma"/>
                <w:sz w:val="13"/>
              </w:rPr>
              <w:t>OL/OV</w:t>
            </w:r>
          </w:p>
        </w:tc>
      </w:tr>
      <w:tr w:rsidR="001A63C6" w:rsidRPr="00BD7CEA" w:rsidTr="006B1F3F">
        <w:trPr>
          <w:trHeight w:val="145"/>
        </w:trPr>
        <w:tc>
          <w:tcPr>
            <w:tcW w:w="2734" w:type="dxa"/>
            <w:gridSpan w:val="2"/>
            <w:tcBorders>
              <w:bottom w:val="single" w:sz="4" w:space="0" w:color="auto"/>
            </w:tcBorders>
            <w:shd w:val="clear" w:color="auto" w:fill="FABF8F"/>
          </w:tcPr>
          <w:p w:rsidR="001A63C6" w:rsidRPr="00BD7CEA" w:rsidRDefault="001A63C6" w:rsidP="00E215F4">
            <w:pPr>
              <w:pStyle w:val="ProductNames"/>
              <w:spacing w:beforeLines="20" w:before="48" w:afterLines="20" w:after="48"/>
              <w:rPr>
                <w:rFonts w:ascii="Tahoma" w:hAnsi="Tahoma" w:cs="Tahoma"/>
                <w:sz w:val="14"/>
              </w:rPr>
            </w:pPr>
            <w:bookmarkStart w:id="162" w:name="_Toc353375710"/>
            <w:r w:rsidRPr="00BD7CEA">
              <w:rPr>
                <w:rFonts w:ascii="Tahoma" w:hAnsi="Tahoma" w:cs="Tahoma"/>
                <w:sz w:val="14"/>
              </w:rPr>
              <w:t xml:space="preserve">Bing Maps Known User 5K Bundle </w:t>
            </w:r>
            <w:r w:rsidR="00554295" w:rsidRPr="00BD7CEA">
              <w:rPr>
                <w:rFonts w:ascii="Tahoma" w:hAnsi="Tahoma" w:cs="Tahoma"/>
                <w:sz w:val="14"/>
              </w:rPr>
              <w:br/>
            </w:r>
            <w:r w:rsidRPr="00BD7CEA">
              <w:rPr>
                <w:rFonts w:ascii="Tahoma" w:hAnsi="Tahoma" w:cs="Tahoma"/>
                <w:sz w:val="14"/>
              </w:rPr>
              <w:t>Monthly Sub</w:t>
            </w:r>
            <w:bookmarkEnd w:id="162"/>
          </w:p>
        </w:tc>
        <w:tc>
          <w:tcPr>
            <w:tcW w:w="450" w:type="dxa"/>
            <w:tcBorders>
              <w:bottom w:val="single" w:sz="4" w:space="0" w:color="auto"/>
            </w:tcBorders>
            <w:shd w:val="clear" w:color="auto" w:fill="FABF8F"/>
            <w:vAlign w:val="center"/>
          </w:tcPr>
          <w:p w:rsidR="001A63C6" w:rsidRPr="00BD7CEA" w:rsidRDefault="006E5080" w:rsidP="00132E08">
            <w:pPr>
              <w:jc w:val="center"/>
              <w:rPr>
                <w:rFonts w:ascii="Trebuchet MS" w:hAnsi="Trebuchet MS"/>
                <w:b/>
                <w:sz w:val="13"/>
                <w:szCs w:val="13"/>
              </w:rPr>
            </w:pPr>
            <w:hyperlink w:anchor="_31_SL_Add-On" w:history="1">
              <w:r w:rsidR="00C36760" w:rsidRPr="00BD7CEA">
                <w:rPr>
                  <w:rStyle w:val="Hyperlink"/>
                  <w:rFonts w:ascii="Trebuchet MS" w:hAnsi="Trebuchet MS"/>
                  <w:b/>
                  <w:sz w:val="13"/>
                  <w:szCs w:val="13"/>
                </w:rPr>
                <w:t>31</w:t>
              </w:r>
            </w:hyperlink>
          </w:p>
        </w:tc>
        <w:tc>
          <w:tcPr>
            <w:tcW w:w="450" w:type="dxa"/>
            <w:tcBorders>
              <w:bottom w:val="single" w:sz="4" w:space="0" w:color="auto"/>
            </w:tcBorders>
            <w:shd w:val="clear" w:color="auto" w:fill="FABF8F"/>
            <w:vAlign w:val="center"/>
          </w:tcPr>
          <w:p w:rsidR="001A63C6" w:rsidRPr="00BD7CEA" w:rsidRDefault="00D15BAA" w:rsidP="002253A3">
            <w:pPr>
              <w:jc w:val="center"/>
              <w:rPr>
                <w:rFonts w:cs="Tahoma"/>
                <w:sz w:val="14"/>
              </w:rPr>
            </w:pPr>
            <w:r w:rsidRPr="00BD7CEA">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BD7CEA"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BD7CEA" w:rsidRDefault="001A63C6" w:rsidP="002253A3">
            <w:pPr>
              <w:jc w:val="center"/>
              <w:rPr>
                <w:rFonts w:cs="Tahoma"/>
                <w:sz w:val="14"/>
              </w:rPr>
            </w:pPr>
            <w:r w:rsidRPr="00BD7CEA">
              <w:rPr>
                <w:rFonts w:cs="Tahoma"/>
                <w:sz w:val="14"/>
              </w:rPr>
              <w:t>200 crediti</w:t>
            </w:r>
          </w:p>
        </w:tc>
        <w:tc>
          <w:tcPr>
            <w:tcW w:w="450" w:type="dxa"/>
            <w:tcBorders>
              <w:left w:val="single" w:sz="18" w:space="0" w:color="auto"/>
              <w:bottom w:val="single" w:sz="4" w:space="0" w:color="auto"/>
            </w:tcBorders>
            <w:shd w:val="clear" w:color="auto" w:fill="FABF8F"/>
            <w:vAlign w:val="center"/>
          </w:tcPr>
          <w:p w:rsidR="001A63C6" w:rsidRPr="00BD7CEA" w:rsidRDefault="001A63C6" w:rsidP="002253A3">
            <w:pPr>
              <w:jc w:val="center"/>
              <w:rPr>
                <w:rFonts w:cs="Tahoma"/>
                <w:sz w:val="14"/>
              </w:rPr>
            </w:pPr>
            <w:r w:rsidRPr="00BD7CEA">
              <w:rPr>
                <w:rFonts w:cs="Tahoma"/>
                <w:sz w:val="14"/>
              </w:rPr>
              <w:t>200</w:t>
            </w:r>
          </w:p>
        </w:tc>
        <w:tc>
          <w:tcPr>
            <w:tcW w:w="450" w:type="dxa"/>
            <w:tcBorders>
              <w:bottom w:val="single" w:sz="4" w:space="0" w:color="auto"/>
            </w:tcBorders>
            <w:shd w:val="clear" w:color="auto" w:fill="FABF8F"/>
            <w:vAlign w:val="center"/>
          </w:tcPr>
          <w:p w:rsidR="001A63C6" w:rsidRPr="00BD7CEA"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2253A3">
            <w:pPr>
              <w:jc w:val="center"/>
              <w:rPr>
                <w:rFonts w:cs="Tahoma"/>
                <w:sz w:val="14"/>
              </w:rPr>
            </w:pPr>
            <w:r w:rsidRPr="00BD7CEA">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2253A3">
            <w:pPr>
              <w:jc w:val="center"/>
              <w:rPr>
                <w:rFonts w:cs="Tahoma"/>
                <w:sz w:val="14"/>
              </w:rPr>
            </w:pPr>
            <w:r w:rsidRPr="00BD7CEA">
              <w:rPr>
                <w:rFonts w:cs="Tahoma"/>
                <w:sz w:val="13"/>
              </w:rPr>
              <w:t>P</w:t>
            </w:r>
          </w:p>
        </w:tc>
        <w:tc>
          <w:tcPr>
            <w:tcW w:w="450" w:type="dxa"/>
            <w:tcBorders>
              <w:bottom w:val="single" w:sz="4" w:space="0" w:color="auto"/>
            </w:tcBorders>
            <w:shd w:val="clear" w:color="auto" w:fill="FABF8F"/>
            <w:vAlign w:val="center"/>
          </w:tcPr>
          <w:p w:rsidR="001A63C6" w:rsidRPr="00BD7CEA" w:rsidRDefault="001A63C6" w:rsidP="002253A3">
            <w:pPr>
              <w:jc w:val="center"/>
              <w:rPr>
                <w:rFonts w:cs="Tahoma"/>
                <w:sz w:val="13"/>
              </w:rPr>
            </w:pPr>
          </w:p>
        </w:tc>
        <w:tc>
          <w:tcPr>
            <w:tcW w:w="540" w:type="dxa"/>
            <w:tcBorders>
              <w:bottom w:val="single" w:sz="4" w:space="0" w:color="auto"/>
            </w:tcBorders>
            <w:shd w:val="clear" w:color="auto" w:fill="FABF8F"/>
            <w:vAlign w:val="center"/>
          </w:tcPr>
          <w:p w:rsidR="001A63C6" w:rsidRPr="00BD7CEA" w:rsidRDefault="001A63C6" w:rsidP="002253A3">
            <w:pPr>
              <w:jc w:val="center"/>
              <w:rPr>
                <w:rFonts w:cs="Tahoma"/>
                <w:sz w:val="14"/>
              </w:rPr>
            </w:pPr>
            <w:r w:rsidRPr="00BD7CEA">
              <w:rPr>
                <w:rFonts w:cs="Tahoma"/>
                <w:sz w:val="13"/>
              </w:rPr>
              <w:t>OL/OV</w:t>
            </w:r>
          </w:p>
        </w:tc>
      </w:tr>
      <w:tr w:rsidR="001A63C6" w:rsidRPr="00BD7CEA" w:rsidTr="006B1F3F">
        <w:trPr>
          <w:trHeight w:val="145"/>
        </w:trPr>
        <w:tc>
          <w:tcPr>
            <w:tcW w:w="2734" w:type="dxa"/>
            <w:gridSpan w:val="2"/>
            <w:tcBorders>
              <w:bottom w:val="single" w:sz="4" w:space="0" w:color="auto"/>
            </w:tcBorders>
            <w:shd w:val="clear" w:color="auto" w:fill="auto"/>
          </w:tcPr>
          <w:p w:rsidR="001A63C6" w:rsidRPr="00BD7CEA" w:rsidRDefault="001A63C6" w:rsidP="00E215F4">
            <w:pPr>
              <w:pStyle w:val="ProductNames"/>
              <w:spacing w:beforeLines="20" w:before="48" w:afterLines="20" w:after="48"/>
              <w:rPr>
                <w:rFonts w:ascii="Tahoma" w:hAnsi="Tahoma" w:cs="Tahoma"/>
                <w:sz w:val="14"/>
              </w:rPr>
            </w:pPr>
            <w:bookmarkStart w:id="163" w:name="_Toc353375711"/>
            <w:r w:rsidRPr="00BD7CEA">
              <w:rPr>
                <w:rFonts w:ascii="Tahoma" w:hAnsi="Tahoma" w:cs="Tahoma"/>
                <w:sz w:val="14"/>
              </w:rPr>
              <w:t xml:space="preserve">Bing Maps Light Known Per User </w:t>
            </w:r>
            <w:r w:rsidR="00554295" w:rsidRPr="00BD7CEA">
              <w:rPr>
                <w:rFonts w:ascii="Tahoma" w:hAnsi="Tahoma" w:cs="Tahoma"/>
                <w:sz w:val="14"/>
              </w:rPr>
              <w:br/>
            </w:r>
            <w:r w:rsidRPr="00BD7CEA">
              <w:rPr>
                <w:rFonts w:ascii="Tahoma" w:hAnsi="Tahoma" w:cs="Tahoma"/>
                <w:sz w:val="14"/>
              </w:rPr>
              <w:t>Monthly Sub</w:t>
            </w:r>
            <w:bookmarkEnd w:id="163"/>
          </w:p>
        </w:tc>
        <w:tc>
          <w:tcPr>
            <w:tcW w:w="450" w:type="dxa"/>
            <w:tcBorders>
              <w:bottom w:val="single" w:sz="4" w:space="0" w:color="auto"/>
            </w:tcBorders>
            <w:shd w:val="clear" w:color="auto" w:fill="auto"/>
            <w:vAlign w:val="center"/>
          </w:tcPr>
          <w:p w:rsidR="001A63C6" w:rsidRPr="00BD7CEA" w:rsidRDefault="006E5080" w:rsidP="00132E08">
            <w:pPr>
              <w:jc w:val="center"/>
              <w:rPr>
                <w:rFonts w:ascii="Trebuchet MS" w:hAnsi="Trebuchet MS"/>
                <w:b/>
                <w:sz w:val="13"/>
                <w:szCs w:val="13"/>
              </w:rPr>
            </w:pPr>
            <w:hyperlink w:anchor="_31_SL_Add-On" w:history="1">
              <w:r w:rsidR="00C36760" w:rsidRPr="00BD7CEA">
                <w:rPr>
                  <w:rStyle w:val="Hyperlink"/>
                  <w:rFonts w:ascii="Trebuchet MS" w:hAnsi="Trebuchet MS"/>
                  <w:b/>
                  <w:sz w:val="13"/>
                  <w:szCs w:val="13"/>
                </w:rPr>
                <w:t>31</w:t>
              </w:r>
            </w:hyperlink>
          </w:p>
        </w:tc>
        <w:tc>
          <w:tcPr>
            <w:tcW w:w="450" w:type="dxa"/>
            <w:tcBorders>
              <w:bottom w:val="single" w:sz="4" w:space="0" w:color="auto"/>
            </w:tcBorders>
            <w:shd w:val="clear" w:color="auto" w:fill="auto"/>
            <w:vAlign w:val="center"/>
          </w:tcPr>
          <w:p w:rsidR="001A63C6" w:rsidRPr="00BD7CEA" w:rsidRDefault="00D15BAA" w:rsidP="002253A3">
            <w:pPr>
              <w:jc w:val="center"/>
              <w:rPr>
                <w:rFonts w:cs="Tahoma"/>
                <w:sz w:val="14"/>
              </w:rPr>
            </w:pPr>
            <w:r w:rsidRPr="00BD7CEA">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BD7CEA"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BD7CEA" w:rsidRDefault="001A63C6" w:rsidP="002253A3">
            <w:pPr>
              <w:jc w:val="center"/>
              <w:rPr>
                <w:rFonts w:cs="Tahoma"/>
                <w:sz w:val="14"/>
              </w:rPr>
            </w:pPr>
            <w:r w:rsidRPr="00BD7CEA">
              <w:rPr>
                <w:rFonts w:cs="Tahoma"/>
                <w:sz w:val="14"/>
              </w:rPr>
              <w:t>1 punto</w:t>
            </w:r>
          </w:p>
        </w:tc>
        <w:tc>
          <w:tcPr>
            <w:tcW w:w="450" w:type="dxa"/>
            <w:tcBorders>
              <w:left w:val="single" w:sz="18" w:space="0" w:color="auto"/>
              <w:bottom w:val="single" w:sz="4" w:space="0" w:color="auto"/>
            </w:tcBorders>
            <w:shd w:val="clear" w:color="auto" w:fill="auto"/>
            <w:vAlign w:val="center"/>
          </w:tcPr>
          <w:p w:rsidR="001A63C6" w:rsidRPr="00BD7CEA" w:rsidRDefault="001A63C6" w:rsidP="002253A3">
            <w:pPr>
              <w:jc w:val="center"/>
              <w:rPr>
                <w:rFonts w:cs="Tahoma"/>
                <w:sz w:val="14"/>
              </w:rPr>
            </w:pPr>
            <w:r w:rsidRPr="00BD7CEA">
              <w:rPr>
                <w:rFonts w:cs="Tahoma"/>
                <w:sz w:val="14"/>
              </w:rPr>
              <w:t>1</w:t>
            </w:r>
          </w:p>
        </w:tc>
        <w:tc>
          <w:tcPr>
            <w:tcW w:w="450" w:type="dxa"/>
            <w:tcBorders>
              <w:bottom w:val="single" w:sz="4" w:space="0" w:color="auto"/>
            </w:tcBorders>
            <w:shd w:val="clear" w:color="auto" w:fill="auto"/>
            <w:vAlign w:val="center"/>
          </w:tcPr>
          <w:p w:rsidR="001A63C6" w:rsidRPr="00BD7CEA"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2253A3">
            <w:pPr>
              <w:jc w:val="center"/>
              <w:rPr>
                <w:rFonts w:cs="Tahoma"/>
                <w:sz w:val="14"/>
              </w:rPr>
            </w:pPr>
            <w:r w:rsidRPr="00BD7CEA">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2253A3">
            <w:pPr>
              <w:jc w:val="center"/>
              <w:rPr>
                <w:rFonts w:cs="Tahoma"/>
                <w:sz w:val="14"/>
              </w:rPr>
            </w:pPr>
            <w:r w:rsidRPr="00BD7CEA">
              <w:rPr>
                <w:rFonts w:cs="Tahoma"/>
                <w:sz w:val="13"/>
              </w:rPr>
              <w:t>P</w:t>
            </w:r>
          </w:p>
        </w:tc>
        <w:tc>
          <w:tcPr>
            <w:tcW w:w="450" w:type="dxa"/>
            <w:tcBorders>
              <w:bottom w:val="single" w:sz="4" w:space="0" w:color="auto"/>
            </w:tcBorders>
            <w:shd w:val="clear" w:color="auto" w:fill="auto"/>
            <w:vAlign w:val="center"/>
          </w:tcPr>
          <w:p w:rsidR="001A63C6" w:rsidRPr="00BD7CEA"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BD7CEA" w:rsidRDefault="001A63C6" w:rsidP="002253A3">
            <w:pPr>
              <w:jc w:val="center"/>
              <w:rPr>
                <w:rFonts w:cs="Tahoma"/>
                <w:sz w:val="14"/>
              </w:rPr>
            </w:pPr>
            <w:r w:rsidRPr="00BD7CEA">
              <w:rPr>
                <w:rFonts w:cs="Tahoma"/>
                <w:sz w:val="13"/>
              </w:rPr>
              <w:t>OL/OV</w:t>
            </w:r>
          </w:p>
        </w:tc>
      </w:tr>
      <w:tr w:rsidR="001A63C6" w:rsidRPr="00BD7CEA" w:rsidTr="006B1F3F">
        <w:trPr>
          <w:trHeight w:val="145"/>
        </w:trPr>
        <w:tc>
          <w:tcPr>
            <w:tcW w:w="2734" w:type="dxa"/>
            <w:gridSpan w:val="2"/>
            <w:tcBorders>
              <w:bottom w:val="single" w:sz="4" w:space="0" w:color="auto"/>
            </w:tcBorders>
            <w:shd w:val="clear" w:color="auto" w:fill="FABF8F"/>
          </w:tcPr>
          <w:p w:rsidR="001A63C6" w:rsidRPr="00BD7CEA" w:rsidRDefault="001A63C6" w:rsidP="00E215F4">
            <w:pPr>
              <w:pStyle w:val="ProductNames"/>
              <w:spacing w:beforeLines="20" w:before="48" w:afterLines="20" w:after="48"/>
              <w:rPr>
                <w:rFonts w:ascii="Tahoma" w:hAnsi="Tahoma" w:cs="Tahoma"/>
                <w:sz w:val="14"/>
              </w:rPr>
            </w:pPr>
            <w:bookmarkStart w:id="164" w:name="_Toc353375712"/>
            <w:r w:rsidRPr="00BD7CEA">
              <w:rPr>
                <w:rFonts w:ascii="Tahoma" w:hAnsi="Tahoma" w:cs="Tahoma"/>
                <w:sz w:val="14"/>
              </w:rPr>
              <w:t>Bing Maps Light Known 5K User Bundle Monthly Sub</w:t>
            </w:r>
            <w:bookmarkEnd w:id="164"/>
          </w:p>
        </w:tc>
        <w:tc>
          <w:tcPr>
            <w:tcW w:w="450" w:type="dxa"/>
            <w:tcBorders>
              <w:bottom w:val="single" w:sz="4" w:space="0" w:color="auto"/>
            </w:tcBorders>
            <w:shd w:val="clear" w:color="auto" w:fill="FABF8F"/>
            <w:vAlign w:val="center"/>
          </w:tcPr>
          <w:p w:rsidR="001A63C6" w:rsidRPr="00BD7CEA" w:rsidRDefault="006E5080" w:rsidP="00132E08">
            <w:pPr>
              <w:jc w:val="center"/>
              <w:rPr>
                <w:rFonts w:ascii="Trebuchet MS" w:hAnsi="Trebuchet MS"/>
                <w:b/>
                <w:sz w:val="13"/>
                <w:szCs w:val="13"/>
              </w:rPr>
            </w:pPr>
            <w:hyperlink w:anchor="_31_SL_Add-On" w:history="1">
              <w:r w:rsidR="00C36760" w:rsidRPr="00BD7CEA">
                <w:rPr>
                  <w:rStyle w:val="Hyperlink"/>
                  <w:rFonts w:ascii="Trebuchet MS" w:hAnsi="Trebuchet MS"/>
                  <w:b/>
                  <w:sz w:val="13"/>
                  <w:szCs w:val="13"/>
                </w:rPr>
                <w:t>31</w:t>
              </w:r>
            </w:hyperlink>
          </w:p>
        </w:tc>
        <w:tc>
          <w:tcPr>
            <w:tcW w:w="450" w:type="dxa"/>
            <w:tcBorders>
              <w:bottom w:val="single" w:sz="4" w:space="0" w:color="auto"/>
            </w:tcBorders>
            <w:shd w:val="clear" w:color="auto" w:fill="FABF8F"/>
            <w:vAlign w:val="center"/>
          </w:tcPr>
          <w:p w:rsidR="001A63C6" w:rsidRPr="00BD7CEA" w:rsidRDefault="00D15BAA" w:rsidP="002253A3">
            <w:pPr>
              <w:jc w:val="center"/>
              <w:rPr>
                <w:rFonts w:cs="Tahoma"/>
                <w:sz w:val="14"/>
              </w:rPr>
            </w:pPr>
            <w:r w:rsidRPr="00BD7CEA">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BD7CEA"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BD7CEA" w:rsidRDefault="001A63C6" w:rsidP="002253A3">
            <w:pPr>
              <w:jc w:val="center"/>
              <w:rPr>
                <w:rFonts w:cs="Tahoma"/>
                <w:sz w:val="14"/>
              </w:rPr>
            </w:pPr>
            <w:r w:rsidRPr="00BD7CEA">
              <w:rPr>
                <w:rFonts w:cs="Tahoma"/>
                <w:sz w:val="14"/>
              </w:rPr>
              <w:t>125 crediti</w:t>
            </w:r>
          </w:p>
        </w:tc>
        <w:tc>
          <w:tcPr>
            <w:tcW w:w="450" w:type="dxa"/>
            <w:tcBorders>
              <w:left w:val="single" w:sz="18" w:space="0" w:color="auto"/>
              <w:bottom w:val="single" w:sz="4" w:space="0" w:color="auto"/>
            </w:tcBorders>
            <w:shd w:val="clear" w:color="auto" w:fill="FABF8F"/>
            <w:vAlign w:val="center"/>
          </w:tcPr>
          <w:p w:rsidR="001A63C6" w:rsidRPr="00BD7CEA" w:rsidRDefault="001A63C6" w:rsidP="002253A3">
            <w:pPr>
              <w:jc w:val="center"/>
              <w:rPr>
                <w:rFonts w:cs="Tahoma"/>
                <w:sz w:val="14"/>
              </w:rPr>
            </w:pPr>
            <w:r w:rsidRPr="00BD7CEA">
              <w:rPr>
                <w:rFonts w:cs="Tahoma"/>
                <w:sz w:val="14"/>
              </w:rPr>
              <w:t>125</w:t>
            </w:r>
          </w:p>
        </w:tc>
        <w:tc>
          <w:tcPr>
            <w:tcW w:w="450" w:type="dxa"/>
            <w:tcBorders>
              <w:bottom w:val="single" w:sz="4" w:space="0" w:color="auto"/>
            </w:tcBorders>
            <w:shd w:val="clear" w:color="auto" w:fill="FABF8F"/>
            <w:vAlign w:val="center"/>
          </w:tcPr>
          <w:p w:rsidR="001A63C6" w:rsidRPr="00BD7CEA"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2253A3">
            <w:pPr>
              <w:jc w:val="center"/>
              <w:rPr>
                <w:rFonts w:cs="Tahoma"/>
                <w:sz w:val="14"/>
              </w:rPr>
            </w:pPr>
            <w:r w:rsidRPr="00BD7CEA">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2253A3">
            <w:pPr>
              <w:jc w:val="center"/>
              <w:rPr>
                <w:rFonts w:cs="Tahoma"/>
                <w:sz w:val="14"/>
              </w:rPr>
            </w:pPr>
            <w:r w:rsidRPr="00BD7CEA">
              <w:rPr>
                <w:rFonts w:cs="Tahoma"/>
                <w:sz w:val="13"/>
              </w:rPr>
              <w:t>P</w:t>
            </w:r>
          </w:p>
        </w:tc>
        <w:tc>
          <w:tcPr>
            <w:tcW w:w="450" w:type="dxa"/>
            <w:tcBorders>
              <w:bottom w:val="single" w:sz="4" w:space="0" w:color="auto"/>
            </w:tcBorders>
            <w:shd w:val="clear" w:color="auto" w:fill="FABF8F"/>
            <w:vAlign w:val="center"/>
          </w:tcPr>
          <w:p w:rsidR="001A63C6" w:rsidRPr="00BD7CEA" w:rsidRDefault="001A63C6" w:rsidP="002253A3">
            <w:pPr>
              <w:jc w:val="center"/>
              <w:rPr>
                <w:rFonts w:cs="Tahoma"/>
                <w:sz w:val="13"/>
              </w:rPr>
            </w:pPr>
          </w:p>
        </w:tc>
        <w:tc>
          <w:tcPr>
            <w:tcW w:w="540" w:type="dxa"/>
            <w:tcBorders>
              <w:bottom w:val="single" w:sz="4" w:space="0" w:color="auto"/>
            </w:tcBorders>
            <w:shd w:val="clear" w:color="auto" w:fill="FABF8F"/>
            <w:vAlign w:val="center"/>
          </w:tcPr>
          <w:p w:rsidR="001A63C6" w:rsidRPr="00BD7CEA" w:rsidRDefault="001A63C6" w:rsidP="002253A3">
            <w:pPr>
              <w:jc w:val="center"/>
              <w:rPr>
                <w:rFonts w:cs="Tahoma"/>
                <w:sz w:val="14"/>
              </w:rPr>
            </w:pPr>
            <w:r w:rsidRPr="00BD7CEA">
              <w:rPr>
                <w:rFonts w:cs="Tahoma"/>
                <w:sz w:val="13"/>
              </w:rPr>
              <w:t>OL/OV</w:t>
            </w:r>
          </w:p>
        </w:tc>
      </w:tr>
      <w:tr w:rsidR="001A63C6" w:rsidRPr="00BD7CEA" w:rsidTr="006B1F3F">
        <w:trPr>
          <w:trHeight w:val="145"/>
        </w:trPr>
        <w:tc>
          <w:tcPr>
            <w:tcW w:w="2734" w:type="dxa"/>
            <w:gridSpan w:val="2"/>
            <w:tcBorders>
              <w:bottom w:val="single" w:sz="4" w:space="0" w:color="auto"/>
            </w:tcBorders>
            <w:shd w:val="clear" w:color="auto" w:fill="auto"/>
          </w:tcPr>
          <w:p w:rsidR="001A63C6" w:rsidRPr="00BD7CEA" w:rsidRDefault="001A63C6" w:rsidP="00E215F4">
            <w:pPr>
              <w:pStyle w:val="ProductNames"/>
              <w:spacing w:beforeLines="20" w:before="48" w:afterLines="20" w:after="48"/>
              <w:rPr>
                <w:rFonts w:ascii="Tahoma" w:hAnsi="Tahoma" w:cs="Tahoma"/>
                <w:sz w:val="14"/>
              </w:rPr>
            </w:pPr>
            <w:bookmarkStart w:id="165" w:name="_Toc353375713"/>
            <w:r w:rsidRPr="00BD7CEA">
              <w:rPr>
                <w:rFonts w:ascii="Tahoma" w:hAnsi="Tahoma" w:cs="Tahoma"/>
                <w:sz w:val="14"/>
              </w:rPr>
              <w:t>Bing Maps Mobile Asset Management Platform Fee Monthly Sub</w:t>
            </w:r>
            <w:bookmarkEnd w:id="165"/>
          </w:p>
        </w:tc>
        <w:tc>
          <w:tcPr>
            <w:tcW w:w="450" w:type="dxa"/>
            <w:tcBorders>
              <w:bottom w:val="single" w:sz="4" w:space="0" w:color="auto"/>
            </w:tcBorders>
            <w:shd w:val="clear" w:color="auto" w:fill="auto"/>
            <w:vAlign w:val="center"/>
          </w:tcPr>
          <w:p w:rsidR="001A63C6" w:rsidRPr="00BD7CEA" w:rsidRDefault="006E5080" w:rsidP="00132E08">
            <w:pPr>
              <w:jc w:val="center"/>
              <w:rPr>
                <w:rFonts w:ascii="Trebuchet MS" w:hAnsi="Trebuchet MS"/>
                <w:b/>
                <w:sz w:val="13"/>
                <w:szCs w:val="13"/>
              </w:rPr>
            </w:pPr>
            <w:hyperlink w:anchor="_31_SL_Add-On" w:history="1">
              <w:r w:rsidR="00C36760" w:rsidRPr="00BD7CEA">
                <w:rPr>
                  <w:rStyle w:val="Hyperlink"/>
                  <w:rFonts w:ascii="Trebuchet MS" w:hAnsi="Trebuchet MS"/>
                  <w:b/>
                  <w:sz w:val="13"/>
                  <w:szCs w:val="13"/>
                </w:rPr>
                <w:t>31</w:t>
              </w:r>
            </w:hyperlink>
          </w:p>
        </w:tc>
        <w:tc>
          <w:tcPr>
            <w:tcW w:w="450" w:type="dxa"/>
            <w:tcBorders>
              <w:bottom w:val="single" w:sz="4" w:space="0" w:color="auto"/>
            </w:tcBorders>
            <w:shd w:val="clear" w:color="auto" w:fill="auto"/>
            <w:vAlign w:val="center"/>
          </w:tcPr>
          <w:p w:rsidR="001A63C6" w:rsidRPr="00BD7CEA" w:rsidRDefault="00D15BAA" w:rsidP="002253A3">
            <w:pPr>
              <w:jc w:val="center"/>
              <w:rPr>
                <w:rFonts w:cs="Tahoma"/>
                <w:sz w:val="14"/>
              </w:rPr>
            </w:pPr>
            <w:r w:rsidRPr="00BD7CEA">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BD7CEA"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BD7CEA" w:rsidRDefault="001A63C6" w:rsidP="002253A3">
            <w:pPr>
              <w:jc w:val="center"/>
              <w:rPr>
                <w:rFonts w:cs="Tahoma"/>
                <w:sz w:val="14"/>
              </w:rPr>
            </w:pPr>
            <w:r w:rsidRPr="00BD7CEA">
              <w:rPr>
                <w:rFonts w:cs="Tahoma"/>
                <w:sz w:val="14"/>
              </w:rPr>
              <w:t>50 crediti</w:t>
            </w:r>
          </w:p>
        </w:tc>
        <w:tc>
          <w:tcPr>
            <w:tcW w:w="450" w:type="dxa"/>
            <w:tcBorders>
              <w:left w:val="single" w:sz="18" w:space="0" w:color="auto"/>
              <w:bottom w:val="single" w:sz="4" w:space="0" w:color="auto"/>
            </w:tcBorders>
            <w:shd w:val="clear" w:color="auto" w:fill="auto"/>
            <w:vAlign w:val="center"/>
          </w:tcPr>
          <w:p w:rsidR="001A63C6" w:rsidRPr="00BD7CEA" w:rsidRDefault="001A63C6" w:rsidP="002253A3">
            <w:pPr>
              <w:jc w:val="center"/>
              <w:rPr>
                <w:rFonts w:cs="Tahoma"/>
                <w:sz w:val="14"/>
              </w:rPr>
            </w:pPr>
            <w:r w:rsidRPr="00BD7CEA">
              <w:rPr>
                <w:rFonts w:cs="Tahoma"/>
                <w:sz w:val="14"/>
              </w:rPr>
              <w:t>50</w:t>
            </w:r>
          </w:p>
        </w:tc>
        <w:tc>
          <w:tcPr>
            <w:tcW w:w="450" w:type="dxa"/>
            <w:tcBorders>
              <w:bottom w:val="single" w:sz="4" w:space="0" w:color="auto"/>
            </w:tcBorders>
            <w:shd w:val="clear" w:color="auto" w:fill="auto"/>
            <w:vAlign w:val="center"/>
          </w:tcPr>
          <w:p w:rsidR="001A63C6" w:rsidRPr="00BD7CEA"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2253A3">
            <w:pPr>
              <w:jc w:val="center"/>
              <w:rPr>
                <w:rFonts w:cs="Tahoma"/>
                <w:sz w:val="14"/>
              </w:rPr>
            </w:pPr>
            <w:r w:rsidRPr="00BD7CEA">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2253A3">
            <w:pPr>
              <w:jc w:val="center"/>
              <w:rPr>
                <w:rFonts w:cs="Tahoma"/>
                <w:sz w:val="14"/>
              </w:rPr>
            </w:pPr>
            <w:r w:rsidRPr="00BD7CEA">
              <w:rPr>
                <w:rFonts w:cs="Tahoma"/>
                <w:sz w:val="13"/>
              </w:rPr>
              <w:t>P</w:t>
            </w:r>
          </w:p>
        </w:tc>
        <w:tc>
          <w:tcPr>
            <w:tcW w:w="450" w:type="dxa"/>
            <w:tcBorders>
              <w:bottom w:val="single" w:sz="4" w:space="0" w:color="auto"/>
            </w:tcBorders>
            <w:shd w:val="clear" w:color="auto" w:fill="auto"/>
            <w:vAlign w:val="center"/>
          </w:tcPr>
          <w:p w:rsidR="001A63C6" w:rsidRPr="00BD7CEA"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BD7CEA" w:rsidRDefault="001A63C6" w:rsidP="002253A3">
            <w:pPr>
              <w:jc w:val="center"/>
              <w:rPr>
                <w:rFonts w:cs="Tahoma"/>
                <w:sz w:val="14"/>
              </w:rPr>
            </w:pPr>
            <w:r w:rsidRPr="00BD7CEA">
              <w:rPr>
                <w:rFonts w:cs="Tahoma"/>
                <w:sz w:val="13"/>
              </w:rPr>
              <w:t>OL/OV</w:t>
            </w:r>
          </w:p>
        </w:tc>
      </w:tr>
      <w:tr w:rsidR="001A63C6" w:rsidRPr="00BD7CEA" w:rsidTr="006B1F3F">
        <w:trPr>
          <w:trHeight w:val="145"/>
        </w:trPr>
        <w:tc>
          <w:tcPr>
            <w:tcW w:w="2734" w:type="dxa"/>
            <w:gridSpan w:val="2"/>
            <w:tcBorders>
              <w:bottom w:val="single" w:sz="4" w:space="0" w:color="auto"/>
            </w:tcBorders>
            <w:shd w:val="clear" w:color="auto" w:fill="FABF8F"/>
          </w:tcPr>
          <w:p w:rsidR="001A63C6" w:rsidRPr="00BD7CEA" w:rsidRDefault="001A63C6" w:rsidP="006356EC">
            <w:pPr>
              <w:pStyle w:val="ProductNames"/>
              <w:spacing w:beforeLines="20" w:before="48" w:afterLines="20" w:after="48"/>
              <w:rPr>
                <w:rFonts w:ascii="Tahoma" w:hAnsi="Tahoma" w:cs="Tahoma"/>
                <w:sz w:val="14"/>
              </w:rPr>
            </w:pPr>
            <w:bookmarkStart w:id="166" w:name="_Toc353375714"/>
            <w:r w:rsidRPr="00BD7CEA">
              <w:rPr>
                <w:rFonts w:ascii="Tahoma" w:hAnsi="Tahoma" w:cs="Tahoma"/>
                <w:sz w:val="14"/>
              </w:rPr>
              <w:t>Bing Maps Mobile Asset Management NA w</w:t>
            </w:r>
            <w:r w:rsidR="006356EC" w:rsidRPr="00BD7CEA">
              <w:rPr>
                <w:rFonts w:ascii="Tahoma" w:hAnsi="Tahoma" w:cs="Tahoma"/>
                <w:sz w:val="14"/>
              </w:rPr>
              <w:t> </w:t>
            </w:r>
            <w:r w:rsidRPr="00BD7CEA">
              <w:rPr>
                <w:rFonts w:ascii="Tahoma" w:hAnsi="Tahoma" w:cs="Tahoma"/>
                <w:sz w:val="14"/>
              </w:rPr>
              <w:t>routing Per Asset Monthly Sub</w:t>
            </w:r>
            <w:bookmarkEnd w:id="166"/>
          </w:p>
        </w:tc>
        <w:tc>
          <w:tcPr>
            <w:tcW w:w="450" w:type="dxa"/>
            <w:tcBorders>
              <w:bottom w:val="single" w:sz="4" w:space="0" w:color="auto"/>
            </w:tcBorders>
            <w:shd w:val="clear" w:color="auto" w:fill="FABF8F"/>
            <w:vAlign w:val="center"/>
          </w:tcPr>
          <w:p w:rsidR="001A63C6" w:rsidRPr="00BD7CEA" w:rsidRDefault="006E5080" w:rsidP="00132E08">
            <w:pPr>
              <w:jc w:val="center"/>
              <w:rPr>
                <w:rFonts w:ascii="Trebuchet MS" w:hAnsi="Trebuchet MS"/>
                <w:b/>
                <w:sz w:val="13"/>
                <w:szCs w:val="13"/>
              </w:rPr>
            </w:pPr>
            <w:hyperlink w:anchor="_31_SL_Add-On" w:history="1">
              <w:r w:rsidR="00C36760" w:rsidRPr="00BD7CEA">
                <w:rPr>
                  <w:rStyle w:val="Hyperlink"/>
                  <w:rFonts w:ascii="Trebuchet MS" w:hAnsi="Trebuchet MS"/>
                  <w:b/>
                  <w:sz w:val="13"/>
                  <w:szCs w:val="13"/>
                </w:rPr>
                <w:t>31</w:t>
              </w:r>
            </w:hyperlink>
          </w:p>
        </w:tc>
        <w:tc>
          <w:tcPr>
            <w:tcW w:w="450" w:type="dxa"/>
            <w:tcBorders>
              <w:bottom w:val="single" w:sz="4" w:space="0" w:color="auto"/>
            </w:tcBorders>
            <w:shd w:val="clear" w:color="auto" w:fill="FABF8F"/>
            <w:vAlign w:val="center"/>
          </w:tcPr>
          <w:p w:rsidR="001A63C6" w:rsidRPr="00BD7CEA" w:rsidRDefault="00D15BAA" w:rsidP="002253A3">
            <w:pPr>
              <w:jc w:val="center"/>
              <w:rPr>
                <w:rFonts w:cs="Tahoma"/>
                <w:sz w:val="14"/>
              </w:rPr>
            </w:pPr>
            <w:r w:rsidRPr="00BD7CEA">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BD7CEA"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BD7CEA" w:rsidRDefault="001A63C6" w:rsidP="002253A3">
            <w:pPr>
              <w:jc w:val="center"/>
              <w:rPr>
                <w:rFonts w:cs="Tahoma"/>
                <w:sz w:val="14"/>
              </w:rPr>
            </w:pPr>
            <w:r w:rsidRPr="00BD7CEA">
              <w:rPr>
                <w:rFonts w:cs="Tahoma"/>
                <w:sz w:val="14"/>
              </w:rPr>
              <w:t>1 punto</w:t>
            </w:r>
          </w:p>
        </w:tc>
        <w:tc>
          <w:tcPr>
            <w:tcW w:w="450" w:type="dxa"/>
            <w:tcBorders>
              <w:left w:val="single" w:sz="18" w:space="0" w:color="auto"/>
              <w:bottom w:val="single" w:sz="4" w:space="0" w:color="auto"/>
            </w:tcBorders>
            <w:shd w:val="clear" w:color="auto" w:fill="FABF8F"/>
            <w:vAlign w:val="center"/>
          </w:tcPr>
          <w:p w:rsidR="001A63C6" w:rsidRPr="00BD7CEA" w:rsidRDefault="001A63C6" w:rsidP="002253A3">
            <w:pPr>
              <w:jc w:val="center"/>
              <w:rPr>
                <w:rFonts w:cs="Tahoma"/>
                <w:sz w:val="14"/>
              </w:rPr>
            </w:pPr>
            <w:r w:rsidRPr="00BD7CEA">
              <w:rPr>
                <w:rFonts w:cs="Tahoma"/>
                <w:sz w:val="14"/>
              </w:rPr>
              <w:t>1</w:t>
            </w:r>
          </w:p>
        </w:tc>
        <w:tc>
          <w:tcPr>
            <w:tcW w:w="450" w:type="dxa"/>
            <w:tcBorders>
              <w:bottom w:val="single" w:sz="4" w:space="0" w:color="auto"/>
            </w:tcBorders>
            <w:shd w:val="clear" w:color="auto" w:fill="FABF8F"/>
            <w:vAlign w:val="center"/>
          </w:tcPr>
          <w:p w:rsidR="001A63C6" w:rsidRPr="00BD7CEA"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2253A3">
            <w:pPr>
              <w:jc w:val="center"/>
              <w:rPr>
                <w:rFonts w:cs="Tahoma"/>
                <w:sz w:val="14"/>
              </w:rPr>
            </w:pPr>
            <w:r w:rsidRPr="00BD7CEA">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2253A3">
            <w:pPr>
              <w:jc w:val="center"/>
              <w:rPr>
                <w:rFonts w:cs="Tahoma"/>
                <w:sz w:val="14"/>
              </w:rPr>
            </w:pPr>
            <w:r w:rsidRPr="00BD7CEA">
              <w:rPr>
                <w:rFonts w:cs="Tahoma"/>
                <w:sz w:val="13"/>
              </w:rPr>
              <w:t>P</w:t>
            </w:r>
          </w:p>
        </w:tc>
        <w:tc>
          <w:tcPr>
            <w:tcW w:w="450" w:type="dxa"/>
            <w:tcBorders>
              <w:bottom w:val="single" w:sz="4" w:space="0" w:color="auto"/>
            </w:tcBorders>
            <w:shd w:val="clear" w:color="auto" w:fill="FABF8F"/>
            <w:vAlign w:val="center"/>
          </w:tcPr>
          <w:p w:rsidR="001A63C6" w:rsidRPr="00BD7CEA" w:rsidRDefault="001A63C6" w:rsidP="002253A3">
            <w:pPr>
              <w:jc w:val="center"/>
              <w:rPr>
                <w:rFonts w:cs="Tahoma"/>
                <w:sz w:val="13"/>
              </w:rPr>
            </w:pPr>
          </w:p>
        </w:tc>
        <w:tc>
          <w:tcPr>
            <w:tcW w:w="540" w:type="dxa"/>
            <w:tcBorders>
              <w:bottom w:val="single" w:sz="4" w:space="0" w:color="auto"/>
            </w:tcBorders>
            <w:shd w:val="clear" w:color="auto" w:fill="FABF8F"/>
            <w:vAlign w:val="center"/>
          </w:tcPr>
          <w:p w:rsidR="001A63C6" w:rsidRPr="00BD7CEA" w:rsidRDefault="001A63C6" w:rsidP="002253A3">
            <w:pPr>
              <w:jc w:val="center"/>
              <w:rPr>
                <w:rFonts w:cs="Tahoma"/>
                <w:sz w:val="14"/>
              </w:rPr>
            </w:pPr>
            <w:r w:rsidRPr="00BD7CEA">
              <w:rPr>
                <w:rFonts w:cs="Tahoma"/>
                <w:sz w:val="13"/>
              </w:rPr>
              <w:t>OL/OV</w:t>
            </w:r>
          </w:p>
        </w:tc>
      </w:tr>
      <w:tr w:rsidR="001A63C6" w:rsidRPr="00BD7CEA" w:rsidTr="006B1F3F">
        <w:trPr>
          <w:trHeight w:val="145"/>
        </w:trPr>
        <w:tc>
          <w:tcPr>
            <w:tcW w:w="2734" w:type="dxa"/>
            <w:gridSpan w:val="2"/>
            <w:tcBorders>
              <w:bottom w:val="single" w:sz="4" w:space="0" w:color="auto"/>
            </w:tcBorders>
            <w:shd w:val="clear" w:color="auto" w:fill="auto"/>
          </w:tcPr>
          <w:p w:rsidR="001A63C6" w:rsidRPr="00BD7CEA" w:rsidRDefault="001A63C6" w:rsidP="00E215F4">
            <w:pPr>
              <w:pStyle w:val="ProductNames"/>
              <w:spacing w:beforeLines="20" w:before="48" w:afterLines="20" w:after="48"/>
              <w:rPr>
                <w:rFonts w:ascii="Tahoma" w:hAnsi="Tahoma" w:cs="Tahoma"/>
                <w:sz w:val="14"/>
              </w:rPr>
            </w:pPr>
            <w:bookmarkStart w:id="167" w:name="_Toc353375715"/>
            <w:r w:rsidRPr="00BD7CEA">
              <w:rPr>
                <w:rFonts w:ascii="Tahoma" w:hAnsi="Tahoma" w:cs="Tahoma"/>
                <w:sz w:val="14"/>
              </w:rPr>
              <w:t>Bing Maps Mobile Asset Management NA w/o routing Per Asset Monthly Sub</w:t>
            </w:r>
            <w:bookmarkEnd w:id="167"/>
          </w:p>
        </w:tc>
        <w:tc>
          <w:tcPr>
            <w:tcW w:w="450" w:type="dxa"/>
            <w:tcBorders>
              <w:bottom w:val="single" w:sz="4" w:space="0" w:color="auto"/>
            </w:tcBorders>
            <w:shd w:val="clear" w:color="auto" w:fill="auto"/>
            <w:vAlign w:val="center"/>
          </w:tcPr>
          <w:p w:rsidR="001A63C6" w:rsidRPr="00BD7CEA" w:rsidRDefault="006E5080" w:rsidP="00132E08">
            <w:pPr>
              <w:jc w:val="center"/>
              <w:rPr>
                <w:rFonts w:ascii="Trebuchet MS" w:hAnsi="Trebuchet MS"/>
                <w:b/>
                <w:sz w:val="13"/>
                <w:szCs w:val="13"/>
              </w:rPr>
            </w:pPr>
            <w:hyperlink w:anchor="_31_SL_Add-On" w:history="1">
              <w:r w:rsidR="00C36760" w:rsidRPr="00BD7CEA">
                <w:rPr>
                  <w:rStyle w:val="Hyperlink"/>
                  <w:rFonts w:ascii="Trebuchet MS" w:hAnsi="Trebuchet MS"/>
                  <w:b/>
                  <w:sz w:val="13"/>
                  <w:szCs w:val="13"/>
                </w:rPr>
                <w:t>31</w:t>
              </w:r>
            </w:hyperlink>
          </w:p>
        </w:tc>
        <w:tc>
          <w:tcPr>
            <w:tcW w:w="450" w:type="dxa"/>
            <w:tcBorders>
              <w:bottom w:val="single" w:sz="4" w:space="0" w:color="auto"/>
            </w:tcBorders>
            <w:shd w:val="clear" w:color="auto" w:fill="auto"/>
            <w:vAlign w:val="center"/>
          </w:tcPr>
          <w:p w:rsidR="001A63C6" w:rsidRPr="00BD7CEA" w:rsidRDefault="00D15BAA" w:rsidP="002253A3">
            <w:pPr>
              <w:jc w:val="center"/>
              <w:rPr>
                <w:rFonts w:cs="Tahoma"/>
                <w:sz w:val="14"/>
              </w:rPr>
            </w:pPr>
            <w:r w:rsidRPr="00BD7CEA">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BD7CEA"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BD7CEA" w:rsidRDefault="001A63C6" w:rsidP="002253A3">
            <w:pPr>
              <w:jc w:val="center"/>
              <w:rPr>
                <w:rFonts w:cs="Tahoma"/>
                <w:sz w:val="14"/>
              </w:rPr>
            </w:pPr>
            <w:r w:rsidRPr="00BD7CEA">
              <w:rPr>
                <w:rFonts w:cs="Tahoma"/>
                <w:sz w:val="14"/>
              </w:rPr>
              <w:t>1 punto</w:t>
            </w:r>
          </w:p>
        </w:tc>
        <w:tc>
          <w:tcPr>
            <w:tcW w:w="450" w:type="dxa"/>
            <w:tcBorders>
              <w:left w:val="single" w:sz="18" w:space="0" w:color="auto"/>
              <w:bottom w:val="single" w:sz="4" w:space="0" w:color="auto"/>
            </w:tcBorders>
            <w:shd w:val="clear" w:color="auto" w:fill="auto"/>
            <w:vAlign w:val="center"/>
          </w:tcPr>
          <w:p w:rsidR="001A63C6" w:rsidRPr="00BD7CEA" w:rsidRDefault="001A63C6" w:rsidP="002253A3">
            <w:pPr>
              <w:jc w:val="center"/>
              <w:rPr>
                <w:rFonts w:cs="Tahoma"/>
                <w:sz w:val="14"/>
              </w:rPr>
            </w:pPr>
            <w:r w:rsidRPr="00BD7CEA">
              <w:rPr>
                <w:rFonts w:cs="Tahoma"/>
                <w:sz w:val="14"/>
              </w:rPr>
              <w:t>1</w:t>
            </w:r>
          </w:p>
        </w:tc>
        <w:tc>
          <w:tcPr>
            <w:tcW w:w="450" w:type="dxa"/>
            <w:tcBorders>
              <w:bottom w:val="single" w:sz="4" w:space="0" w:color="auto"/>
            </w:tcBorders>
            <w:shd w:val="clear" w:color="auto" w:fill="auto"/>
            <w:vAlign w:val="center"/>
          </w:tcPr>
          <w:p w:rsidR="001A63C6" w:rsidRPr="00BD7CEA"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2253A3">
            <w:pPr>
              <w:jc w:val="center"/>
              <w:rPr>
                <w:rFonts w:cs="Tahoma"/>
                <w:sz w:val="14"/>
              </w:rPr>
            </w:pPr>
            <w:r w:rsidRPr="00BD7CEA">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2253A3">
            <w:pPr>
              <w:jc w:val="center"/>
              <w:rPr>
                <w:rFonts w:cs="Tahoma"/>
                <w:sz w:val="14"/>
              </w:rPr>
            </w:pPr>
            <w:r w:rsidRPr="00BD7CEA">
              <w:rPr>
                <w:rFonts w:cs="Tahoma"/>
                <w:sz w:val="13"/>
              </w:rPr>
              <w:t>P</w:t>
            </w:r>
          </w:p>
        </w:tc>
        <w:tc>
          <w:tcPr>
            <w:tcW w:w="450" w:type="dxa"/>
            <w:tcBorders>
              <w:bottom w:val="single" w:sz="4" w:space="0" w:color="auto"/>
            </w:tcBorders>
            <w:shd w:val="clear" w:color="auto" w:fill="auto"/>
            <w:vAlign w:val="center"/>
          </w:tcPr>
          <w:p w:rsidR="001A63C6" w:rsidRPr="00BD7CEA"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BD7CEA" w:rsidRDefault="001A63C6" w:rsidP="002253A3">
            <w:pPr>
              <w:jc w:val="center"/>
              <w:rPr>
                <w:rFonts w:cs="Tahoma"/>
                <w:sz w:val="14"/>
              </w:rPr>
            </w:pPr>
            <w:r w:rsidRPr="00BD7CEA">
              <w:rPr>
                <w:rFonts w:cs="Tahoma"/>
                <w:sz w:val="13"/>
              </w:rPr>
              <w:t>OL/OV</w:t>
            </w:r>
          </w:p>
        </w:tc>
      </w:tr>
      <w:tr w:rsidR="001A63C6" w:rsidRPr="00BD7CEA" w:rsidTr="006B1F3F">
        <w:trPr>
          <w:trHeight w:val="145"/>
        </w:trPr>
        <w:tc>
          <w:tcPr>
            <w:tcW w:w="2734" w:type="dxa"/>
            <w:gridSpan w:val="2"/>
            <w:tcBorders>
              <w:bottom w:val="single" w:sz="4" w:space="0" w:color="auto"/>
            </w:tcBorders>
            <w:shd w:val="clear" w:color="auto" w:fill="FABF8F"/>
          </w:tcPr>
          <w:p w:rsidR="001A63C6" w:rsidRPr="00BD7CEA" w:rsidRDefault="001A63C6" w:rsidP="00E215F4">
            <w:pPr>
              <w:pStyle w:val="ProductNames"/>
              <w:spacing w:beforeLines="20" w:before="48" w:afterLines="20" w:after="48"/>
              <w:rPr>
                <w:rFonts w:ascii="Tahoma" w:hAnsi="Tahoma" w:cs="Tahoma"/>
                <w:sz w:val="14"/>
              </w:rPr>
            </w:pPr>
            <w:bookmarkStart w:id="168" w:name="_Toc353375716"/>
            <w:r w:rsidRPr="00BD7CEA">
              <w:rPr>
                <w:rFonts w:ascii="Tahoma" w:hAnsi="Tahoma" w:cs="Tahoma"/>
                <w:sz w:val="14"/>
              </w:rPr>
              <w:t>Bing Maps Mobile Asset Management Europe w routing Per Asset Monthly Sub</w:t>
            </w:r>
            <w:bookmarkEnd w:id="168"/>
          </w:p>
        </w:tc>
        <w:tc>
          <w:tcPr>
            <w:tcW w:w="450" w:type="dxa"/>
            <w:tcBorders>
              <w:bottom w:val="single" w:sz="4" w:space="0" w:color="auto"/>
            </w:tcBorders>
            <w:shd w:val="clear" w:color="auto" w:fill="FABF8F"/>
            <w:vAlign w:val="center"/>
          </w:tcPr>
          <w:p w:rsidR="001A63C6" w:rsidRPr="00BD7CEA" w:rsidRDefault="006E5080" w:rsidP="00132E08">
            <w:pPr>
              <w:jc w:val="center"/>
              <w:rPr>
                <w:rFonts w:ascii="Trebuchet MS" w:hAnsi="Trebuchet MS"/>
                <w:b/>
                <w:sz w:val="13"/>
                <w:szCs w:val="13"/>
              </w:rPr>
            </w:pPr>
            <w:hyperlink w:anchor="_31_SL_Add-On" w:history="1">
              <w:r w:rsidR="00C36760" w:rsidRPr="00BD7CEA">
                <w:rPr>
                  <w:rStyle w:val="Hyperlink"/>
                  <w:rFonts w:ascii="Trebuchet MS" w:hAnsi="Trebuchet MS"/>
                  <w:b/>
                  <w:sz w:val="13"/>
                  <w:szCs w:val="13"/>
                </w:rPr>
                <w:t>31</w:t>
              </w:r>
            </w:hyperlink>
          </w:p>
        </w:tc>
        <w:tc>
          <w:tcPr>
            <w:tcW w:w="450" w:type="dxa"/>
            <w:tcBorders>
              <w:bottom w:val="single" w:sz="4" w:space="0" w:color="auto"/>
            </w:tcBorders>
            <w:shd w:val="clear" w:color="auto" w:fill="FABF8F"/>
            <w:vAlign w:val="center"/>
          </w:tcPr>
          <w:p w:rsidR="001A63C6" w:rsidRPr="00BD7CEA" w:rsidRDefault="00D15BAA" w:rsidP="002253A3">
            <w:pPr>
              <w:jc w:val="center"/>
              <w:rPr>
                <w:rFonts w:cs="Tahoma"/>
                <w:sz w:val="14"/>
              </w:rPr>
            </w:pPr>
            <w:r w:rsidRPr="00BD7CEA">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BD7CEA"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BD7CEA" w:rsidRDefault="001A63C6" w:rsidP="002253A3">
            <w:pPr>
              <w:jc w:val="center"/>
              <w:rPr>
                <w:rFonts w:cs="Tahoma"/>
                <w:sz w:val="14"/>
              </w:rPr>
            </w:pPr>
            <w:r w:rsidRPr="00BD7CEA">
              <w:rPr>
                <w:rFonts w:cs="Tahoma"/>
                <w:sz w:val="14"/>
              </w:rPr>
              <w:t>1 punto</w:t>
            </w:r>
          </w:p>
        </w:tc>
        <w:tc>
          <w:tcPr>
            <w:tcW w:w="450" w:type="dxa"/>
            <w:tcBorders>
              <w:left w:val="single" w:sz="18" w:space="0" w:color="auto"/>
              <w:bottom w:val="single" w:sz="4" w:space="0" w:color="auto"/>
            </w:tcBorders>
            <w:shd w:val="clear" w:color="auto" w:fill="FABF8F"/>
            <w:vAlign w:val="center"/>
          </w:tcPr>
          <w:p w:rsidR="001A63C6" w:rsidRPr="00BD7CEA" w:rsidRDefault="001A63C6" w:rsidP="002253A3">
            <w:pPr>
              <w:jc w:val="center"/>
              <w:rPr>
                <w:rFonts w:cs="Tahoma"/>
                <w:sz w:val="14"/>
              </w:rPr>
            </w:pPr>
            <w:r w:rsidRPr="00BD7CEA">
              <w:rPr>
                <w:rFonts w:cs="Tahoma"/>
                <w:sz w:val="14"/>
              </w:rPr>
              <w:t>1</w:t>
            </w:r>
          </w:p>
        </w:tc>
        <w:tc>
          <w:tcPr>
            <w:tcW w:w="450" w:type="dxa"/>
            <w:tcBorders>
              <w:bottom w:val="single" w:sz="4" w:space="0" w:color="auto"/>
            </w:tcBorders>
            <w:shd w:val="clear" w:color="auto" w:fill="FABF8F"/>
            <w:vAlign w:val="center"/>
          </w:tcPr>
          <w:p w:rsidR="001A63C6" w:rsidRPr="00BD7CEA"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2253A3">
            <w:pPr>
              <w:jc w:val="center"/>
              <w:rPr>
                <w:rFonts w:cs="Tahoma"/>
                <w:sz w:val="14"/>
              </w:rPr>
            </w:pPr>
            <w:r w:rsidRPr="00BD7CEA">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2253A3">
            <w:pPr>
              <w:jc w:val="center"/>
              <w:rPr>
                <w:rFonts w:cs="Tahoma"/>
                <w:sz w:val="14"/>
              </w:rPr>
            </w:pPr>
            <w:r w:rsidRPr="00BD7CEA">
              <w:rPr>
                <w:rFonts w:cs="Tahoma"/>
                <w:sz w:val="13"/>
              </w:rPr>
              <w:t>P</w:t>
            </w:r>
          </w:p>
        </w:tc>
        <w:tc>
          <w:tcPr>
            <w:tcW w:w="450" w:type="dxa"/>
            <w:tcBorders>
              <w:bottom w:val="single" w:sz="4" w:space="0" w:color="auto"/>
            </w:tcBorders>
            <w:shd w:val="clear" w:color="auto" w:fill="FABF8F"/>
            <w:vAlign w:val="center"/>
          </w:tcPr>
          <w:p w:rsidR="001A63C6" w:rsidRPr="00BD7CEA" w:rsidRDefault="001A63C6" w:rsidP="002253A3">
            <w:pPr>
              <w:jc w:val="center"/>
              <w:rPr>
                <w:rFonts w:cs="Tahoma"/>
                <w:sz w:val="13"/>
              </w:rPr>
            </w:pPr>
          </w:p>
        </w:tc>
        <w:tc>
          <w:tcPr>
            <w:tcW w:w="540" w:type="dxa"/>
            <w:tcBorders>
              <w:bottom w:val="single" w:sz="4" w:space="0" w:color="auto"/>
            </w:tcBorders>
            <w:shd w:val="clear" w:color="auto" w:fill="FABF8F"/>
            <w:vAlign w:val="center"/>
          </w:tcPr>
          <w:p w:rsidR="001A63C6" w:rsidRPr="00BD7CEA" w:rsidRDefault="001A63C6" w:rsidP="002253A3">
            <w:pPr>
              <w:jc w:val="center"/>
              <w:rPr>
                <w:rFonts w:cs="Tahoma"/>
                <w:sz w:val="14"/>
              </w:rPr>
            </w:pPr>
            <w:r w:rsidRPr="00BD7CEA">
              <w:rPr>
                <w:rFonts w:cs="Tahoma"/>
                <w:sz w:val="13"/>
              </w:rPr>
              <w:t>OL/OV</w:t>
            </w:r>
          </w:p>
        </w:tc>
      </w:tr>
      <w:tr w:rsidR="001A63C6" w:rsidRPr="00BD7CEA" w:rsidTr="006B1F3F">
        <w:trPr>
          <w:trHeight w:val="145"/>
        </w:trPr>
        <w:tc>
          <w:tcPr>
            <w:tcW w:w="2734" w:type="dxa"/>
            <w:gridSpan w:val="2"/>
            <w:tcBorders>
              <w:bottom w:val="single" w:sz="4" w:space="0" w:color="auto"/>
            </w:tcBorders>
            <w:shd w:val="clear" w:color="auto" w:fill="auto"/>
          </w:tcPr>
          <w:p w:rsidR="001A63C6" w:rsidRPr="00BD7CEA" w:rsidRDefault="001A63C6" w:rsidP="00E215F4">
            <w:pPr>
              <w:pStyle w:val="ProductNames"/>
              <w:spacing w:beforeLines="20" w:before="48" w:afterLines="20" w:after="48"/>
              <w:rPr>
                <w:rFonts w:ascii="Tahoma" w:hAnsi="Tahoma" w:cs="Tahoma"/>
                <w:sz w:val="14"/>
              </w:rPr>
            </w:pPr>
            <w:bookmarkStart w:id="169" w:name="_Toc353375717"/>
            <w:r w:rsidRPr="00BD7CEA">
              <w:rPr>
                <w:rFonts w:ascii="Tahoma" w:hAnsi="Tahoma" w:cs="Tahoma"/>
                <w:sz w:val="14"/>
              </w:rPr>
              <w:t>Bing Maps Mobile Asset Management Europe w/o routing Per Asset Monthly Sub</w:t>
            </w:r>
            <w:bookmarkEnd w:id="169"/>
          </w:p>
        </w:tc>
        <w:tc>
          <w:tcPr>
            <w:tcW w:w="450" w:type="dxa"/>
            <w:tcBorders>
              <w:bottom w:val="single" w:sz="4" w:space="0" w:color="auto"/>
            </w:tcBorders>
            <w:shd w:val="clear" w:color="auto" w:fill="auto"/>
            <w:vAlign w:val="center"/>
          </w:tcPr>
          <w:p w:rsidR="001A63C6" w:rsidRPr="00BD7CEA" w:rsidRDefault="006E5080" w:rsidP="00132E08">
            <w:pPr>
              <w:jc w:val="center"/>
              <w:rPr>
                <w:rFonts w:ascii="Trebuchet MS" w:hAnsi="Trebuchet MS"/>
                <w:b/>
                <w:sz w:val="13"/>
                <w:szCs w:val="13"/>
              </w:rPr>
            </w:pPr>
            <w:hyperlink w:anchor="_31_SL_Add-On" w:history="1">
              <w:r w:rsidR="00C36760" w:rsidRPr="00BD7CEA">
                <w:rPr>
                  <w:rStyle w:val="Hyperlink"/>
                  <w:rFonts w:ascii="Trebuchet MS" w:hAnsi="Trebuchet MS"/>
                  <w:b/>
                  <w:sz w:val="13"/>
                  <w:szCs w:val="13"/>
                </w:rPr>
                <w:t>31</w:t>
              </w:r>
            </w:hyperlink>
          </w:p>
        </w:tc>
        <w:tc>
          <w:tcPr>
            <w:tcW w:w="450" w:type="dxa"/>
            <w:tcBorders>
              <w:bottom w:val="single" w:sz="4" w:space="0" w:color="auto"/>
            </w:tcBorders>
            <w:shd w:val="clear" w:color="auto" w:fill="auto"/>
            <w:vAlign w:val="center"/>
          </w:tcPr>
          <w:p w:rsidR="00D15BAA" w:rsidRPr="00BD7CEA" w:rsidRDefault="00D15BAA" w:rsidP="00D15BAA">
            <w:pPr>
              <w:jc w:val="center"/>
              <w:rPr>
                <w:rFonts w:cs="Tahoma"/>
                <w:sz w:val="14"/>
              </w:rPr>
            </w:pPr>
            <w:r w:rsidRPr="00BD7CEA">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BD7CEA"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BD7CEA" w:rsidRDefault="001A63C6" w:rsidP="002253A3">
            <w:pPr>
              <w:jc w:val="center"/>
              <w:rPr>
                <w:rFonts w:cs="Tahoma"/>
                <w:sz w:val="14"/>
              </w:rPr>
            </w:pPr>
            <w:r w:rsidRPr="00BD7CEA">
              <w:rPr>
                <w:rFonts w:cs="Tahoma"/>
                <w:sz w:val="14"/>
              </w:rPr>
              <w:t>1 punto</w:t>
            </w:r>
          </w:p>
        </w:tc>
        <w:tc>
          <w:tcPr>
            <w:tcW w:w="450" w:type="dxa"/>
            <w:tcBorders>
              <w:left w:val="single" w:sz="18" w:space="0" w:color="auto"/>
              <w:bottom w:val="single" w:sz="4" w:space="0" w:color="auto"/>
            </w:tcBorders>
            <w:shd w:val="clear" w:color="auto" w:fill="auto"/>
            <w:vAlign w:val="center"/>
          </w:tcPr>
          <w:p w:rsidR="001A63C6" w:rsidRPr="00BD7CEA" w:rsidRDefault="001A63C6" w:rsidP="002253A3">
            <w:pPr>
              <w:jc w:val="center"/>
              <w:rPr>
                <w:rFonts w:cs="Tahoma"/>
                <w:sz w:val="14"/>
              </w:rPr>
            </w:pPr>
            <w:r w:rsidRPr="00BD7CEA">
              <w:rPr>
                <w:rFonts w:cs="Tahoma"/>
                <w:sz w:val="14"/>
              </w:rPr>
              <w:t>1</w:t>
            </w:r>
          </w:p>
        </w:tc>
        <w:tc>
          <w:tcPr>
            <w:tcW w:w="450" w:type="dxa"/>
            <w:tcBorders>
              <w:bottom w:val="single" w:sz="4" w:space="0" w:color="auto"/>
            </w:tcBorders>
            <w:shd w:val="clear" w:color="auto" w:fill="auto"/>
            <w:vAlign w:val="center"/>
          </w:tcPr>
          <w:p w:rsidR="001A63C6" w:rsidRPr="00BD7CEA"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2253A3">
            <w:pPr>
              <w:jc w:val="center"/>
              <w:rPr>
                <w:rFonts w:cs="Tahoma"/>
                <w:sz w:val="14"/>
              </w:rPr>
            </w:pPr>
            <w:r w:rsidRPr="00BD7CEA">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2253A3">
            <w:pPr>
              <w:jc w:val="center"/>
              <w:rPr>
                <w:rFonts w:cs="Tahoma"/>
                <w:sz w:val="14"/>
              </w:rPr>
            </w:pPr>
            <w:r w:rsidRPr="00BD7CEA">
              <w:rPr>
                <w:rFonts w:cs="Tahoma"/>
                <w:sz w:val="13"/>
              </w:rPr>
              <w:t>P</w:t>
            </w:r>
          </w:p>
        </w:tc>
        <w:tc>
          <w:tcPr>
            <w:tcW w:w="450" w:type="dxa"/>
            <w:tcBorders>
              <w:bottom w:val="single" w:sz="4" w:space="0" w:color="auto"/>
            </w:tcBorders>
            <w:shd w:val="clear" w:color="auto" w:fill="auto"/>
            <w:vAlign w:val="center"/>
          </w:tcPr>
          <w:p w:rsidR="001A63C6" w:rsidRPr="00BD7CEA"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BD7CEA" w:rsidRDefault="001A63C6" w:rsidP="002253A3">
            <w:pPr>
              <w:jc w:val="center"/>
              <w:rPr>
                <w:rFonts w:cs="Tahoma"/>
                <w:sz w:val="14"/>
              </w:rPr>
            </w:pPr>
            <w:r w:rsidRPr="00BD7CEA">
              <w:rPr>
                <w:rFonts w:cs="Tahoma"/>
                <w:sz w:val="13"/>
              </w:rPr>
              <w:t>OL/OV</w:t>
            </w:r>
          </w:p>
        </w:tc>
      </w:tr>
      <w:tr w:rsidR="00EF228F" w:rsidRPr="00BD7CEA" w:rsidTr="006B1F3F">
        <w:trPr>
          <w:trHeight w:val="145"/>
        </w:trPr>
        <w:tc>
          <w:tcPr>
            <w:tcW w:w="2734" w:type="dxa"/>
            <w:gridSpan w:val="2"/>
            <w:tcBorders>
              <w:bottom w:val="single" w:sz="4" w:space="0" w:color="auto"/>
            </w:tcBorders>
            <w:shd w:val="clear" w:color="auto" w:fill="FABF8F"/>
          </w:tcPr>
          <w:p w:rsidR="001A63C6" w:rsidRPr="00BD7CEA" w:rsidRDefault="001A63C6" w:rsidP="00E215F4">
            <w:pPr>
              <w:pStyle w:val="ProductNames"/>
              <w:spacing w:beforeLines="20" w:before="48" w:afterLines="20" w:after="48"/>
              <w:rPr>
                <w:rFonts w:ascii="Tahoma" w:hAnsi="Tahoma"/>
                <w:sz w:val="14"/>
              </w:rPr>
            </w:pPr>
            <w:bookmarkStart w:id="170" w:name="_Toc336337910"/>
            <w:bookmarkStart w:id="171" w:name="_Toc353375718"/>
            <w:r w:rsidRPr="00BD7CEA">
              <w:rPr>
                <w:rFonts w:ascii="Tahoma" w:hAnsi="Tahoma" w:cs="Tahoma"/>
                <w:sz w:val="14"/>
              </w:rPr>
              <w:t>CAL per Bing Maps Server</w:t>
            </w:r>
            <w:bookmarkEnd w:id="170"/>
            <w:bookmarkEnd w:id="171"/>
          </w:p>
        </w:tc>
        <w:tc>
          <w:tcPr>
            <w:tcW w:w="450" w:type="dxa"/>
            <w:tcBorders>
              <w:bottom w:val="single" w:sz="4" w:space="0" w:color="auto"/>
            </w:tcBorders>
            <w:shd w:val="clear" w:color="auto" w:fill="FABF8F"/>
            <w:vAlign w:val="center"/>
          </w:tcPr>
          <w:p w:rsidR="001A63C6" w:rsidRPr="00BD7CEA" w:rsidRDefault="006E5080" w:rsidP="00132E08">
            <w:pPr>
              <w:jc w:val="center"/>
              <w:rPr>
                <w:rStyle w:val="EndnoteReference"/>
                <w:b w:val="0"/>
                <w:sz w:val="13"/>
                <w:szCs w:val="13"/>
                <w:u w:val="single"/>
              </w:rPr>
            </w:pPr>
            <w:hyperlink w:anchor="_31_SL_Add-On" w:history="1">
              <w:r w:rsidR="00C36760" w:rsidRPr="00BD7CEA">
                <w:rPr>
                  <w:rStyle w:val="Hyperlink"/>
                  <w:rFonts w:ascii="Trebuchet MS" w:hAnsi="Trebuchet MS"/>
                  <w:b/>
                  <w:sz w:val="13"/>
                  <w:szCs w:val="13"/>
                </w:rPr>
                <w:t>31</w:t>
              </w:r>
            </w:hyperlink>
          </w:p>
        </w:tc>
        <w:tc>
          <w:tcPr>
            <w:tcW w:w="450" w:type="dxa"/>
            <w:tcBorders>
              <w:bottom w:val="single" w:sz="4" w:space="0" w:color="auto"/>
            </w:tcBorders>
            <w:shd w:val="clear" w:color="auto" w:fill="FABF8F"/>
          </w:tcPr>
          <w:p w:rsidR="001A63C6" w:rsidRPr="00BD7CEA" w:rsidRDefault="001A63C6" w:rsidP="002253A3">
            <w:pPr>
              <w:jc w:val="center"/>
              <w:rPr>
                <w:rFonts w:cs="Tahoma"/>
                <w:sz w:val="13"/>
              </w:rPr>
            </w:pPr>
            <w:r w:rsidRPr="00BD7CEA">
              <w:rPr>
                <w:rFonts w:cs="Tahoma"/>
                <w:sz w:val="13"/>
              </w:rPr>
              <w:t>08/09</w:t>
            </w:r>
          </w:p>
        </w:tc>
        <w:tc>
          <w:tcPr>
            <w:tcW w:w="360" w:type="dxa"/>
            <w:tcBorders>
              <w:bottom w:val="single" w:sz="4" w:space="0" w:color="auto"/>
              <w:right w:val="single" w:sz="18" w:space="0" w:color="auto"/>
            </w:tcBorders>
            <w:shd w:val="clear" w:color="auto" w:fill="FABF8F"/>
            <w:vAlign w:val="center"/>
          </w:tcPr>
          <w:p w:rsidR="001A63C6" w:rsidRPr="00BD7CEA"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BD7CEA" w:rsidRDefault="001A63C6" w:rsidP="002253A3">
            <w:pPr>
              <w:jc w:val="center"/>
              <w:rPr>
                <w:rFonts w:cs="Tahoma"/>
                <w:sz w:val="13"/>
              </w:rPr>
            </w:pPr>
            <w:r w:rsidRPr="00BD7CEA">
              <w:rPr>
                <w:rFonts w:cs="Tahoma"/>
                <w:sz w:val="13"/>
              </w:rPr>
              <w:t>1 punto</w:t>
            </w:r>
          </w:p>
        </w:tc>
        <w:tc>
          <w:tcPr>
            <w:tcW w:w="450" w:type="dxa"/>
            <w:tcBorders>
              <w:left w:val="single" w:sz="18" w:space="0" w:color="auto"/>
              <w:bottom w:val="single" w:sz="4" w:space="0" w:color="auto"/>
            </w:tcBorders>
            <w:shd w:val="clear" w:color="auto" w:fill="FABF8F"/>
            <w:vAlign w:val="center"/>
          </w:tcPr>
          <w:p w:rsidR="001A63C6" w:rsidRPr="00BD7CEA" w:rsidRDefault="001A63C6" w:rsidP="002253A3">
            <w:pPr>
              <w:jc w:val="center"/>
              <w:rPr>
                <w:rFonts w:cs="Tahoma"/>
                <w:sz w:val="13"/>
              </w:rPr>
            </w:pPr>
            <w:r w:rsidRPr="00BD7CEA">
              <w:rPr>
                <w:rFonts w:cs="Tahoma"/>
                <w:sz w:val="13"/>
              </w:rPr>
              <w:t>1</w:t>
            </w:r>
          </w:p>
        </w:tc>
        <w:tc>
          <w:tcPr>
            <w:tcW w:w="450" w:type="dxa"/>
            <w:tcBorders>
              <w:bottom w:val="single" w:sz="4" w:space="0" w:color="auto"/>
            </w:tcBorders>
            <w:shd w:val="clear" w:color="auto" w:fill="FABF8F"/>
            <w:vAlign w:val="center"/>
          </w:tcPr>
          <w:p w:rsidR="001A63C6" w:rsidRPr="00BD7CEA"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2253A3">
            <w:pPr>
              <w:jc w:val="center"/>
              <w:rPr>
                <w:rFonts w:cs="Tahoma"/>
                <w:sz w:val="13"/>
              </w:rPr>
            </w:pPr>
            <w:r w:rsidRPr="00BD7CEA">
              <w:rPr>
                <w:rFonts w:cs="Tahoma"/>
                <w:sz w:val="13"/>
              </w:rPr>
              <w:t>1</w:t>
            </w:r>
          </w:p>
        </w:tc>
        <w:tc>
          <w:tcPr>
            <w:tcW w:w="450" w:type="dxa"/>
            <w:tcBorders>
              <w:bottom w:val="single" w:sz="4" w:space="0" w:color="auto"/>
              <w:right w:val="single" w:sz="18" w:space="0" w:color="auto"/>
            </w:tcBorders>
            <w:shd w:val="clear" w:color="auto" w:fill="FABF8F"/>
            <w:vAlign w:val="center"/>
          </w:tcPr>
          <w:p w:rsidR="001A63C6" w:rsidRPr="00BD7CEA" w:rsidRDefault="001A63C6" w:rsidP="002253A3">
            <w:pPr>
              <w:jc w:val="center"/>
              <w:rPr>
                <w:rFonts w:cs="Tahoma"/>
                <w:sz w:val="13"/>
              </w:rPr>
            </w:pPr>
            <w:r w:rsidRPr="00BD7CEA">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2253A3">
            <w:pPr>
              <w:jc w:val="center"/>
              <w:rPr>
                <w:rFonts w:cs="Tahoma"/>
                <w:sz w:val="13"/>
              </w:rPr>
            </w:pPr>
            <w:r w:rsidRPr="00BD7CEA">
              <w:rPr>
                <w:rFonts w:cs="Tahoma"/>
                <w:sz w:val="13"/>
              </w:rPr>
              <w:t>P</w:t>
            </w:r>
          </w:p>
        </w:tc>
        <w:tc>
          <w:tcPr>
            <w:tcW w:w="450" w:type="dxa"/>
            <w:tcBorders>
              <w:bottom w:val="single" w:sz="4" w:space="0" w:color="auto"/>
            </w:tcBorders>
            <w:shd w:val="clear" w:color="auto" w:fill="FABF8F"/>
            <w:vAlign w:val="center"/>
          </w:tcPr>
          <w:p w:rsidR="001A63C6" w:rsidRPr="00BD7CEA" w:rsidRDefault="001A63C6" w:rsidP="002253A3">
            <w:pPr>
              <w:jc w:val="center"/>
              <w:rPr>
                <w:rFonts w:cs="Tahoma"/>
                <w:sz w:val="13"/>
              </w:rPr>
            </w:pPr>
            <w:r w:rsidRPr="00BD7CEA">
              <w:rPr>
                <w:rFonts w:cs="Tahoma"/>
                <w:sz w:val="13"/>
              </w:rPr>
              <w:t>A</w:t>
            </w:r>
          </w:p>
        </w:tc>
        <w:tc>
          <w:tcPr>
            <w:tcW w:w="540" w:type="dxa"/>
            <w:tcBorders>
              <w:bottom w:val="single" w:sz="4" w:space="0" w:color="auto"/>
            </w:tcBorders>
            <w:shd w:val="clear" w:color="auto" w:fill="FABF8F"/>
            <w:vAlign w:val="center"/>
          </w:tcPr>
          <w:p w:rsidR="001A63C6" w:rsidRPr="00BD7CEA" w:rsidRDefault="001A63C6" w:rsidP="002253A3">
            <w:pPr>
              <w:jc w:val="center"/>
              <w:rPr>
                <w:rFonts w:cs="Tahoma"/>
                <w:sz w:val="13"/>
              </w:rPr>
            </w:pPr>
          </w:p>
        </w:tc>
      </w:tr>
      <w:tr w:rsidR="001A63C6" w:rsidRPr="00BD7CEA" w:rsidTr="007E466C">
        <w:trPr>
          <w:trHeight w:val="145"/>
        </w:trPr>
        <w:tc>
          <w:tcPr>
            <w:tcW w:w="2734" w:type="dxa"/>
            <w:gridSpan w:val="2"/>
            <w:tcBorders>
              <w:bottom w:val="single" w:sz="4" w:space="0" w:color="auto"/>
            </w:tcBorders>
            <w:shd w:val="clear" w:color="auto" w:fill="auto"/>
          </w:tcPr>
          <w:p w:rsidR="001A63C6" w:rsidRPr="00BD7CEA" w:rsidRDefault="001A63C6" w:rsidP="00E215F4">
            <w:pPr>
              <w:pStyle w:val="Heading3"/>
              <w:spacing w:beforeLines="20" w:before="48" w:afterLines="20" w:after="48"/>
              <w:rPr>
                <w:rFonts w:ascii="Tahoma" w:hAnsi="Tahoma" w:cs="Tahoma"/>
                <w:b w:val="0"/>
                <w:sz w:val="16"/>
              </w:rPr>
            </w:pPr>
            <w:bookmarkStart w:id="172" w:name="_Toc315288746"/>
            <w:bookmarkStart w:id="173" w:name="_Toc336337912"/>
            <w:bookmarkStart w:id="174" w:name="_Toc353375719"/>
            <w:r w:rsidRPr="00BD7CEA">
              <w:rPr>
                <w:rFonts w:ascii="Tahoma" w:hAnsi="Tahoma" w:cs="Tahoma"/>
                <w:b w:val="0"/>
                <w:sz w:val="14"/>
              </w:rPr>
              <w:t>CAL per Bing Maps Server con Enhanced Content Pack</w:t>
            </w:r>
            <w:bookmarkEnd w:id="172"/>
            <w:bookmarkEnd w:id="173"/>
            <w:bookmarkEnd w:id="174"/>
          </w:p>
        </w:tc>
        <w:tc>
          <w:tcPr>
            <w:tcW w:w="450" w:type="dxa"/>
            <w:tcBorders>
              <w:bottom w:val="single" w:sz="4" w:space="0" w:color="auto"/>
            </w:tcBorders>
            <w:shd w:val="clear" w:color="auto" w:fill="auto"/>
            <w:vAlign w:val="center"/>
          </w:tcPr>
          <w:p w:rsidR="001A63C6" w:rsidRPr="00BD7CEA" w:rsidRDefault="006E5080" w:rsidP="00132E08">
            <w:pPr>
              <w:jc w:val="center"/>
              <w:rPr>
                <w:rStyle w:val="EndnoteReference"/>
                <w:b w:val="0"/>
                <w:sz w:val="13"/>
                <w:szCs w:val="13"/>
                <w:u w:val="single"/>
              </w:rPr>
            </w:pPr>
            <w:hyperlink w:anchor="_31_SL_Add-On" w:history="1">
              <w:r w:rsidR="00C36760" w:rsidRPr="00BD7CEA">
                <w:rPr>
                  <w:rStyle w:val="Hyperlink"/>
                  <w:rFonts w:ascii="Trebuchet MS" w:hAnsi="Trebuchet MS"/>
                  <w:b/>
                  <w:sz w:val="13"/>
                  <w:szCs w:val="13"/>
                </w:rPr>
                <w:t>31</w:t>
              </w:r>
            </w:hyperlink>
          </w:p>
        </w:tc>
        <w:tc>
          <w:tcPr>
            <w:tcW w:w="450" w:type="dxa"/>
            <w:tcBorders>
              <w:bottom w:val="single" w:sz="4" w:space="0" w:color="auto"/>
            </w:tcBorders>
            <w:shd w:val="clear" w:color="auto" w:fill="auto"/>
          </w:tcPr>
          <w:p w:rsidR="001A63C6" w:rsidRPr="00BD7CEA" w:rsidRDefault="001A63C6" w:rsidP="002253A3">
            <w:pPr>
              <w:jc w:val="center"/>
              <w:rPr>
                <w:rFonts w:cs="Tahoma"/>
                <w:sz w:val="13"/>
              </w:rPr>
            </w:pPr>
            <w:r w:rsidRPr="00BD7CEA">
              <w:rPr>
                <w:rFonts w:cs="Tahoma"/>
                <w:sz w:val="13"/>
              </w:rPr>
              <w:t>08/09</w:t>
            </w:r>
          </w:p>
        </w:tc>
        <w:tc>
          <w:tcPr>
            <w:tcW w:w="360" w:type="dxa"/>
            <w:tcBorders>
              <w:bottom w:val="single" w:sz="4" w:space="0" w:color="auto"/>
              <w:right w:val="single" w:sz="18" w:space="0" w:color="auto"/>
            </w:tcBorders>
            <w:shd w:val="clear" w:color="auto" w:fill="auto"/>
            <w:vAlign w:val="center"/>
          </w:tcPr>
          <w:p w:rsidR="001A63C6" w:rsidRPr="00BD7CEA"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BD7CEA" w:rsidRDefault="001A63C6" w:rsidP="002253A3">
            <w:pPr>
              <w:jc w:val="center"/>
              <w:rPr>
                <w:rFonts w:cs="Tahoma"/>
                <w:sz w:val="13"/>
              </w:rPr>
            </w:pPr>
            <w:r w:rsidRPr="00BD7CEA">
              <w:rPr>
                <w:rFonts w:cs="Tahoma"/>
                <w:sz w:val="13"/>
              </w:rPr>
              <w:t>27 crediti</w:t>
            </w:r>
          </w:p>
        </w:tc>
        <w:tc>
          <w:tcPr>
            <w:tcW w:w="450" w:type="dxa"/>
            <w:tcBorders>
              <w:left w:val="single" w:sz="18" w:space="0" w:color="auto"/>
              <w:bottom w:val="single" w:sz="4" w:space="0" w:color="auto"/>
            </w:tcBorders>
            <w:shd w:val="clear" w:color="auto" w:fill="auto"/>
            <w:vAlign w:val="center"/>
          </w:tcPr>
          <w:p w:rsidR="001A63C6" w:rsidRPr="00BD7CEA" w:rsidRDefault="001A63C6" w:rsidP="002253A3">
            <w:pPr>
              <w:jc w:val="center"/>
              <w:rPr>
                <w:rFonts w:cs="Tahoma"/>
                <w:sz w:val="13"/>
              </w:rPr>
            </w:pPr>
          </w:p>
        </w:tc>
        <w:tc>
          <w:tcPr>
            <w:tcW w:w="450" w:type="dxa"/>
            <w:tcBorders>
              <w:bottom w:val="single" w:sz="4" w:space="0" w:color="auto"/>
            </w:tcBorders>
            <w:shd w:val="clear" w:color="auto" w:fill="auto"/>
            <w:vAlign w:val="center"/>
          </w:tcPr>
          <w:p w:rsidR="001A63C6" w:rsidRPr="00BD7CEA"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2253A3">
            <w:pPr>
              <w:jc w:val="center"/>
              <w:rPr>
                <w:rFonts w:cs="Tahoma"/>
                <w:sz w:val="13"/>
              </w:rPr>
            </w:pPr>
            <w:r w:rsidRPr="00BD7CEA">
              <w:rPr>
                <w:rFonts w:cs="Tahoma"/>
                <w:sz w:val="13"/>
              </w:rPr>
              <w:t>27</w:t>
            </w:r>
          </w:p>
        </w:tc>
        <w:tc>
          <w:tcPr>
            <w:tcW w:w="450" w:type="dxa"/>
            <w:tcBorders>
              <w:bottom w:val="single" w:sz="4" w:space="0" w:color="auto"/>
              <w:right w:val="single" w:sz="18" w:space="0" w:color="auto"/>
            </w:tcBorders>
            <w:shd w:val="clear" w:color="auto" w:fill="auto"/>
            <w:vAlign w:val="center"/>
          </w:tcPr>
          <w:p w:rsidR="001A63C6" w:rsidRPr="00BD7CEA" w:rsidRDefault="001A63C6" w:rsidP="002253A3">
            <w:pPr>
              <w:jc w:val="center"/>
              <w:rPr>
                <w:rFonts w:cs="Tahoma"/>
                <w:sz w:val="13"/>
              </w:rPr>
            </w:pPr>
            <w:r w:rsidRPr="00BD7CEA">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2253A3">
            <w:pPr>
              <w:jc w:val="center"/>
              <w:rPr>
                <w:rFonts w:cs="Tahoma"/>
                <w:sz w:val="13"/>
              </w:rPr>
            </w:pPr>
            <w:r w:rsidRPr="00BD7CEA">
              <w:rPr>
                <w:rFonts w:cs="Tahoma"/>
                <w:sz w:val="13"/>
              </w:rPr>
              <w:t>P</w:t>
            </w:r>
          </w:p>
        </w:tc>
        <w:tc>
          <w:tcPr>
            <w:tcW w:w="450" w:type="dxa"/>
            <w:tcBorders>
              <w:bottom w:val="single" w:sz="4" w:space="0" w:color="auto"/>
            </w:tcBorders>
            <w:shd w:val="clear" w:color="auto" w:fill="auto"/>
            <w:vAlign w:val="center"/>
          </w:tcPr>
          <w:p w:rsidR="001A63C6" w:rsidRPr="00BD7CEA" w:rsidRDefault="001A63C6" w:rsidP="002253A3">
            <w:pPr>
              <w:jc w:val="center"/>
              <w:rPr>
                <w:rFonts w:cs="Tahoma"/>
                <w:sz w:val="13"/>
              </w:rPr>
            </w:pPr>
            <w:r w:rsidRPr="00BD7CEA">
              <w:rPr>
                <w:rFonts w:cs="Tahoma"/>
                <w:sz w:val="13"/>
              </w:rPr>
              <w:t>A</w:t>
            </w:r>
          </w:p>
        </w:tc>
        <w:tc>
          <w:tcPr>
            <w:tcW w:w="540" w:type="dxa"/>
            <w:tcBorders>
              <w:bottom w:val="single" w:sz="4" w:space="0" w:color="auto"/>
            </w:tcBorders>
            <w:shd w:val="clear" w:color="auto" w:fill="auto"/>
            <w:vAlign w:val="center"/>
          </w:tcPr>
          <w:p w:rsidR="001A63C6" w:rsidRPr="00BD7CEA" w:rsidRDefault="001A63C6" w:rsidP="002253A3">
            <w:pPr>
              <w:jc w:val="center"/>
              <w:rPr>
                <w:rFonts w:cs="Tahoma"/>
                <w:sz w:val="13"/>
              </w:rPr>
            </w:pPr>
          </w:p>
        </w:tc>
      </w:tr>
      <w:tr w:rsidR="00B33D0E" w:rsidRPr="00BD7CEA" w:rsidTr="006B1F3F">
        <w:trPr>
          <w:trHeight w:val="145"/>
        </w:trPr>
        <w:tc>
          <w:tcPr>
            <w:tcW w:w="2734" w:type="dxa"/>
            <w:gridSpan w:val="2"/>
            <w:tcBorders>
              <w:bottom w:val="single" w:sz="4" w:space="0" w:color="auto"/>
            </w:tcBorders>
            <w:shd w:val="clear" w:color="auto" w:fill="FABF8F"/>
          </w:tcPr>
          <w:p w:rsidR="001A63C6" w:rsidRPr="007B74B7" w:rsidRDefault="001A63C6" w:rsidP="00E215F4">
            <w:pPr>
              <w:pStyle w:val="ProductNames"/>
              <w:spacing w:beforeLines="20" w:before="48" w:afterLines="20" w:after="48"/>
              <w:rPr>
                <w:rFonts w:ascii="Tahoma" w:hAnsi="Tahoma"/>
                <w:sz w:val="14"/>
                <w:lang w:val="nb-NO"/>
              </w:rPr>
            </w:pPr>
            <w:bookmarkStart w:id="175" w:name="_Toc315288747"/>
            <w:bookmarkStart w:id="176" w:name="_Toc336337913"/>
            <w:bookmarkStart w:id="177" w:name="_Toc353375720"/>
            <w:r w:rsidRPr="007B74B7">
              <w:rPr>
                <w:rFonts w:ascii="Tahoma" w:hAnsi="Tahoma"/>
                <w:sz w:val="14"/>
                <w:lang w:val="nb-NO"/>
              </w:rPr>
              <w:t>Bing Maps Standard (SL per Utente)</w:t>
            </w:r>
            <w:bookmarkEnd w:id="175"/>
            <w:bookmarkEnd w:id="176"/>
            <w:bookmarkEnd w:id="177"/>
          </w:p>
        </w:tc>
        <w:tc>
          <w:tcPr>
            <w:tcW w:w="450" w:type="dxa"/>
            <w:tcBorders>
              <w:bottom w:val="single" w:sz="4" w:space="0" w:color="auto"/>
            </w:tcBorders>
            <w:shd w:val="clear" w:color="auto" w:fill="FABF8F"/>
            <w:vAlign w:val="center"/>
          </w:tcPr>
          <w:p w:rsidR="001A63C6" w:rsidRPr="007B74B7" w:rsidRDefault="001A63C6" w:rsidP="002253A3">
            <w:pPr>
              <w:jc w:val="center"/>
              <w:rPr>
                <w:rStyle w:val="EndnoteReference"/>
                <w:sz w:val="13"/>
                <w:szCs w:val="13"/>
                <w:u w:val="single"/>
                <w:lang w:val="nb-NO"/>
              </w:rPr>
            </w:pPr>
          </w:p>
        </w:tc>
        <w:tc>
          <w:tcPr>
            <w:tcW w:w="450" w:type="dxa"/>
            <w:tcBorders>
              <w:bottom w:val="single" w:sz="4" w:space="0" w:color="auto"/>
            </w:tcBorders>
            <w:shd w:val="clear" w:color="auto" w:fill="FABF8F"/>
          </w:tcPr>
          <w:p w:rsidR="001A63C6" w:rsidRPr="00BD7CEA" w:rsidRDefault="001A63C6" w:rsidP="002253A3">
            <w:pPr>
              <w:jc w:val="center"/>
              <w:rPr>
                <w:rFonts w:cs="Tahoma"/>
                <w:sz w:val="13"/>
              </w:rPr>
            </w:pPr>
            <w:r w:rsidRPr="00BD7CEA">
              <w:rPr>
                <w:rFonts w:cs="Tahoma"/>
                <w:sz w:val="13"/>
              </w:rPr>
              <w:t>01/08</w:t>
            </w:r>
          </w:p>
        </w:tc>
        <w:tc>
          <w:tcPr>
            <w:tcW w:w="360" w:type="dxa"/>
            <w:tcBorders>
              <w:bottom w:val="single" w:sz="4" w:space="0" w:color="auto"/>
              <w:right w:val="single" w:sz="18" w:space="0" w:color="auto"/>
            </w:tcBorders>
            <w:shd w:val="clear" w:color="auto" w:fill="FABF8F"/>
            <w:vAlign w:val="center"/>
          </w:tcPr>
          <w:p w:rsidR="001A63C6" w:rsidRPr="00BD7CEA"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BD7CEA" w:rsidRDefault="001A63C6" w:rsidP="002253A3">
            <w:pPr>
              <w:jc w:val="center"/>
              <w:rPr>
                <w:rFonts w:cs="Tahoma"/>
                <w:sz w:val="13"/>
              </w:rPr>
            </w:pPr>
            <w:r w:rsidRPr="00BD7CEA">
              <w:rPr>
                <w:rFonts w:cs="Tahoma"/>
                <w:sz w:val="13"/>
              </w:rPr>
              <w:t>1 punto</w:t>
            </w:r>
          </w:p>
        </w:tc>
        <w:tc>
          <w:tcPr>
            <w:tcW w:w="450" w:type="dxa"/>
            <w:tcBorders>
              <w:left w:val="single" w:sz="18" w:space="0" w:color="auto"/>
              <w:bottom w:val="single" w:sz="4" w:space="0" w:color="auto"/>
            </w:tcBorders>
            <w:shd w:val="clear" w:color="auto" w:fill="FABF8F"/>
            <w:vAlign w:val="center"/>
          </w:tcPr>
          <w:p w:rsidR="001A63C6" w:rsidRPr="00BD7CEA" w:rsidRDefault="001A63C6" w:rsidP="002253A3">
            <w:pPr>
              <w:jc w:val="center"/>
              <w:rPr>
                <w:rFonts w:cs="Tahoma"/>
                <w:sz w:val="13"/>
              </w:rPr>
            </w:pPr>
          </w:p>
        </w:tc>
        <w:tc>
          <w:tcPr>
            <w:tcW w:w="450" w:type="dxa"/>
            <w:tcBorders>
              <w:bottom w:val="single" w:sz="4" w:space="0" w:color="auto"/>
            </w:tcBorders>
            <w:shd w:val="clear" w:color="auto" w:fill="FABF8F"/>
            <w:vAlign w:val="center"/>
          </w:tcPr>
          <w:p w:rsidR="001A63C6" w:rsidRPr="00BD7CEA"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2253A3">
            <w:pPr>
              <w:jc w:val="center"/>
              <w:rPr>
                <w:rFonts w:cs="Tahoma"/>
                <w:sz w:val="13"/>
              </w:rPr>
            </w:pPr>
            <w:r w:rsidRPr="00BD7CEA">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2253A3">
            <w:pPr>
              <w:jc w:val="center"/>
              <w:rPr>
                <w:rFonts w:cs="Tahoma"/>
                <w:sz w:val="13"/>
              </w:rPr>
            </w:pPr>
            <w:r w:rsidRPr="00BD7CEA">
              <w:rPr>
                <w:rFonts w:cs="Tahoma"/>
                <w:sz w:val="13"/>
              </w:rPr>
              <w:t>P</w:t>
            </w:r>
          </w:p>
        </w:tc>
        <w:tc>
          <w:tcPr>
            <w:tcW w:w="450" w:type="dxa"/>
            <w:tcBorders>
              <w:bottom w:val="single" w:sz="4" w:space="0" w:color="auto"/>
            </w:tcBorders>
            <w:shd w:val="clear" w:color="auto" w:fill="FABF8F"/>
          </w:tcPr>
          <w:p w:rsidR="001A63C6" w:rsidRPr="00BD7CEA" w:rsidRDefault="001A63C6" w:rsidP="002253A3">
            <w:pPr>
              <w:jc w:val="center"/>
              <w:rPr>
                <w:rFonts w:cs="Tahoma"/>
                <w:sz w:val="13"/>
              </w:rPr>
            </w:pPr>
          </w:p>
        </w:tc>
        <w:tc>
          <w:tcPr>
            <w:tcW w:w="540" w:type="dxa"/>
            <w:tcBorders>
              <w:bottom w:val="single" w:sz="4" w:space="0" w:color="auto"/>
            </w:tcBorders>
            <w:shd w:val="clear" w:color="auto" w:fill="FABF8F"/>
            <w:vAlign w:val="center"/>
          </w:tcPr>
          <w:p w:rsidR="001A63C6" w:rsidRPr="00BD7CEA" w:rsidRDefault="001A63C6" w:rsidP="002253A3">
            <w:pPr>
              <w:jc w:val="center"/>
              <w:rPr>
                <w:rFonts w:cs="Tahoma"/>
                <w:sz w:val="13"/>
              </w:rPr>
            </w:pPr>
            <w:r w:rsidRPr="00BD7CEA">
              <w:rPr>
                <w:rFonts w:cs="Tahoma"/>
                <w:sz w:val="13"/>
              </w:rPr>
              <w:t>OL/OV</w:t>
            </w:r>
          </w:p>
        </w:tc>
      </w:tr>
      <w:tr w:rsidR="001A63C6" w:rsidRPr="00BD7CEA" w:rsidTr="007E466C">
        <w:trPr>
          <w:trHeight w:val="145"/>
        </w:trPr>
        <w:tc>
          <w:tcPr>
            <w:tcW w:w="2734" w:type="dxa"/>
            <w:gridSpan w:val="2"/>
            <w:tcBorders>
              <w:bottom w:val="single" w:sz="4" w:space="0" w:color="auto"/>
            </w:tcBorders>
            <w:shd w:val="clear" w:color="auto" w:fill="auto"/>
          </w:tcPr>
          <w:p w:rsidR="001A63C6" w:rsidRPr="00BD7CEA" w:rsidRDefault="001A63C6" w:rsidP="00E215F4">
            <w:pPr>
              <w:pStyle w:val="ProductNames"/>
              <w:spacing w:beforeLines="20" w:before="48" w:afterLines="20" w:after="48"/>
              <w:rPr>
                <w:rFonts w:ascii="Tahoma" w:hAnsi="Tahoma"/>
                <w:sz w:val="14"/>
              </w:rPr>
            </w:pPr>
            <w:bookmarkStart w:id="178" w:name="_Toc336337914"/>
            <w:bookmarkStart w:id="179" w:name="_Toc353375721"/>
            <w:r w:rsidRPr="00BD7CEA">
              <w:rPr>
                <w:rFonts w:ascii="Tahoma" w:hAnsi="Tahoma"/>
                <w:sz w:val="14"/>
              </w:rPr>
              <w:t>Bing Maps Standard (SL Servizi)</w:t>
            </w:r>
            <w:bookmarkEnd w:id="178"/>
            <w:bookmarkEnd w:id="179"/>
          </w:p>
        </w:tc>
        <w:tc>
          <w:tcPr>
            <w:tcW w:w="450" w:type="dxa"/>
            <w:tcBorders>
              <w:bottom w:val="single" w:sz="4" w:space="0" w:color="auto"/>
            </w:tcBorders>
            <w:shd w:val="clear" w:color="auto" w:fill="auto"/>
            <w:vAlign w:val="center"/>
          </w:tcPr>
          <w:p w:rsidR="001A63C6" w:rsidRPr="00BD7CEA" w:rsidRDefault="001A63C6" w:rsidP="002253A3">
            <w:pPr>
              <w:jc w:val="center"/>
              <w:rPr>
                <w:rStyle w:val="EndnoteReference"/>
                <w:sz w:val="13"/>
                <w:szCs w:val="13"/>
                <w:u w:val="single"/>
              </w:rPr>
            </w:pPr>
          </w:p>
        </w:tc>
        <w:tc>
          <w:tcPr>
            <w:tcW w:w="450" w:type="dxa"/>
            <w:tcBorders>
              <w:bottom w:val="single" w:sz="4" w:space="0" w:color="auto"/>
            </w:tcBorders>
            <w:shd w:val="clear" w:color="auto" w:fill="auto"/>
          </w:tcPr>
          <w:p w:rsidR="001A63C6" w:rsidRPr="00BD7CEA" w:rsidRDefault="001A63C6" w:rsidP="002253A3">
            <w:pPr>
              <w:jc w:val="center"/>
              <w:rPr>
                <w:rFonts w:cs="Tahoma"/>
                <w:sz w:val="13"/>
              </w:rPr>
            </w:pPr>
            <w:r w:rsidRPr="00BD7CEA">
              <w:rPr>
                <w:rFonts w:cs="Tahoma"/>
                <w:sz w:val="13"/>
              </w:rPr>
              <w:t>01/08</w:t>
            </w:r>
          </w:p>
        </w:tc>
        <w:tc>
          <w:tcPr>
            <w:tcW w:w="360" w:type="dxa"/>
            <w:tcBorders>
              <w:bottom w:val="single" w:sz="4" w:space="0" w:color="auto"/>
              <w:right w:val="single" w:sz="18" w:space="0" w:color="auto"/>
            </w:tcBorders>
            <w:shd w:val="clear" w:color="auto" w:fill="auto"/>
            <w:vAlign w:val="center"/>
          </w:tcPr>
          <w:p w:rsidR="001A63C6" w:rsidRPr="00BD7CEA"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BD7CEA" w:rsidRDefault="001A63C6" w:rsidP="002253A3">
            <w:pPr>
              <w:jc w:val="center"/>
            </w:pPr>
            <w:r w:rsidRPr="00BD7CEA">
              <w:rPr>
                <w:rFonts w:cs="Tahoma"/>
                <w:sz w:val="13"/>
              </w:rPr>
              <w:t>75 crediti</w:t>
            </w:r>
          </w:p>
          <w:p w:rsidR="001A63C6" w:rsidRPr="00BD7CEA"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2253A3">
            <w:pPr>
              <w:jc w:val="center"/>
              <w:rPr>
                <w:rFonts w:cs="Tahoma"/>
                <w:sz w:val="13"/>
              </w:rPr>
            </w:pPr>
          </w:p>
        </w:tc>
        <w:tc>
          <w:tcPr>
            <w:tcW w:w="450" w:type="dxa"/>
            <w:tcBorders>
              <w:bottom w:val="single" w:sz="4" w:space="0" w:color="auto"/>
            </w:tcBorders>
            <w:shd w:val="clear" w:color="auto" w:fill="auto"/>
            <w:vAlign w:val="center"/>
          </w:tcPr>
          <w:p w:rsidR="001A63C6" w:rsidRPr="00BD7CEA"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2253A3">
            <w:pPr>
              <w:jc w:val="center"/>
              <w:rPr>
                <w:rFonts w:cs="Tahoma"/>
                <w:sz w:val="13"/>
              </w:rPr>
            </w:pPr>
            <w:r w:rsidRPr="00BD7CEA">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2253A3">
            <w:pPr>
              <w:jc w:val="center"/>
              <w:rPr>
                <w:rFonts w:cs="Tahoma"/>
                <w:sz w:val="13"/>
              </w:rPr>
            </w:pPr>
            <w:r w:rsidRPr="00BD7CEA">
              <w:rPr>
                <w:rFonts w:cs="Tahoma"/>
                <w:sz w:val="13"/>
              </w:rPr>
              <w:t>P</w:t>
            </w:r>
          </w:p>
        </w:tc>
        <w:tc>
          <w:tcPr>
            <w:tcW w:w="450" w:type="dxa"/>
            <w:tcBorders>
              <w:bottom w:val="single" w:sz="4" w:space="0" w:color="auto"/>
            </w:tcBorders>
            <w:shd w:val="clear" w:color="auto" w:fill="auto"/>
          </w:tcPr>
          <w:p w:rsidR="001A63C6" w:rsidRPr="00BD7CEA"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BD7CEA" w:rsidRDefault="001A63C6" w:rsidP="002253A3">
            <w:pPr>
              <w:jc w:val="center"/>
              <w:rPr>
                <w:rFonts w:cs="Tahoma"/>
                <w:sz w:val="13"/>
              </w:rPr>
            </w:pPr>
            <w:r w:rsidRPr="00BD7CEA">
              <w:rPr>
                <w:rFonts w:cs="Tahoma"/>
                <w:sz w:val="13"/>
              </w:rPr>
              <w:t>OL/OV</w:t>
            </w:r>
          </w:p>
        </w:tc>
      </w:tr>
      <w:tr w:rsidR="00B33D0E" w:rsidRPr="00BD7CEA" w:rsidTr="006B1F3F">
        <w:trPr>
          <w:trHeight w:val="64"/>
        </w:trPr>
        <w:tc>
          <w:tcPr>
            <w:tcW w:w="2734" w:type="dxa"/>
            <w:gridSpan w:val="2"/>
            <w:tcBorders>
              <w:bottom w:val="single" w:sz="4" w:space="0" w:color="auto"/>
            </w:tcBorders>
            <w:shd w:val="clear" w:color="auto" w:fill="FABF8F"/>
            <w:vAlign w:val="center"/>
          </w:tcPr>
          <w:p w:rsidR="001A63C6" w:rsidRPr="00BD7CEA" w:rsidRDefault="001A63C6" w:rsidP="00E215F4">
            <w:pPr>
              <w:pStyle w:val="ProductNames"/>
              <w:spacing w:beforeLines="20" w:before="48" w:afterLines="20" w:after="48"/>
              <w:rPr>
                <w:rFonts w:ascii="Tahoma" w:hAnsi="Tahoma" w:cs="Tahoma"/>
                <w:sz w:val="14"/>
              </w:rPr>
            </w:pPr>
            <w:bookmarkStart w:id="180" w:name="_Toc336337919"/>
            <w:bookmarkStart w:id="181" w:name="_Toc353375722"/>
            <w:r w:rsidRPr="00BD7CEA">
              <w:rPr>
                <w:rFonts w:ascii="Tahoma" w:hAnsi="Tahoma" w:cs="Tahoma"/>
                <w:sz w:val="14"/>
              </w:rPr>
              <w:t>BizTalk</w:t>
            </w:r>
            <w:r w:rsidR="00700C4B" w:rsidRPr="00BD7CEA">
              <w:rPr>
                <w:rFonts w:cs="Tahoma"/>
                <w:szCs w:val="18"/>
                <w:vertAlign w:val="superscript"/>
              </w:rPr>
              <w:t>®</w:t>
            </w:r>
            <w:r w:rsidRPr="00BD7CEA">
              <w:rPr>
                <w:rFonts w:ascii="Tahoma" w:hAnsi="Tahoma" w:cs="Tahoma"/>
                <w:sz w:val="14"/>
              </w:rPr>
              <w:t xml:space="preserve"> Server 2013 Branch Edition</w:t>
            </w:r>
            <w:bookmarkEnd w:id="180"/>
            <w:bookmarkEnd w:id="181"/>
            <w:r w:rsidRPr="00BD7CEA">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BD7CEA" w:rsidRDefault="006E5080" w:rsidP="00132E08">
            <w:pPr>
              <w:pStyle w:val="TableText"/>
              <w:widowControl w:val="0"/>
              <w:rPr>
                <w:rStyle w:val="EndnoteReference"/>
                <w:rFonts w:cs="Tahoma"/>
                <w:b w:val="0"/>
                <w:color w:val="0000FF"/>
                <w:sz w:val="13"/>
                <w:szCs w:val="13"/>
                <w:u w:val="single"/>
              </w:rPr>
            </w:pPr>
            <w:hyperlink w:anchor="_32_BizTalk_Server®" w:history="1">
              <w:r w:rsidR="00955428" w:rsidRPr="00BD7CEA">
                <w:rPr>
                  <w:rStyle w:val="Hyperlink"/>
                  <w:rFonts w:cs="Tahoma"/>
                  <w:b/>
                  <w:sz w:val="13"/>
                  <w:szCs w:val="13"/>
                </w:rPr>
                <w:t>32</w:t>
              </w:r>
            </w:hyperlink>
            <w:hyperlink w:anchor="Srv_26_BizTalkServerBranch" w:history="1"/>
          </w:p>
        </w:tc>
        <w:tc>
          <w:tcPr>
            <w:tcW w:w="450" w:type="dxa"/>
            <w:tcBorders>
              <w:bottom w:val="single" w:sz="4" w:space="0" w:color="auto"/>
            </w:tcBorders>
            <w:shd w:val="clear" w:color="auto" w:fill="FABF8F"/>
            <w:vAlign w:val="center"/>
          </w:tcPr>
          <w:p w:rsidR="001A63C6" w:rsidRPr="00BD7CEA" w:rsidRDefault="002B327C" w:rsidP="001A63C6">
            <w:pPr>
              <w:pStyle w:val="TableText"/>
              <w:widowControl w:val="0"/>
              <w:rPr>
                <w:rFonts w:ascii="Tahoma" w:hAnsi="Tahoma" w:cs="Tahoma"/>
                <w:color w:val="000000"/>
                <w:sz w:val="13"/>
              </w:rPr>
            </w:pPr>
            <w:r w:rsidRPr="00BD7CEA">
              <w:rPr>
                <w:rFonts w:ascii="Tahoma" w:hAnsi="Tahoma" w:cs="Tahoma"/>
                <w:color w:val="000000"/>
                <w:sz w:val="13"/>
              </w:rPr>
              <w:t>4/13</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25</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63</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50</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38</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38</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25</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w:t>
            </w:r>
            <w:r w:rsidR="00554295" w:rsidRPr="00BD7CEA">
              <w:rPr>
                <w:rFonts w:ascii="Tahoma" w:hAnsi="Tahoma" w:cs="Tahoma"/>
                <w:sz w:val="13"/>
              </w:rPr>
              <w:t xml:space="preserve"> </w:t>
            </w:r>
            <w:r w:rsidRPr="00BD7CEA">
              <w:rPr>
                <w:rFonts w:ascii="Tahoma" w:hAnsi="Tahoma" w:cs="Tahoma"/>
                <w:sz w:val="13"/>
              </w:rPr>
              <w:t>S,</w:t>
            </w:r>
            <w:r w:rsidR="00554295" w:rsidRPr="00BD7CEA">
              <w:rPr>
                <w:rFonts w:ascii="Tahoma" w:hAnsi="Tahoma" w:cs="Tahoma"/>
                <w:sz w:val="13"/>
              </w:rPr>
              <w:t xml:space="preserve"> </w:t>
            </w:r>
            <w:r w:rsidRPr="00BD7CEA">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P</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sz w:val="13"/>
              </w:rPr>
              <w:t>A</w:t>
            </w:r>
          </w:p>
        </w:tc>
        <w:tc>
          <w:tcPr>
            <w:tcW w:w="54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OL/OV</w:t>
            </w:r>
          </w:p>
        </w:tc>
      </w:tr>
      <w:tr w:rsidR="001A63C6" w:rsidRPr="00BD7CEA" w:rsidTr="00136585">
        <w:trPr>
          <w:trHeight w:val="145"/>
        </w:trPr>
        <w:tc>
          <w:tcPr>
            <w:tcW w:w="2734" w:type="dxa"/>
            <w:gridSpan w:val="2"/>
            <w:tcBorders>
              <w:bottom w:val="single" w:sz="4" w:space="0" w:color="auto"/>
            </w:tcBorders>
            <w:shd w:val="clear" w:color="auto" w:fill="auto"/>
            <w:vAlign w:val="center"/>
          </w:tcPr>
          <w:p w:rsidR="001A63C6" w:rsidRPr="00BD7CEA" w:rsidRDefault="001A63C6" w:rsidP="00E215F4">
            <w:pPr>
              <w:pStyle w:val="ProductNames"/>
              <w:spacing w:beforeLines="20" w:before="48" w:afterLines="20" w:after="48"/>
              <w:rPr>
                <w:rFonts w:ascii="Tahoma" w:hAnsi="Tahoma" w:cs="Tahoma"/>
                <w:sz w:val="14"/>
              </w:rPr>
            </w:pPr>
            <w:bookmarkStart w:id="182" w:name="_Toc336337920"/>
            <w:bookmarkStart w:id="183" w:name="_Toc353375723"/>
            <w:r w:rsidRPr="00BD7CEA">
              <w:rPr>
                <w:rFonts w:ascii="Tahoma" w:hAnsi="Tahoma" w:cs="Tahoma"/>
                <w:sz w:val="14"/>
              </w:rPr>
              <w:t>BizTalk</w:t>
            </w:r>
            <w:r w:rsidR="00700C4B" w:rsidRPr="00BD7CEA">
              <w:rPr>
                <w:rFonts w:cs="Tahoma"/>
                <w:szCs w:val="18"/>
                <w:vertAlign w:val="superscript"/>
              </w:rPr>
              <w:t>®</w:t>
            </w:r>
            <w:r w:rsidRPr="00BD7CEA">
              <w:rPr>
                <w:rFonts w:ascii="Tahoma" w:hAnsi="Tahoma" w:cs="Tahoma"/>
                <w:sz w:val="14"/>
              </w:rPr>
              <w:t xml:space="preserve"> Server 2013 Enterprise Edition</w:t>
            </w:r>
            <w:bookmarkEnd w:id="182"/>
            <w:bookmarkEnd w:id="183"/>
          </w:p>
        </w:tc>
        <w:tc>
          <w:tcPr>
            <w:tcW w:w="450" w:type="dxa"/>
            <w:tcBorders>
              <w:bottom w:val="single" w:sz="4" w:space="0" w:color="auto"/>
            </w:tcBorders>
            <w:shd w:val="clear" w:color="auto" w:fill="auto"/>
            <w:vAlign w:val="center"/>
          </w:tcPr>
          <w:p w:rsidR="001A63C6" w:rsidRPr="00BD7CEA" w:rsidRDefault="006E5080" w:rsidP="00132E08">
            <w:pPr>
              <w:pStyle w:val="TableText"/>
              <w:widowControl w:val="0"/>
              <w:rPr>
                <w:rStyle w:val="EndnoteReference"/>
                <w:rFonts w:cs="Tahoma"/>
                <w:b w:val="0"/>
                <w:color w:val="0000FF"/>
                <w:sz w:val="13"/>
                <w:szCs w:val="13"/>
                <w:u w:val="single"/>
              </w:rPr>
            </w:pPr>
            <w:hyperlink w:anchor="_33_BizTalk_Server®" w:history="1">
              <w:r w:rsidR="00132E08" w:rsidRPr="00BD7CEA">
                <w:rPr>
                  <w:rStyle w:val="Hyperlink"/>
                  <w:rFonts w:cs="Tahoma"/>
                  <w:b/>
                  <w:sz w:val="13"/>
                  <w:szCs w:val="13"/>
                </w:rPr>
                <w:t>33</w:t>
              </w:r>
            </w:hyperlink>
          </w:p>
        </w:tc>
        <w:tc>
          <w:tcPr>
            <w:tcW w:w="450" w:type="dxa"/>
            <w:tcBorders>
              <w:bottom w:val="single" w:sz="4" w:space="0" w:color="auto"/>
            </w:tcBorders>
            <w:shd w:val="clear" w:color="auto" w:fill="auto"/>
            <w:vAlign w:val="center"/>
          </w:tcPr>
          <w:p w:rsidR="001A63C6" w:rsidRPr="00BD7CEA" w:rsidRDefault="004D199A" w:rsidP="001A63C6">
            <w:pPr>
              <w:pStyle w:val="TableText"/>
              <w:widowControl w:val="0"/>
              <w:rPr>
                <w:rFonts w:ascii="Tahoma" w:hAnsi="Tahoma" w:cs="Tahoma"/>
                <w:color w:val="000000"/>
                <w:sz w:val="13"/>
              </w:rPr>
            </w:pPr>
            <w:r w:rsidRPr="00BD7CEA">
              <w:rPr>
                <w:rFonts w:ascii="Tahoma" w:hAnsi="Tahoma" w:cs="Tahoma"/>
                <w:color w:val="000000"/>
                <w:sz w:val="13"/>
              </w:rPr>
              <w:t>4/13</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200</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500</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400</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300</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300</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200</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400</w:t>
            </w: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200</w:t>
            </w: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w:t>
            </w:r>
            <w:r w:rsidR="00554295" w:rsidRPr="00BD7CEA">
              <w:rPr>
                <w:rFonts w:ascii="Tahoma" w:hAnsi="Tahoma" w:cs="Tahoma"/>
                <w:sz w:val="13"/>
              </w:rPr>
              <w:t xml:space="preserve"> </w:t>
            </w:r>
            <w:r w:rsidRPr="00BD7CEA">
              <w:rPr>
                <w:rFonts w:ascii="Tahoma" w:hAnsi="Tahoma" w:cs="Tahoma"/>
                <w:sz w:val="13"/>
              </w:rPr>
              <w:t>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P</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sz w:val="13"/>
              </w:rPr>
              <w:t>A</w:t>
            </w: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OL/OV</w:t>
            </w:r>
          </w:p>
        </w:tc>
      </w:tr>
      <w:tr w:rsidR="002B327C" w:rsidRPr="00BD7CEA" w:rsidTr="006B1F3F">
        <w:trPr>
          <w:trHeight w:val="145"/>
        </w:trPr>
        <w:tc>
          <w:tcPr>
            <w:tcW w:w="2734" w:type="dxa"/>
            <w:gridSpan w:val="2"/>
            <w:tcBorders>
              <w:bottom w:val="single" w:sz="4" w:space="0" w:color="auto"/>
            </w:tcBorders>
            <w:shd w:val="clear" w:color="auto" w:fill="FABF8F"/>
            <w:vAlign w:val="center"/>
          </w:tcPr>
          <w:p w:rsidR="002B327C" w:rsidRPr="00BD7CEA" w:rsidRDefault="002B327C" w:rsidP="00E215F4">
            <w:pPr>
              <w:pStyle w:val="ProductNames"/>
              <w:spacing w:beforeLines="20" w:before="48" w:afterLines="20" w:after="48"/>
              <w:rPr>
                <w:rFonts w:ascii="Tahoma" w:hAnsi="Tahoma" w:cs="Tahoma"/>
                <w:sz w:val="14"/>
              </w:rPr>
            </w:pPr>
            <w:bookmarkStart w:id="184" w:name="_Toc353375724"/>
            <w:r w:rsidRPr="00BD7CEA">
              <w:rPr>
                <w:rFonts w:ascii="Tahoma" w:hAnsi="Tahoma" w:cs="Tahoma"/>
                <w:sz w:val="14"/>
              </w:rPr>
              <w:t>BizTalk</w:t>
            </w:r>
            <w:r w:rsidR="00700C4B" w:rsidRPr="00BD7CEA">
              <w:rPr>
                <w:rFonts w:cs="Tahoma"/>
                <w:szCs w:val="18"/>
                <w:vertAlign w:val="superscript"/>
              </w:rPr>
              <w:t>®</w:t>
            </w:r>
            <w:r w:rsidRPr="00BD7CEA">
              <w:rPr>
                <w:rFonts w:ascii="Tahoma" w:hAnsi="Tahoma" w:cs="Tahoma"/>
                <w:sz w:val="14"/>
              </w:rPr>
              <w:t xml:space="preserve"> Server 2013 Branch IDC</w:t>
            </w:r>
            <w:bookmarkEnd w:id="184"/>
          </w:p>
        </w:tc>
        <w:tc>
          <w:tcPr>
            <w:tcW w:w="450" w:type="dxa"/>
            <w:tcBorders>
              <w:bottom w:val="single" w:sz="4" w:space="0" w:color="auto"/>
            </w:tcBorders>
            <w:shd w:val="clear" w:color="auto" w:fill="FABF8F"/>
            <w:vAlign w:val="center"/>
          </w:tcPr>
          <w:p w:rsidR="002B327C" w:rsidRPr="00BD7CEA" w:rsidRDefault="002B327C" w:rsidP="001A63C6">
            <w:pPr>
              <w:pStyle w:val="TableText"/>
              <w:widowControl w:val="0"/>
            </w:pPr>
          </w:p>
        </w:tc>
        <w:tc>
          <w:tcPr>
            <w:tcW w:w="450" w:type="dxa"/>
            <w:tcBorders>
              <w:bottom w:val="single" w:sz="4" w:space="0" w:color="auto"/>
            </w:tcBorders>
            <w:shd w:val="clear" w:color="auto" w:fill="FABF8F"/>
            <w:vAlign w:val="center"/>
          </w:tcPr>
          <w:p w:rsidR="002B327C" w:rsidRPr="00BD7CEA" w:rsidDel="004D199A" w:rsidRDefault="002B327C" w:rsidP="001A63C6">
            <w:pPr>
              <w:pStyle w:val="TableText"/>
              <w:widowControl w:val="0"/>
              <w:rPr>
                <w:rFonts w:ascii="Tahoma" w:hAnsi="Tahoma" w:cs="Tahoma"/>
                <w:color w:val="000000"/>
                <w:sz w:val="13"/>
              </w:rPr>
            </w:pPr>
            <w:r w:rsidRPr="00BD7CEA">
              <w:rPr>
                <w:rFonts w:ascii="Tahoma" w:hAnsi="Tahoma" w:cs="Tahoma"/>
                <w:color w:val="000000"/>
                <w:sz w:val="13"/>
              </w:rPr>
              <w:t>4/13</w:t>
            </w:r>
          </w:p>
        </w:tc>
        <w:tc>
          <w:tcPr>
            <w:tcW w:w="360" w:type="dxa"/>
            <w:tcBorders>
              <w:bottom w:val="single" w:sz="4" w:space="0" w:color="auto"/>
              <w:right w:val="single" w:sz="18" w:space="0" w:color="auto"/>
            </w:tcBorders>
            <w:shd w:val="clear" w:color="auto" w:fill="FABF8F"/>
            <w:vAlign w:val="center"/>
          </w:tcPr>
          <w:p w:rsidR="002B327C" w:rsidRPr="00BD7CEA" w:rsidRDefault="002B327C"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2B327C" w:rsidRPr="00BD7CEA"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BD7CEA"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BD7CEA"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BD7CEA"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BD7CEA"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BD7CEA" w:rsidRDefault="002B327C"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2B327C" w:rsidRPr="00BD7CEA" w:rsidRDefault="002B327C"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BD7CEA"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BD7CEA" w:rsidRDefault="002B327C"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BD7CEA" w:rsidRDefault="002B327C"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BD7CEA" w:rsidRDefault="002B327C"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BD7CEA" w:rsidRDefault="002B327C" w:rsidP="001A63C6">
            <w:pPr>
              <w:pStyle w:val="TableText"/>
              <w:widowControl w:val="0"/>
              <w:rPr>
                <w:rFonts w:ascii="Tahoma" w:hAnsi="Tahoma" w:cs="Tahoma"/>
                <w:sz w:val="13"/>
              </w:rPr>
            </w:pPr>
            <w:r w:rsidRPr="00BD7CEA">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BD7CEA"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BD7CEA" w:rsidRDefault="002B327C"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2B327C" w:rsidRPr="00BD7CEA" w:rsidRDefault="002B327C" w:rsidP="001A63C6">
            <w:pPr>
              <w:pStyle w:val="TableText"/>
              <w:widowControl w:val="0"/>
              <w:rPr>
                <w:rFonts w:ascii="Tahoma" w:hAnsi="Tahoma" w:cs="Tahoma"/>
                <w:color w:val="000000"/>
                <w:sz w:val="13"/>
              </w:rPr>
            </w:pPr>
          </w:p>
        </w:tc>
      </w:tr>
      <w:tr w:rsidR="001A63C6" w:rsidRPr="00BD7CEA" w:rsidTr="007E466C">
        <w:trPr>
          <w:trHeight w:val="145"/>
        </w:trPr>
        <w:tc>
          <w:tcPr>
            <w:tcW w:w="2734" w:type="dxa"/>
            <w:gridSpan w:val="2"/>
            <w:tcBorders>
              <w:bottom w:val="single" w:sz="4" w:space="0" w:color="auto"/>
            </w:tcBorders>
            <w:shd w:val="clear" w:color="auto" w:fill="auto"/>
            <w:vAlign w:val="center"/>
          </w:tcPr>
          <w:p w:rsidR="001A63C6" w:rsidRPr="00BD7CEA" w:rsidRDefault="001A63C6" w:rsidP="00E215F4">
            <w:pPr>
              <w:pStyle w:val="ProductNames"/>
              <w:spacing w:beforeLines="20" w:before="48" w:afterLines="20" w:after="48"/>
              <w:rPr>
                <w:rFonts w:ascii="Tahoma" w:hAnsi="Tahoma" w:cs="Tahoma"/>
                <w:sz w:val="14"/>
              </w:rPr>
            </w:pPr>
            <w:bookmarkStart w:id="185" w:name="_Toc336337922"/>
            <w:bookmarkStart w:id="186" w:name="_Toc353375725"/>
            <w:r w:rsidRPr="00BD7CEA">
              <w:rPr>
                <w:rFonts w:ascii="Tahoma" w:hAnsi="Tahoma" w:cs="Tahoma"/>
                <w:sz w:val="14"/>
              </w:rPr>
              <w:t>BizTalk</w:t>
            </w:r>
            <w:r w:rsidR="00700C4B" w:rsidRPr="00BD7CEA">
              <w:rPr>
                <w:rFonts w:cs="Tahoma"/>
                <w:szCs w:val="18"/>
                <w:vertAlign w:val="superscript"/>
              </w:rPr>
              <w:t>®</w:t>
            </w:r>
            <w:r w:rsidRPr="00BD7CEA">
              <w:rPr>
                <w:rFonts w:ascii="Tahoma" w:hAnsi="Tahoma" w:cs="Tahoma"/>
                <w:sz w:val="14"/>
              </w:rPr>
              <w:t xml:space="preserve"> Server 2013 Standard Edition</w:t>
            </w:r>
            <w:bookmarkEnd w:id="185"/>
            <w:bookmarkEnd w:id="186"/>
            <w:r w:rsidRPr="00BD7CEA">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BD7CEA" w:rsidRDefault="006E5080" w:rsidP="00132E08">
            <w:pPr>
              <w:pStyle w:val="TableText"/>
              <w:widowControl w:val="0"/>
              <w:rPr>
                <w:rStyle w:val="EndnoteReference"/>
                <w:rFonts w:cs="Tahoma"/>
                <w:b w:val="0"/>
                <w:color w:val="0000FF"/>
                <w:sz w:val="13"/>
                <w:szCs w:val="13"/>
                <w:u w:val="single"/>
              </w:rPr>
            </w:pPr>
            <w:hyperlink w:anchor="_34_BizTalk_Server®" w:history="1">
              <w:r w:rsidR="00132E08" w:rsidRPr="00BD7CEA">
                <w:rPr>
                  <w:rStyle w:val="Hyperlink"/>
                  <w:rFonts w:cs="Tahoma"/>
                  <w:b/>
                  <w:sz w:val="13"/>
                  <w:szCs w:val="13"/>
                </w:rPr>
                <w:t>34</w:t>
              </w:r>
            </w:hyperlink>
          </w:p>
        </w:tc>
        <w:tc>
          <w:tcPr>
            <w:tcW w:w="450" w:type="dxa"/>
            <w:tcBorders>
              <w:bottom w:val="single" w:sz="4" w:space="0" w:color="auto"/>
            </w:tcBorders>
            <w:shd w:val="clear" w:color="auto" w:fill="auto"/>
            <w:vAlign w:val="center"/>
          </w:tcPr>
          <w:p w:rsidR="001A63C6" w:rsidRPr="00BD7CEA" w:rsidRDefault="004D199A" w:rsidP="001A63C6">
            <w:pPr>
              <w:pStyle w:val="TableText"/>
              <w:widowControl w:val="0"/>
              <w:rPr>
                <w:rFonts w:ascii="Tahoma" w:hAnsi="Tahoma" w:cs="Tahoma"/>
                <w:color w:val="000000"/>
                <w:sz w:val="13"/>
              </w:rPr>
            </w:pPr>
            <w:r w:rsidRPr="00BD7CEA">
              <w:rPr>
                <w:rFonts w:ascii="Tahoma" w:hAnsi="Tahoma" w:cs="Tahoma"/>
                <w:color w:val="000000"/>
                <w:sz w:val="13"/>
              </w:rPr>
              <w:t>4/13</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BD7CEA" w:rsidRDefault="004D199A" w:rsidP="001A63C6">
            <w:pPr>
              <w:pStyle w:val="TableText"/>
              <w:widowControl w:val="0"/>
              <w:rPr>
                <w:rFonts w:ascii="Tahoma" w:hAnsi="Tahoma" w:cs="Tahoma"/>
                <w:sz w:val="13"/>
              </w:rPr>
            </w:pPr>
            <w:r w:rsidRPr="00BD7CEA">
              <w:rPr>
                <w:rFonts w:ascii="Tahoma" w:hAnsi="Tahoma" w:cs="Tahoma"/>
                <w:sz w:val="13"/>
              </w:rPr>
              <w:t>50</w:t>
            </w:r>
          </w:p>
        </w:tc>
        <w:tc>
          <w:tcPr>
            <w:tcW w:w="450" w:type="dxa"/>
            <w:tcBorders>
              <w:bottom w:val="single" w:sz="4" w:space="0" w:color="auto"/>
            </w:tcBorders>
            <w:shd w:val="clear" w:color="auto" w:fill="auto"/>
            <w:vAlign w:val="center"/>
          </w:tcPr>
          <w:p w:rsidR="001A63C6" w:rsidRPr="00BD7CEA" w:rsidRDefault="004D199A" w:rsidP="001A63C6">
            <w:pPr>
              <w:pStyle w:val="TableText"/>
              <w:widowControl w:val="0"/>
              <w:rPr>
                <w:rFonts w:ascii="Tahoma" w:hAnsi="Tahoma" w:cs="Tahoma"/>
                <w:sz w:val="13"/>
              </w:rPr>
            </w:pPr>
            <w:r w:rsidRPr="00BD7CEA">
              <w:rPr>
                <w:rFonts w:ascii="Tahoma" w:hAnsi="Tahoma" w:cs="Tahoma"/>
                <w:sz w:val="13"/>
              </w:rPr>
              <w:t>125</w:t>
            </w:r>
          </w:p>
        </w:tc>
        <w:tc>
          <w:tcPr>
            <w:tcW w:w="450" w:type="dxa"/>
            <w:tcBorders>
              <w:bottom w:val="single" w:sz="4" w:space="0" w:color="auto"/>
            </w:tcBorders>
            <w:shd w:val="clear" w:color="auto" w:fill="auto"/>
            <w:vAlign w:val="center"/>
          </w:tcPr>
          <w:p w:rsidR="001A63C6" w:rsidRPr="00BD7CEA" w:rsidRDefault="004D199A" w:rsidP="001A63C6">
            <w:pPr>
              <w:pStyle w:val="TableText"/>
              <w:widowControl w:val="0"/>
              <w:rPr>
                <w:rFonts w:ascii="Tahoma" w:hAnsi="Tahoma" w:cs="Tahoma"/>
                <w:sz w:val="13"/>
              </w:rPr>
            </w:pPr>
            <w:r w:rsidRPr="00BD7CEA">
              <w:rPr>
                <w:rFonts w:ascii="Tahoma" w:hAnsi="Tahoma" w:cs="Tahoma"/>
                <w:sz w:val="13"/>
              </w:rPr>
              <w:t>100</w:t>
            </w:r>
          </w:p>
        </w:tc>
        <w:tc>
          <w:tcPr>
            <w:tcW w:w="450" w:type="dxa"/>
            <w:tcBorders>
              <w:bottom w:val="single" w:sz="4" w:space="0" w:color="auto"/>
            </w:tcBorders>
            <w:shd w:val="clear" w:color="auto" w:fill="auto"/>
            <w:vAlign w:val="center"/>
          </w:tcPr>
          <w:p w:rsidR="001A63C6" w:rsidRPr="00BD7CEA" w:rsidRDefault="004D199A" w:rsidP="001A63C6">
            <w:pPr>
              <w:pStyle w:val="TableText"/>
              <w:widowControl w:val="0"/>
              <w:rPr>
                <w:rFonts w:ascii="Tahoma" w:hAnsi="Tahoma" w:cs="Tahoma"/>
                <w:sz w:val="13"/>
              </w:rPr>
            </w:pPr>
            <w:r w:rsidRPr="00BD7CEA">
              <w:rPr>
                <w:rFonts w:ascii="Tahoma" w:hAnsi="Tahoma" w:cs="Tahoma"/>
                <w:sz w:val="13"/>
              </w:rPr>
              <w:t>75</w:t>
            </w:r>
          </w:p>
        </w:tc>
        <w:tc>
          <w:tcPr>
            <w:tcW w:w="450" w:type="dxa"/>
            <w:tcBorders>
              <w:bottom w:val="single" w:sz="4" w:space="0" w:color="auto"/>
            </w:tcBorders>
            <w:shd w:val="clear" w:color="auto" w:fill="auto"/>
            <w:vAlign w:val="center"/>
          </w:tcPr>
          <w:p w:rsidR="001A63C6" w:rsidRPr="00BD7CEA" w:rsidRDefault="004D199A" w:rsidP="001A63C6">
            <w:pPr>
              <w:pStyle w:val="TableText"/>
              <w:widowControl w:val="0"/>
              <w:rPr>
                <w:rFonts w:ascii="Tahoma" w:hAnsi="Tahoma" w:cs="Tahoma"/>
                <w:sz w:val="13"/>
              </w:rPr>
            </w:pPr>
            <w:r w:rsidRPr="00BD7CEA">
              <w:rPr>
                <w:rFonts w:ascii="Tahoma" w:hAnsi="Tahoma" w:cs="Tahoma"/>
                <w:sz w:val="13"/>
              </w:rPr>
              <w:t>75</w:t>
            </w:r>
          </w:p>
        </w:tc>
        <w:tc>
          <w:tcPr>
            <w:tcW w:w="450" w:type="dxa"/>
            <w:tcBorders>
              <w:bottom w:val="single" w:sz="4" w:space="0" w:color="auto"/>
            </w:tcBorders>
            <w:shd w:val="clear" w:color="auto" w:fill="auto"/>
            <w:vAlign w:val="center"/>
          </w:tcPr>
          <w:p w:rsidR="001A63C6" w:rsidRPr="00BD7CEA" w:rsidRDefault="004D199A" w:rsidP="001A63C6">
            <w:pPr>
              <w:pStyle w:val="TableText"/>
              <w:widowControl w:val="0"/>
              <w:rPr>
                <w:rFonts w:ascii="Tahoma" w:hAnsi="Tahoma" w:cs="Tahoma"/>
                <w:sz w:val="13"/>
              </w:rPr>
            </w:pPr>
            <w:r w:rsidRPr="00BD7CEA">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BD7CEA" w:rsidRDefault="004D199A" w:rsidP="001A63C6">
            <w:pPr>
              <w:pStyle w:val="TableText"/>
              <w:widowControl w:val="0"/>
              <w:rPr>
                <w:rFonts w:ascii="Tahoma" w:hAnsi="Tahoma" w:cs="Tahoma"/>
                <w:sz w:val="13"/>
              </w:rPr>
            </w:pPr>
            <w:r w:rsidRPr="00BD7CEA">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BD7CEA" w:rsidRDefault="004D199A" w:rsidP="001A63C6">
            <w:pPr>
              <w:pStyle w:val="TableText"/>
              <w:widowControl w:val="0"/>
              <w:rPr>
                <w:rFonts w:ascii="Tahoma" w:hAnsi="Tahoma" w:cs="Tahoma"/>
                <w:sz w:val="13"/>
              </w:rPr>
            </w:pPr>
            <w:r w:rsidRPr="00BD7CEA">
              <w:rPr>
                <w:rFonts w:ascii="Tahoma" w:hAnsi="Tahoma" w:cs="Tahoma"/>
                <w:sz w:val="13"/>
              </w:rPr>
              <w:t>50</w:t>
            </w:r>
          </w:p>
        </w:tc>
        <w:tc>
          <w:tcPr>
            <w:tcW w:w="450" w:type="dxa"/>
            <w:tcBorders>
              <w:bottom w:val="single" w:sz="4" w:space="0" w:color="auto"/>
            </w:tcBorders>
            <w:shd w:val="clear" w:color="auto" w:fill="auto"/>
            <w:vAlign w:val="center"/>
          </w:tcPr>
          <w:p w:rsidR="001A63C6" w:rsidRPr="00BD7CEA" w:rsidRDefault="004D199A" w:rsidP="001A63C6">
            <w:pPr>
              <w:pStyle w:val="TableText"/>
              <w:widowControl w:val="0"/>
              <w:rPr>
                <w:rFonts w:ascii="Tahoma" w:hAnsi="Tahoma" w:cs="Tahoma"/>
                <w:sz w:val="13"/>
              </w:rPr>
            </w:pPr>
            <w:r w:rsidRPr="00BD7CEA">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BD7CEA" w:rsidRDefault="004D199A" w:rsidP="001A63C6">
            <w:pPr>
              <w:pStyle w:val="TableText"/>
              <w:widowControl w:val="0"/>
              <w:rPr>
                <w:rFonts w:ascii="Tahoma" w:hAnsi="Tahoma" w:cs="Tahoma"/>
                <w:sz w:val="13"/>
              </w:rPr>
            </w:pPr>
            <w:r w:rsidRPr="00BD7CEA">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BD7CEA" w:rsidRDefault="004D199A" w:rsidP="001A63C6">
            <w:pPr>
              <w:pStyle w:val="TableText"/>
              <w:widowControl w:val="0"/>
              <w:rPr>
                <w:rFonts w:ascii="Tahoma" w:hAnsi="Tahoma" w:cs="Tahoma"/>
                <w:sz w:val="13"/>
              </w:rPr>
            </w:pPr>
            <w:r w:rsidRPr="00BD7CEA">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w:t>
            </w:r>
            <w:r w:rsidR="00554295" w:rsidRPr="00BD7CEA">
              <w:rPr>
                <w:rFonts w:ascii="Tahoma" w:hAnsi="Tahoma" w:cs="Tahoma"/>
                <w:sz w:val="13"/>
              </w:rPr>
              <w:t xml:space="preserve"> </w:t>
            </w:r>
            <w:r w:rsidRPr="00BD7CEA">
              <w:rPr>
                <w:rFonts w:ascii="Tahoma" w:hAnsi="Tahoma" w:cs="Tahoma"/>
                <w:sz w:val="13"/>
              </w:rPr>
              <w:t>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P</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sz w:val="13"/>
              </w:rPr>
              <w:t>A</w:t>
            </w: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OL/OV</w:t>
            </w:r>
          </w:p>
        </w:tc>
      </w:tr>
      <w:tr w:rsidR="00B33D0E" w:rsidRPr="00BD7CEA" w:rsidDel="00E7100E" w:rsidTr="006B1F3F">
        <w:trPr>
          <w:trHeight w:val="145"/>
        </w:trPr>
        <w:tc>
          <w:tcPr>
            <w:tcW w:w="2734" w:type="dxa"/>
            <w:gridSpan w:val="2"/>
            <w:tcBorders>
              <w:bottom w:val="single" w:sz="4" w:space="0" w:color="auto"/>
            </w:tcBorders>
            <w:shd w:val="clear" w:color="auto" w:fill="FABF8F"/>
            <w:vAlign w:val="center"/>
          </w:tcPr>
          <w:p w:rsidR="002B327C" w:rsidRPr="00BD7CEA" w:rsidDel="002B327C" w:rsidRDefault="002B327C" w:rsidP="00E215F4">
            <w:pPr>
              <w:pStyle w:val="Heading2"/>
              <w:spacing w:beforeLines="20" w:before="48" w:afterLines="20" w:after="48"/>
              <w:ind w:left="0"/>
              <w:rPr>
                <w:rFonts w:ascii="Tahoma" w:hAnsi="Tahoma" w:cs="Tahoma"/>
                <w:b w:val="0"/>
                <w:sz w:val="14"/>
              </w:rPr>
            </w:pPr>
            <w:bookmarkStart w:id="187" w:name="_Toc353375726"/>
            <w:r w:rsidRPr="00BD7CEA">
              <w:rPr>
                <w:rFonts w:ascii="Tahoma" w:hAnsi="Tahoma" w:cs="Tahoma"/>
                <w:b w:val="0"/>
                <w:sz w:val="14"/>
              </w:rPr>
              <w:t>BizTalk</w:t>
            </w:r>
            <w:r w:rsidR="00700C4B" w:rsidRPr="00BD7CEA">
              <w:rPr>
                <w:rFonts w:ascii="Tahoma" w:hAnsi="Tahoma" w:cs="Tahoma"/>
                <w:b w:val="0"/>
                <w:sz w:val="14"/>
                <w:vertAlign w:val="superscript"/>
              </w:rPr>
              <w:t>®</w:t>
            </w:r>
            <w:r w:rsidRPr="00BD7CEA">
              <w:rPr>
                <w:rFonts w:ascii="Tahoma" w:hAnsi="Tahoma" w:cs="Tahoma"/>
                <w:b w:val="0"/>
                <w:sz w:val="14"/>
              </w:rPr>
              <w:t xml:space="preserve"> Server 2013 Standard Edition IDC</w:t>
            </w:r>
            <w:bookmarkEnd w:id="187"/>
          </w:p>
        </w:tc>
        <w:tc>
          <w:tcPr>
            <w:tcW w:w="450" w:type="dxa"/>
            <w:tcBorders>
              <w:bottom w:val="single" w:sz="4" w:space="0" w:color="auto"/>
            </w:tcBorders>
            <w:shd w:val="clear" w:color="auto" w:fill="FABF8F"/>
            <w:vAlign w:val="center"/>
          </w:tcPr>
          <w:p w:rsidR="002B327C" w:rsidRPr="00BD7CEA" w:rsidDel="00E7100E" w:rsidRDefault="002B327C" w:rsidP="002253A3">
            <w:pPr>
              <w:jc w:val="center"/>
              <w:rPr>
                <w:sz w:val="13"/>
                <w:szCs w:val="13"/>
              </w:rPr>
            </w:pPr>
          </w:p>
        </w:tc>
        <w:tc>
          <w:tcPr>
            <w:tcW w:w="450" w:type="dxa"/>
            <w:tcBorders>
              <w:bottom w:val="single" w:sz="4" w:space="0" w:color="auto"/>
            </w:tcBorders>
            <w:shd w:val="clear" w:color="auto" w:fill="FABF8F"/>
            <w:vAlign w:val="center"/>
          </w:tcPr>
          <w:p w:rsidR="002B327C" w:rsidRPr="00BD7CEA" w:rsidDel="00A53269" w:rsidRDefault="002B327C" w:rsidP="002253A3">
            <w:pPr>
              <w:jc w:val="center"/>
              <w:rPr>
                <w:rFonts w:cs="Tahoma"/>
                <w:color w:val="000000"/>
                <w:sz w:val="13"/>
                <w:szCs w:val="13"/>
              </w:rPr>
            </w:pPr>
            <w:r w:rsidRPr="00BD7CEA">
              <w:rPr>
                <w:rFonts w:cs="Tahoma"/>
                <w:color w:val="000000"/>
                <w:sz w:val="13"/>
                <w:szCs w:val="13"/>
              </w:rPr>
              <w:t>4/13</w:t>
            </w:r>
          </w:p>
        </w:tc>
        <w:tc>
          <w:tcPr>
            <w:tcW w:w="360" w:type="dxa"/>
            <w:tcBorders>
              <w:bottom w:val="single" w:sz="4" w:space="0" w:color="auto"/>
              <w:right w:val="single" w:sz="18" w:space="0" w:color="auto"/>
            </w:tcBorders>
            <w:shd w:val="clear" w:color="auto" w:fill="FABF8F"/>
            <w:vAlign w:val="center"/>
          </w:tcPr>
          <w:p w:rsidR="002B327C" w:rsidRPr="00BD7CEA" w:rsidDel="00E7100E" w:rsidRDefault="002B327C" w:rsidP="002253A3">
            <w:pPr>
              <w:jc w:val="center"/>
              <w:rPr>
                <w:rFonts w:cs="Tahoma"/>
                <w:color w:val="000000"/>
                <w:sz w:val="13"/>
                <w:szCs w:val="13"/>
              </w:rPr>
            </w:pPr>
          </w:p>
        </w:tc>
        <w:tc>
          <w:tcPr>
            <w:tcW w:w="360" w:type="dxa"/>
            <w:tcBorders>
              <w:left w:val="single" w:sz="18" w:space="0" w:color="auto"/>
              <w:bottom w:val="single" w:sz="4" w:space="0" w:color="auto"/>
            </w:tcBorders>
            <w:shd w:val="clear" w:color="auto" w:fill="FABF8F"/>
            <w:vAlign w:val="center"/>
          </w:tcPr>
          <w:p w:rsidR="002B327C" w:rsidRPr="00BD7CEA"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BD7CEA"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BD7CEA"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BD7CEA"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BD7CEA"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BD7CEA" w:rsidDel="00E7100E" w:rsidRDefault="002B327C" w:rsidP="002253A3">
            <w:pPr>
              <w:jc w:val="center"/>
              <w:rPr>
                <w:rFonts w:cs="Tahoma"/>
                <w:sz w:val="13"/>
                <w:szCs w:val="13"/>
              </w:rPr>
            </w:pPr>
          </w:p>
        </w:tc>
        <w:tc>
          <w:tcPr>
            <w:tcW w:w="360" w:type="dxa"/>
            <w:tcBorders>
              <w:bottom w:val="single" w:sz="4" w:space="0" w:color="auto"/>
              <w:right w:val="single" w:sz="18" w:space="0" w:color="auto"/>
            </w:tcBorders>
            <w:shd w:val="clear" w:color="auto" w:fill="FABF8F"/>
            <w:vAlign w:val="center"/>
          </w:tcPr>
          <w:p w:rsidR="002B327C" w:rsidRPr="00BD7CEA" w:rsidDel="00E7100E" w:rsidRDefault="002B327C"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BD7CEA"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BD7CEA" w:rsidDel="00E7100E" w:rsidRDefault="002B327C"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BD7CEA" w:rsidDel="00E7100E" w:rsidRDefault="002B327C"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BD7CEA" w:rsidDel="00E7100E" w:rsidRDefault="002B327C"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BD7CEA" w:rsidDel="00A53269" w:rsidRDefault="002253A3" w:rsidP="002253A3">
            <w:pPr>
              <w:jc w:val="center"/>
              <w:rPr>
                <w:rFonts w:cs="Tahoma"/>
                <w:sz w:val="13"/>
                <w:szCs w:val="13"/>
              </w:rPr>
            </w:pPr>
            <w:r w:rsidRPr="00BD7CEA">
              <w:rPr>
                <w:rFonts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BD7CEA"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BD7CEA" w:rsidDel="00E7100E" w:rsidRDefault="002B327C" w:rsidP="002253A3">
            <w:pPr>
              <w:jc w:val="center"/>
              <w:rPr>
                <w:rFonts w:cs="Tahoma"/>
                <w:sz w:val="13"/>
                <w:szCs w:val="13"/>
              </w:rPr>
            </w:pPr>
          </w:p>
        </w:tc>
        <w:tc>
          <w:tcPr>
            <w:tcW w:w="540" w:type="dxa"/>
            <w:tcBorders>
              <w:bottom w:val="single" w:sz="4" w:space="0" w:color="auto"/>
            </w:tcBorders>
            <w:shd w:val="clear" w:color="auto" w:fill="FABF8F"/>
            <w:vAlign w:val="center"/>
          </w:tcPr>
          <w:p w:rsidR="002B327C" w:rsidRPr="00BD7CEA" w:rsidDel="00E7100E" w:rsidRDefault="002B327C" w:rsidP="002253A3">
            <w:pPr>
              <w:jc w:val="center"/>
              <w:rPr>
                <w:rFonts w:cs="Tahoma"/>
                <w:color w:val="000000"/>
                <w:sz w:val="13"/>
                <w:szCs w:val="13"/>
              </w:rPr>
            </w:pPr>
          </w:p>
        </w:tc>
      </w:tr>
      <w:tr w:rsidR="00BE2E58" w:rsidRPr="00BD7CEA" w:rsidTr="006B1F3F">
        <w:trPr>
          <w:trHeight w:val="145"/>
        </w:trPr>
        <w:tc>
          <w:tcPr>
            <w:tcW w:w="2734" w:type="dxa"/>
            <w:gridSpan w:val="2"/>
            <w:tcBorders>
              <w:bottom w:val="single" w:sz="4" w:space="0" w:color="auto"/>
            </w:tcBorders>
            <w:shd w:val="clear" w:color="auto" w:fill="auto"/>
            <w:vAlign w:val="center"/>
          </w:tcPr>
          <w:p w:rsidR="001A63C6" w:rsidRPr="00BD7CEA" w:rsidRDefault="001A63C6" w:rsidP="00E215F4">
            <w:pPr>
              <w:pStyle w:val="Heading2"/>
              <w:spacing w:beforeLines="20" w:before="48" w:afterLines="20" w:after="48"/>
              <w:ind w:left="0"/>
              <w:rPr>
                <w:rFonts w:ascii="Tahoma" w:hAnsi="Tahoma" w:cs="Tahoma"/>
                <w:b w:val="0"/>
                <w:sz w:val="16"/>
                <w:szCs w:val="16"/>
              </w:rPr>
            </w:pPr>
            <w:bookmarkStart w:id="188" w:name="_Toc336337925"/>
            <w:bookmarkStart w:id="189" w:name="_Toc353375727"/>
            <w:r w:rsidRPr="00BD7CEA">
              <w:rPr>
                <w:rFonts w:ascii="Tahoma" w:hAnsi="Tahoma" w:cs="Tahoma"/>
                <w:b w:val="0"/>
                <w:sz w:val="14"/>
                <w:szCs w:val="16"/>
              </w:rPr>
              <w:t>Business Intelligence Appliance 2012</w:t>
            </w:r>
            <w:bookmarkEnd w:id="188"/>
            <w:bookmarkEnd w:id="189"/>
          </w:p>
        </w:tc>
        <w:tc>
          <w:tcPr>
            <w:tcW w:w="450" w:type="dxa"/>
            <w:tcBorders>
              <w:bottom w:val="single" w:sz="4" w:space="0" w:color="auto"/>
            </w:tcBorders>
            <w:shd w:val="clear" w:color="auto" w:fill="auto"/>
            <w:vAlign w:val="center"/>
          </w:tcPr>
          <w:p w:rsidR="001A63C6" w:rsidRPr="00BD7CEA" w:rsidRDefault="006E5080" w:rsidP="00132E08">
            <w:pPr>
              <w:pStyle w:val="TableText"/>
              <w:widowControl w:val="0"/>
              <w:rPr>
                <w:rStyle w:val="EndnoteReference"/>
                <w:b w:val="0"/>
                <w:color w:val="0000FF"/>
                <w:sz w:val="13"/>
                <w:szCs w:val="13"/>
                <w:u w:val="single"/>
              </w:rPr>
            </w:pPr>
            <w:hyperlink w:anchor="_35_Business_Intelligence" w:history="1">
              <w:r w:rsidR="00955428" w:rsidRPr="00BD7CEA">
                <w:rPr>
                  <w:rStyle w:val="Hyperlink"/>
                  <w:b/>
                  <w:sz w:val="13"/>
                  <w:szCs w:val="13"/>
                </w:rPr>
                <w:t>35</w:t>
              </w:r>
            </w:hyperlink>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125</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szCs w:val="13"/>
              </w:rPr>
            </w:pPr>
            <w:r w:rsidRPr="00BD7CEA">
              <w:rPr>
                <w:rFonts w:ascii="Tahoma" w:hAnsi="Tahoma" w:cs="Tahoma"/>
                <w:sz w:val="13"/>
                <w:szCs w:val="13"/>
              </w:rPr>
              <w:t>313</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szCs w:val="13"/>
              </w:rPr>
            </w:pPr>
            <w:r w:rsidRPr="00BD7CEA">
              <w:rPr>
                <w:rFonts w:ascii="Tahoma" w:hAnsi="Tahoma" w:cs="Tahoma"/>
                <w:sz w:val="13"/>
                <w:szCs w:val="13"/>
              </w:rPr>
              <w:t>250</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szCs w:val="13"/>
              </w:rPr>
            </w:pPr>
            <w:r w:rsidRPr="00BD7CEA">
              <w:rPr>
                <w:rFonts w:ascii="Tahoma" w:hAnsi="Tahoma" w:cs="Tahoma"/>
                <w:sz w:val="13"/>
                <w:szCs w:val="13"/>
              </w:rPr>
              <w:t>188</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szCs w:val="13"/>
              </w:rPr>
            </w:pPr>
            <w:r w:rsidRPr="00BD7CEA">
              <w:rPr>
                <w:rFonts w:ascii="Tahoma" w:hAnsi="Tahoma" w:cs="Tahoma"/>
                <w:sz w:val="13"/>
                <w:szCs w:val="13"/>
              </w:rPr>
              <w:t>188</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szCs w:val="13"/>
              </w:rPr>
            </w:pPr>
            <w:r w:rsidRPr="00BD7CEA">
              <w:rPr>
                <w:rFonts w:ascii="Tahoma" w:hAnsi="Tahoma" w:cs="Tahoma"/>
                <w:sz w:val="13"/>
                <w:szCs w:val="13"/>
              </w:rPr>
              <w:t>125</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szCs w:val="13"/>
              </w:rPr>
            </w:pPr>
            <w:r w:rsidRPr="00BD7CEA">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r>
      <w:tr w:rsidR="00EF228F" w:rsidRPr="00BD7CEA" w:rsidTr="006B1F3F">
        <w:trPr>
          <w:trHeight w:val="145"/>
        </w:trPr>
        <w:tc>
          <w:tcPr>
            <w:tcW w:w="2734" w:type="dxa"/>
            <w:gridSpan w:val="2"/>
            <w:tcBorders>
              <w:bottom w:val="single" w:sz="4" w:space="0" w:color="auto"/>
            </w:tcBorders>
            <w:shd w:val="clear" w:color="auto" w:fill="FABF8F"/>
            <w:vAlign w:val="center"/>
          </w:tcPr>
          <w:p w:rsidR="001A63C6" w:rsidRPr="007B74B7" w:rsidRDefault="001A63C6" w:rsidP="00E215F4">
            <w:pPr>
              <w:pStyle w:val="ProductNames"/>
              <w:spacing w:beforeLines="20" w:before="48" w:afterLines="20" w:after="48"/>
              <w:rPr>
                <w:rFonts w:ascii="Tahoma" w:hAnsi="Tahoma" w:cs="Tahoma"/>
                <w:sz w:val="14"/>
                <w:lang w:val="it-IT"/>
              </w:rPr>
            </w:pPr>
            <w:bookmarkStart w:id="190" w:name="_Toc336337926"/>
            <w:bookmarkStart w:id="191" w:name="_Toc353375728"/>
            <w:r w:rsidRPr="007B74B7">
              <w:rPr>
                <w:rFonts w:ascii="Tahoma" w:hAnsi="Tahoma" w:cs="Tahoma"/>
                <w:sz w:val="14"/>
                <w:lang w:val="it-IT"/>
              </w:rPr>
              <w:t>Core CAL Suite Bridge per Office 365 (Utente e Dispositivo)</w:t>
            </w:r>
            <w:bookmarkEnd w:id="190"/>
            <w:bookmarkEnd w:id="191"/>
          </w:p>
        </w:tc>
        <w:tc>
          <w:tcPr>
            <w:tcW w:w="450" w:type="dxa"/>
            <w:tcBorders>
              <w:bottom w:val="single" w:sz="4" w:space="0" w:color="auto"/>
            </w:tcBorders>
            <w:shd w:val="clear" w:color="auto" w:fill="FABF8F"/>
            <w:vAlign w:val="center"/>
          </w:tcPr>
          <w:p w:rsidR="001A63C6" w:rsidRPr="00BD7CEA" w:rsidRDefault="006E5080" w:rsidP="00132E08">
            <w:pPr>
              <w:pStyle w:val="TableText"/>
              <w:widowControl w:val="0"/>
              <w:rPr>
                <w:b/>
                <w:color w:val="0000FF"/>
                <w:sz w:val="13"/>
                <w:szCs w:val="13"/>
                <w:u w:val="single"/>
              </w:rPr>
            </w:pPr>
            <w:hyperlink w:anchor="_36_Core_CAL" w:history="1">
              <w:r w:rsidR="00955428" w:rsidRPr="00BD7CEA">
                <w:rPr>
                  <w:rStyle w:val="Hyperlink"/>
                  <w:b/>
                  <w:sz w:val="13"/>
                  <w:szCs w:val="13"/>
                </w:rPr>
                <w:t>36</w:t>
              </w:r>
            </w:hyperlink>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E</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r>
      <w:tr w:rsidR="00BE2E58" w:rsidRPr="00BD7CEA" w:rsidTr="006B1F3F">
        <w:trPr>
          <w:trHeight w:val="145"/>
        </w:trPr>
        <w:tc>
          <w:tcPr>
            <w:tcW w:w="2734" w:type="dxa"/>
            <w:gridSpan w:val="2"/>
            <w:tcBorders>
              <w:bottom w:val="single" w:sz="4" w:space="0" w:color="auto"/>
            </w:tcBorders>
            <w:shd w:val="clear" w:color="auto" w:fill="auto"/>
            <w:vAlign w:val="center"/>
          </w:tcPr>
          <w:p w:rsidR="001A63C6" w:rsidRPr="007B74B7" w:rsidRDefault="001A63C6" w:rsidP="00E215F4">
            <w:pPr>
              <w:pStyle w:val="ProductNames"/>
              <w:spacing w:beforeLines="20" w:before="48" w:afterLines="20" w:after="48"/>
              <w:rPr>
                <w:rFonts w:ascii="Tahoma" w:hAnsi="Tahoma" w:cs="Tahoma"/>
                <w:sz w:val="14"/>
                <w:lang w:val="it-IT"/>
              </w:rPr>
            </w:pPr>
            <w:bookmarkStart w:id="192" w:name="_Toc336337927"/>
            <w:bookmarkStart w:id="193" w:name="_Toc353375729"/>
            <w:r w:rsidRPr="007B74B7">
              <w:rPr>
                <w:rFonts w:ascii="Tahoma" w:hAnsi="Tahoma" w:cs="Tahoma"/>
                <w:sz w:val="14"/>
                <w:lang w:val="it-IT"/>
              </w:rPr>
              <w:t>Core CAL Suite Bridge per Office 365 e Windows</w:t>
            </w:r>
            <w:r w:rsidR="00700C4B" w:rsidRPr="007B74B7">
              <w:rPr>
                <w:rFonts w:ascii="Tahoma" w:hAnsi="Tahoma" w:cs="Tahoma"/>
                <w:sz w:val="14"/>
                <w:vertAlign w:val="superscript"/>
                <w:lang w:val="it-IT"/>
              </w:rPr>
              <w:t>®</w:t>
            </w:r>
            <w:r w:rsidRPr="007B74B7">
              <w:rPr>
                <w:rFonts w:ascii="Tahoma" w:hAnsi="Tahoma" w:cs="Tahoma"/>
                <w:sz w:val="14"/>
                <w:lang w:val="it-IT"/>
              </w:rPr>
              <w:t xml:space="preserve"> Intune (Utente e Dispositivo)</w:t>
            </w:r>
            <w:bookmarkEnd w:id="192"/>
            <w:bookmarkEnd w:id="193"/>
          </w:p>
        </w:tc>
        <w:tc>
          <w:tcPr>
            <w:tcW w:w="450" w:type="dxa"/>
            <w:tcBorders>
              <w:bottom w:val="single" w:sz="4" w:space="0" w:color="auto"/>
            </w:tcBorders>
            <w:shd w:val="clear" w:color="auto" w:fill="auto"/>
            <w:vAlign w:val="center"/>
          </w:tcPr>
          <w:p w:rsidR="001A63C6" w:rsidRPr="00BD7CEA" w:rsidRDefault="006E5080" w:rsidP="00132E08">
            <w:pPr>
              <w:pStyle w:val="TableText"/>
              <w:widowControl w:val="0"/>
              <w:rPr>
                <w:b/>
                <w:color w:val="0000FF"/>
                <w:sz w:val="13"/>
                <w:szCs w:val="13"/>
                <w:u w:val="single"/>
              </w:rPr>
            </w:pPr>
            <w:hyperlink w:anchor="_37_Core_CAL" w:history="1">
              <w:r w:rsidR="00955428" w:rsidRPr="00BD7CEA">
                <w:rPr>
                  <w:rStyle w:val="Hyperlink"/>
                  <w:b/>
                  <w:sz w:val="13"/>
                  <w:szCs w:val="13"/>
                </w:rPr>
                <w:t>37</w:t>
              </w:r>
            </w:hyperlink>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E</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r>
      <w:tr w:rsidR="00EF228F" w:rsidRPr="00BD7CEA" w:rsidTr="006B1F3F">
        <w:trPr>
          <w:trHeight w:val="145"/>
        </w:trPr>
        <w:tc>
          <w:tcPr>
            <w:tcW w:w="2734" w:type="dxa"/>
            <w:gridSpan w:val="2"/>
            <w:tcBorders>
              <w:bottom w:val="single" w:sz="4" w:space="0" w:color="auto"/>
            </w:tcBorders>
            <w:shd w:val="clear" w:color="auto" w:fill="FABF8F"/>
            <w:vAlign w:val="center"/>
          </w:tcPr>
          <w:p w:rsidR="001A63C6" w:rsidRPr="007B74B7" w:rsidRDefault="001A63C6" w:rsidP="00E215F4">
            <w:pPr>
              <w:pStyle w:val="ProductNames"/>
              <w:spacing w:beforeLines="20" w:before="48" w:afterLines="20" w:after="48"/>
              <w:rPr>
                <w:rFonts w:ascii="Tahoma" w:hAnsi="Tahoma" w:cs="Tahoma"/>
                <w:sz w:val="14"/>
                <w:lang w:val="it-IT"/>
              </w:rPr>
            </w:pPr>
            <w:bookmarkStart w:id="194" w:name="_Toc336337928"/>
            <w:bookmarkStart w:id="195" w:name="_Toc353375730"/>
            <w:r w:rsidRPr="007B74B7">
              <w:rPr>
                <w:rFonts w:ascii="Tahoma" w:hAnsi="Tahoma" w:cs="Tahoma"/>
                <w:sz w:val="14"/>
                <w:lang w:val="it-IT"/>
              </w:rPr>
              <w:t>Core CAL Bridge per Windows</w:t>
            </w:r>
            <w:r w:rsidR="00700C4B" w:rsidRPr="007B74B7">
              <w:rPr>
                <w:rFonts w:ascii="Tahoma" w:hAnsi="Tahoma" w:cs="Tahoma"/>
                <w:sz w:val="14"/>
                <w:vertAlign w:val="superscript"/>
                <w:lang w:val="it-IT"/>
              </w:rPr>
              <w:t>®</w:t>
            </w:r>
            <w:r w:rsidRPr="007B74B7">
              <w:rPr>
                <w:rFonts w:ascii="Tahoma" w:hAnsi="Tahoma" w:cs="Tahoma"/>
                <w:sz w:val="14"/>
                <w:lang w:val="it-IT"/>
              </w:rPr>
              <w:t xml:space="preserve"> Intune (Utente e Dispositivo)</w:t>
            </w:r>
            <w:bookmarkEnd w:id="194"/>
            <w:bookmarkEnd w:id="195"/>
          </w:p>
        </w:tc>
        <w:tc>
          <w:tcPr>
            <w:tcW w:w="450" w:type="dxa"/>
            <w:tcBorders>
              <w:bottom w:val="single" w:sz="4" w:space="0" w:color="auto"/>
            </w:tcBorders>
            <w:shd w:val="clear" w:color="auto" w:fill="FABF8F"/>
            <w:vAlign w:val="center"/>
          </w:tcPr>
          <w:p w:rsidR="001A63C6" w:rsidRPr="00BD7CEA" w:rsidRDefault="006E5080" w:rsidP="00132E08">
            <w:pPr>
              <w:pStyle w:val="TableText"/>
              <w:widowControl w:val="0"/>
              <w:rPr>
                <w:b/>
                <w:color w:val="0000FF"/>
                <w:sz w:val="13"/>
                <w:szCs w:val="13"/>
                <w:u w:val="single"/>
              </w:rPr>
            </w:pPr>
            <w:hyperlink w:anchor="Srv_35CoreCALBridgeWinIntune" w:history="1">
              <w:r w:rsidR="00955428" w:rsidRPr="00BD7CEA">
                <w:rPr>
                  <w:rStyle w:val="Hyperlink"/>
                  <w:b/>
                  <w:sz w:val="13"/>
                  <w:szCs w:val="13"/>
                </w:rPr>
                <w:t>3</w:t>
              </w:r>
            </w:hyperlink>
            <w:r w:rsidR="00955428" w:rsidRPr="00BD7CEA">
              <w:rPr>
                <w:rStyle w:val="Hyperlink"/>
                <w:b/>
                <w:sz w:val="13"/>
                <w:szCs w:val="13"/>
              </w:rPr>
              <w:t>7</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r>
      <w:tr w:rsidR="00BE2E58" w:rsidRPr="00BD7CEA" w:rsidTr="006B1F3F">
        <w:trPr>
          <w:trHeight w:val="145"/>
        </w:trPr>
        <w:tc>
          <w:tcPr>
            <w:tcW w:w="2734" w:type="dxa"/>
            <w:gridSpan w:val="2"/>
            <w:tcBorders>
              <w:bottom w:val="single" w:sz="4" w:space="0" w:color="auto"/>
            </w:tcBorders>
            <w:shd w:val="clear" w:color="auto" w:fill="auto"/>
            <w:vAlign w:val="center"/>
          </w:tcPr>
          <w:p w:rsidR="001A63C6" w:rsidRPr="007B74B7" w:rsidRDefault="001A63C6" w:rsidP="00E215F4">
            <w:pPr>
              <w:pStyle w:val="ProductNames"/>
              <w:spacing w:beforeLines="20" w:before="48" w:afterLines="20" w:after="48"/>
              <w:rPr>
                <w:rFonts w:ascii="Tahoma" w:hAnsi="Tahoma" w:cs="Tahoma"/>
                <w:sz w:val="14"/>
                <w:lang w:val="it-IT"/>
              </w:rPr>
            </w:pPr>
            <w:bookmarkStart w:id="196" w:name="_Toc336337929"/>
            <w:bookmarkStart w:id="197" w:name="_Toc353375731"/>
            <w:r w:rsidRPr="007B74B7">
              <w:rPr>
                <w:rFonts w:ascii="Tahoma" w:hAnsi="Tahoma" w:cs="Tahoma"/>
                <w:sz w:val="14"/>
                <w:lang w:val="it-IT"/>
              </w:rPr>
              <w:t>Core CAL Suite (Utente e Dispositivo)</w:t>
            </w:r>
            <w:bookmarkEnd w:id="196"/>
            <w:bookmarkEnd w:id="197"/>
          </w:p>
        </w:tc>
        <w:tc>
          <w:tcPr>
            <w:tcW w:w="450" w:type="dxa"/>
            <w:tcBorders>
              <w:bottom w:val="single" w:sz="4" w:space="0" w:color="auto"/>
            </w:tcBorders>
            <w:shd w:val="clear" w:color="auto" w:fill="auto"/>
            <w:vAlign w:val="center"/>
          </w:tcPr>
          <w:p w:rsidR="001A63C6" w:rsidRPr="00BD7CEA" w:rsidRDefault="006E5080" w:rsidP="00132E08">
            <w:pPr>
              <w:pStyle w:val="TableText"/>
              <w:widowControl w:val="0"/>
              <w:rPr>
                <w:rStyle w:val="EndnoteReference"/>
                <w:color w:val="0000FF"/>
                <w:sz w:val="13"/>
                <w:szCs w:val="13"/>
                <w:u w:val="single"/>
              </w:rPr>
            </w:pPr>
            <w:hyperlink w:anchor="Srv_35CoreCALBridgeWinIntune" w:history="1">
              <w:r w:rsidR="00C36760" w:rsidRPr="00BD7CEA">
                <w:rPr>
                  <w:rStyle w:val="Hyperlink"/>
                  <w:b/>
                  <w:sz w:val="13"/>
                  <w:szCs w:val="13"/>
                </w:rPr>
                <w:t>3</w:t>
              </w:r>
            </w:hyperlink>
            <w:r w:rsidR="00C36760" w:rsidRPr="00BD7CEA">
              <w:rPr>
                <w:rStyle w:val="Hyperlink"/>
                <w:b/>
                <w:sz w:val="13"/>
                <w:szCs w:val="13"/>
              </w:rPr>
              <w:t>7</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szCs w:val="13"/>
              </w:rPr>
            </w:pPr>
            <w:r w:rsidRPr="00BD7CEA">
              <w:rPr>
                <w:rFonts w:ascii="Tahoma" w:hAnsi="Tahoma" w:cs="Tahoma"/>
                <w:sz w:val="13"/>
                <w:szCs w:val="13"/>
              </w:rPr>
              <w:t>3</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szCs w:val="13"/>
              </w:rPr>
            </w:pPr>
            <w:r w:rsidRPr="00BD7CEA">
              <w:rPr>
                <w:rFonts w:ascii="Tahoma" w:hAnsi="Tahoma" w:cs="Tahoma"/>
                <w:sz w:val="13"/>
                <w:szCs w:val="13"/>
              </w:rPr>
              <w:t>2</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szCs w:val="13"/>
              </w:rPr>
            </w:pPr>
            <w:r w:rsidRPr="00BD7CEA">
              <w:rPr>
                <w:rFonts w:ascii="Tahoma" w:hAnsi="Tahoma" w:cs="Tahoma"/>
                <w:sz w:val="13"/>
                <w:szCs w:val="13"/>
              </w:rPr>
              <w:t>2</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szCs w:val="13"/>
              </w:rPr>
            </w:pPr>
            <w:r w:rsidRPr="00BD7CEA">
              <w:rPr>
                <w:rFonts w:ascii="Tahoma" w:hAnsi="Tahoma" w:cs="Tahoma"/>
                <w:sz w:val="13"/>
                <w:szCs w:val="13"/>
              </w:rPr>
              <w:t>2</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szCs w:val="13"/>
              </w:rPr>
            </w:pPr>
            <w:r w:rsidRPr="00BD7CEA">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szCs w:val="13"/>
              </w:rPr>
            </w:pPr>
            <w:r w:rsidRPr="00BD7CEA">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szCs w:val="13"/>
              </w:rPr>
            </w:pPr>
            <w:r w:rsidRPr="00BD7CEA">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szCs w:val="13"/>
              </w:rPr>
            </w:pPr>
            <w:r w:rsidRPr="00BD7CEA">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szCs w:val="13"/>
              </w:rPr>
            </w:pPr>
            <w:r w:rsidRPr="00BD7CEA">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E, P</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sz w:val="13"/>
                <w:szCs w:val="13"/>
              </w:rPr>
              <w:t>E</w:t>
            </w:r>
            <w:r w:rsidRPr="00BD7CEA">
              <w:rPr>
                <w:rFonts w:ascii="Tahoma" w:hAnsi="Tahoma" w:cs="Tahoma"/>
                <w:sz w:val="13"/>
              </w:rPr>
              <w:t>, ST</w:t>
            </w: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r>
      <w:tr w:rsidR="00EF228F" w:rsidRPr="00BD7CEA" w:rsidTr="006B1F3F">
        <w:trPr>
          <w:trHeight w:val="145"/>
        </w:trPr>
        <w:tc>
          <w:tcPr>
            <w:tcW w:w="2734" w:type="dxa"/>
            <w:gridSpan w:val="2"/>
            <w:tcBorders>
              <w:bottom w:val="single" w:sz="4" w:space="0" w:color="auto"/>
            </w:tcBorders>
            <w:shd w:val="clear" w:color="auto" w:fill="FABF8F"/>
            <w:vAlign w:val="center"/>
          </w:tcPr>
          <w:p w:rsidR="001A63C6" w:rsidRPr="007B74B7" w:rsidRDefault="001A63C6" w:rsidP="00E215F4">
            <w:pPr>
              <w:pStyle w:val="ProductNames"/>
              <w:spacing w:beforeLines="20" w:before="48" w:afterLines="20" w:after="48"/>
              <w:rPr>
                <w:rFonts w:ascii="Tahoma" w:hAnsi="Tahoma" w:cs="Tahoma"/>
                <w:sz w:val="14"/>
                <w:lang w:val="fr-FR"/>
              </w:rPr>
            </w:pPr>
            <w:bookmarkStart w:id="198" w:name="_Toc336337930"/>
            <w:bookmarkStart w:id="199" w:name="_Toc353375732"/>
            <w:r w:rsidRPr="007B74B7">
              <w:rPr>
                <w:rFonts w:ascii="Tahoma" w:hAnsi="Tahoma" w:cs="Tahoma"/>
                <w:sz w:val="14"/>
                <w:lang w:val="fr-FR"/>
              </w:rPr>
              <w:t>Core Infrastructure Server Suite Standard</w:t>
            </w:r>
            <w:bookmarkEnd w:id="198"/>
            <w:bookmarkEnd w:id="199"/>
          </w:p>
        </w:tc>
        <w:tc>
          <w:tcPr>
            <w:tcW w:w="450" w:type="dxa"/>
            <w:tcBorders>
              <w:bottom w:val="single" w:sz="4" w:space="0" w:color="auto"/>
            </w:tcBorders>
            <w:shd w:val="clear" w:color="auto" w:fill="FABF8F"/>
            <w:vAlign w:val="center"/>
          </w:tcPr>
          <w:p w:rsidR="001A63C6" w:rsidRPr="00BD7CEA" w:rsidRDefault="006E5080" w:rsidP="00132E08">
            <w:pPr>
              <w:pStyle w:val="TableText"/>
              <w:widowControl w:val="0"/>
              <w:rPr>
                <w:rStyle w:val="EndnoteReference"/>
                <w:color w:val="0000FF"/>
                <w:sz w:val="13"/>
                <w:szCs w:val="13"/>
                <w:u w:val="single"/>
              </w:rPr>
            </w:pPr>
            <w:hyperlink w:anchor="_38_Core_Infrastructure_1" w:history="1">
              <w:r w:rsidR="00955428" w:rsidRPr="00BD7CEA">
                <w:rPr>
                  <w:rStyle w:val="Hyperlink"/>
                  <w:b/>
                  <w:sz w:val="13"/>
                  <w:szCs w:val="13"/>
                </w:rPr>
                <w:t>38</w:t>
              </w:r>
            </w:hyperlink>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szCs w:val="13"/>
              </w:rPr>
            </w:pPr>
            <w:r w:rsidRPr="00BD7CEA">
              <w:rPr>
                <w:rFonts w:ascii="Tahoma" w:hAnsi="Tahoma" w:cs="Tahoma"/>
                <w:sz w:val="13"/>
                <w:szCs w:val="13"/>
              </w:rPr>
              <w:t>25</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szCs w:val="13"/>
              </w:rPr>
            </w:pPr>
            <w:r w:rsidRPr="00BD7CEA">
              <w:rPr>
                <w:rFonts w:ascii="Tahoma" w:hAnsi="Tahoma" w:cs="Tahoma"/>
                <w:sz w:val="13"/>
                <w:szCs w:val="13"/>
              </w:rPr>
              <w:t>63</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szCs w:val="13"/>
              </w:rPr>
            </w:pPr>
            <w:r w:rsidRPr="00BD7CEA">
              <w:rPr>
                <w:rFonts w:ascii="Tahoma" w:hAnsi="Tahoma" w:cs="Tahoma"/>
                <w:sz w:val="13"/>
                <w:szCs w:val="13"/>
              </w:rPr>
              <w:t>50</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szCs w:val="13"/>
              </w:rPr>
            </w:pPr>
            <w:r w:rsidRPr="00BD7CEA">
              <w:rPr>
                <w:rFonts w:ascii="Tahoma" w:hAnsi="Tahoma" w:cs="Tahoma"/>
                <w:sz w:val="13"/>
                <w:szCs w:val="13"/>
              </w:rPr>
              <w:t>38</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szCs w:val="13"/>
              </w:rPr>
            </w:pPr>
            <w:r w:rsidRPr="00BD7CEA">
              <w:rPr>
                <w:rFonts w:ascii="Tahoma" w:hAnsi="Tahoma" w:cs="Tahoma"/>
                <w:sz w:val="13"/>
                <w:szCs w:val="13"/>
              </w:rPr>
              <w:t>38</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szCs w:val="13"/>
              </w:rPr>
            </w:pPr>
            <w:r w:rsidRPr="00BD7CEA">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szCs w:val="13"/>
              </w:rPr>
            </w:pPr>
            <w:r w:rsidRPr="00BD7CEA">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szCs w:val="13"/>
              </w:rPr>
            </w:pPr>
            <w:r w:rsidRPr="00BD7CEA">
              <w:rPr>
                <w:rFonts w:ascii="Tahoma" w:hAnsi="Tahoma" w:cs="Tahoma"/>
                <w:sz w:val="13"/>
                <w:szCs w:val="13"/>
              </w:rPr>
              <w:t>25</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szCs w:val="13"/>
              </w:rPr>
            </w:pPr>
            <w:r w:rsidRPr="00BD7CEA">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szCs w:val="13"/>
              </w:rPr>
            </w:pPr>
            <w:r w:rsidRPr="00BD7CEA">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szCs w:val="13"/>
              </w:rPr>
            </w:pPr>
            <w:r w:rsidRPr="00BD7CEA">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OL/OV</w:t>
            </w:r>
          </w:p>
        </w:tc>
      </w:tr>
      <w:tr w:rsidR="00B33D0E" w:rsidRPr="00BD7CEA" w:rsidTr="006B1F3F">
        <w:trPr>
          <w:trHeight w:val="145"/>
        </w:trPr>
        <w:tc>
          <w:tcPr>
            <w:tcW w:w="2734" w:type="dxa"/>
            <w:gridSpan w:val="2"/>
            <w:tcBorders>
              <w:bottom w:val="single" w:sz="4" w:space="0" w:color="auto"/>
            </w:tcBorders>
            <w:shd w:val="clear" w:color="auto" w:fill="auto"/>
            <w:vAlign w:val="center"/>
          </w:tcPr>
          <w:p w:rsidR="001A63C6" w:rsidRPr="007B74B7" w:rsidRDefault="001A63C6" w:rsidP="00E215F4">
            <w:pPr>
              <w:pStyle w:val="ProductNames"/>
              <w:spacing w:beforeLines="20" w:before="48" w:afterLines="20" w:after="48"/>
              <w:rPr>
                <w:rFonts w:ascii="Tahoma" w:hAnsi="Tahoma" w:cs="Tahoma"/>
                <w:sz w:val="14"/>
                <w:lang w:val="fr-FR"/>
              </w:rPr>
            </w:pPr>
            <w:bookmarkStart w:id="200" w:name="_Toc336337931"/>
            <w:bookmarkStart w:id="201" w:name="_Toc353375733"/>
            <w:r w:rsidRPr="007B74B7">
              <w:rPr>
                <w:rFonts w:ascii="Tahoma" w:hAnsi="Tahoma" w:cs="Tahoma"/>
                <w:sz w:val="14"/>
                <w:lang w:val="fr-FR"/>
              </w:rPr>
              <w:t>Core Infrastructure Server Suite Enterprise</w:t>
            </w:r>
            <w:bookmarkEnd w:id="200"/>
            <w:bookmarkEnd w:id="201"/>
          </w:p>
        </w:tc>
        <w:tc>
          <w:tcPr>
            <w:tcW w:w="450" w:type="dxa"/>
            <w:tcBorders>
              <w:bottom w:val="single" w:sz="4" w:space="0" w:color="auto"/>
            </w:tcBorders>
            <w:shd w:val="clear" w:color="auto" w:fill="auto"/>
            <w:vAlign w:val="center"/>
          </w:tcPr>
          <w:p w:rsidR="001A63C6" w:rsidRPr="00BD7CEA" w:rsidRDefault="006E5080" w:rsidP="00132E08">
            <w:pPr>
              <w:pStyle w:val="TableText"/>
              <w:widowControl w:val="0"/>
              <w:rPr>
                <w:rStyle w:val="EndnoteReference"/>
                <w:color w:val="0000FF"/>
                <w:sz w:val="13"/>
                <w:szCs w:val="13"/>
                <w:u w:val="single"/>
              </w:rPr>
            </w:pPr>
            <w:hyperlink w:anchor="_38_Core_Infrastructure" w:history="1">
              <w:r w:rsidR="00955428" w:rsidRPr="00BD7CEA">
                <w:rPr>
                  <w:rStyle w:val="Hyperlink"/>
                  <w:b/>
                  <w:sz w:val="13"/>
                  <w:szCs w:val="13"/>
                </w:rPr>
                <w:t>39</w:t>
              </w:r>
            </w:hyperlink>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r>
      <w:tr w:rsidR="00B33D0E" w:rsidRPr="00BD7CEA" w:rsidTr="006B1F3F">
        <w:trPr>
          <w:trHeight w:val="145"/>
        </w:trPr>
        <w:tc>
          <w:tcPr>
            <w:tcW w:w="2734" w:type="dxa"/>
            <w:gridSpan w:val="2"/>
            <w:tcBorders>
              <w:bottom w:val="single" w:sz="4" w:space="0" w:color="auto"/>
            </w:tcBorders>
            <w:shd w:val="clear" w:color="auto" w:fill="FABF8F"/>
            <w:vAlign w:val="center"/>
          </w:tcPr>
          <w:p w:rsidR="001A63C6" w:rsidRPr="007B74B7" w:rsidRDefault="001A63C6" w:rsidP="00E215F4">
            <w:pPr>
              <w:pStyle w:val="ProductNames"/>
              <w:spacing w:beforeLines="20" w:before="48" w:afterLines="20" w:after="48"/>
              <w:rPr>
                <w:rFonts w:ascii="Tahoma" w:hAnsi="Tahoma" w:cs="Tahoma"/>
                <w:sz w:val="14"/>
                <w:lang w:val="fr-FR"/>
              </w:rPr>
            </w:pPr>
            <w:bookmarkStart w:id="202" w:name="_Toc336337932"/>
            <w:bookmarkStart w:id="203" w:name="_Toc353375734"/>
            <w:r w:rsidRPr="007B74B7">
              <w:rPr>
                <w:rFonts w:ascii="Tahoma" w:hAnsi="Tahoma" w:cs="Tahoma"/>
                <w:sz w:val="14"/>
                <w:lang w:val="fr-FR"/>
              </w:rPr>
              <w:t>Core Infrastructure Server Suite Datacenter</w:t>
            </w:r>
            <w:bookmarkEnd w:id="202"/>
            <w:bookmarkEnd w:id="203"/>
          </w:p>
        </w:tc>
        <w:tc>
          <w:tcPr>
            <w:tcW w:w="450" w:type="dxa"/>
            <w:tcBorders>
              <w:bottom w:val="single" w:sz="4" w:space="0" w:color="auto"/>
            </w:tcBorders>
            <w:shd w:val="clear" w:color="auto" w:fill="FABF8F"/>
            <w:vAlign w:val="center"/>
          </w:tcPr>
          <w:p w:rsidR="001A63C6" w:rsidRPr="00BD7CEA" w:rsidRDefault="006E5080" w:rsidP="00132E08">
            <w:pPr>
              <w:pStyle w:val="TableText"/>
              <w:widowControl w:val="0"/>
              <w:rPr>
                <w:rStyle w:val="EndnoteReference"/>
                <w:color w:val="0000FF"/>
                <w:sz w:val="13"/>
                <w:szCs w:val="13"/>
                <w:u w:val="single"/>
              </w:rPr>
            </w:pPr>
            <w:hyperlink w:anchor="_40_Core_Infrastructure" w:history="1">
              <w:r w:rsidR="00132E08" w:rsidRPr="00BD7CEA">
                <w:rPr>
                  <w:rStyle w:val="Hyperlink"/>
                  <w:b/>
                  <w:sz w:val="13"/>
                  <w:szCs w:val="13"/>
                </w:rPr>
                <w:t>40</w:t>
              </w:r>
            </w:hyperlink>
            <w:hyperlink w:anchor="_39_Core_Infrastructure" w:history="1"/>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szCs w:val="13"/>
              </w:rPr>
            </w:pPr>
            <w:r w:rsidRPr="00BD7CEA">
              <w:rPr>
                <w:rFonts w:ascii="Tahoma" w:hAnsi="Tahoma" w:cs="Tahoma"/>
                <w:sz w:val="13"/>
                <w:szCs w:val="13"/>
              </w:rPr>
              <w:t>75</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szCs w:val="13"/>
              </w:rPr>
            </w:pPr>
            <w:r w:rsidRPr="00BD7CEA">
              <w:rPr>
                <w:rFonts w:ascii="Tahoma" w:hAnsi="Tahoma" w:cs="Tahoma"/>
                <w:sz w:val="13"/>
                <w:szCs w:val="13"/>
              </w:rPr>
              <w:t>188</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szCs w:val="13"/>
              </w:rPr>
            </w:pPr>
            <w:r w:rsidRPr="00BD7CEA">
              <w:rPr>
                <w:rFonts w:ascii="Tahoma" w:hAnsi="Tahoma" w:cs="Tahoma"/>
                <w:sz w:val="13"/>
                <w:szCs w:val="13"/>
              </w:rPr>
              <w:t>150</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szCs w:val="13"/>
              </w:rPr>
            </w:pPr>
            <w:r w:rsidRPr="00BD7CEA">
              <w:rPr>
                <w:rFonts w:ascii="Tahoma" w:hAnsi="Tahoma" w:cs="Tahoma"/>
                <w:sz w:val="13"/>
                <w:szCs w:val="13"/>
              </w:rPr>
              <w:t>113</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szCs w:val="13"/>
                <w:lang w:eastAsia="ja-JP"/>
              </w:rPr>
            </w:pPr>
            <w:r w:rsidRPr="00BD7CEA">
              <w:rPr>
                <w:rFonts w:ascii="Tahoma" w:hAnsi="Tahoma" w:cs="Tahoma"/>
                <w:sz w:val="13"/>
                <w:szCs w:val="13"/>
              </w:rPr>
              <w:t>113</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szCs w:val="13"/>
              </w:rPr>
            </w:pPr>
            <w:r w:rsidRPr="00BD7CEA">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szCs w:val="13"/>
                <w:lang w:eastAsia="ja-JP"/>
              </w:rPr>
            </w:pPr>
            <w:r w:rsidRPr="00BD7CEA">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szCs w:val="13"/>
                <w:lang w:eastAsia="ja-JP"/>
              </w:rPr>
            </w:pPr>
            <w:r w:rsidRPr="00BD7CEA">
              <w:rPr>
                <w:rFonts w:ascii="Tahoma" w:hAnsi="Tahoma" w:cs="Tahoma"/>
                <w:sz w:val="13"/>
                <w:szCs w:val="13"/>
              </w:rPr>
              <w:t>75</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szCs w:val="13"/>
                <w:lang w:eastAsia="ja-JP"/>
              </w:rPr>
            </w:pPr>
            <w:r w:rsidRPr="00BD7CEA">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szCs w:val="13"/>
                <w:lang w:eastAsia="ja-JP"/>
              </w:rPr>
            </w:pPr>
            <w:r w:rsidRPr="00BD7CEA">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szCs w:val="13"/>
                <w:lang w:eastAsia="ja-JP"/>
              </w:rPr>
            </w:pPr>
            <w:r w:rsidRPr="00BD7CEA">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OL/OV</w:t>
            </w:r>
          </w:p>
        </w:tc>
      </w:tr>
      <w:tr w:rsidR="0054609D" w:rsidRPr="00BD7CEA" w:rsidTr="006B1F3F">
        <w:trPr>
          <w:trHeight w:val="145"/>
        </w:trPr>
        <w:tc>
          <w:tcPr>
            <w:tcW w:w="2734" w:type="dxa"/>
            <w:gridSpan w:val="2"/>
            <w:tcBorders>
              <w:bottom w:val="single" w:sz="4" w:space="0" w:color="auto"/>
            </w:tcBorders>
            <w:shd w:val="clear" w:color="auto" w:fill="auto"/>
            <w:vAlign w:val="center"/>
          </w:tcPr>
          <w:p w:rsidR="0054609D" w:rsidRPr="00BD7CEA" w:rsidRDefault="0054609D" w:rsidP="00E215F4">
            <w:pPr>
              <w:pStyle w:val="ProductNames"/>
              <w:spacing w:beforeLines="20" w:before="48" w:afterLines="20" w:after="48"/>
              <w:rPr>
                <w:rFonts w:ascii="Tahoma" w:hAnsi="Tahoma" w:cs="Tahoma"/>
                <w:color w:val="000000"/>
                <w:sz w:val="14"/>
                <w:szCs w:val="18"/>
              </w:rPr>
            </w:pPr>
            <w:bookmarkStart w:id="204" w:name="_Toc353375735"/>
            <w:r w:rsidRPr="00BD7CEA">
              <w:rPr>
                <w:rFonts w:ascii="Tahoma" w:hAnsi="Tahoma" w:cs="Tahoma"/>
                <w:color w:val="000000"/>
                <w:sz w:val="14"/>
                <w:szCs w:val="18"/>
              </w:rPr>
              <w:t>Duet Enterprise 2.0</w:t>
            </w:r>
            <w:bookmarkEnd w:id="204"/>
          </w:p>
        </w:tc>
        <w:tc>
          <w:tcPr>
            <w:tcW w:w="450" w:type="dxa"/>
            <w:tcBorders>
              <w:bottom w:val="single" w:sz="4" w:space="0" w:color="auto"/>
            </w:tcBorders>
            <w:shd w:val="clear" w:color="auto" w:fill="auto"/>
            <w:vAlign w:val="center"/>
          </w:tcPr>
          <w:p w:rsidR="0054609D" w:rsidRPr="00BD7CEA" w:rsidDel="00132E08" w:rsidRDefault="006E5080" w:rsidP="00132E08">
            <w:pPr>
              <w:pStyle w:val="TableText"/>
              <w:widowControl w:val="0"/>
              <w:rPr>
                <w:b/>
                <w:sz w:val="13"/>
                <w:szCs w:val="13"/>
              </w:rPr>
            </w:pPr>
            <w:hyperlink w:anchor="_41_Duet_Enterprise_1" w:history="1">
              <w:r w:rsidR="00955428" w:rsidRPr="00BD7CEA">
                <w:rPr>
                  <w:rStyle w:val="Hyperlink"/>
                  <w:b/>
                  <w:sz w:val="13"/>
                  <w:szCs w:val="13"/>
                </w:rPr>
                <w:t>41</w:t>
              </w:r>
            </w:hyperlink>
          </w:p>
        </w:tc>
        <w:tc>
          <w:tcPr>
            <w:tcW w:w="450" w:type="dxa"/>
            <w:tcBorders>
              <w:bottom w:val="single" w:sz="4" w:space="0" w:color="auto"/>
            </w:tcBorders>
            <w:shd w:val="clear" w:color="auto" w:fill="auto"/>
            <w:vAlign w:val="center"/>
          </w:tcPr>
          <w:p w:rsidR="0054609D" w:rsidRPr="00BD7CEA" w:rsidRDefault="0054609D"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54609D" w:rsidRPr="00BD7CEA" w:rsidRDefault="0054609D"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54609D" w:rsidRPr="00BD7CEA"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BD7CEA"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BD7CEA"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BD7CEA"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BD7CEA"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BD7CEA" w:rsidRDefault="0054609D"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54609D" w:rsidRPr="00BD7CEA" w:rsidRDefault="0054609D"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4609D" w:rsidRPr="00BD7CEA"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BD7CEA" w:rsidRDefault="0054609D"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4609D" w:rsidRPr="00BD7CEA" w:rsidRDefault="0054609D"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4609D" w:rsidRPr="00BD7CEA" w:rsidRDefault="0054609D"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4609D" w:rsidRPr="00BD7CEA" w:rsidRDefault="0054609D"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54609D" w:rsidRPr="00BD7CEA"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54609D" w:rsidRPr="00BD7CEA" w:rsidRDefault="0054609D"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54609D" w:rsidRPr="00BD7CEA" w:rsidRDefault="0054609D" w:rsidP="001A63C6">
            <w:pPr>
              <w:pStyle w:val="TableText"/>
              <w:widowControl w:val="0"/>
              <w:jc w:val="left"/>
              <w:rPr>
                <w:rFonts w:ascii="Tahoma" w:hAnsi="Tahoma" w:cs="Tahoma"/>
                <w:sz w:val="13"/>
              </w:rPr>
            </w:pPr>
          </w:p>
        </w:tc>
      </w:tr>
      <w:tr w:rsidR="00B33D0E" w:rsidRPr="00BD7CEA" w:rsidTr="006900D9">
        <w:trPr>
          <w:trHeight w:val="145"/>
        </w:trPr>
        <w:tc>
          <w:tcPr>
            <w:tcW w:w="2734" w:type="dxa"/>
            <w:gridSpan w:val="2"/>
            <w:tcBorders>
              <w:bottom w:val="single" w:sz="4" w:space="0" w:color="auto"/>
            </w:tcBorders>
            <w:shd w:val="clear" w:color="auto" w:fill="FABF8F"/>
            <w:vAlign w:val="center"/>
          </w:tcPr>
          <w:p w:rsidR="001A63C6" w:rsidRPr="00BD7CEA" w:rsidRDefault="001A63C6" w:rsidP="00E215F4">
            <w:pPr>
              <w:pStyle w:val="ProductNames"/>
              <w:spacing w:beforeLines="20" w:before="48" w:afterLines="20" w:after="48"/>
              <w:rPr>
                <w:rFonts w:ascii="Tahoma" w:hAnsi="Tahoma" w:cs="Tahoma"/>
                <w:sz w:val="14"/>
                <w:szCs w:val="18"/>
              </w:rPr>
            </w:pPr>
            <w:bookmarkStart w:id="205" w:name="_Toc336337935"/>
            <w:bookmarkStart w:id="206" w:name="_Toc353375736"/>
            <w:r w:rsidRPr="00BD7CEA">
              <w:rPr>
                <w:rFonts w:ascii="Tahoma" w:hAnsi="Tahoma" w:cs="Tahoma"/>
                <w:color w:val="000000"/>
                <w:sz w:val="14"/>
                <w:szCs w:val="18"/>
              </w:rPr>
              <w:t>Dynamics CRM Online Extra Storage</w:t>
            </w:r>
            <w:bookmarkEnd w:id="205"/>
            <w:bookmarkEnd w:id="206"/>
          </w:p>
        </w:tc>
        <w:tc>
          <w:tcPr>
            <w:tcW w:w="450" w:type="dxa"/>
            <w:tcBorders>
              <w:bottom w:val="single" w:sz="4" w:space="0" w:color="auto"/>
            </w:tcBorders>
            <w:shd w:val="clear" w:color="auto" w:fill="FABF8F"/>
            <w:vAlign w:val="center"/>
          </w:tcPr>
          <w:p w:rsidR="001A63C6" w:rsidRPr="00BD7CEA" w:rsidRDefault="006E5080" w:rsidP="002E59B1">
            <w:pPr>
              <w:pStyle w:val="TableText"/>
              <w:widowControl w:val="0"/>
              <w:rPr>
                <w:rStyle w:val="EndnoteReference"/>
                <w:rFonts w:cs="Tahoma"/>
                <w:color w:val="0000FF"/>
                <w:sz w:val="13"/>
                <w:szCs w:val="13"/>
                <w:u w:val="single"/>
              </w:rPr>
            </w:pPr>
            <w:hyperlink w:anchor="_42_Dynamics_CRM" w:history="1">
              <w:r w:rsidR="00955428" w:rsidRPr="00BD7CEA">
                <w:rPr>
                  <w:rStyle w:val="Hyperlink"/>
                  <w:b/>
                  <w:sz w:val="13"/>
                  <w:szCs w:val="13"/>
                </w:rPr>
                <w:t>42</w:t>
              </w:r>
            </w:hyperlink>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12/09</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 ST</w:t>
            </w:r>
          </w:p>
        </w:tc>
        <w:tc>
          <w:tcPr>
            <w:tcW w:w="540" w:type="dxa"/>
            <w:tcBorders>
              <w:bottom w:val="single" w:sz="4" w:space="0" w:color="auto"/>
            </w:tcBorders>
            <w:shd w:val="clear" w:color="auto" w:fill="FABF8F"/>
            <w:vAlign w:val="center"/>
          </w:tcPr>
          <w:p w:rsidR="001A63C6" w:rsidRPr="00BD7CEA" w:rsidRDefault="001A63C6" w:rsidP="001A63C6">
            <w:pPr>
              <w:pStyle w:val="TableText"/>
              <w:widowControl w:val="0"/>
              <w:jc w:val="left"/>
              <w:rPr>
                <w:rFonts w:ascii="Tahoma" w:hAnsi="Tahoma" w:cs="Tahoma"/>
                <w:sz w:val="13"/>
              </w:rPr>
            </w:pPr>
          </w:p>
        </w:tc>
      </w:tr>
      <w:tr w:rsidR="006900D9" w:rsidRPr="00BD7CEA" w:rsidTr="006900D9">
        <w:trPr>
          <w:trHeight w:val="145"/>
        </w:trPr>
        <w:tc>
          <w:tcPr>
            <w:tcW w:w="2734" w:type="dxa"/>
            <w:gridSpan w:val="2"/>
            <w:tcBorders>
              <w:bottom w:val="single" w:sz="4" w:space="0" w:color="auto"/>
            </w:tcBorders>
            <w:shd w:val="clear" w:color="auto" w:fill="auto"/>
            <w:vAlign w:val="center"/>
          </w:tcPr>
          <w:p w:rsidR="001A63C6" w:rsidRPr="00BD7CEA" w:rsidRDefault="001A63C6" w:rsidP="00E215F4">
            <w:pPr>
              <w:pStyle w:val="ProductNames"/>
              <w:spacing w:beforeLines="20" w:before="48" w:afterLines="20" w:after="48"/>
              <w:rPr>
                <w:rFonts w:ascii="Tahoma" w:hAnsi="Tahoma" w:cs="Tahoma"/>
                <w:sz w:val="14"/>
                <w:szCs w:val="18"/>
              </w:rPr>
            </w:pPr>
            <w:bookmarkStart w:id="207" w:name="_Toc336337936"/>
            <w:bookmarkStart w:id="208" w:name="_Toc353375737"/>
            <w:r w:rsidRPr="00BD7CEA">
              <w:rPr>
                <w:rFonts w:ascii="Tahoma" w:hAnsi="Tahoma" w:cs="Tahoma"/>
                <w:color w:val="000000"/>
                <w:sz w:val="14"/>
                <w:szCs w:val="18"/>
              </w:rPr>
              <w:lastRenderedPageBreak/>
              <w:t>Dynamics CRM Online Per Utente</w:t>
            </w:r>
            <w:bookmarkEnd w:id="207"/>
            <w:bookmarkEnd w:id="208"/>
          </w:p>
        </w:tc>
        <w:tc>
          <w:tcPr>
            <w:tcW w:w="450" w:type="dxa"/>
            <w:tcBorders>
              <w:bottom w:val="single" w:sz="4" w:space="0" w:color="auto"/>
            </w:tcBorders>
            <w:shd w:val="clear" w:color="auto" w:fill="auto"/>
            <w:vAlign w:val="center"/>
          </w:tcPr>
          <w:p w:rsidR="001A63C6" w:rsidRPr="00BD7CEA" w:rsidRDefault="006E5080" w:rsidP="002E59B1">
            <w:pPr>
              <w:pStyle w:val="TableText"/>
              <w:widowControl w:val="0"/>
              <w:rPr>
                <w:rStyle w:val="EndnoteReference"/>
                <w:rFonts w:cs="Tahoma"/>
                <w:color w:val="0000FF"/>
                <w:sz w:val="13"/>
                <w:szCs w:val="13"/>
                <w:u w:val="single"/>
              </w:rPr>
            </w:pPr>
            <w:hyperlink w:anchor="_40_Dynamics_CRM" w:history="1">
              <w:r w:rsidR="00955428" w:rsidRPr="00BD7CEA">
                <w:rPr>
                  <w:rStyle w:val="Hyperlink"/>
                  <w:b/>
                  <w:sz w:val="13"/>
                  <w:szCs w:val="13"/>
                </w:rPr>
                <w:t>4</w:t>
              </w:r>
            </w:hyperlink>
            <w:r w:rsidR="00955428" w:rsidRPr="00BD7CEA">
              <w:rPr>
                <w:rStyle w:val="Hyperlink"/>
                <w:b/>
                <w:sz w:val="13"/>
                <w:szCs w:val="13"/>
              </w:rPr>
              <w:t>2</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12/09</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 ST</w:t>
            </w: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jc w:val="left"/>
              <w:rPr>
                <w:rFonts w:ascii="Tahoma" w:hAnsi="Tahoma" w:cs="Tahoma"/>
                <w:sz w:val="13"/>
              </w:rPr>
            </w:pPr>
          </w:p>
        </w:tc>
      </w:tr>
      <w:tr w:rsidR="00B33D0E" w:rsidRPr="00BD7CEA" w:rsidTr="006900D9">
        <w:trPr>
          <w:trHeight w:val="145"/>
        </w:trPr>
        <w:tc>
          <w:tcPr>
            <w:tcW w:w="2734" w:type="dxa"/>
            <w:gridSpan w:val="2"/>
            <w:tcBorders>
              <w:bottom w:val="single" w:sz="4" w:space="0" w:color="auto"/>
            </w:tcBorders>
            <w:shd w:val="clear" w:color="auto" w:fill="FABF8F"/>
            <w:vAlign w:val="center"/>
          </w:tcPr>
          <w:p w:rsidR="001A63C6" w:rsidRPr="00BD7CEA" w:rsidRDefault="001A63C6" w:rsidP="00E215F4">
            <w:pPr>
              <w:pStyle w:val="ProductNames"/>
              <w:spacing w:beforeLines="20" w:before="48" w:afterLines="20" w:after="48"/>
              <w:rPr>
                <w:rFonts w:ascii="Tahoma" w:hAnsi="Tahoma" w:cs="Tahoma"/>
                <w:sz w:val="14"/>
                <w:szCs w:val="18"/>
              </w:rPr>
            </w:pPr>
            <w:bookmarkStart w:id="209" w:name="_Toc336337937"/>
            <w:bookmarkStart w:id="210" w:name="_Toc353375738"/>
            <w:r w:rsidRPr="00BD7CEA">
              <w:rPr>
                <w:rFonts w:ascii="Tahoma" w:hAnsi="Tahoma" w:cs="Tahoma"/>
                <w:color w:val="000000"/>
                <w:sz w:val="14"/>
                <w:szCs w:val="18"/>
              </w:rPr>
              <w:t>Dynamics CRM Online per SA</w:t>
            </w:r>
            <w:bookmarkEnd w:id="209"/>
            <w:bookmarkEnd w:id="210"/>
          </w:p>
        </w:tc>
        <w:tc>
          <w:tcPr>
            <w:tcW w:w="450" w:type="dxa"/>
            <w:tcBorders>
              <w:bottom w:val="single" w:sz="4" w:space="0" w:color="auto"/>
            </w:tcBorders>
            <w:shd w:val="clear" w:color="auto" w:fill="FABF8F"/>
            <w:vAlign w:val="center"/>
          </w:tcPr>
          <w:p w:rsidR="001A63C6" w:rsidRPr="00BD7CEA" w:rsidRDefault="006E5080" w:rsidP="002E59B1">
            <w:pPr>
              <w:pStyle w:val="TableText"/>
              <w:widowControl w:val="0"/>
              <w:rPr>
                <w:rStyle w:val="EndnoteReference"/>
                <w:rFonts w:cs="Tahoma"/>
                <w:color w:val="0000FF"/>
                <w:sz w:val="13"/>
                <w:szCs w:val="13"/>
                <w:u w:val="single"/>
              </w:rPr>
            </w:pPr>
            <w:hyperlink w:anchor="_40_Dynamics_CRM" w:history="1">
              <w:r w:rsidR="00631BF1" w:rsidRPr="00BD7CEA">
                <w:rPr>
                  <w:rStyle w:val="Hyperlink"/>
                  <w:b/>
                  <w:sz w:val="13"/>
                  <w:szCs w:val="13"/>
                </w:rPr>
                <w:t>4</w:t>
              </w:r>
            </w:hyperlink>
            <w:r w:rsidR="00631BF1" w:rsidRPr="00BD7CEA">
              <w:rPr>
                <w:rStyle w:val="Hyperlink"/>
                <w:b/>
                <w:sz w:val="13"/>
                <w:szCs w:val="13"/>
              </w:rPr>
              <w:t>2</w:t>
            </w:r>
            <w:hyperlink w:anchor="_40_Dynamics_CRM" w:history="1"/>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12/09</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 ST</w:t>
            </w:r>
          </w:p>
        </w:tc>
        <w:tc>
          <w:tcPr>
            <w:tcW w:w="540" w:type="dxa"/>
            <w:tcBorders>
              <w:bottom w:val="single" w:sz="4" w:space="0" w:color="auto"/>
            </w:tcBorders>
            <w:shd w:val="clear" w:color="auto" w:fill="FABF8F"/>
            <w:vAlign w:val="center"/>
          </w:tcPr>
          <w:p w:rsidR="001A63C6" w:rsidRPr="00BD7CEA" w:rsidRDefault="001A63C6" w:rsidP="001A63C6">
            <w:pPr>
              <w:pStyle w:val="TableText"/>
              <w:widowControl w:val="0"/>
              <w:jc w:val="left"/>
              <w:rPr>
                <w:rFonts w:ascii="Tahoma" w:hAnsi="Tahoma" w:cs="Tahoma"/>
                <w:sz w:val="13"/>
              </w:rPr>
            </w:pPr>
          </w:p>
        </w:tc>
      </w:tr>
      <w:tr w:rsidR="006900D9" w:rsidRPr="00BD7CEA" w:rsidTr="00554295">
        <w:trPr>
          <w:cantSplit/>
          <w:trHeight w:val="145"/>
        </w:trPr>
        <w:tc>
          <w:tcPr>
            <w:tcW w:w="2734" w:type="dxa"/>
            <w:gridSpan w:val="2"/>
            <w:tcBorders>
              <w:bottom w:val="single" w:sz="4" w:space="0" w:color="auto"/>
            </w:tcBorders>
            <w:shd w:val="clear" w:color="auto" w:fill="auto"/>
            <w:vAlign w:val="center"/>
          </w:tcPr>
          <w:p w:rsidR="001A63C6" w:rsidRPr="007B74B7" w:rsidRDefault="001A63C6" w:rsidP="00E215F4">
            <w:pPr>
              <w:pStyle w:val="ProductNames"/>
              <w:spacing w:beforeLines="20" w:before="48" w:afterLines="20" w:after="48"/>
              <w:rPr>
                <w:rFonts w:ascii="Tahoma" w:hAnsi="Tahoma" w:cs="Tahoma"/>
                <w:sz w:val="14"/>
                <w:lang w:val="it-IT"/>
              </w:rPr>
            </w:pPr>
            <w:bookmarkStart w:id="211" w:name="_Toc336337942"/>
            <w:bookmarkStart w:id="212" w:name="_Toc353375739"/>
            <w:r w:rsidRPr="007B74B7">
              <w:rPr>
                <w:rFonts w:ascii="Tahoma" w:hAnsi="Tahoma" w:cs="Tahoma"/>
                <w:sz w:val="14"/>
                <w:lang w:val="it-IT"/>
              </w:rPr>
              <w:t>Enterprise CAL Suite Bridge per Office 365 (Utente e Dispositivo)</w:t>
            </w:r>
            <w:bookmarkEnd w:id="211"/>
            <w:bookmarkEnd w:id="212"/>
          </w:p>
        </w:tc>
        <w:tc>
          <w:tcPr>
            <w:tcW w:w="450" w:type="dxa"/>
            <w:tcBorders>
              <w:bottom w:val="single" w:sz="4" w:space="0" w:color="auto"/>
            </w:tcBorders>
            <w:shd w:val="clear" w:color="auto" w:fill="auto"/>
            <w:vAlign w:val="center"/>
          </w:tcPr>
          <w:p w:rsidR="001A63C6" w:rsidRPr="00BD7CEA" w:rsidRDefault="006E5080" w:rsidP="002E59B1">
            <w:pPr>
              <w:pStyle w:val="TableText"/>
              <w:widowControl w:val="0"/>
              <w:rPr>
                <w:b/>
                <w:color w:val="0000FF"/>
                <w:sz w:val="13"/>
                <w:szCs w:val="13"/>
                <w:u w:val="single"/>
              </w:rPr>
            </w:pPr>
            <w:hyperlink w:anchor="_43_Enterprise_CAL" w:history="1">
              <w:r w:rsidR="00955428" w:rsidRPr="00BD7CEA">
                <w:rPr>
                  <w:rStyle w:val="Hyperlink"/>
                  <w:b/>
                  <w:sz w:val="13"/>
                  <w:szCs w:val="13"/>
                </w:rPr>
                <w:t>43</w:t>
              </w:r>
            </w:hyperlink>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spacing w:before="40"/>
              <w:rPr>
                <w:rFonts w:ascii="Tahoma" w:hAnsi="Tahoma" w:cs="Tahoma"/>
                <w:sz w:val="13"/>
              </w:rPr>
            </w:pPr>
            <w:r w:rsidRPr="00BD7CEA">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bottom"/>
          </w:tcPr>
          <w:p w:rsidR="001A63C6" w:rsidRPr="00BD7CEA"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BD7CEA"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BD7CEA"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BD7CEA"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BD7CEA"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BD7CEA"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rsidR="001A63C6" w:rsidRPr="00BD7CEA"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bottom"/>
          </w:tcPr>
          <w:p w:rsidR="001A63C6" w:rsidRPr="00BD7CEA"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BD7CEA"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bottom"/>
          </w:tcPr>
          <w:p w:rsidR="001A63C6" w:rsidRPr="00BD7CEA"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E</w:t>
            </w:r>
          </w:p>
        </w:tc>
        <w:tc>
          <w:tcPr>
            <w:tcW w:w="450" w:type="dxa"/>
            <w:tcBorders>
              <w:bottom w:val="single" w:sz="4" w:space="0" w:color="auto"/>
            </w:tcBorders>
            <w:shd w:val="clear" w:color="auto" w:fill="auto"/>
          </w:tcPr>
          <w:p w:rsidR="001A63C6" w:rsidRPr="00BD7CEA"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r>
      <w:tr w:rsidR="00B33D0E" w:rsidRPr="00BD7CEA" w:rsidTr="006900D9">
        <w:trPr>
          <w:trHeight w:val="145"/>
        </w:trPr>
        <w:tc>
          <w:tcPr>
            <w:tcW w:w="2734" w:type="dxa"/>
            <w:gridSpan w:val="2"/>
            <w:tcBorders>
              <w:bottom w:val="single" w:sz="4" w:space="0" w:color="auto"/>
            </w:tcBorders>
            <w:shd w:val="clear" w:color="auto" w:fill="FABF8F"/>
            <w:vAlign w:val="center"/>
          </w:tcPr>
          <w:p w:rsidR="001A63C6" w:rsidRPr="007B74B7" w:rsidRDefault="001A63C6" w:rsidP="00E215F4">
            <w:pPr>
              <w:pStyle w:val="ProductNames"/>
              <w:spacing w:beforeLines="20" w:before="48" w:afterLines="20" w:after="48"/>
              <w:rPr>
                <w:rFonts w:ascii="Tahoma" w:hAnsi="Tahoma" w:cs="Tahoma"/>
                <w:sz w:val="14"/>
                <w:lang w:val="it-IT"/>
              </w:rPr>
            </w:pPr>
            <w:bookmarkStart w:id="213" w:name="_Toc336337943"/>
            <w:bookmarkStart w:id="214" w:name="_Toc353375740"/>
            <w:r w:rsidRPr="007B74B7">
              <w:rPr>
                <w:rFonts w:ascii="Tahoma" w:hAnsi="Tahoma" w:cs="Tahoma"/>
                <w:sz w:val="14"/>
                <w:lang w:val="it-IT"/>
              </w:rPr>
              <w:t>Enterprise CAL Suite Bridge per Office 365 e Windows</w:t>
            </w:r>
            <w:r w:rsidR="00700C4B" w:rsidRPr="007B74B7">
              <w:rPr>
                <w:rFonts w:ascii="Tahoma" w:hAnsi="Tahoma" w:cs="Tahoma"/>
                <w:sz w:val="14"/>
                <w:vertAlign w:val="superscript"/>
                <w:lang w:val="it-IT"/>
              </w:rPr>
              <w:t>®</w:t>
            </w:r>
            <w:r w:rsidRPr="007B74B7">
              <w:rPr>
                <w:rFonts w:ascii="Tahoma" w:hAnsi="Tahoma" w:cs="Tahoma"/>
                <w:sz w:val="14"/>
                <w:lang w:val="it-IT"/>
              </w:rPr>
              <w:t xml:space="preserve"> Intune (Utente e Dispositivo)</w:t>
            </w:r>
            <w:bookmarkEnd w:id="213"/>
            <w:bookmarkEnd w:id="214"/>
          </w:p>
        </w:tc>
        <w:tc>
          <w:tcPr>
            <w:tcW w:w="450" w:type="dxa"/>
            <w:tcBorders>
              <w:bottom w:val="single" w:sz="4" w:space="0" w:color="auto"/>
            </w:tcBorders>
            <w:shd w:val="clear" w:color="auto" w:fill="FABF8F"/>
            <w:vAlign w:val="center"/>
          </w:tcPr>
          <w:p w:rsidR="001A63C6" w:rsidRPr="00BD7CEA" w:rsidRDefault="006E5080" w:rsidP="002E59B1">
            <w:pPr>
              <w:pStyle w:val="TableText"/>
              <w:widowControl w:val="0"/>
              <w:rPr>
                <w:b/>
                <w:color w:val="0000FF"/>
                <w:sz w:val="13"/>
                <w:szCs w:val="13"/>
                <w:u w:val="single"/>
              </w:rPr>
            </w:pPr>
            <w:hyperlink w:anchor="_43_Enterprise_CAL" w:history="1">
              <w:r w:rsidR="00631BF1" w:rsidRPr="00BD7CEA">
                <w:rPr>
                  <w:rStyle w:val="Hyperlink"/>
                  <w:b/>
                  <w:sz w:val="13"/>
                  <w:szCs w:val="13"/>
                </w:rPr>
                <w:t>43</w:t>
              </w:r>
            </w:hyperlink>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spacing w:before="40"/>
              <w:rPr>
                <w:rFonts w:ascii="Tahoma" w:hAnsi="Tahoma" w:cs="Tahoma"/>
                <w:sz w:val="13"/>
              </w:rPr>
            </w:pPr>
            <w:r w:rsidRPr="00BD7CEA">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rsidR="001A63C6" w:rsidRPr="00BD7CEA"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BD7CEA"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BD7CEA"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BD7CEA"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BD7CEA"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BD7CEA"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bottom"/>
          </w:tcPr>
          <w:p w:rsidR="001A63C6" w:rsidRPr="00BD7CEA"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rsidR="001A63C6" w:rsidRPr="00BD7CEA"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BD7CEA"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rsidR="001A63C6" w:rsidRPr="00BD7CEA"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E</w:t>
            </w:r>
          </w:p>
        </w:tc>
        <w:tc>
          <w:tcPr>
            <w:tcW w:w="450" w:type="dxa"/>
            <w:tcBorders>
              <w:bottom w:val="single" w:sz="4" w:space="0" w:color="auto"/>
            </w:tcBorders>
            <w:shd w:val="clear" w:color="auto" w:fill="FABF8F"/>
          </w:tcPr>
          <w:p w:rsidR="001A63C6" w:rsidRPr="00BD7CEA"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r>
      <w:tr w:rsidR="006900D9" w:rsidRPr="00BD7CEA" w:rsidTr="006900D9">
        <w:trPr>
          <w:trHeight w:val="278"/>
        </w:trPr>
        <w:tc>
          <w:tcPr>
            <w:tcW w:w="2734" w:type="dxa"/>
            <w:gridSpan w:val="2"/>
            <w:tcBorders>
              <w:bottom w:val="single" w:sz="4" w:space="0" w:color="auto"/>
            </w:tcBorders>
            <w:shd w:val="clear" w:color="auto" w:fill="auto"/>
            <w:vAlign w:val="center"/>
          </w:tcPr>
          <w:p w:rsidR="001A63C6" w:rsidRPr="007B74B7" w:rsidRDefault="001A63C6" w:rsidP="00E215F4">
            <w:pPr>
              <w:pStyle w:val="ProductNames"/>
              <w:spacing w:beforeLines="20" w:before="48" w:afterLines="20" w:after="48"/>
              <w:rPr>
                <w:rFonts w:ascii="Tahoma" w:hAnsi="Tahoma" w:cs="Tahoma"/>
                <w:sz w:val="14"/>
                <w:lang w:val="it-IT"/>
              </w:rPr>
            </w:pPr>
            <w:bookmarkStart w:id="215" w:name="_Toc336337944"/>
            <w:bookmarkStart w:id="216" w:name="_Toc353375741"/>
            <w:r w:rsidRPr="007B74B7">
              <w:rPr>
                <w:rFonts w:ascii="Tahoma" w:hAnsi="Tahoma" w:cs="Tahoma"/>
                <w:sz w:val="14"/>
                <w:lang w:val="it-IT"/>
              </w:rPr>
              <w:t>Enterprise CAL Suite Bridge per Windows</w:t>
            </w:r>
            <w:r w:rsidR="00700C4B" w:rsidRPr="007B74B7">
              <w:rPr>
                <w:rFonts w:ascii="Tahoma" w:hAnsi="Tahoma" w:cs="Tahoma"/>
                <w:sz w:val="14"/>
                <w:vertAlign w:val="superscript"/>
                <w:lang w:val="it-IT"/>
              </w:rPr>
              <w:t>®</w:t>
            </w:r>
            <w:r w:rsidRPr="007B74B7">
              <w:rPr>
                <w:rFonts w:ascii="Tahoma" w:hAnsi="Tahoma" w:cs="Tahoma"/>
                <w:sz w:val="14"/>
                <w:lang w:val="it-IT"/>
              </w:rPr>
              <w:t xml:space="preserve"> Intune (Utente e Dispositivo)</w:t>
            </w:r>
            <w:bookmarkEnd w:id="215"/>
            <w:bookmarkEnd w:id="216"/>
          </w:p>
        </w:tc>
        <w:tc>
          <w:tcPr>
            <w:tcW w:w="450" w:type="dxa"/>
            <w:tcBorders>
              <w:bottom w:val="single" w:sz="4" w:space="0" w:color="auto"/>
            </w:tcBorders>
            <w:shd w:val="clear" w:color="auto" w:fill="auto"/>
            <w:vAlign w:val="center"/>
          </w:tcPr>
          <w:p w:rsidR="001A63C6" w:rsidRPr="00BD7CEA" w:rsidRDefault="006E5080" w:rsidP="002E59B1">
            <w:pPr>
              <w:pStyle w:val="TableText"/>
              <w:widowControl w:val="0"/>
              <w:rPr>
                <w:b/>
                <w:color w:val="0000FF"/>
                <w:sz w:val="13"/>
                <w:szCs w:val="13"/>
                <w:u w:val="single"/>
              </w:rPr>
            </w:pPr>
            <w:hyperlink w:anchor="_43_Enterprise_CAL" w:history="1">
              <w:r w:rsidR="00631BF1" w:rsidRPr="00BD7CEA">
                <w:rPr>
                  <w:rStyle w:val="Hyperlink"/>
                  <w:b/>
                  <w:sz w:val="13"/>
                  <w:szCs w:val="13"/>
                </w:rPr>
                <w:t>43</w:t>
              </w:r>
            </w:hyperlink>
            <w:hyperlink w:anchor="Srv_45EntCALBridgeWinIntune" w:history="1"/>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spacing w:before="40"/>
              <w:rPr>
                <w:rFonts w:ascii="Tahoma" w:hAnsi="Tahoma" w:cs="Tahoma"/>
                <w:sz w:val="13"/>
              </w:rPr>
            </w:pPr>
            <w:r w:rsidRPr="00BD7CEA">
              <w:rPr>
                <w:rFonts w:ascii="Tahoma" w:hAnsi="Tahoma" w:cs="Tahoma"/>
                <w:sz w:val="13"/>
              </w:rPr>
              <w:t>04/11</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bCs/>
                <w:color w:val="000000"/>
                <w:sz w:val="13"/>
              </w:rPr>
            </w:pP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r>
      <w:tr w:rsidR="00B33D0E" w:rsidRPr="00BD7CEA" w:rsidTr="006900D9">
        <w:trPr>
          <w:trHeight w:val="145"/>
        </w:trPr>
        <w:tc>
          <w:tcPr>
            <w:tcW w:w="2734" w:type="dxa"/>
            <w:gridSpan w:val="2"/>
            <w:tcBorders>
              <w:bottom w:val="single" w:sz="4" w:space="0" w:color="auto"/>
            </w:tcBorders>
            <w:shd w:val="clear" w:color="auto" w:fill="FABF8F"/>
            <w:vAlign w:val="center"/>
          </w:tcPr>
          <w:p w:rsidR="001A63C6" w:rsidRPr="00BD7CEA" w:rsidRDefault="001A63C6" w:rsidP="00E215F4">
            <w:pPr>
              <w:pStyle w:val="ProductNames"/>
              <w:spacing w:beforeLines="20" w:before="48" w:afterLines="20" w:after="48"/>
              <w:rPr>
                <w:rFonts w:ascii="Tahoma" w:hAnsi="Tahoma" w:cs="Tahoma"/>
                <w:sz w:val="14"/>
              </w:rPr>
            </w:pPr>
            <w:bookmarkStart w:id="217" w:name="_Toc336337945"/>
            <w:bookmarkStart w:id="218" w:name="_Toc353375742"/>
            <w:r w:rsidRPr="00BD7CEA">
              <w:rPr>
                <w:rFonts w:ascii="Tahoma" w:hAnsi="Tahoma" w:cs="Tahoma"/>
                <w:sz w:val="14"/>
              </w:rPr>
              <w:t>Enterprise CAL Suite (Utente e Dispositivo)</w:t>
            </w:r>
            <w:bookmarkEnd w:id="217"/>
            <w:bookmarkEnd w:id="218"/>
            <w:r w:rsidRPr="00BD7CEA">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BD7CEA" w:rsidRDefault="006E5080" w:rsidP="002E59B1">
            <w:pPr>
              <w:pStyle w:val="TableText"/>
              <w:widowControl w:val="0"/>
              <w:rPr>
                <w:rStyle w:val="EndnoteReference"/>
                <w:color w:val="0000FF"/>
                <w:sz w:val="13"/>
                <w:szCs w:val="13"/>
                <w:u w:val="single"/>
              </w:rPr>
            </w:pPr>
            <w:hyperlink w:anchor="_44_Enterprise_CAL" w:history="1">
              <w:r w:rsidR="00955428" w:rsidRPr="00BD7CEA">
                <w:rPr>
                  <w:rStyle w:val="Hyperlink"/>
                  <w:b/>
                  <w:sz w:val="13"/>
                  <w:szCs w:val="13"/>
                </w:rPr>
                <w:t>44</w:t>
              </w:r>
            </w:hyperlink>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spacing w:before="40"/>
              <w:rPr>
                <w:rFonts w:ascii="Tahoma" w:hAnsi="Tahoma" w:cs="Tahoma"/>
                <w:sz w:val="13"/>
              </w:rPr>
            </w:pPr>
            <w:r w:rsidRPr="00BD7CEA">
              <w:rPr>
                <w:rFonts w:ascii="Tahoma" w:hAnsi="Tahoma" w:cs="Tahoma"/>
                <w:sz w:val="13"/>
              </w:rPr>
              <w:t>10/06</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bCs/>
                <w:color w:val="000000"/>
                <w:sz w:val="13"/>
              </w:rPr>
              <w:t>13</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bCs/>
                <w:color w:val="000000"/>
                <w:sz w:val="13"/>
              </w:rPr>
              <w:t>10</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bCs/>
                <w:color w:val="000000"/>
                <w:sz w:val="13"/>
              </w:rPr>
              <w:t>8</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bCs/>
                <w:color w:val="000000"/>
                <w:sz w:val="13"/>
              </w:rPr>
              <w:t>8</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bCs/>
                <w:color w:val="000000"/>
                <w:sz w:val="13"/>
              </w:rPr>
              <w:t>5</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color w:val="000000"/>
                <w:sz w:val="13"/>
              </w:rPr>
              <w:t>3</w:t>
            </w: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 E</w:t>
            </w: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E, P</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E, ST</w:t>
            </w:r>
          </w:p>
        </w:tc>
        <w:tc>
          <w:tcPr>
            <w:tcW w:w="54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r>
      <w:tr w:rsidR="006900D9" w:rsidRPr="00BD7CEA" w:rsidTr="006900D9">
        <w:trPr>
          <w:trHeight w:val="145"/>
        </w:trPr>
        <w:tc>
          <w:tcPr>
            <w:tcW w:w="2734" w:type="dxa"/>
            <w:gridSpan w:val="2"/>
            <w:tcBorders>
              <w:bottom w:val="single" w:sz="4" w:space="0" w:color="auto"/>
            </w:tcBorders>
            <w:shd w:val="clear" w:color="auto" w:fill="auto"/>
            <w:vAlign w:val="center"/>
          </w:tcPr>
          <w:p w:rsidR="001A63C6" w:rsidRPr="007B74B7" w:rsidRDefault="001A63C6" w:rsidP="00554295">
            <w:pPr>
              <w:pStyle w:val="ProductNames"/>
              <w:rPr>
                <w:rFonts w:ascii="Tahoma" w:hAnsi="Tahoma" w:cs="Tahoma"/>
                <w:sz w:val="14"/>
                <w:lang w:val="it-IT"/>
              </w:rPr>
            </w:pPr>
            <w:bookmarkStart w:id="219" w:name="_Toc353375743"/>
            <w:r w:rsidRPr="007B74B7">
              <w:rPr>
                <w:rFonts w:ascii="Tahoma" w:hAnsi="Tahoma" w:cs="Tahoma"/>
                <w:sz w:val="14"/>
                <w:lang w:val="it-IT"/>
              </w:rPr>
              <w:t>Enterprise CAL per Exchange 2013 con</w:t>
            </w:r>
            <w:r w:rsidR="00554295" w:rsidRPr="007B74B7">
              <w:rPr>
                <w:rFonts w:ascii="Tahoma" w:hAnsi="Tahoma" w:cs="Tahoma"/>
                <w:sz w:val="14"/>
                <w:lang w:val="it-IT"/>
              </w:rPr>
              <w:t> </w:t>
            </w:r>
            <w:r w:rsidRPr="007B74B7">
              <w:rPr>
                <w:rFonts w:ascii="Tahoma" w:hAnsi="Tahoma" w:cs="Tahoma"/>
                <w:sz w:val="14"/>
                <w:lang w:val="it-IT"/>
              </w:rPr>
              <w:t>Servizi</w:t>
            </w:r>
            <w:bookmarkEnd w:id="219"/>
          </w:p>
        </w:tc>
        <w:tc>
          <w:tcPr>
            <w:tcW w:w="450" w:type="dxa"/>
            <w:tcBorders>
              <w:bottom w:val="single" w:sz="4" w:space="0" w:color="auto"/>
            </w:tcBorders>
            <w:shd w:val="clear" w:color="auto" w:fill="auto"/>
            <w:vAlign w:val="center"/>
          </w:tcPr>
          <w:p w:rsidR="001A63C6" w:rsidRPr="007B74B7" w:rsidRDefault="001A63C6" w:rsidP="00D11241">
            <w:pPr>
              <w:pStyle w:val="TableText"/>
              <w:widowControl w:val="0"/>
              <w:rPr>
                <w:b/>
                <w:sz w:val="13"/>
                <w:szCs w:val="13"/>
                <w:u w:val="single"/>
                <w:lang w:val="it-IT"/>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spacing w:before="40"/>
              <w:rPr>
                <w:rFonts w:ascii="Tahoma" w:hAnsi="Tahoma" w:cs="Tahoma"/>
                <w:sz w:val="13"/>
              </w:rPr>
            </w:pPr>
            <w:r w:rsidRPr="00BD7CEA">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bCs/>
                <w:color w:val="000000"/>
                <w:sz w:val="13"/>
              </w:rPr>
            </w:pPr>
            <w:r w:rsidRPr="00BD7CEA">
              <w:rPr>
                <w:rFonts w:ascii="Tahoma" w:hAnsi="Tahoma" w:cs="Tahoma"/>
                <w:bCs/>
                <w:color w:val="000000"/>
                <w:sz w:val="13"/>
              </w:rPr>
              <w:t>3</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bCs/>
                <w:color w:val="000000"/>
                <w:sz w:val="13"/>
              </w:rPr>
            </w:pPr>
            <w:r w:rsidRPr="00BD7CEA">
              <w:rPr>
                <w:rFonts w:ascii="Tahoma" w:hAnsi="Tahoma" w:cs="Tahoma"/>
                <w:bCs/>
                <w:color w:val="000000"/>
                <w:sz w:val="13"/>
              </w:rPr>
              <w:t>2</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bCs/>
                <w:color w:val="000000"/>
                <w:sz w:val="13"/>
              </w:rPr>
            </w:pPr>
            <w:r w:rsidRPr="00BD7CEA">
              <w:rPr>
                <w:rFonts w:ascii="Tahoma" w:hAnsi="Tahoma" w:cs="Tahoma"/>
                <w:bCs/>
                <w:color w:val="000000"/>
                <w:sz w:val="13"/>
              </w:rPr>
              <w:t>2</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bCs/>
                <w:color w:val="000000"/>
                <w:sz w:val="13"/>
              </w:rPr>
            </w:pPr>
            <w:r w:rsidRPr="00BD7CEA">
              <w:rPr>
                <w:rFonts w:ascii="Tahoma" w:hAnsi="Tahoma" w:cs="Tahoma"/>
                <w:bCs/>
                <w:color w:val="000000"/>
                <w:sz w:val="13"/>
              </w:rPr>
              <w:t>2</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bCs/>
                <w:color w:val="000000"/>
                <w:sz w:val="13"/>
              </w:rPr>
            </w:pPr>
            <w:r w:rsidRPr="00BD7CEA">
              <w:rPr>
                <w:rFonts w:ascii="Tahoma" w:hAnsi="Tahoma" w:cs="Tahoma"/>
                <w:bCs/>
                <w:color w:val="000000"/>
                <w:sz w:val="13"/>
              </w:rPr>
              <w:t>1</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P</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w:t>
            </w: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r>
      <w:tr w:rsidR="00B33D0E" w:rsidRPr="00BD7CEA" w:rsidTr="006900D9">
        <w:trPr>
          <w:trHeight w:val="145"/>
        </w:trPr>
        <w:tc>
          <w:tcPr>
            <w:tcW w:w="2734" w:type="dxa"/>
            <w:gridSpan w:val="2"/>
            <w:tcBorders>
              <w:bottom w:val="single" w:sz="4" w:space="0" w:color="auto"/>
            </w:tcBorders>
            <w:shd w:val="clear" w:color="auto" w:fill="FABF8F"/>
          </w:tcPr>
          <w:p w:rsidR="001A63C6" w:rsidRPr="007B74B7" w:rsidRDefault="001A63C6" w:rsidP="001A63C6">
            <w:pPr>
              <w:pStyle w:val="Heading2"/>
              <w:ind w:left="0"/>
              <w:rPr>
                <w:rFonts w:ascii="Tahoma" w:hAnsi="Tahoma" w:cs="Tahoma"/>
                <w:b w:val="0"/>
                <w:sz w:val="14"/>
                <w:lang w:val="it-IT"/>
              </w:rPr>
            </w:pPr>
            <w:bookmarkStart w:id="220" w:name="_Toc353375744"/>
            <w:r w:rsidRPr="007B74B7">
              <w:rPr>
                <w:rFonts w:ascii="Tahoma" w:hAnsi="Tahoma" w:cs="Tahoma"/>
                <w:b w:val="0"/>
                <w:sz w:val="14"/>
                <w:lang w:val="it-IT"/>
              </w:rPr>
              <w:t>Enterprise CAL per Exchange 2013 senza Servizi</w:t>
            </w:r>
            <w:bookmarkEnd w:id="220"/>
          </w:p>
        </w:tc>
        <w:tc>
          <w:tcPr>
            <w:tcW w:w="450" w:type="dxa"/>
            <w:tcBorders>
              <w:bottom w:val="single" w:sz="4" w:space="0" w:color="auto"/>
            </w:tcBorders>
            <w:shd w:val="clear" w:color="auto" w:fill="FABF8F"/>
            <w:vAlign w:val="center"/>
          </w:tcPr>
          <w:p w:rsidR="001A63C6" w:rsidRPr="007B74B7" w:rsidRDefault="001A63C6" w:rsidP="001A63C6">
            <w:pPr>
              <w:pStyle w:val="TableText"/>
              <w:widowControl w:val="0"/>
              <w:rPr>
                <w:b/>
                <w:color w:val="0000FF"/>
                <w:sz w:val="13"/>
                <w:szCs w:val="13"/>
                <w:u w:val="single"/>
                <w:lang w:val="it-IT"/>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spacing w:before="80"/>
              <w:rPr>
                <w:rFonts w:ascii="Tahoma" w:hAnsi="Tahoma" w:cs="Tahoma"/>
                <w:sz w:val="13"/>
              </w:rPr>
            </w:pPr>
            <w:r w:rsidRPr="00BD7CEA">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AO, ST</w:t>
            </w:r>
          </w:p>
        </w:tc>
        <w:tc>
          <w:tcPr>
            <w:tcW w:w="54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r>
      <w:tr w:rsidR="006900D9" w:rsidRPr="00BD7CEA" w:rsidTr="006900D9">
        <w:trPr>
          <w:trHeight w:val="145"/>
        </w:trPr>
        <w:tc>
          <w:tcPr>
            <w:tcW w:w="2734" w:type="dxa"/>
            <w:gridSpan w:val="2"/>
            <w:tcBorders>
              <w:bottom w:val="single" w:sz="4" w:space="0" w:color="auto"/>
            </w:tcBorders>
            <w:shd w:val="clear" w:color="auto" w:fill="auto"/>
          </w:tcPr>
          <w:p w:rsidR="001A63C6" w:rsidRPr="007B74B7" w:rsidRDefault="001A63C6" w:rsidP="001A63C6">
            <w:pPr>
              <w:pStyle w:val="Heading2"/>
              <w:ind w:left="0"/>
              <w:rPr>
                <w:rFonts w:ascii="Tahoma" w:hAnsi="Tahoma" w:cs="Tahoma"/>
                <w:b w:val="0"/>
                <w:sz w:val="14"/>
                <w:lang w:val="it-IT"/>
              </w:rPr>
            </w:pPr>
            <w:bookmarkStart w:id="221" w:name="_Toc336337946"/>
            <w:bookmarkStart w:id="222" w:name="_Toc353375745"/>
            <w:r w:rsidRPr="007B74B7">
              <w:rPr>
                <w:rFonts w:ascii="Tahoma" w:hAnsi="Tahoma" w:cs="Tahoma"/>
                <w:b w:val="0"/>
                <w:sz w:val="14"/>
                <w:lang w:val="it-IT"/>
              </w:rPr>
              <w:t>Archiviazione Exchange Online</w:t>
            </w:r>
            <w:bookmarkEnd w:id="221"/>
            <w:r w:rsidRPr="007B74B7">
              <w:rPr>
                <w:rFonts w:ascii="Tahoma" w:hAnsi="Tahoma" w:cs="Tahoma"/>
                <w:b w:val="0"/>
                <w:sz w:val="14"/>
                <w:lang w:val="it-IT"/>
              </w:rPr>
              <w:t xml:space="preserve"> per Exchange Server A (SL per Utente)</w:t>
            </w:r>
            <w:bookmarkEnd w:id="222"/>
          </w:p>
        </w:tc>
        <w:tc>
          <w:tcPr>
            <w:tcW w:w="450" w:type="dxa"/>
            <w:tcBorders>
              <w:bottom w:val="single" w:sz="4" w:space="0" w:color="auto"/>
            </w:tcBorders>
            <w:shd w:val="clear" w:color="auto" w:fill="auto"/>
            <w:vAlign w:val="center"/>
          </w:tcPr>
          <w:p w:rsidR="001A63C6" w:rsidRPr="00BD7CEA" w:rsidRDefault="006E5080" w:rsidP="002E59B1">
            <w:pPr>
              <w:pStyle w:val="TableText"/>
              <w:widowControl w:val="0"/>
              <w:rPr>
                <w:b/>
                <w:color w:val="0000FF"/>
                <w:sz w:val="13"/>
                <w:szCs w:val="13"/>
                <w:u w:val="single"/>
              </w:rPr>
            </w:pPr>
            <w:hyperlink w:anchor="_45_Archiviazione_Exchange" w:history="1">
              <w:r w:rsidR="00955428" w:rsidRPr="00BD7CEA">
                <w:rPr>
                  <w:rStyle w:val="Hyperlink"/>
                  <w:b/>
                  <w:sz w:val="13"/>
                  <w:szCs w:val="13"/>
                </w:rPr>
                <w:t>45</w:t>
              </w:r>
            </w:hyperlink>
          </w:p>
        </w:tc>
        <w:tc>
          <w:tcPr>
            <w:tcW w:w="450" w:type="dxa"/>
            <w:tcBorders>
              <w:bottom w:val="single" w:sz="4" w:space="0" w:color="auto"/>
            </w:tcBorders>
            <w:shd w:val="clear" w:color="auto" w:fill="auto"/>
            <w:vAlign w:val="center"/>
          </w:tcPr>
          <w:p w:rsidR="001A63C6" w:rsidRPr="00BD7CEA" w:rsidDel="00876599" w:rsidRDefault="001A63C6" w:rsidP="001A63C6">
            <w:pPr>
              <w:pStyle w:val="TableText"/>
              <w:widowControl w:val="0"/>
              <w:spacing w:before="80"/>
              <w:rPr>
                <w:rFonts w:ascii="Tahoma" w:hAnsi="Tahoma" w:cs="Tahoma"/>
                <w:sz w:val="13"/>
              </w:rPr>
            </w:pPr>
            <w:r w:rsidRPr="00BD7CEA">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 ST</w:t>
            </w: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r>
      <w:tr w:rsidR="00B33D0E" w:rsidRPr="00BD7CEA" w:rsidTr="006B1F3F">
        <w:trPr>
          <w:trHeight w:val="145"/>
        </w:trPr>
        <w:tc>
          <w:tcPr>
            <w:tcW w:w="2734" w:type="dxa"/>
            <w:gridSpan w:val="2"/>
            <w:tcBorders>
              <w:bottom w:val="single" w:sz="4" w:space="0" w:color="auto"/>
            </w:tcBorders>
            <w:shd w:val="clear" w:color="auto" w:fill="auto"/>
            <w:vAlign w:val="center"/>
          </w:tcPr>
          <w:p w:rsidR="001A63C6" w:rsidRPr="007B74B7" w:rsidRDefault="001A63C6" w:rsidP="00D66F68">
            <w:pPr>
              <w:pStyle w:val="Heading3"/>
              <w:rPr>
                <w:rFonts w:ascii="Tahoma" w:hAnsi="Tahoma" w:cs="Tahoma"/>
                <w:b w:val="0"/>
                <w:lang w:val="it-IT"/>
              </w:rPr>
            </w:pPr>
            <w:bookmarkStart w:id="223" w:name="_Toc336337947"/>
            <w:bookmarkStart w:id="224" w:name="_Toc353375746"/>
            <w:r w:rsidRPr="007B74B7">
              <w:rPr>
                <w:rFonts w:ascii="Tahoma" w:hAnsi="Tahoma" w:cs="Tahoma"/>
                <w:b w:val="0"/>
                <w:sz w:val="14"/>
                <w:lang w:val="it-IT"/>
              </w:rPr>
              <w:t>Archiviazione Exchange Online per Exchange Server A (SL per Utente)</w:t>
            </w:r>
            <w:bookmarkEnd w:id="223"/>
            <w:bookmarkEnd w:id="224"/>
          </w:p>
        </w:tc>
        <w:tc>
          <w:tcPr>
            <w:tcW w:w="450" w:type="dxa"/>
            <w:tcBorders>
              <w:bottom w:val="single" w:sz="4" w:space="0" w:color="auto"/>
            </w:tcBorders>
            <w:shd w:val="clear" w:color="auto" w:fill="auto"/>
            <w:vAlign w:val="center"/>
          </w:tcPr>
          <w:p w:rsidR="001A63C6" w:rsidRPr="007B74B7" w:rsidRDefault="001A63C6" w:rsidP="00D66F68">
            <w:pPr>
              <w:pStyle w:val="TableText"/>
              <w:widowControl w:val="0"/>
              <w:rPr>
                <w:b/>
                <w:color w:val="000000"/>
                <w:sz w:val="13"/>
                <w:szCs w:val="13"/>
                <w:u w:val="single"/>
                <w:lang w:val="it-IT"/>
              </w:rPr>
            </w:pPr>
          </w:p>
        </w:tc>
        <w:tc>
          <w:tcPr>
            <w:tcW w:w="450" w:type="dxa"/>
            <w:tcBorders>
              <w:bottom w:val="single" w:sz="4" w:space="0" w:color="auto"/>
            </w:tcBorders>
            <w:shd w:val="clear" w:color="auto" w:fill="auto"/>
            <w:vAlign w:val="center"/>
          </w:tcPr>
          <w:p w:rsidR="001A63C6" w:rsidRPr="00BD7CEA" w:rsidRDefault="001A63C6" w:rsidP="007E466C">
            <w:pPr>
              <w:pStyle w:val="TableText"/>
              <w:widowControl w:val="0"/>
              <w:rPr>
                <w:rFonts w:ascii="Tahoma" w:hAnsi="Tahoma" w:cs="Tahoma"/>
                <w:sz w:val="13"/>
              </w:rPr>
            </w:pPr>
            <w:r w:rsidRPr="00BD7CEA">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rsidR="001A63C6" w:rsidRPr="00BD7CEA" w:rsidRDefault="001A63C6" w:rsidP="00D66F68">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BD7CEA" w:rsidRDefault="001A63C6" w:rsidP="00D66F6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D02D7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D02D7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242B1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242B11">
            <w:pPr>
              <w:pStyle w:val="TableText"/>
              <w:widowControl w:val="0"/>
              <w:rPr>
                <w:rFonts w:ascii="Tahoma" w:hAnsi="Tahoma" w:cs="Tahoma"/>
                <w:sz w:val="13"/>
              </w:rPr>
            </w:pPr>
            <w:r w:rsidRPr="00BD7CE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BD7CEA" w:rsidRDefault="001A63C6" w:rsidP="00EA31A6">
            <w:pPr>
              <w:pStyle w:val="TableText"/>
              <w:widowControl w:val="0"/>
              <w:rPr>
                <w:rFonts w:ascii="Tahoma" w:hAnsi="Tahoma" w:cs="Tahoma"/>
                <w:sz w:val="13"/>
              </w:rPr>
            </w:pPr>
            <w:r w:rsidRPr="00BD7CE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EA31A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BD7CEA" w:rsidRDefault="001A63C6" w:rsidP="007E466C">
            <w:pPr>
              <w:pStyle w:val="TableText"/>
              <w:widowControl w:val="0"/>
              <w:rPr>
                <w:rFonts w:ascii="Tahoma" w:hAnsi="Tahoma" w:cs="Tahoma"/>
                <w:sz w:val="13"/>
              </w:rPr>
            </w:pPr>
            <w:r w:rsidRPr="00BD7CEA">
              <w:rPr>
                <w:rFonts w:ascii="Tahoma" w:hAnsi="Tahoma" w:cs="Tahoma"/>
                <w:sz w:val="13"/>
              </w:rPr>
              <w:t>A, ST (Solo EES)</w:t>
            </w:r>
          </w:p>
        </w:tc>
        <w:tc>
          <w:tcPr>
            <w:tcW w:w="540" w:type="dxa"/>
            <w:tcBorders>
              <w:bottom w:val="single" w:sz="4" w:space="0" w:color="auto"/>
            </w:tcBorders>
            <w:shd w:val="clear" w:color="auto" w:fill="auto"/>
            <w:vAlign w:val="center"/>
          </w:tcPr>
          <w:p w:rsidR="001A63C6" w:rsidRPr="00BD7CEA" w:rsidRDefault="001A63C6" w:rsidP="00D66F68">
            <w:pPr>
              <w:pStyle w:val="TableText"/>
              <w:widowControl w:val="0"/>
              <w:rPr>
                <w:rFonts w:ascii="Tahoma" w:hAnsi="Tahoma" w:cs="Tahoma"/>
                <w:sz w:val="13"/>
              </w:rPr>
            </w:pPr>
          </w:p>
        </w:tc>
      </w:tr>
      <w:tr w:rsidR="00B33D0E" w:rsidRPr="00BD7CEA" w:rsidTr="006B1F3F">
        <w:trPr>
          <w:trHeight w:val="145"/>
        </w:trPr>
        <w:tc>
          <w:tcPr>
            <w:tcW w:w="2734" w:type="dxa"/>
            <w:gridSpan w:val="2"/>
            <w:tcBorders>
              <w:bottom w:val="single" w:sz="4" w:space="0" w:color="auto"/>
            </w:tcBorders>
            <w:shd w:val="clear" w:color="auto" w:fill="FABF8F"/>
          </w:tcPr>
          <w:p w:rsidR="001A63C6" w:rsidRPr="00BD7CEA" w:rsidRDefault="001A63C6" w:rsidP="001A63C6">
            <w:pPr>
              <w:pStyle w:val="ProductNames"/>
              <w:rPr>
                <w:rFonts w:ascii="Tahoma" w:hAnsi="Tahoma" w:cs="Tahoma"/>
                <w:sz w:val="14"/>
              </w:rPr>
            </w:pPr>
            <w:bookmarkStart w:id="225" w:name="_Toc336337948"/>
            <w:bookmarkStart w:id="226" w:name="_Toc353375747"/>
            <w:r w:rsidRPr="00BD7CEA">
              <w:rPr>
                <w:rFonts w:ascii="Tahoma" w:hAnsi="Tahoma" w:cs="Tahoma"/>
                <w:sz w:val="14"/>
              </w:rPr>
              <w:t>Exchange Hosted Archive (SL per Utente)</w:t>
            </w:r>
            <w:bookmarkEnd w:id="225"/>
            <w:bookmarkEnd w:id="226"/>
          </w:p>
        </w:tc>
        <w:tc>
          <w:tcPr>
            <w:tcW w:w="450" w:type="dxa"/>
            <w:tcBorders>
              <w:bottom w:val="single" w:sz="4" w:space="0" w:color="auto"/>
            </w:tcBorders>
            <w:shd w:val="clear" w:color="auto" w:fill="FABF8F"/>
            <w:vAlign w:val="center"/>
          </w:tcPr>
          <w:p w:rsidR="001A63C6" w:rsidRPr="00BD7CEA" w:rsidRDefault="006E5080" w:rsidP="002E59B1">
            <w:pPr>
              <w:pStyle w:val="TableText"/>
              <w:widowControl w:val="0"/>
              <w:rPr>
                <w:b/>
                <w:color w:val="000000"/>
                <w:sz w:val="13"/>
                <w:szCs w:val="13"/>
                <w:u w:val="single"/>
              </w:rPr>
            </w:pPr>
            <w:hyperlink w:anchor="_45_Exchange_Hosted" w:history="1">
              <w:r w:rsidR="00955428" w:rsidRPr="00BD7CEA">
                <w:rPr>
                  <w:rStyle w:val="Hyperlink"/>
                  <w:b/>
                  <w:sz w:val="13"/>
                  <w:szCs w:val="13"/>
                </w:rPr>
                <w:t>46</w:t>
              </w:r>
            </w:hyperlink>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D7CEA"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r>
      <w:tr w:rsidR="00B33D0E" w:rsidRPr="00BD7CEA" w:rsidTr="006B1F3F">
        <w:trPr>
          <w:trHeight w:val="145"/>
        </w:trPr>
        <w:tc>
          <w:tcPr>
            <w:tcW w:w="2734" w:type="dxa"/>
            <w:gridSpan w:val="2"/>
            <w:tcBorders>
              <w:bottom w:val="single" w:sz="4" w:space="0" w:color="auto"/>
            </w:tcBorders>
            <w:shd w:val="clear" w:color="auto" w:fill="auto"/>
          </w:tcPr>
          <w:p w:rsidR="001A63C6" w:rsidRPr="00BD7CEA" w:rsidRDefault="001A63C6" w:rsidP="001A63C6">
            <w:pPr>
              <w:pStyle w:val="ProductNames"/>
              <w:rPr>
                <w:rFonts w:ascii="Tahoma" w:hAnsi="Tahoma" w:cs="Tahoma"/>
                <w:sz w:val="14"/>
              </w:rPr>
            </w:pPr>
            <w:bookmarkStart w:id="227" w:name="_Toc336337949"/>
            <w:bookmarkStart w:id="228" w:name="_Toc353375748"/>
            <w:r w:rsidRPr="00BD7CEA">
              <w:rPr>
                <w:rFonts w:ascii="Tahoma" w:hAnsi="Tahoma" w:cs="Tahoma"/>
                <w:sz w:val="14"/>
              </w:rPr>
              <w:t>Exchange Hosted Archive Extra Storage (SL per Utente)</w:t>
            </w:r>
            <w:bookmarkEnd w:id="227"/>
            <w:bookmarkEnd w:id="228"/>
          </w:p>
        </w:tc>
        <w:tc>
          <w:tcPr>
            <w:tcW w:w="450" w:type="dxa"/>
            <w:tcBorders>
              <w:bottom w:val="single" w:sz="4" w:space="0" w:color="auto"/>
            </w:tcBorders>
            <w:shd w:val="clear" w:color="auto" w:fill="auto"/>
            <w:vAlign w:val="center"/>
          </w:tcPr>
          <w:p w:rsidR="001A63C6" w:rsidRPr="00BD7CEA" w:rsidRDefault="006E5080" w:rsidP="002E59B1">
            <w:pPr>
              <w:pStyle w:val="TableText"/>
              <w:widowControl w:val="0"/>
              <w:rPr>
                <w:b/>
                <w:color w:val="000000"/>
                <w:sz w:val="13"/>
                <w:szCs w:val="13"/>
                <w:u w:val="single"/>
              </w:rPr>
            </w:pPr>
            <w:hyperlink w:anchor="_45_Exchange_Hosted" w:history="1">
              <w:r w:rsidR="00631BF1" w:rsidRPr="00BD7CEA">
                <w:rPr>
                  <w:rStyle w:val="Hyperlink"/>
                  <w:b/>
                  <w:sz w:val="13"/>
                  <w:szCs w:val="13"/>
                </w:rPr>
                <w:t>46</w:t>
              </w:r>
            </w:hyperlink>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BD7CEA"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r>
      <w:tr w:rsidR="00B33D0E" w:rsidRPr="00BD7CEA" w:rsidTr="006B1F3F">
        <w:trPr>
          <w:trHeight w:val="145"/>
        </w:trPr>
        <w:tc>
          <w:tcPr>
            <w:tcW w:w="2734" w:type="dxa"/>
            <w:gridSpan w:val="2"/>
            <w:tcBorders>
              <w:bottom w:val="single" w:sz="4" w:space="0" w:color="auto"/>
            </w:tcBorders>
            <w:shd w:val="clear" w:color="auto" w:fill="FABF8F"/>
          </w:tcPr>
          <w:p w:rsidR="001A63C6" w:rsidRPr="00BD7CEA" w:rsidRDefault="001A63C6" w:rsidP="001A63C6">
            <w:pPr>
              <w:pStyle w:val="ProductNames"/>
              <w:rPr>
                <w:rFonts w:ascii="Tahoma" w:hAnsi="Tahoma" w:cs="Tahoma"/>
                <w:sz w:val="14"/>
              </w:rPr>
            </w:pPr>
            <w:bookmarkStart w:id="229" w:name="_Toc336337950"/>
            <w:bookmarkStart w:id="230" w:name="_Toc353375749"/>
            <w:r w:rsidRPr="00BD7CEA">
              <w:rPr>
                <w:rFonts w:ascii="Tahoma" w:hAnsi="Tahoma" w:cs="Tahoma"/>
                <w:sz w:val="14"/>
              </w:rPr>
              <w:t xml:space="preserve">Exchange Hosted Encryption </w:t>
            </w:r>
            <w:r w:rsidR="006356EC" w:rsidRPr="00BD7CEA">
              <w:rPr>
                <w:rFonts w:ascii="Tahoma" w:hAnsi="Tahoma" w:cs="Tahoma"/>
                <w:sz w:val="14"/>
              </w:rPr>
              <w:br/>
            </w:r>
            <w:r w:rsidRPr="00BD7CEA">
              <w:rPr>
                <w:rFonts w:ascii="Tahoma" w:hAnsi="Tahoma" w:cs="Tahoma"/>
                <w:sz w:val="14"/>
              </w:rPr>
              <w:t>(SL per Utente)</w:t>
            </w:r>
            <w:bookmarkEnd w:id="229"/>
            <w:bookmarkEnd w:id="230"/>
          </w:p>
        </w:tc>
        <w:tc>
          <w:tcPr>
            <w:tcW w:w="450" w:type="dxa"/>
            <w:tcBorders>
              <w:bottom w:val="single" w:sz="4" w:space="0" w:color="auto"/>
            </w:tcBorders>
            <w:shd w:val="clear" w:color="auto" w:fill="FABF8F"/>
            <w:vAlign w:val="center"/>
          </w:tcPr>
          <w:p w:rsidR="001A63C6" w:rsidRPr="00BD7CEA" w:rsidRDefault="006E5080" w:rsidP="002E59B1">
            <w:pPr>
              <w:pStyle w:val="TableText"/>
              <w:widowControl w:val="0"/>
              <w:rPr>
                <w:rStyle w:val="EndnoteReference"/>
                <w:color w:val="000000"/>
                <w:sz w:val="13"/>
                <w:szCs w:val="13"/>
                <w:u w:val="single"/>
              </w:rPr>
            </w:pPr>
            <w:hyperlink w:anchor="_47_Exchange_Hosted" w:history="1">
              <w:r w:rsidR="00955428" w:rsidRPr="00BD7CEA">
                <w:rPr>
                  <w:rStyle w:val="Hyperlink"/>
                  <w:b/>
                  <w:sz w:val="13"/>
                  <w:szCs w:val="13"/>
                </w:rPr>
                <w:t>47</w:t>
              </w:r>
            </w:hyperlink>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spacing w:before="80"/>
              <w:rPr>
                <w:rFonts w:ascii="Tahoma" w:hAnsi="Tahoma" w:cs="Tahoma"/>
                <w:sz w:val="13"/>
              </w:rPr>
            </w:pPr>
            <w:r w:rsidRPr="00BD7CEA">
              <w:rPr>
                <w:rFonts w:ascii="Tahoma" w:hAnsi="Tahoma" w:cs="Tahoma"/>
                <w:sz w:val="13"/>
              </w:rPr>
              <w:t>04/06</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 punto</w:t>
            </w: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P</w:t>
            </w:r>
          </w:p>
        </w:tc>
        <w:tc>
          <w:tcPr>
            <w:tcW w:w="450" w:type="dxa"/>
            <w:tcBorders>
              <w:bottom w:val="single" w:sz="4" w:space="0" w:color="auto"/>
            </w:tcBorders>
            <w:shd w:val="clear" w:color="auto" w:fill="FABF8F"/>
          </w:tcPr>
          <w:p w:rsidR="001A63C6" w:rsidRPr="00BD7CEA"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r>
      <w:tr w:rsidR="00B33D0E" w:rsidRPr="00BD7CEA" w:rsidTr="006B1F3F">
        <w:trPr>
          <w:trHeight w:val="145"/>
        </w:trPr>
        <w:tc>
          <w:tcPr>
            <w:tcW w:w="2734" w:type="dxa"/>
            <w:gridSpan w:val="2"/>
            <w:tcBorders>
              <w:bottom w:val="single" w:sz="4" w:space="0" w:color="auto"/>
            </w:tcBorders>
            <w:shd w:val="clear" w:color="auto" w:fill="auto"/>
            <w:vAlign w:val="center"/>
          </w:tcPr>
          <w:p w:rsidR="001A63C6" w:rsidRPr="00BD7CEA" w:rsidRDefault="001A63C6" w:rsidP="00D66F68">
            <w:pPr>
              <w:pStyle w:val="Heading2"/>
              <w:ind w:left="0"/>
              <w:rPr>
                <w:rFonts w:ascii="Tahoma" w:hAnsi="Tahoma" w:cs="Tahoma"/>
                <w:b w:val="0"/>
                <w:sz w:val="14"/>
              </w:rPr>
            </w:pPr>
            <w:bookmarkStart w:id="231" w:name="_Toc353375750"/>
            <w:r w:rsidRPr="00BD7CEA">
              <w:rPr>
                <w:rFonts w:ascii="Tahoma" w:hAnsi="Tahoma" w:cs="Tahoma"/>
                <w:b w:val="0"/>
                <w:sz w:val="14"/>
              </w:rPr>
              <w:t>Archiviazione Exchange Online per Exchange Online A</w:t>
            </w:r>
            <w:bookmarkEnd w:id="231"/>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spacing w:before="80"/>
              <w:rPr>
                <w:rFonts w:ascii="Tahoma" w:hAnsi="Tahoma" w:cs="Tahoma"/>
                <w:sz w:val="13"/>
              </w:rPr>
            </w:pPr>
            <w:r w:rsidRPr="00BD7CEA">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 ST (Solo EES)</w:t>
            </w: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r>
      <w:tr w:rsidR="00EF228F" w:rsidRPr="00BD7CEA" w:rsidTr="006B1F3F">
        <w:trPr>
          <w:trHeight w:val="145"/>
        </w:trPr>
        <w:tc>
          <w:tcPr>
            <w:tcW w:w="2734" w:type="dxa"/>
            <w:gridSpan w:val="2"/>
            <w:tcBorders>
              <w:bottom w:val="single" w:sz="4" w:space="0" w:color="auto"/>
            </w:tcBorders>
            <w:shd w:val="clear" w:color="auto" w:fill="FABF8F"/>
          </w:tcPr>
          <w:p w:rsidR="001A63C6" w:rsidRPr="00BD7CEA" w:rsidRDefault="001A63C6" w:rsidP="001A63C6">
            <w:pPr>
              <w:pStyle w:val="Heading2"/>
              <w:ind w:left="0"/>
              <w:rPr>
                <w:rFonts w:ascii="Tahoma" w:hAnsi="Tahoma" w:cs="Tahoma"/>
                <w:b w:val="0"/>
                <w:sz w:val="14"/>
              </w:rPr>
            </w:pPr>
            <w:bookmarkStart w:id="232" w:name="_Toc353375751"/>
            <w:r w:rsidRPr="00BD7CEA">
              <w:rPr>
                <w:rFonts w:ascii="Tahoma" w:hAnsi="Tahoma" w:cs="Tahoma"/>
                <w:b w:val="0"/>
                <w:sz w:val="14"/>
              </w:rPr>
              <w:t>Archiviazione Exchange Online per Exchange Online</w:t>
            </w:r>
            <w:bookmarkEnd w:id="232"/>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spacing w:before="80"/>
              <w:rPr>
                <w:rFonts w:ascii="Tahoma" w:hAnsi="Tahoma" w:cs="Tahoma"/>
                <w:sz w:val="13"/>
              </w:rPr>
            </w:pPr>
            <w:r w:rsidRPr="00BD7CEA">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r>
      <w:tr w:rsidR="00B33D0E" w:rsidRPr="00BD7CEA" w:rsidTr="006B1F3F">
        <w:trPr>
          <w:trHeight w:val="145"/>
        </w:trPr>
        <w:tc>
          <w:tcPr>
            <w:tcW w:w="2734" w:type="dxa"/>
            <w:gridSpan w:val="2"/>
            <w:tcBorders>
              <w:bottom w:val="single" w:sz="4" w:space="0" w:color="auto"/>
            </w:tcBorders>
            <w:shd w:val="clear" w:color="auto" w:fill="auto"/>
          </w:tcPr>
          <w:p w:rsidR="001A63C6" w:rsidRPr="007B74B7" w:rsidRDefault="001A63C6" w:rsidP="001A63C6">
            <w:pPr>
              <w:pStyle w:val="Heading2"/>
              <w:ind w:left="0"/>
              <w:rPr>
                <w:rFonts w:ascii="Tahoma" w:hAnsi="Tahoma" w:cs="Tahoma"/>
                <w:b w:val="0"/>
                <w:sz w:val="14"/>
                <w:lang w:val="it-IT"/>
              </w:rPr>
            </w:pPr>
            <w:bookmarkStart w:id="233" w:name="_Toc336337951"/>
            <w:bookmarkStart w:id="234" w:name="_Toc353375752"/>
            <w:r w:rsidRPr="007B74B7">
              <w:rPr>
                <w:rFonts w:ascii="Tahoma" w:hAnsi="Tahoma" w:cs="Tahoma"/>
                <w:b w:val="0"/>
                <w:sz w:val="14"/>
                <w:lang w:val="it-IT"/>
              </w:rPr>
              <w:t>Chiosco Exchange Online (SL per Utente)</w:t>
            </w:r>
            <w:bookmarkEnd w:id="233"/>
            <w:bookmarkEnd w:id="234"/>
          </w:p>
        </w:tc>
        <w:tc>
          <w:tcPr>
            <w:tcW w:w="450" w:type="dxa"/>
            <w:tcBorders>
              <w:bottom w:val="single" w:sz="4" w:space="0" w:color="auto"/>
            </w:tcBorders>
            <w:shd w:val="clear" w:color="auto" w:fill="auto"/>
            <w:vAlign w:val="center"/>
          </w:tcPr>
          <w:p w:rsidR="001A63C6" w:rsidRPr="00BD7CEA" w:rsidRDefault="006E5080" w:rsidP="002E59B1">
            <w:pPr>
              <w:pStyle w:val="TableText"/>
              <w:widowControl w:val="0"/>
              <w:rPr>
                <w:rStyle w:val="EndnoteReference"/>
                <w:rFonts w:cs="Tahoma"/>
                <w:color w:val="000000"/>
                <w:sz w:val="13"/>
                <w:szCs w:val="13"/>
                <w:u w:val="single"/>
              </w:rPr>
            </w:pPr>
            <w:hyperlink w:anchor="_48_Exchange_Online_1" w:history="1">
              <w:r w:rsidR="00955428" w:rsidRPr="00BD7CEA">
                <w:rPr>
                  <w:rStyle w:val="Hyperlink"/>
                  <w:b/>
                  <w:sz w:val="13"/>
                  <w:szCs w:val="13"/>
                </w:rPr>
                <w:t>48</w:t>
              </w:r>
            </w:hyperlink>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spacing w:before="80"/>
              <w:rPr>
                <w:rFonts w:ascii="Tahoma" w:hAnsi="Tahoma" w:cs="Tahoma"/>
                <w:sz w:val="13"/>
              </w:rPr>
            </w:pPr>
            <w:r w:rsidRPr="00BD7CEA">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 xml:space="preserve"> </w:t>
            </w:r>
          </w:p>
        </w:tc>
        <w:tc>
          <w:tcPr>
            <w:tcW w:w="36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r>
      <w:tr w:rsidR="00B33D0E" w:rsidRPr="00BD7CEA" w:rsidTr="006B1F3F">
        <w:trPr>
          <w:trHeight w:val="395"/>
        </w:trPr>
        <w:tc>
          <w:tcPr>
            <w:tcW w:w="2734" w:type="dxa"/>
            <w:gridSpan w:val="2"/>
            <w:tcBorders>
              <w:bottom w:val="single" w:sz="4" w:space="0" w:color="auto"/>
            </w:tcBorders>
            <w:shd w:val="clear" w:color="auto" w:fill="FABF8F"/>
            <w:vAlign w:val="center"/>
          </w:tcPr>
          <w:p w:rsidR="001A63C6" w:rsidRPr="007B74B7" w:rsidRDefault="001A63C6" w:rsidP="00D66F68">
            <w:pPr>
              <w:pStyle w:val="Heading2"/>
              <w:ind w:left="0"/>
              <w:rPr>
                <w:rFonts w:ascii="Tahoma" w:hAnsi="Tahoma" w:cs="Tahoma"/>
                <w:b w:val="0"/>
                <w:sz w:val="14"/>
                <w:lang w:val="it-IT"/>
              </w:rPr>
            </w:pPr>
            <w:bookmarkStart w:id="235" w:name="_Toc336337952"/>
            <w:bookmarkStart w:id="236" w:name="_Toc353375753"/>
            <w:r w:rsidRPr="007B74B7">
              <w:rPr>
                <w:rFonts w:ascii="Tahoma" w:hAnsi="Tahoma" w:cs="Tahoma"/>
                <w:b w:val="0"/>
                <w:sz w:val="14"/>
                <w:lang w:val="it-IT"/>
              </w:rPr>
              <w:t>Exchange Online Piano 1 (SL per Utente)</w:t>
            </w:r>
            <w:bookmarkEnd w:id="235"/>
            <w:bookmarkEnd w:id="236"/>
          </w:p>
        </w:tc>
        <w:tc>
          <w:tcPr>
            <w:tcW w:w="450" w:type="dxa"/>
            <w:tcBorders>
              <w:bottom w:val="single" w:sz="4" w:space="0" w:color="auto"/>
            </w:tcBorders>
            <w:shd w:val="clear" w:color="auto" w:fill="FABF8F"/>
            <w:vAlign w:val="center"/>
          </w:tcPr>
          <w:p w:rsidR="001A63C6" w:rsidRPr="00BD7CEA" w:rsidRDefault="006E5080" w:rsidP="002E59B1">
            <w:pPr>
              <w:pStyle w:val="TableText"/>
              <w:widowControl w:val="0"/>
              <w:rPr>
                <w:rStyle w:val="EndnoteReference"/>
                <w:rFonts w:cs="Tahoma"/>
                <w:color w:val="0000FF"/>
                <w:sz w:val="13"/>
                <w:szCs w:val="13"/>
                <w:u w:val="single"/>
              </w:rPr>
            </w:pPr>
            <w:hyperlink w:anchor="_48_Exchange_Online" w:history="1">
              <w:r w:rsidR="00955428" w:rsidRPr="00BD7CEA">
                <w:rPr>
                  <w:rStyle w:val="Hyperlink"/>
                  <w:b/>
                  <w:sz w:val="13"/>
                  <w:szCs w:val="13"/>
                </w:rPr>
                <w:t>49</w:t>
              </w:r>
            </w:hyperlink>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spacing w:before="80"/>
              <w:rPr>
                <w:rFonts w:ascii="Tahoma" w:hAnsi="Tahoma" w:cs="Tahoma"/>
                <w:sz w:val="13"/>
              </w:rPr>
            </w:pPr>
            <w:r w:rsidRPr="00BD7CEA">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r>
      <w:tr w:rsidR="00B33D0E" w:rsidRPr="00BD7CEA" w:rsidTr="006B1F3F">
        <w:trPr>
          <w:trHeight w:val="145"/>
        </w:trPr>
        <w:tc>
          <w:tcPr>
            <w:tcW w:w="2734" w:type="dxa"/>
            <w:gridSpan w:val="2"/>
            <w:tcBorders>
              <w:bottom w:val="single" w:sz="4" w:space="0" w:color="auto"/>
            </w:tcBorders>
            <w:shd w:val="clear" w:color="auto" w:fill="auto"/>
          </w:tcPr>
          <w:p w:rsidR="001A63C6" w:rsidRPr="007B74B7" w:rsidRDefault="001A63C6" w:rsidP="001A63C6">
            <w:pPr>
              <w:pStyle w:val="Heading2"/>
              <w:ind w:left="0"/>
              <w:rPr>
                <w:rFonts w:ascii="Tahoma" w:hAnsi="Tahoma" w:cs="Tahoma"/>
                <w:b w:val="0"/>
                <w:sz w:val="14"/>
                <w:lang w:val="it-IT"/>
              </w:rPr>
            </w:pPr>
            <w:bookmarkStart w:id="237" w:name="_Toc336337953"/>
            <w:bookmarkStart w:id="238" w:name="_Toc353375754"/>
            <w:r w:rsidRPr="007B74B7">
              <w:rPr>
                <w:rFonts w:ascii="Tahoma" w:hAnsi="Tahoma" w:cs="Tahoma"/>
                <w:b w:val="0"/>
                <w:sz w:val="14"/>
                <w:lang w:val="it-IT"/>
              </w:rPr>
              <w:t>Exchange Online Piano 2 (SL per Utente)</w:t>
            </w:r>
            <w:bookmarkEnd w:id="237"/>
            <w:bookmarkEnd w:id="238"/>
          </w:p>
        </w:tc>
        <w:tc>
          <w:tcPr>
            <w:tcW w:w="450" w:type="dxa"/>
            <w:tcBorders>
              <w:bottom w:val="single" w:sz="4" w:space="0" w:color="auto"/>
            </w:tcBorders>
            <w:shd w:val="clear" w:color="auto" w:fill="auto"/>
            <w:vAlign w:val="center"/>
          </w:tcPr>
          <w:p w:rsidR="001A63C6" w:rsidRPr="00BD7CEA" w:rsidRDefault="006E5080" w:rsidP="002E59B1">
            <w:pPr>
              <w:pStyle w:val="TableText"/>
              <w:widowControl w:val="0"/>
              <w:rPr>
                <w:rStyle w:val="EndnoteReference"/>
                <w:color w:val="000000"/>
                <w:sz w:val="13"/>
                <w:szCs w:val="13"/>
                <w:u w:val="single"/>
              </w:rPr>
            </w:pPr>
            <w:hyperlink w:anchor="_50_Exchange_Online" w:history="1">
              <w:r w:rsidR="002E59B1" w:rsidRPr="00BD7CEA">
                <w:rPr>
                  <w:rStyle w:val="Hyperlink"/>
                  <w:b/>
                  <w:sz w:val="13"/>
                  <w:szCs w:val="13"/>
                </w:rPr>
                <w:t>50</w:t>
              </w:r>
            </w:hyperlink>
            <w:hyperlink w:anchor="_49_Exchange_Online" w:history="1"/>
          </w:p>
        </w:tc>
        <w:tc>
          <w:tcPr>
            <w:tcW w:w="450" w:type="dxa"/>
            <w:tcBorders>
              <w:bottom w:val="single" w:sz="4" w:space="0" w:color="auto"/>
            </w:tcBorders>
            <w:shd w:val="clear" w:color="auto" w:fill="auto"/>
            <w:vAlign w:val="center"/>
          </w:tcPr>
          <w:p w:rsidR="001A63C6" w:rsidRPr="00BD7CEA" w:rsidRDefault="001A63C6" w:rsidP="007E466C">
            <w:pPr>
              <w:pStyle w:val="TableText"/>
              <w:widowControl w:val="0"/>
              <w:spacing w:before="80"/>
              <w:rPr>
                <w:rFonts w:ascii="Tahoma" w:hAnsi="Tahoma" w:cs="Tahoma"/>
                <w:sz w:val="13"/>
              </w:rPr>
            </w:pPr>
            <w:r w:rsidRPr="00BD7CEA">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r>
      <w:tr w:rsidR="00B33D0E" w:rsidRPr="00BD7CEA" w:rsidTr="006B1F3F">
        <w:trPr>
          <w:trHeight w:val="145"/>
        </w:trPr>
        <w:tc>
          <w:tcPr>
            <w:tcW w:w="2734" w:type="dxa"/>
            <w:gridSpan w:val="2"/>
            <w:tcBorders>
              <w:bottom w:val="single" w:sz="4" w:space="0" w:color="auto"/>
            </w:tcBorders>
            <w:shd w:val="clear" w:color="auto" w:fill="FABF8F"/>
          </w:tcPr>
          <w:p w:rsidR="001A63C6" w:rsidRPr="007B74B7" w:rsidRDefault="001A63C6" w:rsidP="001A63C6">
            <w:pPr>
              <w:pStyle w:val="Heading3"/>
              <w:rPr>
                <w:rFonts w:ascii="Tahoma" w:hAnsi="Tahoma" w:cs="Tahoma"/>
                <w:b w:val="0"/>
                <w:sz w:val="14"/>
                <w:lang w:val="it-IT"/>
              </w:rPr>
            </w:pPr>
            <w:bookmarkStart w:id="239" w:name="_Toc336337954"/>
            <w:bookmarkStart w:id="240" w:name="_Toc353375755"/>
            <w:r w:rsidRPr="007B74B7">
              <w:rPr>
                <w:rFonts w:ascii="Tahoma" w:hAnsi="Tahoma" w:cs="Tahoma"/>
                <w:b w:val="0"/>
                <w:sz w:val="14"/>
                <w:lang w:val="it-IT"/>
              </w:rPr>
              <w:t>Exchange Online Piano 1A per Ex Allievi (SL per Utente)</w:t>
            </w:r>
            <w:bookmarkEnd w:id="239"/>
            <w:bookmarkEnd w:id="240"/>
          </w:p>
        </w:tc>
        <w:tc>
          <w:tcPr>
            <w:tcW w:w="450" w:type="dxa"/>
            <w:tcBorders>
              <w:bottom w:val="single" w:sz="4" w:space="0" w:color="auto"/>
            </w:tcBorders>
            <w:shd w:val="clear" w:color="auto" w:fill="FABF8F"/>
            <w:vAlign w:val="center"/>
          </w:tcPr>
          <w:p w:rsidR="001A63C6" w:rsidRPr="007B74B7" w:rsidRDefault="001A63C6" w:rsidP="001A63C6">
            <w:pPr>
              <w:pStyle w:val="TableText"/>
              <w:widowControl w:val="0"/>
              <w:rPr>
                <w:b/>
                <w:color w:val="000000"/>
                <w:sz w:val="13"/>
                <w:szCs w:val="13"/>
                <w:u w:val="single"/>
                <w:lang w:val="it-IT"/>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spacing w:before="80"/>
              <w:rPr>
                <w:rFonts w:ascii="Tahoma" w:hAnsi="Tahoma" w:cs="Tahoma"/>
                <w:sz w:val="13"/>
              </w:rPr>
            </w:pPr>
            <w:r w:rsidRPr="00BD7CEA">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 (Solo EES)</w:t>
            </w:r>
          </w:p>
        </w:tc>
        <w:tc>
          <w:tcPr>
            <w:tcW w:w="54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r>
      <w:tr w:rsidR="00B33D0E" w:rsidRPr="00BD7CEA" w:rsidTr="006B1F3F">
        <w:trPr>
          <w:trHeight w:val="145"/>
        </w:trPr>
        <w:tc>
          <w:tcPr>
            <w:tcW w:w="2734" w:type="dxa"/>
            <w:gridSpan w:val="2"/>
            <w:tcBorders>
              <w:bottom w:val="single" w:sz="4" w:space="0" w:color="auto"/>
            </w:tcBorders>
            <w:shd w:val="clear" w:color="auto" w:fill="auto"/>
          </w:tcPr>
          <w:p w:rsidR="001A63C6" w:rsidRPr="007B74B7" w:rsidRDefault="001A63C6" w:rsidP="001A63C6">
            <w:pPr>
              <w:pStyle w:val="Heading3"/>
              <w:rPr>
                <w:rFonts w:ascii="Tahoma" w:hAnsi="Tahoma" w:cs="Tahoma"/>
                <w:b w:val="0"/>
                <w:sz w:val="14"/>
                <w:lang w:val="it-IT"/>
              </w:rPr>
            </w:pPr>
            <w:bookmarkStart w:id="241" w:name="_Toc336337955"/>
            <w:bookmarkStart w:id="242" w:name="_Toc353375756"/>
            <w:r w:rsidRPr="007B74B7">
              <w:rPr>
                <w:rFonts w:ascii="Tahoma" w:hAnsi="Tahoma" w:cs="Tahoma"/>
                <w:b w:val="0"/>
                <w:sz w:val="14"/>
                <w:lang w:val="it-IT"/>
              </w:rPr>
              <w:t>Exchange Online Piano 2A (SL per Utente)</w:t>
            </w:r>
            <w:bookmarkEnd w:id="241"/>
            <w:bookmarkEnd w:id="242"/>
          </w:p>
        </w:tc>
        <w:tc>
          <w:tcPr>
            <w:tcW w:w="450" w:type="dxa"/>
            <w:tcBorders>
              <w:bottom w:val="single" w:sz="4" w:space="0" w:color="auto"/>
            </w:tcBorders>
            <w:shd w:val="clear" w:color="auto" w:fill="auto"/>
            <w:vAlign w:val="center"/>
          </w:tcPr>
          <w:p w:rsidR="001A63C6" w:rsidRPr="007B74B7" w:rsidRDefault="001A63C6" w:rsidP="001A63C6">
            <w:pPr>
              <w:pStyle w:val="TableText"/>
              <w:widowControl w:val="0"/>
              <w:rPr>
                <w:b/>
                <w:color w:val="000000"/>
                <w:sz w:val="13"/>
                <w:szCs w:val="13"/>
                <w:u w:val="single"/>
                <w:lang w:val="it-IT"/>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spacing w:before="80"/>
              <w:rPr>
                <w:rFonts w:ascii="Tahoma" w:hAnsi="Tahoma" w:cs="Tahoma"/>
                <w:sz w:val="13"/>
              </w:rPr>
            </w:pPr>
            <w:r w:rsidRPr="00BD7CEA">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 (Solo EES)</w:t>
            </w: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r>
      <w:tr w:rsidR="00B33D0E" w:rsidRPr="00BD7CEA" w:rsidTr="006B1F3F">
        <w:trPr>
          <w:trHeight w:val="145"/>
        </w:trPr>
        <w:tc>
          <w:tcPr>
            <w:tcW w:w="2734" w:type="dxa"/>
            <w:gridSpan w:val="2"/>
            <w:tcBorders>
              <w:bottom w:val="single" w:sz="4" w:space="0" w:color="auto"/>
            </w:tcBorders>
            <w:shd w:val="clear" w:color="auto" w:fill="FABF8F"/>
          </w:tcPr>
          <w:p w:rsidR="001A63C6" w:rsidRPr="00BD7CEA" w:rsidRDefault="001A63C6" w:rsidP="001A63C6">
            <w:pPr>
              <w:pStyle w:val="ProductNames"/>
              <w:rPr>
                <w:rFonts w:ascii="Tahoma" w:hAnsi="Tahoma" w:cs="Tahoma"/>
                <w:sz w:val="14"/>
              </w:rPr>
            </w:pPr>
            <w:bookmarkStart w:id="243" w:name="_Toc353375757"/>
            <w:r w:rsidRPr="00BD7CEA">
              <w:rPr>
                <w:rFonts w:ascii="Tahoma" w:hAnsi="Tahoma" w:cs="Tahoma"/>
                <w:sz w:val="14"/>
              </w:rPr>
              <w:t xml:space="preserve">Exchange Online Protection </w:t>
            </w:r>
            <w:r w:rsidR="006356EC" w:rsidRPr="00BD7CEA">
              <w:rPr>
                <w:rFonts w:ascii="Tahoma" w:hAnsi="Tahoma" w:cs="Tahoma"/>
                <w:sz w:val="14"/>
              </w:rPr>
              <w:br/>
            </w:r>
            <w:r w:rsidRPr="00BD7CEA">
              <w:rPr>
                <w:rFonts w:ascii="Tahoma" w:hAnsi="Tahoma" w:cs="Tahoma"/>
                <w:sz w:val="14"/>
              </w:rPr>
              <w:t>(SL per Utente)</w:t>
            </w:r>
            <w:bookmarkEnd w:id="243"/>
          </w:p>
        </w:tc>
        <w:tc>
          <w:tcPr>
            <w:tcW w:w="450" w:type="dxa"/>
            <w:tcBorders>
              <w:bottom w:val="single" w:sz="4" w:space="0" w:color="auto"/>
            </w:tcBorders>
            <w:shd w:val="clear" w:color="auto" w:fill="FABF8F"/>
            <w:vAlign w:val="center"/>
          </w:tcPr>
          <w:p w:rsidR="001A63C6" w:rsidRPr="00BD7CEA" w:rsidRDefault="006E5080" w:rsidP="002E59B1">
            <w:pPr>
              <w:pStyle w:val="TableText"/>
              <w:widowControl w:val="0"/>
            </w:pPr>
            <w:hyperlink w:anchor="_51_Exchange_Online" w:history="1">
              <w:r w:rsidR="00955428" w:rsidRPr="00BD7CEA">
                <w:rPr>
                  <w:rStyle w:val="Hyperlink"/>
                  <w:b/>
                  <w:sz w:val="13"/>
                  <w:szCs w:val="13"/>
                </w:rPr>
                <w:t>51</w:t>
              </w:r>
            </w:hyperlink>
            <w:hyperlink w:anchor="_49_Exchange_Server" w:history="1"/>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D7CEA"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r>
      <w:tr w:rsidR="00B33D0E" w:rsidRPr="00BD7CEA" w:rsidTr="006B1F3F">
        <w:trPr>
          <w:trHeight w:val="145"/>
        </w:trPr>
        <w:tc>
          <w:tcPr>
            <w:tcW w:w="2734" w:type="dxa"/>
            <w:gridSpan w:val="2"/>
            <w:tcBorders>
              <w:bottom w:val="single" w:sz="4" w:space="0" w:color="auto"/>
            </w:tcBorders>
            <w:shd w:val="clear" w:color="auto" w:fill="auto"/>
          </w:tcPr>
          <w:p w:rsidR="001A63C6" w:rsidRPr="00BD7CEA" w:rsidRDefault="001A63C6" w:rsidP="001A63C6">
            <w:pPr>
              <w:pStyle w:val="ProductNames"/>
              <w:rPr>
                <w:rFonts w:ascii="Tahoma" w:hAnsi="Tahoma" w:cs="Tahoma"/>
                <w:sz w:val="14"/>
              </w:rPr>
            </w:pPr>
            <w:bookmarkStart w:id="244" w:name="_Toc336337958"/>
            <w:bookmarkStart w:id="245" w:name="_Toc353375758"/>
            <w:r w:rsidRPr="00BD7CEA">
              <w:rPr>
                <w:rFonts w:ascii="Tahoma" w:hAnsi="Tahoma" w:cs="Tahoma"/>
                <w:sz w:val="14"/>
              </w:rPr>
              <w:t>Exchange Server Enterprise</w:t>
            </w:r>
            <w:bookmarkEnd w:id="244"/>
            <w:r w:rsidRPr="00BD7CEA">
              <w:rPr>
                <w:rFonts w:ascii="Tahoma" w:hAnsi="Tahoma" w:cs="Tahoma"/>
                <w:sz w:val="14"/>
              </w:rPr>
              <w:t xml:space="preserve"> 2013</w:t>
            </w:r>
            <w:bookmarkEnd w:id="245"/>
          </w:p>
        </w:tc>
        <w:tc>
          <w:tcPr>
            <w:tcW w:w="450" w:type="dxa"/>
            <w:tcBorders>
              <w:bottom w:val="single" w:sz="4" w:space="0" w:color="auto"/>
            </w:tcBorders>
            <w:shd w:val="clear" w:color="auto" w:fill="auto"/>
            <w:vAlign w:val="center"/>
          </w:tcPr>
          <w:p w:rsidR="001A63C6" w:rsidRPr="00BD7CEA" w:rsidRDefault="006E5080" w:rsidP="002E59B1">
            <w:pPr>
              <w:pStyle w:val="TableText"/>
              <w:widowControl w:val="0"/>
              <w:rPr>
                <w:b/>
                <w:color w:val="0000FF"/>
                <w:sz w:val="13"/>
                <w:szCs w:val="13"/>
                <w:u w:val="single"/>
              </w:rPr>
            </w:pPr>
            <w:hyperlink w:anchor="_52_Exchange_Server" w:history="1">
              <w:r w:rsidR="00955428" w:rsidRPr="00BD7CEA">
                <w:rPr>
                  <w:rStyle w:val="Hyperlink"/>
                  <w:b/>
                  <w:sz w:val="13"/>
                  <w:szCs w:val="13"/>
                </w:rPr>
                <w:t>52</w:t>
              </w:r>
            </w:hyperlink>
            <w:hyperlink w:anchor="_49_Exchange_Server" w:history="1"/>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spacing w:before="80"/>
              <w:rPr>
                <w:rFonts w:ascii="Tahoma" w:hAnsi="Tahoma" w:cs="Tahoma"/>
                <w:sz w:val="13"/>
              </w:rPr>
            </w:pPr>
            <w:r w:rsidRPr="00BD7CEA">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50</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125</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100</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75</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75</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50</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P</w:t>
            </w:r>
          </w:p>
        </w:tc>
        <w:tc>
          <w:tcPr>
            <w:tcW w:w="450" w:type="dxa"/>
            <w:tcBorders>
              <w:bottom w:val="single" w:sz="4" w:space="0" w:color="auto"/>
            </w:tcBorders>
            <w:shd w:val="clear" w:color="auto" w:fill="auto"/>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w:t>
            </w: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r>
      <w:tr w:rsidR="00EF228F" w:rsidRPr="00BD7CEA" w:rsidTr="006B1F3F">
        <w:trPr>
          <w:trHeight w:val="145"/>
        </w:trPr>
        <w:tc>
          <w:tcPr>
            <w:tcW w:w="2734" w:type="dxa"/>
            <w:gridSpan w:val="2"/>
            <w:tcBorders>
              <w:bottom w:val="single" w:sz="4" w:space="0" w:color="auto"/>
            </w:tcBorders>
            <w:shd w:val="clear" w:color="auto" w:fill="FABF8F"/>
          </w:tcPr>
          <w:p w:rsidR="001A63C6" w:rsidRPr="00BD7CEA" w:rsidRDefault="001A63C6" w:rsidP="001A63C6">
            <w:pPr>
              <w:pStyle w:val="ProductNames"/>
              <w:rPr>
                <w:rFonts w:ascii="Tahoma" w:hAnsi="Tahoma" w:cs="Tahoma"/>
                <w:sz w:val="14"/>
              </w:rPr>
            </w:pPr>
            <w:bookmarkStart w:id="246" w:name="_Toc336337959"/>
            <w:bookmarkStart w:id="247" w:name="_Toc353375759"/>
            <w:r w:rsidRPr="00BD7CEA">
              <w:rPr>
                <w:rFonts w:ascii="Tahoma" w:hAnsi="Tahoma" w:cs="Tahoma"/>
                <w:sz w:val="14"/>
              </w:rPr>
              <w:t>Exchange Server Standard</w:t>
            </w:r>
            <w:bookmarkEnd w:id="246"/>
            <w:r w:rsidRPr="00BD7CEA">
              <w:rPr>
                <w:rFonts w:ascii="Tahoma" w:hAnsi="Tahoma" w:cs="Tahoma"/>
                <w:sz w:val="14"/>
              </w:rPr>
              <w:t xml:space="preserve"> 2013</w:t>
            </w:r>
            <w:bookmarkEnd w:id="247"/>
          </w:p>
        </w:tc>
        <w:tc>
          <w:tcPr>
            <w:tcW w:w="450" w:type="dxa"/>
            <w:tcBorders>
              <w:bottom w:val="single" w:sz="4" w:space="0" w:color="auto"/>
            </w:tcBorders>
            <w:shd w:val="clear" w:color="auto" w:fill="FABF8F"/>
            <w:vAlign w:val="center"/>
          </w:tcPr>
          <w:p w:rsidR="001A63C6" w:rsidRPr="00BD7CEA" w:rsidRDefault="006E5080" w:rsidP="002E59B1">
            <w:pPr>
              <w:pStyle w:val="TableText"/>
              <w:widowControl w:val="0"/>
              <w:rPr>
                <w:b/>
                <w:color w:val="0000FF"/>
                <w:sz w:val="13"/>
                <w:szCs w:val="13"/>
                <w:u w:val="single"/>
              </w:rPr>
            </w:pPr>
            <w:hyperlink w:anchor="_52_Exchange_Server" w:history="1">
              <w:r w:rsidR="00EB357C" w:rsidRPr="00BD7CEA">
                <w:rPr>
                  <w:rStyle w:val="Hyperlink"/>
                  <w:b/>
                  <w:sz w:val="13"/>
                  <w:szCs w:val="13"/>
                </w:rPr>
                <w:t>52</w:t>
              </w:r>
            </w:hyperlink>
            <w:hyperlink w:anchor="_49_Exchange_Server" w:history="1"/>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spacing w:before="80"/>
              <w:rPr>
                <w:rFonts w:ascii="Tahoma" w:hAnsi="Tahoma" w:cs="Tahoma"/>
                <w:sz w:val="13"/>
              </w:rPr>
            </w:pPr>
            <w:r w:rsidRPr="00BD7CEA">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10</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25</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20</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15</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15</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10</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P</w:t>
            </w:r>
          </w:p>
        </w:tc>
        <w:tc>
          <w:tcPr>
            <w:tcW w:w="450" w:type="dxa"/>
            <w:tcBorders>
              <w:bottom w:val="single" w:sz="4" w:space="0" w:color="auto"/>
            </w:tcBorders>
            <w:shd w:val="clear" w:color="auto" w:fill="FABF8F"/>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w:t>
            </w:r>
          </w:p>
        </w:tc>
        <w:tc>
          <w:tcPr>
            <w:tcW w:w="54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r>
      <w:tr w:rsidR="00B33D0E" w:rsidRPr="00BD7CEA" w:rsidTr="006B1F3F">
        <w:trPr>
          <w:trHeight w:val="145"/>
        </w:trPr>
        <w:tc>
          <w:tcPr>
            <w:tcW w:w="2734" w:type="dxa"/>
            <w:gridSpan w:val="2"/>
            <w:tcBorders>
              <w:bottom w:val="single" w:sz="4" w:space="0" w:color="auto"/>
            </w:tcBorders>
            <w:shd w:val="clear" w:color="auto" w:fill="auto"/>
          </w:tcPr>
          <w:p w:rsidR="001A63C6" w:rsidRPr="00BD7CEA" w:rsidRDefault="001A63C6" w:rsidP="001A63C6">
            <w:pPr>
              <w:pStyle w:val="ProductNames"/>
              <w:rPr>
                <w:rFonts w:ascii="Tahoma" w:hAnsi="Tahoma" w:cs="Tahoma"/>
                <w:sz w:val="14"/>
              </w:rPr>
            </w:pPr>
            <w:bookmarkStart w:id="248" w:name="_Toc336337960"/>
            <w:bookmarkStart w:id="249" w:name="_Toc353375760"/>
            <w:r w:rsidRPr="00BD7CEA">
              <w:rPr>
                <w:rFonts w:ascii="Tahoma" w:hAnsi="Tahoma" w:cs="Tahoma"/>
                <w:sz w:val="14"/>
              </w:rPr>
              <w:t>Exchange Server 2007 Standard for Small Business</w:t>
            </w:r>
            <w:bookmarkEnd w:id="248"/>
            <w:bookmarkEnd w:id="249"/>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spacing w:before="120"/>
              <w:rPr>
                <w:rFonts w:ascii="Tahoma" w:hAnsi="Tahoma" w:cs="Tahoma"/>
                <w:sz w:val="13"/>
              </w:rPr>
            </w:pPr>
            <w:r w:rsidRPr="00BD7CEA">
              <w:rPr>
                <w:rFonts w:ascii="Tahoma" w:hAnsi="Tahoma" w:cs="Tahoma"/>
                <w:sz w:val="13"/>
              </w:rPr>
              <w:t>10/09</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10</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P</w:t>
            </w:r>
          </w:p>
        </w:tc>
        <w:tc>
          <w:tcPr>
            <w:tcW w:w="450" w:type="dxa"/>
            <w:tcBorders>
              <w:bottom w:val="single" w:sz="4" w:space="0" w:color="auto"/>
            </w:tcBorders>
            <w:shd w:val="clear" w:color="auto" w:fill="auto"/>
          </w:tcPr>
          <w:p w:rsidR="001A63C6" w:rsidRPr="00BD7CEA"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r>
      <w:tr w:rsidR="00EF228F" w:rsidRPr="00BD7CEA" w:rsidTr="006B1F3F">
        <w:trPr>
          <w:trHeight w:val="145"/>
        </w:trPr>
        <w:tc>
          <w:tcPr>
            <w:tcW w:w="2734" w:type="dxa"/>
            <w:gridSpan w:val="2"/>
            <w:tcBorders>
              <w:bottom w:val="single" w:sz="4" w:space="0" w:color="auto"/>
            </w:tcBorders>
            <w:shd w:val="clear" w:color="auto" w:fill="FABF8F"/>
          </w:tcPr>
          <w:p w:rsidR="001A63C6" w:rsidRPr="00BD7CEA" w:rsidRDefault="001A63C6" w:rsidP="001A63C6">
            <w:pPr>
              <w:pStyle w:val="ProductNames"/>
              <w:rPr>
                <w:rFonts w:ascii="Tahoma" w:hAnsi="Tahoma" w:cs="Tahoma"/>
                <w:sz w:val="14"/>
              </w:rPr>
            </w:pPr>
            <w:bookmarkStart w:id="250" w:name="_Toc336337961"/>
            <w:bookmarkStart w:id="251" w:name="_Toc353375761"/>
            <w:r w:rsidRPr="00BD7CEA">
              <w:rPr>
                <w:rFonts w:ascii="Tahoma" w:hAnsi="Tahoma" w:cs="Tahoma"/>
                <w:sz w:val="14"/>
              </w:rPr>
              <w:t>CAL per Exchange Server 2007 Standard for Small Business</w:t>
            </w:r>
            <w:bookmarkEnd w:id="250"/>
            <w:bookmarkEnd w:id="251"/>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spacing w:before="120"/>
              <w:rPr>
                <w:rFonts w:ascii="Tahoma" w:hAnsi="Tahoma" w:cs="Tahoma"/>
                <w:sz w:val="13"/>
              </w:rPr>
            </w:pPr>
            <w:r w:rsidRPr="00BD7CEA">
              <w:rPr>
                <w:rFonts w:ascii="Tahoma" w:hAnsi="Tahoma" w:cs="Tahoma"/>
                <w:sz w:val="13"/>
              </w:rPr>
              <w:t>11/09</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P</w:t>
            </w:r>
          </w:p>
        </w:tc>
        <w:tc>
          <w:tcPr>
            <w:tcW w:w="450" w:type="dxa"/>
            <w:tcBorders>
              <w:bottom w:val="single" w:sz="4" w:space="0" w:color="auto"/>
            </w:tcBorders>
            <w:shd w:val="clear" w:color="auto" w:fill="FABF8F"/>
          </w:tcPr>
          <w:p w:rsidR="001A63C6" w:rsidRPr="00BD7CEA"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r>
      <w:tr w:rsidR="00B33D0E" w:rsidRPr="00BD7CEA" w:rsidTr="006B1F3F">
        <w:trPr>
          <w:trHeight w:val="145"/>
        </w:trPr>
        <w:tc>
          <w:tcPr>
            <w:tcW w:w="2734" w:type="dxa"/>
            <w:gridSpan w:val="2"/>
            <w:tcBorders>
              <w:bottom w:val="single" w:sz="4" w:space="0" w:color="auto"/>
            </w:tcBorders>
            <w:shd w:val="clear" w:color="auto" w:fill="auto"/>
          </w:tcPr>
          <w:p w:rsidR="001A63C6" w:rsidRPr="00BD7CEA" w:rsidRDefault="001A63C6" w:rsidP="001A63C6">
            <w:pPr>
              <w:pStyle w:val="ProductNames"/>
              <w:rPr>
                <w:rFonts w:ascii="Tahoma" w:hAnsi="Tahoma" w:cs="Tahoma"/>
                <w:sz w:val="14"/>
              </w:rPr>
            </w:pPr>
            <w:bookmarkStart w:id="252" w:name="_Toc336337963"/>
            <w:bookmarkStart w:id="253" w:name="_Toc353375762"/>
            <w:r w:rsidRPr="00BD7CEA">
              <w:rPr>
                <w:rFonts w:ascii="Tahoma" w:hAnsi="Tahoma" w:cs="Tahoma"/>
                <w:sz w:val="14"/>
              </w:rPr>
              <w:t>Exchange Server 2010 Standard CAL (Dispositivo e Utente)</w:t>
            </w:r>
            <w:bookmarkEnd w:id="252"/>
            <w:bookmarkEnd w:id="253"/>
          </w:p>
        </w:tc>
        <w:tc>
          <w:tcPr>
            <w:tcW w:w="450" w:type="dxa"/>
            <w:tcBorders>
              <w:bottom w:val="single" w:sz="4" w:space="0" w:color="auto"/>
            </w:tcBorders>
            <w:shd w:val="clear" w:color="auto" w:fill="auto"/>
            <w:vAlign w:val="center"/>
          </w:tcPr>
          <w:p w:rsidR="001A63C6" w:rsidRPr="00BD7CEA" w:rsidRDefault="006E5080" w:rsidP="002E59B1">
            <w:pPr>
              <w:pStyle w:val="TableText"/>
              <w:widowControl w:val="0"/>
              <w:rPr>
                <w:rStyle w:val="EndnoteReference"/>
                <w:color w:val="0000FF"/>
                <w:sz w:val="13"/>
                <w:szCs w:val="13"/>
                <w:u w:val="single"/>
              </w:rPr>
            </w:pPr>
            <w:hyperlink w:anchor="_53_Standard_CAL" w:history="1">
              <w:r w:rsidR="00955428" w:rsidRPr="00BD7CEA">
                <w:rPr>
                  <w:rStyle w:val="Hyperlink"/>
                  <w:b/>
                  <w:sz w:val="13"/>
                  <w:szCs w:val="13"/>
                </w:rPr>
                <w:t>53</w:t>
              </w:r>
            </w:hyperlink>
            <w:hyperlink w:anchor="_50_Exchange_Server" w:history="1"/>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spacing w:before="80"/>
              <w:rPr>
                <w:rFonts w:ascii="Tahoma" w:hAnsi="Tahoma" w:cs="Tahoma"/>
                <w:sz w:val="13"/>
              </w:rPr>
            </w:pPr>
            <w:r w:rsidRPr="00BD7CEA">
              <w:rPr>
                <w:rFonts w:ascii="Tahoma" w:hAnsi="Tahoma" w:cs="Tahoma"/>
                <w:sz w:val="13"/>
              </w:rPr>
              <w:t>11/09</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3</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P</w:t>
            </w:r>
          </w:p>
        </w:tc>
        <w:tc>
          <w:tcPr>
            <w:tcW w:w="450" w:type="dxa"/>
            <w:tcBorders>
              <w:bottom w:val="single" w:sz="4" w:space="0" w:color="auto"/>
            </w:tcBorders>
            <w:shd w:val="clear" w:color="auto" w:fill="auto"/>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AO, ST</w:t>
            </w: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r>
      <w:tr w:rsidR="00EF228F" w:rsidRPr="00BD7CEA" w:rsidDel="00515A83" w:rsidTr="006B1F3F">
        <w:trPr>
          <w:trHeight w:val="145"/>
        </w:trPr>
        <w:tc>
          <w:tcPr>
            <w:tcW w:w="2734" w:type="dxa"/>
            <w:gridSpan w:val="2"/>
            <w:tcBorders>
              <w:bottom w:val="single" w:sz="4" w:space="0" w:color="auto"/>
            </w:tcBorders>
            <w:shd w:val="clear" w:color="auto" w:fill="FABF8F"/>
          </w:tcPr>
          <w:p w:rsidR="001A63C6" w:rsidRPr="00BD7CEA" w:rsidDel="00515A83" w:rsidRDefault="001A63C6" w:rsidP="001A63C6">
            <w:pPr>
              <w:pStyle w:val="ProductNames"/>
              <w:rPr>
                <w:rFonts w:ascii="Tahoma" w:hAnsi="Tahoma" w:cs="Tahoma"/>
                <w:sz w:val="14"/>
              </w:rPr>
            </w:pPr>
            <w:bookmarkStart w:id="254" w:name="_Toc336337965"/>
            <w:bookmarkStart w:id="255" w:name="_Toc353375763"/>
            <w:r w:rsidRPr="00BD7CEA">
              <w:rPr>
                <w:rFonts w:ascii="Tahoma" w:hAnsi="Tahoma" w:cs="Tahoma"/>
                <w:sz w:val="14"/>
              </w:rPr>
              <w:t>Forefront Endpoint Protection</w:t>
            </w:r>
            <w:bookmarkEnd w:id="254"/>
            <w:bookmarkEnd w:id="255"/>
          </w:p>
        </w:tc>
        <w:tc>
          <w:tcPr>
            <w:tcW w:w="450" w:type="dxa"/>
            <w:tcBorders>
              <w:bottom w:val="single" w:sz="4" w:space="0" w:color="auto"/>
            </w:tcBorders>
            <w:shd w:val="clear" w:color="auto" w:fill="FABF8F"/>
            <w:vAlign w:val="center"/>
          </w:tcPr>
          <w:p w:rsidR="001A63C6" w:rsidRPr="00BD7CEA" w:rsidDel="00515A83" w:rsidRDefault="006E5080" w:rsidP="002E59B1">
            <w:pPr>
              <w:pStyle w:val="TableText"/>
              <w:widowControl w:val="0"/>
              <w:rPr>
                <w:rStyle w:val="EndnoteReference"/>
                <w:color w:val="000000"/>
                <w:sz w:val="13"/>
                <w:szCs w:val="13"/>
                <w:u w:val="single"/>
              </w:rPr>
            </w:pPr>
            <w:hyperlink w:anchor="_54_Forefront_Endpoint" w:history="1">
              <w:r w:rsidR="00955428" w:rsidRPr="00BD7CEA">
                <w:rPr>
                  <w:rStyle w:val="Hyperlink"/>
                  <w:b/>
                  <w:sz w:val="13"/>
                  <w:szCs w:val="13"/>
                </w:rPr>
                <w:t>54</w:t>
              </w:r>
            </w:hyperlink>
          </w:p>
        </w:tc>
        <w:tc>
          <w:tcPr>
            <w:tcW w:w="450" w:type="dxa"/>
            <w:tcBorders>
              <w:bottom w:val="single" w:sz="4" w:space="0" w:color="auto"/>
            </w:tcBorders>
            <w:shd w:val="clear" w:color="auto" w:fill="FABF8F"/>
            <w:vAlign w:val="center"/>
          </w:tcPr>
          <w:p w:rsidR="001A63C6" w:rsidRPr="00BD7CEA" w:rsidDel="00515A83"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D7CEA" w:rsidDel="00515A83"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BD7CEA" w:rsidDel="00515A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Del="00515A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Del="00515A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Del="00515A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Del="00515A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Del="00515A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Del="00515A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D7CEA" w:rsidDel="00515A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BD7CEA" w:rsidDel="00515A83" w:rsidRDefault="001A63C6" w:rsidP="001A63C6">
            <w:pPr>
              <w:pStyle w:val="TableText"/>
              <w:widowControl w:val="0"/>
              <w:rPr>
                <w:rFonts w:ascii="Tahoma" w:hAnsi="Tahoma" w:cs="Tahoma"/>
                <w:sz w:val="13"/>
              </w:rPr>
            </w:pPr>
          </w:p>
        </w:tc>
      </w:tr>
      <w:tr w:rsidR="00B33D0E" w:rsidRPr="00BD7CEA" w:rsidTr="006B1F3F">
        <w:trPr>
          <w:trHeight w:val="145"/>
        </w:trPr>
        <w:tc>
          <w:tcPr>
            <w:tcW w:w="2734" w:type="dxa"/>
            <w:gridSpan w:val="2"/>
            <w:tcBorders>
              <w:bottom w:val="single" w:sz="4" w:space="0" w:color="auto"/>
            </w:tcBorders>
            <w:shd w:val="clear" w:color="auto" w:fill="auto"/>
          </w:tcPr>
          <w:p w:rsidR="001A63C6" w:rsidRPr="007B74B7" w:rsidRDefault="001A63C6" w:rsidP="001A63C6">
            <w:pPr>
              <w:pStyle w:val="ProductNames"/>
              <w:rPr>
                <w:rFonts w:ascii="Tahoma" w:hAnsi="Tahoma" w:cs="Tahoma"/>
                <w:sz w:val="14"/>
                <w:lang w:val="it-IT"/>
              </w:rPr>
            </w:pPr>
            <w:bookmarkStart w:id="256" w:name="_Toc336337966"/>
            <w:bookmarkStart w:id="257" w:name="_Toc353375764"/>
            <w:r w:rsidRPr="007B74B7">
              <w:rPr>
                <w:rFonts w:ascii="Tahoma" w:hAnsi="Tahoma" w:cs="Tahoma"/>
                <w:sz w:val="14"/>
                <w:lang w:val="it-IT"/>
              </w:rPr>
              <w:t>CAL per Forefront Identity Manager 2010 R2 (solo Utente)</w:t>
            </w:r>
            <w:bookmarkEnd w:id="256"/>
            <w:bookmarkEnd w:id="257"/>
          </w:p>
        </w:tc>
        <w:tc>
          <w:tcPr>
            <w:tcW w:w="450" w:type="dxa"/>
            <w:tcBorders>
              <w:bottom w:val="single" w:sz="4" w:space="0" w:color="auto"/>
            </w:tcBorders>
            <w:shd w:val="clear" w:color="auto" w:fill="auto"/>
            <w:vAlign w:val="center"/>
          </w:tcPr>
          <w:p w:rsidR="001A63C6" w:rsidRPr="00BD7CEA" w:rsidRDefault="006E5080" w:rsidP="002E59B1">
            <w:pPr>
              <w:pStyle w:val="TableText"/>
              <w:widowControl w:val="0"/>
              <w:rPr>
                <w:rStyle w:val="EndnoteReference"/>
                <w:color w:val="0000FF"/>
                <w:sz w:val="13"/>
                <w:szCs w:val="13"/>
                <w:u w:val="single"/>
              </w:rPr>
            </w:pPr>
            <w:hyperlink w:anchor="_54_Forefront_Identity" w:history="1">
              <w:r w:rsidR="00955428" w:rsidRPr="00BD7CEA">
                <w:rPr>
                  <w:rStyle w:val="Hyperlink"/>
                  <w:b/>
                  <w:sz w:val="13"/>
                  <w:szCs w:val="13"/>
                </w:rPr>
                <w:t>55</w:t>
              </w:r>
            </w:hyperlink>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spacing w:before="80"/>
              <w:rPr>
                <w:rFonts w:ascii="Tahoma" w:hAnsi="Tahoma" w:cs="Tahoma"/>
                <w:sz w:val="13"/>
              </w:rPr>
            </w:pPr>
            <w:r w:rsidRPr="00BD7CEA">
              <w:rPr>
                <w:rFonts w:ascii="Tahoma" w:hAnsi="Tahoma" w:cs="Tahoma"/>
                <w:sz w:val="13"/>
              </w:rPr>
              <w:t>07/10</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SRV</w:t>
            </w:r>
          </w:p>
        </w:tc>
        <w:tc>
          <w:tcPr>
            <w:tcW w:w="360" w:type="dxa"/>
            <w:tcBorders>
              <w:left w:val="single" w:sz="18" w:space="0" w:color="auto"/>
              <w:bottom w:val="single" w:sz="4" w:space="0" w:color="auto"/>
            </w:tcBorders>
            <w:shd w:val="clear" w:color="auto" w:fill="auto"/>
            <w:vAlign w:val="bottom"/>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sz w:val="13"/>
                <w:szCs w:val="13"/>
              </w:rPr>
              <w:t>1</w:t>
            </w:r>
          </w:p>
        </w:tc>
        <w:tc>
          <w:tcPr>
            <w:tcW w:w="450" w:type="dxa"/>
            <w:tcBorders>
              <w:bottom w:val="single" w:sz="4" w:space="0" w:color="auto"/>
            </w:tcBorders>
            <w:shd w:val="clear" w:color="auto" w:fill="auto"/>
            <w:vAlign w:val="bottom"/>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sz w:val="13"/>
                <w:szCs w:val="13"/>
              </w:rPr>
              <w:t>3</w:t>
            </w:r>
          </w:p>
        </w:tc>
        <w:tc>
          <w:tcPr>
            <w:tcW w:w="450" w:type="dxa"/>
            <w:tcBorders>
              <w:bottom w:val="single" w:sz="4" w:space="0" w:color="auto"/>
            </w:tcBorders>
            <w:shd w:val="clear" w:color="auto" w:fill="auto"/>
            <w:vAlign w:val="bottom"/>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sz w:val="13"/>
                <w:szCs w:val="13"/>
              </w:rPr>
              <w:t>2</w:t>
            </w:r>
          </w:p>
        </w:tc>
        <w:tc>
          <w:tcPr>
            <w:tcW w:w="450" w:type="dxa"/>
            <w:tcBorders>
              <w:bottom w:val="single" w:sz="4" w:space="0" w:color="auto"/>
            </w:tcBorders>
            <w:shd w:val="clear" w:color="auto" w:fill="auto"/>
            <w:vAlign w:val="bottom"/>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sz w:val="13"/>
                <w:szCs w:val="13"/>
              </w:rPr>
              <w:t>2</w:t>
            </w:r>
          </w:p>
        </w:tc>
        <w:tc>
          <w:tcPr>
            <w:tcW w:w="450" w:type="dxa"/>
            <w:tcBorders>
              <w:bottom w:val="single" w:sz="4" w:space="0" w:color="auto"/>
            </w:tcBorders>
            <w:shd w:val="clear" w:color="auto" w:fill="auto"/>
            <w:vAlign w:val="bottom"/>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sz w:val="13"/>
                <w:szCs w:val="13"/>
              </w:rPr>
              <w:t>2</w:t>
            </w:r>
          </w:p>
        </w:tc>
        <w:tc>
          <w:tcPr>
            <w:tcW w:w="450" w:type="dxa"/>
            <w:tcBorders>
              <w:bottom w:val="single" w:sz="4" w:space="0" w:color="auto"/>
            </w:tcBorders>
            <w:shd w:val="clear" w:color="auto" w:fill="auto"/>
            <w:vAlign w:val="bottom"/>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sz w:val="13"/>
                <w:szCs w:val="13"/>
              </w:rPr>
              <w:t>1</w:t>
            </w:r>
          </w:p>
        </w:tc>
        <w:tc>
          <w:tcPr>
            <w:tcW w:w="450" w:type="dxa"/>
            <w:tcBorders>
              <w:bottom w:val="single" w:sz="4" w:space="0" w:color="auto"/>
            </w:tcBorders>
            <w:shd w:val="clear" w:color="auto" w:fill="auto"/>
            <w:vAlign w:val="bottom"/>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bottom"/>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 ST</w:t>
            </w: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r>
      <w:tr w:rsidR="00EF228F" w:rsidRPr="00BD7CEA" w:rsidTr="006B1F3F">
        <w:trPr>
          <w:trHeight w:val="145"/>
        </w:trPr>
        <w:tc>
          <w:tcPr>
            <w:tcW w:w="2734" w:type="dxa"/>
            <w:gridSpan w:val="2"/>
            <w:tcBorders>
              <w:bottom w:val="single" w:sz="4" w:space="0" w:color="auto"/>
            </w:tcBorders>
            <w:shd w:val="clear" w:color="auto" w:fill="FABF8F"/>
          </w:tcPr>
          <w:p w:rsidR="001A63C6" w:rsidRPr="00BD7CEA" w:rsidRDefault="001A63C6" w:rsidP="001A63C6">
            <w:pPr>
              <w:pStyle w:val="ProductNames"/>
              <w:rPr>
                <w:rFonts w:ascii="Tahoma" w:hAnsi="Tahoma" w:cs="Tahoma"/>
                <w:sz w:val="14"/>
              </w:rPr>
            </w:pPr>
            <w:bookmarkStart w:id="258" w:name="_Toc336337967"/>
            <w:bookmarkStart w:id="259" w:name="_Toc353375765"/>
            <w:r w:rsidRPr="00BD7CEA">
              <w:rPr>
                <w:rFonts w:ascii="Tahoma" w:hAnsi="Tahoma" w:cs="Tahoma"/>
                <w:sz w:val="14"/>
              </w:rPr>
              <w:t>External Connector per Forefront Identity Manager 2010 R2</w:t>
            </w:r>
            <w:bookmarkEnd w:id="258"/>
            <w:bookmarkEnd w:id="259"/>
          </w:p>
        </w:tc>
        <w:tc>
          <w:tcPr>
            <w:tcW w:w="450" w:type="dxa"/>
            <w:tcBorders>
              <w:bottom w:val="single" w:sz="4" w:space="0" w:color="auto"/>
            </w:tcBorders>
            <w:shd w:val="clear" w:color="auto" w:fill="FABF8F"/>
            <w:vAlign w:val="center"/>
          </w:tcPr>
          <w:p w:rsidR="001A63C6" w:rsidRPr="00BD7CEA" w:rsidRDefault="006E5080" w:rsidP="002E59B1">
            <w:pPr>
              <w:pStyle w:val="TableText"/>
              <w:widowControl w:val="0"/>
              <w:rPr>
                <w:rStyle w:val="EndnoteReference"/>
                <w:color w:val="000000"/>
                <w:sz w:val="13"/>
                <w:szCs w:val="13"/>
                <w:u w:val="single"/>
              </w:rPr>
            </w:pPr>
            <w:hyperlink w:anchor="_54_Forefront_Identity" w:history="1">
              <w:r w:rsidR="00EB357C" w:rsidRPr="00BD7CEA">
                <w:rPr>
                  <w:rStyle w:val="Hyperlink"/>
                  <w:b/>
                  <w:sz w:val="13"/>
                  <w:szCs w:val="13"/>
                </w:rPr>
                <w:t>55</w:t>
              </w:r>
            </w:hyperlink>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spacing w:before="80"/>
              <w:rPr>
                <w:rFonts w:ascii="Tahoma" w:hAnsi="Tahoma" w:cs="Tahoma"/>
                <w:sz w:val="13"/>
              </w:rPr>
            </w:pPr>
            <w:r w:rsidRPr="00BD7CEA">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sz w:val="13"/>
                <w:szCs w:val="13"/>
              </w:rPr>
              <w:t>125</w:t>
            </w:r>
          </w:p>
        </w:tc>
        <w:tc>
          <w:tcPr>
            <w:tcW w:w="450" w:type="dxa"/>
            <w:tcBorders>
              <w:bottom w:val="single" w:sz="4" w:space="0" w:color="auto"/>
            </w:tcBorders>
            <w:shd w:val="clear" w:color="auto" w:fill="FABF8F"/>
            <w:vAlign w:val="bottom"/>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sz w:val="13"/>
                <w:szCs w:val="13"/>
              </w:rPr>
              <w:t>313</w:t>
            </w:r>
          </w:p>
        </w:tc>
        <w:tc>
          <w:tcPr>
            <w:tcW w:w="450" w:type="dxa"/>
            <w:tcBorders>
              <w:bottom w:val="single" w:sz="4" w:space="0" w:color="auto"/>
            </w:tcBorders>
            <w:shd w:val="clear" w:color="auto" w:fill="FABF8F"/>
            <w:vAlign w:val="bottom"/>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sz w:val="13"/>
                <w:szCs w:val="13"/>
              </w:rPr>
              <w:t>250</w:t>
            </w:r>
          </w:p>
        </w:tc>
        <w:tc>
          <w:tcPr>
            <w:tcW w:w="450" w:type="dxa"/>
            <w:tcBorders>
              <w:bottom w:val="single" w:sz="4" w:space="0" w:color="auto"/>
            </w:tcBorders>
            <w:shd w:val="clear" w:color="auto" w:fill="FABF8F"/>
            <w:vAlign w:val="bottom"/>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sz w:val="13"/>
                <w:szCs w:val="13"/>
              </w:rPr>
              <w:t>188</w:t>
            </w:r>
          </w:p>
        </w:tc>
        <w:tc>
          <w:tcPr>
            <w:tcW w:w="450" w:type="dxa"/>
            <w:tcBorders>
              <w:bottom w:val="single" w:sz="4" w:space="0" w:color="auto"/>
            </w:tcBorders>
            <w:shd w:val="clear" w:color="auto" w:fill="FABF8F"/>
            <w:vAlign w:val="bottom"/>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sz w:val="13"/>
                <w:szCs w:val="13"/>
              </w:rPr>
              <w:t>188</w:t>
            </w:r>
          </w:p>
        </w:tc>
        <w:tc>
          <w:tcPr>
            <w:tcW w:w="450" w:type="dxa"/>
            <w:tcBorders>
              <w:bottom w:val="single" w:sz="4" w:space="0" w:color="auto"/>
            </w:tcBorders>
            <w:shd w:val="clear" w:color="auto" w:fill="FABF8F"/>
            <w:vAlign w:val="bottom"/>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sz w:val="13"/>
                <w:szCs w:val="13"/>
              </w:rPr>
              <w:t>125</w:t>
            </w:r>
          </w:p>
        </w:tc>
        <w:tc>
          <w:tcPr>
            <w:tcW w:w="360" w:type="dxa"/>
            <w:tcBorders>
              <w:bottom w:val="single" w:sz="4" w:space="0" w:color="auto"/>
              <w:right w:val="single" w:sz="18" w:space="0" w:color="auto"/>
            </w:tcBorders>
            <w:shd w:val="clear" w:color="auto" w:fill="FABF8F"/>
            <w:vAlign w:val="bottom"/>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bottom"/>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sz w:val="13"/>
                <w:szCs w:val="13"/>
              </w:rPr>
              <w:t>125</w:t>
            </w:r>
          </w:p>
        </w:tc>
        <w:tc>
          <w:tcPr>
            <w:tcW w:w="450" w:type="dxa"/>
            <w:tcBorders>
              <w:bottom w:val="single" w:sz="4" w:space="0" w:color="auto"/>
            </w:tcBorders>
            <w:shd w:val="clear" w:color="auto" w:fill="FABF8F"/>
            <w:vAlign w:val="bottom"/>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bottom"/>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sz w:val="13"/>
                <w:szCs w:val="13"/>
              </w:rPr>
              <w:t>125</w:t>
            </w:r>
          </w:p>
        </w:tc>
        <w:tc>
          <w:tcPr>
            <w:tcW w:w="450" w:type="dxa"/>
            <w:tcBorders>
              <w:left w:val="single" w:sz="18" w:space="0" w:color="auto"/>
              <w:bottom w:val="single" w:sz="4" w:space="0" w:color="auto"/>
            </w:tcBorders>
            <w:shd w:val="clear" w:color="auto" w:fill="FABF8F"/>
            <w:vAlign w:val="bottom"/>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sz w:val="13"/>
                <w:szCs w:val="13"/>
              </w:rPr>
              <w:t>125</w:t>
            </w: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P</w:t>
            </w:r>
          </w:p>
        </w:tc>
        <w:tc>
          <w:tcPr>
            <w:tcW w:w="450" w:type="dxa"/>
            <w:tcBorders>
              <w:bottom w:val="single" w:sz="4" w:space="0" w:color="auto"/>
            </w:tcBorders>
            <w:shd w:val="clear" w:color="auto" w:fill="FABF8F"/>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w:t>
            </w:r>
          </w:p>
        </w:tc>
        <w:tc>
          <w:tcPr>
            <w:tcW w:w="54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r>
      <w:tr w:rsidR="00B33D0E" w:rsidRPr="00BD7CEA" w:rsidTr="006B1F3F">
        <w:trPr>
          <w:trHeight w:val="145"/>
        </w:trPr>
        <w:tc>
          <w:tcPr>
            <w:tcW w:w="2734" w:type="dxa"/>
            <w:gridSpan w:val="2"/>
            <w:tcBorders>
              <w:bottom w:val="single" w:sz="4" w:space="0" w:color="auto"/>
            </w:tcBorders>
            <w:shd w:val="clear" w:color="auto" w:fill="auto"/>
          </w:tcPr>
          <w:p w:rsidR="001A63C6" w:rsidRPr="00BD7CEA" w:rsidRDefault="001A63C6" w:rsidP="001A63C6">
            <w:pPr>
              <w:pStyle w:val="ProductNames"/>
              <w:rPr>
                <w:rFonts w:ascii="Tahoma" w:hAnsi="Tahoma" w:cs="Tahoma"/>
                <w:sz w:val="14"/>
              </w:rPr>
            </w:pPr>
            <w:bookmarkStart w:id="260" w:name="_Toc336337968"/>
            <w:bookmarkStart w:id="261" w:name="_Toc353375766"/>
            <w:r w:rsidRPr="00BD7CEA">
              <w:rPr>
                <w:rFonts w:ascii="Tahoma" w:hAnsi="Tahoma" w:cs="Tahoma"/>
                <w:sz w:val="14"/>
              </w:rPr>
              <w:t>Forefront Identity Manager 2010 R2 Server</w:t>
            </w:r>
            <w:bookmarkEnd w:id="260"/>
            <w:bookmarkEnd w:id="261"/>
            <w:r w:rsidRPr="00BD7CEA">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BD7CEA" w:rsidRDefault="006E5080" w:rsidP="002E59B1">
            <w:pPr>
              <w:pStyle w:val="TableText"/>
              <w:widowControl w:val="0"/>
              <w:rPr>
                <w:rStyle w:val="EndnoteReference"/>
                <w:color w:val="000000"/>
                <w:sz w:val="13"/>
                <w:szCs w:val="13"/>
                <w:u w:val="single"/>
              </w:rPr>
            </w:pPr>
            <w:hyperlink w:anchor="_54_Forefront_Identity" w:history="1">
              <w:r w:rsidR="00EB357C" w:rsidRPr="00BD7CEA">
                <w:rPr>
                  <w:rStyle w:val="Hyperlink"/>
                  <w:b/>
                  <w:sz w:val="13"/>
                  <w:szCs w:val="13"/>
                </w:rPr>
                <w:t>55</w:t>
              </w:r>
            </w:hyperlink>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spacing w:before="80"/>
              <w:rPr>
                <w:rFonts w:ascii="Tahoma" w:hAnsi="Tahoma" w:cs="Tahoma"/>
                <w:sz w:val="13"/>
              </w:rPr>
            </w:pPr>
            <w:r w:rsidRPr="00BD7CEA">
              <w:rPr>
                <w:rFonts w:ascii="Tahoma" w:hAnsi="Tahoma" w:cs="Tahoma"/>
                <w:sz w:val="13"/>
              </w:rPr>
              <w:t>07/10</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SRV</w:t>
            </w:r>
          </w:p>
        </w:tc>
        <w:tc>
          <w:tcPr>
            <w:tcW w:w="360" w:type="dxa"/>
            <w:tcBorders>
              <w:left w:val="single" w:sz="18" w:space="0" w:color="auto"/>
              <w:bottom w:val="single" w:sz="4" w:space="0" w:color="auto"/>
            </w:tcBorders>
            <w:shd w:val="clear" w:color="auto" w:fill="auto"/>
            <w:vAlign w:val="bottom"/>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sz w:val="13"/>
                <w:szCs w:val="13"/>
              </w:rPr>
              <w:t>125</w:t>
            </w:r>
          </w:p>
        </w:tc>
        <w:tc>
          <w:tcPr>
            <w:tcW w:w="450" w:type="dxa"/>
            <w:tcBorders>
              <w:bottom w:val="single" w:sz="4" w:space="0" w:color="auto"/>
            </w:tcBorders>
            <w:shd w:val="clear" w:color="auto" w:fill="auto"/>
            <w:vAlign w:val="bottom"/>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sz w:val="13"/>
                <w:szCs w:val="13"/>
              </w:rPr>
              <w:t>313</w:t>
            </w:r>
          </w:p>
        </w:tc>
        <w:tc>
          <w:tcPr>
            <w:tcW w:w="450" w:type="dxa"/>
            <w:tcBorders>
              <w:bottom w:val="single" w:sz="4" w:space="0" w:color="auto"/>
            </w:tcBorders>
            <w:shd w:val="clear" w:color="auto" w:fill="auto"/>
            <w:vAlign w:val="bottom"/>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sz w:val="13"/>
                <w:szCs w:val="13"/>
              </w:rPr>
              <w:t>250</w:t>
            </w:r>
          </w:p>
        </w:tc>
        <w:tc>
          <w:tcPr>
            <w:tcW w:w="450" w:type="dxa"/>
            <w:tcBorders>
              <w:bottom w:val="single" w:sz="4" w:space="0" w:color="auto"/>
            </w:tcBorders>
            <w:shd w:val="clear" w:color="auto" w:fill="auto"/>
            <w:vAlign w:val="bottom"/>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sz w:val="13"/>
                <w:szCs w:val="13"/>
              </w:rPr>
              <w:t>188</w:t>
            </w:r>
          </w:p>
        </w:tc>
        <w:tc>
          <w:tcPr>
            <w:tcW w:w="450" w:type="dxa"/>
            <w:tcBorders>
              <w:bottom w:val="single" w:sz="4" w:space="0" w:color="auto"/>
            </w:tcBorders>
            <w:shd w:val="clear" w:color="auto" w:fill="auto"/>
            <w:vAlign w:val="bottom"/>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sz w:val="13"/>
                <w:szCs w:val="13"/>
              </w:rPr>
              <w:t>188</w:t>
            </w:r>
          </w:p>
        </w:tc>
        <w:tc>
          <w:tcPr>
            <w:tcW w:w="450" w:type="dxa"/>
            <w:tcBorders>
              <w:bottom w:val="single" w:sz="4" w:space="0" w:color="auto"/>
            </w:tcBorders>
            <w:shd w:val="clear" w:color="auto" w:fill="auto"/>
            <w:vAlign w:val="bottom"/>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sz w:val="13"/>
                <w:szCs w:val="13"/>
              </w:rPr>
              <w:t>125</w:t>
            </w:r>
          </w:p>
        </w:tc>
        <w:tc>
          <w:tcPr>
            <w:tcW w:w="360" w:type="dxa"/>
            <w:tcBorders>
              <w:bottom w:val="single" w:sz="4" w:space="0" w:color="auto"/>
              <w:right w:val="single" w:sz="18" w:space="0" w:color="auto"/>
            </w:tcBorders>
            <w:shd w:val="clear" w:color="auto" w:fill="auto"/>
            <w:vAlign w:val="bottom"/>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bottom"/>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sz w:val="13"/>
                <w:szCs w:val="13"/>
              </w:rPr>
              <w:t>125</w:t>
            </w:r>
          </w:p>
        </w:tc>
        <w:tc>
          <w:tcPr>
            <w:tcW w:w="450" w:type="dxa"/>
            <w:tcBorders>
              <w:bottom w:val="single" w:sz="4" w:space="0" w:color="auto"/>
            </w:tcBorders>
            <w:shd w:val="clear" w:color="auto" w:fill="auto"/>
            <w:vAlign w:val="bottom"/>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sz w:val="13"/>
                <w:szCs w:val="13"/>
              </w:rPr>
              <w:t>250</w:t>
            </w:r>
          </w:p>
        </w:tc>
        <w:tc>
          <w:tcPr>
            <w:tcW w:w="450" w:type="dxa"/>
            <w:tcBorders>
              <w:bottom w:val="single" w:sz="4" w:space="0" w:color="auto"/>
              <w:right w:val="single" w:sz="18" w:space="0" w:color="auto"/>
            </w:tcBorders>
            <w:shd w:val="clear" w:color="auto" w:fill="auto"/>
            <w:vAlign w:val="bottom"/>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sz w:val="13"/>
                <w:szCs w:val="13"/>
              </w:rPr>
              <w:t>125</w:t>
            </w:r>
          </w:p>
        </w:tc>
        <w:tc>
          <w:tcPr>
            <w:tcW w:w="450" w:type="dxa"/>
            <w:tcBorders>
              <w:left w:val="single" w:sz="18" w:space="0" w:color="auto"/>
              <w:bottom w:val="single" w:sz="4" w:space="0" w:color="auto"/>
            </w:tcBorders>
            <w:shd w:val="clear" w:color="auto" w:fill="auto"/>
            <w:vAlign w:val="bottom"/>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sz w:val="13"/>
                <w:szCs w:val="13"/>
              </w:rPr>
              <w:t>125</w:t>
            </w: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P</w:t>
            </w:r>
          </w:p>
        </w:tc>
        <w:tc>
          <w:tcPr>
            <w:tcW w:w="450" w:type="dxa"/>
            <w:tcBorders>
              <w:bottom w:val="single" w:sz="4" w:space="0" w:color="auto"/>
            </w:tcBorders>
            <w:shd w:val="clear" w:color="auto" w:fill="auto"/>
          </w:tcPr>
          <w:p w:rsidR="001A63C6" w:rsidRPr="00BD7CEA" w:rsidRDefault="001A63C6" w:rsidP="001A63C6">
            <w:pPr>
              <w:pStyle w:val="TableText"/>
              <w:widowControl w:val="0"/>
              <w:spacing w:before="120"/>
              <w:rPr>
                <w:rFonts w:ascii="Tahoma" w:hAnsi="Tahoma" w:cs="Tahoma"/>
                <w:sz w:val="13"/>
              </w:rPr>
            </w:pPr>
            <w:r w:rsidRPr="00BD7CEA">
              <w:rPr>
                <w:rFonts w:ascii="Tahoma" w:hAnsi="Tahoma" w:cs="Tahoma"/>
                <w:sz w:val="13"/>
              </w:rPr>
              <w:t>A</w:t>
            </w: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r>
      <w:tr w:rsidR="00EF228F" w:rsidRPr="00BD7CEA" w:rsidTr="006B1F3F">
        <w:trPr>
          <w:trHeight w:val="145"/>
        </w:trPr>
        <w:tc>
          <w:tcPr>
            <w:tcW w:w="2734" w:type="dxa"/>
            <w:gridSpan w:val="2"/>
            <w:tcBorders>
              <w:bottom w:val="single" w:sz="4" w:space="0" w:color="auto"/>
            </w:tcBorders>
            <w:shd w:val="clear" w:color="auto" w:fill="FABF8F"/>
          </w:tcPr>
          <w:p w:rsidR="001A63C6" w:rsidRPr="00BD7CEA" w:rsidRDefault="001A63C6" w:rsidP="001A63C6">
            <w:pPr>
              <w:pStyle w:val="Heading2"/>
              <w:ind w:left="0"/>
              <w:rPr>
                <w:rFonts w:ascii="Tahoma" w:hAnsi="Tahoma" w:cs="Tahoma"/>
                <w:b w:val="0"/>
              </w:rPr>
            </w:pPr>
            <w:bookmarkStart w:id="262" w:name="_Toc336337969"/>
            <w:bookmarkStart w:id="263" w:name="_Toc353375767"/>
            <w:r w:rsidRPr="00BD7CEA">
              <w:rPr>
                <w:rFonts w:ascii="Tahoma" w:hAnsi="Tahoma" w:cs="Tahoma"/>
                <w:b w:val="0"/>
                <w:sz w:val="14"/>
              </w:rPr>
              <w:t>Forefront Identity Manager 2010 R2</w:t>
            </w:r>
            <w:r w:rsidR="00FD7C0D">
              <w:rPr>
                <w:rFonts w:ascii="Tahoma" w:hAnsi="Tahoma" w:cs="Tahoma"/>
                <w:b w:val="0"/>
                <w:sz w:val="14"/>
              </w:rPr>
              <w:t xml:space="preserve"> – </w:t>
            </w:r>
            <w:r w:rsidRPr="00BD7CEA">
              <w:rPr>
                <w:rFonts w:ascii="Tahoma" w:hAnsi="Tahoma" w:cs="Tahoma"/>
                <w:b w:val="0"/>
                <w:sz w:val="14"/>
              </w:rPr>
              <w:t>Windows Live Edition</w:t>
            </w:r>
            <w:bookmarkEnd w:id="262"/>
            <w:bookmarkEnd w:id="263"/>
          </w:p>
        </w:tc>
        <w:tc>
          <w:tcPr>
            <w:tcW w:w="450" w:type="dxa"/>
            <w:tcBorders>
              <w:bottom w:val="single" w:sz="4" w:space="0" w:color="auto"/>
            </w:tcBorders>
            <w:shd w:val="clear" w:color="auto" w:fill="FABF8F"/>
            <w:vAlign w:val="center"/>
          </w:tcPr>
          <w:p w:rsidR="001A63C6" w:rsidRPr="00BD7CEA" w:rsidRDefault="006E5080" w:rsidP="002E59B1">
            <w:pPr>
              <w:pStyle w:val="TableText"/>
              <w:widowControl w:val="0"/>
              <w:rPr>
                <w:b/>
                <w:color w:val="0000FF"/>
                <w:sz w:val="13"/>
                <w:szCs w:val="13"/>
                <w:u w:val="single"/>
              </w:rPr>
            </w:pPr>
            <w:hyperlink w:anchor="_56_Forefront_Identity" w:history="1">
              <w:r w:rsidR="00955428" w:rsidRPr="00BD7CEA">
                <w:rPr>
                  <w:rStyle w:val="Hyperlink"/>
                  <w:b/>
                  <w:sz w:val="13"/>
                  <w:szCs w:val="13"/>
                </w:rPr>
                <w:t>56</w:t>
              </w:r>
            </w:hyperlink>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spacing w:before="120"/>
              <w:rPr>
                <w:rFonts w:ascii="Tahoma" w:hAnsi="Tahoma" w:cs="Tahoma"/>
                <w:sz w:val="13"/>
              </w:rPr>
            </w:pPr>
            <w:r w:rsidRPr="00BD7CEA">
              <w:rPr>
                <w:rFonts w:ascii="Tahoma" w:hAnsi="Tahoma" w:cs="Tahoma"/>
                <w:sz w:val="13"/>
              </w:rPr>
              <w:t>07/11</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rsidR="001A63C6" w:rsidRPr="00BD7CEA" w:rsidRDefault="001A63C6" w:rsidP="001A63C6">
            <w:pPr>
              <w:pStyle w:val="TableText"/>
              <w:widowControl w:val="0"/>
              <w:spacing w:before="100" w:beforeAutospacing="1" w:after="120"/>
              <w:rPr>
                <w:rFonts w:ascii="Tahoma" w:hAnsi="Tahoma" w:cs="Tahoma"/>
                <w:color w:val="000000"/>
                <w:sz w:val="13"/>
                <w:szCs w:val="13"/>
              </w:rPr>
            </w:pPr>
            <w:r w:rsidRPr="00BD7CEA">
              <w:rPr>
                <w:rFonts w:ascii="Tahoma" w:hAnsi="Tahoma" w:cs="Tahoma"/>
                <w:sz w:val="13"/>
                <w:szCs w:val="13"/>
              </w:rPr>
              <w:t>25</w:t>
            </w:r>
          </w:p>
        </w:tc>
        <w:tc>
          <w:tcPr>
            <w:tcW w:w="450" w:type="dxa"/>
            <w:tcBorders>
              <w:bottom w:val="single" w:sz="4" w:space="0" w:color="auto"/>
            </w:tcBorders>
            <w:shd w:val="clear" w:color="auto" w:fill="FABF8F"/>
            <w:vAlign w:val="bottom"/>
          </w:tcPr>
          <w:p w:rsidR="001A63C6" w:rsidRPr="00BD7CEA" w:rsidRDefault="001A63C6" w:rsidP="001A63C6">
            <w:pPr>
              <w:pStyle w:val="TableText"/>
              <w:widowControl w:val="0"/>
              <w:spacing w:before="100" w:beforeAutospacing="1" w:after="120"/>
              <w:rPr>
                <w:rFonts w:ascii="Tahoma" w:hAnsi="Tahoma" w:cs="Tahoma"/>
                <w:color w:val="000000"/>
                <w:sz w:val="13"/>
                <w:szCs w:val="13"/>
              </w:rPr>
            </w:pPr>
            <w:r w:rsidRPr="00BD7CEA">
              <w:rPr>
                <w:rFonts w:ascii="Tahoma" w:hAnsi="Tahoma" w:cs="Tahoma"/>
                <w:sz w:val="13"/>
                <w:szCs w:val="13"/>
              </w:rPr>
              <w:t>63</w:t>
            </w:r>
          </w:p>
        </w:tc>
        <w:tc>
          <w:tcPr>
            <w:tcW w:w="450" w:type="dxa"/>
            <w:tcBorders>
              <w:bottom w:val="single" w:sz="4" w:space="0" w:color="auto"/>
            </w:tcBorders>
            <w:shd w:val="clear" w:color="auto" w:fill="FABF8F"/>
            <w:vAlign w:val="bottom"/>
          </w:tcPr>
          <w:p w:rsidR="001A63C6" w:rsidRPr="00BD7CEA" w:rsidRDefault="001A63C6" w:rsidP="001A63C6">
            <w:pPr>
              <w:pStyle w:val="TableText"/>
              <w:widowControl w:val="0"/>
              <w:spacing w:before="100" w:beforeAutospacing="1" w:after="120"/>
              <w:rPr>
                <w:rFonts w:ascii="Tahoma" w:hAnsi="Tahoma" w:cs="Tahoma"/>
                <w:color w:val="000000"/>
                <w:sz w:val="13"/>
                <w:szCs w:val="13"/>
              </w:rPr>
            </w:pPr>
            <w:r w:rsidRPr="00BD7CEA">
              <w:rPr>
                <w:rFonts w:ascii="Tahoma" w:hAnsi="Tahoma" w:cs="Tahoma"/>
                <w:sz w:val="13"/>
                <w:szCs w:val="13"/>
              </w:rPr>
              <w:t>50</w:t>
            </w:r>
          </w:p>
        </w:tc>
        <w:tc>
          <w:tcPr>
            <w:tcW w:w="450" w:type="dxa"/>
            <w:tcBorders>
              <w:bottom w:val="single" w:sz="4" w:space="0" w:color="auto"/>
            </w:tcBorders>
            <w:shd w:val="clear" w:color="auto" w:fill="FABF8F"/>
            <w:vAlign w:val="bottom"/>
          </w:tcPr>
          <w:p w:rsidR="001A63C6" w:rsidRPr="00BD7CEA" w:rsidRDefault="001A63C6" w:rsidP="001A63C6">
            <w:pPr>
              <w:pStyle w:val="TableText"/>
              <w:widowControl w:val="0"/>
              <w:spacing w:before="100" w:beforeAutospacing="1" w:after="120"/>
              <w:rPr>
                <w:rFonts w:ascii="Tahoma" w:hAnsi="Tahoma" w:cs="Tahoma"/>
                <w:color w:val="000000"/>
                <w:sz w:val="13"/>
                <w:szCs w:val="13"/>
              </w:rPr>
            </w:pPr>
            <w:r w:rsidRPr="00BD7CEA">
              <w:rPr>
                <w:rFonts w:ascii="Tahoma" w:hAnsi="Tahoma" w:cs="Tahoma"/>
                <w:sz w:val="13"/>
                <w:szCs w:val="13"/>
              </w:rPr>
              <w:t>38</w:t>
            </w:r>
          </w:p>
        </w:tc>
        <w:tc>
          <w:tcPr>
            <w:tcW w:w="450" w:type="dxa"/>
            <w:tcBorders>
              <w:bottom w:val="single" w:sz="4" w:space="0" w:color="auto"/>
            </w:tcBorders>
            <w:shd w:val="clear" w:color="auto" w:fill="FABF8F"/>
            <w:vAlign w:val="bottom"/>
          </w:tcPr>
          <w:p w:rsidR="001A63C6" w:rsidRPr="00BD7CEA" w:rsidRDefault="001A63C6" w:rsidP="001A63C6">
            <w:pPr>
              <w:pStyle w:val="TableText"/>
              <w:widowControl w:val="0"/>
              <w:spacing w:before="100" w:beforeAutospacing="1" w:after="120"/>
              <w:rPr>
                <w:rFonts w:ascii="Tahoma" w:hAnsi="Tahoma" w:cs="Tahoma"/>
                <w:color w:val="000000"/>
                <w:sz w:val="13"/>
                <w:szCs w:val="13"/>
              </w:rPr>
            </w:pPr>
            <w:r w:rsidRPr="00BD7CEA">
              <w:rPr>
                <w:rFonts w:ascii="Tahoma" w:hAnsi="Tahoma" w:cs="Tahoma"/>
                <w:sz w:val="13"/>
                <w:szCs w:val="13"/>
              </w:rPr>
              <w:t>38</w:t>
            </w:r>
          </w:p>
        </w:tc>
        <w:tc>
          <w:tcPr>
            <w:tcW w:w="450" w:type="dxa"/>
            <w:tcBorders>
              <w:bottom w:val="single" w:sz="4" w:space="0" w:color="auto"/>
            </w:tcBorders>
            <w:shd w:val="clear" w:color="auto" w:fill="FABF8F"/>
            <w:vAlign w:val="bottom"/>
          </w:tcPr>
          <w:p w:rsidR="001A63C6" w:rsidRPr="00BD7CEA" w:rsidRDefault="001A63C6" w:rsidP="001A63C6">
            <w:pPr>
              <w:pStyle w:val="TableText"/>
              <w:widowControl w:val="0"/>
              <w:spacing w:before="100" w:beforeAutospacing="1" w:after="120"/>
              <w:rPr>
                <w:rFonts w:ascii="Tahoma" w:hAnsi="Tahoma" w:cs="Tahoma"/>
                <w:color w:val="000000"/>
                <w:sz w:val="13"/>
                <w:szCs w:val="13"/>
              </w:rPr>
            </w:pPr>
            <w:r w:rsidRPr="00BD7CEA">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bottom"/>
          </w:tcPr>
          <w:p w:rsidR="001A63C6" w:rsidRPr="00BD7CEA" w:rsidRDefault="001A63C6" w:rsidP="001A63C6">
            <w:pPr>
              <w:pStyle w:val="TableText"/>
              <w:widowControl w:val="0"/>
              <w:spacing w:before="100" w:beforeAutospacing="1" w:after="120"/>
              <w:rPr>
                <w:rFonts w:ascii="Tahoma" w:hAnsi="Tahoma" w:cs="Tahoma"/>
                <w:color w:val="000000"/>
                <w:sz w:val="13"/>
                <w:szCs w:val="13"/>
              </w:rPr>
            </w:pPr>
            <w:r w:rsidRPr="00BD7CEA">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bottom"/>
          </w:tcPr>
          <w:p w:rsidR="001A63C6" w:rsidRPr="00BD7CEA" w:rsidRDefault="001A63C6" w:rsidP="001A63C6">
            <w:pPr>
              <w:pStyle w:val="TableText"/>
              <w:widowControl w:val="0"/>
              <w:spacing w:before="100" w:beforeAutospacing="1" w:after="120"/>
              <w:rPr>
                <w:rFonts w:ascii="Tahoma" w:hAnsi="Tahoma" w:cs="Tahoma"/>
                <w:color w:val="000000"/>
                <w:sz w:val="13"/>
                <w:szCs w:val="13"/>
              </w:rPr>
            </w:pPr>
            <w:r w:rsidRPr="00BD7CEA">
              <w:rPr>
                <w:rFonts w:ascii="Tahoma" w:hAnsi="Tahoma" w:cs="Tahoma"/>
                <w:sz w:val="13"/>
                <w:szCs w:val="13"/>
              </w:rPr>
              <w:t>25</w:t>
            </w:r>
          </w:p>
        </w:tc>
        <w:tc>
          <w:tcPr>
            <w:tcW w:w="450" w:type="dxa"/>
            <w:tcBorders>
              <w:bottom w:val="single" w:sz="4" w:space="0" w:color="auto"/>
            </w:tcBorders>
            <w:shd w:val="clear" w:color="auto" w:fill="FABF8F"/>
            <w:vAlign w:val="bottom"/>
          </w:tcPr>
          <w:p w:rsidR="001A63C6" w:rsidRPr="00BD7CEA" w:rsidRDefault="001A63C6" w:rsidP="001A63C6">
            <w:pPr>
              <w:pStyle w:val="TableText"/>
              <w:widowControl w:val="0"/>
              <w:spacing w:before="100" w:beforeAutospacing="1" w:after="120"/>
              <w:rPr>
                <w:rFonts w:ascii="Tahoma" w:hAnsi="Tahoma" w:cs="Tahoma"/>
                <w:color w:val="000000"/>
                <w:sz w:val="13"/>
                <w:szCs w:val="13"/>
              </w:rPr>
            </w:pPr>
            <w:r w:rsidRPr="00BD7CEA">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bottom"/>
          </w:tcPr>
          <w:p w:rsidR="001A63C6" w:rsidRPr="00BD7CEA" w:rsidRDefault="001A63C6" w:rsidP="001A63C6">
            <w:pPr>
              <w:pStyle w:val="TableText"/>
              <w:widowControl w:val="0"/>
              <w:spacing w:before="100" w:beforeAutospacing="1" w:after="120"/>
              <w:rPr>
                <w:rFonts w:ascii="Tahoma" w:hAnsi="Tahoma" w:cs="Tahoma"/>
                <w:color w:val="000000"/>
                <w:sz w:val="13"/>
                <w:szCs w:val="13"/>
              </w:rPr>
            </w:pPr>
            <w:r w:rsidRPr="00BD7CEA">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bottom"/>
          </w:tcPr>
          <w:p w:rsidR="001A63C6" w:rsidRPr="00BD7CEA" w:rsidRDefault="001A63C6" w:rsidP="001A63C6">
            <w:pPr>
              <w:pStyle w:val="TableText"/>
              <w:widowControl w:val="0"/>
              <w:spacing w:before="100" w:beforeAutospacing="1" w:after="120"/>
              <w:rPr>
                <w:rFonts w:ascii="Tahoma" w:hAnsi="Tahoma" w:cs="Tahoma"/>
                <w:color w:val="000000"/>
                <w:sz w:val="13"/>
                <w:szCs w:val="13"/>
              </w:rPr>
            </w:pPr>
            <w:r w:rsidRPr="00BD7CEA">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P</w:t>
            </w:r>
          </w:p>
        </w:tc>
        <w:tc>
          <w:tcPr>
            <w:tcW w:w="450" w:type="dxa"/>
            <w:tcBorders>
              <w:bottom w:val="single" w:sz="4" w:space="0" w:color="auto"/>
            </w:tcBorders>
            <w:shd w:val="clear" w:color="auto" w:fill="FABF8F"/>
          </w:tcPr>
          <w:p w:rsidR="001A63C6" w:rsidRPr="00BD7CEA"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r>
      <w:tr w:rsidR="001A63C6" w:rsidRPr="00BD7CEA" w:rsidTr="007E466C">
        <w:trPr>
          <w:trHeight w:val="145"/>
        </w:trPr>
        <w:tc>
          <w:tcPr>
            <w:tcW w:w="2734" w:type="dxa"/>
            <w:gridSpan w:val="2"/>
            <w:tcBorders>
              <w:bottom w:val="single" w:sz="4" w:space="0" w:color="auto"/>
            </w:tcBorders>
            <w:shd w:val="clear" w:color="auto" w:fill="auto"/>
          </w:tcPr>
          <w:p w:rsidR="001A63C6" w:rsidRPr="00BD7CEA" w:rsidRDefault="001A63C6" w:rsidP="00095F5D">
            <w:pPr>
              <w:pStyle w:val="ProductNames"/>
              <w:keepNext/>
              <w:rPr>
                <w:rFonts w:ascii="Tahoma" w:hAnsi="Tahoma" w:cs="Tahoma"/>
                <w:sz w:val="14"/>
              </w:rPr>
            </w:pPr>
            <w:bookmarkStart w:id="264" w:name="_Toc336337971"/>
            <w:bookmarkStart w:id="265" w:name="_Toc353375768"/>
            <w:r w:rsidRPr="00BD7CEA">
              <w:rPr>
                <w:rFonts w:ascii="Tahoma" w:hAnsi="Tahoma" w:cs="Tahoma"/>
                <w:sz w:val="14"/>
              </w:rPr>
              <w:lastRenderedPageBreak/>
              <w:t>Forefront Protection 2010 for Exchange Server (SL per Dispositivo e Utente)</w:t>
            </w:r>
            <w:bookmarkEnd w:id="264"/>
            <w:bookmarkEnd w:id="265"/>
          </w:p>
        </w:tc>
        <w:tc>
          <w:tcPr>
            <w:tcW w:w="450" w:type="dxa"/>
            <w:tcBorders>
              <w:bottom w:val="single" w:sz="4" w:space="0" w:color="auto"/>
            </w:tcBorders>
            <w:shd w:val="clear" w:color="auto" w:fill="auto"/>
            <w:vAlign w:val="center"/>
          </w:tcPr>
          <w:p w:rsidR="001A63C6" w:rsidRPr="00BD7CEA" w:rsidRDefault="006E5080" w:rsidP="00095F5D">
            <w:pPr>
              <w:pStyle w:val="TableText"/>
              <w:keepNext/>
              <w:keepLines/>
              <w:widowControl w:val="0"/>
              <w:rPr>
                <w:b/>
                <w:color w:val="000000"/>
                <w:sz w:val="13"/>
                <w:szCs w:val="13"/>
                <w:u w:val="single"/>
              </w:rPr>
            </w:pPr>
            <w:hyperlink w:anchor="_57_Forefront_Protection" w:history="1">
              <w:r w:rsidR="00955428" w:rsidRPr="00BD7CEA">
                <w:rPr>
                  <w:rStyle w:val="Hyperlink"/>
                  <w:b/>
                  <w:sz w:val="13"/>
                  <w:szCs w:val="13"/>
                </w:rPr>
                <w:t>57</w:t>
              </w:r>
            </w:hyperlink>
          </w:p>
        </w:tc>
        <w:tc>
          <w:tcPr>
            <w:tcW w:w="450" w:type="dxa"/>
            <w:tcBorders>
              <w:bottom w:val="single" w:sz="4" w:space="0" w:color="auto"/>
            </w:tcBorders>
            <w:shd w:val="clear" w:color="auto" w:fill="auto"/>
            <w:vAlign w:val="center"/>
          </w:tcPr>
          <w:p w:rsidR="001A63C6" w:rsidRPr="00BD7CEA" w:rsidRDefault="001A63C6" w:rsidP="00095F5D">
            <w:pPr>
              <w:pStyle w:val="TableText"/>
              <w:keepNext/>
              <w:keepLines/>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D7CEA" w:rsidRDefault="001A63C6" w:rsidP="00095F5D">
            <w:pPr>
              <w:pStyle w:val="TableText"/>
              <w:keepNext/>
              <w:keepLines/>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BD7CEA" w:rsidRDefault="001A63C6" w:rsidP="00095F5D">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095F5D">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095F5D">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095F5D">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095F5D">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095F5D">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095F5D">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095F5D">
            <w:pPr>
              <w:pStyle w:val="TableText"/>
              <w:keepNext/>
              <w:keepLines/>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BD7CEA" w:rsidRDefault="001A63C6" w:rsidP="00095F5D">
            <w:pPr>
              <w:pStyle w:val="TableText"/>
              <w:keepNext/>
              <w:keepLines/>
              <w:widowControl w:val="0"/>
              <w:rPr>
                <w:rFonts w:ascii="Tahoma" w:hAnsi="Tahoma" w:cs="Tahoma"/>
                <w:sz w:val="13"/>
              </w:rPr>
            </w:pPr>
          </w:p>
        </w:tc>
      </w:tr>
      <w:tr w:rsidR="00B33D0E" w:rsidRPr="00BD7CEA" w:rsidTr="006B1F3F">
        <w:trPr>
          <w:trHeight w:val="145"/>
        </w:trPr>
        <w:tc>
          <w:tcPr>
            <w:tcW w:w="2734" w:type="dxa"/>
            <w:gridSpan w:val="2"/>
            <w:tcBorders>
              <w:bottom w:val="single" w:sz="4" w:space="0" w:color="auto"/>
            </w:tcBorders>
            <w:shd w:val="clear" w:color="auto" w:fill="FABF8F"/>
          </w:tcPr>
          <w:p w:rsidR="001A63C6" w:rsidRPr="00BD7CEA" w:rsidRDefault="001A63C6" w:rsidP="006356EC">
            <w:pPr>
              <w:pStyle w:val="ProductNames"/>
              <w:rPr>
                <w:rFonts w:ascii="Tahoma" w:hAnsi="Tahoma" w:cs="Tahoma"/>
                <w:sz w:val="14"/>
              </w:rPr>
            </w:pPr>
            <w:bookmarkStart w:id="266" w:name="_Toc336337973"/>
            <w:bookmarkStart w:id="267" w:name="_Toc353375769"/>
            <w:r w:rsidRPr="00BD7CEA">
              <w:rPr>
                <w:rFonts w:ascii="Tahoma" w:hAnsi="Tahoma" w:cs="Tahoma"/>
                <w:sz w:val="14"/>
              </w:rPr>
              <w:t>Forefront Protection Suite (SL</w:t>
            </w:r>
            <w:r w:rsidR="006356EC" w:rsidRPr="00BD7CEA">
              <w:rPr>
                <w:rFonts w:ascii="Tahoma" w:hAnsi="Tahoma" w:cs="Tahoma"/>
                <w:sz w:val="14"/>
              </w:rPr>
              <w:t> </w:t>
            </w:r>
            <w:r w:rsidRPr="00BD7CEA">
              <w:rPr>
                <w:rFonts w:ascii="Tahoma" w:hAnsi="Tahoma" w:cs="Tahoma"/>
                <w:sz w:val="14"/>
              </w:rPr>
              <w:t>per</w:t>
            </w:r>
            <w:r w:rsidR="006356EC" w:rsidRPr="00BD7CEA">
              <w:rPr>
                <w:rFonts w:ascii="Tahoma" w:hAnsi="Tahoma" w:cs="Tahoma"/>
                <w:sz w:val="14"/>
              </w:rPr>
              <w:t> </w:t>
            </w:r>
            <w:r w:rsidRPr="00BD7CEA">
              <w:rPr>
                <w:rFonts w:ascii="Tahoma" w:hAnsi="Tahoma" w:cs="Tahoma"/>
                <w:sz w:val="14"/>
              </w:rPr>
              <w:t>Dispositivo e Utente)</w:t>
            </w:r>
            <w:bookmarkEnd w:id="266"/>
            <w:bookmarkEnd w:id="267"/>
          </w:p>
        </w:tc>
        <w:tc>
          <w:tcPr>
            <w:tcW w:w="450" w:type="dxa"/>
            <w:tcBorders>
              <w:bottom w:val="single" w:sz="4" w:space="0" w:color="auto"/>
            </w:tcBorders>
            <w:shd w:val="clear" w:color="auto" w:fill="FABF8F"/>
            <w:vAlign w:val="center"/>
          </w:tcPr>
          <w:p w:rsidR="001A63C6" w:rsidRPr="00BD7CEA" w:rsidRDefault="006E5080" w:rsidP="002E59B1">
            <w:pPr>
              <w:pStyle w:val="TableText"/>
              <w:widowControl w:val="0"/>
              <w:rPr>
                <w:rStyle w:val="EndnoteReference"/>
                <w:color w:val="0000FF"/>
                <w:sz w:val="13"/>
                <w:szCs w:val="13"/>
                <w:u w:val="single"/>
              </w:rPr>
            </w:pPr>
            <w:hyperlink w:anchor="_58_Forefront_Protection" w:history="1">
              <w:r w:rsidR="00955428" w:rsidRPr="00BD7CEA">
                <w:rPr>
                  <w:rStyle w:val="Hyperlink"/>
                  <w:b/>
                  <w:sz w:val="13"/>
                  <w:szCs w:val="13"/>
                </w:rPr>
                <w:t>58</w:t>
              </w:r>
            </w:hyperlink>
          </w:p>
        </w:tc>
        <w:tc>
          <w:tcPr>
            <w:tcW w:w="450" w:type="dxa"/>
            <w:tcBorders>
              <w:bottom w:val="single" w:sz="4" w:space="0" w:color="auto"/>
            </w:tcBorders>
            <w:shd w:val="clear" w:color="auto" w:fill="FABF8F"/>
          </w:tcPr>
          <w:p w:rsidR="001A63C6" w:rsidRPr="00BD7CEA"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D7CEA"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r>
      <w:tr w:rsidR="00B33D0E" w:rsidRPr="00BD7CEA" w:rsidTr="006B1F3F">
        <w:trPr>
          <w:trHeight w:val="145"/>
        </w:trPr>
        <w:tc>
          <w:tcPr>
            <w:tcW w:w="2734" w:type="dxa"/>
            <w:gridSpan w:val="2"/>
            <w:tcBorders>
              <w:bottom w:val="single" w:sz="4" w:space="0" w:color="auto"/>
            </w:tcBorders>
            <w:shd w:val="clear" w:color="auto" w:fill="auto"/>
          </w:tcPr>
          <w:p w:rsidR="001A63C6" w:rsidRPr="00BD7CEA" w:rsidRDefault="001A63C6" w:rsidP="001A63C6">
            <w:pPr>
              <w:pStyle w:val="ProductNames"/>
              <w:rPr>
                <w:rFonts w:ascii="Tahoma" w:hAnsi="Tahoma" w:cs="Tahoma"/>
                <w:sz w:val="14"/>
              </w:rPr>
            </w:pPr>
            <w:bookmarkStart w:id="268" w:name="_Toc336337974"/>
            <w:bookmarkStart w:id="269" w:name="_Toc353375770"/>
            <w:r w:rsidRPr="00BD7CEA">
              <w:rPr>
                <w:rFonts w:ascii="Tahoma" w:hAnsi="Tahoma" w:cs="Tahoma"/>
                <w:sz w:val="14"/>
              </w:rPr>
              <w:t>Forefront Security for Office Communications Server (SL per Dispositivo e Utente)</w:t>
            </w:r>
            <w:bookmarkEnd w:id="268"/>
            <w:bookmarkEnd w:id="269"/>
          </w:p>
        </w:tc>
        <w:tc>
          <w:tcPr>
            <w:tcW w:w="450" w:type="dxa"/>
            <w:tcBorders>
              <w:bottom w:val="single" w:sz="4" w:space="0" w:color="auto"/>
            </w:tcBorders>
            <w:shd w:val="clear" w:color="auto" w:fill="auto"/>
            <w:vAlign w:val="center"/>
          </w:tcPr>
          <w:p w:rsidR="001A63C6" w:rsidRPr="00BD7CEA" w:rsidRDefault="006E5080" w:rsidP="002E59B1">
            <w:pPr>
              <w:pStyle w:val="TableText"/>
              <w:widowControl w:val="0"/>
              <w:rPr>
                <w:rStyle w:val="EndnoteReference"/>
                <w:rFonts w:cs="Tahoma"/>
                <w:color w:val="000000"/>
                <w:sz w:val="13"/>
                <w:szCs w:val="13"/>
                <w:u w:val="single"/>
              </w:rPr>
            </w:pPr>
            <w:hyperlink w:anchor="_59_Forefront_Security" w:history="1">
              <w:r w:rsidR="00955428" w:rsidRPr="00BD7CEA">
                <w:rPr>
                  <w:rStyle w:val="Hyperlink"/>
                  <w:b/>
                  <w:sz w:val="13"/>
                  <w:szCs w:val="13"/>
                </w:rPr>
                <w:t>59</w:t>
              </w:r>
            </w:hyperlink>
          </w:p>
        </w:tc>
        <w:tc>
          <w:tcPr>
            <w:tcW w:w="450" w:type="dxa"/>
            <w:tcBorders>
              <w:bottom w:val="single" w:sz="4" w:space="0" w:color="auto"/>
            </w:tcBorders>
            <w:shd w:val="clear" w:color="auto" w:fill="auto"/>
          </w:tcPr>
          <w:p w:rsidR="001A63C6" w:rsidRPr="00BD7CEA"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BD7CEA"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r>
      <w:tr w:rsidR="00EF228F" w:rsidRPr="00BD7CEA" w:rsidTr="006B1F3F">
        <w:trPr>
          <w:trHeight w:val="145"/>
        </w:trPr>
        <w:tc>
          <w:tcPr>
            <w:tcW w:w="2734" w:type="dxa"/>
            <w:gridSpan w:val="2"/>
            <w:tcBorders>
              <w:bottom w:val="single" w:sz="4" w:space="0" w:color="auto"/>
            </w:tcBorders>
            <w:shd w:val="clear" w:color="auto" w:fill="FABF8F"/>
          </w:tcPr>
          <w:p w:rsidR="001A63C6" w:rsidRPr="00BD7CEA" w:rsidRDefault="001A63C6" w:rsidP="001A63C6">
            <w:pPr>
              <w:pStyle w:val="ProductNames"/>
              <w:rPr>
                <w:rFonts w:ascii="Tahoma" w:hAnsi="Tahoma" w:cs="Tahoma"/>
                <w:sz w:val="14"/>
              </w:rPr>
            </w:pPr>
            <w:bookmarkStart w:id="270" w:name="_Toc336337976"/>
            <w:bookmarkStart w:id="271" w:name="_Toc353375771"/>
            <w:r w:rsidRPr="00BD7CEA">
              <w:rPr>
                <w:rFonts w:ascii="Tahoma" w:hAnsi="Tahoma" w:cs="Tahoma"/>
                <w:sz w:val="14"/>
              </w:rPr>
              <w:t>Forefront Protection 2010 for SharePoint (SL per Dispositivo e Utente)</w:t>
            </w:r>
            <w:bookmarkEnd w:id="270"/>
            <w:bookmarkEnd w:id="271"/>
          </w:p>
        </w:tc>
        <w:tc>
          <w:tcPr>
            <w:tcW w:w="450" w:type="dxa"/>
            <w:tcBorders>
              <w:bottom w:val="single" w:sz="4" w:space="0" w:color="auto"/>
            </w:tcBorders>
            <w:shd w:val="clear" w:color="auto" w:fill="FABF8F"/>
            <w:vAlign w:val="center"/>
          </w:tcPr>
          <w:p w:rsidR="001A63C6" w:rsidRPr="00BD7CEA" w:rsidRDefault="006E5080" w:rsidP="002E59B1">
            <w:pPr>
              <w:pStyle w:val="TableText"/>
              <w:widowControl w:val="0"/>
              <w:rPr>
                <w:rStyle w:val="EndnoteReference"/>
                <w:b w:val="0"/>
                <w:color w:val="000000"/>
                <w:sz w:val="13"/>
                <w:szCs w:val="13"/>
                <w:u w:val="single"/>
              </w:rPr>
            </w:pPr>
            <w:hyperlink w:anchor="_54_Forefront_Protection" w:history="1">
              <w:r w:rsidR="00955428" w:rsidRPr="00BD7CEA">
                <w:rPr>
                  <w:rStyle w:val="Hyperlink"/>
                  <w:b/>
                  <w:sz w:val="13"/>
                  <w:szCs w:val="13"/>
                </w:rPr>
                <w:t>57</w:t>
              </w:r>
            </w:hyperlink>
          </w:p>
        </w:tc>
        <w:tc>
          <w:tcPr>
            <w:tcW w:w="450" w:type="dxa"/>
            <w:tcBorders>
              <w:bottom w:val="single" w:sz="4" w:space="0" w:color="auto"/>
            </w:tcBorders>
            <w:shd w:val="clear" w:color="auto" w:fill="FABF8F"/>
          </w:tcPr>
          <w:p w:rsidR="001A63C6" w:rsidRPr="00BD7CEA"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D7CEA"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r>
      <w:tr w:rsidR="00B33D0E" w:rsidRPr="00BD7CEA" w:rsidTr="006B1F3F">
        <w:trPr>
          <w:trHeight w:val="145"/>
        </w:trPr>
        <w:tc>
          <w:tcPr>
            <w:tcW w:w="2734" w:type="dxa"/>
            <w:gridSpan w:val="2"/>
            <w:tcBorders>
              <w:bottom w:val="single" w:sz="4" w:space="0" w:color="auto"/>
            </w:tcBorders>
            <w:shd w:val="clear" w:color="auto" w:fill="auto"/>
          </w:tcPr>
          <w:p w:rsidR="001A63C6" w:rsidRPr="00BD7CEA" w:rsidRDefault="001A63C6" w:rsidP="001A63C6">
            <w:pPr>
              <w:pStyle w:val="ProductNames"/>
              <w:rPr>
                <w:rFonts w:ascii="Tahoma" w:hAnsi="Tahoma" w:cs="Tahoma"/>
                <w:sz w:val="14"/>
              </w:rPr>
            </w:pPr>
            <w:bookmarkStart w:id="272" w:name="_Toc336337977"/>
            <w:bookmarkStart w:id="273" w:name="_Toc353375772"/>
            <w:r w:rsidRPr="00BD7CEA">
              <w:rPr>
                <w:rFonts w:ascii="Tahoma" w:hAnsi="Tahoma" w:cs="Tahoma"/>
                <w:sz w:val="14"/>
              </w:rPr>
              <w:t>Forefront Protection 2010 for SharePoint per Siti Internet (SL Add-on)</w:t>
            </w:r>
            <w:bookmarkEnd w:id="272"/>
            <w:bookmarkEnd w:id="273"/>
          </w:p>
        </w:tc>
        <w:tc>
          <w:tcPr>
            <w:tcW w:w="450" w:type="dxa"/>
            <w:tcBorders>
              <w:bottom w:val="single" w:sz="4" w:space="0" w:color="auto"/>
            </w:tcBorders>
            <w:shd w:val="clear" w:color="auto" w:fill="auto"/>
            <w:vAlign w:val="center"/>
          </w:tcPr>
          <w:p w:rsidR="001A63C6" w:rsidRPr="00BD7CEA" w:rsidRDefault="006E5080" w:rsidP="002E59B1">
            <w:pPr>
              <w:pStyle w:val="TableText"/>
              <w:widowControl w:val="0"/>
              <w:rPr>
                <w:rStyle w:val="EndnoteReference"/>
                <w:b w:val="0"/>
                <w:color w:val="000000"/>
                <w:sz w:val="13"/>
                <w:szCs w:val="13"/>
                <w:u w:val="single"/>
              </w:rPr>
            </w:pPr>
            <w:hyperlink w:anchor="_54_Forefront_Protection" w:history="1">
              <w:r w:rsidR="00806FB0" w:rsidRPr="00BD7CEA">
                <w:rPr>
                  <w:rStyle w:val="Hyperlink"/>
                  <w:b/>
                  <w:sz w:val="13"/>
                  <w:szCs w:val="13"/>
                </w:rPr>
                <w:t>57</w:t>
              </w:r>
            </w:hyperlink>
          </w:p>
        </w:tc>
        <w:tc>
          <w:tcPr>
            <w:tcW w:w="450" w:type="dxa"/>
            <w:tcBorders>
              <w:bottom w:val="single" w:sz="4" w:space="0" w:color="auto"/>
            </w:tcBorders>
            <w:shd w:val="clear" w:color="auto" w:fill="auto"/>
          </w:tcPr>
          <w:p w:rsidR="001A63C6" w:rsidRPr="00BD7CEA" w:rsidRDefault="001A63C6" w:rsidP="001A63C6">
            <w:pPr>
              <w:pStyle w:val="TableText"/>
              <w:widowControl w:val="0"/>
              <w:spacing w:before="80"/>
              <w:rPr>
                <w:rFonts w:ascii="Tahoma" w:hAnsi="Tahoma" w:cs="Tahoma"/>
                <w:sz w:val="13"/>
              </w:rPr>
            </w:pPr>
            <w:r w:rsidRPr="00BD7CEA">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25 crediti</w:t>
            </w: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P</w:t>
            </w:r>
          </w:p>
        </w:tc>
        <w:tc>
          <w:tcPr>
            <w:tcW w:w="450" w:type="dxa"/>
            <w:tcBorders>
              <w:bottom w:val="single" w:sz="4" w:space="0" w:color="auto"/>
            </w:tcBorders>
            <w:shd w:val="clear" w:color="auto" w:fill="auto"/>
          </w:tcPr>
          <w:p w:rsidR="001A63C6" w:rsidRPr="00BD7CEA" w:rsidRDefault="001A63C6" w:rsidP="001A63C6">
            <w:pPr>
              <w:pStyle w:val="TableText"/>
              <w:widowControl w:val="0"/>
              <w:spacing w:before="120"/>
              <w:rPr>
                <w:rFonts w:ascii="Tahoma" w:hAnsi="Tahoma" w:cs="Tahoma"/>
                <w:sz w:val="13"/>
              </w:rPr>
            </w:pPr>
            <w:r w:rsidRPr="00BD7CEA">
              <w:rPr>
                <w:rFonts w:ascii="Tahoma" w:hAnsi="Tahoma" w:cs="Tahoma"/>
                <w:sz w:val="13"/>
              </w:rPr>
              <w:t>A</w:t>
            </w: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OV</w:t>
            </w:r>
          </w:p>
        </w:tc>
      </w:tr>
      <w:tr w:rsidR="00EF228F" w:rsidRPr="00BD7CEA" w:rsidTr="006B1F3F">
        <w:trPr>
          <w:trHeight w:val="145"/>
        </w:trPr>
        <w:tc>
          <w:tcPr>
            <w:tcW w:w="2734" w:type="dxa"/>
            <w:gridSpan w:val="2"/>
            <w:tcBorders>
              <w:bottom w:val="single" w:sz="4" w:space="0" w:color="auto"/>
            </w:tcBorders>
            <w:shd w:val="clear" w:color="auto" w:fill="FABF8F"/>
          </w:tcPr>
          <w:p w:rsidR="001A63C6" w:rsidRPr="00BD7CEA" w:rsidRDefault="001A63C6" w:rsidP="001A63C6">
            <w:pPr>
              <w:pStyle w:val="ProductNames"/>
              <w:rPr>
                <w:rFonts w:ascii="Tahoma" w:hAnsi="Tahoma" w:cs="Tahoma"/>
                <w:sz w:val="14"/>
              </w:rPr>
            </w:pPr>
            <w:bookmarkStart w:id="274" w:name="_Toc336337981"/>
            <w:bookmarkStart w:id="275" w:name="_Toc353375773"/>
            <w:r w:rsidRPr="00BD7CEA">
              <w:rPr>
                <w:rFonts w:ascii="Tahoma" w:hAnsi="Tahoma" w:cs="Tahoma"/>
                <w:sz w:val="14"/>
              </w:rPr>
              <w:t>Forefront Threat Management Gateway Web Protection Services</w:t>
            </w:r>
            <w:bookmarkEnd w:id="274"/>
            <w:bookmarkEnd w:id="275"/>
            <w:r w:rsidRPr="00BD7CEA">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BD7CEA" w:rsidRDefault="006E5080" w:rsidP="00EF228F">
            <w:pPr>
              <w:pStyle w:val="TableText"/>
              <w:widowControl w:val="0"/>
              <w:rPr>
                <w:rStyle w:val="EndnoteReference"/>
                <w:b w:val="0"/>
                <w:color w:val="0000FF"/>
                <w:sz w:val="13"/>
                <w:szCs w:val="13"/>
                <w:u w:val="single"/>
              </w:rPr>
            </w:pPr>
            <w:hyperlink w:anchor="_60_Forefront_Threat" w:history="1">
              <w:r w:rsidR="002E59B1" w:rsidRPr="00BD7CEA">
                <w:rPr>
                  <w:rStyle w:val="Hyperlink"/>
                  <w:b/>
                  <w:sz w:val="13"/>
                  <w:szCs w:val="13"/>
                </w:rPr>
                <w:t>60</w:t>
              </w:r>
            </w:hyperlink>
            <w:hyperlink w:anchor="_57_Forefront_Threat" w:history="1"/>
          </w:p>
        </w:tc>
        <w:tc>
          <w:tcPr>
            <w:tcW w:w="450" w:type="dxa"/>
            <w:tcBorders>
              <w:bottom w:val="single" w:sz="4" w:space="0" w:color="auto"/>
            </w:tcBorders>
            <w:shd w:val="clear" w:color="auto" w:fill="FABF8F"/>
          </w:tcPr>
          <w:p w:rsidR="001A63C6" w:rsidRPr="00BD7CEA"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D7CEA"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r>
      <w:tr w:rsidR="00B33D0E" w:rsidRPr="00BD7CEA" w:rsidTr="006B1F3F">
        <w:trPr>
          <w:trHeight w:val="145"/>
        </w:trPr>
        <w:tc>
          <w:tcPr>
            <w:tcW w:w="2734" w:type="dxa"/>
            <w:gridSpan w:val="2"/>
            <w:tcBorders>
              <w:bottom w:val="single" w:sz="4" w:space="0" w:color="auto"/>
            </w:tcBorders>
            <w:shd w:val="clear" w:color="auto" w:fill="auto"/>
          </w:tcPr>
          <w:p w:rsidR="001A63C6" w:rsidRPr="00BD7CEA" w:rsidRDefault="001A63C6" w:rsidP="006356EC">
            <w:pPr>
              <w:pStyle w:val="ProductNames"/>
              <w:rPr>
                <w:rFonts w:ascii="Tahoma" w:hAnsi="Tahoma" w:cs="Tahoma"/>
                <w:sz w:val="14"/>
              </w:rPr>
            </w:pPr>
            <w:bookmarkStart w:id="276" w:name="_Toc336337982"/>
            <w:bookmarkStart w:id="277" w:name="_Toc353375774"/>
            <w:r w:rsidRPr="00BD7CEA">
              <w:rPr>
                <w:rFonts w:ascii="Tahoma" w:hAnsi="Tahoma" w:cs="Tahoma"/>
                <w:sz w:val="14"/>
              </w:rPr>
              <w:t>Forefront Unified Access Gateway Server</w:t>
            </w:r>
            <w:r w:rsidR="006356EC" w:rsidRPr="00BD7CEA">
              <w:rPr>
                <w:rFonts w:ascii="Tahoma" w:hAnsi="Tahoma" w:cs="Tahoma"/>
                <w:sz w:val="14"/>
              </w:rPr>
              <w:t> </w:t>
            </w:r>
            <w:r w:rsidRPr="00BD7CEA">
              <w:rPr>
                <w:rFonts w:ascii="Tahoma" w:hAnsi="Tahoma" w:cs="Tahoma"/>
                <w:sz w:val="14"/>
              </w:rPr>
              <w:t>2010</w:t>
            </w:r>
            <w:bookmarkEnd w:id="276"/>
            <w:bookmarkEnd w:id="277"/>
          </w:p>
        </w:tc>
        <w:tc>
          <w:tcPr>
            <w:tcW w:w="450" w:type="dxa"/>
            <w:tcBorders>
              <w:bottom w:val="single" w:sz="4" w:space="0" w:color="auto"/>
            </w:tcBorders>
            <w:shd w:val="clear" w:color="auto" w:fill="auto"/>
            <w:vAlign w:val="center"/>
          </w:tcPr>
          <w:p w:rsidR="001A63C6" w:rsidRPr="00BD7CEA" w:rsidRDefault="006E5080" w:rsidP="002E59B1">
            <w:pPr>
              <w:pStyle w:val="TableText"/>
              <w:widowControl w:val="0"/>
              <w:rPr>
                <w:b/>
                <w:color w:val="000000"/>
                <w:sz w:val="13"/>
                <w:szCs w:val="13"/>
                <w:u w:val="single"/>
              </w:rPr>
            </w:pPr>
            <w:hyperlink w:anchor="_61_Forefront_Unified" w:history="1">
              <w:r w:rsidR="002E59B1" w:rsidRPr="00BD7CEA">
                <w:rPr>
                  <w:rStyle w:val="Hyperlink"/>
                  <w:b/>
                  <w:sz w:val="13"/>
                  <w:szCs w:val="13"/>
                </w:rPr>
                <w:t>61</w:t>
              </w:r>
            </w:hyperlink>
            <w:hyperlink w:anchor="Srv_52ForefrontUnifiedAccessGtwy2010" w:history="1"/>
          </w:p>
        </w:tc>
        <w:tc>
          <w:tcPr>
            <w:tcW w:w="450" w:type="dxa"/>
            <w:tcBorders>
              <w:bottom w:val="single" w:sz="4" w:space="0" w:color="auto"/>
            </w:tcBorders>
            <w:shd w:val="clear" w:color="auto" w:fill="auto"/>
          </w:tcPr>
          <w:p w:rsidR="001A63C6" w:rsidRPr="00BD7CEA" w:rsidRDefault="001A63C6" w:rsidP="001A63C6">
            <w:pPr>
              <w:pStyle w:val="TableText"/>
              <w:widowControl w:val="0"/>
              <w:spacing w:before="80"/>
              <w:rPr>
                <w:rFonts w:ascii="Tahoma" w:hAnsi="Tahoma" w:cs="Tahoma"/>
                <w:sz w:val="13"/>
              </w:rPr>
            </w:pPr>
            <w:r w:rsidRPr="00BD7CEA">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3</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P</w:t>
            </w:r>
          </w:p>
        </w:tc>
        <w:tc>
          <w:tcPr>
            <w:tcW w:w="450" w:type="dxa"/>
            <w:tcBorders>
              <w:bottom w:val="single" w:sz="4" w:space="0" w:color="auto"/>
            </w:tcBorders>
            <w:shd w:val="clear" w:color="auto" w:fill="auto"/>
          </w:tcPr>
          <w:p w:rsidR="001A63C6" w:rsidRPr="00BD7CEA" w:rsidRDefault="001A63C6" w:rsidP="001A63C6">
            <w:pPr>
              <w:pStyle w:val="TableText"/>
              <w:widowControl w:val="0"/>
              <w:spacing w:before="120"/>
              <w:rPr>
                <w:rFonts w:ascii="Tahoma" w:hAnsi="Tahoma" w:cs="Tahoma"/>
                <w:sz w:val="13"/>
              </w:rPr>
            </w:pPr>
            <w:r w:rsidRPr="00BD7CEA">
              <w:rPr>
                <w:rFonts w:ascii="Tahoma" w:hAnsi="Tahoma" w:cs="Tahoma"/>
                <w:sz w:val="13"/>
              </w:rPr>
              <w:t>A</w:t>
            </w: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r>
      <w:tr w:rsidR="00EF228F" w:rsidRPr="00BD7CEA" w:rsidTr="006B1F3F">
        <w:trPr>
          <w:trHeight w:val="145"/>
        </w:trPr>
        <w:tc>
          <w:tcPr>
            <w:tcW w:w="2734" w:type="dxa"/>
            <w:gridSpan w:val="2"/>
            <w:tcBorders>
              <w:bottom w:val="single" w:sz="4" w:space="0" w:color="auto"/>
            </w:tcBorders>
            <w:shd w:val="clear" w:color="auto" w:fill="FABF8F"/>
          </w:tcPr>
          <w:p w:rsidR="001A63C6" w:rsidRPr="00BD7CEA" w:rsidRDefault="001A63C6" w:rsidP="001A63C6">
            <w:pPr>
              <w:pStyle w:val="ProductNames"/>
              <w:rPr>
                <w:rFonts w:ascii="Tahoma" w:hAnsi="Tahoma" w:cs="Tahoma"/>
                <w:sz w:val="14"/>
              </w:rPr>
            </w:pPr>
            <w:bookmarkStart w:id="278" w:name="_Toc336337983"/>
            <w:bookmarkStart w:id="279" w:name="_Toc353375775"/>
            <w:r w:rsidRPr="00BD7CEA">
              <w:rPr>
                <w:rFonts w:ascii="Tahoma" w:hAnsi="Tahoma" w:cs="Tahoma"/>
                <w:sz w:val="14"/>
              </w:rPr>
              <w:t>External Connector per Forefront Unified Access Gateway 2010</w:t>
            </w:r>
            <w:bookmarkEnd w:id="278"/>
            <w:bookmarkEnd w:id="279"/>
          </w:p>
        </w:tc>
        <w:tc>
          <w:tcPr>
            <w:tcW w:w="450" w:type="dxa"/>
            <w:tcBorders>
              <w:bottom w:val="single" w:sz="4" w:space="0" w:color="auto"/>
            </w:tcBorders>
            <w:shd w:val="clear" w:color="auto" w:fill="FABF8F"/>
            <w:vAlign w:val="center"/>
          </w:tcPr>
          <w:p w:rsidR="001A63C6" w:rsidRPr="00BD7CEA" w:rsidRDefault="006E5080" w:rsidP="002E59B1">
            <w:pPr>
              <w:pStyle w:val="TableText"/>
              <w:widowControl w:val="0"/>
              <w:rPr>
                <w:b/>
                <w:color w:val="000000"/>
                <w:sz w:val="13"/>
                <w:szCs w:val="13"/>
                <w:u w:val="single"/>
              </w:rPr>
            </w:pPr>
            <w:hyperlink w:anchor="_61_Forefront_Unified" w:history="1">
              <w:r w:rsidR="00806FB0" w:rsidRPr="00BD7CEA">
                <w:rPr>
                  <w:rStyle w:val="Hyperlink"/>
                  <w:b/>
                  <w:sz w:val="13"/>
                  <w:szCs w:val="13"/>
                </w:rPr>
                <w:t>61</w:t>
              </w:r>
            </w:hyperlink>
            <w:hyperlink w:anchor="Srv_56ForefrontUnifiedAccessGtwy2010" w:history="1"/>
          </w:p>
        </w:tc>
        <w:tc>
          <w:tcPr>
            <w:tcW w:w="450" w:type="dxa"/>
            <w:tcBorders>
              <w:bottom w:val="single" w:sz="4" w:space="0" w:color="auto"/>
            </w:tcBorders>
            <w:shd w:val="clear" w:color="auto" w:fill="FABF8F"/>
          </w:tcPr>
          <w:p w:rsidR="001A63C6" w:rsidRPr="00BD7CEA" w:rsidRDefault="001A63C6" w:rsidP="001A63C6">
            <w:pPr>
              <w:pStyle w:val="TableText"/>
              <w:widowControl w:val="0"/>
              <w:spacing w:before="80"/>
              <w:rPr>
                <w:rFonts w:ascii="Tahoma" w:hAnsi="Tahoma" w:cs="Tahoma"/>
                <w:sz w:val="13"/>
              </w:rPr>
            </w:pPr>
            <w:r w:rsidRPr="00BD7CEA">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200</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500</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400</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200</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P</w:t>
            </w:r>
          </w:p>
        </w:tc>
        <w:tc>
          <w:tcPr>
            <w:tcW w:w="450" w:type="dxa"/>
            <w:tcBorders>
              <w:bottom w:val="single" w:sz="4" w:space="0" w:color="auto"/>
            </w:tcBorders>
            <w:shd w:val="clear" w:color="auto" w:fill="FABF8F"/>
          </w:tcPr>
          <w:p w:rsidR="001A63C6" w:rsidRPr="00BD7CEA" w:rsidRDefault="001A63C6" w:rsidP="001A63C6">
            <w:pPr>
              <w:pStyle w:val="TableText"/>
              <w:widowControl w:val="0"/>
              <w:spacing w:before="120"/>
              <w:rPr>
                <w:rFonts w:ascii="Tahoma" w:hAnsi="Tahoma" w:cs="Tahoma"/>
                <w:sz w:val="13"/>
              </w:rPr>
            </w:pPr>
            <w:r w:rsidRPr="00BD7CEA">
              <w:rPr>
                <w:rFonts w:ascii="Tahoma" w:hAnsi="Tahoma" w:cs="Tahoma"/>
                <w:sz w:val="13"/>
              </w:rPr>
              <w:t>A</w:t>
            </w:r>
          </w:p>
        </w:tc>
        <w:tc>
          <w:tcPr>
            <w:tcW w:w="54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OL/OV</w:t>
            </w:r>
          </w:p>
        </w:tc>
      </w:tr>
      <w:tr w:rsidR="00B33D0E" w:rsidRPr="00BD7CEA" w:rsidTr="006B1F3F">
        <w:trPr>
          <w:trHeight w:val="145"/>
        </w:trPr>
        <w:tc>
          <w:tcPr>
            <w:tcW w:w="2734" w:type="dxa"/>
            <w:gridSpan w:val="2"/>
            <w:tcBorders>
              <w:bottom w:val="single" w:sz="4" w:space="0" w:color="auto"/>
            </w:tcBorders>
            <w:shd w:val="clear" w:color="auto" w:fill="auto"/>
          </w:tcPr>
          <w:p w:rsidR="001A63C6" w:rsidRPr="00BD7CEA" w:rsidRDefault="001A63C6" w:rsidP="006356EC">
            <w:pPr>
              <w:pStyle w:val="ProductNames"/>
              <w:rPr>
                <w:rFonts w:ascii="Tahoma" w:hAnsi="Tahoma" w:cs="Tahoma"/>
                <w:sz w:val="14"/>
              </w:rPr>
            </w:pPr>
            <w:bookmarkStart w:id="280" w:name="_Toc336337984"/>
            <w:bookmarkStart w:id="281" w:name="_Toc353375776"/>
            <w:r w:rsidRPr="00BD7CEA">
              <w:rPr>
                <w:rFonts w:ascii="Tahoma" w:hAnsi="Tahoma" w:cs="Tahoma"/>
                <w:sz w:val="14"/>
              </w:rPr>
              <w:t>CAL per Forefront Unified Access Gateway</w:t>
            </w:r>
            <w:r w:rsidR="006356EC" w:rsidRPr="00BD7CEA">
              <w:rPr>
                <w:rFonts w:ascii="Tahoma" w:hAnsi="Tahoma" w:cs="Tahoma"/>
                <w:sz w:val="14"/>
              </w:rPr>
              <w:t> </w:t>
            </w:r>
            <w:r w:rsidRPr="00BD7CEA">
              <w:rPr>
                <w:rFonts w:ascii="Tahoma" w:hAnsi="Tahoma" w:cs="Tahoma"/>
                <w:sz w:val="14"/>
              </w:rPr>
              <w:t>2010</w:t>
            </w:r>
            <w:bookmarkEnd w:id="280"/>
            <w:bookmarkEnd w:id="281"/>
            <w:r w:rsidRPr="00BD7CEA">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BD7CEA" w:rsidRDefault="006E5080" w:rsidP="002E59B1">
            <w:pPr>
              <w:pStyle w:val="TableText"/>
              <w:widowControl w:val="0"/>
              <w:rPr>
                <w:b/>
                <w:color w:val="000000"/>
                <w:sz w:val="13"/>
                <w:szCs w:val="13"/>
                <w:u w:val="single"/>
              </w:rPr>
            </w:pPr>
            <w:hyperlink w:anchor="_61_Forefront_Unified" w:history="1">
              <w:r w:rsidR="00806FB0" w:rsidRPr="00BD7CEA">
                <w:rPr>
                  <w:rStyle w:val="Hyperlink"/>
                  <w:b/>
                  <w:sz w:val="13"/>
                  <w:szCs w:val="13"/>
                </w:rPr>
                <w:t>61</w:t>
              </w:r>
            </w:hyperlink>
            <w:hyperlink w:anchor="Srv_52ForefrontUnifiedAccessGtwy2010" w:history="1"/>
          </w:p>
        </w:tc>
        <w:tc>
          <w:tcPr>
            <w:tcW w:w="450" w:type="dxa"/>
            <w:tcBorders>
              <w:bottom w:val="single" w:sz="4" w:space="0" w:color="auto"/>
            </w:tcBorders>
            <w:shd w:val="clear" w:color="auto" w:fill="auto"/>
          </w:tcPr>
          <w:p w:rsidR="001A63C6" w:rsidRPr="00BD7CEA" w:rsidRDefault="001A63C6" w:rsidP="001A63C6">
            <w:pPr>
              <w:pStyle w:val="TableText"/>
              <w:widowControl w:val="0"/>
              <w:spacing w:before="80"/>
              <w:rPr>
                <w:rFonts w:ascii="Tahoma" w:hAnsi="Tahoma" w:cs="Tahoma"/>
                <w:sz w:val="13"/>
              </w:rPr>
            </w:pPr>
            <w:r w:rsidRPr="00BD7CEA">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3</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P</w:t>
            </w:r>
          </w:p>
        </w:tc>
        <w:tc>
          <w:tcPr>
            <w:tcW w:w="450" w:type="dxa"/>
            <w:tcBorders>
              <w:bottom w:val="single" w:sz="4" w:space="0" w:color="auto"/>
            </w:tcBorders>
            <w:shd w:val="clear" w:color="auto" w:fill="auto"/>
          </w:tcPr>
          <w:p w:rsidR="001A63C6" w:rsidRPr="00BD7CEA" w:rsidRDefault="001A63C6" w:rsidP="001A63C6">
            <w:pPr>
              <w:pStyle w:val="TableText"/>
              <w:widowControl w:val="0"/>
              <w:spacing w:before="120"/>
              <w:rPr>
                <w:rFonts w:ascii="Tahoma" w:hAnsi="Tahoma" w:cs="Tahoma"/>
                <w:sz w:val="13"/>
              </w:rPr>
            </w:pPr>
            <w:r w:rsidRPr="00BD7CEA">
              <w:rPr>
                <w:rFonts w:ascii="Tahoma" w:hAnsi="Tahoma" w:cs="Tahoma"/>
                <w:sz w:val="13"/>
              </w:rPr>
              <w:t>AO, ST</w:t>
            </w: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r>
      <w:tr w:rsidR="00EF228F" w:rsidRPr="00BD7CEA" w:rsidTr="006B1F3F">
        <w:trPr>
          <w:trHeight w:val="145"/>
        </w:trPr>
        <w:tc>
          <w:tcPr>
            <w:tcW w:w="2734" w:type="dxa"/>
            <w:gridSpan w:val="2"/>
            <w:tcBorders>
              <w:bottom w:val="single" w:sz="4" w:space="0" w:color="auto"/>
            </w:tcBorders>
            <w:shd w:val="clear" w:color="auto" w:fill="FABF8F"/>
          </w:tcPr>
          <w:p w:rsidR="001A63C6" w:rsidRPr="007B74B7" w:rsidRDefault="001A63C6" w:rsidP="001A63C6">
            <w:pPr>
              <w:pStyle w:val="ProductNames"/>
              <w:rPr>
                <w:rFonts w:ascii="Tahoma" w:hAnsi="Tahoma" w:cs="Tahoma"/>
                <w:sz w:val="14"/>
                <w:lang w:val="it-IT"/>
              </w:rPr>
            </w:pPr>
            <w:bookmarkStart w:id="282" w:name="_Toc336337985"/>
            <w:bookmarkStart w:id="283" w:name="_Toc353375777"/>
            <w:r w:rsidRPr="007B74B7">
              <w:rPr>
                <w:rFonts w:ascii="Tahoma" w:hAnsi="Tahoma" w:cs="Tahoma"/>
                <w:sz w:val="14"/>
                <w:lang w:val="it-IT"/>
              </w:rPr>
              <w:t>Pacchetto di 10.000 CAL per Forefront Unified Access Gateway 2010</w:t>
            </w:r>
            <w:bookmarkEnd w:id="282"/>
            <w:bookmarkEnd w:id="283"/>
          </w:p>
        </w:tc>
        <w:tc>
          <w:tcPr>
            <w:tcW w:w="450" w:type="dxa"/>
            <w:tcBorders>
              <w:bottom w:val="single" w:sz="4" w:space="0" w:color="auto"/>
            </w:tcBorders>
            <w:shd w:val="clear" w:color="auto" w:fill="FABF8F"/>
            <w:vAlign w:val="center"/>
          </w:tcPr>
          <w:p w:rsidR="001A63C6" w:rsidRPr="00BD7CEA" w:rsidRDefault="006E5080" w:rsidP="002E59B1">
            <w:pPr>
              <w:pStyle w:val="TableText"/>
              <w:widowControl w:val="0"/>
              <w:rPr>
                <w:b/>
                <w:color w:val="000000"/>
                <w:sz w:val="13"/>
                <w:szCs w:val="13"/>
                <w:u w:val="single"/>
              </w:rPr>
            </w:pPr>
            <w:hyperlink w:anchor="_61_Forefront_Unified" w:history="1">
              <w:r w:rsidR="00806FB0" w:rsidRPr="00BD7CEA">
                <w:rPr>
                  <w:rStyle w:val="Hyperlink"/>
                  <w:b/>
                  <w:sz w:val="13"/>
                  <w:szCs w:val="13"/>
                </w:rPr>
                <w:t>61</w:t>
              </w:r>
            </w:hyperlink>
            <w:hyperlink w:anchor="Srv_52ForefrontUnifiedAccessGtwy2010" w:history="1"/>
          </w:p>
        </w:tc>
        <w:tc>
          <w:tcPr>
            <w:tcW w:w="450" w:type="dxa"/>
            <w:tcBorders>
              <w:bottom w:val="single" w:sz="4" w:space="0" w:color="auto"/>
            </w:tcBorders>
            <w:shd w:val="clear" w:color="auto" w:fill="FABF8F"/>
          </w:tcPr>
          <w:p w:rsidR="001A63C6" w:rsidRPr="00BD7CEA" w:rsidRDefault="001A63C6" w:rsidP="001A63C6">
            <w:pPr>
              <w:pStyle w:val="TableText"/>
              <w:widowControl w:val="0"/>
              <w:spacing w:before="80"/>
              <w:rPr>
                <w:rFonts w:ascii="Tahoma" w:hAnsi="Tahoma" w:cs="Tahoma"/>
                <w:sz w:val="13"/>
              </w:rPr>
            </w:pPr>
            <w:r w:rsidRPr="00BD7CEA">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200</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500</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400</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D7CEA"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r>
      <w:tr w:rsidR="00B33D0E" w:rsidRPr="00BD7CEA" w:rsidTr="006B1F3F">
        <w:trPr>
          <w:trHeight w:val="145"/>
        </w:trPr>
        <w:tc>
          <w:tcPr>
            <w:tcW w:w="2734" w:type="dxa"/>
            <w:gridSpan w:val="2"/>
            <w:tcBorders>
              <w:bottom w:val="single" w:sz="4" w:space="0" w:color="auto"/>
            </w:tcBorders>
            <w:shd w:val="clear" w:color="auto" w:fill="auto"/>
          </w:tcPr>
          <w:p w:rsidR="001A63C6" w:rsidRPr="00BD7CEA" w:rsidRDefault="001A63C6" w:rsidP="001A63C6">
            <w:pPr>
              <w:pStyle w:val="ProductNames"/>
              <w:rPr>
                <w:rFonts w:ascii="Tahoma" w:hAnsi="Tahoma" w:cs="Tahoma"/>
                <w:sz w:val="14"/>
              </w:rPr>
            </w:pPr>
            <w:bookmarkStart w:id="284" w:name="_Toc336337986"/>
            <w:bookmarkStart w:id="285" w:name="_Toc353375778"/>
            <w:r w:rsidRPr="00BD7CEA">
              <w:rPr>
                <w:rFonts w:ascii="Tahoma" w:hAnsi="Tahoma" w:cs="Tahoma"/>
                <w:sz w:val="14"/>
              </w:rPr>
              <w:t>GeoSynth Server</w:t>
            </w:r>
            <w:bookmarkEnd w:id="284"/>
            <w:bookmarkEnd w:id="285"/>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b/>
                <w:color w:val="000000"/>
                <w:sz w:val="13"/>
                <w:szCs w:val="13"/>
                <w:u w:val="single"/>
              </w:rPr>
            </w:pPr>
          </w:p>
        </w:tc>
        <w:tc>
          <w:tcPr>
            <w:tcW w:w="450" w:type="dxa"/>
            <w:tcBorders>
              <w:bottom w:val="single" w:sz="4" w:space="0" w:color="auto"/>
            </w:tcBorders>
            <w:shd w:val="clear" w:color="auto" w:fill="auto"/>
          </w:tcPr>
          <w:p w:rsidR="001A63C6" w:rsidRPr="00BD7CEA" w:rsidRDefault="001A63C6" w:rsidP="001A63C6">
            <w:pPr>
              <w:pStyle w:val="TableText"/>
              <w:widowControl w:val="0"/>
              <w:spacing w:before="80"/>
              <w:rPr>
                <w:rFonts w:ascii="Tahoma" w:hAnsi="Tahoma" w:cs="Tahoma"/>
                <w:sz w:val="13"/>
              </w:rPr>
            </w:pPr>
            <w:r w:rsidRPr="00BD7CEA">
              <w:rPr>
                <w:rFonts w:ascii="Tahoma" w:hAnsi="Tahoma" w:cs="Tahoma"/>
                <w:sz w:val="13"/>
              </w:rPr>
              <w:t>05/10</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125 crediti</w:t>
            </w: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P</w:t>
            </w:r>
          </w:p>
        </w:tc>
        <w:tc>
          <w:tcPr>
            <w:tcW w:w="450" w:type="dxa"/>
            <w:tcBorders>
              <w:bottom w:val="single" w:sz="4" w:space="0" w:color="auto"/>
            </w:tcBorders>
            <w:shd w:val="clear" w:color="auto" w:fill="auto"/>
          </w:tcPr>
          <w:p w:rsidR="001A63C6" w:rsidRPr="00BD7CEA" w:rsidRDefault="001A63C6" w:rsidP="001A63C6">
            <w:pPr>
              <w:pStyle w:val="TableText"/>
              <w:widowControl w:val="0"/>
              <w:spacing w:before="120"/>
              <w:rPr>
                <w:rFonts w:ascii="Tahoma" w:hAnsi="Tahoma" w:cs="Tahoma"/>
                <w:sz w:val="13"/>
              </w:rPr>
            </w:pPr>
            <w:r w:rsidRPr="00BD7CEA">
              <w:rPr>
                <w:rFonts w:ascii="Tahoma" w:hAnsi="Tahoma" w:cs="Tahoma"/>
                <w:sz w:val="13"/>
              </w:rPr>
              <w:t>A</w:t>
            </w: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r>
      <w:tr w:rsidR="00EF228F" w:rsidRPr="00BD7CEA" w:rsidTr="006B1F3F">
        <w:trPr>
          <w:trHeight w:val="145"/>
        </w:trPr>
        <w:tc>
          <w:tcPr>
            <w:tcW w:w="2734" w:type="dxa"/>
            <w:gridSpan w:val="2"/>
            <w:tcBorders>
              <w:bottom w:val="single" w:sz="4" w:space="0" w:color="auto"/>
            </w:tcBorders>
            <w:shd w:val="clear" w:color="auto" w:fill="FABF8F"/>
          </w:tcPr>
          <w:p w:rsidR="001A63C6" w:rsidRPr="00BD7CEA" w:rsidRDefault="001A63C6" w:rsidP="001A63C6">
            <w:pPr>
              <w:pStyle w:val="ProductNames"/>
              <w:rPr>
                <w:rFonts w:ascii="Tahoma" w:hAnsi="Tahoma" w:cs="Tahoma"/>
                <w:sz w:val="14"/>
              </w:rPr>
            </w:pPr>
            <w:bookmarkStart w:id="286" w:name="_Toc336337990"/>
            <w:bookmarkStart w:id="287" w:name="_Toc353375779"/>
            <w:r w:rsidRPr="00BD7CEA">
              <w:rPr>
                <w:rFonts w:ascii="Tahoma" w:hAnsi="Tahoma" w:cs="Tahoma"/>
                <w:sz w:val="14"/>
              </w:rPr>
              <w:t>HPC Pack 2008 R2 Enterprise</w:t>
            </w:r>
            <w:bookmarkEnd w:id="286"/>
            <w:bookmarkEnd w:id="287"/>
          </w:p>
        </w:tc>
        <w:tc>
          <w:tcPr>
            <w:tcW w:w="450" w:type="dxa"/>
            <w:tcBorders>
              <w:bottom w:val="single" w:sz="4" w:space="0" w:color="auto"/>
            </w:tcBorders>
            <w:shd w:val="clear" w:color="auto" w:fill="FABF8F"/>
            <w:vAlign w:val="center"/>
          </w:tcPr>
          <w:p w:rsidR="001A63C6" w:rsidRPr="00BD7CEA" w:rsidRDefault="006E5080" w:rsidP="002E59B1">
            <w:pPr>
              <w:pStyle w:val="TableText"/>
              <w:widowControl w:val="0"/>
              <w:rPr>
                <w:rStyle w:val="EndnoteReference"/>
                <w:rFonts w:cs="Tahoma"/>
                <w:color w:val="000000"/>
                <w:sz w:val="13"/>
                <w:szCs w:val="13"/>
                <w:u w:val="single"/>
              </w:rPr>
            </w:pPr>
            <w:hyperlink w:anchor="_62_HPC_Pack" w:history="1">
              <w:r w:rsidR="00955428" w:rsidRPr="00BD7CEA">
                <w:rPr>
                  <w:rStyle w:val="Hyperlink"/>
                  <w:b/>
                  <w:sz w:val="13"/>
                  <w:szCs w:val="13"/>
                </w:rPr>
                <w:t>62</w:t>
              </w:r>
            </w:hyperlink>
            <w:hyperlink w:anchor="Srv_54HighPerfComputingPack" w:history="1"/>
          </w:p>
        </w:tc>
        <w:tc>
          <w:tcPr>
            <w:tcW w:w="450" w:type="dxa"/>
            <w:tcBorders>
              <w:bottom w:val="single" w:sz="4" w:space="0" w:color="auto"/>
            </w:tcBorders>
            <w:shd w:val="clear" w:color="auto" w:fill="FABF8F"/>
          </w:tcPr>
          <w:p w:rsidR="001A63C6" w:rsidRPr="00BD7CEA" w:rsidRDefault="001A63C6" w:rsidP="001A63C6">
            <w:pPr>
              <w:pStyle w:val="TableText"/>
              <w:widowControl w:val="0"/>
              <w:spacing w:before="80"/>
              <w:rPr>
                <w:rFonts w:ascii="Tahoma" w:hAnsi="Tahoma" w:cs="Tahoma"/>
                <w:sz w:val="13"/>
              </w:rPr>
            </w:pPr>
            <w:r w:rsidRPr="00BD7CEA">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D7CEA"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r>
      <w:tr w:rsidR="00B33D0E" w:rsidRPr="00BD7CEA" w:rsidTr="00241602">
        <w:trPr>
          <w:trHeight w:val="145"/>
        </w:trPr>
        <w:tc>
          <w:tcPr>
            <w:tcW w:w="2734" w:type="dxa"/>
            <w:gridSpan w:val="2"/>
            <w:tcBorders>
              <w:bottom w:val="single" w:sz="4" w:space="0" w:color="auto"/>
            </w:tcBorders>
            <w:shd w:val="clear" w:color="auto" w:fill="FABF8F"/>
          </w:tcPr>
          <w:p w:rsidR="001A63C6" w:rsidRPr="00BD7CEA" w:rsidRDefault="001A63C6" w:rsidP="001A63C6">
            <w:pPr>
              <w:pStyle w:val="ProductNames"/>
              <w:rPr>
                <w:rFonts w:ascii="Tahoma" w:hAnsi="Tahoma" w:cs="Tahoma"/>
                <w:sz w:val="14"/>
              </w:rPr>
            </w:pPr>
            <w:bookmarkStart w:id="288" w:name="_Toc336337991"/>
            <w:bookmarkStart w:id="289" w:name="_Toc353375780"/>
            <w:r w:rsidRPr="00BD7CEA">
              <w:rPr>
                <w:rFonts w:ascii="Tahoma" w:hAnsi="Tahoma" w:cs="Tahoma"/>
                <w:sz w:val="14"/>
              </w:rPr>
              <w:t>HPC Pack 2008 R2 per Workstation</w:t>
            </w:r>
            <w:bookmarkEnd w:id="288"/>
            <w:bookmarkEnd w:id="289"/>
          </w:p>
        </w:tc>
        <w:tc>
          <w:tcPr>
            <w:tcW w:w="450" w:type="dxa"/>
            <w:tcBorders>
              <w:bottom w:val="single" w:sz="4" w:space="0" w:color="auto"/>
            </w:tcBorders>
            <w:shd w:val="clear" w:color="auto" w:fill="FABF8F"/>
            <w:vAlign w:val="center"/>
          </w:tcPr>
          <w:p w:rsidR="001A63C6" w:rsidRPr="00BD7CEA" w:rsidRDefault="006E5080" w:rsidP="002E59B1">
            <w:pPr>
              <w:pStyle w:val="TableText"/>
              <w:widowControl w:val="0"/>
              <w:rPr>
                <w:rStyle w:val="EndnoteReference"/>
                <w:rFonts w:cs="Tahoma"/>
                <w:b w:val="0"/>
                <w:color w:val="000000"/>
                <w:sz w:val="13"/>
                <w:szCs w:val="13"/>
                <w:u w:val="single"/>
              </w:rPr>
            </w:pPr>
            <w:hyperlink w:anchor="_62_HPC_Pack" w:history="1">
              <w:r w:rsidR="00806FB0" w:rsidRPr="00BD7CEA">
                <w:rPr>
                  <w:rStyle w:val="Hyperlink"/>
                  <w:b/>
                  <w:sz w:val="13"/>
                  <w:szCs w:val="13"/>
                </w:rPr>
                <w:t>62</w:t>
              </w:r>
            </w:hyperlink>
          </w:p>
        </w:tc>
        <w:tc>
          <w:tcPr>
            <w:tcW w:w="450" w:type="dxa"/>
            <w:tcBorders>
              <w:bottom w:val="single" w:sz="4" w:space="0" w:color="auto"/>
            </w:tcBorders>
            <w:shd w:val="clear" w:color="auto" w:fill="FABF8F"/>
          </w:tcPr>
          <w:p w:rsidR="001A63C6" w:rsidRPr="00BD7CEA" w:rsidRDefault="001A63C6" w:rsidP="001A63C6">
            <w:pPr>
              <w:pStyle w:val="TableText"/>
              <w:widowControl w:val="0"/>
              <w:spacing w:before="80"/>
              <w:rPr>
                <w:rFonts w:ascii="Tahoma" w:hAnsi="Tahoma" w:cs="Tahoma"/>
                <w:sz w:val="13"/>
              </w:rPr>
            </w:pPr>
            <w:r w:rsidRPr="00BD7CEA">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D7CEA"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r>
      <w:tr w:rsidR="00EF228F" w:rsidRPr="00BD7CEA" w:rsidTr="00241602">
        <w:trPr>
          <w:trHeight w:val="145"/>
        </w:trPr>
        <w:tc>
          <w:tcPr>
            <w:tcW w:w="2734" w:type="dxa"/>
            <w:gridSpan w:val="2"/>
            <w:tcBorders>
              <w:bottom w:val="single" w:sz="4" w:space="0" w:color="auto"/>
            </w:tcBorders>
            <w:shd w:val="clear" w:color="auto" w:fill="auto"/>
          </w:tcPr>
          <w:p w:rsidR="001A63C6" w:rsidRPr="00BD7CEA" w:rsidRDefault="001A63C6" w:rsidP="001A63C6">
            <w:pPr>
              <w:pStyle w:val="ProductNames"/>
              <w:rPr>
                <w:rFonts w:ascii="Tahoma" w:hAnsi="Tahoma" w:cs="Tahoma"/>
                <w:sz w:val="14"/>
              </w:rPr>
            </w:pPr>
            <w:bookmarkStart w:id="290" w:name="_Toc336337992"/>
            <w:bookmarkStart w:id="291" w:name="_Toc353375781"/>
            <w:r w:rsidRPr="00BD7CEA">
              <w:rPr>
                <w:rFonts w:ascii="Tahoma" w:hAnsi="Tahoma" w:cs="Tahoma"/>
                <w:sz w:val="14"/>
              </w:rPr>
              <w:t xml:space="preserve">Learning Solutions Combination </w:t>
            </w:r>
            <w:r w:rsidR="006356EC" w:rsidRPr="00BD7CEA">
              <w:rPr>
                <w:rFonts w:ascii="Tahoma" w:hAnsi="Tahoma" w:cs="Tahoma"/>
                <w:sz w:val="14"/>
              </w:rPr>
              <w:br/>
            </w:r>
            <w:r w:rsidRPr="00BD7CEA">
              <w:rPr>
                <w:rFonts w:ascii="Tahoma" w:hAnsi="Tahoma" w:cs="Tahoma"/>
                <w:sz w:val="14"/>
              </w:rPr>
              <w:t>E-Reference Library (SL per Utente)</w:t>
            </w:r>
            <w:bookmarkEnd w:id="290"/>
            <w:bookmarkEnd w:id="291"/>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auto"/>
          </w:tcPr>
          <w:p w:rsidR="001A63C6" w:rsidRPr="00BD7CEA" w:rsidRDefault="001A63C6" w:rsidP="001A63C6">
            <w:pPr>
              <w:pStyle w:val="TableText"/>
              <w:widowControl w:val="0"/>
              <w:spacing w:before="80"/>
              <w:rPr>
                <w:rFonts w:ascii="Tahoma" w:hAnsi="Tahoma" w:cs="Tahoma"/>
                <w:sz w:val="13"/>
              </w:rPr>
            </w:pPr>
            <w:r w:rsidRPr="00BD7CEA">
              <w:rPr>
                <w:rFonts w:ascii="Tahoma" w:hAnsi="Tahoma" w:cs="Tahoma"/>
                <w:sz w:val="13"/>
              </w:rPr>
              <w:t>12/07</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 punto</w:t>
            </w: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BD7CEA" w:rsidRDefault="001A63C6" w:rsidP="001A63C6">
            <w:pPr>
              <w:pStyle w:val="TableText"/>
              <w:widowControl w:val="0"/>
              <w:spacing w:before="120"/>
              <w:rPr>
                <w:rFonts w:ascii="Tahoma" w:hAnsi="Tahoma" w:cs="Tahoma"/>
                <w:sz w:val="13"/>
              </w:rPr>
            </w:pPr>
            <w:r w:rsidRPr="00BD7CEA">
              <w:rPr>
                <w:rFonts w:ascii="Tahoma" w:hAnsi="Tahoma" w:cs="Tahoma"/>
                <w:sz w:val="13"/>
              </w:rPr>
              <w:t>A</w:t>
            </w: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r>
      <w:tr w:rsidR="00B33D0E" w:rsidRPr="00BD7CEA" w:rsidTr="00241602">
        <w:trPr>
          <w:trHeight w:val="145"/>
        </w:trPr>
        <w:tc>
          <w:tcPr>
            <w:tcW w:w="2734" w:type="dxa"/>
            <w:gridSpan w:val="2"/>
            <w:tcBorders>
              <w:bottom w:val="single" w:sz="4" w:space="0" w:color="auto"/>
            </w:tcBorders>
            <w:shd w:val="clear" w:color="auto" w:fill="FABF8F"/>
            <w:vAlign w:val="bottom"/>
          </w:tcPr>
          <w:p w:rsidR="001A63C6" w:rsidRPr="00BD7CEA" w:rsidRDefault="001A63C6" w:rsidP="001A63C6">
            <w:pPr>
              <w:pStyle w:val="ProductNames"/>
              <w:rPr>
                <w:rFonts w:ascii="Tahoma" w:hAnsi="Tahoma" w:cs="Tahoma"/>
                <w:sz w:val="14"/>
              </w:rPr>
            </w:pPr>
            <w:bookmarkStart w:id="292" w:name="_Toc336337993"/>
            <w:bookmarkStart w:id="293" w:name="_Toc353375782"/>
            <w:r w:rsidRPr="00BD7CEA">
              <w:rPr>
                <w:rFonts w:ascii="Tahoma" w:hAnsi="Tahoma" w:cs="Tahoma"/>
                <w:sz w:val="14"/>
              </w:rPr>
              <w:t>Learning Solutions IT Academy (SL Servizi)</w:t>
            </w:r>
            <w:bookmarkEnd w:id="292"/>
            <w:bookmarkEnd w:id="293"/>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b/>
                <w:color w:val="000000"/>
                <w:sz w:val="13"/>
                <w:szCs w:val="13"/>
                <w:u w:val="single"/>
              </w:rPr>
            </w:pPr>
          </w:p>
        </w:tc>
        <w:tc>
          <w:tcPr>
            <w:tcW w:w="450" w:type="dxa"/>
            <w:tcBorders>
              <w:bottom w:val="single" w:sz="4" w:space="0" w:color="auto"/>
            </w:tcBorders>
            <w:shd w:val="clear" w:color="auto" w:fill="FABF8F"/>
          </w:tcPr>
          <w:p w:rsidR="001A63C6" w:rsidRPr="00BD7CEA" w:rsidRDefault="001A63C6" w:rsidP="001A63C6">
            <w:pPr>
              <w:pStyle w:val="TableText"/>
              <w:widowControl w:val="0"/>
              <w:spacing w:before="80"/>
              <w:rPr>
                <w:rFonts w:ascii="Tahoma" w:hAnsi="Tahoma" w:cs="Tahoma"/>
                <w:sz w:val="13"/>
              </w:rPr>
            </w:pPr>
            <w:r w:rsidRPr="00BD7CEA">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75 crediti</w:t>
            </w: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D7CEA" w:rsidRDefault="001A63C6" w:rsidP="001A63C6">
            <w:pPr>
              <w:pStyle w:val="TableText"/>
              <w:widowControl w:val="0"/>
              <w:spacing w:before="120"/>
              <w:rPr>
                <w:rFonts w:ascii="Tahoma" w:hAnsi="Tahoma" w:cs="Tahoma"/>
                <w:sz w:val="13"/>
              </w:rPr>
            </w:pPr>
            <w:r w:rsidRPr="00BD7CEA">
              <w:rPr>
                <w:rFonts w:ascii="Tahoma" w:hAnsi="Tahoma" w:cs="Tahoma"/>
                <w:sz w:val="13"/>
              </w:rPr>
              <w:t>A</w:t>
            </w:r>
          </w:p>
        </w:tc>
        <w:tc>
          <w:tcPr>
            <w:tcW w:w="54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r>
      <w:tr w:rsidR="00B33D0E" w:rsidRPr="00BD7CEA" w:rsidTr="00241602">
        <w:trPr>
          <w:trHeight w:val="145"/>
        </w:trPr>
        <w:tc>
          <w:tcPr>
            <w:tcW w:w="2734" w:type="dxa"/>
            <w:gridSpan w:val="2"/>
            <w:tcBorders>
              <w:bottom w:val="single" w:sz="4" w:space="0" w:color="auto"/>
            </w:tcBorders>
            <w:shd w:val="clear" w:color="auto" w:fill="auto"/>
            <w:vAlign w:val="bottom"/>
          </w:tcPr>
          <w:p w:rsidR="001A63C6" w:rsidRPr="00BD7CEA" w:rsidRDefault="001A63C6" w:rsidP="001A63C6">
            <w:pPr>
              <w:pStyle w:val="ProductNames"/>
              <w:rPr>
                <w:rFonts w:ascii="Tahoma" w:hAnsi="Tahoma" w:cs="Tahoma"/>
                <w:sz w:val="14"/>
              </w:rPr>
            </w:pPr>
            <w:bookmarkStart w:id="294" w:name="_Toc336337994"/>
            <w:bookmarkStart w:id="295" w:name="_Toc353375783"/>
            <w:r w:rsidRPr="00BD7CEA">
              <w:rPr>
                <w:rFonts w:ascii="Tahoma" w:hAnsi="Tahoma" w:cs="Tahoma"/>
                <w:sz w:val="14"/>
              </w:rPr>
              <w:t>Learning Solutions MCP 1 Exam Vouchers (SL Servizi)</w:t>
            </w:r>
            <w:bookmarkEnd w:id="294"/>
            <w:bookmarkEnd w:id="295"/>
          </w:p>
        </w:tc>
        <w:tc>
          <w:tcPr>
            <w:tcW w:w="450" w:type="dxa"/>
            <w:tcBorders>
              <w:bottom w:val="single" w:sz="4" w:space="0" w:color="auto"/>
            </w:tcBorders>
            <w:shd w:val="clear" w:color="auto" w:fill="auto"/>
            <w:vAlign w:val="center"/>
          </w:tcPr>
          <w:p w:rsidR="001A63C6" w:rsidRPr="00BD7CEA" w:rsidRDefault="006E5080" w:rsidP="002E59B1">
            <w:pPr>
              <w:pStyle w:val="TableText"/>
              <w:widowControl w:val="0"/>
              <w:rPr>
                <w:rStyle w:val="EndnoteReference"/>
                <w:b w:val="0"/>
                <w:color w:val="000000"/>
                <w:sz w:val="13"/>
                <w:szCs w:val="13"/>
                <w:u w:val="single"/>
              </w:rPr>
            </w:pPr>
            <w:hyperlink w:anchor="_63_Learning_Solutions" w:history="1">
              <w:r w:rsidR="00955428" w:rsidRPr="00BD7CEA">
                <w:rPr>
                  <w:rStyle w:val="Hyperlink"/>
                  <w:b/>
                  <w:sz w:val="13"/>
                  <w:szCs w:val="13"/>
                </w:rPr>
                <w:t>63</w:t>
              </w:r>
            </w:hyperlink>
          </w:p>
        </w:tc>
        <w:tc>
          <w:tcPr>
            <w:tcW w:w="450" w:type="dxa"/>
            <w:tcBorders>
              <w:bottom w:val="single" w:sz="4" w:space="0" w:color="auto"/>
            </w:tcBorders>
            <w:shd w:val="clear" w:color="auto" w:fill="auto"/>
          </w:tcPr>
          <w:p w:rsidR="001A63C6" w:rsidRPr="00BD7CEA" w:rsidRDefault="001A63C6" w:rsidP="001A63C6">
            <w:pPr>
              <w:pStyle w:val="TableText"/>
              <w:widowControl w:val="0"/>
              <w:spacing w:before="80"/>
              <w:rPr>
                <w:rFonts w:ascii="Tahoma" w:hAnsi="Tahoma" w:cs="Tahoma"/>
                <w:sz w:val="13"/>
              </w:rPr>
            </w:pPr>
            <w:r w:rsidRPr="00BD7CEA">
              <w:rPr>
                <w:rFonts w:ascii="Tahoma" w:hAnsi="Tahoma" w:cs="Tahoma"/>
                <w:sz w:val="13"/>
              </w:rPr>
              <w:t>01/06</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 punto</w:t>
            </w: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P</w:t>
            </w:r>
          </w:p>
        </w:tc>
        <w:tc>
          <w:tcPr>
            <w:tcW w:w="450" w:type="dxa"/>
            <w:tcBorders>
              <w:bottom w:val="single" w:sz="4" w:space="0" w:color="auto"/>
            </w:tcBorders>
            <w:shd w:val="clear" w:color="auto" w:fill="auto"/>
          </w:tcPr>
          <w:p w:rsidR="001A63C6" w:rsidRPr="00BD7CEA"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r>
      <w:tr w:rsidR="00BE6271" w:rsidRPr="00BD7CEA" w:rsidTr="006B1F3F">
        <w:trPr>
          <w:trHeight w:val="145"/>
        </w:trPr>
        <w:tc>
          <w:tcPr>
            <w:tcW w:w="2734" w:type="dxa"/>
            <w:gridSpan w:val="2"/>
            <w:tcBorders>
              <w:bottom w:val="single" w:sz="4" w:space="0" w:color="auto"/>
            </w:tcBorders>
            <w:shd w:val="clear" w:color="auto" w:fill="FABF8F"/>
            <w:vAlign w:val="bottom"/>
          </w:tcPr>
          <w:p w:rsidR="00BE6271" w:rsidRPr="00BD7CEA" w:rsidRDefault="00BE6271" w:rsidP="00BE6271">
            <w:pPr>
              <w:pStyle w:val="ProductNames"/>
              <w:rPr>
                <w:rFonts w:ascii="Tahoma" w:hAnsi="Tahoma" w:cs="Tahoma"/>
                <w:sz w:val="14"/>
              </w:rPr>
            </w:pPr>
            <w:bookmarkStart w:id="296" w:name="_Toc353375784"/>
            <w:r w:rsidRPr="00BD7CEA">
              <w:rPr>
                <w:rFonts w:ascii="Tahoma" w:hAnsi="Tahoma" w:cs="Tahoma"/>
                <w:sz w:val="14"/>
              </w:rPr>
              <w:t>Learning Solutions MCP 30 Exam Vouchers (SL Utente)</w:t>
            </w:r>
            <w:bookmarkEnd w:id="296"/>
          </w:p>
        </w:tc>
        <w:tc>
          <w:tcPr>
            <w:tcW w:w="450" w:type="dxa"/>
            <w:tcBorders>
              <w:bottom w:val="single" w:sz="4" w:space="0" w:color="auto"/>
            </w:tcBorders>
            <w:shd w:val="clear" w:color="auto" w:fill="FABF8F"/>
            <w:vAlign w:val="center"/>
          </w:tcPr>
          <w:p w:rsidR="00BE6271" w:rsidRPr="00BD7CEA" w:rsidRDefault="00BE6271" w:rsidP="001A63C6">
            <w:pPr>
              <w:pStyle w:val="TableText"/>
              <w:widowControl w:val="0"/>
              <w:rPr>
                <w:b/>
                <w:sz w:val="13"/>
                <w:szCs w:val="13"/>
              </w:rPr>
            </w:pPr>
          </w:p>
        </w:tc>
        <w:tc>
          <w:tcPr>
            <w:tcW w:w="450" w:type="dxa"/>
            <w:tcBorders>
              <w:bottom w:val="single" w:sz="4" w:space="0" w:color="auto"/>
            </w:tcBorders>
            <w:shd w:val="clear" w:color="auto" w:fill="FABF8F"/>
          </w:tcPr>
          <w:p w:rsidR="00BE6271" w:rsidRPr="00BD7CEA" w:rsidRDefault="00BE6271" w:rsidP="00BE6271">
            <w:pPr>
              <w:pStyle w:val="TableText"/>
              <w:widowControl w:val="0"/>
              <w:spacing w:before="80"/>
              <w:rPr>
                <w:rFonts w:ascii="Tahoma" w:hAnsi="Tahoma" w:cs="Tahoma"/>
                <w:sz w:val="13"/>
              </w:rPr>
            </w:pPr>
            <w:r w:rsidRPr="00BD7CEA">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BE6271" w:rsidRPr="00BD7CEA" w:rsidRDefault="00BE6271"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BE6271" w:rsidRPr="00BD7CEA" w:rsidRDefault="00BE6271" w:rsidP="001A63C6">
            <w:pPr>
              <w:pStyle w:val="TableText"/>
              <w:widowControl w:val="0"/>
              <w:rPr>
                <w:rFonts w:ascii="Tahoma" w:hAnsi="Tahoma" w:cs="Tahoma"/>
                <w:sz w:val="13"/>
              </w:rPr>
            </w:pPr>
            <w:r w:rsidRPr="00BD7CEA">
              <w:rPr>
                <w:rFonts w:ascii="Tahoma" w:hAnsi="Tahoma" w:cs="Tahoma"/>
                <w:sz w:val="13"/>
              </w:rPr>
              <w:t>75 crediti</w:t>
            </w:r>
          </w:p>
        </w:tc>
        <w:tc>
          <w:tcPr>
            <w:tcW w:w="450" w:type="dxa"/>
            <w:tcBorders>
              <w:left w:val="single" w:sz="18" w:space="0" w:color="auto"/>
              <w:bottom w:val="single" w:sz="4" w:space="0" w:color="auto"/>
            </w:tcBorders>
            <w:shd w:val="clear" w:color="auto" w:fill="FABF8F"/>
            <w:vAlign w:val="center"/>
          </w:tcPr>
          <w:p w:rsidR="00BE6271" w:rsidRPr="00BD7CEA"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BE6271" w:rsidRPr="00BD7CEA" w:rsidRDefault="00BE627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E6271" w:rsidRPr="00BD7CEA"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E6271" w:rsidRPr="00BD7CEA" w:rsidRDefault="00BE6271" w:rsidP="001A63C6">
            <w:pPr>
              <w:pStyle w:val="TableText"/>
              <w:widowControl w:val="0"/>
              <w:rPr>
                <w:rFonts w:ascii="Tahoma" w:hAnsi="Tahoma" w:cs="Tahoma"/>
                <w:sz w:val="13"/>
              </w:rPr>
            </w:pPr>
            <w:r w:rsidRPr="00BD7CEA">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rsidR="00BE6271" w:rsidRPr="00BD7CEA"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BE6271" w:rsidRPr="00BD7CEA"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BE6271" w:rsidRPr="00BD7CEA" w:rsidRDefault="00BE6271" w:rsidP="001A63C6">
            <w:pPr>
              <w:pStyle w:val="TableText"/>
              <w:widowControl w:val="0"/>
              <w:spacing w:before="120"/>
              <w:rPr>
                <w:rFonts w:ascii="Tahoma" w:hAnsi="Tahoma" w:cs="Tahoma"/>
                <w:sz w:val="13"/>
              </w:rPr>
            </w:pPr>
            <w:r w:rsidRPr="00BD7CEA">
              <w:rPr>
                <w:rFonts w:ascii="Tahoma" w:hAnsi="Tahoma" w:cs="Tahoma"/>
                <w:sz w:val="13"/>
              </w:rPr>
              <w:t>A</w:t>
            </w:r>
          </w:p>
        </w:tc>
        <w:tc>
          <w:tcPr>
            <w:tcW w:w="540" w:type="dxa"/>
            <w:tcBorders>
              <w:bottom w:val="single" w:sz="4" w:space="0" w:color="auto"/>
            </w:tcBorders>
            <w:shd w:val="clear" w:color="auto" w:fill="FABF8F"/>
            <w:vAlign w:val="center"/>
          </w:tcPr>
          <w:p w:rsidR="00BE6271" w:rsidRPr="00BD7CEA" w:rsidRDefault="00BE6271" w:rsidP="001A63C6">
            <w:pPr>
              <w:pStyle w:val="TableText"/>
              <w:widowControl w:val="0"/>
              <w:rPr>
                <w:rFonts w:ascii="Tahoma" w:hAnsi="Tahoma" w:cs="Tahoma"/>
                <w:sz w:val="13"/>
              </w:rPr>
            </w:pPr>
          </w:p>
        </w:tc>
      </w:tr>
      <w:tr w:rsidR="00BE6271" w:rsidRPr="00BD7CEA" w:rsidTr="00241602">
        <w:trPr>
          <w:trHeight w:val="145"/>
        </w:trPr>
        <w:tc>
          <w:tcPr>
            <w:tcW w:w="2734" w:type="dxa"/>
            <w:gridSpan w:val="2"/>
            <w:tcBorders>
              <w:bottom w:val="single" w:sz="4" w:space="0" w:color="auto"/>
            </w:tcBorders>
            <w:shd w:val="clear" w:color="auto" w:fill="auto"/>
            <w:vAlign w:val="bottom"/>
          </w:tcPr>
          <w:p w:rsidR="00BE6271" w:rsidRPr="00BD7CEA" w:rsidRDefault="00BE6271" w:rsidP="001A63C6">
            <w:pPr>
              <w:pStyle w:val="ProductNames"/>
              <w:rPr>
                <w:rFonts w:ascii="Tahoma" w:hAnsi="Tahoma" w:cs="Tahoma"/>
                <w:sz w:val="14"/>
              </w:rPr>
            </w:pPr>
            <w:bookmarkStart w:id="297" w:name="_Toc353375785"/>
            <w:r w:rsidRPr="00BD7CEA">
              <w:rPr>
                <w:rFonts w:ascii="Tahoma" w:hAnsi="Tahoma" w:cs="Tahoma"/>
                <w:sz w:val="14"/>
              </w:rPr>
              <w:t>Learning Solutions MOS 500 Exam Site License (SL Servizi)</w:t>
            </w:r>
            <w:bookmarkEnd w:id="297"/>
          </w:p>
        </w:tc>
        <w:tc>
          <w:tcPr>
            <w:tcW w:w="450" w:type="dxa"/>
            <w:tcBorders>
              <w:bottom w:val="single" w:sz="4" w:space="0" w:color="auto"/>
            </w:tcBorders>
            <w:shd w:val="clear" w:color="auto" w:fill="auto"/>
            <w:vAlign w:val="center"/>
          </w:tcPr>
          <w:p w:rsidR="00BE6271" w:rsidRPr="00BD7CEA" w:rsidRDefault="00BE6271" w:rsidP="001A63C6">
            <w:pPr>
              <w:pStyle w:val="TableText"/>
              <w:widowControl w:val="0"/>
              <w:rPr>
                <w:b/>
                <w:sz w:val="13"/>
                <w:szCs w:val="13"/>
              </w:rPr>
            </w:pPr>
          </w:p>
        </w:tc>
        <w:tc>
          <w:tcPr>
            <w:tcW w:w="450" w:type="dxa"/>
            <w:tcBorders>
              <w:bottom w:val="single" w:sz="4" w:space="0" w:color="auto"/>
            </w:tcBorders>
            <w:shd w:val="clear" w:color="auto" w:fill="auto"/>
          </w:tcPr>
          <w:p w:rsidR="00BE6271" w:rsidRPr="00BD7CEA" w:rsidRDefault="00BE6271" w:rsidP="001A63C6">
            <w:pPr>
              <w:pStyle w:val="TableText"/>
              <w:widowControl w:val="0"/>
              <w:spacing w:before="80"/>
              <w:rPr>
                <w:rFonts w:ascii="Tahoma" w:hAnsi="Tahoma" w:cs="Tahoma"/>
                <w:sz w:val="13"/>
              </w:rPr>
            </w:pPr>
            <w:r w:rsidRPr="00BD7CEA">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BE6271" w:rsidRPr="00BD7CEA" w:rsidRDefault="00BE6271"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BE6271" w:rsidRPr="00BD7CEA" w:rsidRDefault="00BE6271" w:rsidP="001A63C6">
            <w:pPr>
              <w:pStyle w:val="TableText"/>
              <w:widowControl w:val="0"/>
              <w:rPr>
                <w:rFonts w:ascii="Tahoma" w:hAnsi="Tahoma" w:cs="Tahoma"/>
                <w:sz w:val="13"/>
              </w:rPr>
            </w:pPr>
            <w:r w:rsidRPr="00BD7CEA">
              <w:rPr>
                <w:rFonts w:ascii="Tahoma" w:hAnsi="Tahoma" w:cs="Tahoma"/>
                <w:sz w:val="13"/>
              </w:rPr>
              <w:t>125 crediti</w:t>
            </w:r>
          </w:p>
        </w:tc>
        <w:tc>
          <w:tcPr>
            <w:tcW w:w="450" w:type="dxa"/>
            <w:tcBorders>
              <w:left w:val="single" w:sz="18" w:space="0" w:color="auto"/>
              <w:bottom w:val="single" w:sz="4" w:space="0" w:color="auto"/>
            </w:tcBorders>
            <w:shd w:val="clear" w:color="auto" w:fill="auto"/>
            <w:vAlign w:val="center"/>
          </w:tcPr>
          <w:p w:rsidR="00BE6271" w:rsidRPr="00BD7CEA"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BE6271" w:rsidRPr="00BD7CEA" w:rsidRDefault="00BE627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E6271" w:rsidRPr="00BD7CEA"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E6271" w:rsidRPr="00BD7CEA" w:rsidRDefault="00BE6271" w:rsidP="001A63C6">
            <w:pPr>
              <w:pStyle w:val="TableText"/>
              <w:widowControl w:val="0"/>
              <w:rPr>
                <w:rFonts w:ascii="Tahoma" w:hAnsi="Tahoma" w:cs="Tahoma"/>
                <w:sz w:val="13"/>
              </w:rPr>
            </w:pPr>
            <w:r w:rsidRPr="00BD7CEA">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rsidR="00BE6271" w:rsidRPr="00BD7CEA"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BE6271" w:rsidRPr="00BD7CEA"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BE6271" w:rsidRPr="00BD7CEA" w:rsidRDefault="00BE6271" w:rsidP="001A63C6">
            <w:pPr>
              <w:pStyle w:val="TableText"/>
              <w:widowControl w:val="0"/>
              <w:spacing w:before="120"/>
              <w:rPr>
                <w:rFonts w:ascii="Tahoma" w:hAnsi="Tahoma" w:cs="Tahoma"/>
                <w:sz w:val="13"/>
              </w:rPr>
            </w:pPr>
            <w:r w:rsidRPr="00BD7CEA">
              <w:rPr>
                <w:rFonts w:ascii="Tahoma" w:hAnsi="Tahoma" w:cs="Tahoma"/>
                <w:sz w:val="13"/>
              </w:rPr>
              <w:t>A</w:t>
            </w:r>
          </w:p>
        </w:tc>
        <w:tc>
          <w:tcPr>
            <w:tcW w:w="540" w:type="dxa"/>
            <w:tcBorders>
              <w:bottom w:val="single" w:sz="4" w:space="0" w:color="auto"/>
            </w:tcBorders>
            <w:shd w:val="clear" w:color="auto" w:fill="auto"/>
            <w:vAlign w:val="center"/>
          </w:tcPr>
          <w:p w:rsidR="00BE6271" w:rsidRPr="00BD7CEA" w:rsidRDefault="00BE6271" w:rsidP="001A63C6">
            <w:pPr>
              <w:pStyle w:val="TableText"/>
              <w:widowControl w:val="0"/>
              <w:rPr>
                <w:rFonts w:ascii="Tahoma" w:hAnsi="Tahoma" w:cs="Tahoma"/>
                <w:sz w:val="13"/>
              </w:rPr>
            </w:pPr>
          </w:p>
        </w:tc>
      </w:tr>
      <w:tr w:rsidR="00BE6271" w:rsidRPr="00BD7CEA" w:rsidTr="006B1F3F">
        <w:trPr>
          <w:trHeight w:val="145"/>
        </w:trPr>
        <w:tc>
          <w:tcPr>
            <w:tcW w:w="2734" w:type="dxa"/>
            <w:gridSpan w:val="2"/>
            <w:tcBorders>
              <w:bottom w:val="single" w:sz="4" w:space="0" w:color="auto"/>
            </w:tcBorders>
            <w:shd w:val="clear" w:color="auto" w:fill="FABF8F"/>
            <w:vAlign w:val="bottom"/>
          </w:tcPr>
          <w:p w:rsidR="00BE6271" w:rsidRPr="00BD7CEA" w:rsidRDefault="00BE6271" w:rsidP="001A63C6">
            <w:pPr>
              <w:pStyle w:val="ProductNames"/>
              <w:rPr>
                <w:rFonts w:ascii="Tahoma" w:hAnsi="Tahoma" w:cs="Tahoma"/>
                <w:sz w:val="14"/>
              </w:rPr>
            </w:pPr>
            <w:bookmarkStart w:id="298" w:name="_Toc353375786"/>
            <w:r w:rsidRPr="00BD7CEA">
              <w:rPr>
                <w:rFonts w:ascii="Tahoma" w:hAnsi="Tahoma" w:cs="Tahoma"/>
                <w:sz w:val="14"/>
              </w:rPr>
              <w:t>Learning Solutions MTA 250 Exam Site License (SL Servizi)</w:t>
            </w:r>
            <w:bookmarkEnd w:id="298"/>
          </w:p>
        </w:tc>
        <w:tc>
          <w:tcPr>
            <w:tcW w:w="450" w:type="dxa"/>
            <w:tcBorders>
              <w:bottom w:val="single" w:sz="4" w:space="0" w:color="auto"/>
            </w:tcBorders>
            <w:shd w:val="clear" w:color="auto" w:fill="FABF8F"/>
            <w:vAlign w:val="center"/>
          </w:tcPr>
          <w:p w:rsidR="00BE6271" w:rsidRPr="00BD7CEA" w:rsidRDefault="00BE6271" w:rsidP="001A63C6">
            <w:pPr>
              <w:pStyle w:val="TableText"/>
              <w:widowControl w:val="0"/>
              <w:rPr>
                <w:b/>
                <w:sz w:val="13"/>
                <w:szCs w:val="13"/>
              </w:rPr>
            </w:pPr>
          </w:p>
        </w:tc>
        <w:tc>
          <w:tcPr>
            <w:tcW w:w="450" w:type="dxa"/>
            <w:tcBorders>
              <w:bottom w:val="single" w:sz="4" w:space="0" w:color="auto"/>
            </w:tcBorders>
            <w:shd w:val="clear" w:color="auto" w:fill="FABF8F"/>
          </w:tcPr>
          <w:p w:rsidR="00BE6271" w:rsidRPr="00BD7CEA" w:rsidRDefault="00BE6271" w:rsidP="001A63C6">
            <w:pPr>
              <w:pStyle w:val="TableText"/>
              <w:widowControl w:val="0"/>
              <w:spacing w:before="80"/>
              <w:rPr>
                <w:rFonts w:ascii="Tahoma" w:hAnsi="Tahoma" w:cs="Tahoma"/>
                <w:sz w:val="13"/>
              </w:rPr>
            </w:pPr>
            <w:r w:rsidRPr="00BD7CEA">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BE6271" w:rsidRPr="00BD7CEA" w:rsidRDefault="00BE6271"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BE6271" w:rsidRPr="00BD7CEA" w:rsidRDefault="00BE6271" w:rsidP="001A63C6">
            <w:pPr>
              <w:pStyle w:val="TableText"/>
              <w:widowControl w:val="0"/>
              <w:rPr>
                <w:rFonts w:ascii="Tahoma" w:hAnsi="Tahoma" w:cs="Tahoma"/>
                <w:sz w:val="13"/>
              </w:rPr>
            </w:pPr>
            <w:r w:rsidRPr="00BD7CEA">
              <w:rPr>
                <w:rFonts w:ascii="Tahoma" w:hAnsi="Tahoma" w:cs="Tahoma"/>
                <w:sz w:val="13"/>
              </w:rPr>
              <w:t>125 crediti</w:t>
            </w:r>
          </w:p>
        </w:tc>
        <w:tc>
          <w:tcPr>
            <w:tcW w:w="450" w:type="dxa"/>
            <w:tcBorders>
              <w:left w:val="single" w:sz="18" w:space="0" w:color="auto"/>
              <w:bottom w:val="single" w:sz="4" w:space="0" w:color="auto"/>
            </w:tcBorders>
            <w:shd w:val="clear" w:color="auto" w:fill="FABF8F"/>
            <w:vAlign w:val="center"/>
          </w:tcPr>
          <w:p w:rsidR="00BE6271" w:rsidRPr="00BD7CEA"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BE6271" w:rsidRPr="00BD7CEA" w:rsidRDefault="00BE627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E6271" w:rsidRPr="00BD7CEA"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E6271" w:rsidRPr="00BD7CEA" w:rsidRDefault="00BE6271" w:rsidP="001A63C6">
            <w:pPr>
              <w:pStyle w:val="TableText"/>
              <w:widowControl w:val="0"/>
              <w:rPr>
                <w:rFonts w:ascii="Tahoma" w:hAnsi="Tahoma" w:cs="Tahoma"/>
                <w:sz w:val="13"/>
              </w:rPr>
            </w:pPr>
            <w:r w:rsidRPr="00BD7CEA">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BE6271" w:rsidRPr="00BD7CEA"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BE6271" w:rsidRPr="00BD7CEA"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BE6271" w:rsidRPr="00BD7CEA" w:rsidRDefault="00BE6271" w:rsidP="001A63C6">
            <w:pPr>
              <w:pStyle w:val="TableText"/>
              <w:widowControl w:val="0"/>
              <w:spacing w:before="120"/>
              <w:rPr>
                <w:rFonts w:ascii="Tahoma" w:hAnsi="Tahoma" w:cs="Tahoma"/>
                <w:sz w:val="13"/>
              </w:rPr>
            </w:pPr>
            <w:r w:rsidRPr="00BD7CEA">
              <w:rPr>
                <w:rFonts w:ascii="Tahoma" w:hAnsi="Tahoma" w:cs="Tahoma"/>
                <w:sz w:val="13"/>
              </w:rPr>
              <w:t>A</w:t>
            </w:r>
          </w:p>
        </w:tc>
        <w:tc>
          <w:tcPr>
            <w:tcW w:w="540" w:type="dxa"/>
            <w:tcBorders>
              <w:bottom w:val="single" w:sz="4" w:space="0" w:color="auto"/>
            </w:tcBorders>
            <w:shd w:val="clear" w:color="auto" w:fill="FABF8F"/>
            <w:vAlign w:val="center"/>
          </w:tcPr>
          <w:p w:rsidR="00BE6271" w:rsidRPr="00BD7CEA" w:rsidRDefault="00BE6271" w:rsidP="001A63C6">
            <w:pPr>
              <w:pStyle w:val="TableText"/>
              <w:widowControl w:val="0"/>
              <w:rPr>
                <w:rFonts w:ascii="Tahoma" w:hAnsi="Tahoma" w:cs="Tahoma"/>
                <w:sz w:val="13"/>
              </w:rPr>
            </w:pPr>
          </w:p>
        </w:tc>
      </w:tr>
      <w:tr w:rsidR="00B33D0E" w:rsidRPr="00BD7CEA" w:rsidTr="006B1F3F">
        <w:trPr>
          <w:trHeight w:val="145"/>
        </w:trPr>
        <w:tc>
          <w:tcPr>
            <w:tcW w:w="2734" w:type="dxa"/>
            <w:gridSpan w:val="2"/>
            <w:tcBorders>
              <w:bottom w:val="single" w:sz="4" w:space="0" w:color="auto"/>
            </w:tcBorders>
            <w:shd w:val="clear" w:color="auto" w:fill="auto"/>
            <w:vAlign w:val="center"/>
          </w:tcPr>
          <w:p w:rsidR="001A63C6" w:rsidRPr="007B74B7" w:rsidRDefault="001A63C6" w:rsidP="001A63C6">
            <w:pPr>
              <w:pStyle w:val="Heading2"/>
              <w:ind w:left="0"/>
              <w:rPr>
                <w:rFonts w:ascii="Tahoma" w:hAnsi="Tahoma" w:cs="Tahoma"/>
                <w:b w:val="0"/>
                <w:sz w:val="14"/>
                <w:szCs w:val="16"/>
                <w:lang w:val="it-IT"/>
              </w:rPr>
            </w:pPr>
            <w:bookmarkStart w:id="299" w:name="_Toc336337995"/>
            <w:bookmarkStart w:id="300" w:name="_Toc353375787"/>
            <w:r w:rsidRPr="007B74B7">
              <w:rPr>
                <w:rFonts w:ascii="Tahoma" w:hAnsi="Tahoma" w:cs="Tahoma"/>
                <w:b w:val="0"/>
                <w:sz w:val="14"/>
                <w:szCs w:val="16"/>
                <w:lang w:val="it-IT"/>
              </w:rPr>
              <w:t>Lync Online Piano 1 (SL per Utente)</w:t>
            </w:r>
            <w:bookmarkEnd w:id="299"/>
            <w:bookmarkEnd w:id="300"/>
          </w:p>
        </w:tc>
        <w:tc>
          <w:tcPr>
            <w:tcW w:w="450" w:type="dxa"/>
            <w:tcBorders>
              <w:bottom w:val="single" w:sz="4" w:space="0" w:color="auto"/>
            </w:tcBorders>
            <w:shd w:val="clear" w:color="auto" w:fill="auto"/>
            <w:vAlign w:val="center"/>
          </w:tcPr>
          <w:p w:rsidR="001A63C6" w:rsidRPr="00BD7CEA" w:rsidRDefault="006E5080" w:rsidP="002E59B1">
            <w:pPr>
              <w:pStyle w:val="TableText"/>
              <w:widowControl w:val="0"/>
              <w:rPr>
                <w:b/>
                <w:color w:val="0000FF"/>
                <w:sz w:val="13"/>
                <w:szCs w:val="13"/>
                <w:u w:val="single"/>
              </w:rPr>
            </w:pPr>
            <w:hyperlink w:anchor="_64_Lync_Online" w:history="1">
              <w:hyperlink w:anchor="Srv_65LyncOnlinePlan1and2" w:history="1">
                <w:r w:rsidR="00955428" w:rsidRPr="00BD7CEA">
                  <w:rPr>
                    <w:rStyle w:val="Hyperlink"/>
                    <w:b/>
                    <w:sz w:val="13"/>
                    <w:szCs w:val="13"/>
                  </w:rPr>
                  <w:t>6</w:t>
                </w:r>
              </w:hyperlink>
              <w:r w:rsidR="00955428" w:rsidRPr="00BD7CEA">
                <w:rPr>
                  <w:rStyle w:val="Hyperlink"/>
                  <w:b/>
                  <w:sz w:val="13"/>
                  <w:szCs w:val="13"/>
                </w:rPr>
                <w:t>4</w:t>
              </w:r>
            </w:hyperlink>
          </w:p>
        </w:tc>
        <w:tc>
          <w:tcPr>
            <w:tcW w:w="450" w:type="dxa"/>
            <w:tcBorders>
              <w:bottom w:val="single" w:sz="4" w:space="0" w:color="auto"/>
            </w:tcBorders>
            <w:shd w:val="clear" w:color="auto" w:fill="auto"/>
          </w:tcPr>
          <w:p w:rsidR="001A63C6" w:rsidRPr="00BD7CEA" w:rsidRDefault="001A63C6" w:rsidP="001A63C6">
            <w:pPr>
              <w:pStyle w:val="TableText"/>
              <w:widowControl w:val="0"/>
              <w:spacing w:before="120"/>
              <w:rPr>
                <w:rFonts w:ascii="Tahoma" w:hAnsi="Tahoma" w:cs="Tahoma"/>
                <w:color w:val="000000"/>
                <w:sz w:val="13"/>
              </w:rPr>
            </w:pPr>
            <w:r w:rsidRPr="00BD7CEA">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BD7CEA"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r>
      <w:tr w:rsidR="00BE2E58" w:rsidRPr="00BD7CEA" w:rsidTr="006B1F3F">
        <w:trPr>
          <w:trHeight w:val="145"/>
        </w:trPr>
        <w:tc>
          <w:tcPr>
            <w:tcW w:w="2734" w:type="dxa"/>
            <w:gridSpan w:val="2"/>
            <w:tcBorders>
              <w:bottom w:val="single" w:sz="4" w:space="0" w:color="auto"/>
            </w:tcBorders>
            <w:shd w:val="clear" w:color="auto" w:fill="FABF8F"/>
            <w:vAlign w:val="center"/>
          </w:tcPr>
          <w:p w:rsidR="001A63C6" w:rsidRPr="007B74B7" w:rsidRDefault="001A63C6" w:rsidP="001A63C6">
            <w:pPr>
              <w:pStyle w:val="Heading2"/>
              <w:ind w:left="0"/>
              <w:rPr>
                <w:rFonts w:ascii="Tahoma" w:hAnsi="Tahoma" w:cs="Tahoma"/>
                <w:b w:val="0"/>
                <w:sz w:val="14"/>
                <w:szCs w:val="16"/>
                <w:lang w:val="it-IT"/>
              </w:rPr>
            </w:pPr>
            <w:bookmarkStart w:id="301" w:name="_Toc336337996"/>
            <w:bookmarkStart w:id="302" w:name="_Toc353375788"/>
            <w:r w:rsidRPr="007B74B7">
              <w:rPr>
                <w:rFonts w:ascii="Tahoma" w:hAnsi="Tahoma" w:cs="Tahoma"/>
                <w:b w:val="0"/>
                <w:sz w:val="14"/>
                <w:szCs w:val="16"/>
                <w:lang w:val="it-IT"/>
              </w:rPr>
              <w:t>Lync Online Piano 2 (SL per Utente)</w:t>
            </w:r>
            <w:bookmarkEnd w:id="301"/>
            <w:bookmarkEnd w:id="302"/>
          </w:p>
        </w:tc>
        <w:tc>
          <w:tcPr>
            <w:tcW w:w="450" w:type="dxa"/>
            <w:tcBorders>
              <w:bottom w:val="single" w:sz="4" w:space="0" w:color="auto"/>
            </w:tcBorders>
            <w:shd w:val="clear" w:color="auto" w:fill="FABF8F"/>
            <w:vAlign w:val="center"/>
          </w:tcPr>
          <w:p w:rsidR="001A63C6" w:rsidRPr="00BD7CEA" w:rsidRDefault="006E5080" w:rsidP="002E59B1">
            <w:pPr>
              <w:pStyle w:val="TableText"/>
              <w:widowControl w:val="0"/>
              <w:rPr>
                <w:b/>
                <w:color w:val="0000FF"/>
                <w:sz w:val="13"/>
                <w:szCs w:val="13"/>
                <w:u w:val="single"/>
              </w:rPr>
            </w:pPr>
            <w:hyperlink w:anchor="_64_Lync_Online" w:history="1">
              <w:hyperlink w:anchor="Srv_65LyncOnlinePlan1and2" w:history="1">
                <w:r w:rsidR="00806FB0" w:rsidRPr="00BD7CEA">
                  <w:rPr>
                    <w:rStyle w:val="Hyperlink"/>
                    <w:b/>
                    <w:sz w:val="13"/>
                    <w:szCs w:val="13"/>
                  </w:rPr>
                  <w:t>6</w:t>
                </w:r>
              </w:hyperlink>
              <w:r w:rsidR="00806FB0" w:rsidRPr="00BD7CEA">
                <w:rPr>
                  <w:rStyle w:val="Hyperlink"/>
                  <w:b/>
                  <w:sz w:val="13"/>
                  <w:szCs w:val="13"/>
                </w:rPr>
                <w:t>4</w:t>
              </w:r>
            </w:hyperlink>
          </w:p>
        </w:tc>
        <w:tc>
          <w:tcPr>
            <w:tcW w:w="450" w:type="dxa"/>
            <w:tcBorders>
              <w:bottom w:val="single" w:sz="4" w:space="0" w:color="auto"/>
            </w:tcBorders>
            <w:shd w:val="clear" w:color="auto" w:fill="FABF8F"/>
          </w:tcPr>
          <w:p w:rsidR="001A63C6" w:rsidRPr="00BD7CEA" w:rsidRDefault="001A63C6" w:rsidP="001A63C6">
            <w:pPr>
              <w:pStyle w:val="TableText"/>
              <w:widowControl w:val="0"/>
              <w:spacing w:before="120"/>
              <w:rPr>
                <w:rFonts w:ascii="Tahoma" w:hAnsi="Tahoma" w:cs="Tahoma"/>
                <w:color w:val="000000"/>
                <w:sz w:val="13"/>
              </w:rPr>
            </w:pPr>
            <w:r w:rsidRPr="00BD7CEA">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D7CEA"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r>
      <w:tr w:rsidR="00B33D0E" w:rsidRPr="00BD7CEA" w:rsidTr="006B1F3F">
        <w:trPr>
          <w:trHeight w:val="145"/>
        </w:trPr>
        <w:tc>
          <w:tcPr>
            <w:tcW w:w="2734" w:type="dxa"/>
            <w:gridSpan w:val="2"/>
            <w:tcBorders>
              <w:bottom w:val="single" w:sz="4" w:space="0" w:color="auto"/>
            </w:tcBorders>
            <w:shd w:val="clear" w:color="auto" w:fill="auto"/>
            <w:vAlign w:val="center"/>
          </w:tcPr>
          <w:p w:rsidR="001A63C6" w:rsidRPr="007B74B7" w:rsidRDefault="001A63C6" w:rsidP="001A63C6">
            <w:pPr>
              <w:pStyle w:val="Heading2"/>
              <w:ind w:left="0"/>
              <w:rPr>
                <w:rFonts w:ascii="Tahoma" w:hAnsi="Tahoma" w:cs="Tahoma"/>
                <w:b w:val="0"/>
                <w:sz w:val="14"/>
                <w:szCs w:val="16"/>
                <w:lang w:val="it-IT"/>
              </w:rPr>
            </w:pPr>
            <w:bookmarkStart w:id="303" w:name="_Toc336337997"/>
            <w:bookmarkStart w:id="304" w:name="_Toc353375789"/>
            <w:r w:rsidRPr="007B74B7">
              <w:rPr>
                <w:rFonts w:ascii="Tahoma" w:hAnsi="Tahoma" w:cs="Tahoma"/>
                <w:b w:val="0"/>
                <w:sz w:val="14"/>
                <w:szCs w:val="16"/>
                <w:lang w:val="it-IT"/>
              </w:rPr>
              <w:t>Lync Online Piano 3 (SL per Utente)</w:t>
            </w:r>
            <w:bookmarkEnd w:id="303"/>
            <w:bookmarkEnd w:id="304"/>
          </w:p>
        </w:tc>
        <w:tc>
          <w:tcPr>
            <w:tcW w:w="450" w:type="dxa"/>
            <w:tcBorders>
              <w:bottom w:val="single" w:sz="4" w:space="0" w:color="auto"/>
            </w:tcBorders>
            <w:shd w:val="clear" w:color="auto" w:fill="auto"/>
            <w:vAlign w:val="center"/>
          </w:tcPr>
          <w:p w:rsidR="001A63C6" w:rsidRPr="00BD7CEA" w:rsidRDefault="006E5080" w:rsidP="002E59B1">
            <w:pPr>
              <w:pStyle w:val="TableText"/>
              <w:widowControl w:val="0"/>
              <w:rPr>
                <w:b/>
                <w:color w:val="0000FF"/>
                <w:sz w:val="13"/>
                <w:szCs w:val="13"/>
                <w:u w:val="single"/>
              </w:rPr>
            </w:pPr>
            <w:hyperlink w:anchor="_64_Lync_Online" w:history="1">
              <w:hyperlink w:anchor="Srv_65LyncOnlinePlan1and2" w:history="1">
                <w:r w:rsidR="00806FB0" w:rsidRPr="00BD7CEA">
                  <w:rPr>
                    <w:rStyle w:val="Hyperlink"/>
                    <w:b/>
                    <w:sz w:val="13"/>
                    <w:szCs w:val="13"/>
                  </w:rPr>
                  <w:t>6</w:t>
                </w:r>
              </w:hyperlink>
              <w:r w:rsidR="00806FB0" w:rsidRPr="00BD7CEA">
                <w:rPr>
                  <w:rStyle w:val="Hyperlink"/>
                  <w:b/>
                  <w:sz w:val="13"/>
                  <w:szCs w:val="13"/>
                </w:rPr>
                <w:t>4</w:t>
              </w:r>
            </w:hyperlink>
          </w:p>
        </w:tc>
        <w:tc>
          <w:tcPr>
            <w:tcW w:w="450" w:type="dxa"/>
            <w:tcBorders>
              <w:bottom w:val="single" w:sz="4" w:space="0" w:color="auto"/>
            </w:tcBorders>
            <w:shd w:val="clear" w:color="auto" w:fill="auto"/>
          </w:tcPr>
          <w:p w:rsidR="001A63C6" w:rsidRPr="00BD7CEA" w:rsidRDefault="001A63C6" w:rsidP="001A63C6">
            <w:pPr>
              <w:pStyle w:val="TableText"/>
              <w:widowControl w:val="0"/>
              <w:spacing w:before="120"/>
              <w:rPr>
                <w:rFonts w:ascii="Tahoma" w:hAnsi="Tahoma" w:cs="Tahoma"/>
                <w:color w:val="000000"/>
                <w:sz w:val="13"/>
              </w:rPr>
            </w:pPr>
            <w:r w:rsidRPr="00BD7CEA">
              <w:rPr>
                <w:rFonts w:ascii="Tahoma"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BD7CEA"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r>
      <w:tr w:rsidR="00BE2E58" w:rsidRPr="00BD7CEA" w:rsidTr="006B1F3F">
        <w:trPr>
          <w:trHeight w:val="145"/>
        </w:trPr>
        <w:tc>
          <w:tcPr>
            <w:tcW w:w="2734" w:type="dxa"/>
            <w:gridSpan w:val="2"/>
            <w:tcBorders>
              <w:bottom w:val="single" w:sz="4" w:space="0" w:color="auto"/>
            </w:tcBorders>
            <w:shd w:val="clear" w:color="auto" w:fill="FABF8F"/>
            <w:vAlign w:val="center"/>
          </w:tcPr>
          <w:p w:rsidR="001A63C6" w:rsidRPr="007B74B7" w:rsidRDefault="001A63C6" w:rsidP="001A63C6">
            <w:pPr>
              <w:pStyle w:val="Heading2"/>
              <w:ind w:left="0"/>
              <w:rPr>
                <w:rFonts w:ascii="Tahoma" w:hAnsi="Tahoma" w:cs="Tahoma"/>
                <w:b w:val="0"/>
                <w:sz w:val="14"/>
                <w:szCs w:val="16"/>
                <w:lang w:val="it-IT"/>
              </w:rPr>
            </w:pPr>
            <w:bookmarkStart w:id="305" w:name="_Toc336337998"/>
            <w:bookmarkStart w:id="306" w:name="_Toc353375790"/>
            <w:r w:rsidRPr="007B74B7">
              <w:rPr>
                <w:rFonts w:ascii="Tahoma" w:hAnsi="Tahoma" w:cs="Tahoma"/>
                <w:b w:val="0"/>
                <w:sz w:val="14"/>
                <w:szCs w:val="16"/>
                <w:lang w:val="it-IT"/>
              </w:rPr>
              <w:t>Lync Online Piano 3A (SL per Utente)</w:t>
            </w:r>
            <w:bookmarkEnd w:id="305"/>
            <w:bookmarkEnd w:id="306"/>
          </w:p>
        </w:tc>
        <w:tc>
          <w:tcPr>
            <w:tcW w:w="450" w:type="dxa"/>
            <w:tcBorders>
              <w:bottom w:val="single" w:sz="4" w:space="0" w:color="auto"/>
            </w:tcBorders>
            <w:shd w:val="clear" w:color="auto" w:fill="FABF8F"/>
            <w:vAlign w:val="center"/>
          </w:tcPr>
          <w:p w:rsidR="001A63C6" w:rsidRPr="00BD7CEA" w:rsidRDefault="006E5080" w:rsidP="002E59B1">
            <w:pPr>
              <w:pStyle w:val="TableText"/>
              <w:widowControl w:val="0"/>
              <w:rPr>
                <w:b/>
                <w:color w:val="0000FF"/>
                <w:sz w:val="13"/>
                <w:szCs w:val="13"/>
                <w:u w:val="single"/>
              </w:rPr>
            </w:pPr>
            <w:hyperlink w:anchor="_64_Lync_Online" w:history="1">
              <w:hyperlink w:anchor="Srv_65LyncOnlinePlan1and2" w:history="1">
                <w:r w:rsidR="00806FB0" w:rsidRPr="00BD7CEA">
                  <w:rPr>
                    <w:rStyle w:val="Hyperlink"/>
                    <w:b/>
                    <w:sz w:val="13"/>
                    <w:szCs w:val="13"/>
                  </w:rPr>
                  <w:t>6</w:t>
                </w:r>
              </w:hyperlink>
              <w:r w:rsidR="00806FB0" w:rsidRPr="00BD7CEA">
                <w:rPr>
                  <w:rStyle w:val="Hyperlink"/>
                  <w:b/>
                  <w:sz w:val="13"/>
                  <w:szCs w:val="13"/>
                </w:rPr>
                <w:t>4</w:t>
              </w:r>
            </w:hyperlink>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 ST (Solo EES)</w:t>
            </w:r>
          </w:p>
        </w:tc>
        <w:tc>
          <w:tcPr>
            <w:tcW w:w="54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r>
      <w:tr w:rsidR="00B33D0E" w:rsidRPr="00BD7CEA" w:rsidTr="006B1F3F">
        <w:trPr>
          <w:trHeight w:val="145"/>
        </w:trPr>
        <w:tc>
          <w:tcPr>
            <w:tcW w:w="2734" w:type="dxa"/>
            <w:gridSpan w:val="2"/>
            <w:tcBorders>
              <w:bottom w:val="single" w:sz="4" w:space="0" w:color="auto"/>
            </w:tcBorders>
            <w:shd w:val="clear" w:color="auto" w:fill="auto"/>
            <w:vAlign w:val="center"/>
          </w:tcPr>
          <w:p w:rsidR="001A63C6" w:rsidRPr="00BD7CEA" w:rsidRDefault="001A63C6" w:rsidP="001A63C6">
            <w:pPr>
              <w:pStyle w:val="Heading2"/>
              <w:ind w:left="0"/>
              <w:rPr>
                <w:rFonts w:ascii="Tahoma" w:hAnsi="Tahoma" w:cs="Tahoma"/>
                <w:b w:val="0"/>
                <w:sz w:val="14"/>
                <w:szCs w:val="16"/>
              </w:rPr>
            </w:pPr>
            <w:bookmarkStart w:id="307" w:name="_Toc336337999"/>
            <w:bookmarkStart w:id="308" w:name="_Toc353375791"/>
            <w:r w:rsidRPr="00BD7CEA">
              <w:rPr>
                <w:rFonts w:ascii="Tahoma" w:hAnsi="Tahoma" w:cs="Tahoma"/>
                <w:b w:val="0"/>
                <w:sz w:val="14"/>
                <w:szCs w:val="16"/>
              </w:rPr>
              <w:t xml:space="preserve">Lync Server </w:t>
            </w:r>
            <w:bookmarkEnd w:id="307"/>
            <w:r w:rsidRPr="00BD7CEA">
              <w:rPr>
                <w:rFonts w:ascii="Tahoma" w:hAnsi="Tahoma" w:cs="Tahoma"/>
                <w:b w:val="0"/>
                <w:sz w:val="14"/>
                <w:szCs w:val="16"/>
              </w:rPr>
              <w:t>2013</w:t>
            </w:r>
            <w:bookmarkEnd w:id="308"/>
          </w:p>
        </w:tc>
        <w:tc>
          <w:tcPr>
            <w:tcW w:w="450" w:type="dxa"/>
            <w:tcBorders>
              <w:bottom w:val="single" w:sz="4" w:space="0" w:color="auto"/>
            </w:tcBorders>
            <w:shd w:val="clear" w:color="auto" w:fill="auto"/>
            <w:vAlign w:val="center"/>
          </w:tcPr>
          <w:p w:rsidR="001A63C6" w:rsidRPr="00BD7CEA" w:rsidRDefault="006E5080" w:rsidP="002E59B1">
            <w:pPr>
              <w:pStyle w:val="TableText"/>
              <w:widowControl w:val="0"/>
              <w:rPr>
                <w:b/>
                <w:color w:val="0000FF"/>
                <w:sz w:val="13"/>
                <w:szCs w:val="13"/>
                <w:u w:val="single"/>
              </w:rPr>
            </w:pPr>
            <w:hyperlink w:anchor="_65_Lync_Server" w:history="1">
              <w:r w:rsidR="00955428" w:rsidRPr="00BD7CEA">
                <w:rPr>
                  <w:rStyle w:val="Hyperlink"/>
                  <w:b/>
                  <w:sz w:val="13"/>
                  <w:szCs w:val="13"/>
                </w:rPr>
                <w:t>65</w:t>
              </w:r>
            </w:hyperlink>
          </w:p>
        </w:tc>
        <w:tc>
          <w:tcPr>
            <w:tcW w:w="450" w:type="dxa"/>
            <w:tcBorders>
              <w:bottom w:val="single" w:sz="4" w:space="0" w:color="auto"/>
            </w:tcBorders>
            <w:shd w:val="clear" w:color="auto" w:fill="auto"/>
          </w:tcPr>
          <w:p w:rsidR="001A63C6" w:rsidRPr="00BD7CEA" w:rsidRDefault="001A63C6" w:rsidP="001A63C6">
            <w:pPr>
              <w:pStyle w:val="TableText"/>
              <w:widowControl w:val="0"/>
              <w:spacing w:before="120"/>
              <w:rPr>
                <w:rFonts w:ascii="Tahoma" w:hAnsi="Tahoma" w:cs="Tahoma"/>
                <w:color w:val="000000"/>
                <w:sz w:val="13"/>
              </w:rPr>
            </w:pPr>
            <w:r w:rsidRPr="00BD7CEA">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50</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125</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100</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75</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75</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50</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P</w:t>
            </w:r>
          </w:p>
        </w:tc>
        <w:tc>
          <w:tcPr>
            <w:tcW w:w="450" w:type="dxa"/>
            <w:tcBorders>
              <w:bottom w:val="single" w:sz="4" w:space="0" w:color="auto"/>
            </w:tcBorders>
            <w:shd w:val="clear" w:color="auto" w:fill="auto"/>
          </w:tcPr>
          <w:p w:rsidR="001A63C6" w:rsidRPr="00BD7CEA" w:rsidRDefault="001A63C6" w:rsidP="001A63C6">
            <w:pPr>
              <w:pStyle w:val="TableText"/>
              <w:widowControl w:val="0"/>
              <w:spacing w:before="120"/>
              <w:rPr>
                <w:rFonts w:ascii="Tahoma" w:hAnsi="Tahoma" w:cs="Tahoma"/>
                <w:sz w:val="13"/>
              </w:rPr>
            </w:pPr>
            <w:r w:rsidRPr="00BD7CEA">
              <w:rPr>
                <w:rFonts w:ascii="Tahoma" w:hAnsi="Tahoma" w:cs="Tahoma"/>
                <w:sz w:val="13"/>
              </w:rPr>
              <w:t>A</w:t>
            </w: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r>
      <w:tr w:rsidR="00EF228F" w:rsidRPr="00BD7CEA" w:rsidTr="006B1F3F">
        <w:trPr>
          <w:trHeight w:val="145"/>
        </w:trPr>
        <w:tc>
          <w:tcPr>
            <w:tcW w:w="2734" w:type="dxa"/>
            <w:gridSpan w:val="2"/>
            <w:tcBorders>
              <w:bottom w:val="single" w:sz="4" w:space="0" w:color="auto"/>
            </w:tcBorders>
            <w:shd w:val="clear" w:color="auto" w:fill="FABF8F"/>
            <w:vAlign w:val="center"/>
          </w:tcPr>
          <w:p w:rsidR="001A63C6" w:rsidRPr="00BD7CEA" w:rsidDel="006A2F66" w:rsidRDefault="001A63C6" w:rsidP="001A63C6">
            <w:pPr>
              <w:pStyle w:val="Heading2"/>
              <w:ind w:left="0"/>
              <w:rPr>
                <w:rFonts w:ascii="Tahoma" w:hAnsi="Tahoma" w:cs="Tahoma"/>
                <w:b w:val="0"/>
                <w:sz w:val="14"/>
                <w:szCs w:val="16"/>
              </w:rPr>
            </w:pPr>
            <w:bookmarkStart w:id="309" w:name="_Toc336338000"/>
            <w:bookmarkStart w:id="310" w:name="_Toc353375792"/>
            <w:r w:rsidRPr="00BD7CEA">
              <w:rPr>
                <w:rFonts w:ascii="Tahoma" w:hAnsi="Tahoma" w:cs="Tahoma"/>
                <w:b w:val="0"/>
                <w:sz w:val="14"/>
                <w:szCs w:val="16"/>
              </w:rPr>
              <w:t>Enterprise CAL per Lync Server</w:t>
            </w:r>
            <w:bookmarkEnd w:id="309"/>
            <w:r w:rsidRPr="00BD7CEA">
              <w:rPr>
                <w:rFonts w:ascii="Tahoma" w:hAnsi="Tahoma" w:cs="Tahoma"/>
                <w:b w:val="0"/>
                <w:sz w:val="14"/>
                <w:szCs w:val="16"/>
              </w:rPr>
              <w:t xml:space="preserve"> 2013</w:t>
            </w:r>
            <w:bookmarkEnd w:id="310"/>
          </w:p>
        </w:tc>
        <w:tc>
          <w:tcPr>
            <w:tcW w:w="450" w:type="dxa"/>
            <w:tcBorders>
              <w:bottom w:val="single" w:sz="4" w:space="0" w:color="auto"/>
            </w:tcBorders>
            <w:shd w:val="clear" w:color="auto" w:fill="FABF8F"/>
            <w:vAlign w:val="center"/>
          </w:tcPr>
          <w:p w:rsidR="001A63C6" w:rsidRPr="00BD7CEA" w:rsidDel="006A2F66" w:rsidRDefault="001A63C6" w:rsidP="001A63C6">
            <w:pPr>
              <w:pStyle w:val="TableText"/>
              <w:widowControl w:val="0"/>
              <w:rPr>
                <w:b/>
                <w:color w:val="0000FF"/>
                <w:sz w:val="13"/>
                <w:szCs w:val="13"/>
                <w:u w:val="single"/>
              </w:rPr>
            </w:pPr>
          </w:p>
        </w:tc>
        <w:tc>
          <w:tcPr>
            <w:tcW w:w="450" w:type="dxa"/>
            <w:tcBorders>
              <w:bottom w:val="single" w:sz="4" w:space="0" w:color="auto"/>
            </w:tcBorders>
            <w:shd w:val="clear" w:color="auto" w:fill="FABF8F"/>
          </w:tcPr>
          <w:p w:rsidR="001A63C6" w:rsidRPr="00BD7CEA" w:rsidDel="006A2F66" w:rsidRDefault="001A63C6" w:rsidP="001A63C6">
            <w:pPr>
              <w:pStyle w:val="TableText"/>
              <w:widowControl w:val="0"/>
              <w:spacing w:before="120"/>
              <w:rPr>
                <w:rFonts w:ascii="Tahoma" w:hAnsi="Tahoma" w:cs="Tahoma"/>
                <w:color w:val="000000"/>
                <w:sz w:val="13"/>
              </w:rPr>
            </w:pPr>
            <w:r w:rsidRPr="00BD7CEA">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BD7CEA" w:rsidDel="006A2F6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D7CEA" w:rsidDel="006A2F66"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bottom w:val="single" w:sz="4" w:space="0" w:color="auto"/>
            </w:tcBorders>
            <w:shd w:val="clear" w:color="auto" w:fill="FABF8F"/>
            <w:vAlign w:val="center"/>
          </w:tcPr>
          <w:p w:rsidR="001A63C6" w:rsidRPr="00BD7CEA" w:rsidDel="006A2F66" w:rsidRDefault="001A63C6" w:rsidP="001A63C6">
            <w:pPr>
              <w:pStyle w:val="TableText"/>
              <w:widowControl w:val="0"/>
              <w:rPr>
                <w:rFonts w:ascii="Tahoma" w:hAnsi="Tahoma" w:cs="Tahoma"/>
                <w:sz w:val="13"/>
              </w:rPr>
            </w:pPr>
            <w:r w:rsidRPr="00BD7CEA">
              <w:rPr>
                <w:rFonts w:ascii="Tahoma" w:hAnsi="Tahoma" w:cs="Tahoma"/>
                <w:sz w:val="13"/>
              </w:rPr>
              <w:t>3</w:t>
            </w:r>
          </w:p>
        </w:tc>
        <w:tc>
          <w:tcPr>
            <w:tcW w:w="450" w:type="dxa"/>
            <w:tcBorders>
              <w:bottom w:val="single" w:sz="4" w:space="0" w:color="auto"/>
            </w:tcBorders>
            <w:shd w:val="clear" w:color="auto" w:fill="FABF8F"/>
            <w:vAlign w:val="center"/>
          </w:tcPr>
          <w:p w:rsidR="001A63C6" w:rsidRPr="00BD7CEA" w:rsidDel="006A2F66" w:rsidRDefault="001A63C6" w:rsidP="001A63C6">
            <w:pPr>
              <w:pStyle w:val="TableText"/>
              <w:widowControl w:val="0"/>
              <w:rPr>
                <w:rFonts w:ascii="Tahoma" w:hAnsi="Tahoma" w:cs="Tahoma"/>
                <w:sz w:val="13"/>
              </w:rPr>
            </w:pPr>
            <w:r w:rsidRPr="00BD7CEA">
              <w:rPr>
                <w:rFonts w:ascii="Tahoma" w:hAnsi="Tahoma" w:cs="Tahoma"/>
                <w:sz w:val="13"/>
              </w:rPr>
              <w:t>2</w:t>
            </w:r>
          </w:p>
        </w:tc>
        <w:tc>
          <w:tcPr>
            <w:tcW w:w="450" w:type="dxa"/>
            <w:tcBorders>
              <w:bottom w:val="single" w:sz="4" w:space="0" w:color="auto"/>
            </w:tcBorders>
            <w:shd w:val="clear" w:color="auto" w:fill="FABF8F"/>
            <w:vAlign w:val="center"/>
          </w:tcPr>
          <w:p w:rsidR="001A63C6" w:rsidRPr="00BD7CEA" w:rsidDel="006A2F66" w:rsidRDefault="001A63C6" w:rsidP="001A63C6">
            <w:pPr>
              <w:pStyle w:val="TableText"/>
              <w:widowControl w:val="0"/>
              <w:rPr>
                <w:rFonts w:ascii="Tahoma" w:hAnsi="Tahoma" w:cs="Tahoma"/>
                <w:sz w:val="13"/>
              </w:rPr>
            </w:pPr>
            <w:r w:rsidRPr="00BD7CEA">
              <w:rPr>
                <w:rFonts w:ascii="Tahoma" w:hAnsi="Tahoma" w:cs="Tahoma"/>
                <w:sz w:val="13"/>
              </w:rPr>
              <w:t>2</w:t>
            </w:r>
          </w:p>
        </w:tc>
        <w:tc>
          <w:tcPr>
            <w:tcW w:w="450" w:type="dxa"/>
            <w:tcBorders>
              <w:bottom w:val="single" w:sz="4" w:space="0" w:color="auto"/>
            </w:tcBorders>
            <w:shd w:val="clear" w:color="auto" w:fill="FABF8F"/>
            <w:vAlign w:val="center"/>
          </w:tcPr>
          <w:p w:rsidR="001A63C6" w:rsidRPr="00BD7CEA" w:rsidDel="006A2F66" w:rsidRDefault="001A63C6" w:rsidP="001A63C6">
            <w:pPr>
              <w:pStyle w:val="TableText"/>
              <w:widowControl w:val="0"/>
              <w:rPr>
                <w:rFonts w:ascii="Tahoma" w:hAnsi="Tahoma" w:cs="Tahoma"/>
                <w:sz w:val="13"/>
              </w:rPr>
            </w:pPr>
            <w:r w:rsidRPr="00BD7CEA">
              <w:rPr>
                <w:rFonts w:ascii="Tahoma" w:hAnsi="Tahoma" w:cs="Tahoma"/>
                <w:sz w:val="13"/>
              </w:rPr>
              <w:t>2</w:t>
            </w:r>
          </w:p>
        </w:tc>
        <w:tc>
          <w:tcPr>
            <w:tcW w:w="450" w:type="dxa"/>
            <w:tcBorders>
              <w:bottom w:val="single" w:sz="4" w:space="0" w:color="auto"/>
            </w:tcBorders>
            <w:shd w:val="clear" w:color="auto" w:fill="FABF8F"/>
            <w:vAlign w:val="center"/>
          </w:tcPr>
          <w:p w:rsidR="001A63C6" w:rsidRPr="00BD7CEA" w:rsidDel="006A2F66" w:rsidRDefault="001A63C6" w:rsidP="001A63C6">
            <w:pPr>
              <w:pStyle w:val="TableText"/>
              <w:widowControl w:val="0"/>
              <w:rPr>
                <w:rFonts w:ascii="Tahoma" w:hAnsi="Tahoma" w:cs="Tahoma"/>
                <w:sz w:val="13"/>
              </w:rPr>
            </w:pPr>
            <w:r w:rsidRPr="00BD7CEA">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BD7CEA" w:rsidDel="006A2F66"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BD7CEA" w:rsidDel="006A2F66"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bottom w:val="single" w:sz="4" w:space="0" w:color="auto"/>
            </w:tcBorders>
            <w:shd w:val="clear" w:color="auto" w:fill="FABF8F"/>
            <w:vAlign w:val="center"/>
          </w:tcPr>
          <w:p w:rsidR="001A63C6" w:rsidRPr="00BD7CEA" w:rsidDel="006A2F66" w:rsidRDefault="001A63C6" w:rsidP="001A63C6">
            <w:pPr>
              <w:pStyle w:val="TableText"/>
              <w:widowControl w:val="0"/>
              <w:rPr>
                <w:rFonts w:ascii="Tahoma" w:hAnsi="Tahoma" w:cs="Tahoma"/>
                <w:sz w:val="13"/>
              </w:rPr>
            </w:pPr>
            <w:r w:rsidRPr="00BD7CEA">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BD7CEA" w:rsidDel="006A2F66"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BD7CEA" w:rsidDel="006A2F66"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BD7CEA" w:rsidDel="006A2F66" w:rsidRDefault="001A63C6" w:rsidP="001A63C6">
            <w:pPr>
              <w:pStyle w:val="TableText"/>
              <w:widowControl w:val="0"/>
              <w:rPr>
                <w:rFonts w:ascii="Tahoma" w:hAnsi="Tahoma" w:cs="Tahoma"/>
                <w:sz w:val="13"/>
              </w:rPr>
            </w:pPr>
            <w:r w:rsidRPr="00BD7CE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Del="006A2F66" w:rsidRDefault="001A63C6" w:rsidP="001A63C6">
            <w:pPr>
              <w:pStyle w:val="TableText"/>
              <w:widowControl w:val="0"/>
              <w:rPr>
                <w:rFonts w:ascii="Tahoma" w:hAnsi="Tahoma" w:cs="Tahoma"/>
                <w:sz w:val="13"/>
              </w:rPr>
            </w:pPr>
            <w:r w:rsidRPr="00BD7CEA">
              <w:rPr>
                <w:rFonts w:ascii="Tahoma" w:hAnsi="Tahoma" w:cs="Tahoma"/>
                <w:sz w:val="13"/>
              </w:rPr>
              <w:t>P</w:t>
            </w:r>
          </w:p>
        </w:tc>
        <w:tc>
          <w:tcPr>
            <w:tcW w:w="450" w:type="dxa"/>
            <w:tcBorders>
              <w:bottom w:val="single" w:sz="4" w:space="0" w:color="auto"/>
            </w:tcBorders>
            <w:shd w:val="clear" w:color="auto" w:fill="FABF8F"/>
          </w:tcPr>
          <w:p w:rsidR="001A63C6" w:rsidRPr="00BD7CEA" w:rsidDel="006A2F66" w:rsidRDefault="001A63C6" w:rsidP="001A63C6">
            <w:pPr>
              <w:pStyle w:val="TableText"/>
              <w:widowControl w:val="0"/>
              <w:spacing w:before="120"/>
              <w:rPr>
                <w:rFonts w:ascii="Tahoma" w:hAnsi="Tahoma" w:cs="Tahoma"/>
                <w:sz w:val="13"/>
              </w:rPr>
            </w:pPr>
            <w:r w:rsidRPr="00BD7CEA">
              <w:rPr>
                <w:rFonts w:ascii="Tahoma" w:hAnsi="Tahoma" w:cs="Tahoma"/>
                <w:sz w:val="13"/>
              </w:rPr>
              <w:t>AO, ST</w:t>
            </w:r>
          </w:p>
        </w:tc>
        <w:tc>
          <w:tcPr>
            <w:tcW w:w="54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r>
      <w:tr w:rsidR="00B33D0E" w:rsidRPr="00BD7CEA" w:rsidTr="006B1F3F">
        <w:trPr>
          <w:trHeight w:val="145"/>
        </w:trPr>
        <w:tc>
          <w:tcPr>
            <w:tcW w:w="2734" w:type="dxa"/>
            <w:gridSpan w:val="2"/>
            <w:tcBorders>
              <w:bottom w:val="single" w:sz="4" w:space="0" w:color="auto"/>
            </w:tcBorders>
            <w:shd w:val="clear" w:color="auto" w:fill="auto"/>
            <w:vAlign w:val="center"/>
          </w:tcPr>
          <w:p w:rsidR="001A63C6" w:rsidRPr="007B74B7" w:rsidDel="006A2F66" w:rsidRDefault="001A63C6" w:rsidP="001A63C6">
            <w:pPr>
              <w:pStyle w:val="Heading2"/>
              <w:ind w:left="0"/>
              <w:rPr>
                <w:rFonts w:ascii="Tahoma" w:hAnsi="Tahoma" w:cs="Tahoma"/>
                <w:b w:val="0"/>
                <w:sz w:val="14"/>
                <w:szCs w:val="16"/>
                <w:lang w:val="fr-FR"/>
              </w:rPr>
            </w:pPr>
            <w:bookmarkStart w:id="311" w:name="_Toc336338002"/>
            <w:bookmarkStart w:id="312" w:name="_Toc353375793"/>
            <w:r w:rsidRPr="007B74B7">
              <w:rPr>
                <w:rFonts w:ascii="Tahoma" w:hAnsi="Tahoma" w:cs="Tahoma"/>
                <w:b w:val="0"/>
                <w:sz w:val="14"/>
                <w:szCs w:val="16"/>
                <w:lang w:val="fr-FR"/>
              </w:rPr>
              <w:t>Plus CAL per Lync Server</w:t>
            </w:r>
            <w:bookmarkEnd w:id="311"/>
            <w:r w:rsidRPr="007B74B7">
              <w:rPr>
                <w:rFonts w:ascii="Tahoma" w:hAnsi="Tahoma" w:cs="Tahoma"/>
                <w:b w:val="0"/>
                <w:sz w:val="14"/>
                <w:szCs w:val="16"/>
                <w:lang w:val="fr-FR"/>
              </w:rPr>
              <w:t xml:space="preserve"> 2013</w:t>
            </w:r>
            <w:bookmarkEnd w:id="312"/>
          </w:p>
        </w:tc>
        <w:tc>
          <w:tcPr>
            <w:tcW w:w="450" w:type="dxa"/>
            <w:tcBorders>
              <w:bottom w:val="single" w:sz="4" w:space="0" w:color="auto"/>
            </w:tcBorders>
            <w:shd w:val="clear" w:color="auto" w:fill="auto"/>
            <w:vAlign w:val="center"/>
          </w:tcPr>
          <w:p w:rsidR="001A63C6" w:rsidRPr="007B74B7" w:rsidDel="006A2F66" w:rsidRDefault="001A63C6" w:rsidP="001A63C6">
            <w:pPr>
              <w:pStyle w:val="TableText"/>
              <w:widowControl w:val="0"/>
              <w:rPr>
                <w:b/>
                <w:color w:val="0000FF"/>
                <w:sz w:val="13"/>
                <w:szCs w:val="13"/>
                <w:u w:val="single"/>
                <w:lang w:val="fr-FR"/>
              </w:rPr>
            </w:pPr>
            <w:bookmarkStart w:id="313" w:name="_Hlt335908886"/>
          </w:p>
        </w:tc>
        <w:bookmarkEnd w:id="313"/>
        <w:tc>
          <w:tcPr>
            <w:tcW w:w="450" w:type="dxa"/>
            <w:tcBorders>
              <w:bottom w:val="single" w:sz="4" w:space="0" w:color="auto"/>
            </w:tcBorders>
            <w:shd w:val="clear" w:color="auto" w:fill="auto"/>
          </w:tcPr>
          <w:p w:rsidR="001A63C6" w:rsidRPr="00BD7CEA" w:rsidDel="006A2F66" w:rsidRDefault="001A63C6" w:rsidP="001A63C6">
            <w:pPr>
              <w:pStyle w:val="TableText"/>
              <w:widowControl w:val="0"/>
              <w:spacing w:before="120"/>
              <w:rPr>
                <w:rFonts w:ascii="Tahoma" w:hAnsi="Tahoma" w:cs="Tahoma"/>
                <w:color w:val="000000"/>
                <w:sz w:val="13"/>
              </w:rPr>
            </w:pPr>
            <w:r w:rsidRPr="00BD7CEA">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BD7CEA" w:rsidDel="006A2F6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D7CEA" w:rsidDel="006A2F66"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bottom w:val="single" w:sz="4" w:space="0" w:color="auto"/>
            </w:tcBorders>
            <w:shd w:val="clear" w:color="auto" w:fill="auto"/>
            <w:vAlign w:val="center"/>
          </w:tcPr>
          <w:p w:rsidR="001A63C6" w:rsidRPr="00BD7CEA" w:rsidDel="006A2F66" w:rsidRDefault="001A63C6" w:rsidP="001A63C6">
            <w:pPr>
              <w:pStyle w:val="TableText"/>
              <w:widowControl w:val="0"/>
              <w:rPr>
                <w:rFonts w:ascii="Tahoma" w:hAnsi="Tahoma" w:cs="Tahoma"/>
                <w:sz w:val="13"/>
              </w:rPr>
            </w:pPr>
            <w:r w:rsidRPr="00BD7CEA">
              <w:rPr>
                <w:rFonts w:ascii="Tahoma" w:hAnsi="Tahoma" w:cs="Tahoma"/>
                <w:sz w:val="13"/>
              </w:rPr>
              <w:t>3</w:t>
            </w:r>
          </w:p>
        </w:tc>
        <w:tc>
          <w:tcPr>
            <w:tcW w:w="450" w:type="dxa"/>
            <w:tcBorders>
              <w:bottom w:val="single" w:sz="4" w:space="0" w:color="auto"/>
            </w:tcBorders>
            <w:shd w:val="clear" w:color="auto" w:fill="auto"/>
            <w:vAlign w:val="center"/>
          </w:tcPr>
          <w:p w:rsidR="001A63C6" w:rsidRPr="00BD7CEA" w:rsidDel="006A2F66" w:rsidRDefault="001A63C6" w:rsidP="001A63C6">
            <w:pPr>
              <w:pStyle w:val="TableText"/>
              <w:widowControl w:val="0"/>
              <w:rPr>
                <w:rFonts w:ascii="Tahoma" w:hAnsi="Tahoma" w:cs="Tahoma"/>
                <w:sz w:val="13"/>
              </w:rPr>
            </w:pPr>
            <w:r w:rsidRPr="00BD7CEA">
              <w:rPr>
                <w:rFonts w:ascii="Tahoma" w:hAnsi="Tahoma" w:cs="Tahoma"/>
                <w:sz w:val="13"/>
              </w:rPr>
              <w:t>2</w:t>
            </w:r>
          </w:p>
        </w:tc>
        <w:tc>
          <w:tcPr>
            <w:tcW w:w="450" w:type="dxa"/>
            <w:tcBorders>
              <w:bottom w:val="single" w:sz="4" w:space="0" w:color="auto"/>
            </w:tcBorders>
            <w:shd w:val="clear" w:color="auto" w:fill="auto"/>
            <w:vAlign w:val="center"/>
          </w:tcPr>
          <w:p w:rsidR="001A63C6" w:rsidRPr="00BD7CEA" w:rsidDel="006A2F66" w:rsidRDefault="001A63C6" w:rsidP="001A63C6">
            <w:pPr>
              <w:pStyle w:val="TableText"/>
              <w:widowControl w:val="0"/>
              <w:rPr>
                <w:rFonts w:ascii="Tahoma" w:hAnsi="Tahoma" w:cs="Tahoma"/>
                <w:sz w:val="13"/>
              </w:rPr>
            </w:pPr>
            <w:r w:rsidRPr="00BD7CEA">
              <w:rPr>
                <w:rFonts w:ascii="Tahoma" w:hAnsi="Tahoma" w:cs="Tahoma"/>
                <w:sz w:val="13"/>
              </w:rPr>
              <w:t>2</w:t>
            </w:r>
          </w:p>
        </w:tc>
        <w:tc>
          <w:tcPr>
            <w:tcW w:w="450" w:type="dxa"/>
            <w:tcBorders>
              <w:bottom w:val="single" w:sz="4" w:space="0" w:color="auto"/>
            </w:tcBorders>
            <w:shd w:val="clear" w:color="auto" w:fill="auto"/>
            <w:vAlign w:val="center"/>
          </w:tcPr>
          <w:p w:rsidR="001A63C6" w:rsidRPr="00BD7CEA" w:rsidDel="006A2F66" w:rsidRDefault="001A63C6" w:rsidP="001A63C6">
            <w:pPr>
              <w:pStyle w:val="TableText"/>
              <w:widowControl w:val="0"/>
              <w:rPr>
                <w:rFonts w:ascii="Tahoma" w:hAnsi="Tahoma" w:cs="Tahoma"/>
                <w:sz w:val="13"/>
              </w:rPr>
            </w:pPr>
            <w:r w:rsidRPr="00BD7CEA">
              <w:rPr>
                <w:rFonts w:ascii="Tahoma" w:hAnsi="Tahoma" w:cs="Tahoma"/>
                <w:sz w:val="13"/>
              </w:rPr>
              <w:t>2</w:t>
            </w:r>
          </w:p>
        </w:tc>
        <w:tc>
          <w:tcPr>
            <w:tcW w:w="450" w:type="dxa"/>
            <w:tcBorders>
              <w:bottom w:val="single" w:sz="4" w:space="0" w:color="auto"/>
            </w:tcBorders>
            <w:shd w:val="clear" w:color="auto" w:fill="auto"/>
            <w:vAlign w:val="center"/>
          </w:tcPr>
          <w:p w:rsidR="001A63C6" w:rsidRPr="00BD7CEA" w:rsidDel="006A2F66" w:rsidRDefault="001A63C6" w:rsidP="001A63C6">
            <w:pPr>
              <w:pStyle w:val="TableText"/>
              <w:widowControl w:val="0"/>
              <w:rPr>
                <w:rFonts w:ascii="Tahoma" w:hAnsi="Tahoma" w:cs="Tahoma"/>
                <w:sz w:val="13"/>
              </w:rPr>
            </w:pPr>
            <w:r w:rsidRPr="00BD7CEA">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BD7CEA" w:rsidDel="006A2F66"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BD7CEA" w:rsidDel="006A2F66"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bottom w:val="single" w:sz="4" w:space="0" w:color="auto"/>
            </w:tcBorders>
            <w:shd w:val="clear" w:color="auto" w:fill="auto"/>
            <w:vAlign w:val="center"/>
          </w:tcPr>
          <w:p w:rsidR="001A63C6" w:rsidRPr="00BD7CEA" w:rsidDel="006A2F66" w:rsidRDefault="001A63C6" w:rsidP="001A63C6">
            <w:pPr>
              <w:pStyle w:val="TableText"/>
              <w:widowControl w:val="0"/>
              <w:rPr>
                <w:rFonts w:ascii="Tahoma" w:hAnsi="Tahoma" w:cs="Tahoma"/>
                <w:sz w:val="13"/>
              </w:rPr>
            </w:pPr>
            <w:r w:rsidRPr="00BD7CEA">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BD7CEA" w:rsidDel="006A2F66"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BD7CEA" w:rsidDel="006A2F66"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BD7CEA" w:rsidDel="006A2F66" w:rsidRDefault="001A63C6" w:rsidP="001A63C6">
            <w:pPr>
              <w:pStyle w:val="TableText"/>
              <w:widowControl w:val="0"/>
              <w:rPr>
                <w:rFonts w:ascii="Tahoma" w:hAnsi="Tahoma" w:cs="Tahoma"/>
                <w:sz w:val="13"/>
              </w:rPr>
            </w:pPr>
            <w:r w:rsidRPr="00BD7CE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Del="006A2F66" w:rsidRDefault="001A63C6" w:rsidP="001A63C6">
            <w:pPr>
              <w:pStyle w:val="TableText"/>
              <w:widowControl w:val="0"/>
              <w:rPr>
                <w:rFonts w:ascii="Tahoma" w:hAnsi="Tahoma" w:cs="Tahoma"/>
                <w:sz w:val="13"/>
              </w:rPr>
            </w:pPr>
            <w:r w:rsidRPr="00BD7CEA">
              <w:rPr>
                <w:rFonts w:ascii="Tahoma" w:hAnsi="Tahoma" w:cs="Tahoma"/>
                <w:sz w:val="13"/>
              </w:rPr>
              <w:t>P</w:t>
            </w:r>
          </w:p>
        </w:tc>
        <w:tc>
          <w:tcPr>
            <w:tcW w:w="450" w:type="dxa"/>
            <w:tcBorders>
              <w:bottom w:val="single" w:sz="4" w:space="0" w:color="auto"/>
            </w:tcBorders>
            <w:shd w:val="clear" w:color="auto" w:fill="auto"/>
          </w:tcPr>
          <w:p w:rsidR="001A63C6" w:rsidRPr="00BD7CEA" w:rsidDel="006A2F66" w:rsidRDefault="001A63C6" w:rsidP="001A63C6">
            <w:pPr>
              <w:pStyle w:val="TableText"/>
              <w:widowControl w:val="0"/>
              <w:spacing w:before="120"/>
              <w:rPr>
                <w:rFonts w:ascii="Tahoma" w:hAnsi="Tahoma" w:cs="Tahoma"/>
                <w:sz w:val="13"/>
              </w:rPr>
            </w:pPr>
            <w:r w:rsidRPr="00BD7CEA">
              <w:rPr>
                <w:rFonts w:ascii="Tahoma" w:hAnsi="Tahoma" w:cs="Tahoma"/>
                <w:sz w:val="13"/>
              </w:rPr>
              <w:t>A, ST</w:t>
            </w: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r>
      <w:tr w:rsidR="00EF228F" w:rsidRPr="00BD7CEA" w:rsidTr="006B1F3F">
        <w:trPr>
          <w:trHeight w:val="145"/>
        </w:trPr>
        <w:tc>
          <w:tcPr>
            <w:tcW w:w="2734" w:type="dxa"/>
            <w:gridSpan w:val="2"/>
            <w:tcBorders>
              <w:bottom w:val="single" w:sz="4" w:space="0" w:color="auto"/>
            </w:tcBorders>
            <w:shd w:val="clear" w:color="auto" w:fill="FABF8F"/>
            <w:vAlign w:val="center"/>
          </w:tcPr>
          <w:p w:rsidR="001A63C6" w:rsidRPr="00BD7CEA" w:rsidDel="006A2F66" w:rsidRDefault="001A63C6" w:rsidP="001A63C6">
            <w:pPr>
              <w:pStyle w:val="Heading2"/>
              <w:ind w:left="0"/>
              <w:rPr>
                <w:rFonts w:ascii="Tahoma" w:hAnsi="Tahoma" w:cs="Tahoma"/>
                <w:b w:val="0"/>
                <w:sz w:val="14"/>
                <w:szCs w:val="16"/>
              </w:rPr>
            </w:pPr>
            <w:bookmarkStart w:id="314" w:name="_Toc336338005"/>
            <w:bookmarkStart w:id="315" w:name="_Toc353375794"/>
            <w:r w:rsidRPr="00BD7CEA">
              <w:rPr>
                <w:rFonts w:ascii="Tahoma" w:hAnsi="Tahoma" w:cs="Tahoma"/>
                <w:b w:val="0"/>
                <w:sz w:val="14"/>
                <w:szCs w:val="16"/>
              </w:rPr>
              <w:t>Standard CAL per Lync Server</w:t>
            </w:r>
            <w:bookmarkEnd w:id="314"/>
            <w:r w:rsidRPr="00BD7CEA">
              <w:rPr>
                <w:rFonts w:ascii="Tahoma" w:hAnsi="Tahoma" w:cs="Tahoma"/>
                <w:b w:val="0"/>
                <w:sz w:val="14"/>
                <w:szCs w:val="16"/>
              </w:rPr>
              <w:t xml:space="preserve"> 2013</w:t>
            </w:r>
            <w:bookmarkEnd w:id="315"/>
          </w:p>
        </w:tc>
        <w:tc>
          <w:tcPr>
            <w:tcW w:w="450" w:type="dxa"/>
            <w:tcBorders>
              <w:bottom w:val="single" w:sz="4" w:space="0" w:color="auto"/>
            </w:tcBorders>
            <w:shd w:val="clear" w:color="auto" w:fill="FABF8F"/>
            <w:vAlign w:val="center"/>
          </w:tcPr>
          <w:p w:rsidR="001A63C6" w:rsidRPr="00BD7CEA" w:rsidDel="006A2F66" w:rsidRDefault="001A63C6" w:rsidP="001A63C6">
            <w:pPr>
              <w:pStyle w:val="TableText"/>
              <w:widowControl w:val="0"/>
              <w:rPr>
                <w:b/>
                <w:color w:val="0000FF"/>
                <w:sz w:val="13"/>
                <w:szCs w:val="13"/>
                <w:u w:val="single"/>
              </w:rPr>
            </w:pPr>
          </w:p>
        </w:tc>
        <w:tc>
          <w:tcPr>
            <w:tcW w:w="450" w:type="dxa"/>
            <w:tcBorders>
              <w:bottom w:val="single" w:sz="4" w:space="0" w:color="auto"/>
            </w:tcBorders>
            <w:shd w:val="clear" w:color="auto" w:fill="FABF8F"/>
          </w:tcPr>
          <w:p w:rsidR="001A63C6" w:rsidRPr="00BD7CEA" w:rsidDel="006A2F66" w:rsidRDefault="001A63C6" w:rsidP="001A63C6">
            <w:pPr>
              <w:pStyle w:val="TableText"/>
              <w:widowControl w:val="0"/>
              <w:spacing w:before="120"/>
              <w:rPr>
                <w:rFonts w:ascii="Tahoma" w:hAnsi="Tahoma" w:cs="Tahoma"/>
                <w:color w:val="000000"/>
                <w:sz w:val="13"/>
              </w:rPr>
            </w:pPr>
            <w:r w:rsidRPr="00BD7CEA">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BD7CEA" w:rsidDel="006A2F6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D7CEA" w:rsidDel="006A2F66"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bottom w:val="single" w:sz="4" w:space="0" w:color="auto"/>
            </w:tcBorders>
            <w:shd w:val="clear" w:color="auto" w:fill="FABF8F"/>
            <w:vAlign w:val="center"/>
          </w:tcPr>
          <w:p w:rsidR="001A63C6" w:rsidRPr="00BD7CEA" w:rsidDel="006A2F66" w:rsidRDefault="001A63C6" w:rsidP="001A63C6">
            <w:pPr>
              <w:pStyle w:val="TableText"/>
              <w:widowControl w:val="0"/>
              <w:rPr>
                <w:rFonts w:ascii="Tahoma" w:hAnsi="Tahoma" w:cs="Tahoma"/>
                <w:sz w:val="13"/>
              </w:rPr>
            </w:pPr>
            <w:r w:rsidRPr="00BD7CEA">
              <w:rPr>
                <w:rFonts w:ascii="Tahoma" w:hAnsi="Tahoma" w:cs="Tahoma"/>
                <w:sz w:val="13"/>
              </w:rPr>
              <w:t>3</w:t>
            </w:r>
          </w:p>
        </w:tc>
        <w:tc>
          <w:tcPr>
            <w:tcW w:w="450" w:type="dxa"/>
            <w:tcBorders>
              <w:bottom w:val="single" w:sz="4" w:space="0" w:color="auto"/>
            </w:tcBorders>
            <w:shd w:val="clear" w:color="auto" w:fill="FABF8F"/>
            <w:vAlign w:val="center"/>
          </w:tcPr>
          <w:p w:rsidR="001A63C6" w:rsidRPr="00BD7CEA" w:rsidDel="006A2F66" w:rsidRDefault="001A63C6" w:rsidP="001A63C6">
            <w:pPr>
              <w:pStyle w:val="TableText"/>
              <w:widowControl w:val="0"/>
              <w:rPr>
                <w:rFonts w:ascii="Tahoma" w:hAnsi="Tahoma" w:cs="Tahoma"/>
                <w:sz w:val="13"/>
              </w:rPr>
            </w:pPr>
            <w:r w:rsidRPr="00BD7CEA">
              <w:rPr>
                <w:rFonts w:ascii="Tahoma" w:hAnsi="Tahoma" w:cs="Tahoma"/>
                <w:sz w:val="13"/>
              </w:rPr>
              <w:t>2</w:t>
            </w:r>
          </w:p>
        </w:tc>
        <w:tc>
          <w:tcPr>
            <w:tcW w:w="450" w:type="dxa"/>
            <w:tcBorders>
              <w:bottom w:val="single" w:sz="4" w:space="0" w:color="auto"/>
            </w:tcBorders>
            <w:shd w:val="clear" w:color="auto" w:fill="FABF8F"/>
            <w:vAlign w:val="center"/>
          </w:tcPr>
          <w:p w:rsidR="001A63C6" w:rsidRPr="00BD7CEA" w:rsidDel="006A2F66" w:rsidRDefault="001A63C6" w:rsidP="001A63C6">
            <w:pPr>
              <w:pStyle w:val="TableText"/>
              <w:widowControl w:val="0"/>
              <w:rPr>
                <w:rFonts w:ascii="Tahoma" w:hAnsi="Tahoma" w:cs="Tahoma"/>
                <w:sz w:val="13"/>
              </w:rPr>
            </w:pPr>
            <w:r w:rsidRPr="00BD7CEA">
              <w:rPr>
                <w:rFonts w:ascii="Tahoma" w:hAnsi="Tahoma" w:cs="Tahoma"/>
                <w:sz w:val="13"/>
              </w:rPr>
              <w:t>2</w:t>
            </w:r>
          </w:p>
        </w:tc>
        <w:tc>
          <w:tcPr>
            <w:tcW w:w="450" w:type="dxa"/>
            <w:tcBorders>
              <w:bottom w:val="single" w:sz="4" w:space="0" w:color="auto"/>
            </w:tcBorders>
            <w:shd w:val="clear" w:color="auto" w:fill="FABF8F"/>
            <w:vAlign w:val="center"/>
          </w:tcPr>
          <w:p w:rsidR="001A63C6" w:rsidRPr="00BD7CEA" w:rsidDel="006A2F66" w:rsidRDefault="001A63C6" w:rsidP="001A63C6">
            <w:pPr>
              <w:pStyle w:val="TableText"/>
              <w:widowControl w:val="0"/>
              <w:rPr>
                <w:rFonts w:ascii="Tahoma" w:hAnsi="Tahoma" w:cs="Tahoma"/>
                <w:sz w:val="13"/>
              </w:rPr>
            </w:pPr>
            <w:r w:rsidRPr="00BD7CEA">
              <w:rPr>
                <w:rFonts w:ascii="Tahoma" w:hAnsi="Tahoma" w:cs="Tahoma"/>
                <w:sz w:val="13"/>
              </w:rPr>
              <w:t>2</w:t>
            </w:r>
          </w:p>
        </w:tc>
        <w:tc>
          <w:tcPr>
            <w:tcW w:w="450" w:type="dxa"/>
            <w:tcBorders>
              <w:bottom w:val="single" w:sz="4" w:space="0" w:color="auto"/>
            </w:tcBorders>
            <w:shd w:val="clear" w:color="auto" w:fill="FABF8F"/>
            <w:vAlign w:val="center"/>
          </w:tcPr>
          <w:p w:rsidR="001A63C6" w:rsidRPr="00BD7CEA" w:rsidDel="006A2F66" w:rsidRDefault="001A63C6" w:rsidP="001A63C6">
            <w:pPr>
              <w:pStyle w:val="TableText"/>
              <w:widowControl w:val="0"/>
              <w:rPr>
                <w:rFonts w:ascii="Tahoma" w:hAnsi="Tahoma" w:cs="Tahoma"/>
                <w:sz w:val="13"/>
              </w:rPr>
            </w:pPr>
            <w:r w:rsidRPr="00BD7CEA">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BD7CEA" w:rsidDel="006A2F66"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BD7CEA" w:rsidDel="006A2F66"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bottom w:val="single" w:sz="4" w:space="0" w:color="auto"/>
            </w:tcBorders>
            <w:shd w:val="clear" w:color="auto" w:fill="FABF8F"/>
            <w:vAlign w:val="center"/>
          </w:tcPr>
          <w:p w:rsidR="001A63C6" w:rsidRPr="00BD7CEA" w:rsidDel="006A2F66" w:rsidRDefault="001A63C6" w:rsidP="001A63C6">
            <w:pPr>
              <w:pStyle w:val="TableText"/>
              <w:widowControl w:val="0"/>
              <w:rPr>
                <w:rFonts w:ascii="Tahoma" w:hAnsi="Tahoma" w:cs="Tahoma"/>
                <w:sz w:val="13"/>
              </w:rPr>
            </w:pPr>
            <w:r w:rsidRPr="00BD7CEA">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BD7CEA" w:rsidDel="006A2F66"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BD7CEA" w:rsidDel="006A2F66"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BD7CEA" w:rsidDel="006A2F6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Del="006A2F66" w:rsidRDefault="001A63C6" w:rsidP="001A63C6">
            <w:pPr>
              <w:pStyle w:val="TableText"/>
              <w:widowControl w:val="0"/>
              <w:rPr>
                <w:rFonts w:ascii="Tahoma" w:hAnsi="Tahoma" w:cs="Tahoma"/>
                <w:sz w:val="13"/>
              </w:rPr>
            </w:pPr>
            <w:r w:rsidRPr="00BD7CEA">
              <w:rPr>
                <w:rFonts w:ascii="Tahoma" w:hAnsi="Tahoma" w:cs="Tahoma"/>
                <w:sz w:val="13"/>
              </w:rPr>
              <w:t>P</w:t>
            </w:r>
          </w:p>
        </w:tc>
        <w:tc>
          <w:tcPr>
            <w:tcW w:w="450" w:type="dxa"/>
            <w:tcBorders>
              <w:bottom w:val="single" w:sz="4" w:space="0" w:color="auto"/>
            </w:tcBorders>
            <w:shd w:val="clear" w:color="auto" w:fill="FABF8F"/>
          </w:tcPr>
          <w:p w:rsidR="001A63C6" w:rsidRPr="00BD7CEA" w:rsidDel="006A2F66" w:rsidRDefault="001A63C6" w:rsidP="001A63C6">
            <w:pPr>
              <w:pStyle w:val="TableText"/>
              <w:widowControl w:val="0"/>
              <w:spacing w:before="120"/>
              <w:rPr>
                <w:rFonts w:ascii="Tahoma" w:hAnsi="Tahoma" w:cs="Tahoma"/>
                <w:sz w:val="13"/>
              </w:rPr>
            </w:pPr>
            <w:r w:rsidRPr="00BD7CEA">
              <w:rPr>
                <w:rFonts w:ascii="Tahoma" w:hAnsi="Tahoma" w:cs="Tahoma"/>
                <w:sz w:val="13"/>
              </w:rPr>
              <w:t>A, ST</w:t>
            </w:r>
          </w:p>
        </w:tc>
        <w:tc>
          <w:tcPr>
            <w:tcW w:w="54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r>
      <w:tr w:rsidR="00B33D0E" w:rsidRPr="00BD7CEA" w:rsidTr="006B1F3F">
        <w:trPr>
          <w:trHeight w:val="70"/>
        </w:trPr>
        <w:tc>
          <w:tcPr>
            <w:tcW w:w="2734" w:type="dxa"/>
            <w:gridSpan w:val="2"/>
            <w:tcBorders>
              <w:bottom w:val="single" w:sz="4" w:space="0" w:color="auto"/>
            </w:tcBorders>
            <w:shd w:val="clear" w:color="auto" w:fill="auto"/>
            <w:vAlign w:val="center"/>
          </w:tcPr>
          <w:p w:rsidR="001A63C6" w:rsidRPr="007B74B7" w:rsidRDefault="001A63C6">
            <w:pPr>
              <w:pStyle w:val="Heading2"/>
              <w:ind w:left="0"/>
              <w:rPr>
                <w:rFonts w:ascii="Tahoma" w:hAnsi="Tahoma" w:cs="Tahoma"/>
                <w:b w:val="0"/>
                <w:sz w:val="14"/>
                <w:szCs w:val="14"/>
                <w:lang w:val="it-IT"/>
              </w:rPr>
            </w:pPr>
            <w:bookmarkStart w:id="316" w:name="_Toc336338007"/>
            <w:bookmarkStart w:id="317" w:name="_Toc353375795"/>
            <w:r w:rsidRPr="007B74B7">
              <w:rPr>
                <w:rFonts w:ascii="Tahoma" w:hAnsi="Tahoma" w:cs="Tahoma"/>
                <w:b w:val="0"/>
                <w:sz w:val="14"/>
                <w:szCs w:val="14"/>
                <w:lang w:val="it-IT"/>
              </w:rPr>
              <w:t>Enterprise Additive CAL per Microsoft Dynamics AX 2012 R2 (Utente e Dispositivo)</w:t>
            </w:r>
            <w:bookmarkEnd w:id="316"/>
            <w:bookmarkEnd w:id="317"/>
          </w:p>
        </w:tc>
        <w:tc>
          <w:tcPr>
            <w:tcW w:w="450" w:type="dxa"/>
            <w:tcBorders>
              <w:bottom w:val="single" w:sz="4" w:space="0" w:color="auto"/>
            </w:tcBorders>
            <w:shd w:val="clear" w:color="auto" w:fill="auto"/>
            <w:vAlign w:val="center"/>
          </w:tcPr>
          <w:p w:rsidR="001A63C6" w:rsidRPr="00BD7CEA" w:rsidRDefault="006E5080" w:rsidP="002E59B1">
            <w:pPr>
              <w:pStyle w:val="TableText"/>
              <w:widowControl w:val="0"/>
              <w:rPr>
                <w:rFonts w:cs="Tahoma"/>
                <w:b/>
                <w:color w:val="0000FF"/>
                <w:sz w:val="13"/>
                <w:szCs w:val="13"/>
                <w:u w:val="single"/>
              </w:rPr>
            </w:pPr>
            <w:hyperlink w:anchor="_66_Microsoft_Dynamics_1" w:history="1">
              <w:r w:rsidR="00955428" w:rsidRPr="00BD7CEA">
                <w:rPr>
                  <w:rStyle w:val="Hyperlink"/>
                  <w:rFonts w:cs="Tahoma"/>
                  <w:b/>
                  <w:sz w:val="13"/>
                  <w:szCs w:val="13"/>
                </w:rPr>
                <w:t>66</w:t>
              </w:r>
            </w:hyperlink>
          </w:p>
        </w:tc>
        <w:tc>
          <w:tcPr>
            <w:tcW w:w="450" w:type="dxa"/>
            <w:tcBorders>
              <w:bottom w:val="single" w:sz="4" w:space="0" w:color="auto"/>
            </w:tcBorders>
            <w:shd w:val="clear" w:color="auto" w:fill="auto"/>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BD7CEA"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jc w:val="left"/>
              <w:rPr>
                <w:rFonts w:ascii="Tahoma" w:hAnsi="Tahoma" w:cs="Tahoma"/>
                <w:sz w:val="13"/>
              </w:rPr>
            </w:pPr>
          </w:p>
        </w:tc>
      </w:tr>
      <w:tr w:rsidR="00BE2E58" w:rsidRPr="00BD7CEA" w:rsidTr="006B1F3F">
        <w:trPr>
          <w:trHeight w:val="145"/>
        </w:trPr>
        <w:tc>
          <w:tcPr>
            <w:tcW w:w="2734" w:type="dxa"/>
            <w:gridSpan w:val="2"/>
            <w:tcBorders>
              <w:bottom w:val="single" w:sz="4" w:space="0" w:color="auto"/>
            </w:tcBorders>
            <w:shd w:val="clear" w:color="auto" w:fill="FABF8F"/>
            <w:vAlign w:val="center"/>
          </w:tcPr>
          <w:p w:rsidR="001A63C6" w:rsidRPr="00BD7CEA" w:rsidRDefault="001A63C6" w:rsidP="001A63C6">
            <w:pPr>
              <w:pStyle w:val="Heading2"/>
              <w:ind w:left="0"/>
              <w:rPr>
                <w:rFonts w:ascii="Tahoma" w:hAnsi="Tahoma" w:cs="Tahoma"/>
                <w:b w:val="0"/>
                <w:sz w:val="14"/>
                <w:szCs w:val="14"/>
              </w:rPr>
            </w:pPr>
            <w:bookmarkStart w:id="318" w:name="_Toc336338008"/>
            <w:bookmarkStart w:id="319" w:name="_Toc353375796"/>
            <w:r w:rsidRPr="00BD7CEA">
              <w:rPr>
                <w:rFonts w:ascii="Tahoma" w:hAnsi="Tahoma" w:cs="Tahoma"/>
                <w:b w:val="0"/>
                <w:sz w:val="14"/>
                <w:szCs w:val="14"/>
              </w:rPr>
              <w:t>Enterprise CAL per Microsoft Dynamics AX 2012 R2 (Utente e Dispositivo)</w:t>
            </w:r>
            <w:bookmarkEnd w:id="318"/>
            <w:bookmarkEnd w:id="319"/>
          </w:p>
        </w:tc>
        <w:tc>
          <w:tcPr>
            <w:tcW w:w="450" w:type="dxa"/>
            <w:tcBorders>
              <w:bottom w:val="single" w:sz="4" w:space="0" w:color="auto"/>
            </w:tcBorders>
            <w:shd w:val="clear" w:color="auto" w:fill="FABF8F"/>
            <w:vAlign w:val="center"/>
          </w:tcPr>
          <w:p w:rsidR="001A63C6" w:rsidRPr="00BD7CEA" w:rsidRDefault="006E5080" w:rsidP="002E59B1">
            <w:pPr>
              <w:pStyle w:val="TableText"/>
              <w:widowControl w:val="0"/>
              <w:rPr>
                <w:rFonts w:cs="Tahoma"/>
                <w:b/>
                <w:color w:val="0000FF"/>
                <w:sz w:val="13"/>
                <w:szCs w:val="13"/>
                <w:u w:val="single"/>
              </w:rPr>
            </w:pPr>
            <w:hyperlink w:anchor="_66_Microsoft_Dynamics_1" w:history="1">
              <w:r w:rsidR="00806FB0" w:rsidRPr="00BD7CEA">
                <w:rPr>
                  <w:rStyle w:val="Hyperlink"/>
                  <w:rFonts w:cs="Tahoma"/>
                  <w:b/>
                  <w:sz w:val="13"/>
                  <w:szCs w:val="13"/>
                </w:rPr>
                <w:t>66</w:t>
              </w:r>
            </w:hyperlink>
          </w:p>
        </w:tc>
        <w:tc>
          <w:tcPr>
            <w:tcW w:w="450" w:type="dxa"/>
            <w:tcBorders>
              <w:bottom w:val="single" w:sz="4" w:space="0" w:color="auto"/>
            </w:tcBorders>
            <w:shd w:val="clear" w:color="auto" w:fill="FABF8F"/>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D7CEA"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BD7CEA" w:rsidRDefault="001A63C6" w:rsidP="001A63C6">
            <w:pPr>
              <w:pStyle w:val="TableText"/>
              <w:widowControl w:val="0"/>
              <w:jc w:val="left"/>
              <w:rPr>
                <w:rFonts w:ascii="Tahoma" w:hAnsi="Tahoma" w:cs="Tahoma"/>
                <w:sz w:val="13"/>
              </w:rPr>
            </w:pPr>
          </w:p>
        </w:tc>
      </w:tr>
      <w:tr w:rsidR="00B33D0E" w:rsidRPr="00BD7CEA" w:rsidTr="006B1F3F">
        <w:trPr>
          <w:trHeight w:val="145"/>
        </w:trPr>
        <w:tc>
          <w:tcPr>
            <w:tcW w:w="2734" w:type="dxa"/>
            <w:gridSpan w:val="2"/>
            <w:tcBorders>
              <w:bottom w:val="single" w:sz="4" w:space="0" w:color="auto"/>
            </w:tcBorders>
            <w:shd w:val="clear" w:color="auto" w:fill="auto"/>
            <w:vAlign w:val="center"/>
          </w:tcPr>
          <w:p w:rsidR="001A63C6" w:rsidRPr="00BD7CEA" w:rsidRDefault="001A63C6" w:rsidP="001A63C6">
            <w:pPr>
              <w:pStyle w:val="Heading2"/>
              <w:ind w:left="0"/>
              <w:rPr>
                <w:rFonts w:ascii="Tahoma" w:hAnsi="Tahoma" w:cs="Tahoma"/>
                <w:b w:val="0"/>
                <w:sz w:val="14"/>
                <w:szCs w:val="14"/>
              </w:rPr>
            </w:pPr>
            <w:bookmarkStart w:id="320" w:name="_Toc336338009"/>
            <w:bookmarkStart w:id="321" w:name="_Toc353375797"/>
            <w:r w:rsidRPr="00BD7CEA">
              <w:rPr>
                <w:rFonts w:ascii="Tahoma" w:hAnsi="Tahoma" w:cs="Tahoma"/>
                <w:b w:val="0"/>
                <w:sz w:val="14"/>
                <w:szCs w:val="14"/>
              </w:rPr>
              <w:t>Functional Additive CAL per Microsoft Dynamics AX 2012 R2 (Utente e Dispositivo)</w:t>
            </w:r>
            <w:bookmarkEnd w:id="320"/>
            <w:bookmarkEnd w:id="321"/>
          </w:p>
        </w:tc>
        <w:tc>
          <w:tcPr>
            <w:tcW w:w="450" w:type="dxa"/>
            <w:tcBorders>
              <w:bottom w:val="single" w:sz="4" w:space="0" w:color="auto"/>
            </w:tcBorders>
            <w:shd w:val="clear" w:color="auto" w:fill="auto"/>
            <w:vAlign w:val="center"/>
          </w:tcPr>
          <w:p w:rsidR="001A63C6" w:rsidRPr="00BD7CEA" w:rsidRDefault="006E5080" w:rsidP="002E59B1">
            <w:pPr>
              <w:pStyle w:val="TableText"/>
              <w:widowControl w:val="0"/>
              <w:rPr>
                <w:rFonts w:cs="Tahoma"/>
                <w:b/>
                <w:color w:val="0000FF"/>
                <w:sz w:val="13"/>
                <w:szCs w:val="13"/>
                <w:u w:val="single"/>
              </w:rPr>
            </w:pPr>
            <w:hyperlink w:anchor="_66_Microsoft_Dynamics_1" w:history="1">
              <w:r w:rsidR="00806FB0" w:rsidRPr="00BD7CEA">
                <w:rPr>
                  <w:rStyle w:val="Hyperlink"/>
                  <w:rFonts w:cs="Tahoma"/>
                  <w:b/>
                  <w:sz w:val="13"/>
                  <w:szCs w:val="13"/>
                </w:rPr>
                <w:t>66</w:t>
              </w:r>
            </w:hyperlink>
          </w:p>
        </w:tc>
        <w:tc>
          <w:tcPr>
            <w:tcW w:w="450" w:type="dxa"/>
            <w:tcBorders>
              <w:bottom w:val="single" w:sz="4" w:space="0" w:color="auto"/>
            </w:tcBorders>
            <w:shd w:val="clear" w:color="auto" w:fill="auto"/>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BD7CEA"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jc w:val="left"/>
              <w:rPr>
                <w:rFonts w:ascii="Tahoma" w:hAnsi="Tahoma" w:cs="Tahoma"/>
                <w:sz w:val="13"/>
              </w:rPr>
            </w:pPr>
          </w:p>
        </w:tc>
      </w:tr>
      <w:tr w:rsidR="00BE2E58" w:rsidRPr="00BD7CEA" w:rsidTr="006B1F3F">
        <w:trPr>
          <w:trHeight w:val="145"/>
        </w:trPr>
        <w:tc>
          <w:tcPr>
            <w:tcW w:w="2734" w:type="dxa"/>
            <w:gridSpan w:val="2"/>
            <w:tcBorders>
              <w:bottom w:val="single" w:sz="4" w:space="0" w:color="auto"/>
            </w:tcBorders>
            <w:shd w:val="clear" w:color="auto" w:fill="FABF8F"/>
            <w:vAlign w:val="center"/>
          </w:tcPr>
          <w:p w:rsidR="001A63C6" w:rsidRPr="00BD7CEA" w:rsidRDefault="001A63C6" w:rsidP="00095F5D">
            <w:pPr>
              <w:pStyle w:val="Heading2"/>
              <w:keepNext/>
              <w:keepLines/>
              <w:ind w:left="0"/>
              <w:rPr>
                <w:rFonts w:ascii="Tahoma" w:hAnsi="Tahoma" w:cs="Tahoma"/>
                <w:b w:val="0"/>
                <w:sz w:val="14"/>
                <w:szCs w:val="14"/>
              </w:rPr>
            </w:pPr>
            <w:bookmarkStart w:id="322" w:name="_Toc336338010"/>
            <w:bookmarkStart w:id="323" w:name="_Toc353375798"/>
            <w:r w:rsidRPr="00BD7CEA">
              <w:rPr>
                <w:rFonts w:ascii="Tahoma" w:hAnsi="Tahoma" w:cs="Tahoma"/>
                <w:b w:val="0"/>
                <w:sz w:val="14"/>
                <w:szCs w:val="14"/>
              </w:rPr>
              <w:lastRenderedPageBreak/>
              <w:t>Functional CAL per Microsoft Dynamics AX 2012 R2 (Utente e Dispositivo)</w:t>
            </w:r>
            <w:bookmarkEnd w:id="322"/>
            <w:bookmarkEnd w:id="323"/>
          </w:p>
        </w:tc>
        <w:tc>
          <w:tcPr>
            <w:tcW w:w="450" w:type="dxa"/>
            <w:tcBorders>
              <w:bottom w:val="single" w:sz="4" w:space="0" w:color="auto"/>
            </w:tcBorders>
            <w:shd w:val="clear" w:color="auto" w:fill="FABF8F"/>
            <w:vAlign w:val="center"/>
          </w:tcPr>
          <w:p w:rsidR="001A63C6" w:rsidRPr="00BD7CEA" w:rsidRDefault="006E5080" w:rsidP="00095F5D">
            <w:pPr>
              <w:pStyle w:val="TableText"/>
              <w:keepNext/>
              <w:keepLines/>
              <w:widowControl w:val="0"/>
              <w:rPr>
                <w:rFonts w:cs="Tahoma"/>
                <w:b/>
                <w:color w:val="0000FF"/>
                <w:sz w:val="13"/>
                <w:szCs w:val="13"/>
                <w:u w:val="single"/>
              </w:rPr>
            </w:pPr>
            <w:hyperlink w:anchor="_66_Microsoft_Dynamics_1" w:history="1">
              <w:r w:rsidR="00806FB0" w:rsidRPr="00BD7CEA">
                <w:rPr>
                  <w:rStyle w:val="Hyperlink"/>
                  <w:rFonts w:cs="Tahoma"/>
                  <w:b/>
                  <w:sz w:val="13"/>
                  <w:szCs w:val="13"/>
                </w:rPr>
                <w:t>66</w:t>
              </w:r>
            </w:hyperlink>
          </w:p>
        </w:tc>
        <w:tc>
          <w:tcPr>
            <w:tcW w:w="450" w:type="dxa"/>
            <w:tcBorders>
              <w:bottom w:val="single" w:sz="4" w:space="0" w:color="auto"/>
            </w:tcBorders>
            <w:shd w:val="clear" w:color="auto" w:fill="FABF8F"/>
          </w:tcPr>
          <w:p w:rsidR="001A63C6" w:rsidRPr="00BD7CEA" w:rsidRDefault="001A63C6" w:rsidP="00095F5D">
            <w:pPr>
              <w:pStyle w:val="TableText"/>
              <w:keepNext/>
              <w:keepLines/>
              <w:widowControl w:val="0"/>
              <w:rPr>
                <w:rFonts w:ascii="Tahoma" w:hAnsi="Tahoma" w:cs="Tahoma"/>
                <w:sz w:val="13"/>
              </w:rPr>
            </w:pPr>
            <w:r w:rsidRPr="00BD7CEA">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BD7CEA" w:rsidRDefault="001A63C6" w:rsidP="00095F5D">
            <w:pPr>
              <w:pStyle w:val="TableText"/>
              <w:keepNext/>
              <w:keepLines/>
              <w:widowControl w:val="0"/>
              <w:rPr>
                <w:rFonts w:ascii="Tahoma" w:hAnsi="Tahoma" w:cs="Tahoma"/>
                <w:sz w:val="13"/>
              </w:rPr>
            </w:pPr>
            <w:r w:rsidRPr="00BD7CE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D7CEA" w:rsidRDefault="001A63C6" w:rsidP="00095F5D">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095F5D">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095F5D">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095F5D">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095F5D">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095F5D">
            <w:pPr>
              <w:pStyle w:val="TableText"/>
              <w:keepNext/>
              <w:keepLines/>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D7CEA" w:rsidRDefault="001A63C6" w:rsidP="00095F5D">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095F5D">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095F5D">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095F5D">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095F5D">
            <w:pPr>
              <w:pStyle w:val="TableText"/>
              <w:keepNext/>
              <w:keepLines/>
              <w:widowControl w:val="0"/>
              <w:rPr>
                <w:rFonts w:ascii="Tahoma" w:hAnsi="Tahoma" w:cs="Tahoma"/>
                <w:sz w:val="13"/>
              </w:rPr>
            </w:pPr>
            <w:r w:rsidRPr="00BD7CEA">
              <w:rPr>
                <w:rFonts w:ascii="Tahoma" w:hAnsi="Tahoma" w:cs="Tahoma"/>
                <w:sz w:val="13"/>
              </w:rPr>
              <w:t>15</w:t>
            </w:r>
          </w:p>
        </w:tc>
        <w:tc>
          <w:tcPr>
            <w:tcW w:w="450" w:type="dxa"/>
            <w:tcBorders>
              <w:bottom w:val="single" w:sz="4" w:space="0" w:color="auto"/>
              <w:right w:val="single" w:sz="18" w:space="0" w:color="auto"/>
            </w:tcBorders>
            <w:shd w:val="clear" w:color="auto" w:fill="FABF8F"/>
            <w:vAlign w:val="center"/>
          </w:tcPr>
          <w:p w:rsidR="001A63C6" w:rsidRPr="00BD7CEA" w:rsidRDefault="001A63C6" w:rsidP="00095F5D">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095F5D">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tcPr>
          <w:p w:rsidR="001A63C6" w:rsidRPr="00BD7CEA" w:rsidRDefault="001A63C6" w:rsidP="00095F5D">
            <w:pPr>
              <w:pStyle w:val="TableText"/>
              <w:keepNext/>
              <w:keepLines/>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BD7CEA" w:rsidRDefault="001A63C6" w:rsidP="00095F5D">
            <w:pPr>
              <w:pStyle w:val="TableText"/>
              <w:keepNext/>
              <w:keepLines/>
              <w:widowControl w:val="0"/>
              <w:jc w:val="left"/>
              <w:rPr>
                <w:rFonts w:ascii="Tahoma" w:hAnsi="Tahoma" w:cs="Tahoma"/>
                <w:sz w:val="13"/>
              </w:rPr>
            </w:pPr>
          </w:p>
        </w:tc>
      </w:tr>
      <w:tr w:rsidR="00B33D0E" w:rsidRPr="00BD7CEA" w:rsidTr="006356EC">
        <w:trPr>
          <w:cantSplit/>
          <w:trHeight w:val="233"/>
        </w:trPr>
        <w:tc>
          <w:tcPr>
            <w:tcW w:w="2734" w:type="dxa"/>
            <w:gridSpan w:val="2"/>
            <w:tcBorders>
              <w:bottom w:val="single" w:sz="4" w:space="0" w:color="auto"/>
            </w:tcBorders>
            <w:shd w:val="clear" w:color="auto" w:fill="auto"/>
            <w:vAlign w:val="center"/>
          </w:tcPr>
          <w:p w:rsidR="001A63C6" w:rsidRPr="00BD7CEA" w:rsidRDefault="001A63C6" w:rsidP="001A63C6">
            <w:pPr>
              <w:pStyle w:val="Heading2"/>
              <w:ind w:left="0"/>
              <w:rPr>
                <w:rFonts w:ascii="Tahoma" w:hAnsi="Tahoma" w:cs="Tahoma"/>
                <w:b w:val="0"/>
                <w:sz w:val="14"/>
                <w:szCs w:val="14"/>
              </w:rPr>
            </w:pPr>
            <w:bookmarkStart w:id="324" w:name="_Toc336338011"/>
            <w:bookmarkStart w:id="325" w:name="_Toc353375799"/>
            <w:r w:rsidRPr="00BD7CEA">
              <w:rPr>
                <w:rFonts w:ascii="Tahoma" w:hAnsi="Tahoma" w:cs="Tahoma"/>
                <w:b w:val="0"/>
                <w:sz w:val="14"/>
                <w:szCs w:val="14"/>
              </w:rPr>
              <w:t>Self Serve CAL per Microsoft Dynamics AX 2012 R2 (Utente e Dispositivo)</w:t>
            </w:r>
            <w:bookmarkEnd w:id="324"/>
            <w:bookmarkEnd w:id="325"/>
          </w:p>
        </w:tc>
        <w:tc>
          <w:tcPr>
            <w:tcW w:w="450" w:type="dxa"/>
            <w:tcBorders>
              <w:bottom w:val="single" w:sz="4" w:space="0" w:color="auto"/>
            </w:tcBorders>
            <w:shd w:val="clear" w:color="auto" w:fill="auto"/>
            <w:vAlign w:val="center"/>
          </w:tcPr>
          <w:p w:rsidR="001A63C6" w:rsidRPr="00BD7CEA" w:rsidRDefault="006E5080" w:rsidP="002E59B1">
            <w:pPr>
              <w:pStyle w:val="TableText"/>
              <w:widowControl w:val="0"/>
              <w:rPr>
                <w:rFonts w:cs="Tahoma"/>
                <w:b/>
                <w:color w:val="0000FF"/>
                <w:sz w:val="13"/>
                <w:szCs w:val="13"/>
                <w:u w:val="single"/>
              </w:rPr>
            </w:pPr>
            <w:hyperlink w:anchor="_66_Microsoft_Dynamics_1" w:history="1">
              <w:r w:rsidR="00806FB0" w:rsidRPr="00BD7CEA">
                <w:rPr>
                  <w:rStyle w:val="Hyperlink"/>
                  <w:rFonts w:cs="Tahoma"/>
                  <w:b/>
                  <w:sz w:val="13"/>
                  <w:szCs w:val="13"/>
                </w:rPr>
                <w:t>66</w:t>
              </w:r>
            </w:hyperlink>
          </w:p>
        </w:tc>
        <w:tc>
          <w:tcPr>
            <w:tcW w:w="450" w:type="dxa"/>
            <w:tcBorders>
              <w:bottom w:val="single" w:sz="4" w:space="0" w:color="auto"/>
            </w:tcBorders>
            <w:shd w:val="clear" w:color="auto" w:fill="auto"/>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BD7CEA"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jc w:val="left"/>
              <w:rPr>
                <w:rFonts w:ascii="Tahoma" w:hAnsi="Tahoma" w:cs="Tahoma"/>
                <w:sz w:val="13"/>
              </w:rPr>
            </w:pPr>
          </w:p>
        </w:tc>
      </w:tr>
      <w:tr w:rsidR="00BE2E58" w:rsidRPr="00BD7CEA" w:rsidTr="006B1F3F">
        <w:trPr>
          <w:trHeight w:val="242"/>
        </w:trPr>
        <w:tc>
          <w:tcPr>
            <w:tcW w:w="2734" w:type="dxa"/>
            <w:gridSpan w:val="2"/>
            <w:tcBorders>
              <w:bottom w:val="single" w:sz="4" w:space="0" w:color="auto"/>
            </w:tcBorders>
            <w:shd w:val="clear" w:color="auto" w:fill="FABF8F"/>
            <w:vAlign w:val="center"/>
          </w:tcPr>
          <w:p w:rsidR="001A63C6" w:rsidRPr="007B74B7" w:rsidRDefault="001A63C6" w:rsidP="001A63C6">
            <w:pPr>
              <w:pStyle w:val="Heading2"/>
              <w:ind w:left="0"/>
              <w:rPr>
                <w:rFonts w:ascii="Tahoma" w:hAnsi="Tahoma" w:cs="Tahoma"/>
                <w:b w:val="0"/>
                <w:sz w:val="14"/>
                <w:szCs w:val="14"/>
                <w:lang w:val="pt-BR"/>
              </w:rPr>
            </w:pPr>
            <w:bookmarkStart w:id="326" w:name="_Toc336338012"/>
            <w:bookmarkStart w:id="327" w:name="_Toc353375800"/>
            <w:r w:rsidRPr="007B74B7">
              <w:rPr>
                <w:rFonts w:ascii="Tahoma" w:hAnsi="Tahoma" w:cs="Tahoma"/>
                <w:b w:val="0"/>
                <w:sz w:val="14"/>
                <w:szCs w:val="14"/>
                <w:lang w:val="pt-BR"/>
              </w:rPr>
              <w:t>Microsoft Dynamics AX 2012 R2 Server</w:t>
            </w:r>
            <w:bookmarkEnd w:id="326"/>
            <w:bookmarkEnd w:id="327"/>
          </w:p>
        </w:tc>
        <w:tc>
          <w:tcPr>
            <w:tcW w:w="450" w:type="dxa"/>
            <w:tcBorders>
              <w:bottom w:val="single" w:sz="4" w:space="0" w:color="auto"/>
            </w:tcBorders>
            <w:shd w:val="clear" w:color="auto" w:fill="FABF8F"/>
            <w:vAlign w:val="center"/>
          </w:tcPr>
          <w:p w:rsidR="001A63C6" w:rsidRPr="00BD7CEA" w:rsidRDefault="006E5080" w:rsidP="002E59B1">
            <w:pPr>
              <w:pStyle w:val="TableText"/>
              <w:widowControl w:val="0"/>
              <w:rPr>
                <w:rFonts w:cs="Tahoma"/>
                <w:b/>
                <w:color w:val="0000FF"/>
                <w:sz w:val="13"/>
                <w:szCs w:val="13"/>
                <w:u w:val="single"/>
              </w:rPr>
            </w:pPr>
            <w:hyperlink w:anchor="_66_Microsoft_Dynamics_1" w:history="1">
              <w:r w:rsidR="00806FB0" w:rsidRPr="00BD7CEA">
                <w:rPr>
                  <w:rStyle w:val="Hyperlink"/>
                  <w:rFonts w:cs="Tahoma"/>
                  <w:b/>
                  <w:sz w:val="13"/>
                  <w:szCs w:val="13"/>
                </w:rPr>
                <w:t>66</w:t>
              </w:r>
            </w:hyperlink>
          </w:p>
        </w:tc>
        <w:tc>
          <w:tcPr>
            <w:tcW w:w="450" w:type="dxa"/>
            <w:tcBorders>
              <w:bottom w:val="single" w:sz="4" w:space="0" w:color="auto"/>
            </w:tcBorders>
            <w:shd w:val="clear" w:color="auto" w:fill="FABF8F"/>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D7CEA"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BD7CEA" w:rsidRDefault="001A63C6" w:rsidP="001A63C6">
            <w:pPr>
              <w:pStyle w:val="TableText"/>
              <w:widowControl w:val="0"/>
              <w:jc w:val="left"/>
              <w:rPr>
                <w:rFonts w:ascii="Tahoma" w:hAnsi="Tahoma" w:cs="Tahoma"/>
                <w:sz w:val="13"/>
              </w:rPr>
            </w:pPr>
          </w:p>
        </w:tc>
      </w:tr>
      <w:tr w:rsidR="00B33D0E" w:rsidRPr="00BD7CEA" w:rsidTr="006B1F3F">
        <w:trPr>
          <w:trHeight w:val="278"/>
        </w:trPr>
        <w:tc>
          <w:tcPr>
            <w:tcW w:w="2734" w:type="dxa"/>
            <w:gridSpan w:val="2"/>
            <w:tcBorders>
              <w:bottom w:val="single" w:sz="4" w:space="0" w:color="auto"/>
            </w:tcBorders>
            <w:shd w:val="clear" w:color="auto" w:fill="auto"/>
            <w:vAlign w:val="center"/>
          </w:tcPr>
          <w:p w:rsidR="001A63C6" w:rsidRPr="007B74B7" w:rsidRDefault="001A63C6" w:rsidP="001A63C6">
            <w:pPr>
              <w:pStyle w:val="Heading2"/>
              <w:ind w:left="0"/>
              <w:rPr>
                <w:rFonts w:ascii="Tahoma" w:hAnsi="Tahoma" w:cs="Tahoma"/>
                <w:b w:val="0"/>
                <w:sz w:val="14"/>
                <w:szCs w:val="14"/>
                <w:lang w:val="it-IT"/>
              </w:rPr>
            </w:pPr>
            <w:bookmarkStart w:id="328" w:name="_Toc336338013"/>
            <w:bookmarkStart w:id="329" w:name="_Toc353375801"/>
            <w:r w:rsidRPr="007B74B7">
              <w:rPr>
                <w:rFonts w:ascii="Tahoma" w:hAnsi="Tahoma" w:cs="Tahoma"/>
                <w:b w:val="0"/>
                <w:sz w:val="14"/>
                <w:szCs w:val="14"/>
                <w:lang w:val="it-IT"/>
              </w:rPr>
              <w:t>Task Additive CAL per Microsoft Dynamics AX 2012 R2 (Utente e Dispositivo)</w:t>
            </w:r>
            <w:bookmarkEnd w:id="328"/>
            <w:bookmarkEnd w:id="329"/>
          </w:p>
        </w:tc>
        <w:tc>
          <w:tcPr>
            <w:tcW w:w="450" w:type="dxa"/>
            <w:tcBorders>
              <w:bottom w:val="single" w:sz="4" w:space="0" w:color="auto"/>
            </w:tcBorders>
            <w:shd w:val="clear" w:color="auto" w:fill="auto"/>
            <w:vAlign w:val="center"/>
          </w:tcPr>
          <w:p w:rsidR="001A63C6" w:rsidRPr="00BD7CEA" w:rsidRDefault="006E5080" w:rsidP="002E59B1">
            <w:pPr>
              <w:pStyle w:val="TableText"/>
              <w:widowControl w:val="0"/>
              <w:rPr>
                <w:rFonts w:cs="Tahoma"/>
                <w:b/>
                <w:color w:val="0000FF"/>
                <w:sz w:val="13"/>
                <w:szCs w:val="13"/>
                <w:u w:val="single"/>
              </w:rPr>
            </w:pPr>
            <w:hyperlink w:anchor="_66_Microsoft_Dynamics_1" w:history="1">
              <w:r w:rsidR="00806FB0" w:rsidRPr="00BD7CEA">
                <w:rPr>
                  <w:rStyle w:val="Hyperlink"/>
                  <w:rFonts w:cs="Tahoma"/>
                  <w:b/>
                  <w:sz w:val="13"/>
                  <w:szCs w:val="13"/>
                </w:rPr>
                <w:t>66</w:t>
              </w:r>
            </w:hyperlink>
          </w:p>
        </w:tc>
        <w:tc>
          <w:tcPr>
            <w:tcW w:w="450" w:type="dxa"/>
            <w:tcBorders>
              <w:bottom w:val="single" w:sz="4" w:space="0" w:color="auto"/>
            </w:tcBorders>
            <w:shd w:val="clear" w:color="auto" w:fill="auto"/>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BD7CEA"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jc w:val="left"/>
              <w:rPr>
                <w:rFonts w:ascii="Tahoma" w:hAnsi="Tahoma" w:cs="Tahoma"/>
                <w:sz w:val="13"/>
              </w:rPr>
            </w:pPr>
          </w:p>
        </w:tc>
      </w:tr>
      <w:tr w:rsidR="00BE2E58" w:rsidRPr="00BD7CEA" w:rsidTr="006B1F3F">
        <w:trPr>
          <w:trHeight w:val="145"/>
        </w:trPr>
        <w:tc>
          <w:tcPr>
            <w:tcW w:w="2734" w:type="dxa"/>
            <w:gridSpan w:val="2"/>
            <w:tcBorders>
              <w:bottom w:val="single" w:sz="4" w:space="0" w:color="auto"/>
            </w:tcBorders>
            <w:shd w:val="clear" w:color="auto" w:fill="FABF8F"/>
            <w:vAlign w:val="center"/>
          </w:tcPr>
          <w:p w:rsidR="001A63C6" w:rsidRPr="00BD7CEA" w:rsidRDefault="001A63C6" w:rsidP="001A63C6">
            <w:pPr>
              <w:pStyle w:val="Heading2"/>
              <w:ind w:left="0"/>
              <w:rPr>
                <w:rFonts w:ascii="Tahoma" w:hAnsi="Tahoma" w:cs="Tahoma"/>
                <w:b w:val="0"/>
                <w:sz w:val="14"/>
                <w:szCs w:val="14"/>
              </w:rPr>
            </w:pPr>
            <w:bookmarkStart w:id="330" w:name="_Toc336338014"/>
            <w:bookmarkStart w:id="331" w:name="_Toc353375802"/>
            <w:r w:rsidRPr="00BD7CEA">
              <w:rPr>
                <w:rFonts w:ascii="Tahoma" w:hAnsi="Tahoma" w:cs="Tahoma"/>
                <w:b w:val="0"/>
                <w:sz w:val="14"/>
                <w:szCs w:val="14"/>
              </w:rPr>
              <w:t>Task CAL per Microsoft Dynamics AX 2012 R2 (Utente e Dispositivo)</w:t>
            </w:r>
            <w:bookmarkEnd w:id="330"/>
            <w:bookmarkEnd w:id="331"/>
          </w:p>
        </w:tc>
        <w:tc>
          <w:tcPr>
            <w:tcW w:w="450" w:type="dxa"/>
            <w:tcBorders>
              <w:bottom w:val="single" w:sz="4" w:space="0" w:color="auto"/>
            </w:tcBorders>
            <w:shd w:val="clear" w:color="auto" w:fill="FABF8F"/>
            <w:vAlign w:val="center"/>
          </w:tcPr>
          <w:p w:rsidR="001A63C6" w:rsidRPr="00BD7CEA" w:rsidRDefault="006E5080" w:rsidP="002E59B1">
            <w:pPr>
              <w:pStyle w:val="TableText"/>
              <w:widowControl w:val="0"/>
              <w:rPr>
                <w:rFonts w:cs="Tahoma"/>
                <w:b/>
                <w:color w:val="0000FF"/>
                <w:sz w:val="13"/>
                <w:szCs w:val="13"/>
                <w:u w:val="single"/>
              </w:rPr>
            </w:pPr>
            <w:hyperlink w:anchor="_66_Microsoft_Dynamics_1" w:history="1">
              <w:r w:rsidR="00806FB0" w:rsidRPr="00BD7CEA">
                <w:rPr>
                  <w:rStyle w:val="Hyperlink"/>
                  <w:rFonts w:cs="Tahoma"/>
                  <w:b/>
                  <w:sz w:val="13"/>
                  <w:szCs w:val="13"/>
                </w:rPr>
                <w:t>66</w:t>
              </w:r>
            </w:hyperlink>
          </w:p>
        </w:tc>
        <w:tc>
          <w:tcPr>
            <w:tcW w:w="450" w:type="dxa"/>
            <w:tcBorders>
              <w:bottom w:val="single" w:sz="4" w:space="0" w:color="auto"/>
            </w:tcBorders>
            <w:shd w:val="clear" w:color="auto" w:fill="FABF8F"/>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D7CEA"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BD7CEA" w:rsidRDefault="001A63C6" w:rsidP="001A63C6">
            <w:pPr>
              <w:pStyle w:val="TableText"/>
              <w:widowControl w:val="0"/>
              <w:jc w:val="left"/>
              <w:rPr>
                <w:rFonts w:ascii="Tahoma" w:hAnsi="Tahoma" w:cs="Tahoma"/>
                <w:sz w:val="13"/>
              </w:rPr>
            </w:pPr>
          </w:p>
        </w:tc>
      </w:tr>
      <w:tr w:rsidR="00B33D0E" w:rsidRPr="00BD7CEA" w:rsidTr="006B1F3F">
        <w:trPr>
          <w:trHeight w:val="145"/>
        </w:trPr>
        <w:tc>
          <w:tcPr>
            <w:tcW w:w="2734" w:type="dxa"/>
            <w:gridSpan w:val="2"/>
            <w:tcBorders>
              <w:bottom w:val="single" w:sz="4" w:space="0" w:color="auto"/>
            </w:tcBorders>
            <w:shd w:val="clear" w:color="auto" w:fill="auto"/>
            <w:vAlign w:val="center"/>
          </w:tcPr>
          <w:p w:rsidR="001A63C6" w:rsidRPr="007B74B7" w:rsidRDefault="001A63C6" w:rsidP="001A63C6">
            <w:pPr>
              <w:pStyle w:val="Heading2"/>
              <w:ind w:left="0"/>
              <w:rPr>
                <w:rFonts w:ascii="Tahoma" w:hAnsi="Tahoma" w:cs="Tahoma"/>
                <w:b w:val="0"/>
                <w:sz w:val="14"/>
                <w:szCs w:val="14"/>
                <w:lang w:val="it-IT"/>
              </w:rPr>
            </w:pPr>
            <w:bookmarkStart w:id="332" w:name="_Toc336338015"/>
            <w:bookmarkStart w:id="333" w:name="_Toc353375803"/>
            <w:r w:rsidRPr="007B74B7">
              <w:rPr>
                <w:rFonts w:ascii="Tahoma" w:hAnsi="Tahoma" w:cs="Tahoma"/>
                <w:b w:val="0"/>
                <w:sz w:val="14"/>
                <w:szCs w:val="14"/>
                <w:lang w:val="it-IT"/>
              </w:rPr>
              <w:t>CAL per Microsoft Dynamics CRM 2011 (Utente e Dispositivo)</w:t>
            </w:r>
            <w:bookmarkEnd w:id="332"/>
            <w:bookmarkEnd w:id="333"/>
          </w:p>
        </w:tc>
        <w:tc>
          <w:tcPr>
            <w:tcW w:w="450" w:type="dxa"/>
            <w:tcBorders>
              <w:bottom w:val="single" w:sz="4" w:space="0" w:color="auto"/>
            </w:tcBorders>
            <w:shd w:val="clear" w:color="auto" w:fill="auto"/>
            <w:vAlign w:val="center"/>
          </w:tcPr>
          <w:p w:rsidR="001A63C6" w:rsidRPr="00BD7CEA" w:rsidRDefault="006E5080" w:rsidP="002E59B1">
            <w:pPr>
              <w:pStyle w:val="TableText"/>
              <w:widowControl w:val="0"/>
              <w:rPr>
                <w:b/>
                <w:color w:val="0000FF"/>
                <w:sz w:val="13"/>
                <w:szCs w:val="13"/>
                <w:u w:val="single"/>
              </w:rPr>
            </w:pPr>
            <w:hyperlink w:anchor="_67_Microsoft_Dynamics" w:history="1">
              <w:r w:rsidR="002E59B1" w:rsidRPr="00BD7CEA">
                <w:rPr>
                  <w:rStyle w:val="Hyperlink"/>
                  <w:b/>
                  <w:sz w:val="13"/>
                  <w:szCs w:val="13"/>
                </w:rPr>
                <w:t>67</w:t>
              </w:r>
            </w:hyperlink>
          </w:p>
        </w:tc>
        <w:tc>
          <w:tcPr>
            <w:tcW w:w="450" w:type="dxa"/>
            <w:tcBorders>
              <w:bottom w:val="single" w:sz="4" w:space="0" w:color="auto"/>
            </w:tcBorders>
            <w:shd w:val="clear" w:color="auto" w:fill="auto"/>
          </w:tcPr>
          <w:p w:rsidR="001A63C6" w:rsidRPr="00BD7CEA" w:rsidRDefault="001A63C6" w:rsidP="001A63C6">
            <w:pPr>
              <w:pStyle w:val="TableText"/>
              <w:widowControl w:val="0"/>
              <w:spacing w:before="120"/>
              <w:rPr>
                <w:rFonts w:ascii="Tahoma" w:hAnsi="Tahoma" w:cs="Tahoma"/>
                <w:color w:val="000000"/>
                <w:sz w:val="13"/>
              </w:rPr>
            </w:pPr>
            <w:r w:rsidRPr="00BD7CEA">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25</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20</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15</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15</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10</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P</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 ST</w:t>
            </w: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OL/OV</w:t>
            </w:r>
          </w:p>
        </w:tc>
      </w:tr>
      <w:tr w:rsidR="00BE2E58" w:rsidRPr="00BD7CEA" w:rsidTr="006B1F3F">
        <w:trPr>
          <w:trHeight w:val="145"/>
        </w:trPr>
        <w:tc>
          <w:tcPr>
            <w:tcW w:w="2734" w:type="dxa"/>
            <w:gridSpan w:val="2"/>
            <w:tcBorders>
              <w:bottom w:val="single" w:sz="4" w:space="0" w:color="auto"/>
            </w:tcBorders>
            <w:shd w:val="clear" w:color="auto" w:fill="FABF8F"/>
            <w:vAlign w:val="center"/>
          </w:tcPr>
          <w:p w:rsidR="001A63C6" w:rsidRPr="007B74B7" w:rsidRDefault="001A63C6" w:rsidP="001A63C6">
            <w:pPr>
              <w:pStyle w:val="Heading2"/>
              <w:ind w:left="0"/>
              <w:rPr>
                <w:rFonts w:ascii="Tahoma" w:hAnsi="Tahoma" w:cs="Tahoma"/>
                <w:b w:val="0"/>
                <w:sz w:val="14"/>
                <w:szCs w:val="14"/>
                <w:lang w:val="it-IT"/>
              </w:rPr>
            </w:pPr>
            <w:bookmarkStart w:id="334" w:name="_Toc336338016"/>
            <w:bookmarkStart w:id="335" w:name="_Toc353375804"/>
            <w:r w:rsidRPr="007B74B7">
              <w:rPr>
                <w:rFonts w:ascii="Tahoma" w:hAnsi="Tahoma" w:cs="Tahoma"/>
                <w:b w:val="0"/>
                <w:sz w:val="14"/>
                <w:szCs w:val="14"/>
                <w:lang w:val="it-IT"/>
              </w:rPr>
              <w:t>CAL per Employee Self Service di Microsoft Dynamics CRM 2011 (Utente e Dispositivo)</w:t>
            </w:r>
            <w:bookmarkEnd w:id="334"/>
            <w:bookmarkEnd w:id="335"/>
          </w:p>
        </w:tc>
        <w:tc>
          <w:tcPr>
            <w:tcW w:w="450" w:type="dxa"/>
            <w:tcBorders>
              <w:bottom w:val="single" w:sz="4" w:space="0" w:color="auto"/>
            </w:tcBorders>
            <w:shd w:val="clear" w:color="auto" w:fill="FABF8F"/>
            <w:vAlign w:val="center"/>
          </w:tcPr>
          <w:p w:rsidR="001A63C6" w:rsidRPr="00BD7CEA" w:rsidRDefault="006E5080" w:rsidP="002E59B1">
            <w:pPr>
              <w:pStyle w:val="TableText"/>
              <w:widowControl w:val="0"/>
              <w:rPr>
                <w:b/>
                <w:color w:val="0000FF"/>
                <w:sz w:val="13"/>
                <w:szCs w:val="13"/>
                <w:u w:val="single"/>
              </w:rPr>
            </w:pPr>
            <w:hyperlink w:anchor="_67_Microsoft_Dynamics" w:history="1">
              <w:r w:rsidR="00806FB0" w:rsidRPr="00BD7CEA">
                <w:rPr>
                  <w:rStyle w:val="Hyperlink"/>
                  <w:b/>
                  <w:sz w:val="13"/>
                  <w:szCs w:val="13"/>
                </w:rPr>
                <w:t>67</w:t>
              </w:r>
            </w:hyperlink>
          </w:p>
        </w:tc>
        <w:tc>
          <w:tcPr>
            <w:tcW w:w="450" w:type="dxa"/>
            <w:tcBorders>
              <w:bottom w:val="single" w:sz="4" w:space="0" w:color="auto"/>
            </w:tcBorders>
            <w:shd w:val="clear" w:color="auto" w:fill="FABF8F"/>
          </w:tcPr>
          <w:p w:rsidR="001A63C6" w:rsidRPr="00BD7CEA" w:rsidRDefault="001A63C6" w:rsidP="001A63C6">
            <w:pPr>
              <w:pStyle w:val="TableText"/>
              <w:widowControl w:val="0"/>
              <w:spacing w:before="120"/>
              <w:rPr>
                <w:rFonts w:ascii="Tahoma" w:hAnsi="Tahoma" w:cs="Tahoma"/>
                <w:color w:val="000000"/>
                <w:sz w:val="13"/>
              </w:rPr>
            </w:pPr>
            <w:r w:rsidRPr="00BD7CEA">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3</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P</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spacing w:before="120"/>
              <w:rPr>
                <w:rFonts w:ascii="Tahoma" w:hAnsi="Tahoma" w:cs="Tahoma"/>
                <w:sz w:val="13"/>
              </w:rPr>
            </w:pPr>
            <w:r w:rsidRPr="00BD7CEA">
              <w:rPr>
                <w:rFonts w:ascii="Tahoma" w:hAnsi="Tahoma" w:cs="Tahoma"/>
                <w:sz w:val="13"/>
              </w:rPr>
              <w:t>A, ST</w:t>
            </w:r>
          </w:p>
        </w:tc>
        <w:tc>
          <w:tcPr>
            <w:tcW w:w="54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OL/OV</w:t>
            </w:r>
          </w:p>
        </w:tc>
      </w:tr>
      <w:tr w:rsidR="00B33D0E" w:rsidRPr="00BD7CEA" w:rsidTr="006B1F3F">
        <w:trPr>
          <w:trHeight w:val="145"/>
        </w:trPr>
        <w:tc>
          <w:tcPr>
            <w:tcW w:w="2734" w:type="dxa"/>
            <w:gridSpan w:val="2"/>
            <w:tcBorders>
              <w:bottom w:val="single" w:sz="4" w:space="0" w:color="auto"/>
            </w:tcBorders>
            <w:shd w:val="clear" w:color="auto" w:fill="auto"/>
            <w:vAlign w:val="center"/>
          </w:tcPr>
          <w:p w:rsidR="001A63C6" w:rsidRPr="00BD7CEA" w:rsidRDefault="001A63C6" w:rsidP="001A63C6">
            <w:pPr>
              <w:pStyle w:val="Heading2"/>
              <w:ind w:left="0"/>
              <w:rPr>
                <w:rFonts w:ascii="Tahoma" w:hAnsi="Tahoma" w:cs="Tahoma"/>
                <w:b w:val="0"/>
                <w:sz w:val="14"/>
                <w:szCs w:val="14"/>
              </w:rPr>
            </w:pPr>
            <w:bookmarkStart w:id="336" w:name="_Toc336338017"/>
            <w:bookmarkStart w:id="337" w:name="_Toc353375805"/>
            <w:r w:rsidRPr="00BD7CEA">
              <w:rPr>
                <w:rFonts w:ascii="Tahoma" w:hAnsi="Tahoma" w:cs="Tahoma"/>
                <w:b w:val="0"/>
                <w:sz w:val="14"/>
                <w:szCs w:val="14"/>
              </w:rPr>
              <w:t>Microsoft Dynamics CRM 2011 External Connector</w:t>
            </w:r>
            <w:bookmarkEnd w:id="336"/>
            <w:bookmarkEnd w:id="337"/>
          </w:p>
        </w:tc>
        <w:tc>
          <w:tcPr>
            <w:tcW w:w="450" w:type="dxa"/>
            <w:tcBorders>
              <w:bottom w:val="single" w:sz="4" w:space="0" w:color="auto"/>
            </w:tcBorders>
            <w:shd w:val="clear" w:color="auto" w:fill="auto"/>
            <w:vAlign w:val="center"/>
          </w:tcPr>
          <w:p w:rsidR="001A63C6" w:rsidRPr="00BD7CEA" w:rsidRDefault="006E5080" w:rsidP="002E59B1">
            <w:pPr>
              <w:pStyle w:val="TableText"/>
              <w:widowControl w:val="0"/>
              <w:rPr>
                <w:b/>
                <w:color w:val="0000FF"/>
                <w:sz w:val="13"/>
                <w:szCs w:val="13"/>
                <w:u w:val="single"/>
              </w:rPr>
            </w:pPr>
            <w:hyperlink w:anchor="_67_Microsoft_Dynamics" w:history="1">
              <w:r w:rsidR="00806FB0" w:rsidRPr="00BD7CEA">
                <w:rPr>
                  <w:rStyle w:val="Hyperlink"/>
                  <w:b/>
                  <w:sz w:val="13"/>
                  <w:szCs w:val="13"/>
                </w:rPr>
                <w:t>67</w:t>
              </w:r>
            </w:hyperlink>
          </w:p>
        </w:tc>
        <w:tc>
          <w:tcPr>
            <w:tcW w:w="450" w:type="dxa"/>
            <w:tcBorders>
              <w:bottom w:val="single" w:sz="4" w:space="0" w:color="auto"/>
            </w:tcBorders>
            <w:shd w:val="clear" w:color="auto" w:fill="auto"/>
          </w:tcPr>
          <w:p w:rsidR="001A63C6" w:rsidRPr="00BD7CEA" w:rsidRDefault="001A63C6" w:rsidP="001A63C6">
            <w:pPr>
              <w:pStyle w:val="TableText"/>
              <w:widowControl w:val="0"/>
              <w:spacing w:before="120"/>
              <w:rPr>
                <w:rFonts w:ascii="Tahoma" w:hAnsi="Tahoma" w:cs="Tahoma"/>
                <w:color w:val="000000"/>
                <w:sz w:val="13"/>
              </w:rPr>
            </w:pPr>
            <w:r w:rsidRPr="00BD7CEA">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125</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100</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75</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75</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P</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spacing w:before="120"/>
              <w:rPr>
                <w:rFonts w:ascii="Tahoma" w:hAnsi="Tahoma" w:cs="Tahoma"/>
                <w:sz w:val="13"/>
              </w:rPr>
            </w:pPr>
            <w:r w:rsidRPr="00BD7CEA">
              <w:rPr>
                <w:rFonts w:ascii="Tahoma" w:hAnsi="Tahoma" w:cs="Tahoma"/>
                <w:sz w:val="13"/>
              </w:rPr>
              <w:t>A</w:t>
            </w: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OL/OV</w:t>
            </w:r>
          </w:p>
        </w:tc>
      </w:tr>
      <w:tr w:rsidR="00B33D0E" w:rsidRPr="00BD7CEA" w:rsidTr="006B1F3F">
        <w:trPr>
          <w:trHeight w:val="145"/>
        </w:trPr>
        <w:tc>
          <w:tcPr>
            <w:tcW w:w="2734" w:type="dxa"/>
            <w:gridSpan w:val="2"/>
            <w:tcBorders>
              <w:bottom w:val="single" w:sz="4" w:space="0" w:color="auto"/>
            </w:tcBorders>
            <w:shd w:val="clear" w:color="auto" w:fill="FABF8F"/>
            <w:vAlign w:val="center"/>
          </w:tcPr>
          <w:p w:rsidR="001A63C6" w:rsidRPr="007B74B7" w:rsidRDefault="001A63C6" w:rsidP="001A63C6">
            <w:pPr>
              <w:pStyle w:val="Heading2"/>
              <w:ind w:left="0"/>
              <w:rPr>
                <w:rFonts w:ascii="Tahoma" w:hAnsi="Tahoma" w:cs="Tahoma"/>
                <w:b w:val="0"/>
                <w:sz w:val="14"/>
                <w:szCs w:val="14"/>
                <w:lang w:val="it-IT"/>
              </w:rPr>
            </w:pPr>
            <w:bookmarkStart w:id="338" w:name="_Toc336338018"/>
            <w:bookmarkStart w:id="339" w:name="_Toc353375806"/>
            <w:r w:rsidRPr="007B74B7">
              <w:rPr>
                <w:rFonts w:ascii="Tahoma" w:hAnsi="Tahoma" w:cs="Tahoma"/>
                <w:b w:val="0"/>
                <w:sz w:val="14"/>
                <w:szCs w:val="14"/>
                <w:lang w:val="it-IT"/>
              </w:rPr>
              <w:t>CAL Aggiuntiva per l</w:t>
            </w:r>
            <w:r w:rsidR="007A1415" w:rsidRPr="007B74B7">
              <w:rPr>
                <w:rFonts w:ascii="Tahoma" w:hAnsi="Tahoma" w:cs="Tahoma"/>
                <w:b w:val="0"/>
                <w:sz w:val="14"/>
                <w:szCs w:val="14"/>
                <w:lang w:val="it-IT"/>
              </w:rPr>
              <w:t>’</w:t>
            </w:r>
            <w:r w:rsidRPr="007B74B7">
              <w:rPr>
                <w:rFonts w:ascii="Tahoma" w:hAnsi="Tahoma" w:cs="Tahoma"/>
                <w:b w:val="0"/>
                <w:sz w:val="14"/>
                <w:szCs w:val="14"/>
                <w:lang w:val="it-IT"/>
              </w:rPr>
              <w:t>Utilizzo Completo di Microsoft Dynamics CRM 2011 (Utente e Dispositivo)</w:t>
            </w:r>
            <w:bookmarkEnd w:id="338"/>
            <w:bookmarkEnd w:id="339"/>
          </w:p>
        </w:tc>
        <w:tc>
          <w:tcPr>
            <w:tcW w:w="450" w:type="dxa"/>
            <w:tcBorders>
              <w:bottom w:val="single" w:sz="4" w:space="0" w:color="auto"/>
            </w:tcBorders>
            <w:shd w:val="clear" w:color="auto" w:fill="FABF8F"/>
            <w:vAlign w:val="center"/>
          </w:tcPr>
          <w:p w:rsidR="001A63C6" w:rsidRPr="00BD7CEA" w:rsidRDefault="006E5080" w:rsidP="002E59B1">
            <w:pPr>
              <w:pStyle w:val="TableText"/>
              <w:widowControl w:val="0"/>
              <w:rPr>
                <w:b/>
                <w:color w:val="0000FF"/>
                <w:sz w:val="13"/>
                <w:szCs w:val="13"/>
                <w:u w:val="single"/>
              </w:rPr>
            </w:pPr>
            <w:hyperlink w:anchor="_67_Microsoft_Dynamics" w:history="1">
              <w:r w:rsidR="00191CEA" w:rsidRPr="00BD7CEA">
                <w:rPr>
                  <w:rStyle w:val="Hyperlink"/>
                  <w:b/>
                  <w:sz w:val="13"/>
                  <w:szCs w:val="13"/>
                </w:rPr>
                <w:t>67</w:t>
              </w:r>
            </w:hyperlink>
          </w:p>
        </w:tc>
        <w:tc>
          <w:tcPr>
            <w:tcW w:w="450" w:type="dxa"/>
            <w:tcBorders>
              <w:bottom w:val="single" w:sz="4" w:space="0" w:color="auto"/>
            </w:tcBorders>
            <w:shd w:val="clear" w:color="auto" w:fill="FABF8F"/>
          </w:tcPr>
          <w:p w:rsidR="001A63C6" w:rsidRPr="00BD7CEA" w:rsidRDefault="001A63C6" w:rsidP="001A63C6">
            <w:pPr>
              <w:pStyle w:val="TableText"/>
              <w:widowControl w:val="0"/>
              <w:spacing w:before="120"/>
              <w:rPr>
                <w:rFonts w:ascii="Tahoma" w:hAnsi="Tahoma" w:cs="Tahoma"/>
                <w:color w:val="000000"/>
                <w:sz w:val="13"/>
              </w:rPr>
            </w:pPr>
            <w:r w:rsidRPr="00BD7CEA">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13</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10</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8</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8</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5</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P</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spacing w:before="120"/>
              <w:rPr>
                <w:rFonts w:ascii="Tahoma" w:hAnsi="Tahoma" w:cs="Tahoma"/>
                <w:sz w:val="13"/>
              </w:rPr>
            </w:pPr>
            <w:r w:rsidRPr="00BD7CEA">
              <w:rPr>
                <w:rFonts w:ascii="Tahoma" w:hAnsi="Tahoma" w:cs="Tahoma"/>
                <w:sz w:val="13"/>
              </w:rPr>
              <w:t>A, ST</w:t>
            </w:r>
          </w:p>
        </w:tc>
        <w:tc>
          <w:tcPr>
            <w:tcW w:w="54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OL/OV</w:t>
            </w:r>
          </w:p>
        </w:tc>
      </w:tr>
      <w:tr w:rsidR="001A63C6" w:rsidRPr="00BD7CEA" w:rsidTr="007E466C">
        <w:trPr>
          <w:trHeight w:val="145"/>
        </w:trPr>
        <w:tc>
          <w:tcPr>
            <w:tcW w:w="2734" w:type="dxa"/>
            <w:gridSpan w:val="2"/>
            <w:tcBorders>
              <w:bottom w:val="single" w:sz="4" w:space="0" w:color="auto"/>
            </w:tcBorders>
            <w:shd w:val="clear" w:color="auto" w:fill="auto"/>
            <w:vAlign w:val="center"/>
          </w:tcPr>
          <w:p w:rsidR="001A63C6" w:rsidRPr="007B74B7" w:rsidRDefault="001A63C6" w:rsidP="001A63C6">
            <w:pPr>
              <w:pStyle w:val="Heading2"/>
              <w:ind w:left="0"/>
              <w:rPr>
                <w:rFonts w:ascii="Tahoma" w:hAnsi="Tahoma" w:cs="Tahoma"/>
                <w:b w:val="0"/>
                <w:sz w:val="14"/>
                <w:szCs w:val="14"/>
                <w:lang w:val="it-IT"/>
              </w:rPr>
            </w:pPr>
            <w:bookmarkStart w:id="340" w:name="_Toc336338019"/>
            <w:bookmarkStart w:id="341" w:name="_Toc353375807"/>
            <w:r w:rsidRPr="007B74B7">
              <w:rPr>
                <w:rFonts w:ascii="Tahoma" w:hAnsi="Tahoma" w:cs="Tahoma"/>
                <w:b w:val="0"/>
                <w:sz w:val="14"/>
                <w:szCs w:val="14"/>
                <w:lang w:val="it-IT"/>
              </w:rPr>
              <w:t>CAL per l</w:t>
            </w:r>
            <w:r w:rsidR="007A1415" w:rsidRPr="007B74B7">
              <w:rPr>
                <w:rFonts w:ascii="Tahoma" w:hAnsi="Tahoma" w:cs="Tahoma"/>
                <w:b w:val="0"/>
                <w:sz w:val="14"/>
                <w:szCs w:val="14"/>
                <w:lang w:val="it-IT"/>
              </w:rPr>
              <w:t>’</w:t>
            </w:r>
            <w:r w:rsidRPr="007B74B7">
              <w:rPr>
                <w:rFonts w:ascii="Tahoma" w:hAnsi="Tahoma" w:cs="Tahoma"/>
                <w:b w:val="0"/>
                <w:sz w:val="14"/>
                <w:szCs w:val="14"/>
                <w:lang w:val="it-IT"/>
              </w:rPr>
              <w:t>Utilizzo Limitato di Microsoft Dynamics CRM 2011 (Utenti e Dispositivo)</w:t>
            </w:r>
            <w:bookmarkEnd w:id="340"/>
            <w:bookmarkEnd w:id="341"/>
          </w:p>
        </w:tc>
        <w:tc>
          <w:tcPr>
            <w:tcW w:w="450" w:type="dxa"/>
            <w:tcBorders>
              <w:bottom w:val="single" w:sz="4" w:space="0" w:color="auto"/>
            </w:tcBorders>
            <w:shd w:val="clear" w:color="auto" w:fill="auto"/>
            <w:vAlign w:val="center"/>
          </w:tcPr>
          <w:p w:rsidR="001A63C6" w:rsidRPr="00BD7CEA" w:rsidRDefault="006E5080" w:rsidP="002E59B1">
            <w:pPr>
              <w:pStyle w:val="TableText"/>
              <w:widowControl w:val="0"/>
              <w:rPr>
                <w:b/>
                <w:color w:val="0000FF"/>
                <w:sz w:val="13"/>
                <w:szCs w:val="13"/>
                <w:u w:val="single"/>
              </w:rPr>
            </w:pPr>
            <w:hyperlink w:anchor="_67_Microsoft_Dynamics" w:history="1">
              <w:r w:rsidR="00191CEA" w:rsidRPr="00BD7CEA">
                <w:rPr>
                  <w:rStyle w:val="Hyperlink"/>
                  <w:b/>
                  <w:sz w:val="13"/>
                  <w:szCs w:val="13"/>
                </w:rPr>
                <w:t>67</w:t>
              </w:r>
            </w:hyperlink>
          </w:p>
        </w:tc>
        <w:tc>
          <w:tcPr>
            <w:tcW w:w="450" w:type="dxa"/>
            <w:tcBorders>
              <w:bottom w:val="single" w:sz="4" w:space="0" w:color="auto"/>
            </w:tcBorders>
            <w:shd w:val="clear" w:color="auto" w:fill="auto"/>
          </w:tcPr>
          <w:p w:rsidR="001A63C6" w:rsidRPr="00BD7CEA" w:rsidRDefault="001A63C6" w:rsidP="001A63C6">
            <w:pPr>
              <w:pStyle w:val="TableText"/>
              <w:widowControl w:val="0"/>
              <w:spacing w:before="120"/>
              <w:rPr>
                <w:rFonts w:ascii="Tahoma" w:hAnsi="Tahoma" w:cs="Tahoma"/>
                <w:color w:val="000000"/>
                <w:sz w:val="13"/>
              </w:rPr>
            </w:pPr>
            <w:r w:rsidRPr="00BD7CEA">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3</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P</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spacing w:before="120"/>
              <w:rPr>
                <w:rFonts w:ascii="Tahoma" w:hAnsi="Tahoma" w:cs="Tahoma"/>
                <w:sz w:val="13"/>
              </w:rPr>
            </w:pPr>
            <w:r w:rsidRPr="00BD7CEA">
              <w:rPr>
                <w:rFonts w:ascii="Tahoma" w:hAnsi="Tahoma" w:cs="Tahoma"/>
                <w:sz w:val="13"/>
              </w:rPr>
              <w:t>A, ST</w:t>
            </w: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OL/OV</w:t>
            </w:r>
          </w:p>
        </w:tc>
      </w:tr>
      <w:tr w:rsidR="00B33D0E" w:rsidRPr="00BD7CEA" w:rsidTr="006B1F3F">
        <w:trPr>
          <w:trHeight w:val="145"/>
        </w:trPr>
        <w:tc>
          <w:tcPr>
            <w:tcW w:w="2734" w:type="dxa"/>
            <w:gridSpan w:val="2"/>
            <w:tcBorders>
              <w:bottom w:val="single" w:sz="4" w:space="0" w:color="auto"/>
            </w:tcBorders>
            <w:shd w:val="clear" w:color="auto" w:fill="FABF8F"/>
            <w:vAlign w:val="center"/>
          </w:tcPr>
          <w:p w:rsidR="001A63C6" w:rsidRPr="007B74B7" w:rsidRDefault="001A63C6" w:rsidP="001A63C6">
            <w:pPr>
              <w:pStyle w:val="Heading2"/>
              <w:ind w:left="0"/>
              <w:rPr>
                <w:rFonts w:ascii="Tahoma" w:hAnsi="Tahoma" w:cs="Tahoma"/>
                <w:b w:val="0"/>
                <w:sz w:val="14"/>
                <w:szCs w:val="14"/>
                <w:lang w:val="it-IT"/>
              </w:rPr>
            </w:pPr>
            <w:bookmarkStart w:id="342" w:name="_Toc336338020"/>
            <w:bookmarkStart w:id="343" w:name="_Toc353375808"/>
            <w:r w:rsidRPr="007B74B7">
              <w:rPr>
                <w:rFonts w:ascii="Tahoma" w:hAnsi="Tahoma" w:cs="Tahoma"/>
                <w:b w:val="0"/>
                <w:sz w:val="14"/>
                <w:szCs w:val="14"/>
                <w:lang w:val="it-IT"/>
              </w:rPr>
              <w:t>CAL Aggiuntiva per l</w:t>
            </w:r>
            <w:r w:rsidR="007A1415" w:rsidRPr="007B74B7">
              <w:rPr>
                <w:rFonts w:ascii="Tahoma" w:hAnsi="Tahoma" w:cs="Tahoma"/>
                <w:b w:val="0"/>
                <w:sz w:val="14"/>
                <w:szCs w:val="14"/>
                <w:lang w:val="it-IT"/>
              </w:rPr>
              <w:t>’</w:t>
            </w:r>
            <w:r w:rsidRPr="007B74B7">
              <w:rPr>
                <w:rFonts w:ascii="Tahoma" w:hAnsi="Tahoma" w:cs="Tahoma"/>
                <w:b w:val="0"/>
                <w:sz w:val="14"/>
                <w:szCs w:val="14"/>
                <w:lang w:val="it-IT"/>
              </w:rPr>
              <w:t>Utilizzo Limitato di Microsoft Dynamics CRM 2011 (Utente e Dispositivo)</w:t>
            </w:r>
            <w:bookmarkEnd w:id="342"/>
            <w:bookmarkEnd w:id="343"/>
          </w:p>
        </w:tc>
        <w:tc>
          <w:tcPr>
            <w:tcW w:w="450" w:type="dxa"/>
            <w:tcBorders>
              <w:bottom w:val="single" w:sz="4" w:space="0" w:color="auto"/>
            </w:tcBorders>
            <w:shd w:val="clear" w:color="auto" w:fill="FABF8F"/>
            <w:vAlign w:val="center"/>
          </w:tcPr>
          <w:p w:rsidR="001A63C6" w:rsidRPr="00BD7CEA" w:rsidRDefault="006E5080" w:rsidP="002E59B1">
            <w:pPr>
              <w:pStyle w:val="TableText"/>
              <w:widowControl w:val="0"/>
              <w:rPr>
                <w:b/>
                <w:color w:val="0000FF"/>
                <w:sz w:val="13"/>
                <w:szCs w:val="13"/>
                <w:u w:val="single"/>
              </w:rPr>
            </w:pPr>
            <w:hyperlink w:anchor="_67_Microsoft_Dynamics" w:history="1">
              <w:r w:rsidR="00191CEA" w:rsidRPr="00BD7CEA">
                <w:rPr>
                  <w:rStyle w:val="Hyperlink"/>
                  <w:b/>
                  <w:sz w:val="13"/>
                  <w:szCs w:val="13"/>
                </w:rPr>
                <w:t>67</w:t>
              </w:r>
            </w:hyperlink>
          </w:p>
        </w:tc>
        <w:tc>
          <w:tcPr>
            <w:tcW w:w="450" w:type="dxa"/>
            <w:tcBorders>
              <w:bottom w:val="single" w:sz="4" w:space="0" w:color="auto"/>
            </w:tcBorders>
            <w:shd w:val="clear" w:color="auto" w:fill="FABF8F"/>
          </w:tcPr>
          <w:p w:rsidR="001A63C6" w:rsidRPr="00BD7CEA" w:rsidRDefault="001A63C6" w:rsidP="001A63C6">
            <w:pPr>
              <w:pStyle w:val="TableText"/>
              <w:widowControl w:val="0"/>
              <w:spacing w:before="120"/>
              <w:rPr>
                <w:rFonts w:ascii="Tahoma" w:hAnsi="Tahoma" w:cs="Tahoma"/>
                <w:color w:val="000000"/>
                <w:sz w:val="13"/>
              </w:rPr>
            </w:pPr>
            <w:r w:rsidRPr="00BD7CEA">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3</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P</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spacing w:before="120"/>
              <w:rPr>
                <w:rFonts w:ascii="Tahoma" w:hAnsi="Tahoma" w:cs="Tahoma"/>
                <w:sz w:val="13"/>
              </w:rPr>
            </w:pPr>
            <w:r w:rsidRPr="00BD7CEA">
              <w:rPr>
                <w:rFonts w:ascii="Tahoma" w:hAnsi="Tahoma" w:cs="Tahoma"/>
                <w:sz w:val="13"/>
              </w:rPr>
              <w:t>A, ST</w:t>
            </w:r>
          </w:p>
        </w:tc>
        <w:tc>
          <w:tcPr>
            <w:tcW w:w="54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OL/OV</w:t>
            </w:r>
          </w:p>
        </w:tc>
      </w:tr>
      <w:tr w:rsidR="001A63C6" w:rsidRPr="00BD7CEA" w:rsidTr="007E466C">
        <w:trPr>
          <w:trHeight w:val="145"/>
        </w:trPr>
        <w:tc>
          <w:tcPr>
            <w:tcW w:w="2734" w:type="dxa"/>
            <w:gridSpan w:val="2"/>
            <w:tcBorders>
              <w:bottom w:val="single" w:sz="4" w:space="0" w:color="auto"/>
            </w:tcBorders>
            <w:shd w:val="clear" w:color="auto" w:fill="auto"/>
            <w:vAlign w:val="center"/>
          </w:tcPr>
          <w:p w:rsidR="001A63C6" w:rsidRPr="00BD7CEA" w:rsidRDefault="001A63C6" w:rsidP="001A63C6">
            <w:pPr>
              <w:pStyle w:val="Heading2"/>
              <w:ind w:left="0"/>
              <w:rPr>
                <w:rFonts w:ascii="Tahoma" w:hAnsi="Tahoma" w:cs="Tahoma"/>
                <w:b w:val="0"/>
                <w:sz w:val="14"/>
                <w:szCs w:val="14"/>
              </w:rPr>
            </w:pPr>
            <w:bookmarkStart w:id="344" w:name="_Toc336338021"/>
            <w:bookmarkStart w:id="345" w:name="_Toc353375809"/>
            <w:r w:rsidRPr="00BD7CEA">
              <w:rPr>
                <w:rFonts w:ascii="Tahoma" w:hAnsi="Tahoma" w:cs="Tahoma"/>
                <w:b w:val="0"/>
                <w:sz w:val="14"/>
                <w:szCs w:val="14"/>
              </w:rPr>
              <w:t>Microsoft Dynamics CRM Server 2011</w:t>
            </w:r>
            <w:bookmarkEnd w:id="344"/>
            <w:bookmarkEnd w:id="345"/>
            <w:r w:rsidRPr="00BD7CEA">
              <w:rPr>
                <w:rFonts w:ascii="Tahoma" w:hAnsi="Tahoma" w:cs="Tahoma"/>
                <w:b w:val="0"/>
                <w:sz w:val="14"/>
                <w:szCs w:val="14"/>
              </w:rPr>
              <w:t xml:space="preserve"> </w:t>
            </w:r>
          </w:p>
        </w:tc>
        <w:tc>
          <w:tcPr>
            <w:tcW w:w="450" w:type="dxa"/>
            <w:tcBorders>
              <w:bottom w:val="single" w:sz="4" w:space="0" w:color="auto"/>
            </w:tcBorders>
            <w:shd w:val="clear" w:color="auto" w:fill="auto"/>
            <w:vAlign w:val="center"/>
          </w:tcPr>
          <w:p w:rsidR="001A63C6" w:rsidRPr="00BD7CEA" w:rsidRDefault="006E5080" w:rsidP="002E59B1">
            <w:pPr>
              <w:pStyle w:val="TableText"/>
              <w:widowControl w:val="0"/>
              <w:rPr>
                <w:b/>
                <w:color w:val="0000FF"/>
                <w:sz w:val="13"/>
                <w:szCs w:val="13"/>
                <w:u w:val="single"/>
              </w:rPr>
            </w:pPr>
            <w:hyperlink w:anchor="_58_Forefront_Protection" w:history="1">
              <w:r w:rsidR="00955428" w:rsidRPr="00BD7CEA">
                <w:rPr>
                  <w:rStyle w:val="Hyperlink"/>
                  <w:b/>
                  <w:sz w:val="13"/>
                  <w:szCs w:val="13"/>
                </w:rPr>
                <w:t>68</w:t>
              </w:r>
            </w:hyperlink>
          </w:p>
        </w:tc>
        <w:tc>
          <w:tcPr>
            <w:tcW w:w="450" w:type="dxa"/>
            <w:tcBorders>
              <w:bottom w:val="single" w:sz="4" w:space="0" w:color="auto"/>
            </w:tcBorders>
            <w:shd w:val="clear" w:color="auto" w:fill="auto"/>
          </w:tcPr>
          <w:p w:rsidR="001A63C6" w:rsidRPr="00BD7CEA" w:rsidRDefault="001A63C6" w:rsidP="001A63C6">
            <w:pPr>
              <w:pStyle w:val="TableText"/>
              <w:widowControl w:val="0"/>
              <w:spacing w:before="120"/>
              <w:rPr>
                <w:rFonts w:ascii="Tahoma" w:hAnsi="Tahoma" w:cs="Tahoma"/>
                <w:color w:val="000000"/>
                <w:sz w:val="13"/>
              </w:rPr>
            </w:pPr>
            <w:r w:rsidRPr="00BD7CEA">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125</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100</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75</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75</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P</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spacing w:before="120"/>
              <w:rPr>
                <w:rFonts w:ascii="Tahoma" w:hAnsi="Tahoma" w:cs="Tahoma"/>
                <w:sz w:val="13"/>
              </w:rPr>
            </w:pPr>
            <w:r w:rsidRPr="00BD7CEA">
              <w:rPr>
                <w:rFonts w:ascii="Tahoma" w:hAnsi="Tahoma" w:cs="Tahoma"/>
                <w:sz w:val="13"/>
              </w:rPr>
              <w:t>A</w:t>
            </w: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OL/OV</w:t>
            </w:r>
          </w:p>
        </w:tc>
      </w:tr>
      <w:tr w:rsidR="00B33D0E" w:rsidRPr="00BD7CEA" w:rsidTr="006B1F3F">
        <w:trPr>
          <w:trHeight w:val="145"/>
        </w:trPr>
        <w:tc>
          <w:tcPr>
            <w:tcW w:w="2734" w:type="dxa"/>
            <w:gridSpan w:val="2"/>
            <w:tcBorders>
              <w:bottom w:val="single" w:sz="4" w:space="0" w:color="auto"/>
            </w:tcBorders>
            <w:shd w:val="clear" w:color="auto" w:fill="FABF8F"/>
            <w:vAlign w:val="center"/>
          </w:tcPr>
          <w:p w:rsidR="001A63C6" w:rsidRPr="00BD7CEA" w:rsidRDefault="001A63C6" w:rsidP="001A63C6">
            <w:pPr>
              <w:pStyle w:val="Heading2"/>
              <w:ind w:left="0"/>
              <w:rPr>
                <w:rFonts w:ascii="Tahoma" w:hAnsi="Tahoma" w:cs="Tahoma"/>
                <w:b w:val="0"/>
                <w:sz w:val="14"/>
                <w:szCs w:val="14"/>
              </w:rPr>
            </w:pPr>
            <w:bookmarkStart w:id="346" w:name="_Toc336338022"/>
            <w:bookmarkStart w:id="347" w:name="_Toc353375810"/>
            <w:r w:rsidRPr="00BD7CEA">
              <w:rPr>
                <w:rFonts w:ascii="Tahoma" w:hAnsi="Tahoma" w:cs="Tahoma"/>
                <w:b w:val="0"/>
                <w:sz w:val="14"/>
                <w:szCs w:val="14"/>
              </w:rPr>
              <w:t>Microsoft Dynamics CRM Workgroup Server 2011</w:t>
            </w:r>
            <w:bookmarkEnd w:id="346"/>
            <w:bookmarkEnd w:id="347"/>
            <w:r w:rsidRPr="00BD7CEA">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rsidR="001A63C6" w:rsidRPr="00BD7CEA" w:rsidRDefault="006E5080" w:rsidP="002E59B1">
            <w:pPr>
              <w:pStyle w:val="TableText"/>
              <w:widowControl w:val="0"/>
              <w:rPr>
                <w:b/>
                <w:color w:val="0000FF"/>
                <w:sz w:val="13"/>
                <w:szCs w:val="13"/>
                <w:u w:val="single"/>
              </w:rPr>
            </w:pPr>
            <w:hyperlink w:anchor="_58_Forefront_Protection" w:history="1">
              <w:r w:rsidR="00191CEA" w:rsidRPr="00BD7CEA">
                <w:rPr>
                  <w:rStyle w:val="Hyperlink"/>
                  <w:b/>
                  <w:sz w:val="13"/>
                  <w:szCs w:val="13"/>
                </w:rPr>
                <w:t>68</w:t>
              </w:r>
            </w:hyperlink>
          </w:p>
        </w:tc>
        <w:tc>
          <w:tcPr>
            <w:tcW w:w="450" w:type="dxa"/>
            <w:tcBorders>
              <w:bottom w:val="single" w:sz="4" w:space="0" w:color="auto"/>
            </w:tcBorders>
            <w:shd w:val="clear" w:color="auto" w:fill="FABF8F"/>
          </w:tcPr>
          <w:p w:rsidR="001A63C6" w:rsidRPr="00BD7CEA" w:rsidRDefault="001A63C6" w:rsidP="001A63C6">
            <w:pPr>
              <w:pStyle w:val="TableText"/>
              <w:widowControl w:val="0"/>
              <w:spacing w:before="120"/>
              <w:rPr>
                <w:rFonts w:ascii="Tahoma" w:hAnsi="Tahoma" w:cs="Tahoma"/>
                <w:color w:val="000000"/>
                <w:sz w:val="13"/>
              </w:rPr>
            </w:pPr>
            <w:r w:rsidRPr="00BD7CEA">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60</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50</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38</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38</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P</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OL/OV</w:t>
            </w:r>
          </w:p>
        </w:tc>
      </w:tr>
      <w:tr w:rsidR="001A63C6" w:rsidRPr="00BD7CEA" w:rsidDel="00436016" w:rsidTr="007E466C">
        <w:trPr>
          <w:trHeight w:val="145"/>
        </w:trPr>
        <w:tc>
          <w:tcPr>
            <w:tcW w:w="2734" w:type="dxa"/>
            <w:gridSpan w:val="2"/>
            <w:tcBorders>
              <w:bottom w:val="single" w:sz="4" w:space="0" w:color="auto"/>
            </w:tcBorders>
            <w:shd w:val="clear" w:color="auto" w:fill="auto"/>
            <w:vAlign w:val="center"/>
          </w:tcPr>
          <w:p w:rsidR="001A63C6" w:rsidRPr="00BD7CEA" w:rsidRDefault="001A63C6" w:rsidP="001A63C6">
            <w:pPr>
              <w:pStyle w:val="Heading2"/>
              <w:ind w:left="-15" w:firstLine="15"/>
              <w:rPr>
                <w:rFonts w:ascii="Tahoma" w:hAnsi="Tahoma" w:cs="Tahoma"/>
                <w:b w:val="0"/>
                <w:sz w:val="14"/>
                <w:szCs w:val="16"/>
              </w:rPr>
            </w:pPr>
            <w:bookmarkStart w:id="348" w:name="_Toc336338023"/>
            <w:bookmarkStart w:id="349" w:name="_Toc353375811"/>
            <w:r w:rsidRPr="00BD7CEA">
              <w:rPr>
                <w:rFonts w:ascii="Tahoma" w:hAnsi="Tahoma" w:cs="Tahoma"/>
                <w:b w:val="0"/>
                <w:sz w:val="14"/>
                <w:szCs w:val="14"/>
              </w:rPr>
              <w:t>Microsoft Translator API</w:t>
            </w:r>
            <w:bookmarkEnd w:id="348"/>
            <w:bookmarkEnd w:id="349"/>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b/>
                <w:color w:val="0000FF"/>
                <w:sz w:val="13"/>
                <w:szCs w:val="13"/>
                <w:u w:val="single"/>
              </w:rPr>
            </w:pPr>
          </w:p>
        </w:tc>
        <w:tc>
          <w:tcPr>
            <w:tcW w:w="450" w:type="dxa"/>
            <w:tcBorders>
              <w:bottom w:val="single" w:sz="4" w:space="0" w:color="auto"/>
            </w:tcBorders>
            <w:shd w:val="clear" w:color="auto" w:fill="auto"/>
          </w:tcPr>
          <w:p w:rsidR="001A63C6" w:rsidRPr="00BD7CEA" w:rsidRDefault="001A63C6" w:rsidP="001A63C6">
            <w:pPr>
              <w:pStyle w:val="TableText"/>
              <w:widowControl w:val="0"/>
              <w:spacing w:before="120"/>
              <w:rPr>
                <w:rFonts w:ascii="Tahoma" w:hAnsi="Tahoma" w:cs="Tahoma"/>
                <w:color w:val="000000"/>
                <w:sz w:val="13"/>
              </w:rPr>
            </w:pPr>
            <w:r w:rsidRPr="00BD7CEA">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BD7CEA" w:rsidDel="00436016" w:rsidRDefault="001A63C6" w:rsidP="001A63C6">
            <w:pPr>
              <w:pStyle w:val="TableText"/>
              <w:widowControl w:val="0"/>
              <w:rPr>
                <w:rFonts w:ascii="Tahoma" w:hAnsi="Tahoma" w:cs="Tahoma"/>
                <w:sz w:val="13"/>
              </w:rPr>
            </w:pPr>
          </w:p>
        </w:tc>
      </w:tr>
      <w:tr w:rsidR="006D1AA6" w:rsidRPr="00BD7CEA" w:rsidDel="00436016" w:rsidTr="006B1F3F">
        <w:trPr>
          <w:trHeight w:val="145"/>
        </w:trPr>
        <w:tc>
          <w:tcPr>
            <w:tcW w:w="2734" w:type="dxa"/>
            <w:gridSpan w:val="2"/>
            <w:tcBorders>
              <w:bottom w:val="single" w:sz="4" w:space="0" w:color="auto"/>
            </w:tcBorders>
            <w:shd w:val="clear" w:color="auto" w:fill="FABF8F"/>
            <w:vAlign w:val="center"/>
          </w:tcPr>
          <w:p w:rsidR="006D1AA6" w:rsidRPr="00BD7CEA" w:rsidRDefault="006D1AA6" w:rsidP="001A63C6">
            <w:pPr>
              <w:pStyle w:val="Heading2"/>
              <w:ind w:left="-15" w:firstLine="15"/>
              <w:rPr>
                <w:rFonts w:ascii="Tahoma" w:hAnsi="Tahoma" w:cs="Tahoma"/>
                <w:b w:val="0"/>
                <w:sz w:val="14"/>
                <w:szCs w:val="14"/>
              </w:rPr>
            </w:pPr>
            <w:bookmarkStart w:id="350" w:name="_Toc353375812"/>
            <w:r w:rsidRPr="00BD7CEA">
              <w:rPr>
                <w:rFonts w:ascii="Tahoma" w:hAnsi="Tahoma" w:cs="Tahoma"/>
                <w:b w:val="0"/>
                <w:sz w:val="14"/>
                <w:szCs w:val="14"/>
              </w:rPr>
              <w:t xml:space="preserve">Office 365 Midsize Business </w:t>
            </w:r>
            <w:r w:rsidR="006356EC" w:rsidRPr="00BD7CEA">
              <w:rPr>
                <w:rFonts w:ascii="Tahoma" w:hAnsi="Tahoma" w:cs="Tahoma"/>
                <w:b w:val="0"/>
                <w:sz w:val="14"/>
                <w:szCs w:val="14"/>
              </w:rPr>
              <w:br/>
            </w:r>
            <w:r w:rsidRPr="00BD7CEA">
              <w:rPr>
                <w:rFonts w:ascii="Tahoma" w:hAnsi="Tahoma" w:cs="Tahoma"/>
                <w:b w:val="0"/>
                <w:sz w:val="14"/>
                <w:szCs w:val="14"/>
              </w:rPr>
              <w:t>(SL per Utente)</w:t>
            </w:r>
            <w:bookmarkEnd w:id="350"/>
          </w:p>
        </w:tc>
        <w:tc>
          <w:tcPr>
            <w:tcW w:w="450" w:type="dxa"/>
            <w:tcBorders>
              <w:bottom w:val="single" w:sz="4" w:space="0" w:color="auto"/>
            </w:tcBorders>
            <w:shd w:val="clear" w:color="auto" w:fill="FABF8F"/>
            <w:vAlign w:val="center"/>
          </w:tcPr>
          <w:p w:rsidR="006D1AA6" w:rsidRPr="00BD7CEA" w:rsidRDefault="006D1AA6" w:rsidP="001A63C6">
            <w:pPr>
              <w:pStyle w:val="TableText"/>
              <w:widowControl w:val="0"/>
              <w:rPr>
                <w:b/>
                <w:color w:val="0000FF"/>
                <w:sz w:val="13"/>
                <w:szCs w:val="13"/>
                <w:u w:val="single"/>
              </w:rPr>
            </w:pPr>
          </w:p>
        </w:tc>
        <w:tc>
          <w:tcPr>
            <w:tcW w:w="450" w:type="dxa"/>
            <w:tcBorders>
              <w:bottom w:val="single" w:sz="4" w:space="0" w:color="auto"/>
            </w:tcBorders>
            <w:shd w:val="clear" w:color="auto" w:fill="FABF8F"/>
          </w:tcPr>
          <w:p w:rsidR="006D1AA6" w:rsidRPr="00BD7CEA" w:rsidRDefault="006D1AA6" w:rsidP="001A63C6">
            <w:pPr>
              <w:pStyle w:val="TableText"/>
              <w:widowControl w:val="0"/>
              <w:spacing w:before="120"/>
              <w:rPr>
                <w:rFonts w:ascii="Tahoma" w:hAnsi="Tahoma" w:cs="Tahoma"/>
                <w:color w:val="000000"/>
                <w:sz w:val="13"/>
              </w:rPr>
            </w:pPr>
            <w:r w:rsidRPr="00BD7CEA">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6D1AA6" w:rsidRPr="00BD7CEA" w:rsidRDefault="006D1AA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6D1AA6" w:rsidRPr="00BD7CEA"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BD7CEA"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BD7CEA"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BD7CEA"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BD7CEA"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BD7CEA" w:rsidDel="00436016" w:rsidRDefault="006D1AA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6D1AA6" w:rsidRPr="00BD7CEA" w:rsidDel="00436016" w:rsidRDefault="006D1AA6"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6D1AA6" w:rsidRPr="00BD7CEA" w:rsidDel="00436016" w:rsidRDefault="006D1AA6" w:rsidP="001A63C6">
            <w:pPr>
              <w:pStyle w:val="TableText"/>
              <w:widowControl w:val="0"/>
              <w:rPr>
                <w:rFonts w:ascii="Tahoma" w:hAnsi="Tahoma" w:cs="Tahoma"/>
                <w:sz w:val="13"/>
              </w:rPr>
            </w:pPr>
            <w:r w:rsidRPr="00BD7CEA">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6D1AA6" w:rsidRPr="00BD7CEA" w:rsidDel="00436016" w:rsidRDefault="006D1AA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D1AA6" w:rsidRPr="00BD7CEA" w:rsidRDefault="006D1AA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6D1AA6" w:rsidRPr="00BD7CEA" w:rsidDel="00436016" w:rsidRDefault="006D1AA6" w:rsidP="001A63C6">
            <w:pPr>
              <w:pStyle w:val="TableText"/>
              <w:widowControl w:val="0"/>
              <w:rPr>
                <w:rFonts w:ascii="Tahoma" w:hAnsi="Tahoma" w:cs="Tahoma"/>
                <w:sz w:val="13"/>
              </w:rPr>
            </w:pPr>
            <w:r w:rsidRPr="00BD7CEA">
              <w:rPr>
                <w:rFonts w:ascii="Tahoma" w:hAnsi="Tahoma" w:cs="Tahoma"/>
                <w:sz w:val="13"/>
              </w:rPr>
              <w:t>P</w:t>
            </w:r>
          </w:p>
        </w:tc>
        <w:tc>
          <w:tcPr>
            <w:tcW w:w="450" w:type="dxa"/>
            <w:tcBorders>
              <w:bottom w:val="single" w:sz="4" w:space="0" w:color="auto"/>
            </w:tcBorders>
            <w:shd w:val="clear" w:color="auto" w:fill="FABF8F"/>
            <w:vAlign w:val="center"/>
          </w:tcPr>
          <w:p w:rsidR="006D1AA6" w:rsidRPr="00BD7CEA" w:rsidRDefault="006D1AA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6D1AA6" w:rsidRPr="00BD7CEA" w:rsidDel="00436016" w:rsidRDefault="006D1AA6" w:rsidP="001A63C6">
            <w:pPr>
              <w:pStyle w:val="TableText"/>
              <w:widowControl w:val="0"/>
              <w:rPr>
                <w:rFonts w:ascii="Tahoma" w:hAnsi="Tahoma" w:cs="Tahoma"/>
                <w:sz w:val="13"/>
              </w:rPr>
            </w:pPr>
            <w:r w:rsidRPr="00BD7CEA">
              <w:rPr>
                <w:rFonts w:ascii="Tahoma" w:hAnsi="Tahoma" w:cs="Tahoma"/>
                <w:sz w:val="13"/>
              </w:rPr>
              <w:t>OL/OV</w:t>
            </w:r>
          </w:p>
        </w:tc>
      </w:tr>
      <w:tr w:rsidR="00B33D0E" w:rsidRPr="00BD7CEA" w:rsidDel="00436016" w:rsidTr="006B1F3F">
        <w:trPr>
          <w:trHeight w:val="145"/>
        </w:trPr>
        <w:tc>
          <w:tcPr>
            <w:tcW w:w="2734" w:type="dxa"/>
            <w:gridSpan w:val="2"/>
            <w:tcBorders>
              <w:bottom w:val="single" w:sz="4" w:space="0" w:color="auto"/>
            </w:tcBorders>
            <w:shd w:val="clear" w:color="auto" w:fill="FFFFFF"/>
            <w:vAlign w:val="center"/>
          </w:tcPr>
          <w:p w:rsidR="001A63C6" w:rsidRPr="00BD7CEA" w:rsidRDefault="001A63C6" w:rsidP="001A63C6">
            <w:pPr>
              <w:pStyle w:val="Heading2"/>
              <w:ind w:left="-15" w:firstLine="15"/>
              <w:rPr>
                <w:rFonts w:ascii="Tahoma" w:hAnsi="Tahoma" w:cs="Tahoma"/>
                <w:b w:val="0"/>
                <w:sz w:val="14"/>
                <w:szCs w:val="16"/>
              </w:rPr>
            </w:pPr>
            <w:bookmarkStart w:id="351" w:name="_Toc336338024"/>
            <w:bookmarkStart w:id="352" w:name="_Toc353375813"/>
            <w:r w:rsidRPr="00BD7CEA">
              <w:rPr>
                <w:rFonts w:ascii="Tahoma" w:hAnsi="Tahoma" w:cs="Tahoma"/>
                <w:b w:val="0"/>
                <w:sz w:val="14"/>
                <w:szCs w:val="16"/>
              </w:rPr>
              <w:t>Office 365 Education A2 (SL per Utente)</w:t>
            </w:r>
            <w:bookmarkEnd w:id="351"/>
            <w:bookmarkEnd w:id="352"/>
          </w:p>
        </w:tc>
        <w:tc>
          <w:tcPr>
            <w:tcW w:w="450" w:type="dxa"/>
            <w:tcBorders>
              <w:bottom w:val="single" w:sz="4" w:space="0" w:color="auto"/>
            </w:tcBorders>
            <w:shd w:val="clear" w:color="auto" w:fill="FFFFFF"/>
            <w:vAlign w:val="center"/>
          </w:tcPr>
          <w:p w:rsidR="001A63C6" w:rsidRPr="00BD7CEA" w:rsidRDefault="006E5080" w:rsidP="001A63C6">
            <w:pPr>
              <w:pStyle w:val="TableText"/>
              <w:widowControl w:val="0"/>
              <w:rPr>
                <w:b/>
                <w:color w:val="0000FF"/>
                <w:sz w:val="13"/>
                <w:szCs w:val="13"/>
                <w:u w:val="single"/>
              </w:rPr>
            </w:pPr>
            <w:hyperlink w:anchor="_45_Office_365" w:history="1">
              <w:r w:rsidR="00955428" w:rsidRPr="00BD7CEA">
                <w:rPr>
                  <w:rStyle w:val="Hyperlink"/>
                  <w:b/>
                  <w:sz w:val="13"/>
                  <w:szCs w:val="13"/>
                </w:rPr>
                <w:t>4</w:t>
              </w:r>
            </w:hyperlink>
          </w:p>
        </w:tc>
        <w:tc>
          <w:tcPr>
            <w:tcW w:w="450" w:type="dxa"/>
            <w:tcBorders>
              <w:bottom w:val="single" w:sz="4" w:space="0" w:color="auto"/>
            </w:tcBorders>
            <w:shd w:val="clear" w:color="auto" w:fill="FFFFFF"/>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06/12</w:t>
            </w:r>
          </w:p>
        </w:tc>
        <w:tc>
          <w:tcPr>
            <w:tcW w:w="360" w:type="dxa"/>
            <w:tcBorders>
              <w:bottom w:val="single" w:sz="4" w:space="0" w:color="auto"/>
              <w:right w:val="single" w:sz="18" w:space="0" w:color="auto"/>
            </w:tcBorders>
            <w:shd w:val="clear" w:color="auto" w:fill="FFFFF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BD7CEA"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BD7CEA" w:rsidDel="00436016" w:rsidRDefault="001A63C6" w:rsidP="001A63C6">
            <w:pPr>
              <w:pStyle w:val="TableText"/>
              <w:widowControl w:val="0"/>
              <w:rPr>
                <w:rFonts w:ascii="Tahoma" w:hAnsi="Tahoma" w:cs="Tahoma"/>
                <w:sz w:val="13"/>
              </w:rPr>
            </w:pPr>
            <w:r w:rsidRPr="00BD7CEA">
              <w:rPr>
                <w:rFonts w:ascii="Tahoma" w:hAnsi="Tahoma" w:cs="Tahoma"/>
                <w:sz w:val="13"/>
              </w:rPr>
              <w:t>A, ST (Solo EES)</w:t>
            </w:r>
          </w:p>
        </w:tc>
        <w:tc>
          <w:tcPr>
            <w:tcW w:w="540" w:type="dxa"/>
            <w:tcBorders>
              <w:bottom w:val="single" w:sz="4" w:space="0" w:color="auto"/>
            </w:tcBorders>
            <w:shd w:val="clear" w:color="auto" w:fill="FFFFFF"/>
            <w:vAlign w:val="center"/>
          </w:tcPr>
          <w:p w:rsidR="001A63C6" w:rsidRPr="00BD7CEA" w:rsidDel="00436016" w:rsidRDefault="001A63C6" w:rsidP="001A63C6">
            <w:pPr>
              <w:pStyle w:val="TableText"/>
              <w:widowControl w:val="0"/>
              <w:rPr>
                <w:rFonts w:ascii="Tahoma" w:hAnsi="Tahoma" w:cs="Tahoma"/>
                <w:sz w:val="13"/>
              </w:rPr>
            </w:pPr>
          </w:p>
        </w:tc>
      </w:tr>
      <w:tr w:rsidR="00B33D0E" w:rsidRPr="00BD7CEA" w:rsidDel="00436016" w:rsidTr="006B1F3F">
        <w:trPr>
          <w:trHeight w:val="145"/>
        </w:trPr>
        <w:tc>
          <w:tcPr>
            <w:tcW w:w="2734" w:type="dxa"/>
            <w:gridSpan w:val="2"/>
            <w:tcBorders>
              <w:bottom w:val="single" w:sz="4" w:space="0" w:color="auto"/>
            </w:tcBorders>
            <w:shd w:val="clear" w:color="auto" w:fill="FABF8F"/>
            <w:vAlign w:val="center"/>
          </w:tcPr>
          <w:p w:rsidR="001A63C6" w:rsidRPr="00BD7CEA" w:rsidRDefault="001A63C6" w:rsidP="001A63C6">
            <w:pPr>
              <w:pStyle w:val="Heading2"/>
              <w:ind w:left="-15" w:firstLine="15"/>
              <w:rPr>
                <w:rFonts w:ascii="Tahoma" w:hAnsi="Tahoma" w:cs="Tahoma"/>
                <w:b w:val="0"/>
                <w:sz w:val="14"/>
                <w:szCs w:val="16"/>
              </w:rPr>
            </w:pPr>
            <w:bookmarkStart w:id="353" w:name="_Toc336338025"/>
            <w:bookmarkStart w:id="354" w:name="_Toc353375814"/>
            <w:r w:rsidRPr="00BD7CEA">
              <w:rPr>
                <w:rFonts w:ascii="Tahoma" w:hAnsi="Tahoma" w:cs="Tahoma"/>
                <w:b w:val="0"/>
                <w:sz w:val="14"/>
                <w:szCs w:val="16"/>
              </w:rPr>
              <w:t>Office 365 Education A3 (SL per Utente)</w:t>
            </w:r>
            <w:bookmarkEnd w:id="353"/>
            <w:bookmarkEnd w:id="354"/>
          </w:p>
        </w:tc>
        <w:tc>
          <w:tcPr>
            <w:tcW w:w="450" w:type="dxa"/>
            <w:tcBorders>
              <w:bottom w:val="single" w:sz="4" w:space="0" w:color="auto"/>
            </w:tcBorders>
            <w:shd w:val="clear" w:color="auto" w:fill="FABF8F"/>
            <w:vAlign w:val="center"/>
          </w:tcPr>
          <w:p w:rsidR="001A63C6" w:rsidRPr="00BD7CEA" w:rsidRDefault="006E5080" w:rsidP="001A63C6">
            <w:pPr>
              <w:pStyle w:val="TableText"/>
              <w:widowControl w:val="0"/>
              <w:rPr>
                <w:b/>
                <w:color w:val="0000FF"/>
                <w:sz w:val="13"/>
                <w:szCs w:val="13"/>
                <w:u w:val="single"/>
              </w:rPr>
            </w:pPr>
            <w:hyperlink w:anchor="_45_Office_365" w:history="1">
              <w:r w:rsidR="00955428" w:rsidRPr="00BD7CEA">
                <w:rPr>
                  <w:rStyle w:val="Hyperlink"/>
                  <w:b/>
                  <w:sz w:val="13"/>
                  <w:szCs w:val="13"/>
                </w:rPr>
                <w:t>4</w:t>
              </w:r>
            </w:hyperlink>
          </w:p>
        </w:tc>
        <w:tc>
          <w:tcPr>
            <w:tcW w:w="450" w:type="dxa"/>
            <w:tcBorders>
              <w:bottom w:val="single" w:sz="4" w:space="0" w:color="auto"/>
            </w:tcBorders>
            <w:shd w:val="clear" w:color="auto" w:fill="FABF8F"/>
          </w:tcPr>
          <w:p w:rsidR="001A63C6" w:rsidRPr="00BD7CEA" w:rsidRDefault="001A63C6" w:rsidP="001A63C6">
            <w:pPr>
              <w:pStyle w:val="TableText"/>
              <w:widowControl w:val="0"/>
              <w:spacing w:before="120"/>
              <w:rPr>
                <w:rFonts w:ascii="Tahoma" w:hAnsi="Tahoma" w:cs="Tahoma"/>
                <w:color w:val="000000"/>
                <w:sz w:val="13"/>
              </w:rPr>
            </w:pPr>
            <w:r w:rsidRPr="00BD7CEA">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Del="00436016" w:rsidRDefault="001A63C6" w:rsidP="001A63C6">
            <w:pPr>
              <w:pStyle w:val="TableText"/>
              <w:widowControl w:val="0"/>
              <w:rPr>
                <w:rFonts w:ascii="Tahoma" w:hAnsi="Tahoma" w:cs="Tahoma"/>
                <w:sz w:val="13"/>
              </w:rPr>
            </w:pPr>
            <w:r w:rsidRPr="00BD7CEA">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Del="00436016" w:rsidRDefault="001A63C6" w:rsidP="001A63C6">
            <w:pPr>
              <w:pStyle w:val="TableText"/>
              <w:widowControl w:val="0"/>
              <w:spacing w:before="120"/>
              <w:rPr>
                <w:rFonts w:ascii="Tahoma" w:hAnsi="Tahoma" w:cs="Tahoma"/>
                <w:sz w:val="13"/>
              </w:rPr>
            </w:pPr>
            <w:r w:rsidRPr="00BD7CEA">
              <w:rPr>
                <w:rFonts w:ascii="Tahoma" w:hAnsi="Tahoma" w:cs="Tahoma"/>
                <w:sz w:val="13"/>
              </w:rPr>
              <w:t>EOLS (Solo EES)</w:t>
            </w:r>
          </w:p>
        </w:tc>
        <w:tc>
          <w:tcPr>
            <w:tcW w:w="540" w:type="dxa"/>
            <w:tcBorders>
              <w:bottom w:val="single" w:sz="4" w:space="0" w:color="auto"/>
            </w:tcBorders>
            <w:shd w:val="clear" w:color="auto" w:fill="FABF8F"/>
            <w:vAlign w:val="center"/>
          </w:tcPr>
          <w:p w:rsidR="001A63C6" w:rsidRPr="00BD7CEA" w:rsidDel="00436016" w:rsidRDefault="001A63C6" w:rsidP="001A63C6">
            <w:pPr>
              <w:pStyle w:val="TableText"/>
              <w:widowControl w:val="0"/>
              <w:rPr>
                <w:rFonts w:ascii="Tahoma" w:hAnsi="Tahoma" w:cs="Tahoma"/>
                <w:sz w:val="13"/>
              </w:rPr>
            </w:pPr>
          </w:p>
        </w:tc>
      </w:tr>
      <w:tr w:rsidR="00B33D0E" w:rsidRPr="00BD7CEA" w:rsidDel="00436016" w:rsidTr="006B1F3F">
        <w:trPr>
          <w:trHeight w:val="145"/>
        </w:trPr>
        <w:tc>
          <w:tcPr>
            <w:tcW w:w="2734" w:type="dxa"/>
            <w:gridSpan w:val="2"/>
            <w:tcBorders>
              <w:bottom w:val="single" w:sz="4" w:space="0" w:color="auto"/>
            </w:tcBorders>
            <w:shd w:val="clear" w:color="auto" w:fill="FFFFFF"/>
            <w:vAlign w:val="center"/>
          </w:tcPr>
          <w:p w:rsidR="001A63C6" w:rsidRPr="00BD7CEA" w:rsidRDefault="001A63C6" w:rsidP="00E215F4">
            <w:pPr>
              <w:pStyle w:val="Heading2"/>
              <w:spacing w:beforeLines="20" w:before="48" w:afterLines="20" w:after="48"/>
              <w:ind w:left="0" w:firstLine="15"/>
              <w:rPr>
                <w:rFonts w:ascii="Tahoma" w:hAnsi="Tahoma" w:cs="Tahoma"/>
                <w:b w:val="0"/>
                <w:sz w:val="14"/>
                <w:szCs w:val="16"/>
              </w:rPr>
            </w:pPr>
            <w:bookmarkStart w:id="355" w:name="_Toc336338026"/>
            <w:bookmarkStart w:id="356" w:name="_Toc353375815"/>
            <w:r w:rsidRPr="00BD7CEA">
              <w:rPr>
                <w:rFonts w:ascii="Tahoma" w:hAnsi="Tahoma" w:cs="Tahoma"/>
                <w:b w:val="0"/>
                <w:sz w:val="14"/>
                <w:szCs w:val="16"/>
              </w:rPr>
              <w:t>Office 365 Education A4 (SL per Utente)</w:t>
            </w:r>
            <w:bookmarkEnd w:id="355"/>
            <w:bookmarkEnd w:id="356"/>
          </w:p>
        </w:tc>
        <w:tc>
          <w:tcPr>
            <w:tcW w:w="450" w:type="dxa"/>
            <w:tcBorders>
              <w:bottom w:val="single" w:sz="4" w:space="0" w:color="auto"/>
            </w:tcBorders>
            <w:shd w:val="clear" w:color="auto" w:fill="FFFFFF"/>
            <w:vAlign w:val="center"/>
          </w:tcPr>
          <w:p w:rsidR="001A63C6" w:rsidRPr="00BD7CEA" w:rsidRDefault="006E5080" w:rsidP="001A63C6">
            <w:pPr>
              <w:pStyle w:val="TableText"/>
              <w:widowControl w:val="0"/>
              <w:rPr>
                <w:b/>
                <w:color w:val="0000FF"/>
                <w:sz w:val="13"/>
                <w:szCs w:val="13"/>
                <w:u w:val="single"/>
              </w:rPr>
            </w:pPr>
            <w:hyperlink w:anchor="_45_Office_365" w:history="1">
              <w:r w:rsidR="00955428" w:rsidRPr="00BD7CEA">
                <w:rPr>
                  <w:rStyle w:val="Hyperlink"/>
                  <w:b/>
                  <w:sz w:val="13"/>
                  <w:szCs w:val="13"/>
                </w:rPr>
                <w:t>4</w:t>
              </w:r>
            </w:hyperlink>
          </w:p>
        </w:tc>
        <w:tc>
          <w:tcPr>
            <w:tcW w:w="450" w:type="dxa"/>
            <w:tcBorders>
              <w:bottom w:val="single" w:sz="4" w:space="0" w:color="auto"/>
            </w:tcBorders>
            <w:shd w:val="clear" w:color="auto" w:fill="FFFFFF"/>
          </w:tcPr>
          <w:p w:rsidR="001A63C6" w:rsidRPr="00BD7CEA" w:rsidRDefault="001A63C6" w:rsidP="001A63C6">
            <w:pPr>
              <w:pStyle w:val="TableText"/>
              <w:widowControl w:val="0"/>
              <w:spacing w:before="120"/>
              <w:rPr>
                <w:rFonts w:ascii="Tahoma" w:hAnsi="Tahoma" w:cs="Tahoma"/>
                <w:color w:val="000000"/>
                <w:sz w:val="13"/>
              </w:rPr>
            </w:pPr>
            <w:r w:rsidRPr="00BD7CEA">
              <w:rPr>
                <w:rFonts w:ascii="Tahoma" w:hAnsi="Tahoma" w:cs="Tahoma"/>
                <w:color w:val="000000"/>
                <w:sz w:val="13"/>
              </w:rPr>
              <w:t>06/12</w:t>
            </w:r>
          </w:p>
        </w:tc>
        <w:tc>
          <w:tcPr>
            <w:tcW w:w="360" w:type="dxa"/>
            <w:tcBorders>
              <w:bottom w:val="single" w:sz="4" w:space="0" w:color="auto"/>
              <w:right w:val="single" w:sz="18" w:space="0" w:color="auto"/>
            </w:tcBorders>
            <w:shd w:val="clear" w:color="auto" w:fill="FFFFF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BD7CEA"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BD7CEA" w:rsidDel="00436016" w:rsidRDefault="001A63C6" w:rsidP="001A63C6">
            <w:pPr>
              <w:pStyle w:val="TableText"/>
              <w:widowControl w:val="0"/>
              <w:rPr>
                <w:rFonts w:ascii="Tahoma" w:hAnsi="Tahoma" w:cs="Tahoma"/>
                <w:sz w:val="13"/>
              </w:rPr>
            </w:pPr>
            <w:r w:rsidRPr="00BD7CEA">
              <w:rPr>
                <w:rFonts w:ascii="Tahoma" w:hAnsi="Tahoma" w:cs="Tahoma"/>
                <w:sz w:val="13"/>
              </w:rPr>
              <w:t>2</w:t>
            </w:r>
          </w:p>
        </w:tc>
        <w:tc>
          <w:tcPr>
            <w:tcW w:w="450" w:type="dxa"/>
            <w:tcBorders>
              <w:bottom w:val="single" w:sz="4" w:space="0" w:color="auto"/>
              <w:right w:val="single" w:sz="18" w:space="0" w:color="auto"/>
            </w:tcBorders>
            <w:shd w:val="clear" w:color="auto" w:fill="FFFFF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BD7CEA" w:rsidDel="00436016" w:rsidRDefault="001A63C6" w:rsidP="001A63C6">
            <w:pPr>
              <w:pStyle w:val="TableText"/>
              <w:widowControl w:val="0"/>
              <w:spacing w:before="120"/>
              <w:rPr>
                <w:rFonts w:ascii="Tahoma" w:hAnsi="Tahoma" w:cs="Tahoma"/>
                <w:sz w:val="13"/>
              </w:rPr>
            </w:pPr>
            <w:r w:rsidRPr="00BD7CEA">
              <w:rPr>
                <w:rFonts w:ascii="Tahoma" w:hAnsi="Tahoma" w:cs="Tahoma"/>
                <w:sz w:val="13"/>
              </w:rPr>
              <w:t>EOLS (Solo EES)</w:t>
            </w:r>
          </w:p>
        </w:tc>
        <w:tc>
          <w:tcPr>
            <w:tcW w:w="540" w:type="dxa"/>
            <w:tcBorders>
              <w:bottom w:val="single" w:sz="4" w:space="0" w:color="auto"/>
            </w:tcBorders>
            <w:shd w:val="clear" w:color="auto" w:fill="FFFFFF"/>
            <w:vAlign w:val="center"/>
          </w:tcPr>
          <w:p w:rsidR="001A63C6" w:rsidRPr="00BD7CEA" w:rsidDel="00436016" w:rsidRDefault="001A63C6" w:rsidP="001A63C6">
            <w:pPr>
              <w:pStyle w:val="TableText"/>
              <w:widowControl w:val="0"/>
              <w:rPr>
                <w:rFonts w:ascii="Tahoma" w:hAnsi="Tahoma" w:cs="Tahoma"/>
                <w:sz w:val="13"/>
              </w:rPr>
            </w:pPr>
          </w:p>
        </w:tc>
      </w:tr>
      <w:tr w:rsidR="00B33D0E" w:rsidRPr="00BD7CEA" w:rsidDel="00436016" w:rsidTr="006B1F3F">
        <w:trPr>
          <w:trHeight w:val="145"/>
        </w:trPr>
        <w:tc>
          <w:tcPr>
            <w:tcW w:w="2734" w:type="dxa"/>
            <w:gridSpan w:val="2"/>
            <w:tcBorders>
              <w:bottom w:val="single" w:sz="4" w:space="0" w:color="auto"/>
            </w:tcBorders>
            <w:shd w:val="clear" w:color="auto" w:fill="FABF8F"/>
            <w:vAlign w:val="center"/>
          </w:tcPr>
          <w:p w:rsidR="001A63C6" w:rsidRPr="007B74B7" w:rsidDel="00436016" w:rsidRDefault="001A63C6" w:rsidP="00E215F4">
            <w:pPr>
              <w:pStyle w:val="Heading2"/>
              <w:spacing w:beforeLines="20" w:before="48" w:afterLines="20" w:after="48"/>
              <w:ind w:left="0" w:firstLine="15"/>
              <w:rPr>
                <w:rFonts w:ascii="Tahoma" w:hAnsi="Tahoma" w:cs="Tahoma"/>
                <w:b w:val="0"/>
                <w:sz w:val="14"/>
                <w:szCs w:val="16"/>
                <w:lang w:val="it-IT"/>
              </w:rPr>
            </w:pPr>
            <w:bookmarkStart w:id="357" w:name="_Toc336338027"/>
            <w:bookmarkStart w:id="358" w:name="_Toc353375816"/>
            <w:r w:rsidRPr="007B74B7">
              <w:rPr>
                <w:rFonts w:ascii="Tahoma" w:hAnsi="Tahoma" w:cs="Tahoma"/>
                <w:b w:val="0"/>
                <w:sz w:val="14"/>
                <w:szCs w:val="16"/>
                <w:lang w:val="it-IT"/>
              </w:rPr>
              <w:t>Office 365 Enterprise E1 (SL per Utente)</w:t>
            </w:r>
            <w:bookmarkEnd w:id="357"/>
            <w:bookmarkEnd w:id="358"/>
          </w:p>
        </w:tc>
        <w:tc>
          <w:tcPr>
            <w:tcW w:w="450" w:type="dxa"/>
            <w:tcBorders>
              <w:bottom w:val="single" w:sz="4" w:space="0" w:color="auto"/>
            </w:tcBorders>
            <w:shd w:val="clear" w:color="auto" w:fill="FABF8F"/>
            <w:vAlign w:val="center"/>
          </w:tcPr>
          <w:p w:rsidR="001A63C6" w:rsidRPr="00BD7CEA" w:rsidDel="00436016" w:rsidRDefault="006E5080" w:rsidP="002E59B1">
            <w:pPr>
              <w:pStyle w:val="TableText"/>
              <w:widowControl w:val="0"/>
              <w:rPr>
                <w:b/>
                <w:color w:val="0000FF"/>
                <w:sz w:val="13"/>
                <w:szCs w:val="13"/>
                <w:u w:val="single"/>
              </w:rPr>
            </w:pPr>
            <w:hyperlink w:anchor="_70_68_Office" w:history="1">
              <w:r w:rsidR="00955428" w:rsidRPr="00BD7CEA">
                <w:rPr>
                  <w:rStyle w:val="Hyperlink"/>
                  <w:b/>
                  <w:sz w:val="13"/>
                  <w:szCs w:val="13"/>
                </w:rPr>
                <w:t>69</w:t>
              </w:r>
            </w:hyperlink>
            <w:hyperlink w:anchor="_65_Office_365" w:history="1"/>
            <w:hyperlink w:anchor="_71_Office_365_1" w:history="1"/>
          </w:p>
        </w:tc>
        <w:tc>
          <w:tcPr>
            <w:tcW w:w="450" w:type="dxa"/>
            <w:tcBorders>
              <w:bottom w:val="single" w:sz="4" w:space="0" w:color="auto"/>
            </w:tcBorders>
            <w:shd w:val="clear" w:color="auto" w:fill="FABF8F"/>
          </w:tcPr>
          <w:p w:rsidR="001A63C6" w:rsidRPr="00BD7CEA" w:rsidDel="00436016" w:rsidRDefault="001A63C6" w:rsidP="001A63C6">
            <w:pPr>
              <w:pStyle w:val="TableText"/>
              <w:widowControl w:val="0"/>
              <w:spacing w:before="120"/>
              <w:rPr>
                <w:rFonts w:ascii="Tahoma" w:hAnsi="Tahoma" w:cs="Tahoma"/>
                <w:color w:val="000000"/>
                <w:sz w:val="13"/>
              </w:rPr>
            </w:pPr>
            <w:r w:rsidRPr="00BD7CEA">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BD7CEA" w:rsidDel="00436016" w:rsidRDefault="001A63C6" w:rsidP="001A63C6">
            <w:pPr>
              <w:pStyle w:val="TableText"/>
              <w:widowControl w:val="0"/>
              <w:rPr>
                <w:rFonts w:ascii="Tahoma" w:hAnsi="Tahoma" w:cs="Tahoma"/>
                <w:sz w:val="13"/>
              </w:rPr>
            </w:pPr>
            <w:r w:rsidRPr="00BD7CEA">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Del="00436016" w:rsidRDefault="001A63C6" w:rsidP="001A63C6">
            <w:pPr>
              <w:pStyle w:val="TableText"/>
              <w:widowControl w:val="0"/>
              <w:rPr>
                <w:rFonts w:ascii="Tahoma" w:hAnsi="Tahoma" w:cs="Tahoma"/>
                <w:sz w:val="13"/>
              </w:rPr>
            </w:pPr>
            <w:r w:rsidRPr="00BD7CEA">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D7CEA" w:rsidDel="0043601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BD7CEA" w:rsidDel="00436016" w:rsidRDefault="001A63C6" w:rsidP="001A63C6">
            <w:pPr>
              <w:pStyle w:val="TableText"/>
              <w:widowControl w:val="0"/>
              <w:rPr>
                <w:rFonts w:ascii="Tahoma" w:hAnsi="Tahoma" w:cs="Tahoma"/>
                <w:sz w:val="13"/>
              </w:rPr>
            </w:pPr>
          </w:p>
        </w:tc>
      </w:tr>
      <w:tr w:rsidR="00B33D0E" w:rsidRPr="00BD7CEA" w:rsidDel="00436016" w:rsidTr="006B1F3F">
        <w:trPr>
          <w:trHeight w:val="145"/>
        </w:trPr>
        <w:tc>
          <w:tcPr>
            <w:tcW w:w="2734" w:type="dxa"/>
            <w:gridSpan w:val="2"/>
            <w:tcBorders>
              <w:bottom w:val="single" w:sz="4" w:space="0" w:color="auto"/>
            </w:tcBorders>
            <w:shd w:val="clear" w:color="auto" w:fill="FFFFFF"/>
            <w:vAlign w:val="center"/>
          </w:tcPr>
          <w:p w:rsidR="001A63C6" w:rsidRPr="007B74B7" w:rsidDel="00436016" w:rsidRDefault="001A63C6" w:rsidP="00E215F4">
            <w:pPr>
              <w:pStyle w:val="Heading2"/>
              <w:spacing w:beforeLines="20" w:before="48" w:afterLines="20" w:after="48"/>
              <w:ind w:left="0" w:firstLine="15"/>
              <w:rPr>
                <w:rFonts w:ascii="Tahoma" w:hAnsi="Tahoma" w:cs="Tahoma"/>
                <w:b w:val="0"/>
                <w:sz w:val="14"/>
                <w:szCs w:val="16"/>
                <w:lang w:val="it-IT"/>
              </w:rPr>
            </w:pPr>
            <w:bookmarkStart w:id="359" w:name="_Toc336338028"/>
            <w:bookmarkStart w:id="360" w:name="_Toc353375817"/>
            <w:r w:rsidRPr="007B74B7">
              <w:rPr>
                <w:rFonts w:ascii="Tahoma" w:hAnsi="Tahoma" w:cs="Tahoma"/>
                <w:b w:val="0"/>
                <w:sz w:val="14"/>
                <w:szCs w:val="16"/>
                <w:lang w:val="it-IT"/>
              </w:rPr>
              <w:t>Office 365 Enterprise E2</w:t>
            </w:r>
            <w:r w:rsidR="00FD7C0D" w:rsidRPr="007B74B7">
              <w:rPr>
                <w:rFonts w:ascii="Tahoma" w:hAnsi="Tahoma" w:cs="Tahoma"/>
                <w:b w:val="0"/>
                <w:sz w:val="14"/>
                <w:szCs w:val="16"/>
                <w:lang w:val="it-IT"/>
              </w:rPr>
              <w:t xml:space="preserve"> – </w:t>
            </w:r>
            <w:r w:rsidRPr="007B74B7">
              <w:rPr>
                <w:rFonts w:ascii="Tahoma" w:hAnsi="Tahoma" w:cs="Tahoma"/>
                <w:b w:val="0"/>
                <w:sz w:val="14"/>
                <w:szCs w:val="16"/>
                <w:lang w:val="it-IT"/>
              </w:rPr>
              <w:t xml:space="preserve">E4 </w:t>
            </w:r>
            <w:r w:rsidR="006356EC" w:rsidRPr="007B74B7">
              <w:rPr>
                <w:rFonts w:ascii="Tahoma" w:hAnsi="Tahoma" w:cs="Tahoma"/>
                <w:b w:val="0"/>
                <w:sz w:val="14"/>
                <w:szCs w:val="16"/>
                <w:lang w:val="it-IT"/>
              </w:rPr>
              <w:br/>
            </w:r>
            <w:r w:rsidRPr="007B74B7">
              <w:rPr>
                <w:rFonts w:ascii="Tahoma" w:hAnsi="Tahoma" w:cs="Tahoma"/>
                <w:b w:val="0"/>
                <w:sz w:val="14"/>
                <w:szCs w:val="16"/>
                <w:lang w:val="it-IT"/>
              </w:rPr>
              <w:t>(SL per Utente)</w:t>
            </w:r>
            <w:bookmarkEnd w:id="359"/>
            <w:bookmarkEnd w:id="360"/>
          </w:p>
        </w:tc>
        <w:tc>
          <w:tcPr>
            <w:tcW w:w="450" w:type="dxa"/>
            <w:tcBorders>
              <w:bottom w:val="single" w:sz="4" w:space="0" w:color="auto"/>
            </w:tcBorders>
            <w:shd w:val="clear" w:color="auto" w:fill="FFFFFF"/>
            <w:vAlign w:val="center"/>
          </w:tcPr>
          <w:p w:rsidR="001A63C6" w:rsidRPr="00BD7CEA" w:rsidDel="00436016" w:rsidRDefault="006E5080" w:rsidP="00132E08">
            <w:pPr>
              <w:pStyle w:val="TableText"/>
              <w:widowControl w:val="0"/>
              <w:rPr>
                <w:b/>
                <w:color w:val="0000FF"/>
                <w:sz w:val="13"/>
                <w:szCs w:val="13"/>
                <w:u w:val="single"/>
              </w:rPr>
            </w:pPr>
            <w:hyperlink w:anchor="_6_Office_365_1" w:history="1">
              <w:r w:rsidR="00132E08" w:rsidRPr="00BD7CEA">
                <w:rPr>
                  <w:rStyle w:val="Hyperlink"/>
                  <w:b/>
                  <w:sz w:val="13"/>
                  <w:szCs w:val="13"/>
                </w:rPr>
                <w:t>6</w:t>
              </w:r>
            </w:hyperlink>
          </w:p>
        </w:tc>
        <w:tc>
          <w:tcPr>
            <w:tcW w:w="450" w:type="dxa"/>
            <w:tcBorders>
              <w:bottom w:val="single" w:sz="4" w:space="0" w:color="auto"/>
            </w:tcBorders>
            <w:shd w:val="clear" w:color="auto" w:fill="FFFFFF"/>
          </w:tcPr>
          <w:p w:rsidR="001A63C6" w:rsidRPr="00BD7CEA" w:rsidDel="00436016" w:rsidRDefault="001A63C6" w:rsidP="001A63C6">
            <w:pPr>
              <w:pStyle w:val="TableText"/>
              <w:widowControl w:val="0"/>
              <w:spacing w:before="120"/>
              <w:rPr>
                <w:rFonts w:ascii="Tahoma" w:hAnsi="Tahoma" w:cs="Tahoma"/>
                <w:color w:val="000000"/>
                <w:sz w:val="13"/>
              </w:rPr>
            </w:pPr>
            <w:r w:rsidRPr="00BD7CEA">
              <w:rPr>
                <w:rFonts w:ascii="Tahoma"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rsidR="001A63C6" w:rsidRPr="00BD7CEA" w:rsidDel="00436016" w:rsidRDefault="001A63C6" w:rsidP="001A63C6">
            <w:pPr>
              <w:pStyle w:val="TableText"/>
              <w:widowControl w:val="0"/>
              <w:rPr>
                <w:rFonts w:ascii="Tahoma" w:hAnsi="Tahoma" w:cs="Tahoma"/>
                <w:sz w:val="13"/>
              </w:rPr>
            </w:pPr>
            <w:r w:rsidRPr="00BD7CEA">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BD7CEA"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BD7CEA" w:rsidDel="00436016" w:rsidRDefault="001A63C6" w:rsidP="001A63C6">
            <w:pPr>
              <w:pStyle w:val="TableText"/>
              <w:widowControl w:val="0"/>
              <w:rPr>
                <w:rFonts w:ascii="Tahoma" w:hAnsi="Tahoma" w:cs="Tahoma"/>
                <w:sz w:val="13"/>
              </w:rPr>
            </w:pPr>
            <w:r w:rsidRPr="00BD7CEA">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cPr>
          <w:p w:rsidR="001A63C6" w:rsidRPr="00BD7CEA" w:rsidDel="0043601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FFFFF"/>
            <w:vAlign w:val="center"/>
          </w:tcPr>
          <w:p w:rsidR="001A63C6" w:rsidRPr="00BD7CEA" w:rsidDel="00436016" w:rsidRDefault="001A63C6" w:rsidP="001A63C6">
            <w:pPr>
              <w:pStyle w:val="TableText"/>
              <w:widowControl w:val="0"/>
              <w:rPr>
                <w:rFonts w:ascii="Tahoma" w:hAnsi="Tahoma" w:cs="Tahoma"/>
                <w:sz w:val="13"/>
              </w:rPr>
            </w:pPr>
          </w:p>
        </w:tc>
      </w:tr>
      <w:tr w:rsidR="00B33D0E" w:rsidRPr="00BD7CEA" w:rsidDel="00436016" w:rsidTr="006B1F3F">
        <w:trPr>
          <w:trHeight w:val="145"/>
        </w:trPr>
        <w:tc>
          <w:tcPr>
            <w:tcW w:w="2734" w:type="dxa"/>
            <w:gridSpan w:val="2"/>
            <w:tcBorders>
              <w:bottom w:val="single" w:sz="4" w:space="0" w:color="auto"/>
            </w:tcBorders>
            <w:shd w:val="clear" w:color="auto" w:fill="FABF8F"/>
            <w:vAlign w:val="center"/>
          </w:tcPr>
          <w:p w:rsidR="001A63C6" w:rsidRPr="007B74B7" w:rsidDel="00436016" w:rsidRDefault="001A63C6" w:rsidP="00E215F4">
            <w:pPr>
              <w:pStyle w:val="Heading2"/>
              <w:spacing w:beforeLines="20" w:before="48" w:afterLines="20" w:after="48"/>
              <w:ind w:left="0" w:firstLine="15"/>
              <w:rPr>
                <w:rFonts w:ascii="Tahoma" w:hAnsi="Tahoma" w:cs="Tahoma"/>
                <w:b w:val="0"/>
                <w:sz w:val="14"/>
                <w:szCs w:val="16"/>
                <w:lang w:val="it-IT"/>
              </w:rPr>
            </w:pPr>
            <w:bookmarkStart w:id="361" w:name="_Toc336338030"/>
            <w:bookmarkStart w:id="362" w:name="_Toc353375818"/>
            <w:r w:rsidRPr="007B74B7">
              <w:rPr>
                <w:rFonts w:ascii="Tahoma" w:hAnsi="Tahoma" w:cs="Tahoma"/>
                <w:b w:val="0"/>
                <w:sz w:val="14"/>
                <w:szCs w:val="16"/>
                <w:lang w:val="it-IT"/>
              </w:rPr>
              <w:t>Office 365 Enterprise K1 (SL per Utente)</w:t>
            </w:r>
            <w:bookmarkEnd w:id="361"/>
            <w:bookmarkEnd w:id="362"/>
          </w:p>
        </w:tc>
        <w:tc>
          <w:tcPr>
            <w:tcW w:w="450" w:type="dxa"/>
            <w:tcBorders>
              <w:bottom w:val="single" w:sz="4" w:space="0" w:color="auto"/>
            </w:tcBorders>
            <w:shd w:val="clear" w:color="auto" w:fill="FABF8F"/>
            <w:vAlign w:val="center"/>
          </w:tcPr>
          <w:p w:rsidR="001A63C6" w:rsidRPr="00BD7CEA" w:rsidDel="00436016" w:rsidRDefault="006E5080" w:rsidP="002E59B1">
            <w:pPr>
              <w:pStyle w:val="TableText"/>
              <w:widowControl w:val="0"/>
              <w:rPr>
                <w:b/>
                <w:color w:val="0000FF"/>
                <w:sz w:val="13"/>
                <w:szCs w:val="13"/>
                <w:u w:val="single"/>
              </w:rPr>
            </w:pPr>
            <w:hyperlink w:anchor="_69_Office_365_1" w:history="1">
              <w:r w:rsidR="002E59B1" w:rsidRPr="00BD7CEA">
                <w:rPr>
                  <w:rStyle w:val="Hyperlink"/>
                  <w:b/>
                  <w:sz w:val="13"/>
                  <w:szCs w:val="13"/>
                </w:rPr>
                <w:t>70</w:t>
              </w:r>
            </w:hyperlink>
            <w:hyperlink w:anchor="_69_Office_365_1" w:history="1"/>
          </w:p>
        </w:tc>
        <w:tc>
          <w:tcPr>
            <w:tcW w:w="450" w:type="dxa"/>
            <w:tcBorders>
              <w:bottom w:val="single" w:sz="4" w:space="0" w:color="auto"/>
            </w:tcBorders>
            <w:shd w:val="clear" w:color="auto" w:fill="FABF8F"/>
          </w:tcPr>
          <w:p w:rsidR="001A63C6" w:rsidRPr="00BD7CEA" w:rsidDel="00436016" w:rsidRDefault="001A63C6" w:rsidP="001A63C6">
            <w:pPr>
              <w:pStyle w:val="TableText"/>
              <w:widowControl w:val="0"/>
              <w:spacing w:before="120"/>
              <w:rPr>
                <w:rFonts w:ascii="Tahoma" w:hAnsi="Tahoma" w:cs="Tahoma"/>
                <w:color w:val="000000"/>
                <w:sz w:val="13"/>
              </w:rPr>
            </w:pPr>
            <w:r w:rsidRPr="00BD7CEA">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BD7CEA" w:rsidDel="00436016" w:rsidRDefault="001A63C6" w:rsidP="001A63C6">
            <w:pPr>
              <w:pStyle w:val="TableText"/>
              <w:widowControl w:val="0"/>
              <w:rPr>
                <w:rFonts w:ascii="Tahoma" w:hAnsi="Tahoma" w:cs="Tahoma"/>
                <w:sz w:val="13"/>
              </w:rPr>
            </w:pPr>
            <w:r w:rsidRPr="00BD7CEA">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Del="00436016" w:rsidRDefault="001A63C6" w:rsidP="001A63C6">
            <w:pPr>
              <w:pStyle w:val="TableText"/>
              <w:widowControl w:val="0"/>
              <w:rPr>
                <w:rFonts w:ascii="Tahoma" w:hAnsi="Tahoma" w:cs="Tahoma"/>
                <w:sz w:val="13"/>
              </w:rPr>
            </w:pPr>
            <w:r w:rsidRPr="00BD7CE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D7CEA" w:rsidDel="0043601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BD7CEA" w:rsidDel="00436016" w:rsidRDefault="001A63C6" w:rsidP="001A63C6">
            <w:pPr>
              <w:pStyle w:val="TableText"/>
              <w:widowControl w:val="0"/>
              <w:rPr>
                <w:rFonts w:ascii="Tahoma" w:hAnsi="Tahoma" w:cs="Tahoma"/>
                <w:sz w:val="13"/>
              </w:rPr>
            </w:pPr>
          </w:p>
        </w:tc>
      </w:tr>
      <w:tr w:rsidR="00B33D0E" w:rsidRPr="00BD7CEA" w:rsidDel="00436016" w:rsidTr="006B1F3F">
        <w:trPr>
          <w:trHeight w:val="145"/>
        </w:trPr>
        <w:tc>
          <w:tcPr>
            <w:tcW w:w="2734" w:type="dxa"/>
            <w:gridSpan w:val="2"/>
            <w:tcBorders>
              <w:bottom w:val="single" w:sz="4" w:space="0" w:color="auto"/>
            </w:tcBorders>
            <w:shd w:val="clear" w:color="auto" w:fill="auto"/>
            <w:vAlign w:val="center"/>
          </w:tcPr>
          <w:p w:rsidR="001A63C6" w:rsidRPr="007B74B7" w:rsidDel="00436016" w:rsidRDefault="001A63C6" w:rsidP="00E215F4">
            <w:pPr>
              <w:pStyle w:val="Heading2"/>
              <w:spacing w:beforeLines="20" w:before="48" w:afterLines="20" w:after="48"/>
              <w:ind w:left="0" w:firstLine="15"/>
              <w:rPr>
                <w:rFonts w:ascii="Tahoma" w:hAnsi="Tahoma" w:cs="Tahoma"/>
                <w:b w:val="0"/>
                <w:sz w:val="14"/>
                <w:szCs w:val="16"/>
                <w:lang w:val="it-IT"/>
              </w:rPr>
            </w:pPr>
            <w:bookmarkStart w:id="363" w:name="_Toc336338031"/>
            <w:bookmarkStart w:id="364" w:name="_Toc353375819"/>
            <w:r w:rsidRPr="007B74B7">
              <w:rPr>
                <w:rFonts w:ascii="Tahoma" w:hAnsi="Tahoma" w:cs="Tahoma"/>
                <w:b w:val="0"/>
                <w:sz w:val="14"/>
                <w:szCs w:val="16"/>
                <w:lang w:val="it-IT"/>
              </w:rPr>
              <w:t>Office 365 Enterprise K2 (SL per Utente)</w:t>
            </w:r>
            <w:bookmarkEnd w:id="363"/>
            <w:bookmarkEnd w:id="364"/>
          </w:p>
        </w:tc>
        <w:tc>
          <w:tcPr>
            <w:tcW w:w="450" w:type="dxa"/>
            <w:tcBorders>
              <w:bottom w:val="single" w:sz="4" w:space="0" w:color="auto"/>
            </w:tcBorders>
            <w:shd w:val="clear" w:color="auto" w:fill="auto"/>
            <w:vAlign w:val="center"/>
          </w:tcPr>
          <w:p w:rsidR="001A63C6" w:rsidRPr="00BD7CEA" w:rsidDel="00436016" w:rsidRDefault="006E5080" w:rsidP="002E59B1">
            <w:pPr>
              <w:pStyle w:val="TableText"/>
              <w:widowControl w:val="0"/>
              <w:rPr>
                <w:b/>
                <w:color w:val="0000FF"/>
                <w:sz w:val="13"/>
                <w:szCs w:val="13"/>
                <w:u w:val="single"/>
              </w:rPr>
            </w:pPr>
            <w:hyperlink w:anchor="_69_Office_365_1" w:history="1">
              <w:r w:rsidR="006C6788" w:rsidRPr="00BD7CEA">
                <w:rPr>
                  <w:rStyle w:val="Hyperlink"/>
                  <w:b/>
                  <w:sz w:val="13"/>
                  <w:szCs w:val="13"/>
                </w:rPr>
                <w:t>70</w:t>
              </w:r>
            </w:hyperlink>
            <w:hyperlink w:anchor="_69_Office_365_1" w:history="1"/>
            <w:hyperlink w:anchor="Srv_74Office365PlanK1K2" w:history="1"/>
          </w:p>
        </w:tc>
        <w:tc>
          <w:tcPr>
            <w:tcW w:w="450" w:type="dxa"/>
            <w:tcBorders>
              <w:bottom w:val="single" w:sz="4" w:space="0" w:color="auto"/>
            </w:tcBorders>
            <w:shd w:val="clear" w:color="auto" w:fill="auto"/>
          </w:tcPr>
          <w:p w:rsidR="001A63C6" w:rsidRPr="00BD7CEA" w:rsidDel="00436016" w:rsidRDefault="001A63C6" w:rsidP="001A63C6">
            <w:pPr>
              <w:pStyle w:val="TableText"/>
              <w:widowControl w:val="0"/>
              <w:spacing w:before="120"/>
              <w:rPr>
                <w:rFonts w:ascii="Tahoma" w:hAnsi="Tahoma" w:cs="Tahoma"/>
                <w:color w:val="000000"/>
                <w:sz w:val="13"/>
              </w:rPr>
            </w:pPr>
            <w:r w:rsidRPr="00BD7CEA">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1A63C6" w:rsidRPr="00BD7CEA" w:rsidDel="00436016" w:rsidRDefault="001A63C6" w:rsidP="001A63C6">
            <w:pPr>
              <w:pStyle w:val="TableText"/>
              <w:widowControl w:val="0"/>
              <w:rPr>
                <w:rFonts w:ascii="Tahoma" w:hAnsi="Tahoma" w:cs="Tahoma"/>
                <w:sz w:val="13"/>
              </w:rPr>
            </w:pPr>
            <w:r w:rsidRPr="00BD7CEA">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Del="00436016" w:rsidRDefault="001A63C6" w:rsidP="001A63C6">
            <w:pPr>
              <w:pStyle w:val="TableText"/>
              <w:widowControl w:val="0"/>
              <w:rPr>
                <w:rFonts w:ascii="Tahoma" w:hAnsi="Tahoma" w:cs="Tahoma"/>
                <w:sz w:val="13"/>
              </w:rPr>
            </w:pPr>
            <w:r w:rsidRPr="00BD7CE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BD7CEA" w:rsidDel="0043601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BD7CEA" w:rsidDel="00436016" w:rsidRDefault="001A63C6" w:rsidP="001A63C6">
            <w:pPr>
              <w:pStyle w:val="TableText"/>
              <w:widowControl w:val="0"/>
              <w:rPr>
                <w:rFonts w:ascii="Tahoma" w:hAnsi="Tahoma" w:cs="Tahoma"/>
                <w:sz w:val="13"/>
              </w:rPr>
            </w:pPr>
          </w:p>
        </w:tc>
      </w:tr>
      <w:tr w:rsidR="00871AE2" w:rsidRPr="00BD7CEA" w:rsidDel="00436016" w:rsidTr="006B1F3F">
        <w:trPr>
          <w:trHeight w:val="145"/>
        </w:trPr>
        <w:tc>
          <w:tcPr>
            <w:tcW w:w="273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BD7CEA" w:rsidRDefault="00871AE2" w:rsidP="00E215F4">
            <w:pPr>
              <w:pStyle w:val="Heading2"/>
              <w:spacing w:beforeLines="20" w:before="48" w:afterLines="20" w:after="48"/>
              <w:ind w:left="0" w:firstLine="15"/>
              <w:rPr>
                <w:rFonts w:ascii="Tahoma" w:hAnsi="Tahoma" w:cs="Tahoma"/>
                <w:b w:val="0"/>
                <w:sz w:val="14"/>
                <w:szCs w:val="16"/>
              </w:rPr>
            </w:pPr>
            <w:bookmarkStart w:id="365" w:name="_Toc353375820"/>
            <w:r w:rsidRPr="00BD7CEA">
              <w:rPr>
                <w:rFonts w:ascii="Tahoma" w:hAnsi="Tahoma" w:cs="Tahoma"/>
                <w:b w:val="0"/>
                <w:sz w:val="14"/>
                <w:szCs w:val="16"/>
              </w:rPr>
              <w:t>Office 365 Government G1</w:t>
            </w:r>
            <w:r w:rsidR="00FD7C0D">
              <w:rPr>
                <w:rFonts w:ascii="Tahoma" w:hAnsi="Tahoma" w:cs="Tahoma"/>
                <w:b w:val="0"/>
                <w:sz w:val="14"/>
                <w:szCs w:val="16"/>
              </w:rPr>
              <w:t xml:space="preserve"> – </w:t>
            </w:r>
            <w:r w:rsidRPr="00BD7CEA">
              <w:rPr>
                <w:rFonts w:ascii="Tahoma" w:hAnsi="Tahoma" w:cs="Tahoma"/>
                <w:b w:val="0"/>
                <w:sz w:val="14"/>
                <w:szCs w:val="16"/>
              </w:rPr>
              <w:t xml:space="preserve">G4 </w:t>
            </w:r>
            <w:r w:rsidR="006356EC" w:rsidRPr="00BD7CEA">
              <w:rPr>
                <w:rFonts w:ascii="Tahoma" w:hAnsi="Tahoma" w:cs="Tahoma"/>
                <w:b w:val="0"/>
                <w:sz w:val="14"/>
                <w:szCs w:val="16"/>
              </w:rPr>
              <w:br/>
            </w:r>
            <w:r w:rsidRPr="00BD7CEA">
              <w:rPr>
                <w:rFonts w:ascii="Tahoma" w:hAnsi="Tahoma" w:cs="Tahoma"/>
                <w:b w:val="0"/>
                <w:sz w:val="14"/>
                <w:szCs w:val="16"/>
              </w:rPr>
              <w:t>(SL per Utente)</w:t>
            </w:r>
            <w:bookmarkEnd w:id="365"/>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BD7CEA" w:rsidRDefault="006E5080" w:rsidP="002E59B1">
            <w:pPr>
              <w:pStyle w:val="TableText"/>
              <w:widowControl w:val="0"/>
              <w:rPr>
                <w:b/>
                <w:sz w:val="13"/>
                <w:szCs w:val="13"/>
              </w:rPr>
            </w:pPr>
            <w:hyperlink w:anchor="_70_Office_365" w:history="1">
              <w:r w:rsidR="00955428" w:rsidRPr="00BD7CEA">
                <w:rPr>
                  <w:rStyle w:val="Hyperlink"/>
                  <w:b/>
                  <w:sz w:val="13"/>
                  <w:szCs w:val="13"/>
                </w:rPr>
                <w:t>71</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871AE2" w:rsidRPr="00BD7CEA" w:rsidRDefault="00871AE2" w:rsidP="00871AE2">
            <w:pPr>
              <w:pStyle w:val="TableText"/>
              <w:widowControl w:val="0"/>
              <w:spacing w:before="120"/>
              <w:rPr>
                <w:rFonts w:ascii="Tahoma" w:hAnsi="Tahoma" w:cs="Tahoma"/>
                <w:color w:val="000000"/>
                <w:sz w:val="13"/>
              </w:rPr>
            </w:pPr>
            <w:r w:rsidRPr="00BD7CEA">
              <w:rPr>
                <w:rFonts w:ascii="Tahoma"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BD7CEA" w:rsidRDefault="00871AE2" w:rsidP="00871AE2">
            <w:pPr>
              <w:pStyle w:val="TableText"/>
              <w:widowControl w:val="0"/>
              <w:rPr>
                <w:rFonts w:ascii="Tahoma" w:hAnsi="Tahoma" w:cs="Tahoma"/>
                <w:sz w:val="13"/>
              </w:rPr>
            </w:pPr>
            <w:r w:rsidRPr="00BD7CEA">
              <w:rPr>
                <w:rFonts w:ascii="Tahoma"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BD7CEA"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BD7CEA"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BD7CEA"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BD7CEA"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BD7CEA"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BD7CEA" w:rsidDel="00436016" w:rsidRDefault="00871AE2" w:rsidP="00871AE2">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BD7CEA"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BD7CEA"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BD7CEA"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BD7CEA"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BD7CEA"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BD7CEA" w:rsidRDefault="00871AE2" w:rsidP="00871AE2">
            <w:pPr>
              <w:pStyle w:val="TableText"/>
              <w:widowControl w:val="0"/>
              <w:rPr>
                <w:rFonts w:ascii="Tahoma" w:hAnsi="Tahoma" w:cs="Tahoma"/>
                <w:sz w:val="13"/>
              </w:rPr>
            </w:pPr>
            <w:r w:rsidRPr="00BD7CEA">
              <w:rPr>
                <w:rFonts w:ascii="Tahoma" w:hAnsi="Tahoma" w:cs="Tahoma"/>
                <w:sz w:val="13"/>
              </w:rPr>
              <w:t>EOLS</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rsidR="00871AE2" w:rsidRPr="00BD7CEA"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871AE2" w:rsidRPr="00BD7CEA" w:rsidDel="00436016" w:rsidRDefault="00871AE2" w:rsidP="00871AE2">
            <w:pPr>
              <w:pStyle w:val="TableText"/>
              <w:widowControl w:val="0"/>
              <w:spacing w:before="12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BD7CEA" w:rsidDel="00436016" w:rsidRDefault="00871AE2" w:rsidP="00871AE2">
            <w:pPr>
              <w:pStyle w:val="TableText"/>
              <w:widowControl w:val="0"/>
              <w:rPr>
                <w:rFonts w:ascii="Tahoma" w:hAnsi="Tahoma" w:cs="Tahoma"/>
                <w:sz w:val="13"/>
              </w:rPr>
            </w:pPr>
          </w:p>
        </w:tc>
      </w:tr>
      <w:tr w:rsidR="00B33D0E" w:rsidRPr="00BD7CEA" w:rsidTr="006B1F3F">
        <w:trPr>
          <w:trHeight w:val="145"/>
        </w:trPr>
        <w:tc>
          <w:tcPr>
            <w:tcW w:w="2734" w:type="dxa"/>
            <w:gridSpan w:val="2"/>
            <w:tcBorders>
              <w:bottom w:val="single" w:sz="4" w:space="0" w:color="auto"/>
            </w:tcBorders>
            <w:shd w:val="clear" w:color="auto" w:fill="FFFFFF"/>
            <w:vAlign w:val="center"/>
          </w:tcPr>
          <w:p w:rsidR="001A63C6" w:rsidRPr="00BD7CEA" w:rsidRDefault="001A63C6" w:rsidP="006C465D">
            <w:pPr>
              <w:pStyle w:val="ProductNames"/>
              <w:spacing w:before="0" w:after="0"/>
              <w:rPr>
                <w:rFonts w:ascii="Tahoma" w:hAnsi="Tahoma" w:cs="Tahoma"/>
                <w:sz w:val="14"/>
              </w:rPr>
            </w:pPr>
            <w:bookmarkStart w:id="366" w:name="_Toc336338032"/>
            <w:bookmarkStart w:id="367" w:name="_Toc353375821"/>
            <w:r w:rsidRPr="00BD7CEA">
              <w:rPr>
                <w:rFonts w:ascii="Tahoma" w:hAnsi="Tahoma" w:cs="Tahoma"/>
                <w:sz w:val="14"/>
              </w:rPr>
              <w:t>Office Web Applications con SharePoint Piano 2A (SL per utente)</w:t>
            </w:r>
            <w:bookmarkEnd w:id="366"/>
            <w:bookmarkEnd w:id="367"/>
          </w:p>
        </w:tc>
        <w:tc>
          <w:tcPr>
            <w:tcW w:w="450" w:type="dxa"/>
            <w:tcBorders>
              <w:bottom w:val="single" w:sz="4" w:space="0" w:color="auto"/>
            </w:tcBorders>
            <w:shd w:val="clear" w:color="auto" w:fill="FFFFFF"/>
            <w:vAlign w:val="center"/>
          </w:tcPr>
          <w:p w:rsidR="001A63C6" w:rsidRPr="00BD7CEA" w:rsidRDefault="001A63C6" w:rsidP="00D66F68">
            <w:pPr>
              <w:pStyle w:val="TableText"/>
              <w:widowControl w:val="0"/>
              <w:rPr>
                <w:b/>
                <w:color w:val="0000FF"/>
                <w:sz w:val="13"/>
                <w:szCs w:val="13"/>
                <w:u w:val="single"/>
              </w:rPr>
            </w:pPr>
          </w:p>
        </w:tc>
        <w:tc>
          <w:tcPr>
            <w:tcW w:w="450" w:type="dxa"/>
            <w:tcBorders>
              <w:bottom w:val="single" w:sz="4" w:space="0" w:color="auto"/>
            </w:tcBorders>
            <w:shd w:val="clear" w:color="auto" w:fill="FFFFFF"/>
            <w:vAlign w:val="center"/>
          </w:tcPr>
          <w:p w:rsidR="001A63C6" w:rsidRPr="00BD7CEA" w:rsidRDefault="001A63C6" w:rsidP="006C465D">
            <w:pPr>
              <w:pStyle w:val="TableText"/>
              <w:widowControl w:val="0"/>
              <w:rPr>
                <w:rFonts w:ascii="Tahoma" w:hAnsi="Tahoma" w:cs="Tahoma"/>
                <w:color w:val="000000"/>
                <w:sz w:val="13"/>
              </w:rPr>
            </w:pPr>
            <w:r w:rsidRPr="00BD7CEA">
              <w:rPr>
                <w:rFonts w:ascii="Tahoma" w:hAnsi="Tahoma" w:cs="Tahoma"/>
                <w:color w:val="000000"/>
                <w:sz w:val="13"/>
              </w:rPr>
              <w:t>07/12</w:t>
            </w:r>
          </w:p>
        </w:tc>
        <w:tc>
          <w:tcPr>
            <w:tcW w:w="360" w:type="dxa"/>
            <w:tcBorders>
              <w:bottom w:val="single" w:sz="4" w:space="0" w:color="auto"/>
              <w:right w:val="single" w:sz="18" w:space="0" w:color="auto"/>
            </w:tcBorders>
            <w:shd w:val="clear" w:color="auto" w:fill="FFFFFF"/>
            <w:vAlign w:val="center"/>
          </w:tcPr>
          <w:p w:rsidR="001A63C6" w:rsidRPr="00BD7CEA" w:rsidRDefault="001A63C6" w:rsidP="00D66F6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vAlign w:val="bottom"/>
          </w:tcPr>
          <w:p w:rsidR="001A63C6" w:rsidRPr="00BD7CEA" w:rsidRDefault="001A63C6" w:rsidP="00D66F68">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1A63C6" w:rsidRPr="00BD7CEA" w:rsidRDefault="001A63C6" w:rsidP="002A6E97">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1A63C6" w:rsidRPr="00BD7CEA" w:rsidRDefault="001A63C6" w:rsidP="002A6E97">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1A63C6" w:rsidRPr="00BD7CEA" w:rsidRDefault="001A63C6" w:rsidP="006C465D">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1A63C6" w:rsidRPr="00BD7CEA" w:rsidRDefault="001A63C6" w:rsidP="006C465D">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1A63C6" w:rsidRPr="00BD7CEA" w:rsidRDefault="001A63C6" w:rsidP="006C465D">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FFFFF"/>
            <w:vAlign w:val="bottom"/>
          </w:tcPr>
          <w:p w:rsidR="001A63C6" w:rsidRPr="00BD7CEA" w:rsidRDefault="001A63C6" w:rsidP="006C465D">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FFFFF"/>
            <w:vAlign w:val="bottom"/>
          </w:tcPr>
          <w:p w:rsidR="001A63C6" w:rsidRPr="00BD7CEA" w:rsidRDefault="001A63C6" w:rsidP="006C465D">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1A63C6" w:rsidRPr="00BD7CEA" w:rsidRDefault="001A63C6" w:rsidP="006C465D">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FFFFF"/>
            <w:vAlign w:val="bottom"/>
          </w:tcPr>
          <w:p w:rsidR="001A63C6" w:rsidRPr="00BD7CEA" w:rsidRDefault="001A63C6" w:rsidP="006C465D">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FFFFF"/>
            <w:vAlign w:val="center"/>
          </w:tcPr>
          <w:p w:rsidR="001A63C6" w:rsidRPr="00BD7CEA" w:rsidRDefault="001A63C6" w:rsidP="006C465D">
            <w:pPr>
              <w:pStyle w:val="TableText"/>
              <w:widowControl w:val="0"/>
              <w:rPr>
                <w:rFonts w:ascii="Tahoma" w:hAnsi="Tahoma" w:cs="Tahoma"/>
                <w:sz w:val="13"/>
              </w:rPr>
            </w:pPr>
            <w:r w:rsidRPr="00BD7CEA">
              <w:rPr>
                <w:rFonts w:ascii="Tahoma" w:hAnsi="Tahoma" w:cs="Tahoma"/>
                <w:sz w:val="13"/>
              </w:rPr>
              <w:t>1</w:t>
            </w:r>
          </w:p>
        </w:tc>
        <w:tc>
          <w:tcPr>
            <w:tcW w:w="450" w:type="dxa"/>
            <w:tcBorders>
              <w:bottom w:val="single" w:sz="4" w:space="0" w:color="auto"/>
              <w:right w:val="single" w:sz="18" w:space="0" w:color="auto"/>
            </w:tcBorders>
            <w:shd w:val="clear" w:color="auto" w:fill="FFFFFF"/>
            <w:vAlign w:val="center"/>
          </w:tcPr>
          <w:p w:rsidR="001A63C6" w:rsidRPr="00BD7CEA" w:rsidRDefault="001A63C6" w:rsidP="00D02D7A">
            <w:pPr>
              <w:pStyle w:val="TableText"/>
              <w:widowControl w:val="0"/>
              <w:rPr>
                <w:rFonts w:ascii="Tahoma" w:hAnsi="Tahoma" w:cs="Tahoma"/>
                <w:sz w:val="13"/>
              </w:rPr>
            </w:pPr>
            <w:r w:rsidRPr="00BD7CE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BD7CEA" w:rsidRDefault="001A63C6" w:rsidP="00D02D7A">
            <w:pPr>
              <w:pStyle w:val="TableText"/>
              <w:widowControl w:val="0"/>
              <w:rPr>
                <w:rFonts w:ascii="Tahoma" w:hAnsi="Tahoma" w:cs="Tahoma"/>
                <w:sz w:val="13"/>
              </w:rPr>
            </w:pPr>
          </w:p>
        </w:tc>
        <w:tc>
          <w:tcPr>
            <w:tcW w:w="450" w:type="dxa"/>
            <w:tcBorders>
              <w:bottom w:val="single" w:sz="4" w:space="0" w:color="auto"/>
            </w:tcBorders>
            <w:shd w:val="clear" w:color="auto" w:fill="FFFFFF"/>
          </w:tcPr>
          <w:p w:rsidR="001A63C6" w:rsidRPr="00BD7CEA" w:rsidRDefault="001A63C6" w:rsidP="006C465D">
            <w:pPr>
              <w:pStyle w:val="TableText"/>
              <w:widowControl w:val="0"/>
              <w:rPr>
                <w:rFonts w:ascii="Tahoma" w:hAnsi="Tahoma" w:cs="Tahoma"/>
                <w:sz w:val="13"/>
              </w:rPr>
            </w:pPr>
            <w:r w:rsidRPr="00BD7CEA">
              <w:rPr>
                <w:rFonts w:ascii="Tahoma" w:hAnsi="Tahoma" w:cs="Tahoma"/>
                <w:sz w:val="13"/>
              </w:rPr>
              <w:t>A, ST (Solo EES)</w:t>
            </w:r>
          </w:p>
        </w:tc>
        <w:tc>
          <w:tcPr>
            <w:tcW w:w="540" w:type="dxa"/>
            <w:tcBorders>
              <w:bottom w:val="single" w:sz="4" w:space="0" w:color="auto"/>
            </w:tcBorders>
            <w:shd w:val="clear" w:color="auto" w:fill="FFFFFF"/>
            <w:vAlign w:val="center"/>
          </w:tcPr>
          <w:p w:rsidR="001A63C6" w:rsidRPr="00BD7CEA" w:rsidRDefault="001A63C6" w:rsidP="00D66F68">
            <w:pPr>
              <w:pStyle w:val="TableText"/>
              <w:widowControl w:val="0"/>
              <w:rPr>
                <w:rFonts w:ascii="Tahoma" w:hAnsi="Tahoma" w:cs="Tahoma"/>
                <w:sz w:val="13"/>
              </w:rPr>
            </w:pPr>
          </w:p>
        </w:tc>
      </w:tr>
      <w:tr w:rsidR="00B33D0E" w:rsidRPr="00BD7CEA" w:rsidTr="006B1F3F">
        <w:trPr>
          <w:trHeight w:val="145"/>
        </w:trPr>
        <w:tc>
          <w:tcPr>
            <w:tcW w:w="2734" w:type="dxa"/>
            <w:gridSpan w:val="2"/>
            <w:tcBorders>
              <w:bottom w:val="single" w:sz="4" w:space="0" w:color="auto"/>
            </w:tcBorders>
            <w:shd w:val="clear" w:color="auto" w:fill="FABF8F"/>
            <w:vAlign w:val="center"/>
          </w:tcPr>
          <w:p w:rsidR="001A63C6" w:rsidRPr="00BD7CEA" w:rsidRDefault="001A63C6" w:rsidP="00E215F4">
            <w:pPr>
              <w:pStyle w:val="ProductNames"/>
              <w:spacing w:beforeLines="20" w:before="48" w:afterLines="20" w:after="48"/>
              <w:rPr>
                <w:rFonts w:ascii="Tahoma" w:hAnsi="Tahoma" w:cs="Tahoma"/>
                <w:sz w:val="14"/>
              </w:rPr>
            </w:pPr>
            <w:bookmarkStart w:id="368" w:name="_Toc353375822"/>
            <w:r w:rsidRPr="00BD7CEA">
              <w:rPr>
                <w:rFonts w:ascii="Tahoma" w:hAnsi="Tahoma" w:cs="Tahoma"/>
                <w:sz w:val="14"/>
              </w:rPr>
              <w:t>Project Online</w:t>
            </w:r>
            <w:bookmarkEnd w:id="368"/>
            <w:r w:rsidR="008D782D" w:rsidRPr="00BD7CEA">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FABF8F"/>
          </w:tcPr>
          <w:p w:rsidR="001A63C6" w:rsidRPr="00BD7CEA" w:rsidRDefault="001A63C6" w:rsidP="001A63C6">
            <w:pPr>
              <w:pStyle w:val="TableText"/>
              <w:widowControl w:val="0"/>
              <w:spacing w:before="40"/>
              <w:rPr>
                <w:rFonts w:ascii="Tahoma" w:hAnsi="Tahoma" w:cs="Tahoma"/>
                <w:color w:val="000000"/>
                <w:sz w:val="13"/>
              </w:rPr>
            </w:pPr>
            <w:r w:rsidRPr="00BD7CEA">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rsidR="001A63C6" w:rsidRPr="00BD7CEA"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BD7CEA"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BD7CEA"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BD7CEA"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BD7CEA"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BD7CEA" w:rsidRDefault="001A63C6" w:rsidP="001A63C6">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bottom"/>
          </w:tcPr>
          <w:p w:rsidR="001A63C6" w:rsidRPr="00BD7CEA"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bottom"/>
          </w:tcPr>
          <w:p w:rsidR="001A63C6" w:rsidRPr="00BD7CEA"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BD7CEA" w:rsidRDefault="001A63C6" w:rsidP="001A63C6">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bottom"/>
          </w:tcPr>
          <w:p w:rsidR="001A63C6" w:rsidRPr="00BD7CEA"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D7CEA"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r>
      <w:tr w:rsidR="001A63C6" w:rsidRPr="00BD7CEA" w:rsidTr="007E466C">
        <w:trPr>
          <w:trHeight w:val="145"/>
        </w:trPr>
        <w:tc>
          <w:tcPr>
            <w:tcW w:w="2734" w:type="dxa"/>
            <w:gridSpan w:val="2"/>
            <w:tcBorders>
              <w:bottom w:val="single" w:sz="4" w:space="0" w:color="auto"/>
            </w:tcBorders>
            <w:shd w:val="clear" w:color="auto" w:fill="auto"/>
            <w:vAlign w:val="center"/>
          </w:tcPr>
          <w:p w:rsidR="001A63C6" w:rsidRPr="00BD7CEA" w:rsidRDefault="001A63C6" w:rsidP="00E215F4">
            <w:pPr>
              <w:pStyle w:val="ProductNames"/>
              <w:spacing w:beforeLines="20" w:before="48" w:afterLines="20" w:after="48"/>
              <w:rPr>
                <w:rFonts w:ascii="Tahoma" w:hAnsi="Tahoma" w:cs="Tahoma"/>
                <w:sz w:val="14"/>
              </w:rPr>
            </w:pPr>
            <w:bookmarkStart w:id="369" w:name="_Toc353375823"/>
            <w:r w:rsidRPr="00BD7CEA">
              <w:rPr>
                <w:rFonts w:ascii="Tahoma" w:hAnsi="Tahoma" w:cs="Tahoma"/>
                <w:sz w:val="14"/>
              </w:rPr>
              <w:t>Project Online A</w:t>
            </w:r>
            <w:bookmarkEnd w:id="369"/>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auto"/>
          </w:tcPr>
          <w:p w:rsidR="001A63C6" w:rsidRPr="00BD7CEA" w:rsidRDefault="001A63C6" w:rsidP="001A63C6">
            <w:pPr>
              <w:pStyle w:val="TableText"/>
              <w:widowControl w:val="0"/>
              <w:spacing w:before="40"/>
              <w:rPr>
                <w:rFonts w:ascii="Tahoma" w:hAnsi="Tahoma" w:cs="Tahoma"/>
                <w:color w:val="000000"/>
                <w:sz w:val="13"/>
              </w:rPr>
            </w:pPr>
            <w:r w:rsidRPr="00BD7CEA">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SRV</w:t>
            </w:r>
          </w:p>
        </w:tc>
        <w:tc>
          <w:tcPr>
            <w:tcW w:w="360" w:type="dxa"/>
            <w:tcBorders>
              <w:left w:val="single" w:sz="18" w:space="0" w:color="auto"/>
              <w:bottom w:val="single" w:sz="4" w:space="0" w:color="auto"/>
            </w:tcBorders>
            <w:shd w:val="clear" w:color="auto" w:fill="auto"/>
            <w:vAlign w:val="bottom"/>
          </w:tcPr>
          <w:p w:rsidR="001A63C6" w:rsidRPr="00BD7CEA"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BD7CEA"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BD7CEA"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BD7CEA"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BD7CEA"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BD7CEA" w:rsidRDefault="001A63C6" w:rsidP="001A63C6">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auto"/>
            <w:vAlign w:val="bottom"/>
          </w:tcPr>
          <w:p w:rsidR="001A63C6" w:rsidRPr="00BD7CEA"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bottom"/>
          </w:tcPr>
          <w:p w:rsidR="001A63C6" w:rsidRPr="00BD7CEA"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BD7CEA" w:rsidRDefault="001A63C6" w:rsidP="001A63C6">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auto"/>
            <w:vAlign w:val="bottom"/>
          </w:tcPr>
          <w:p w:rsidR="001A63C6" w:rsidRPr="00BD7CEA"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BD7CEA"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r>
      <w:tr w:rsidR="00B33D0E" w:rsidRPr="00BD7CEA" w:rsidTr="006B1F3F">
        <w:trPr>
          <w:trHeight w:val="145"/>
        </w:trPr>
        <w:tc>
          <w:tcPr>
            <w:tcW w:w="2734" w:type="dxa"/>
            <w:gridSpan w:val="2"/>
            <w:tcBorders>
              <w:bottom w:val="single" w:sz="4" w:space="0" w:color="auto"/>
            </w:tcBorders>
            <w:shd w:val="clear" w:color="auto" w:fill="FABF8F"/>
            <w:vAlign w:val="center"/>
          </w:tcPr>
          <w:p w:rsidR="001A63C6" w:rsidRPr="00BD7CEA" w:rsidRDefault="001A63C6" w:rsidP="00E215F4">
            <w:pPr>
              <w:pStyle w:val="ProductNames"/>
              <w:spacing w:beforeLines="20" w:before="48" w:afterLines="20" w:after="48"/>
              <w:rPr>
                <w:rFonts w:ascii="Tahoma" w:hAnsi="Tahoma" w:cs="Tahoma"/>
                <w:sz w:val="14"/>
              </w:rPr>
            </w:pPr>
            <w:bookmarkStart w:id="370" w:name="_Toc336338033"/>
            <w:bookmarkStart w:id="371" w:name="_Toc353375824"/>
            <w:r w:rsidRPr="00BD7CEA">
              <w:rPr>
                <w:rFonts w:ascii="Tahoma" w:hAnsi="Tahoma" w:cs="Tahoma"/>
                <w:sz w:val="14"/>
              </w:rPr>
              <w:t xml:space="preserve">Project Server </w:t>
            </w:r>
            <w:bookmarkEnd w:id="370"/>
            <w:r w:rsidRPr="00BD7CEA">
              <w:rPr>
                <w:rFonts w:ascii="Tahoma" w:hAnsi="Tahoma" w:cs="Tahoma"/>
                <w:sz w:val="14"/>
              </w:rPr>
              <w:t>2013</w:t>
            </w:r>
            <w:bookmarkEnd w:id="371"/>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Style w:val="EndnoteReference"/>
                <w:color w:val="0000FF"/>
                <w:sz w:val="13"/>
                <w:szCs w:val="13"/>
                <w:u w:val="single"/>
              </w:rPr>
            </w:pPr>
            <w:bookmarkStart w:id="372" w:name="_Hlt336249768"/>
          </w:p>
        </w:tc>
        <w:bookmarkEnd w:id="372"/>
        <w:tc>
          <w:tcPr>
            <w:tcW w:w="450" w:type="dxa"/>
            <w:tcBorders>
              <w:bottom w:val="single" w:sz="4" w:space="0" w:color="auto"/>
            </w:tcBorders>
            <w:shd w:val="clear" w:color="auto" w:fill="FABF8F"/>
          </w:tcPr>
          <w:p w:rsidR="001A63C6" w:rsidRPr="00BD7CEA" w:rsidRDefault="001A63C6" w:rsidP="001A63C6">
            <w:pPr>
              <w:pStyle w:val="TableText"/>
              <w:widowControl w:val="0"/>
              <w:spacing w:before="40"/>
              <w:rPr>
                <w:rFonts w:ascii="Tahoma" w:hAnsi="Tahoma" w:cs="Tahoma"/>
                <w:color w:val="000000"/>
                <w:sz w:val="13"/>
              </w:rPr>
            </w:pPr>
            <w:r w:rsidRPr="00BD7CEA">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D7CEA" w:rsidRDefault="001A63C6" w:rsidP="002A6E97">
            <w:pPr>
              <w:pStyle w:val="TableText"/>
              <w:widowControl w:val="0"/>
              <w:rPr>
                <w:rFonts w:ascii="Tahoma" w:hAnsi="Tahoma" w:cs="Tahoma"/>
                <w:sz w:val="14"/>
                <w:szCs w:val="14"/>
              </w:rPr>
            </w:pPr>
            <w:r w:rsidRPr="00BD7CEA">
              <w:rPr>
                <w:rFonts w:ascii="Tahoma" w:hAnsi="Tahoma" w:cs="Tahoma"/>
                <w:sz w:val="14"/>
                <w:szCs w:val="14"/>
              </w:rPr>
              <w:t>50</w:t>
            </w:r>
          </w:p>
        </w:tc>
        <w:tc>
          <w:tcPr>
            <w:tcW w:w="450" w:type="dxa"/>
            <w:tcBorders>
              <w:bottom w:val="single" w:sz="4" w:space="0" w:color="auto"/>
            </w:tcBorders>
            <w:shd w:val="clear" w:color="auto" w:fill="FABF8F"/>
            <w:vAlign w:val="center"/>
          </w:tcPr>
          <w:p w:rsidR="001A63C6" w:rsidRPr="00BD7CEA" w:rsidRDefault="001A63C6" w:rsidP="002A6E97">
            <w:pPr>
              <w:pStyle w:val="TableText"/>
              <w:widowControl w:val="0"/>
              <w:rPr>
                <w:rFonts w:ascii="Tahoma" w:hAnsi="Tahoma" w:cs="Tahoma"/>
                <w:sz w:val="14"/>
                <w:szCs w:val="14"/>
              </w:rPr>
            </w:pPr>
            <w:r w:rsidRPr="00BD7CEA">
              <w:rPr>
                <w:rFonts w:ascii="Tahoma" w:hAnsi="Tahoma" w:cs="Tahoma"/>
                <w:sz w:val="14"/>
                <w:szCs w:val="14"/>
              </w:rPr>
              <w:t>125</w:t>
            </w:r>
          </w:p>
        </w:tc>
        <w:tc>
          <w:tcPr>
            <w:tcW w:w="450" w:type="dxa"/>
            <w:tcBorders>
              <w:bottom w:val="single" w:sz="4" w:space="0" w:color="auto"/>
            </w:tcBorders>
            <w:shd w:val="clear" w:color="auto" w:fill="FABF8F"/>
            <w:vAlign w:val="center"/>
          </w:tcPr>
          <w:p w:rsidR="001A63C6" w:rsidRPr="00BD7CEA" w:rsidRDefault="001A63C6" w:rsidP="00D02D7A">
            <w:pPr>
              <w:pStyle w:val="TableText"/>
              <w:widowControl w:val="0"/>
              <w:rPr>
                <w:rFonts w:ascii="Tahoma" w:hAnsi="Tahoma" w:cs="Tahoma"/>
                <w:sz w:val="14"/>
                <w:szCs w:val="14"/>
              </w:rPr>
            </w:pPr>
            <w:r w:rsidRPr="00BD7CEA">
              <w:rPr>
                <w:rFonts w:ascii="Tahoma" w:hAnsi="Tahoma" w:cs="Tahoma"/>
                <w:sz w:val="14"/>
                <w:szCs w:val="14"/>
              </w:rPr>
              <w:t>100</w:t>
            </w:r>
          </w:p>
        </w:tc>
        <w:tc>
          <w:tcPr>
            <w:tcW w:w="450" w:type="dxa"/>
            <w:tcBorders>
              <w:bottom w:val="single" w:sz="4" w:space="0" w:color="auto"/>
            </w:tcBorders>
            <w:shd w:val="clear" w:color="auto" w:fill="FABF8F"/>
            <w:vAlign w:val="center"/>
          </w:tcPr>
          <w:p w:rsidR="001A63C6" w:rsidRPr="00BD7CEA" w:rsidRDefault="001A63C6" w:rsidP="00D02D7A">
            <w:pPr>
              <w:pStyle w:val="TableText"/>
              <w:widowControl w:val="0"/>
              <w:rPr>
                <w:rFonts w:ascii="Tahoma" w:hAnsi="Tahoma" w:cs="Tahoma"/>
                <w:sz w:val="14"/>
                <w:szCs w:val="14"/>
              </w:rPr>
            </w:pPr>
            <w:r w:rsidRPr="00BD7CEA">
              <w:rPr>
                <w:rFonts w:ascii="Tahoma" w:hAnsi="Tahoma" w:cs="Tahoma"/>
                <w:sz w:val="14"/>
                <w:szCs w:val="14"/>
              </w:rPr>
              <w:t>75</w:t>
            </w:r>
          </w:p>
        </w:tc>
        <w:tc>
          <w:tcPr>
            <w:tcW w:w="450" w:type="dxa"/>
            <w:tcBorders>
              <w:bottom w:val="single" w:sz="4" w:space="0" w:color="auto"/>
            </w:tcBorders>
            <w:shd w:val="clear" w:color="auto" w:fill="FABF8F"/>
            <w:vAlign w:val="center"/>
          </w:tcPr>
          <w:p w:rsidR="001A63C6" w:rsidRPr="00BD7CEA" w:rsidRDefault="001A63C6" w:rsidP="00242B11">
            <w:pPr>
              <w:pStyle w:val="TableText"/>
              <w:widowControl w:val="0"/>
              <w:rPr>
                <w:rFonts w:ascii="Tahoma" w:hAnsi="Tahoma" w:cs="Tahoma"/>
                <w:sz w:val="14"/>
                <w:szCs w:val="14"/>
              </w:rPr>
            </w:pPr>
            <w:r w:rsidRPr="00BD7CEA">
              <w:rPr>
                <w:rFonts w:ascii="Tahoma" w:hAnsi="Tahoma" w:cs="Tahoma"/>
                <w:sz w:val="14"/>
                <w:szCs w:val="14"/>
              </w:rPr>
              <w:t>75</w:t>
            </w:r>
          </w:p>
        </w:tc>
        <w:tc>
          <w:tcPr>
            <w:tcW w:w="450" w:type="dxa"/>
            <w:tcBorders>
              <w:bottom w:val="single" w:sz="4" w:space="0" w:color="auto"/>
            </w:tcBorders>
            <w:shd w:val="clear" w:color="auto" w:fill="FABF8F"/>
            <w:vAlign w:val="center"/>
          </w:tcPr>
          <w:p w:rsidR="001A63C6" w:rsidRPr="00BD7CEA" w:rsidRDefault="001A63C6" w:rsidP="00242B11">
            <w:pPr>
              <w:pStyle w:val="TableText"/>
              <w:widowControl w:val="0"/>
              <w:rPr>
                <w:rFonts w:ascii="Tahoma" w:hAnsi="Tahoma" w:cs="Tahoma"/>
                <w:sz w:val="14"/>
                <w:szCs w:val="14"/>
              </w:rPr>
            </w:pPr>
            <w:r w:rsidRPr="00BD7CEA">
              <w:rPr>
                <w:rFonts w:ascii="Tahoma" w:hAnsi="Tahoma" w:cs="Tahoma"/>
                <w:sz w:val="14"/>
                <w:szCs w:val="14"/>
              </w:rPr>
              <w:t>50</w:t>
            </w:r>
          </w:p>
        </w:tc>
        <w:tc>
          <w:tcPr>
            <w:tcW w:w="360" w:type="dxa"/>
            <w:tcBorders>
              <w:bottom w:val="single" w:sz="4" w:space="0" w:color="auto"/>
              <w:right w:val="single" w:sz="18" w:space="0" w:color="auto"/>
            </w:tcBorders>
            <w:shd w:val="clear" w:color="auto" w:fill="FABF8F"/>
            <w:vAlign w:val="center"/>
          </w:tcPr>
          <w:p w:rsidR="001A63C6" w:rsidRPr="00BD7CEA" w:rsidRDefault="001A63C6" w:rsidP="00EA31A6">
            <w:pPr>
              <w:pStyle w:val="TableText"/>
              <w:widowControl w:val="0"/>
              <w:rPr>
                <w:rFonts w:ascii="Tahoma" w:hAnsi="Tahoma" w:cs="Tahoma"/>
                <w:sz w:val="14"/>
                <w:szCs w:val="14"/>
              </w:rPr>
            </w:pPr>
            <w:r w:rsidRPr="00BD7CEA">
              <w:rPr>
                <w:rFonts w:ascii="Tahoma" w:hAnsi="Tahoma" w:cs="Tahoma"/>
                <w:sz w:val="14"/>
                <w:szCs w:val="14"/>
              </w:rPr>
              <w:t>25</w:t>
            </w:r>
          </w:p>
        </w:tc>
        <w:tc>
          <w:tcPr>
            <w:tcW w:w="450" w:type="dxa"/>
            <w:tcBorders>
              <w:left w:val="single" w:sz="18" w:space="0" w:color="auto"/>
              <w:bottom w:val="single" w:sz="4" w:space="0" w:color="auto"/>
            </w:tcBorders>
            <w:shd w:val="clear" w:color="auto" w:fill="FABF8F"/>
            <w:vAlign w:val="center"/>
          </w:tcPr>
          <w:p w:rsidR="001A63C6" w:rsidRPr="00BD7CEA" w:rsidRDefault="001A63C6" w:rsidP="00EA31A6">
            <w:pPr>
              <w:pStyle w:val="TableText"/>
              <w:widowControl w:val="0"/>
              <w:rPr>
                <w:rFonts w:ascii="Tahoma" w:hAnsi="Tahoma" w:cs="Tahoma"/>
                <w:sz w:val="14"/>
                <w:szCs w:val="14"/>
              </w:rPr>
            </w:pPr>
            <w:r w:rsidRPr="00BD7CEA">
              <w:rPr>
                <w:rFonts w:ascii="Tahoma" w:hAnsi="Tahoma" w:cs="Tahoma"/>
                <w:sz w:val="14"/>
                <w:szCs w:val="14"/>
              </w:rPr>
              <w:t>50</w:t>
            </w:r>
          </w:p>
        </w:tc>
        <w:tc>
          <w:tcPr>
            <w:tcW w:w="450" w:type="dxa"/>
            <w:tcBorders>
              <w:bottom w:val="single" w:sz="4" w:space="0" w:color="auto"/>
            </w:tcBorders>
            <w:shd w:val="clear" w:color="auto" w:fill="FABF8F"/>
            <w:vAlign w:val="center"/>
          </w:tcPr>
          <w:p w:rsidR="001A63C6" w:rsidRPr="00BD7CEA" w:rsidRDefault="001A63C6" w:rsidP="00EA31A6">
            <w:pPr>
              <w:pStyle w:val="TableText"/>
              <w:widowControl w:val="0"/>
              <w:rPr>
                <w:rFonts w:ascii="Tahoma" w:hAnsi="Tahoma" w:cs="Tahoma"/>
                <w:sz w:val="14"/>
                <w:szCs w:val="14"/>
              </w:rPr>
            </w:pPr>
            <w:r w:rsidRPr="00BD7CEA">
              <w:rPr>
                <w:rFonts w:ascii="Tahoma" w:hAnsi="Tahoma" w:cs="Tahoma"/>
                <w:sz w:val="14"/>
                <w:szCs w:val="14"/>
              </w:rPr>
              <w:t>100</w:t>
            </w:r>
          </w:p>
        </w:tc>
        <w:tc>
          <w:tcPr>
            <w:tcW w:w="450" w:type="dxa"/>
            <w:tcBorders>
              <w:bottom w:val="single" w:sz="4" w:space="0" w:color="auto"/>
              <w:right w:val="single" w:sz="18" w:space="0" w:color="auto"/>
            </w:tcBorders>
            <w:shd w:val="clear" w:color="auto" w:fill="FABF8F"/>
            <w:vAlign w:val="center"/>
          </w:tcPr>
          <w:p w:rsidR="001A63C6" w:rsidRPr="00BD7CEA" w:rsidRDefault="001A63C6" w:rsidP="00EA31A6">
            <w:pPr>
              <w:pStyle w:val="TableText"/>
              <w:widowControl w:val="0"/>
              <w:rPr>
                <w:rFonts w:ascii="Tahoma" w:hAnsi="Tahoma" w:cs="Tahoma"/>
                <w:sz w:val="14"/>
                <w:szCs w:val="14"/>
              </w:rPr>
            </w:pPr>
            <w:r w:rsidRPr="00BD7CEA">
              <w:rPr>
                <w:rFonts w:ascii="Tahoma" w:hAnsi="Tahoma" w:cs="Tahoma"/>
                <w:sz w:val="14"/>
                <w:szCs w:val="14"/>
              </w:rPr>
              <w:t>50</w:t>
            </w:r>
          </w:p>
        </w:tc>
        <w:tc>
          <w:tcPr>
            <w:tcW w:w="450" w:type="dxa"/>
            <w:tcBorders>
              <w:left w:val="single" w:sz="18" w:space="0" w:color="auto"/>
              <w:bottom w:val="single" w:sz="4" w:space="0" w:color="auto"/>
            </w:tcBorders>
            <w:shd w:val="clear" w:color="auto" w:fill="FABF8F"/>
            <w:vAlign w:val="center"/>
          </w:tcPr>
          <w:p w:rsidR="001A63C6" w:rsidRPr="00BD7CEA" w:rsidRDefault="001A63C6" w:rsidP="003537B9">
            <w:pPr>
              <w:pStyle w:val="TableText"/>
              <w:widowControl w:val="0"/>
              <w:rPr>
                <w:rFonts w:ascii="Tahoma" w:hAnsi="Tahoma" w:cs="Tahoma"/>
                <w:sz w:val="13"/>
              </w:rPr>
            </w:pPr>
            <w:r w:rsidRPr="00BD7CEA">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BD7CEA" w:rsidRDefault="001A63C6" w:rsidP="003537B9">
            <w:pPr>
              <w:pStyle w:val="TableText"/>
              <w:widowControl w:val="0"/>
              <w:rPr>
                <w:rFonts w:ascii="Tahoma" w:hAnsi="Tahoma" w:cs="Tahoma"/>
                <w:sz w:val="13"/>
              </w:rPr>
            </w:pPr>
            <w:r w:rsidRPr="00BD7CE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3537B9">
            <w:pPr>
              <w:pStyle w:val="TableText"/>
              <w:widowControl w:val="0"/>
              <w:rPr>
                <w:rFonts w:ascii="Tahoma" w:hAnsi="Tahoma" w:cs="Tahoma"/>
                <w:sz w:val="13"/>
              </w:rPr>
            </w:pPr>
            <w:r w:rsidRPr="00BD7CEA">
              <w:rPr>
                <w:rFonts w:ascii="Tahoma" w:hAnsi="Tahoma" w:cs="Tahoma"/>
                <w:sz w:val="13"/>
              </w:rPr>
              <w:t>P</w:t>
            </w:r>
          </w:p>
        </w:tc>
        <w:tc>
          <w:tcPr>
            <w:tcW w:w="450" w:type="dxa"/>
            <w:tcBorders>
              <w:bottom w:val="single" w:sz="4" w:space="0" w:color="auto"/>
            </w:tcBorders>
            <w:shd w:val="clear" w:color="auto" w:fill="FABF8F"/>
            <w:vAlign w:val="center"/>
          </w:tcPr>
          <w:p w:rsidR="001A63C6" w:rsidRPr="00BD7CEA" w:rsidRDefault="001A63C6" w:rsidP="003537B9">
            <w:pPr>
              <w:pStyle w:val="TableText"/>
              <w:widowControl w:val="0"/>
              <w:spacing w:before="120"/>
              <w:rPr>
                <w:rFonts w:ascii="Tahoma" w:hAnsi="Tahoma" w:cs="Tahoma"/>
                <w:sz w:val="13"/>
              </w:rPr>
            </w:pPr>
            <w:r w:rsidRPr="00BD7CEA">
              <w:rPr>
                <w:rFonts w:ascii="Tahoma" w:hAnsi="Tahoma" w:cs="Tahoma"/>
                <w:sz w:val="13"/>
              </w:rPr>
              <w:t>A</w:t>
            </w:r>
          </w:p>
        </w:tc>
        <w:tc>
          <w:tcPr>
            <w:tcW w:w="540" w:type="dxa"/>
            <w:tcBorders>
              <w:bottom w:val="single" w:sz="4" w:space="0" w:color="auto"/>
            </w:tcBorders>
            <w:shd w:val="clear" w:color="auto" w:fill="FABF8F"/>
            <w:vAlign w:val="center"/>
          </w:tcPr>
          <w:p w:rsidR="001A63C6" w:rsidRPr="00BD7CEA" w:rsidRDefault="001A63C6" w:rsidP="00C778DB">
            <w:pPr>
              <w:pStyle w:val="TableText"/>
              <w:widowControl w:val="0"/>
              <w:rPr>
                <w:rFonts w:ascii="Tahoma" w:hAnsi="Tahoma" w:cs="Tahoma"/>
                <w:sz w:val="13"/>
              </w:rPr>
            </w:pPr>
          </w:p>
        </w:tc>
      </w:tr>
      <w:tr w:rsidR="001A63C6" w:rsidRPr="00BD7CEA" w:rsidTr="007E466C">
        <w:trPr>
          <w:trHeight w:val="145"/>
        </w:trPr>
        <w:tc>
          <w:tcPr>
            <w:tcW w:w="2734" w:type="dxa"/>
            <w:gridSpan w:val="2"/>
            <w:tcBorders>
              <w:bottom w:val="single" w:sz="4" w:space="0" w:color="auto"/>
            </w:tcBorders>
            <w:shd w:val="clear" w:color="auto" w:fill="auto"/>
            <w:vAlign w:val="center"/>
          </w:tcPr>
          <w:p w:rsidR="001A63C6" w:rsidRPr="00BD7CEA" w:rsidRDefault="001A63C6" w:rsidP="00E215F4">
            <w:pPr>
              <w:pStyle w:val="ProductNames"/>
              <w:spacing w:beforeLines="20" w:before="48" w:afterLines="20" w:after="48"/>
              <w:rPr>
                <w:rFonts w:ascii="Tahoma" w:hAnsi="Tahoma" w:cs="Tahoma"/>
                <w:sz w:val="14"/>
              </w:rPr>
            </w:pPr>
            <w:bookmarkStart w:id="373" w:name="_Toc336338034"/>
            <w:bookmarkStart w:id="374" w:name="_Toc353375825"/>
            <w:r w:rsidRPr="00BD7CEA">
              <w:rPr>
                <w:rFonts w:ascii="Tahoma" w:hAnsi="Tahoma" w:cs="Tahoma"/>
                <w:sz w:val="14"/>
              </w:rPr>
              <w:t>CAL per Project Server</w:t>
            </w:r>
            <w:bookmarkEnd w:id="373"/>
            <w:r w:rsidRPr="00BD7CEA">
              <w:rPr>
                <w:rFonts w:ascii="Tahoma" w:hAnsi="Tahoma" w:cs="Tahoma"/>
                <w:sz w:val="14"/>
              </w:rPr>
              <w:t xml:space="preserve"> 2013</w:t>
            </w:r>
            <w:bookmarkEnd w:id="374"/>
            <w:r w:rsidRPr="00BD7CEA">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spacing w:before="80"/>
              <w:rPr>
                <w:rFonts w:ascii="Tahoma" w:hAnsi="Tahoma" w:cs="Tahoma"/>
                <w:sz w:val="13"/>
              </w:rPr>
            </w:pPr>
            <w:r w:rsidRPr="00BD7CEA">
              <w:rPr>
                <w:rFonts w:ascii="Tahoma" w:hAnsi="Tahoma" w:cs="Tahoma"/>
                <w:sz w:val="14"/>
                <w:szCs w:val="14"/>
              </w:rPr>
              <w:t>10/12</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3</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P</w:t>
            </w:r>
          </w:p>
        </w:tc>
        <w:tc>
          <w:tcPr>
            <w:tcW w:w="450" w:type="dxa"/>
            <w:tcBorders>
              <w:bottom w:val="single" w:sz="4" w:space="0" w:color="auto"/>
            </w:tcBorders>
            <w:shd w:val="clear" w:color="auto" w:fill="auto"/>
          </w:tcPr>
          <w:p w:rsidR="001A63C6" w:rsidRPr="00BD7CEA" w:rsidRDefault="001A63C6" w:rsidP="001A63C6">
            <w:pPr>
              <w:pStyle w:val="TableText"/>
              <w:widowControl w:val="0"/>
              <w:spacing w:before="120"/>
              <w:rPr>
                <w:rFonts w:ascii="Tahoma" w:hAnsi="Tahoma" w:cs="Tahoma"/>
                <w:sz w:val="13"/>
              </w:rPr>
            </w:pPr>
            <w:r w:rsidRPr="00BD7CEA">
              <w:rPr>
                <w:rFonts w:ascii="Tahoma" w:hAnsi="Tahoma" w:cs="Tahoma"/>
                <w:sz w:val="13"/>
              </w:rPr>
              <w:t>A</w:t>
            </w: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r>
      <w:tr w:rsidR="00B33D0E" w:rsidRPr="00BD7CEA" w:rsidTr="006B1F3F">
        <w:trPr>
          <w:trHeight w:val="145"/>
        </w:trPr>
        <w:tc>
          <w:tcPr>
            <w:tcW w:w="2734" w:type="dxa"/>
            <w:gridSpan w:val="2"/>
            <w:tcBorders>
              <w:bottom w:val="single" w:sz="4" w:space="0" w:color="auto"/>
            </w:tcBorders>
            <w:shd w:val="clear" w:color="auto" w:fill="FABF8F"/>
            <w:vAlign w:val="center"/>
          </w:tcPr>
          <w:p w:rsidR="001A63C6" w:rsidRPr="00BD7CEA" w:rsidRDefault="001A63C6" w:rsidP="00E215F4">
            <w:pPr>
              <w:pStyle w:val="Heading2"/>
              <w:spacing w:beforeLines="20" w:before="48" w:afterLines="20" w:after="48"/>
              <w:ind w:left="0" w:firstLine="15"/>
              <w:rPr>
                <w:rFonts w:ascii="Tahoma" w:hAnsi="Tahoma" w:cs="Tahoma"/>
                <w:b w:val="0"/>
                <w:sz w:val="14"/>
              </w:rPr>
            </w:pPr>
            <w:bookmarkStart w:id="375" w:name="_Toc336338036"/>
            <w:bookmarkStart w:id="376" w:name="_Toc353375826"/>
            <w:r w:rsidRPr="00BD7CEA">
              <w:rPr>
                <w:rFonts w:ascii="Tahoma" w:hAnsi="Tahoma" w:cs="Tahoma"/>
                <w:b w:val="0"/>
                <w:sz w:val="14"/>
              </w:rPr>
              <w:t>SharePoint™ Online Extra Storage 1 GB (SL Add-on)</w:t>
            </w:r>
            <w:bookmarkEnd w:id="375"/>
            <w:bookmarkEnd w:id="376"/>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b/>
                <w:color w:val="000000"/>
                <w:sz w:val="13"/>
                <w:szCs w:val="13"/>
                <w:u w:val="single"/>
              </w:rPr>
            </w:pPr>
          </w:p>
        </w:tc>
        <w:tc>
          <w:tcPr>
            <w:tcW w:w="450" w:type="dxa"/>
            <w:tcBorders>
              <w:bottom w:val="single" w:sz="4" w:space="0" w:color="auto"/>
            </w:tcBorders>
            <w:shd w:val="clear" w:color="auto" w:fill="FABF8F"/>
          </w:tcPr>
          <w:p w:rsidR="001A63C6" w:rsidRPr="00BD7CEA" w:rsidDel="008F575D" w:rsidRDefault="001A63C6" w:rsidP="001A63C6">
            <w:pPr>
              <w:pStyle w:val="TableText"/>
              <w:widowControl w:val="0"/>
              <w:spacing w:before="80"/>
              <w:rPr>
                <w:rFonts w:ascii="Tahoma" w:hAnsi="Tahoma" w:cs="Tahoma"/>
                <w:sz w:val="13"/>
              </w:rPr>
            </w:pPr>
            <w:r w:rsidRPr="00BD7CEA">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D7CEA"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r>
      <w:tr w:rsidR="001A63C6" w:rsidRPr="00BD7CEA" w:rsidTr="007E466C">
        <w:trPr>
          <w:trHeight w:val="145"/>
        </w:trPr>
        <w:tc>
          <w:tcPr>
            <w:tcW w:w="2734" w:type="dxa"/>
            <w:gridSpan w:val="2"/>
            <w:tcBorders>
              <w:bottom w:val="single" w:sz="4" w:space="0" w:color="auto"/>
            </w:tcBorders>
            <w:shd w:val="clear" w:color="auto" w:fill="auto"/>
            <w:vAlign w:val="center"/>
          </w:tcPr>
          <w:p w:rsidR="001A63C6" w:rsidRPr="00BD7CEA" w:rsidRDefault="001A63C6" w:rsidP="007E466C">
            <w:pPr>
              <w:pStyle w:val="Heading2"/>
              <w:ind w:left="0" w:firstLine="15"/>
              <w:jc w:val="both"/>
              <w:rPr>
                <w:rFonts w:ascii="Tahoma" w:hAnsi="Tahoma" w:cs="Tahoma"/>
                <w:b w:val="0"/>
                <w:sz w:val="14"/>
              </w:rPr>
            </w:pPr>
            <w:bookmarkStart w:id="377" w:name="_Toc336338037"/>
            <w:bookmarkStart w:id="378" w:name="_Toc353375827"/>
            <w:r w:rsidRPr="00BD7CEA">
              <w:rPr>
                <w:rFonts w:ascii="Tahoma" w:hAnsi="Tahoma" w:cs="Tahoma"/>
                <w:b w:val="0"/>
                <w:sz w:val="14"/>
              </w:rPr>
              <w:t>SharePoint™ Online Extra Storage 1 GB A (SL Add-on)</w:t>
            </w:r>
            <w:bookmarkEnd w:id="377"/>
            <w:bookmarkEnd w:id="378"/>
          </w:p>
        </w:tc>
        <w:tc>
          <w:tcPr>
            <w:tcW w:w="450" w:type="dxa"/>
            <w:tcBorders>
              <w:bottom w:val="single" w:sz="4" w:space="0" w:color="auto"/>
            </w:tcBorders>
            <w:shd w:val="clear" w:color="auto" w:fill="auto"/>
            <w:vAlign w:val="center"/>
          </w:tcPr>
          <w:p w:rsidR="001A63C6" w:rsidRPr="00BD7CEA" w:rsidRDefault="001A63C6" w:rsidP="00D66F68">
            <w:pPr>
              <w:pStyle w:val="TableText"/>
              <w:widowControl w:val="0"/>
              <w:rPr>
                <w:rFonts w:cs="Tahoma"/>
                <w:b/>
                <w:color w:val="0000FF"/>
                <w:sz w:val="13"/>
                <w:szCs w:val="13"/>
                <w:u w:val="single"/>
              </w:rPr>
            </w:pPr>
          </w:p>
        </w:tc>
        <w:tc>
          <w:tcPr>
            <w:tcW w:w="450" w:type="dxa"/>
            <w:tcBorders>
              <w:bottom w:val="single" w:sz="4" w:space="0" w:color="auto"/>
            </w:tcBorders>
            <w:shd w:val="clear" w:color="auto" w:fill="auto"/>
            <w:vAlign w:val="center"/>
          </w:tcPr>
          <w:p w:rsidR="001A63C6" w:rsidRPr="00BD7CEA" w:rsidRDefault="001A63C6" w:rsidP="007E466C">
            <w:pPr>
              <w:pStyle w:val="TableText"/>
              <w:widowControl w:val="0"/>
              <w:rPr>
                <w:rFonts w:ascii="Tahoma" w:hAnsi="Tahoma" w:cs="Tahoma"/>
                <w:sz w:val="13"/>
              </w:rPr>
            </w:pPr>
            <w:r w:rsidRPr="00BD7CEA">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rsidR="001A63C6" w:rsidRPr="00BD7CEA" w:rsidRDefault="001A63C6" w:rsidP="00D66F6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D7CEA" w:rsidRDefault="001A63C6" w:rsidP="00D66F6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D02D7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D7CEA" w:rsidRDefault="001A63C6" w:rsidP="00D02D7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242B11">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242B1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EA31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EA31A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EA31A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EA31A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BD7CEA" w:rsidRDefault="001A63C6" w:rsidP="007E466C">
            <w:pPr>
              <w:pStyle w:val="TableText"/>
              <w:widowControl w:val="0"/>
              <w:rPr>
                <w:rFonts w:ascii="Tahoma" w:hAnsi="Tahoma" w:cs="Tahoma"/>
                <w:sz w:val="13"/>
              </w:rPr>
            </w:pPr>
            <w:r w:rsidRPr="00BD7CEA">
              <w:rPr>
                <w:rFonts w:ascii="Tahoma" w:hAnsi="Tahoma" w:cs="Tahoma"/>
                <w:sz w:val="13"/>
              </w:rPr>
              <w:t>A, ST (Solo EES)</w:t>
            </w:r>
          </w:p>
        </w:tc>
        <w:tc>
          <w:tcPr>
            <w:tcW w:w="540" w:type="dxa"/>
            <w:tcBorders>
              <w:bottom w:val="single" w:sz="4" w:space="0" w:color="auto"/>
            </w:tcBorders>
            <w:shd w:val="clear" w:color="auto" w:fill="auto"/>
            <w:vAlign w:val="center"/>
          </w:tcPr>
          <w:p w:rsidR="001A63C6" w:rsidRPr="00BD7CEA" w:rsidRDefault="001A63C6" w:rsidP="00D66F68">
            <w:pPr>
              <w:pStyle w:val="TableText"/>
              <w:widowControl w:val="0"/>
              <w:rPr>
                <w:rFonts w:ascii="Tahoma" w:hAnsi="Tahoma" w:cs="Tahoma"/>
                <w:sz w:val="13"/>
              </w:rPr>
            </w:pPr>
          </w:p>
        </w:tc>
      </w:tr>
      <w:tr w:rsidR="00B33D0E" w:rsidRPr="00BD7CEA" w:rsidTr="006B1F3F">
        <w:trPr>
          <w:trHeight w:val="145"/>
        </w:trPr>
        <w:tc>
          <w:tcPr>
            <w:tcW w:w="2734" w:type="dxa"/>
            <w:gridSpan w:val="2"/>
            <w:tcBorders>
              <w:bottom w:val="single" w:sz="4" w:space="0" w:color="auto"/>
            </w:tcBorders>
            <w:shd w:val="clear" w:color="auto" w:fill="FABF8F"/>
            <w:vAlign w:val="center"/>
          </w:tcPr>
          <w:p w:rsidR="001A63C6" w:rsidRPr="007B74B7" w:rsidRDefault="001A63C6" w:rsidP="00095F5D">
            <w:pPr>
              <w:pStyle w:val="Heading2"/>
              <w:spacing w:beforeLines="20" w:before="48" w:afterLines="20" w:after="48"/>
              <w:ind w:left="0" w:firstLine="15"/>
              <w:rPr>
                <w:rFonts w:ascii="Tahoma" w:hAnsi="Tahoma" w:cs="Tahoma"/>
                <w:b w:val="0"/>
                <w:lang w:val="it-IT"/>
              </w:rPr>
            </w:pPr>
            <w:bookmarkStart w:id="379" w:name="_Toc336338038"/>
            <w:bookmarkStart w:id="380" w:name="_Toc353375828"/>
            <w:r w:rsidRPr="007B74B7">
              <w:rPr>
                <w:rFonts w:ascii="Tahoma" w:hAnsi="Tahoma" w:cs="Tahoma"/>
                <w:b w:val="0"/>
                <w:sz w:val="14"/>
                <w:lang w:val="it-IT"/>
              </w:rPr>
              <w:lastRenderedPageBreak/>
              <w:t xml:space="preserve">SharePoint™ Online Piano 1 </w:t>
            </w:r>
            <w:r w:rsidR="00872F47" w:rsidRPr="007B74B7">
              <w:rPr>
                <w:rFonts w:ascii="Tahoma" w:hAnsi="Tahoma" w:cs="Tahoma"/>
                <w:b w:val="0"/>
                <w:sz w:val="14"/>
                <w:lang w:val="it-IT"/>
              </w:rPr>
              <w:br/>
            </w:r>
            <w:r w:rsidRPr="007B74B7">
              <w:rPr>
                <w:rFonts w:ascii="Tahoma" w:hAnsi="Tahoma" w:cs="Tahoma"/>
                <w:b w:val="0"/>
                <w:sz w:val="14"/>
                <w:lang w:val="it-IT"/>
              </w:rPr>
              <w:t>(SL per Utente)</w:t>
            </w:r>
            <w:bookmarkEnd w:id="379"/>
            <w:bookmarkEnd w:id="380"/>
          </w:p>
        </w:tc>
        <w:tc>
          <w:tcPr>
            <w:tcW w:w="450" w:type="dxa"/>
            <w:tcBorders>
              <w:bottom w:val="single" w:sz="4" w:space="0" w:color="auto"/>
            </w:tcBorders>
            <w:shd w:val="clear" w:color="auto" w:fill="FABF8F"/>
            <w:vAlign w:val="center"/>
          </w:tcPr>
          <w:p w:rsidR="001A63C6" w:rsidRPr="00BD7CEA" w:rsidRDefault="006E5080" w:rsidP="002E59B1">
            <w:pPr>
              <w:pStyle w:val="TableText"/>
              <w:widowControl w:val="0"/>
              <w:rPr>
                <w:rStyle w:val="EndnoteReference"/>
                <w:rFonts w:cs="Tahoma"/>
                <w:b w:val="0"/>
                <w:color w:val="0000FF"/>
                <w:sz w:val="13"/>
                <w:szCs w:val="13"/>
                <w:u w:val="single"/>
              </w:rPr>
            </w:pPr>
            <w:hyperlink w:anchor="_72_SharePoint_Online" w:history="1">
              <w:r w:rsidR="00955428" w:rsidRPr="00BD7CEA">
                <w:rPr>
                  <w:rStyle w:val="Hyperlink"/>
                  <w:rFonts w:cs="Tahoma"/>
                  <w:b/>
                  <w:sz w:val="13"/>
                  <w:szCs w:val="13"/>
                </w:rPr>
                <w:t>72</w:t>
              </w:r>
            </w:hyperlink>
          </w:p>
        </w:tc>
        <w:tc>
          <w:tcPr>
            <w:tcW w:w="450" w:type="dxa"/>
            <w:tcBorders>
              <w:bottom w:val="single" w:sz="4" w:space="0" w:color="auto"/>
            </w:tcBorders>
            <w:shd w:val="clear" w:color="auto" w:fill="FABF8F"/>
          </w:tcPr>
          <w:p w:rsidR="001A63C6" w:rsidRPr="00BD7CEA" w:rsidRDefault="001A63C6" w:rsidP="001A63C6">
            <w:pPr>
              <w:pStyle w:val="TableText"/>
              <w:widowControl w:val="0"/>
              <w:spacing w:before="80"/>
              <w:rPr>
                <w:rFonts w:ascii="Tahoma" w:hAnsi="Tahoma" w:cs="Tahoma"/>
                <w:sz w:val="13"/>
              </w:rPr>
            </w:pPr>
            <w:r w:rsidRPr="00BD7CEA">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D7CEA"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r>
      <w:tr w:rsidR="001A63C6" w:rsidRPr="00BD7CEA" w:rsidTr="007E466C">
        <w:trPr>
          <w:trHeight w:val="145"/>
        </w:trPr>
        <w:tc>
          <w:tcPr>
            <w:tcW w:w="2734" w:type="dxa"/>
            <w:gridSpan w:val="2"/>
            <w:tcBorders>
              <w:bottom w:val="single" w:sz="4" w:space="0" w:color="auto"/>
            </w:tcBorders>
            <w:shd w:val="clear" w:color="auto" w:fill="auto"/>
            <w:vAlign w:val="center"/>
          </w:tcPr>
          <w:p w:rsidR="001A63C6" w:rsidRPr="007B74B7" w:rsidRDefault="001A63C6" w:rsidP="00E215F4">
            <w:pPr>
              <w:pStyle w:val="ProductNames"/>
              <w:spacing w:beforeLines="20" w:before="48" w:afterLines="20" w:after="48"/>
              <w:rPr>
                <w:rFonts w:ascii="Tahoma" w:hAnsi="Tahoma" w:cs="Tahoma"/>
                <w:sz w:val="14"/>
                <w:lang w:val="it-IT"/>
              </w:rPr>
            </w:pPr>
            <w:bookmarkStart w:id="381" w:name="_Toc336338039"/>
            <w:bookmarkStart w:id="382" w:name="_Toc353375829"/>
            <w:r w:rsidRPr="007B74B7">
              <w:rPr>
                <w:rFonts w:ascii="Tahoma" w:hAnsi="Tahoma" w:cs="Tahoma"/>
                <w:sz w:val="14"/>
                <w:lang w:val="it-IT"/>
              </w:rPr>
              <w:t xml:space="preserve">SharePoint™ Online Piano 2 </w:t>
            </w:r>
            <w:r w:rsidR="00872F47" w:rsidRPr="007B74B7">
              <w:rPr>
                <w:rFonts w:ascii="Tahoma" w:hAnsi="Tahoma" w:cs="Tahoma"/>
                <w:sz w:val="14"/>
                <w:lang w:val="it-IT"/>
              </w:rPr>
              <w:br/>
            </w:r>
            <w:r w:rsidRPr="007B74B7">
              <w:rPr>
                <w:rFonts w:ascii="Tahoma" w:hAnsi="Tahoma" w:cs="Tahoma"/>
                <w:sz w:val="14"/>
                <w:lang w:val="it-IT"/>
              </w:rPr>
              <w:t>(SL per Utente)</w:t>
            </w:r>
            <w:bookmarkEnd w:id="381"/>
            <w:bookmarkEnd w:id="382"/>
          </w:p>
        </w:tc>
        <w:tc>
          <w:tcPr>
            <w:tcW w:w="450" w:type="dxa"/>
            <w:tcBorders>
              <w:bottom w:val="single" w:sz="4" w:space="0" w:color="auto"/>
            </w:tcBorders>
            <w:shd w:val="clear" w:color="auto" w:fill="auto"/>
            <w:vAlign w:val="center"/>
          </w:tcPr>
          <w:p w:rsidR="001A63C6" w:rsidRPr="00BD7CEA" w:rsidRDefault="006E5080" w:rsidP="002E59B1">
            <w:pPr>
              <w:pStyle w:val="TableText"/>
              <w:widowControl w:val="0"/>
              <w:rPr>
                <w:rStyle w:val="EndnoteReference"/>
                <w:b w:val="0"/>
                <w:color w:val="000000"/>
                <w:sz w:val="13"/>
                <w:szCs w:val="13"/>
                <w:u w:val="single"/>
              </w:rPr>
            </w:pPr>
            <w:hyperlink w:anchor="_72_SharePoint_Online" w:history="1">
              <w:r w:rsidR="006C6788" w:rsidRPr="00BD7CEA">
                <w:rPr>
                  <w:rStyle w:val="Hyperlink"/>
                  <w:rFonts w:cs="Tahoma"/>
                  <w:b/>
                  <w:sz w:val="13"/>
                  <w:szCs w:val="13"/>
                </w:rPr>
                <w:t>72</w:t>
              </w:r>
            </w:hyperlink>
          </w:p>
        </w:tc>
        <w:tc>
          <w:tcPr>
            <w:tcW w:w="450" w:type="dxa"/>
            <w:tcBorders>
              <w:bottom w:val="single" w:sz="4" w:space="0" w:color="auto"/>
            </w:tcBorders>
            <w:shd w:val="clear" w:color="auto" w:fill="auto"/>
          </w:tcPr>
          <w:p w:rsidR="001A63C6" w:rsidRPr="00BD7CEA" w:rsidRDefault="001A63C6" w:rsidP="001A63C6">
            <w:pPr>
              <w:pStyle w:val="TableText"/>
              <w:widowControl w:val="0"/>
              <w:spacing w:before="80"/>
              <w:rPr>
                <w:rFonts w:ascii="Tahoma" w:hAnsi="Tahoma" w:cs="Tahoma"/>
                <w:sz w:val="13"/>
              </w:rPr>
            </w:pPr>
            <w:r w:rsidRPr="00BD7CEA">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BD7CEA"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r>
      <w:tr w:rsidR="00B33D0E" w:rsidRPr="00BD7CEA" w:rsidTr="006B1F3F">
        <w:trPr>
          <w:trHeight w:val="145"/>
        </w:trPr>
        <w:tc>
          <w:tcPr>
            <w:tcW w:w="2734" w:type="dxa"/>
            <w:gridSpan w:val="2"/>
            <w:tcBorders>
              <w:bottom w:val="single" w:sz="4" w:space="0" w:color="auto"/>
            </w:tcBorders>
            <w:shd w:val="clear" w:color="auto" w:fill="FABF8F"/>
          </w:tcPr>
          <w:p w:rsidR="001A63C6" w:rsidRPr="00BD7CEA" w:rsidRDefault="001A63C6" w:rsidP="00E215F4">
            <w:pPr>
              <w:pStyle w:val="ProductNames"/>
              <w:spacing w:beforeLines="20" w:before="48" w:afterLines="20" w:after="48"/>
              <w:rPr>
                <w:rFonts w:ascii="Tahoma" w:hAnsi="Tahoma" w:cs="Tahoma"/>
                <w:sz w:val="14"/>
              </w:rPr>
            </w:pPr>
            <w:bookmarkStart w:id="383" w:name="_Toc336338040"/>
            <w:bookmarkStart w:id="384" w:name="_Toc353375830"/>
            <w:r w:rsidRPr="00BD7CEA">
              <w:rPr>
                <w:rFonts w:ascii="Tahoma" w:hAnsi="Tahoma" w:cs="Tahoma"/>
                <w:sz w:val="14"/>
              </w:rPr>
              <w:t xml:space="preserve">SharePoint™ Server </w:t>
            </w:r>
            <w:bookmarkEnd w:id="383"/>
            <w:r w:rsidRPr="00BD7CEA">
              <w:rPr>
                <w:rFonts w:ascii="Tahoma" w:hAnsi="Tahoma" w:cs="Tahoma"/>
                <w:sz w:val="14"/>
              </w:rPr>
              <w:t>2013</w:t>
            </w:r>
            <w:bookmarkEnd w:id="384"/>
            <w:r w:rsidRPr="00BD7CEA">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BD7CEA" w:rsidRDefault="006E5080" w:rsidP="002E59B1">
            <w:pPr>
              <w:pStyle w:val="TableText"/>
              <w:widowControl w:val="0"/>
              <w:rPr>
                <w:rStyle w:val="EndnoteReference"/>
                <w:b w:val="0"/>
                <w:color w:val="000000"/>
                <w:sz w:val="13"/>
                <w:szCs w:val="13"/>
                <w:u w:val="single"/>
              </w:rPr>
            </w:pPr>
            <w:hyperlink w:anchor="_73_SharePoint_Server" w:history="1">
              <w:r w:rsidR="00955428" w:rsidRPr="00BD7CEA">
                <w:rPr>
                  <w:rStyle w:val="Hyperlink"/>
                  <w:b/>
                  <w:sz w:val="13"/>
                  <w:szCs w:val="13"/>
                </w:rPr>
                <w:t>73</w:t>
              </w:r>
            </w:hyperlink>
          </w:p>
        </w:tc>
        <w:tc>
          <w:tcPr>
            <w:tcW w:w="450" w:type="dxa"/>
            <w:tcBorders>
              <w:bottom w:val="single" w:sz="4" w:space="0" w:color="auto"/>
            </w:tcBorders>
            <w:shd w:val="clear" w:color="auto" w:fill="FABF8F"/>
          </w:tcPr>
          <w:p w:rsidR="001A63C6" w:rsidRPr="00BD7CEA" w:rsidRDefault="001A63C6" w:rsidP="001A63C6">
            <w:pPr>
              <w:pStyle w:val="TableText"/>
              <w:widowControl w:val="0"/>
              <w:spacing w:before="120"/>
              <w:rPr>
                <w:rFonts w:ascii="Tahoma" w:hAnsi="Tahoma" w:cs="Tahoma"/>
                <w:color w:val="000000"/>
                <w:sz w:val="13"/>
              </w:rPr>
            </w:pPr>
            <w:r w:rsidRPr="00BD7CEA">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50</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125</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100</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75</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75</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50</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P</w:t>
            </w:r>
          </w:p>
        </w:tc>
        <w:tc>
          <w:tcPr>
            <w:tcW w:w="450" w:type="dxa"/>
            <w:tcBorders>
              <w:bottom w:val="single" w:sz="4" w:space="0" w:color="auto"/>
            </w:tcBorders>
            <w:shd w:val="clear" w:color="auto" w:fill="FABF8F"/>
            <w:vAlign w:val="center"/>
          </w:tcPr>
          <w:p w:rsidR="001A63C6" w:rsidRPr="00BD7CEA" w:rsidRDefault="001A63C6" w:rsidP="006C465D">
            <w:pPr>
              <w:pStyle w:val="TableText"/>
              <w:widowControl w:val="0"/>
              <w:spacing w:before="120"/>
              <w:rPr>
                <w:rFonts w:ascii="Tahoma" w:hAnsi="Tahoma" w:cs="Tahoma"/>
                <w:sz w:val="13"/>
              </w:rPr>
            </w:pPr>
            <w:r w:rsidRPr="00BD7CEA">
              <w:rPr>
                <w:rFonts w:ascii="Tahoma" w:hAnsi="Tahoma" w:cs="Tahoma"/>
                <w:sz w:val="13"/>
              </w:rPr>
              <w:t>A</w:t>
            </w:r>
          </w:p>
        </w:tc>
        <w:tc>
          <w:tcPr>
            <w:tcW w:w="54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r>
      <w:tr w:rsidR="001A63C6" w:rsidRPr="00BD7CEA" w:rsidTr="007E466C">
        <w:trPr>
          <w:trHeight w:val="145"/>
        </w:trPr>
        <w:tc>
          <w:tcPr>
            <w:tcW w:w="2734" w:type="dxa"/>
            <w:gridSpan w:val="2"/>
            <w:tcBorders>
              <w:bottom w:val="single" w:sz="4" w:space="0" w:color="auto"/>
            </w:tcBorders>
            <w:shd w:val="clear" w:color="auto" w:fill="auto"/>
          </w:tcPr>
          <w:p w:rsidR="001A63C6" w:rsidRPr="00BD7CEA" w:rsidRDefault="001A63C6" w:rsidP="00872F47">
            <w:pPr>
              <w:pStyle w:val="ProductNames"/>
              <w:spacing w:beforeLines="20" w:before="48" w:afterLines="20" w:after="48"/>
              <w:rPr>
                <w:rFonts w:ascii="Tahoma" w:hAnsi="Tahoma" w:cs="Tahoma"/>
                <w:sz w:val="14"/>
              </w:rPr>
            </w:pPr>
            <w:bookmarkStart w:id="385" w:name="_Toc336338041"/>
            <w:bookmarkStart w:id="386" w:name="_Toc353375831"/>
            <w:r w:rsidRPr="00BD7CEA">
              <w:rPr>
                <w:rFonts w:ascii="Tahoma" w:hAnsi="Tahoma" w:cs="Tahoma"/>
                <w:sz w:val="14"/>
              </w:rPr>
              <w:t>Enterprise CAL per SharePoint™ Server</w:t>
            </w:r>
            <w:bookmarkEnd w:id="385"/>
            <w:r w:rsidR="00872F47" w:rsidRPr="00BD7CEA">
              <w:rPr>
                <w:rFonts w:ascii="Tahoma" w:hAnsi="Tahoma" w:cs="Tahoma"/>
                <w:sz w:val="14"/>
              </w:rPr>
              <w:t> </w:t>
            </w:r>
            <w:r w:rsidRPr="00BD7CEA">
              <w:rPr>
                <w:rFonts w:ascii="Tahoma" w:hAnsi="Tahoma" w:cs="Tahoma"/>
                <w:sz w:val="14"/>
              </w:rPr>
              <w:t>2013</w:t>
            </w:r>
            <w:bookmarkEnd w:id="386"/>
            <w:r w:rsidRPr="00BD7CEA">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auto"/>
          </w:tcPr>
          <w:p w:rsidR="001A63C6" w:rsidRPr="00BD7CEA" w:rsidRDefault="001A63C6" w:rsidP="001A63C6">
            <w:pPr>
              <w:pStyle w:val="TableText"/>
              <w:widowControl w:val="0"/>
              <w:spacing w:before="120"/>
              <w:rPr>
                <w:rFonts w:ascii="Tahoma" w:hAnsi="Tahoma" w:cs="Tahoma"/>
                <w:color w:val="000000"/>
                <w:sz w:val="13"/>
              </w:rPr>
            </w:pPr>
            <w:r w:rsidRPr="00BD7CEA">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3</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P</w:t>
            </w:r>
          </w:p>
        </w:tc>
        <w:tc>
          <w:tcPr>
            <w:tcW w:w="450" w:type="dxa"/>
            <w:tcBorders>
              <w:bottom w:val="single" w:sz="4" w:space="0" w:color="auto"/>
            </w:tcBorders>
            <w:shd w:val="clear" w:color="auto" w:fill="auto"/>
          </w:tcPr>
          <w:p w:rsidR="001A63C6" w:rsidRPr="00BD7CEA" w:rsidRDefault="001A63C6" w:rsidP="001A63C6">
            <w:pPr>
              <w:pStyle w:val="TableText"/>
              <w:widowControl w:val="0"/>
              <w:spacing w:before="120"/>
              <w:rPr>
                <w:rFonts w:ascii="Tahoma" w:hAnsi="Tahoma" w:cs="Tahoma"/>
                <w:sz w:val="13"/>
              </w:rPr>
            </w:pPr>
            <w:r w:rsidRPr="00BD7CEA">
              <w:rPr>
                <w:rFonts w:ascii="Tahoma" w:hAnsi="Tahoma" w:cs="Tahoma"/>
                <w:sz w:val="13"/>
              </w:rPr>
              <w:t>AO, ST</w:t>
            </w: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r>
      <w:tr w:rsidR="00B33D0E" w:rsidRPr="00BD7CEA" w:rsidTr="006B1F3F">
        <w:trPr>
          <w:trHeight w:val="260"/>
        </w:trPr>
        <w:tc>
          <w:tcPr>
            <w:tcW w:w="2734" w:type="dxa"/>
            <w:gridSpan w:val="2"/>
            <w:tcBorders>
              <w:bottom w:val="single" w:sz="4" w:space="0" w:color="auto"/>
            </w:tcBorders>
            <w:shd w:val="clear" w:color="auto" w:fill="FABF8F"/>
          </w:tcPr>
          <w:p w:rsidR="001A63C6" w:rsidRPr="00BD7CEA" w:rsidRDefault="001A63C6" w:rsidP="00872F47">
            <w:pPr>
              <w:pStyle w:val="ProductNames"/>
              <w:spacing w:beforeLines="20" w:before="48" w:afterLines="20" w:after="48"/>
              <w:rPr>
                <w:rFonts w:ascii="Tahoma" w:hAnsi="Tahoma" w:cs="Tahoma"/>
                <w:sz w:val="14"/>
              </w:rPr>
            </w:pPr>
            <w:bookmarkStart w:id="387" w:name="_Toc336338044"/>
            <w:bookmarkStart w:id="388" w:name="_Toc353375832"/>
            <w:r w:rsidRPr="00BD7CEA">
              <w:rPr>
                <w:rFonts w:ascii="Tahoma" w:hAnsi="Tahoma" w:cs="Tahoma"/>
                <w:sz w:val="14"/>
              </w:rPr>
              <w:t>Standard CAL per SharePoint™ Server</w:t>
            </w:r>
            <w:bookmarkEnd w:id="387"/>
            <w:r w:rsidR="00872F47" w:rsidRPr="00BD7CEA">
              <w:rPr>
                <w:rFonts w:ascii="Tahoma" w:hAnsi="Tahoma" w:cs="Tahoma"/>
                <w:sz w:val="14"/>
              </w:rPr>
              <w:t> </w:t>
            </w:r>
            <w:r w:rsidRPr="00BD7CEA">
              <w:rPr>
                <w:rFonts w:ascii="Tahoma" w:hAnsi="Tahoma" w:cs="Tahoma"/>
                <w:sz w:val="14"/>
              </w:rPr>
              <w:t>2013</w:t>
            </w:r>
            <w:bookmarkEnd w:id="388"/>
          </w:p>
        </w:tc>
        <w:tc>
          <w:tcPr>
            <w:tcW w:w="450" w:type="dxa"/>
            <w:tcBorders>
              <w:bottom w:val="single" w:sz="4" w:space="0" w:color="auto"/>
            </w:tcBorders>
            <w:shd w:val="clear" w:color="auto" w:fill="FABF8F"/>
            <w:vAlign w:val="center"/>
          </w:tcPr>
          <w:p w:rsidR="001A63C6" w:rsidRPr="00BD7CEA" w:rsidRDefault="001A63C6" w:rsidP="00E215F4">
            <w:pPr>
              <w:pStyle w:val="TableText"/>
              <w:widowControl w:val="0"/>
              <w:spacing w:beforeLines="20" w:before="48" w:afterLines="20" w:after="48"/>
              <w:rPr>
                <w:rStyle w:val="EndnoteReference"/>
                <w:rFonts w:cs="Tahoma"/>
                <w:color w:val="000000"/>
                <w:sz w:val="13"/>
                <w:szCs w:val="13"/>
                <w:u w:val="single"/>
              </w:rPr>
            </w:pPr>
          </w:p>
        </w:tc>
        <w:tc>
          <w:tcPr>
            <w:tcW w:w="450" w:type="dxa"/>
            <w:tcBorders>
              <w:bottom w:val="single" w:sz="4" w:space="0" w:color="auto"/>
            </w:tcBorders>
            <w:shd w:val="clear" w:color="auto" w:fill="FABF8F"/>
          </w:tcPr>
          <w:p w:rsidR="001A63C6" w:rsidRPr="00BD7CEA" w:rsidRDefault="001A63C6" w:rsidP="00E215F4">
            <w:pPr>
              <w:pStyle w:val="TableText"/>
              <w:widowControl w:val="0"/>
              <w:spacing w:beforeLines="20" w:before="48" w:afterLines="20" w:after="48"/>
              <w:rPr>
                <w:rFonts w:ascii="Tahoma" w:hAnsi="Tahoma" w:cs="Tahoma"/>
                <w:color w:val="000000"/>
                <w:sz w:val="13"/>
              </w:rPr>
            </w:pPr>
            <w:r w:rsidRPr="00BD7CEA">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BD7CEA" w:rsidRDefault="001A63C6" w:rsidP="00E215F4">
            <w:pPr>
              <w:pStyle w:val="TableText"/>
              <w:widowControl w:val="0"/>
              <w:spacing w:beforeLines="20" w:before="48" w:afterLines="20" w:after="48"/>
              <w:rPr>
                <w:rFonts w:ascii="Tahoma" w:hAnsi="Tahoma" w:cs="Tahoma"/>
                <w:sz w:val="13"/>
              </w:rPr>
            </w:pPr>
            <w:r w:rsidRPr="00BD7CE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D7CEA" w:rsidRDefault="001A63C6" w:rsidP="00E215F4">
            <w:pPr>
              <w:pStyle w:val="TableText"/>
              <w:widowControl w:val="0"/>
              <w:spacing w:beforeLines="20" w:before="48" w:afterLines="20" w:after="48"/>
              <w:rPr>
                <w:rFonts w:ascii="Tahoma" w:hAnsi="Tahoma" w:cs="Tahoma"/>
                <w:sz w:val="13"/>
              </w:rPr>
            </w:pPr>
            <w:r w:rsidRPr="00BD7CEA">
              <w:rPr>
                <w:rFonts w:ascii="Tahoma" w:hAnsi="Tahoma" w:cs="Tahoma"/>
                <w:sz w:val="13"/>
              </w:rPr>
              <w:t>1</w:t>
            </w:r>
          </w:p>
        </w:tc>
        <w:tc>
          <w:tcPr>
            <w:tcW w:w="450" w:type="dxa"/>
            <w:tcBorders>
              <w:bottom w:val="single" w:sz="4" w:space="0" w:color="auto"/>
            </w:tcBorders>
            <w:shd w:val="clear" w:color="auto" w:fill="FABF8F"/>
            <w:vAlign w:val="center"/>
          </w:tcPr>
          <w:p w:rsidR="001A63C6" w:rsidRPr="00BD7CEA" w:rsidRDefault="001A63C6" w:rsidP="00E215F4">
            <w:pPr>
              <w:pStyle w:val="TableText"/>
              <w:widowControl w:val="0"/>
              <w:spacing w:beforeLines="20" w:before="48" w:afterLines="20" w:after="48"/>
              <w:rPr>
                <w:rFonts w:ascii="Tahoma" w:hAnsi="Tahoma" w:cs="Tahoma"/>
                <w:sz w:val="13"/>
              </w:rPr>
            </w:pPr>
            <w:r w:rsidRPr="00BD7CEA">
              <w:rPr>
                <w:rFonts w:ascii="Tahoma" w:hAnsi="Tahoma" w:cs="Tahoma"/>
                <w:sz w:val="13"/>
              </w:rPr>
              <w:t>3</w:t>
            </w:r>
          </w:p>
        </w:tc>
        <w:tc>
          <w:tcPr>
            <w:tcW w:w="450" w:type="dxa"/>
            <w:tcBorders>
              <w:bottom w:val="single" w:sz="4" w:space="0" w:color="auto"/>
            </w:tcBorders>
            <w:shd w:val="clear" w:color="auto" w:fill="FABF8F"/>
            <w:vAlign w:val="center"/>
          </w:tcPr>
          <w:p w:rsidR="001A63C6" w:rsidRPr="00BD7CEA" w:rsidRDefault="001A63C6" w:rsidP="00E215F4">
            <w:pPr>
              <w:pStyle w:val="TableText"/>
              <w:widowControl w:val="0"/>
              <w:spacing w:beforeLines="20" w:before="48" w:afterLines="20" w:after="48"/>
              <w:rPr>
                <w:rFonts w:ascii="Tahoma" w:hAnsi="Tahoma" w:cs="Tahoma"/>
                <w:sz w:val="13"/>
              </w:rPr>
            </w:pPr>
            <w:r w:rsidRPr="00BD7CEA">
              <w:rPr>
                <w:rFonts w:ascii="Tahoma" w:hAnsi="Tahoma" w:cs="Tahoma"/>
                <w:sz w:val="13"/>
              </w:rPr>
              <w:t>2</w:t>
            </w:r>
          </w:p>
        </w:tc>
        <w:tc>
          <w:tcPr>
            <w:tcW w:w="450" w:type="dxa"/>
            <w:tcBorders>
              <w:bottom w:val="single" w:sz="4" w:space="0" w:color="auto"/>
            </w:tcBorders>
            <w:shd w:val="clear" w:color="auto" w:fill="FABF8F"/>
            <w:vAlign w:val="center"/>
          </w:tcPr>
          <w:p w:rsidR="001A63C6" w:rsidRPr="00BD7CEA" w:rsidRDefault="001A63C6" w:rsidP="00E215F4">
            <w:pPr>
              <w:pStyle w:val="TableText"/>
              <w:widowControl w:val="0"/>
              <w:spacing w:beforeLines="20" w:before="48" w:afterLines="20" w:after="48"/>
              <w:rPr>
                <w:rFonts w:ascii="Tahoma" w:hAnsi="Tahoma" w:cs="Tahoma"/>
                <w:sz w:val="13"/>
              </w:rPr>
            </w:pPr>
            <w:r w:rsidRPr="00BD7CEA">
              <w:rPr>
                <w:rFonts w:ascii="Tahoma" w:hAnsi="Tahoma" w:cs="Tahoma"/>
                <w:sz w:val="13"/>
              </w:rPr>
              <w:t>2</w:t>
            </w:r>
          </w:p>
        </w:tc>
        <w:tc>
          <w:tcPr>
            <w:tcW w:w="450" w:type="dxa"/>
            <w:tcBorders>
              <w:bottom w:val="single" w:sz="4" w:space="0" w:color="auto"/>
            </w:tcBorders>
            <w:shd w:val="clear" w:color="auto" w:fill="FABF8F"/>
            <w:vAlign w:val="center"/>
          </w:tcPr>
          <w:p w:rsidR="001A63C6" w:rsidRPr="00BD7CEA" w:rsidRDefault="001A63C6" w:rsidP="00E215F4">
            <w:pPr>
              <w:pStyle w:val="TableText"/>
              <w:widowControl w:val="0"/>
              <w:spacing w:beforeLines="20" w:before="48" w:afterLines="20" w:after="48"/>
              <w:rPr>
                <w:rFonts w:ascii="Tahoma" w:hAnsi="Tahoma" w:cs="Tahoma"/>
                <w:sz w:val="13"/>
              </w:rPr>
            </w:pPr>
            <w:r w:rsidRPr="00BD7CEA">
              <w:rPr>
                <w:rFonts w:ascii="Tahoma" w:hAnsi="Tahoma" w:cs="Tahoma"/>
                <w:sz w:val="13"/>
              </w:rPr>
              <w:t>2</w:t>
            </w:r>
          </w:p>
        </w:tc>
        <w:tc>
          <w:tcPr>
            <w:tcW w:w="450" w:type="dxa"/>
            <w:tcBorders>
              <w:bottom w:val="single" w:sz="4" w:space="0" w:color="auto"/>
            </w:tcBorders>
            <w:shd w:val="clear" w:color="auto" w:fill="FABF8F"/>
            <w:vAlign w:val="center"/>
          </w:tcPr>
          <w:p w:rsidR="001A63C6" w:rsidRPr="00BD7CEA" w:rsidRDefault="001A63C6" w:rsidP="00E215F4">
            <w:pPr>
              <w:pStyle w:val="TableText"/>
              <w:widowControl w:val="0"/>
              <w:spacing w:beforeLines="20" w:before="48" w:afterLines="20" w:after="48"/>
              <w:rPr>
                <w:rFonts w:ascii="Tahoma" w:hAnsi="Tahoma" w:cs="Tahoma"/>
                <w:sz w:val="13"/>
              </w:rPr>
            </w:pPr>
            <w:r w:rsidRPr="00BD7CEA">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BD7CEA" w:rsidRDefault="001A63C6" w:rsidP="00E215F4">
            <w:pPr>
              <w:pStyle w:val="TableText"/>
              <w:widowControl w:val="0"/>
              <w:spacing w:beforeLines="20" w:before="48" w:afterLines="20" w:after="48"/>
              <w:rPr>
                <w:rFonts w:ascii="Tahoma" w:hAnsi="Tahoma" w:cs="Tahoma"/>
                <w:sz w:val="13"/>
              </w:rPr>
            </w:pPr>
            <w:r w:rsidRPr="00BD7CEA">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BD7CEA" w:rsidRDefault="001A63C6" w:rsidP="00E215F4">
            <w:pPr>
              <w:pStyle w:val="TableText"/>
              <w:widowControl w:val="0"/>
              <w:spacing w:beforeLines="20" w:before="48" w:afterLines="20" w:after="48"/>
              <w:rPr>
                <w:rFonts w:ascii="Tahoma" w:hAnsi="Tahoma" w:cs="Tahoma"/>
                <w:sz w:val="13"/>
              </w:rPr>
            </w:pPr>
            <w:r w:rsidRPr="00BD7CEA">
              <w:rPr>
                <w:rFonts w:ascii="Tahoma" w:hAnsi="Tahoma" w:cs="Tahoma"/>
                <w:sz w:val="13"/>
              </w:rPr>
              <w:t>1</w:t>
            </w:r>
          </w:p>
        </w:tc>
        <w:tc>
          <w:tcPr>
            <w:tcW w:w="450" w:type="dxa"/>
            <w:tcBorders>
              <w:bottom w:val="single" w:sz="4" w:space="0" w:color="auto"/>
            </w:tcBorders>
            <w:shd w:val="clear" w:color="auto" w:fill="FABF8F"/>
            <w:vAlign w:val="center"/>
          </w:tcPr>
          <w:p w:rsidR="001A63C6" w:rsidRPr="00BD7CEA" w:rsidRDefault="001A63C6" w:rsidP="00E215F4">
            <w:pPr>
              <w:pStyle w:val="TableText"/>
              <w:widowControl w:val="0"/>
              <w:spacing w:beforeLines="20" w:before="48" w:afterLines="20" w:after="48"/>
              <w:rPr>
                <w:rFonts w:ascii="Tahoma" w:hAnsi="Tahoma" w:cs="Tahoma"/>
                <w:sz w:val="13"/>
              </w:rPr>
            </w:pPr>
            <w:r w:rsidRPr="00BD7CEA">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BD7CEA" w:rsidRDefault="001A63C6" w:rsidP="00E215F4">
            <w:pPr>
              <w:pStyle w:val="TableText"/>
              <w:widowControl w:val="0"/>
              <w:spacing w:beforeLines="20" w:before="48" w:afterLines="20" w:after="48"/>
              <w:rPr>
                <w:rFonts w:ascii="Tahoma" w:hAnsi="Tahoma" w:cs="Tahoma"/>
                <w:sz w:val="13"/>
              </w:rPr>
            </w:pPr>
            <w:r w:rsidRPr="00BD7CEA">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BD7CEA" w:rsidRDefault="001A63C6" w:rsidP="00E215F4">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E215F4">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E215F4">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tcPr>
          <w:p w:rsidR="001A63C6" w:rsidRPr="00BD7CEA" w:rsidRDefault="001A63C6" w:rsidP="00E215F4">
            <w:pPr>
              <w:pStyle w:val="TableText"/>
              <w:widowControl w:val="0"/>
              <w:spacing w:beforeLines="20" w:before="48" w:afterLines="20" w:after="48"/>
              <w:rPr>
                <w:rFonts w:ascii="Tahoma" w:hAnsi="Tahoma" w:cs="Tahoma"/>
                <w:sz w:val="13"/>
              </w:rPr>
            </w:pPr>
            <w:r w:rsidRPr="00BD7CEA">
              <w:rPr>
                <w:rFonts w:ascii="Tahoma" w:hAnsi="Tahoma" w:cs="Tahoma"/>
                <w:sz w:val="13"/>
              </w:rPr>
              <w:t>AO, ST</w:t>
            </w:r>
          </w:p>
        </w:tc>
        <w:tc>
          <w:tcPr>
            <w:tcW w:w="540" w:type="dxa"/>
            <w:tcBorders>
              <w:bottom w:val="single" w:sz="4" w:space="0" w:color="auto"/>
            </w:tcBorders>
            <w:shd w:val="clear" w:color="auto" w:fill="FABF8F"/>
            <w:vAlign w:val="center"/>
          </w:tcPr>
          <w:p w:rsidR="001A63C6" w:rsidRPr="00BD7CEA" w:rsidRDefault="001A63C6" w:rsidP="00E215F4">
            <w:pPr>
              <w:pStyle w:val="TableText"/>
              <w:widowControl w:val="0"/>
              <w:spacing w:beforeLines="20" w:before="48" w:afterLines="20" w:after="48"/>
              <w:rPr>
                <w:rFonts w:ascii="Tahoma" w:hAnsi="Tahoma" w:cs="Tahoma"/>
                <w:sz w:val="13"/>
              </w:rPr>
            </w:pPr>
          </w:p>
        </w:tc>
      </w:tr>
      <w:tr w:rsidR="001A63C6" w:rsidRPr="00BD7CEA" w:rsidTr="007E466C">
        <w:trPr>
          <w:trHeight w:val="145"/>
        </w:trPr>
        <w:tc>
          <w:tcPr>
            <w:tcW w:w="2734" w:type="dxa"/>
            <w:gridSpan w:val="2"/>
            <w:tcBorders>
              <w:bottom w:val="single" w:sz="4" w:space="0" w:color="auto"/>
            </w:tcBorders>
            <w:shd w:val="clear" w:color="auto" w:fill="auto"/>
            <w:vAlign w:val="center"/>
          </w:tcPr>
          <w:p w:rsidR="001A63C6" w:rsidRPr="007B74B7" w:rsidRDefault="001A63C6" w:rsidP="00E215F4">
            <w:pPr>
              <w:pStyle w:val="ProductNames"/>
              <w:spacing w:beforeLines="20" w:before="48" w:afterLines="20" w:after="48"/>
              <w:rPr>
                <w:rFonts w:ascii="Tahoma" w:hAnsi="Tahoma" w:cs="Tahoma"/>
                <w:sz w:val="14"/>
                <w:lang w:val="it-IT"/>
              </w:rPr>
            </w:pPr>
            <w:bookmarkStart w:id="389" w:name="_Toc336338045"/>
            <w:bookmarkStart w:id="390" w:name="_Toc353375833"/>
            <w:r w:rsidRPr="007B74B7">
              <w:rPr>
                <w:rFonts w:ascii="Tahoma" w:hAnsi="Tahoma" w:cs="Tahoma"/>
                <w:sz w:val="14"/>
                <w:lang w:val="it-IT"/>
              </w:rPr>
              <w:t xml:space="preserve">1 Licenza per Processore per </w:t>
            </w:r>
            <w:r w:rsidR="00872F47" w:rsidRPr="007B74B7">
              <w:rPr>
                <w:rFonts w:ascii="Tahoma" w:hAnsi="Tahoma" w:cs="Tahoma"/>
                <w:sz w:val="14"/>
                <w:lang w:val="it-IT"/>
              </w:rPr>
              <w:br/>
            </w:r>
            <w:r w:rsidRPr="007B74B7">
              <w:rPr>
                <w:rFonts w:ascii="Tahoma" w:hAnsi="Tahoma" w:cs="Tahoma"/>
                <w:sz w:val="14"/>
                <w:lang w:val="it-IT"/>
              </w:rPr>
              <w:t>SQL Server</w:t>
            </w:r>
            <w:r w:rsidR="00700C4B" w:rsidRPr="007B74B7">
              <w:rPr>
                <w:rFonts w:ascii="Tahoma" w:eastAsia="Times New Roman" w:hAnsi="Tahoma" w:cs="Tahoma"/>
                <w:color w:val="000000"/>
                <w:sz w:val="18"/>
                <w:szCs w:val="18"/>
                <w:vertAlign w:val="superscript"/>
                <w:lang w:val="it-IT"/>
              </w:rPr>
              <w:t>®</w:t>
            </w:r>
            <w:r w:rsidRPr="007B74B7">
              <w:rPr>
                <w:rFonts w:ascii="Tahoma" w:hAnsi="Tahoma" w:cs="Tahoma"/>
                <w:sz w:val="14"/>
                <w:lang w:val="it-IT"/>
              </w:rPr>
              <w:t xml:space="preserve"> 2008 R2 Datacenter</w:t>
            </w:r>
            <w:bookmarkEnd w:id="389"/>
            <w:bookmarkEnd w:id="390"/>
          </w:p>
        </w:tc>
        <w:tc>
          <w:tcPr>
            <w:tcW w:w="450" w:type="dxa"/>
            <w:tcBorders>
              <w:bottom w:val="single" w:sz="4" w:space="0" w:color="auto"/>
            </w:tcBorders>
            <w:shd w:val="clear" w:color="auto" w:fill="auto"/>
            <w:vAlign w:val="center"/>
          </w:tcPr>
          <w:p w:rsidR="001A63C6" w:rsidRPr="00BD7CEA" w:rsidRDefault="006E5080" w:rsidP="002E59B1">
            <w:pPr>
              <w:pStyle w:val="TableText"/>
              <w:widowControl w:val="0"/>
              <w:rPr>
                <w:b/>
                <w:color w:val="0000FF"/>
                <w:sz w:val="13"/>
                <w:szCs w:val="13"/>
                <w:u w:val="single"/>
              </w:rPr>
            </w:pPr>
            <w:hyperlink w:anchor="_74_SQL_Server®" w:history="1">
              <w:r w:rsidR="00955428" w:rsidRPr="00BD7CEA">
                <w:rPr>
                  <w:rStyle w:val="Hyperlink"/>
                  <w:b/>
                  <w:sz w:val="13"/>
                  <w:szCs w:val="13"/>
                </w:rPr>
                <w:t>74</w:t>
              </w:r>
            </w:hyperlink>
          </w:p>
        </w:tc>
        <w:tc>
          <w:tcPr>
            <w:tcW w:w="450" w:type="dxa"/>
            <w:tcBorders>
              <w:bottom w:val="single" w:sz="4" w:space="0" w:color="auto"/>
            </w:tcBorders>
            <w:shd w:val="clear" w:color="auto" w:fill="auto"/>
          </w:tcPr>
          <w:p w:rsidR="001A63C6" w:rsidRPr="00BD7CEA"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BD7CEA"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r>
      <w:tr w:rsidR="00B33D0E" w:rsidRPr="00BD7CEA" w:rsidTr="006B1F3F">
        <w:trPr>
          <w:trHeight w:val="145"/>
        </w:trPr>
        <w:tc>
          <w:tcPr>
            <w:tcW w:w="2734" w:type="dxa"/>
            <w:gridSpan w:val="2"/>
            <w:tcBorders>
              <w:bottom w:val="single" w:sz="4" w:space="0" w:color="auto"/>
            </w:tcBorders>
            <w:shd w:val="clear" w:color="auto" w:fill="FABF8F"/>
            <w:vAlign w:val="center"/>
          </w:tcPr>
          <w:p w:rsidR="001A63C6" w:rsidRPr="00BD7CEA" w:rsidRDefault="001A63C6" w:rsidP="00E215F4">
            <w:pPr>
              <w:pStyle w:val="ProductNames"/>
              <w:spacing w:beforeLines="20" w:before="48" w:afterLines="20" w:after="48"/>
              <w:rPr>
                <w:rFonts w:ascii="Tahoma" w:hAnsi="Tahoma" w:cs="Tahoma"/>
                <w:sz w:val="14"/>
              </w:rPr>
            </w:pPr>
            <w:bookmarkStart w:id="391" w:name="_Toc336338048"/>
            <w:bookmarkStart w:id="392" w:name="_Toc353375834"/>
            <w:r w:rsidRPr="00BD7CEA">
              <w:rPr>
                <w:rFonts w:ascii="Tahoma" w:hAnsi="Tahoma" w:cs="Tahoma"/>
                <w:sz w:val="14"/>
              </w:rPr>
              <w:t>SQL Server</w:t>
            </w:r>
            <w:r w:rsidR="00700C4B" w:rsidRPr="00BD7CEA">
              <w:rPr>
                <w:rFonts w:ascii="Tahoma" w:eastAsia="Times New Roman" w:hAnsi="Tahoma" w:cs="Tahoma"/>
                <w:color w:val="000000"/>
                <w:sz w:val="18"/>
                <w:szCs w:val="18"/>
                <w:vertAlign w:val="superscript"/>
              </w:rPr>
              <w:t>®</w:t>
            </w:r>
            <w:r w:rsidRPr="00BD7CEA">
              <w:rPr>
                <w:rFonts w:ascii="Tahoma" w:hAnsi="Tahoma" w:cs="Tahoma"/>
                <w:sz w:val="14"/>
              </w:rPr>
              <w:t xml:space="preserve"> 2008 R2 Small Business</w:t>
            </w:r>
            <w:bookmarkEnd w:id="391"/>
            <w:bookmarkEnd w:id="392"/>
          </w:p>
        </w:tc>
        <w:tc>
          <w:tcPr>
            <w:tcW w:w="450" w:type="dxa"/>
            <w:tcBorders>
              <w:bottom w:val="single" w:sz="4" w:space="0" w:color="auto"/>
            </w:tcBorders>
            <w:shd w:val="clear" w:color="auto" w:fill="FABF8F"/>
            <w:vAlign w:val="center"/>
          </w:tcPr>
          <w:p w:rsidR="001A63C6" w:rsidRPr="00BD7CEA" w:rsidRDefault="006E5080" w:rsidP="002E59B1">
            <w:pPr>
              <w:pStyle w:val="TableText"/>
              <w:widowControl w:val="0"/>
              <w:rPr>
                <w:rStyle w:val="EndnoteReference"/>
                <w:rFonts w:cs="Tahoma"/>
                <w:b w:val="0"/>
                <w:color w:val="000000"/>
                <w:sz w:val="13"/>
                <w:szCs w:val="13"/>
                <w:u w:val="single"/>
              </w:rPr>
            </w:pPr>
            <w:hyperlink w:anchor="_75_SQL_Server®" w:history="1">
              <w:r w:rsidR="00955428" w:rsidRPr="00BD7CEA">
                <w:rPr>
                  <w:rStyle w:val="Hyperlink"/>
                  <w:b/>
                  <w:sz w:val="13"/>
                  <w:szCs w:val="13"/>
                </w:rPr>
                <w:t>75</w:t>
              </w:r>
            </w:hyperlink>
          </w:p>
        </w:tc>
        <w:tc>
          <w:tcPr>
            <w:tcW w:w="450" w:type="dxa"/>
            <w:tcBorders>
              <w:bottom w:val="single" w:sz="4" w:space="0" w:color="auto"/>
            </w:tcBorders>
            <w:shd w:val="clear" w:color="auto" w:fill="FABF8F"/>
          </w:tcPr>
          <w:p w:rsidR="001A63C6" w:rsidRPr="00BD7CEA" w:rsidRDefault="001A63C6" w:rsidP="001A63C6">
            <w:pPr>
              <w:pStyle w:val="TableText"/>
              <w:widowControl w:val="0"/>
              <w:spacing w:before="80"/>
              <w:rPr>
                <w:rFonts w:ascii="Tahoma" w:hAnsi="Tahoma" w:cs="Tahoma"/>
                <w:sz w:val="13"/>
              </w:rPr>
            </w:pPr>
            <w:r w:rsidRPr="00BD7CEA">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D7CEA"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r>
      <w:tr w:rsidR="001A63C6" w:rsidRPr="00BD7CEA" w:rsidTr="007E466C">
        <w:trPr>
          <w:trHeight w:val="145"/>
        </w:trPr>
        <w:tc>
          <w:tcPr>
            <w:tcW w:w="2734" w:type="dxa"/>
            <w:gridSpan w:val="2"/>
            <w:tcBorders>
              <w:bottom w:val="single" w:sz="4" w:space="0" w:color="auto"/>
            </w:tcBorders>
            <w:shd w:val="clear" w:color="auto" w:fill="auto"/>
            <w:vAlign w:val="center"/>
          </w:tcPr>
          <w:p w:rsidR="001A63C6" w:rsidRPr="00BD7CEA" w:rsidRDefault="001A63C6" w:rsidP="00E215F4">
            <w:pPr>
              <w:pStyle w:val="ProductNames"/>
              <w:spacing w:beforeLines="20" w:before="48" w:afterLines="20" w:after="48"/>
              <w:rPr>
                <w:rFonts w:ascii="Tahoma" w:hAnsi="Tahoma" w:cs="Tahoma"/>
                <w:sz w:val="14"/>
              </w:rPr>
            </w:pPr>
            <w:bookmarkStart w:id="393" w:name="_Toc336338049"/>
            <w:bookmarkStart w:id="394" w:name="_Toc353375835"/>
            <w:r w:rsidRPr="00BD7CEA">
              <w:rPr>
                <w:rFonts w:ascii="Tahoma" w:hAnsi="Tahoma" w:cs="Tahoma"/>
                <w:sz w:val="14"/>
              </w:rPr>
              <w:t>Licenza CAL per SQL Server</w:t>
            </w:r>
            <w:r w:rsidR="00700C4B" w:rsidRPr="00BD7CEA">
              <w:rPr>
                <w:rFonts w:ascii="Tahoma" w:eastAsia="Times New Roman" w:hAnsi="Tahoma" w:cs="Tahoma"/>
                <w:color w:val="000000"/>
                <w:sz w:val="18"/>
                <w:szCs w:val="18"/>
                <w:vertAlign w:val="superscript"/>
              </w:rPr>
              <w:t>®</w:t>
            </w:r>
            <w:r w:rsidRPr="00BD7CEA">
              <w:rPr>
                <w:rFonts w:ascii="Tahoma" w:hAnsi="Tahoma" w:cs="Tahoma"/>
                <w:sz w:val="14"/>
              </w:rPr>
              <w:t xml:space="preserve"> 2008 R2 Small Business</w:t>
            </w:r>
            <w:bookmarkEnd w:id="393"/>
            <w:bookmarkEnd w:id="394"/>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auto"/>
          </w:tcPr>
          <w:p w:rsidR="001A63C6" w:rsidRPr="00BD7CEA" w:rsidRDefault="001A63C6" w:rsidP="001A63C6">
            <w:pPr>
              <w:pStyle w:val="TableText"/>
              <w:widowControl w:val="0"/>
              <w:spacing w:before="80"/>
              <w:rPr>
                <w:rFonts w:ascii="Tahoma" w:hAnsi="Tahoma" w:cs="Tahoma"/>
                <w:sz w:val="13"/>
              </w:rPr>
            </w:pPr>
            <w:r w:rsidRPr="00BD7CEA">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BD7CEA"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r>
      <w:tr w:rsidR="00B33D0E" w:rsidRPr="00BD7CEA" w:rsidTr="006B1F3F">
        <w:trPr>
          <w:trHeight w:val="145"/>
        </w:trPr>
        <w:tc>
          <w:tcPr>
            <w:tcW w:w="2734" w:type="dxa"/>
            <w:gridSpan w:val="2"/>
            <w:tcBorders>
              <w:bottom w:val="single" w:sz="4" w:space="0" w:color="auto"/>
            </w:tcBorders>
            <w:shd w:val="clear" w:color="auto" w:fill="FABF8F"/>
            <w:vAlign w:val="center"/>
          </w:tcPr>
          <w:p w:rsidR="001A63C6" w:rsidRPr="007B74B7" w:rsidRDefault="001A63C6" w:rsidP="00E215F4">
            <w:pPr>
              <w:pStyle w:val="ProductNames"/>
              <w:spacing w:beforeLines="20" w:before="48" w:afterLines="20" w:after="48"/>
              <w:rPr>
                <w:rFonts w:ascii="Tahoma" w:hAnsi="Tahoma" w:cs="Tahoma"/>
                <w:sz w:val="14"/>
                <w:lang w:val="it-IT"/>
              </w:rPr>
            </w:pPr>
            <w:bookmarkStart w:id="395" w:name="_Toc336338050"/>
            <w:bookmarkStart w:id="396" w:name="_Toc353375836"/>
            <w:r w:rsidRPr="007B74B7">
              <w:rPr>
                <w:rFonts w:ascii="Tahoma" w:hAnsi="Tahoma" w:cs="Tahoma"/>
                <w:sz w:val="14"/>
                <w:lang w:val="it-IT"/>
              </w:rPr>
              <w:t>Licenza Per Processore per</w:t>
            </w:r>
            <w:r w:rsidR="00872F47" w:rsidRPr="007B74B7">
              <w:rPr>
                <w:rFonts w:ascii="Tahoma" w:hAnsi="Tahoma" w:cs="Tahoma"/>
                <w:sz w:val="14"/>
                <w:lang w:val="it-IT"/>
              </w:rPr>
              <w:br/>
            </w:r>
            <w:r w:rsidRPr="007B74B7">
              <w:rPr>
                <w:rFonts w:ascii="Tahoma" w:hAnsi="Tahoma" w:cs="Tahoma"/>
                <w:sz w:val="14"/>
                <w:lang w:val="it-IT"/>
              </w:rPr>
              <w:t>SQL Server</w:t>
            </w:r>
            <w:r w:rsidR="00700C4B" w:rsidRPr="007B74B7">
              <w:rPr>
                <w:rFonts w:ascii="Tahoma" w:eastAsia="Times New Roman" w:hAnsi="Tahoma" w:cs="Tahoma"/>
                <w:color w:val="000000"/>
                <w:sz w:val="18"/>
                <w:szCs w:val="18"/>
                <w:vertAlign w:val="superscript"/>
                <w:lang w:val="it-IT"/>
              </w:rPr>
              <w:t>®</w:t>
            </w:r>
            <w:r w:rsidRPr="007B74B7">
              <w:rPr>
                <w:rFonts w:ascii="Tahoma" w:hAnsi="Tahoma" w:cs="Tahoma"/>
                <w:sz w:val="14"/>
                <w:lang w:val="it-IT"/>
              </w:rPr>
              <w:t xml:space="preserve"> 2008 R2 Web</w:t>
            </w:r>
            <w:bookmarkEnd w:id="395"/>
            <w:bookmarkEnd w:id="396"/>
          </w:p>
        </w:tc>
        <w:tc>
          <w:tcPr>
            <w:tcW w:w="450" w:type="dxa"/>
            <w:tcBorders>
              <w:bottom w:val="single" w:sz="4" w:space="0" w:color="auto"/>
            </w:tcBorders>
            <w:shd w:val="clear" w:color="auto" w:fill="FABF8F"/>
            <w:vAlign w:val="center"/>
          </w:tcPr>
          <w:p w:rsidR="001A63C6" w:rsidRPr="00BD7CEA" w:rsidRDefault="006E5080" w:rsidP="002E59B1">
            <w:pPr>
              <w:pStyle w:val="TableText"/>
              <w:widowControl w:val="0"/>
              <w:rPr>
                <w:rStyle w:val="EndnoteReference"/>
                <w:rFonts w:cs="Tahoma"/>
                <w:b w:val="0"/>
                <w:color w:val="000000"/>
                <w:sz w:val="13"/>
                <w:szCs w:val="13"/>
                <w:u w:val="single"/>
              </w:rPr>
            </w:pPr>
            <w:hyperlink w:anchor="_76_Processore_per" w:history="1">
              <w:r w:rsidR="00955428" w:rsidRPr="00BD7CEA">
                <w:rPr>
                  <w:rStyle w:val="Hyperlink"/>
                  <w:b/>
                  <w:sz w:val="13"/>
                  <w:szCs w:val="13"/>
                </w:rPr>
                <w:t>76</w:t>
              </w:r>
            </w:hyperlink>
            <w:hyperlink w:anchor="Srv_84SQL2008R2Webproc" w:history="1"/>
          </w:p>
        </w:tc>
        <w:tc>
          <w:tcPr>
            <w:tcW w:w="450" w:type="dxa"/>
            <w:tcBorders>
              <w:bottom w:val="single" w:sz="4" w:space="0" w:color="auto"/>
            </w:tcBorders>
            <w:shd w:val="clear" w:color="auto" w:fill="FABF8F"/>
          </w:tcPr>
          <w:p w:rsidR="001A63C6" w:rsidRPr="00BD7CEA"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D7CEA"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r>
      <w:tr w:rsidR="001A63C6" w:rsidRPr="007B74B7" w:rsidTr="007E466C">
        <w:trPr>
          <w:trHeight w:val="145"/>
        </w:trPr>
        <w:tc>
          <w:tcPr>
            <w:tcW w:w="2734" w:type="dxa"/>
            <w:gridSpan w:val="2"/>
            <w:tcBorders>
              <w:bottom w:val="single" w:sz="4" w:space="0" w:color="auto"/>
            </w:tcBorders>
            <w:shd w:val="clear" w:color="auto" w:fill="auto"/>
            <w:vAlign w:val="center"/>
          </w:tcPr>
          <w:p w:rsidR="001A63C6" w:rsidRPr="007B74B7" w:rsidRDefault="001A63C6" w:rsidP="00E215F4">
            <w:pPr>
              <w:pStyle w:val="ProductNames"/>
              <w:spacing w:beforeLines="20" w:before="48" w:afterLines="20" w:after="48"/>
              <w:rPr>
                <w:rFonts w:ascii="Tahoma" w:hAnsi="Tahoma" w:cs="Tahoma"/>
                <w:sz w:val="14"/>
                <w:lang w:val="it-IT"/>
              </w:rPr>
            </w:pPr>
            <w:bookmarkStart w:id="397" w:name="_Toc336338051"/>
            <w:bookmarkStart w:id="398" w:name="_Toc353375837"/>
            <w:r w:rsidRPr="007B74B7">
              <w:rPr>
                <w:rFonts w:ascii="Tahoma" w:hAnsi="Tahoma" w:cs="Tahoma"/>
                <w:sz w:val="14"/>
                <w:lang w:val="it-IT"/>
              </w:rPr>
              <w:t>Licenza CAL per SQL Server</w:t>
            </w:r>
            <w:r w:rsidR="00700C4B" w:rsidRPr="007B74B7">
              <w:rPr>
                <w:rFonts w:ascii="Tahoma" w:eastAsia="Times New Roman" w:hAnsi="Tahoma" w:cs="Tahoma"/>
                <w:color w:val="000000"/>
                <w:sz w:val="18"/>
                <w:szCs w:val="18"/>
                <w:vertAlign w:val="superscript"/>
                <w:lang w:val="it-IT"/>
              </w:rPr>
              <w:t>®</w:t>
            </w:r>
            <w:r w:rsidRPr="007B74B7">
              <w:rPr>
                <w:rFonts w:ascii="Tahoma" w:hAnsi="Tahoma" w:cs="Tahoma"/>
                <w:sz w:val="14"/>
                <w:lang w:val="it-IT"/>
              </w:rPr>
              <w:t xml:space="preserve"> 2008 R2 Workgroup</w:t>
            </w:r>
            <w:bookmarkEnd w:id="397"/>
            <w:bookmarkEnd w:id="398"/>
          </w:p>
        </w:tc>
        <w:tc>
          <w:tcPr>
            <w:tcW w:w="450" w:type="dxa"/>
            <w:tcBorders>
              <w:bottom w:val="single" w:sz="4" w:space="0" w:color="auto"/>
            </w:tcBorders>
            <w:shd w:val="clear" w:color="auto" w:fill="auto"/>
            <w:vAlign w:val="center"/>
          </w:tcPr>
          <w:p w:rsidR="001A63C6" w:rsidRPr="007B74B7" w:rsidRDefault="001A63C6" w:rsidP="001A63C6">
            <w:pPr>
              <w:pStyle w:val="TableText"/>
              <w:widowControl w:val="0"/>
              <w:rPr>
                <w:rStyle w:val="EndnoteReference"/>
                <w:rFonts w:cs="Tahoma"/>
                <w:color w:val="000000"/>
                <w:sz w:val="13"/>
                <w:szCs w:val="13"/>
                <w:u w:val="single"/>
                <w:lang w:val="it-IT"/>
              </w:rPr>
            </w:pPr>
          </w:p>
        </w:tc>
        <w:tc>
          <w:tcPr>
            <w:tcW w:w="450" w:type="dxa"/>
            <w:tcBorders>
              <w:bottom w:val="single" w:sz="4" w:space="0" w:color="auto"/>
            </w:tcBorders>
            <w:shd w:val="clear" w:color="auto" w:fill="auto"/>
          </w:tcPr>
          <w:p w:rsidR="001A63C6" w:rsidRPr="007B74B7" w:rsidRDefault="001A63C6" w:rsidP="001A63C6">
            <w:pPr>
              <w:pStyle w:val="TableText"/>
              <w:widowControl w:val="0"/>
              <w:spacing w:before="80"/>
              <w:rPr>
                <w:rFonts w:ascii="Tahoma" w:hAnsi="Tahoma" w:cs="Tahoma"/>
                <w:sz w:val="13"/>
                <w:lang w:val="it-IT"/>
              </w:rPr>
            </w:pPr>
          </w:p>
        </w:tc>
        <w:tc>
          <w:tcPr>
            <w:tcW w:w="360" w:type="dxa"/>
            <w:tcBorders>
              <w:bottom w:val="single" w:sz="4" w:space="0" w:color="auto"/>
              <w:right w:val="single" w:sz="18" w:space="0" w:color="auto"/>
            </w:tcBorders>
            <w:shd w:val="clear" w:color="auto" w:fill="auto"/>
            <w:vAlign w:val="center"/>
          </w:tcPr>
          <w:p w:rsidR="001A63C6" w:rsidRPr="007B74B7" w:rsidRDefault="001A63C6" w:rsidP="001A63C6">
            <w:pPr>
              <w:pStyle w:val="TableText"/>
              <w:widowControl w:val="0"/>
              <w:rPr>
                <w:rFonts w:ascii="Tahoma" w:hAnsi="Tahoma" w:cs="Tahoma"/>
                <w:sz w:val="13"/>
                <w:lang w:val="it-IT"/>
              </w:rPr>
            </w:pPr>
          </w:p>
        </w:tc>
        <w:tc>
          <w:tcPr>
            <w:tcW w:w="360" w:type="dxa"/>
            <w:tcBorders>
              <w:left w:val="single" w:sz="18" w:space="0" w:color="auto"/>
              <w:bottom w:val="single" w:sz="4" w:space="0" w:color="auto"/>
            </w:tcBorders>
            <w:shd w:val="clear" w:color="auto" w:fill="auto"/>
            <w:vAlign w:val="center"/>
          </w:tcPr>
          <w:p w:rsidR="001A63C6" w:rsidRPr="007B74B7" w:rsidRDefault="001A63C6" w:rsidP="001A63C6">
            <w:pPr>
              <w:pStyle w:val="TableText"/>
              <w:widowControl w:val="0"/>
              <w:rPr>
                <w:rFonts w:ascii="Tahoma" w:hAnsi="Tahoma" w:cs="Tahoma"/>
                <w:sz w:val="13"/>
                <w:lang w:val="it-IT"/>
              </w:rPr>
            </w:pPr>
          </w:p>
        </w:tc>
        <w:tc>
          <w:tcPr>
            <w:tcW w:w="450" w:type="dxa"/>
            <w:tcBorders>
              <w:bottom w:val="single" w:sz="4" w:space="0" w:color="auto"/>
            </w:tcBorders>
            <w:shd w:val="clear" w:color="auto" w:fill="auto"/>
            <w:vAlign w:val="center"/>
          </w:tcPr>
          <w:p w:rsidR="001A63C6" w:rsidRPr="007B74B7" w:rsidRDefault="001A63C6" w:rsidP="001A63C6">
            <w:pPr>
              <w:pStyle w:val="TableText"/>
              <w:widowControl w:val="0"/>
              <w:rPr>
                <w:rFonts w:ascii="Tahoma" w:hAnsi="Tahoma" w:cs="Tahoma"/>
                <w:sz w:val="13"/>
                <w:lang w:val="it-IT"/>
              </w:rPr>
            </w:pPr>
          </w:p>
        </w:tc>
        <w:tc>
          <w:tcPr>
            <w:tcW w:w="450" w:type="dxa"/>
            <w:tcBorders>
              <w:bottom w:val="single" w:sz="4" w:space="0" w:color="auto"/>
            </w:tcBorders>
            <w:shd w:val="clear" w:color="auto" w:fill="auto"/>
            <w:vAlign w:val="center"/>
          </w:tcPr>
          <w:p w:rsidR="001A63C6" w:rsidRPr="007B74B7" w:rsidRDefault="001A63C6" w:rsidP="001A63C6">
            <w:pPr>
              <w:pStyle w:val="TableText"/>
              <w:widowControl w:val="0"/>
              <w:rPr>
                <w:rFonts w:ascii="Tahoma" w:hAnsi="Tahoma" w:cs="Tahoma"/>
                <w:sz w:val="13"/>
                <w:lang w:val="it-IT"/>
              </w:rPr>
            </w:pPr>
          </w:p>
        </w:tc>
        <w:tc>
          <w:tcPr>
            <w:tcW w:w="450" w:type="dxa"/>
            <w:tcBorders>
              <w:bottom w:val="single" w:sz="4" w:space="0" w:color="auto"/>
            </w:tcBorders>
            <w:shd w:val="clear" w:color="auto" w:fill="auto"/>
            <w:vAlign w:val="center"/>
          </w:tcPr>
          <w:p w:rsidR="001A63C6" w:rsidRPr="007B74B7" w:rsidRDefault="001A63C6" w:rsidP="001A63C6">
            <w:pPr>
              <w:pStyle w:val="TableText"/>
              <w:widowControl w:val="0"/>
              <w:rPr>
                <w:rFonts w:ascii="Tahoma" w:hAnsi="Tahoma" w:cs="Tahoma"/>
                <w:sz w:val="13"/>
                <w:lang w:val="it-IT"/>
              </w:rPr>
            </w:pPr>
          </w:p>
        </w:tc>
        <w:tc>
          <w:tcPr>
            <w:tcW w:w="450" w:type="dxa"/>
            <w:tcBorders>
              <w:bottom w:val="single" w:sz="4" w:space="0" w:color="auto"/>
            </w:tcBorders>
            <w:shd w:val="clear" w:color="auto" w:fill="auto"/>
            <w:vAlign w:val="center"/>
          </w:tcPr>
          <w:p w:rsidR="001A63C6" w:rsidRPr="007B74B7" w:rsidRDefault="001A63C6" w:rsidP="001A63C6">
            <w:pPr>
              <w:pStyle w:val="TableText"/>
              <w:widowControl w:val="0"/>
              <w:rPr>
                <w:rFonts w:ascii="Tahoma" w:hAnsi="Tahoma" w:cs="Tahoma"/>
                <w:sz w:val="13"/>
                <w:lang w:val="it-IT"/>
              </w:rPr>
            </w:pPr>
          </w:p>
        </w:tc>
        <w:tc>
          <w:tcPr>
            <w:tcW w:w="450" w:type="dxa"/>
            <w:tcBorders>
              <w:bottom w:val="single" w:sz="4" w:space="0" w:color="auto"/>
            </w:tcBorders>
            <w:shd w:val="clear" w:color="auto" w:fill="auto"/>
            <w:vAlign w:val="center"/>
          </w:tcPr>
          <w:p w:rsidR="001A63C6" w:rsidRPr="007B74B7" w:rsidRDefault="001A63C6" w:rsidP="001A63C6">
            <w:pPr>
              <w:pStyle w:val="TableText"/>
              <w:widowControl w:val="0"/>
              <w:rPr>
                <w:rFonts w:ascii="Tahoma" w:hAnsi="Tahoma" w:cs="Tahoma"/>
                <w:sz w:val="13"/>
                <w:lang w:val="it-IT"/>
              </w:rPr>
            </w:pPr>
          </w:p>
        </w:tc>
        <w:tc>
          <w:tcPr>
            <w:tcW w:w="360" w:type="dxa"/>
            <w:tcBorders>
              <w:bottom w:val="single" w:sz="4" w:space="0" w:color="auto"/>
              <w:right w:val="single" w:sz="18" w:space="0" w:color="auto"/>
            </w:tcBorders>
            <w:shd w:val="clear" w:color="auto" w:fill="auto"/>
            <w:vAlign w:val="center"/>
          </w:tcPr>
          <w:p w:rsidR="001A63C6" w:rsidRPr="007B74B7" w:rsidRDefault="001A63C6" w:rsidP="001A63C6">
            <w:pPr>
              <w:pStyle w:val="TableText"/>
              <w:widowControl w:val="0"/>
              <w:rPr>
                <w:rFonts w:ascii="Tahoma" w:hAnsi="Tahoma" w:cs="Tahoma"/>
                <w:sz w:val="13"/>
                <w:lang w:val="it-IT"/>
              </w:rPr>
            </w:pPr>
          </w:p>
        </w:tc>
        <w:tc>
          <w:tcPr>
            <w:tcW w:w="450" w:type="dxa"/>
            <w:tcBorders>
              <w:left w:val="single" w:sz="18" w:space="0" w:color="auto"/>
              <w:bottom w:val="single" w:sz="4" w:space="0" w:color="auto"/>
            </w:tcBorders>
            <w:shd w:val="clear" w:color="auto" w:fill="auto"/>
            <w:vAlign w:val="center"/>
          </w:tcPr>
          <w:p w:rsidR="001A63C6" w:rsidRPr="007B74B7" w:rsidRDefault="001A63C6" w:rsidP="001A63C6">
            <w:pPr>
              <w:pStyle w:val="TableText"/>
              <w:widowControl w:val="0"/>
              <w:rPr>
                <w:rFonts w:ascii="Tahoma" w:hAnsi="Tahoma" w:cs="Tahoma"/>
                <w:sz w:val="13"/>
                <w:lang w:val="it-IT"/>
              </w:rPr>
            </w:pPr>
          </w:p>
        </w:tc>
        <w:tc>
          <w:tcPr>
            <w:tcW w:w="450" w:type="dxa"/>
            <w:tcBorders>
              <w:bottom w:val="single" w:sz="4" w:space="0" w:color="auto"/>
            </w:tcBorders>
            <w:shd w:val="clear" w:color="auto" w:fill="auto"/>
            <w:vAlign w:val="center"/>
          </w:tcPr>
          <w:p w:rsidR="001A63C6" w:rsidRPr="007B74B7" w:rsidRDefault="001A63C6" w:rsidP="001A63C6">
            <w:pPr>
              <w:pStyle w:val="TableText"/>
              <w:widowControl w:val="0"/>
              <w:rPr>
                <w:rFonts w:ascii="Tahoma" w:hAnsi="Tahoma" w:cs="Tahoma"/>
                <w:sz w:val="13"/>
                <w:lang w:val="it-IT"/>
              </w:rPr>
            </w:pPr>
          </w:p>
        </w:tc>
        <w:tc>
          <w:tcPr>
            <w:tcW w:w="450" w:type="dxa"/>
            <w:tcBorders>
              <w:bottom w:val="single" w:sz="4" w:space="0" w:color="auto"/>
              <w:right w:val="single" w:sz="18" w:space="0" w:color="auto"/>
            </w:tcBorders>
            <w:shd w:val="clear" w:color="auto" w:fill="auto"/>
            <w:vAlign w:val="center"/>
          </w:tcPr>
          <w:p w:rsidR="001A63C6" w:rsidRPr="007B74B7" w:rsidRDefault="001A63C6" w:rsidP="001A63C6">
            <w:pPr>
              <w:pStyle w:val="TableText"/>
              <w:widowControl w:val="0"/>
              <w:rPr>
                <w:rFonts w:ascii="Tahoma" w:hAnsi="Tahoma" w:cs="Tahoma"/>
                <w:sz w:val="13"/>
                <w:lang w:val="it-IT"/>
              </w:rPr>
            </w:pPr>
          </w:p>
        </w:tc>
        <w:tc>
          <w:tcPr>
            <w:tcW w:w="450" w:type="dxa"/>
            <w:tcBorders>
              <w:left w:val="single" w:sz="18" w:space="0" w:color="auto"/>
              <w:bottom w:val="single" w:sz="4" w:space="0" w:color="auto"/>
            </w:tcBorders>
            <w:shd w:val="clear" w:color="auto" w:fill="auto"/>
            <w:vAlign w:val="center"/>
          </w:tcPr>
          <w:p w:rsidR="001A63C6" w:rsidRPr="007B74B7" w:rsidRDefault="001A63C6" w:rsidP="001A63C6">
            <w:pPr>
              <w:pStyle w:val="TableText"/>
              <w:widowControl w:val="0"/>
              <w:rPr>
                <w:rFonts w:ascii="Tahoma" w:hAnsi="Tahoma" w:cs="Tahoma"/>
                <w:sz w:val="13"/>
                <w:lang w:val="it-IT"/>
              </w:rPr>
            </w:pPr>
          </w:p>
        </w:tc>
        <w:tc>
          <w:tcPr>
            <w:tcW w:w="450" w:type="dxa"/>
            <w:tcBorders>
              <w:bottom w:val="single" w:sz="4" w:space="0" w:color="auto"/>
              <w:right w:val="single" w:sz="18" w:space="0" w:color="auto"/>
            </w:tcBorders>
            <w:shd w:val="clear" w:color="auto" w:fill="auto"/>
            <w:vAlign w:val="center"/>
          </w:tcPr>
          <w:p w:rsidR="001A63C6" w:rsidRPr="007B74B7" w:rsidRDefault="001A63C6" w:rsidP="001A63C6">
            <w:pPr>
              <w:pStyle w:val="TableText"/>
              <w:widowControl w:val="0"/>
              <w:rPr>
                <w:rFonts w:ascii="Tahoma" w:hAnsi="Tahoma" w:cs="Tahoma"/>
                <w:sz w:val="13"/>
                <w:lang w:val="it-IT"/>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B74B7" w:rsidRDefault="001A63C6" w:rsidP="001A63C6">
            <w:pPr>
              <w:pStyle w:val="TableText"/>
              <w:widowControl w:val="0"/>
              <w:rPr>
                <w:rFonts w:ascii="Tahoma" w:hAnsi="Tahoma" w:cs="Tahoma"/>
                <w:sz w:val="13"/>
                <w:lang w:val="it-IT"/>
              </w:rPr>
            </w:pPr>
          </w:p>
        </w:tc>
        <w:tc>
          <w:tcPr>
            <w:tcW w:w="450" w:type="dxa"/>
            <w:tcBorders>
              <w:bottom w:val="single" w:sz="4" w:space="0" w:color="auto"/>
            </w:tcBorders>
            <w:shd w:val="clear" w:color="auto" w:fill="auto"/>
          </w:tcPr>
          <w:p w:rsidR="001A63C6" w:rsidRPr="007B74B7" w:rsidRDefault="001A63C6" w:rsidP="001A63C6">
            <w:pPr>
              <w:pStyle w:val="TableText"/>
              <w:widowControl w:val="0"/>
              <w:rPr>
                <w:rFonts w:ascii="Tahoma" w:hAnsi="Tahoma" w:cs="Tahoma"/>
                <w:sz w:val="13"/>
                <w:lang w:val="it-IT"/>
              </w:rPr>
            </w:pPr>
          </w:p>
        </w:tc>
        <w:tc>
          <w:tcPr>
            <w:tcW w:w="540" w:type="dxa"/>
            <w:tcBorders>
              <w:bottom w:val="single" w:sz="4" w:space="0" w:color="auto"/>
            </w:tcBorders>
            <w:shd w:val="clear" w:color="auto" w:fill="auto"/>
            <w:vAlign w:val="center"/>
          </w:tcPr>
          <w:p w:rsidR="001A63C6" w:rsidRPr="007B74B7" w:rsidRDefault="001A63C6" w:rsidP="001A63C6">
            <w:pPr>
              <w:pStyle w:val="TableText"/>
              <w:widowControl w:val="0"/>
              <w:rPr>
                <w:rFonts w:ascii="Tahoma" w:hAnsi="Tahoma" w:cs="Tahoma"/>
                <w:sz w:val="13"/>
                <w:lang w:val="it-IT"/>
              </w:rPr>
            </w:pPr>
          </w:p>
        </w:tc>
      </w:tr>
      <w:tr w:rsidR="00B33D0E" w:rsidRPr="00BD7CEA" w:rsidTr="006B1F3F">
        <w:trPr>
          <w:trHeight w:val="145"/>
        </w:trPr>
        <w:tc>
          <w:tcPr>
            <w:tcW w:w="2734" w:type="dxa"/>
            <w:gridSpan w:val="2"/>
            <w:tcBorders>
              <w:bottom w:val="single" w:sz="4" w:space="0" w:color="auto"/>
            </w:tcBorders>
            <w:shd w:val="clear" w:color="auto" w:fill="FABF8F"/>
            <w:vAlign w:val="center"/>
          </w:tcPr>
          <w:p w:rsidR="001A63C6" w:rsidRPr="00BD7CEA" w:rsidRDefault="001A63C6" w:rsidP="00E215F4">
            <w:pPr>
              <w:pStyle w:val="ProductNames"/>
              <w:spacing w:beforeLines="20" w:before="48" w:afterLines="20" w:after="48"/>
              <w:rPr>
                <w:rFonts w:ascii="Tahoma" w:hAnsi="Tahoma" w:cs="Tahoma"/>
                <w:sz w:val="14"/>
              </w:rPr>
            </w:pPr>
            <w:bookmarkStart w:id="399" w:name="_Toc336338053"/>
            <w:bookmarkStart w:id="400" w:name="_Toc353375838"/>
            <w:r w:rsidRPr="00BD7CEA">
              <w:rPr>
                <w:rFonts w:ascii="Tahoma" w:hAnsi="Tahoma" w:cs="Tahoma"/>
                <w:sz w:val="14"/>
                <w:szCs w:val="18"/>
              </w:rPr>
              <w:t>SQL Server</w:t>
            </w:r>
            <w:r w:rsidR="00700C4B" w:rsidRPr="00BD7CEA">
              <w:rPr>
                <w:rFonts w:ascii="Tahoma" w:eastAsia="Times New Roman" w:hAnsi="Tahoma" w:cs="Tahoma"/>
                <w:color w:val="000000"/>
                <w:sz w:val="14"/>
                <w:szCs w:val="18"/>
                <w:vertAlign w:val="superscript"/>
              </w:rPr>
              <w:t>®</w:t>
            </w:r>
            <w:r w:rsidRPr="00BD7CEA">
              <w:rPr>
                <w:rFonts w:ascii="Tahoma" w:hAnsi="Tahoma" w:cs="Tahoma"/>
                <w:sz w:val="14"/>
                <w:szCs w:val="18"/>
              </w:rPr>
              <w:t xml:space="preserve"> 2008 R2 Workgroup </w:t>
            </w:r>
            <w:r w:rsidR="00872F47" w:rsidRPr="00BD7CEA">
              <w:rPr>
                <w:rFonts w:ascii="Tahoma" w:hAnsi="Tahoma" w:cs="Tahoma"/>
                <w:sz w:val="14"/>
                <w:szCs w:val="18"/>
              </w:rPr>
              <w:br/>
            </w:r>
            <w:r w:rsidRPr="00BD7CEA">
              <w:rPr>
                <w:rFonts w:ascii="Tahoma" w:hAnsi="Tahoma" w:cs="Tahoma"/>
                <w:sz w:val="14"/>
                <w:szCs w:val="18"/>
              </w:rPr>
              <w:t>(5 Add On Client)</w:t>
            </w:r>
            <w:bookmarkEnd w:id="399"/>
            <w:bookmarkEnd w:id="400"/>
          </w:p>
        </w:tc>
        <w:tc>
          <w:tcPr>
            <w:tcW w:w="450" w:type="dxa"/>
            <w:tcBorders>
              <w:bottom w:val="single" w:sz="4" w:space="0" w:color="auto"/>
            </w:tcBorders>
            <w:shd w:val="clear" w:color="auto" w:fill="FABF8F"/>
            <w:vAlign w:val="center"/>
          </w:tcPr>
          <w:p w:rsidR="001A63C6" w:rsidRPr="00BD7CEA" w:rsidRDefault="006E5080" w:rsidP="002E59B1">
            <w:pPr>
              <w:pStyle w:val="TableText"/>
              <w:widowControl w:val="0"/>
              <w:rPr>
                <w:rStyle w:val="EndnoteReference"/>
                <w:b w:val="0"/>
                <w:color w:val="000000"/>
                <w:sz w:val="13"/>
                <w:szCs w:val="13"/>
                <w:u w:val="single"/>
              </w:rPr>
            </w:pPr>
            <w:hyperlink w:anchor="_77_SQL_Server®" w:history="1">
              <w:r w:rsidR="00955428" w:rsidRPr="00BD7CEA">
                <w:rPr>
                  <w:rStyle w:val="Hyperlink"/>
                  <w:b/>
                  <w:sz w:val="13"/>
                  <w:szCs w:val="13"/>
                </w:rPr>
                <w:t>77</w:t>
              </w:r>
            </w:hyperlink>
          </w:p>
        </w:tc>
        <w:tc>
          <w:tcPr>
            <w:tcW w:w="450" w:type="dxa"/>
            <w:tcBorders>
              <w:bottom w:val="single" w:sz="4" w:space="0" w:color="auto"/>
            </w:tcBorders>
            <w:shd w:val="clear" w:color="auto" w:fill="FABF8F"/>
          </w:tcPr>
          <w:p w:rsidR="001A63C6" w:rsidRPr="00BD7CEA"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D7CEA"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r>
      <w:tr w:rsidR="001A63C6" w:rsidRPr="00BD7CEA" w:rsidTr="007E466C">
        <w:trPr>
          <w:trHeight w:val="145"/>
        </w:trPr>
        <w:tc>
          <w:tcPr>
            <w:tcW w:w="2734" w:type="dxa"/>
            <w:gridSpan w:val="2"/>
            <w:tcBorders>
              <w:bottom w:val="single" w:sz="4" w:space="0" w:color="auto"/>
            </w:tcBorders>
            <w:shd w:val="clear" w:color="auto" w:fill="auto"/>
            <w:vAlign w:val="center"/>
          </w:tcPr>
          <w:p w:rsidR="001A63C6" w:rsidRPr="007B74B7" w:rsidRDefault="001A63C6" w:rsidP="00E215F4">
            <w:pPr>
              <w:pStyle w:val="ProductNames"/>
              <w:spacing w:beforeLines="20" w:before="48" w:afterLines="20" w:after="48"/>
              <w:rPr>
                <w:rFonts w:ascii="Tahoma" w:hAnsi="Tahoma" w:cs="Tahoma"/>
                <w:sz w:val="14"/>
                <w:szCs w:val="18"/>
                <w:lang w:val="it-IT"/>
              </w:rPr>
            </w:pPr>
            <w:bookmarkStart w:id="401" w:name="_Toc336338052"/>
            <w:bookmarkStart w:id="402" w:name="_Toc353375839"/>
            <w:r w:rsidRPr="007B74B7">
              <w:rPr>
                <w:rFonts w:ascii="Tahoma" w:hAnsi="Tahoma" w:cs="Tahoma"/>
                <w:sz w:val="14"/>
                <w:lang w:val="it-IT"/>
              </w:rPr>
              <w:t xml:space="preserve">1 Licenza per Processore per </w:t>
            </w:r>
            <w:r w:rsidR="00872F47" w:rsidRPr="007B74B7">
              <w:rPr>
                <w:rFonts w:ascii="Tahoma" w:hAnsi="Tahoma" w:cs="Tahoma"/>
                <w:sz w:val="14"/>
                <w:lang w:val="it-IT"/>
              </w:rPr>
              <w:br/>
            </w:r>
            <w:r w:rsidRPr="007B74B7">
              <w:rPr>
                <w:rFonts w:ascii="Tahoma" w:hAnsi="Tahoma" w:cs="Tahoma"/>
                <w:sz w:val="14"/>
                <w:lang w:val="it-IT"/>
              </w:rPr>
              <w:t>SQL Server</w:t>
            </w:r>
            <w:r w:rsidR="00700C4B" w:rsidRPr="007B74B7">
              <w:rPr>
                <w:rFonts w:ascii="Tahoma" w:eastAsia="Times New Roman" w:hAnsi="Tahoma" w:cs="Tahoma"/>
                <w:color w:val="000000"/>
                <w:sz w:val="18"/>
                <w:szCs w:val="18"/>
                <w:vertAlign w:val="superscript"/>
                <w:lang w:val="it-IT"/>
              </w:rPr>
              <w:t>®</w:t>
            </w:r>
            <w:r w:rsidRPr="007B74B7">
              <w:rPr>
                <w:rFonts w:ascii="Tahoma" w:hAnsi="Tahoma" w:cs="Tahoma"/>
                <w:sz w:val="14"/>
                <w:lang w:val="it-IT"/>
              </w:rPr>
              <w:t xml:space="preserve"> 2008 R2 Workgroup</w:t>
            </w:r>
            <w:bookmarkEnd w:id="401"/>
            <w:bookmarkEnd w:id="402"/>
          </w:p>
        </w:tc>
        <w:tc>
          <w:tcPr>
            <w:tcW w:w="450" w:type="dxa"/>
            <w:tcBorders>
              <w:bottom w:val="single" w:sz="4" w:space="0" w:color="auto"/>
            </w:tcBorders>
            <w:shd w:val="clear" w:color="auto" w:fill="auto"/>
            <w:vAlign w:val="center"/>
          </w:tcPr>
          <w:p w:rsidR="001A63C6" w:rsidRPr="00BD7CEA" w:rsidRDefault="006E5080" w:rsidP="002E59B1">
            <w:pPr>
              <w:pStyle w:val="TableText"/>
              <w:widowControl w:val="0"/>
              <w:rPr>
                <w:rStyle w:val="EndnoteReference"/>
                <w:b w:val="0"/>
                <w:color w:val="000000"/>
                <w:sz w:val="13"/>
                <w:szCs w:val="13"/>
              </w:rPr>
            </w:pPr>
            <w:hyperlink w:anchor="_78_Processore_per" w:history="1">
              <w:r w:rsidR="00955428" w:rsidRPr="00BD7CEA">
                <w:rPr>
                  <w:rStyle w:val="Hyperlink"/>
                  <w:b/>
                  <w:sz w:val="13"/>
                  <w:szCs w:val="13"/>
                </w:rPr>
                <w:t>78</w:t>
              </w:r>
            </w:hyperlink>
          </w:p>
        </w:tc>
        <w:tc>
          <w:tcPr>
            <w:tcW w:w="450" w:type="dxa"/>
            <w:tcBorders>
              <w:bottom w:val="single" w:sz="4" w:space="0" w:color="auto"/>
            </w:tcBorders>
            <w:shd w:val="clear" w:color="auto" w:fill="auto"/>
          </w:tcPr>
          <w:p w:rsidR="001A63C6" w:rsidRPr="00BD7CEA"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BD7CEA"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r>
      <w:tr w:rsidR="00B33D0E" w:rsidRPr="00BD7CEA" w:rsidTr="006B1F3F">
        <w:trPr>
          <w:trHeight w:val="145"/>
        </w:trPr>
        <w:tc>
          <w:tcPr>
            <w:tcW w:w="2734" w:type="dxa"/>
            <w:gridSpan w:val="2"/>
            <w:tcBorders>
              <w:bottom w:val="single" w:sz="4" w:space="0" w:color="auto"/>
            </w:tcBorders>
            <w:shd w:val="clear" w:color="auto" w:fill="FABF8F"/>
            <w:vAlign w:val="center"/>
          </w:tcPr>
          <w:p w:rsidR="001A63C6" w:rsidRPr="00BD7CEA" w:rsidRDefault="001A63C6" w:rsidP="00E215F4">
            <w:pPr>
              <w:pStyle w:val="ProductNames"/>
              <w:spacing w:beforeLines="20" w:before="48" w:afterLines="20" w:after="48"/>
              <w:rPr>
                <w:rFonts w:ascii="Tahoma" w:hAnsi="Tahoma" w:cs="Tahoma"/>
                <w:sz w:val="14"/>
              </w:rPr>
            </w:pPr>
            <w:bookmarkStart w:id="403" w:name="_Toc336338054"/>
            <w:bookmarkStart w:id="404" w:name="_Toc353375840"/>
            <w:r w:rsidRPr="00BD7CEA">
              <w:rPr>
                <w:rFonts w:ascii="Tahoma" w:hAnsi="Tahoma" w:cs="Tahoma"/>
                <w:sz w:val="14"/>
              </w:rPr>
              <w:t>SQL Server</w:t>
            </w:r>
            <w:r w:rsidR="00700C4B" w:rsidRPr="00BD7CEA">
              <w:rPr>
                <w:rFonts w:ascii="Tahoma" w:eastAsia="Times New Roman" w:hAnsi="Tahoma" w:cs="Tahoma"/>
                <w:color w:val="000000"/>
                <w:sz w:val="18"/>
                <w:szCs w:val="18"/>
                <w:vertAlign w:val="superscript"/>
              </w:rPr>
              <w:t>®</w:t>
            </w:r>
            <w:r w:rsidRPr="00BD7CEA">
              <w:rPr>
                <w:rFonts w:ascii="Tahoma" w:hAnsi="Tahoma" w:cs="Tahoma"/>
                <w:sz w:val="14"/>
              </w:rPr>
              <w:t xml:space="preserve"> 2012 Business Intelligence</w:t>
            </w:r>
            <w:bookmarkEnd w:id="403"/>
            <w:bookmarkEnd w:id="404"/>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ABF8F"/>
          </w:tcPr>
          <w:p w:rsidR="001A63C6" w:rsidRPr="00BD7CEA" w:rsidRDefault="001A63C6" w:rsidP="001A63C6">
            <w:pPr>
              <w:pStyle w:val="TableText"/>
              <w:widowControl w:val="0"/>
              <w:spacing w:before="80"/>
              <w:rPr>
                <w:rFonts w:ascii="Tahoma" w:hAnsi="Tahoma" w:cs="Tahoma"/>
                <w:sz w:val="13"/>
              </w:rPr>
            </w:pPr>
            <w:r w:rsidRPr="00BD7CEA">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rsidR="001A63C6" w:rsidRPr="00BD7CEA" w:rsidRDefault="001A63C6" w:rsidP="001A63C6">
            <w:pPr>
              <w:pStyle w:val="TableText"/>
              <w:widowControl w:val="0"/>
              <w:rPr>
                <w:rFonts w:ascii="Tahoma" w:hAnsi="Tahoma" w:cs="Tahoma"/>
                <w:sz w:val="13"/>
                <w:szCs w:val="13"/>
              </w:rPr>
            </w:pPr>
            <w:r w:rsidRPr="00BD7CEA">
              <w:rPr>
                <w:rFonts w:ascii="Tahoma" w:hAnsi="Tahoma" w:cs="Tahoma"/>
                <w:sz w:val="13"/>
                <w:szCs w:val="13"/>
                <w:u w:val="single"/>
              </w:rPr>
              <w:t>75</w:t>
            </w:r>
          </w:p>
        </w:tc>
        <w:tc>
          <w:tcPr>
            <w:tcW w:w="450" w:type="dxa"/>
            <w:tcBorders>
              <w:bottom w:val="single" w:sz="4" w:space="0" w:color="auto"/>
            </w:tcBorders>
            <w:shd w:val="clear" w:color="auto" w:fill="FABF8F"/>
            <w:vAlign w:val="bottom"/>
          </w:tcPr>
          <w:p w:rsidR="001A63C6" w:rsidRPr="00BD7CEA" w:rsidRDefault="001A63C6" w:rsidP="001A63C6">
            <w:pPr>
              <w:pStyle w:val="TableText"/>
              <w:widowControl w:val="0"/>
              <w:rPr>
                <w:rFonts w:ascii="Tahoma" w:hAnsi="Tahoma" w:cs="Tahoma"/>
                <w:sz w:val="13"/>
                <w:szCs w:val="13"/>
              </w:rPr>
            </w:pPr>
            <w:r w:rsidRPr="00BD7CEA">
              <w:rPr>
                <w:rFonts w:ascii="Tahoma" w:hAnsi="Tahoma" w:cs="Tahoma"/>
                <w:sz w:val="13"/>
                <w:szCs w:val="13"/>
              </w:rPr>
              <w:t>188</w:t>
            </w:r>
          </w:p>
        </w:tc>
        <w:tc>
          <w:tcPr>
            <w:tcW w:w="450" w:type="dxa"/>
            <w:tcBorders>
              <w:bottom w:val="single" w:sz="4" w:space="0" w:color="auto"/>
            </w:tcBorders>
            <w:shd w:val="clear" w:color="auto" w:fill="FABF8F"/>
            <w:vAlign w:val="bottom"/>
          </w:tcPr>
          <w:p w:rsidR="001A63C6" w:rsidRPr="00BD7CEA" w:rsidRDefault="001A63C6" w:rsidP="001A63C6">
            <w:pPr>
              <w:pStyle w:val="TableText"/>
              <w:widowControl w:val="0"/>
              <w:rPr>
                <w:rFonts w:ascii="Tahoma" w:hAnsi="Tahoma" w:cs="Tahoma"/>
                <w:sz w:val="13"/>
                <w:szCs w:val="13"/>
              </w:rPr>
            </w:pPr>
            <w:r w:rsidRPr="00BD7CEA">
              <w:rPr>
                <w:rFonts w:ascii="Tahoma" w:hAnsi="Tahoma" w:cs="Tahoma"/>
                <w:sz w:val="13"/>
                <w:szCs w:val="13"/>
              </w:rPr>
              <w:t>150</w:t>
            </w:r>
          </w:p>
        </w:tc>
        <w:tc>
          <w:tcPr>
            <w:tcW w:w="450" w:type="dxa"/>
            <w:tcBorders>
              <w:bottom w:val="single" w:sz="4" w:space="0" w:color="auto"/>
            </w:tcBorders>
            <w:shd w:val="clear" w:color="auto" w:fill="FABF8F"/>
            <w:vAlign w:val="bottom"/>
          </w:tcPr>
          <w:p w:rsidR="001A63C6" w:rsidRPr="00BD7CEA" w:rsidRDefault="001A63C6" w:rsidP="001A63C6">
            <w:pPr>
              <w:pStyle w:val="TableText"/>
              <w:widowControl w:val="0"/>
              <w:rPr>
                <w:rFonts w:ascii="Tahoma" w:hAnsi="Tahoma" w:cs="Tahoma"/>
                <w:sz w:val="13"/>
                <w:szCs w:val="13"/>
              </w:rPr>
            </w:pPr>
            <w:r w:rsidRPr="00BD7CEA">
              <w:rPr>
                <w:rFonts w:ascii="Tahoma" w:hAnsi="Tahoma" w:cs="Tahoma"/>
                <w:sz w:val="13"/>
                <w:szCs w:val="13"/>
              </w:rPr>
              <w:t>113</w:t>
            </w:r>
          </w:p>
        </w:tc>
        <w:tc>
          <w:tcPr>
            <w:tcW w:w="450" w:type="dxa"/>
            <w:tcBorders>
              <w:bottom w:val="single" w:sz="4" w:space="0" w:color="auto"/>
            </w:tcBorders>
            <w:shd w:val="clear" w:color="auto" w:fill="FABF8F"/>
            <w:vAlign w:val="bottom"/>
          </w:tcPr>
          <w:p w:rsidR="001A63C6" w:rsidRPr="00BD7CEA" w:rsidRDefault="001A63C6" w:rsidP="001A63C6">
            <w:pPr>
              <w:pStyle w:val="TableText"/>
              <w:widowControl w:val="0"/>
              <w:rPr>
                <w:rFonts w:ascii="Tahoma" w:hAnsi="Tahoma" w:cs="Tahoma"/>
                <w:sz w:val="13"/>
                <w:szCs w:val="13"/>
              </w:rPr>
            </w:pPr>
            <w:r w:rsidRPr="00BD7CEA">
              <w:rPr>
                <w:rFonts w:ascii="Tahoma" w:hAnsi="Tahoma" w:cs="Tahoma"/>
                <w:sz w:val="13"/>
                <w:szCs w:val="13"/>
              </w:rPr>
              <w:t>113</w:t>
            </w:r>
          </w:p>
        </w:tc>
        <w:tc>
          <w:tcPr>
            <w:tcW w:w="450" w:type="dxa"/>
            <w:tcBorders>
              <w:bottom w:val="single" w:sz="4" w:space="0" w:color="auto"/>
            </w:tcBorders>
            <w:shd w:val="clear" w:color="auto" w:fill="FABF8F"/>
            <w:vAlign w:val="bottom"/>
          </w:tcPr>
          <w:p w:rsidR="001A63C6" w:rsidRPr="00BD7CEA" w:rsidRDefault="001A63C6" w:rsidP="001A63C6">
            <w:pPr>
              <w:pStyle w:val="TableText"/>
              <w:widowControl w:val="0"/>
              <w:rPr>
                <w:rFonts w:ascii="Tahoma" w:hAnsi="Tahoma" w:cs="Tahoma"/>
                <w:sz w:val="13"/>
                <w:szCs w:val="13"/>
              </w:rPr>
            </w:pPr>
            <w:r w:rsidRPr="00BD7CEA">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bottom"/>
          </w:tcPr>
          <w:p w:rsidR="001A63C6" w:rsidRPr="00BD7CEA" w:rsidRDefault="001A63C6" w:rsidP="001A63C6">
            <w:pPr>
              <w:pStyle w:val="TableText"/>
              <w:widowControl w:val="0"/>
              <w:rPr>
                <w:rFonts w:ascii="Tahoma" w:hAnsi="Tahoma" w:cs="Tahoma"/>
                <w:sz w:val="13"/>
                <w:szCs w:val="13"/>
              </w:rPr>
            </w:pPr>
            <w:r w:rsidRPr="00BD7CEA">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bottom"/>
          </w:tcPr>
          <w:p w:rsidR="001A63C6" w:rsidRPr="00BD7CEA" w:rsidRDefault="001A63C6" w:rsidP="001A63C6">
            <w:pPr>
              <w:pStyle w:val="TableText"/>
              <w:widowControl w:val="0"/>
              <w:rPr>
                <w:rFonts w:ascii="Tahoma" w:hAnsi="Tahoma" w:cs="Tahoma"/>
                <w:sz w:val="13"/>
                <w:szCs w:val="13"/>
              </w:rPr>
            </w:pPr>
            <w:r w:rsidRPr="00BD7CEA">
              <w:rPr>
                <w:rFonts w:ascii="Tahoma" w:hAnsi="Tahoma" w:cs="Tahoma"/>
                <w:sz w:val="13"/>
                <w:szCs w:val="13"/>
              </w:rPr>
              <w:t>75</w:t>
            </w:r>
          </w:p>
        </w:tc>
        <w:tc>
          <w:tcPr>
            <w:tcW w:w="450" w:type="dxa"/>
            <w:tcBorders>
              <w:bottom w:val="single" w:sz="4" w:space="0" w:color="auto"/>
            </w:tcBorders>
            <w:shd w:val="clear" w:color="auto" w:fill="FABF8F"/>
            <w:vAlign w:val="bottom"/>
          </w:tcPr>
          <w:p w:rsidR="001A63C6" w:rsidRPr="00BD7CEA" w:rsidRDefault="001A63C6" w:rsidP="001A63C6">
            <w:pPr>
              <w:pStyle w:val="TableText"/>
              <w:widowControl w:val="0"/>
              <w:rPr>
                <w:rFonts w:ascii="Tahoma" w:hAnsi="Tahoma" w:cs="Tahoma"/>
                <w:sz w:val="13"/>
                <w:szCs w:val="13"/>
              </w:rPr>
            </w:pPr>
            <w:r w:rsidRPr="00BD7CEA">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bottom"/>
          </w:tcPr>
          <w:p w:rsidR="001A63C6" w:rsidRPr="00BD7CEA" w:rsidRDefault="001A63C6" w:rsidP="001A63C6">
            <w:pPr>
              <w:pStyle w:val="TableText"/>
              <w:widowControl w:val="0"/>
              <w:rPr>
                <w:rFonts w:ascii="Tahoma" w:hAnsi="Tahoma" w:cs="Tahoma"/>
                <w:sz w:val="13"/>
                <w:szCs w:val="13"/>
              </w:rPr>
            </w:pPr>
            <w:r w:rsidRPr="00BD7CEA">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bottom"/>
          </w:tcPr>
          <w:p w:rsidR="001A63C6" w:rsidRPr="00BD7CEA" w:rsidRDefault="001A63C6" w:rsidP="001A63C6">
            <w:pPr>
              <w:pStyle w:val="TableText"/>
              <w:widowControl w:val="0"/>
              <w:rPr>
                <w:rFonts w:ascii="Tahoma" w:hAnsi="Tahoma" w:cs="Tahoma"/>
                <w:sz w:val="13"/>
                <w:szCs w:val="13"/>
              </w:rPr>
            </w:pPr>
            <w:r w:rsidRPr="00BD7CEA">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szCs w:val="13"/>
              </w:rPr>
            </w:pPr>
            <w:r w:rsidRPr="00BD7CEA">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P</w:t>
            </w:r>
          </w:p>
        </w:tc>
        <w:tc>
          <w:tcPr>
            <w:tcW w:w="450" w:type="dxa"/>
            <w:tcBorders>
              <w:bottom w:val="single" w:sz="4" w:space="0" w:color="auto"/>
            </w:tcBorders>
            <w:shd w:val="clear" w:color="auto" w:fill="FABF8F"/>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w:t>
            </w:r>
          </w:p>
        </w:tc>
        <w:tc>
          <w:tcPr>
            <w:tcW w:w="54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r>
      <w:tr w:rsidR="001A63C6" w:rsidRPr="00BD7CEA" w:rsidTr="007E466C">
        <w:trPr>
          <w:trHeight w:val="145"/>
        </w:trPr>
        <w:tc>
          <w:tcPr>
            <w:tcW w:w="2734" w:type="dxa"/>
            <w:gridSpan w:val="2"/>
            <w:tcBorders>
              <w:bottom w:val="single" w:sz="4" w:space="0" w:color="auto"/>
            </w:tcBorders>
            <w:shd w:val="clear" w:color="auto" w:fill="auto"/>
            <w:vAlign w:val="center"/>
          </w:tcPr>
          <w:p w:rsidR="001A63C6" w:rsidRPr="007B74B7" w:rsidRDefault="001A63C6" w:rsidP="00E215F4">
            <w:pPr>
              <w:pStyle w:val="ProductNames"/>
              <w:spacing w:beforeLines="20" w:before="48" w:afterLines="20" w:after="48"/>
              <w:rPr>
                <w:rFonts w:ascii="Tahoma" w:hAnsi="Tahoma" w:cs="Tahoma"/>
                <w:sz w:val="14"/>
                <w:lang w:val="it-IT"/>
              </w:rPr>
            </w:pPr>
            <w:bookmarkStart w:id="405" w:name="_Toc336338055"/>
            <w:bookmarkStart w:id="406" w:name="_Toc353375841"/>
            <w:r w:rsidRPr="007B74B7">
              <w:rPr>
                <w:rFonts w:ascii="Tahoma" w:hAnsi="Tahoma" w:cs="Tahoma"/>
                <w:sz w:val="14"/>
                <w:lang w:val="it-IT"/>
              </w:rPr>
              <w:t>Licenza CAL per SQL Server</w:t>
            </w:r>
            <w:r w:rsidR="00700C4B" w:rsidRPr="007B74B7">
              <w:rPr>
                <w:rFonts w:ascii="Tahoma" w:eastAsia="Times New Roman" w:hAnsi="Tahoma" w:cs="Tahoma"/>
                <w:color w:val="000000"/>
                <w:sz w:val="18"/>
                <w:szCs w:val="18"/>
                <w:vertAlign w:val="superscript"/>
                <w:lang w:val="it-IT"/>
              </w:rPr>
              <w:t>®</w:t>
            </w:r>
            <w:r w:rsidRPr="007B74B7">
              <w:rPr>
                <w:rFonts w:ascii="Tahoma" w:hAnsi="Tahoma" w:cs="Tahoma"/>
                <w:sz w:val="14"/>
                <w:lang w:val="it-IT"/>
              </w:rPr>
              <w:t xml:space="preserve"> 2012 </w:t>
            </w:r>
            <w:r w:rsidR="00872F47" w:rsidRPr="007B74B7">
              <w:rPr>
                <w:rFonts w:ascii="Tahoma" w:hAnsi="Tahoma" w:cs="Tahoma"/>
                <w:sz w:val="14"/>
                <w:lang w:val="it-IT"/>
              </w:rPr>
              <w:br/>
            </w:r>
            <w:r w:rsidRPr="007B74B7">
              <w:rPr>
                <w:rFonts w:ascii="Tahoma" w:hAnsi="Tahoma" w:cs="Tahoma"/>
                <w:sz w:val="14"/>
                <w:lang w:val="it-IT"/>
              </w:rPr>
              <w:t>(SL per Dispositivo e Utente)</w:t>
            </w:r>
            <w:bookmarkEnd w:id="405"/>
            <w:bookmarkEnd w:id="406"/>
          </w:p>
        </w:tc>
        <w:tc>
          <w:tcPr>
            <w:tcW w:w="450" w:type="dxa"/>
            <w:tcBorders>
              <w:bottom w:val="single" w:sz="4" w:space="0" w:color="auto"/>
            </w:tcBorders>
            <w:shd w:val="clear" w:color="auto" w:fill="auto"/>
            <w:vAlign w:val="center"/>
          </w:tcPr>
          <w:p w:rsidR="001A63C6" w:rsidRPr="007B74B7" w:rsidRDefault="001A63C6" w:rsidP="001A63C6">
            <w:pPr>
              <w:pStyle w:val="TableText"/>
              <w:widowControl w:val="0"/>
              <w:rPr>
                <w:rStyle w:val="EndnoteReference"/>
                <w:color w:val="000000"/>
                <w:sz w:val="13"/>
                <w:szCs w:val="13"/>
                <w:u w:val="single"/>
                <w:lang w:val="it-IT"/>
              </w:rPr>
            </w:pPr>
          </w:p>
        </w:tc>
        <w:tc>
          <w:tcPr>
            <w:tcW w:w="450" w:type="dxa"/>
            <w:tcBorders>
              <w:bottom w:val="single" w:sz="4" w:space="0" w:color="auto"/>
            </w:tcBorders>
            <w:shd w:val="clear" w:color="auto" w:fill="auto"/>
          </w:tcPr>
          <w:p w:rsidR="001A63C6" w:rsidRPr="00BD7CEA" w:rsidRDefault="001A63C6" w:rsidP="001A63C6">
            <w:pPr>
              <w:pStyle w:val="TableText"/>
              <w:widowControl w:val="0"/>
              <w:spacing w:before="80"/>
              <w:rPr>
                <w:rFonts w:ascii="Tahoma" w:hAnsi="Tahoma" w:cs="Tahoma"/>
                <w:sz w:val="13"/>
              </w:rPr>
            </w:pPr>
            <w:r w:rsidRPr="00BD7CEA">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3</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P</w:t>
            </w:r>
          </w:p>
        </w:tc>
        <w:tc>
          <w:tcPr>
            <w:tcW w:w="450" w:type="dxa"/>
            <w:tcBorders>
              <w:bottom w:val="single" w:sz="4" w:space="0" w:color="auto"/>
            </w:tcBorders>
            <w:shd w:val="clear" w:color="auto" w:fill="auto"/>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 AO, ST</w:t>
            </w: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r>
      <w:tr w:rsidR="00B33D0E" w:rsidRPr="00BD7CEA" w:rsidTr="006B1F3F">
        <w:trPr>
          <w:trHeight w:val="260"/>
        </w:trPr>
        <w:tc>
          <w:tcPr>
            <w:tcW w:w="2734" w:type="dxa"/>
            <w:gridSpan w:val="2"/>
            <w:tcBorders>
              <w:bottom w:val="single" w:sz="4" w:space="0" w:color="auto"/>
            </w:tcBorders>
            <w:shd w:val="clear" w:color="auto" w:fill="FABF8F"/>
            <w:vAlign w:val="center"/>
          </w:tcPr>
          <w:p w:rsidR="001A63C6" w:rsidRPr="00BD7CEA" w:rsidRDefault="001A63C6" w:rsidP="00E215F4">
            <w:pPr>
              <w:pStyle w:val="ProductNames"/>
              <w:spacing w:beforeLines="20" w:before="48" w:afterLines="20" w:after="48"/>
              <w:rPr>
                <w:rFonts w:ascii="Tahoma" w:hAnsi="Tahoma" w:cs="Tahoma"/>
                <w:sz w:val="14"/>
              </w:rPr>
            </w:pPr>
            <w:bookmarkStart w:id="407" w:name="_Toc336338056"/>
            <w:bookmarkStart w:id="408" w:name="_Toc353375842"/>
            <w:r w:rsidRPr="00BD7CEA">
              <w:rPr>
                <w:rFonts w:ascii="Tahoma" w:hAnsi="Tahoma" w:cs="Tahoma"/>
                <w:sz w:val="14"/>
              </w:rPr>
              <w:t>SQL Server</w:t>
            </w:r>
            <w:r w:rsidR="00700C4B" w:rsidRPr="00BD7CEA">
              <w:rPr>
                <w:rFonts w:ascii="Tahoma" w:eastAsia="Times New Roman" w:hAnsi="Tahoma" w:cs="Tahoma"/>
                <w:color w:val="000000"/>
                <w:sz w:val="18"/>
                <w:szCs w:val="18"/>
                <w:vertAlign w:val="superscript"/>
              </w:rPr>
              <w:t>®</w:t>
            </w:r>
            <w:r w:rsidRPr="00BD7CEA">
              <w:rPr>
                <w:rFonts w:ascii="Tahoma" w:hAnsi="Tahoma" w:cs="Tahoma"/>
                <w:sz w:val="14"/>
              </w:rPr>
              <w:t xml:space="preserve"> 2012 Developer</w:t>
            </w:r>
            <w:bookmarkEnd w:id="407"/>
            <w:bookmarkEnd w:id="408"/>
            <w:r w:rsidRPr="00BD7CEA">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BD7CEA" w:rsidRDefault="006E5080" w:rsidP="002E59B1">
            <w:pPr>
              <w:pStyle w:val="TableText"/>
              <w:widowControl w:val="0"/>
              <w:rPr>
                <w:rStyle w:val="EndnoteReference"/>
                <w:b w:val="0"/>
                <w:color w:val="000000"/>
                <w:sz w:val="13"/>
                <w:szCs w:val="13"/>
              </w:rPr>
            </w:pPr>
            <w:hyperlink w:anchor="_79_SQL_Server®" w:history="1">
              <w:r w:rsidR="00955428" w:rsidRPr="00BD7CEA">
                <w:rPr>
                  <w:rStyle w:val="Hyperlink"/>
                  <w:b/>
                  <w:sz w:val="13"/>
                  <w:szCs w:val="13"/>
                </w:rPr>
                <w:t>79</w:t>
              </w:r>
            </w:hyperlink>
          </w:p>
        </w:tc>
        <w:tc>
          <w:tcPr>
            <w:tcW w:w="450" w:type="dxa"/>
            <w:tcBorders>
              <w:bottom w:val="single" w:sz="4" w:space="0" w:color="auto"/>
            </w:tcBorders>
            <w:shd w:val="clear" w:color="auto" w:fill="FABF8F"/>
          </w:tcPr>
          <w:p w:rsidR="001A63C6" w:rsidRPr="00BD7CEA" w:rsidRDefault="001A63C6" w:rsidP="001A63C6">
            <w:pPr>
              <w:pStyle w:val="TableText"/>
              <w:widowControl w:val="0"/>
              <w:spacing w:before="80"/>
              <w:rPr>
                <w:rFonts w:ascii="Tahoma" w:hAnsi="Tahoma" w:cs="Tahoma"/>
                <w:sz w:val="13"/>
              </w:rPr>
            </w:pPr>
            <w:r w:rsidRPr="00BD7CEA">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D7CEA"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r>
      <w:tr w:rsidR="001A63C6" w:rsidRPr="00BD7CEA" w:rsidTr="007E466C">
        <w:trPr>
          <w:trHeight w:val="145"/>
        </w:trPr>
        <w:tc>
          <w:tcPr>
            <w:tcW w:w="2734" w:type="dxa"/>
            <w:gridSpan w:val="2"/>
            <w:tcBorders>
              <w:bottom w:val="single" w:sz="4" w:space="0" w:color="auto"/>
            </w:tcBorders>
            <w:shd w:val="clear" w:color="auto" w:fill="auto"/>
            <w:vAlign w:val="center"/>
          </w:tcPr>
          <w:p w:rsidR="001A63C6" w:rsidRPr="00BD7CEA" w:rsidRDefault="001A63C6" w:rsidP="00E215F4">
            <w:pPr>
              <w:pStyle w:val="ProductNames"/>
              <w:spacing w:beforeLines="20" w:before="48" w:afterLines="20" w:after="48"/>
              <w:rPr>
                <w:rFonts w:ascii="Tahoma" w:hAnsi="Tahoma" w:cs="Tahoma"/>
                <w:sz w:val="14"/>
              </w:rPr>
            </w:pPr>
            <w:bookmarkStart w:id="409" w:name="_Toc336338057"/>
            <w:bookmarkStart w:id="410" w:name="_Toc353375843"/>
            <w:r w:rsidRPr="00BD7CEA">
              <w:rPr>
                <w:rFonts w:ascii="Tahoma" w:hAnsi="Tahoma" w:cs="Tahoma"/>
                <w:sz w:val="14"/>
              </w:rPr>
              <w:t>SQL Server</w:t>
            </w:r>
            <w:r w:rsidR="00700C4B" w:rsidRPr="00BD7CEA">
              <w:rPr>
                <w:rFonts w:ascii="Tahoma" w:eastAsia="Times New Roman" w:hAnsi="Tahoma" w:cs="Tahoma"/>
                <w:color w:val="000000"/>
                <w:sz w:val="18"/>
                <w:szCs w:val="18"/>
                <w:vertAlign w:val="superscript"/>
              </w:rPr>
              <w:t>®</w:t>
            </w:r>
            <w:r w:rsidRPr="00BD7CEA">
              <w:rPr>
                <w:rFonts w:ascii="Tahoma" w:hAnsi="Tahoma" w:cs="Tahoma"/>
                <w:sz w:val="14"/>
              </w:rPr>
              <w:t xml:space="preserve"> 2012 Enterprise</w:t>
            </w:r>
            <w:bookmarkEnd w:id="409"/>
            <w:bookmarkEnd w:id="410"/>
            <w:r w:rsidRPr="00BD7CEA">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BD7CEA" w:rsidRDefault="006E5080" w:rsidP="002E59B1">
            <w:pPr>
              <w:pStyle w:val="TableText"/>
              <w:widowControl w:val="0"/>
              <w:rPr>
                <w:rStyle w:val="EndnoteReference"/>
                <w:b w:val="0"/>
                <w:color w:val="000000"/>
                <w:sz w:val="13"/>
                <w:szCs w:val="13"/>
              </w:rPr>
            </w:pPr>
            <w:hyperlink w:anchor="_81_79_SQL" w:history="1">
              <w:r w:rsidR="002E59B1" w:rsidRPr="00BD7CEA">
                <w:rPr>
                  <w:rStyle w:val="Hyperlink"/>
                  <w:b/>
                  <w:sz w:val="13"/>
                  <w:szCs w:val="13"/>
                </w:rPr>
                <w:t>80</w:t>
              </w:r>
            </w:hyperlink>
            <w:hyperlink w:anchor="_81_79_SQL" w:history="1"/>
            <w:hyperlink w:anchor="Srv_88SQLServer2012Enterprise" w:history="1"/>
          </w:p>
        </w:tc>
        <w:tc>
          <w:tcPr>
            <w:tcW w:w="450" w:type="dxa"/>
            <w:tcBorders>
              <w:bottom w:val="single" w:sz="4" w:space="0" w:color="auto"/>
            </w:tcBorders>
            <w:shd w:val="clear" w:color="auto" w:fill="auto"/>
          </w:tcPr>
          <w:p w:rsidR="001A63C6" w:rsidRPr="00BD7CEA" w:rsidRDefault="001A63C6" w:rsidP="001A63C6">
            <w:pPr>
              <w:pStyle w:val="TableText"/>
              <w:widowControl w:val="0"/>
              <w:spacing w:before="80"/>
              <w:rPr>
                <w:rFonts w:ascii="Tahoma" w:hAnsi="Tahoma" w:cs="Tahoma"/>
                <w:sz w:val="13"/>
              </w:rPr>
            </w:pPr>
            <w:r w:rsidRPr="00BD7CEA">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75</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188</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150</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113</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113</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75</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38</w:t>
            </w: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75</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150</w:t>
            </w: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75</w:t>
            </w: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 xml:space="preserve">A </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P</w:t>
            </w:r>
          </w:p>
        </w:tc>
        <w:tc>
          <w:tcPr>
            <w:tcW w:w="450" w:type="dxa"/>
            <w:tcBorders>
              <w:bottom w:val="single" w:sz="4" w:space="0" w:color="auto"/>
            </w:tcBorders>
            <w:shd w:val="clear" w:color="auto" w:fill="auto"/>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w:t>
            </w: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r>
      <w:tr w:rsidR="00B33D0E" w:rsidRPr="00BD7CEA" w:rsidTr="006B1F3F">
        <w:trPr>
          <w:trHeight w:val="145"/>
        </w:trPr>
        <w:tc>
          <w:tcPr>
            <w:tcW w:w="2734" w:type="dxa"/>
            <w:gridSpan w:val="2"/>
            <w:tcBorders>
              <w:bottom w:val="single" w:sz="4" w:space="0" w:color="auto"/>
            </w:tcBorders>
            <w:shd w:val="clear" w:color="auto" w:fill="FABF8F"/>
            <w:vAlign w:val="center"/>
          </w:tcPr>
          <w:p w:rsidR="001A63C6" w:rsidRPr="007B74B7" w:rsidRDefault="001A63C6" w:rsidP="00872F47">
            <w:pPr>
              <w:pStyle w:val="ProductNames"/>
              <w:spacing w:beforeLines="20" w:before="48" w:afterLines="20" w:after="48"/>
              <w:rPr>
                <w:rFonts w:ascii="Tahoma" w:hAnsi="Tahoma" w:cs="Tahoma"/>
                <w:sz w:val="14"/>
                <w:lang w:val="it-IT"/>
              </w:rPr>
            </w:pPr>
            <w:bookmarkStart w:id="411" w:name="_Toc336338058"/>
            <w:bookmarkStart w:id="412" w:name="_Toc353375844"/>
            <w:r w:rsidRPr="007B74B7">
              <w:rPr>
                <w:rFonts w:ascii="Tahoma" w:hAnsi="Tahoma" w:cs="Tahoma"/>
                <w:sz w:val="14"/>
                <w:lang w:val="it-IT"/>
              </w:rPr>
              <w:t>SQL Server</w:t>
            </w:r>
            <w:r w:rsidR="00700C4B" w:rsidRPr="007B74B7">
              <w:rPr>
                <w:rFonts w:ascii="Tahoma" w:eastAsia="Times New Roman" w:hAnsi="Tahoma" w:cs="Tahoma"/>
                <w:color w:val="000000"/>
                <w:sz w:val="18"/>
                <w:szCs w:val="18"/>
                <w:vertAlign w:val="superscript"/>
                <w:lang w:val="it-IT"/>
              </w:rPr>
              <w:t>®</w:t>
            </w:r>
            <w:r w:rsidRPr="007B74B7">
              <w:rPr>
                <w:rFonts w:ascii="Tahoma" w:hAnsi="Tahoma" w:cs="Tahoma"/>
                <w:sz w:val="14"/>
                <w:lang w:val="it-IT"/>
              </w:rPr>
              <w:t xml:space="preserve"> 2012 Enterprise Core (2</w:t>
            </w:r>
            <w:r w:rsidR="00872F47" w:rsidRPr="007B74B7">
              <w:rPr>
                <w:rFonts w:ascii="Tahoma" w:hAnsi="Tahoma" w:cs="Tahoma"/>
                <w:sz w:val="14"/>
                <w:lang w:val="it-IT"/>
              </w:rPr>
              <w:t> </w:t>
            </w:r>
            <w:r w:rsidRPr="007B74B7">
              <w:rPr>
                <w:rFonts w:ascii="Tahoma" w:hAnsi="Tahoma" w:cs="Tahoma"/>
                <w:sz w:val="14"/>
                <w:lang w:val="it-IT"/>
              </w:rPr>
              <w:t>Licenze Core per confezione)</w:t>
            </w:r>
            <w:bookmarkEnd w:id="411"/>
            <w:bookmarkEnd w:id="412"/>
          </w:p>
        </w:tc>
        <w:tc>
          <w:tcPr>
            <w:tcW w:w="450" w:type="dxa"/>
            <w:tcBorders>
              <w:bottom w:val="single" w:sz="4" w:space="0" w:color="auto"/>
            </w:tcBorders>
            <w:shd w:val="clear" w:color="auto" w:fill="FABF8F"/>
            <w:vAlign w:val="center"/>
          </w:tcPr>
          <w:p w:rsidR="001A63C6" w:rsidRPr="00BD7CEA" w:rsidRDefault="006E5080" w:rsidP="002E59B1">
            <w:pPr>
              <w:pStyle w:val="TableText"/>
              <w:widowControl w:val="0"/>
              <w:rPr>
                <w:rStyle w:val="EndnoteReference"/>
                <w:b w:val="0"/>
                <w:color w:val="0000FF"/>
                <w:sz w:val="13"/>
                <w:szCs w:val="13"/>
                <w:u w:val="single"/>
              </w:rPr>
            </w:pPr>
            <w:hyperlink w:anchor="_81_SQL_Server®" w:history="1">
              <w:r w:rsidR="00955428" w:rsidRPr="00BD7CEA">
                <w:rPr>
                  <w:rStyle w:val="Hyperlink"/>
                  <w:b/>
                  <w:sz w:val="13"/>
                  <w:szCs w:val="13"/>
                </w:rPr>
                <w:t>81</w:t>
              </w:r>
            </w:hyperlink>
            <w:hyperlink w:anchor="Srv_89SQLServer2012EnterpriseCore" w:history="1"/>
          </w:p>
        </w:tc>
        <w:tc>
          <w:tcPr>
            <w:tcW w:w="450" w:type="dxa"/>
            <w:tcBorders>
              <w:bottom w:val="single" w:sz="4" w:space="0" w:color="auto"/>
            </w:tcBorders>
            <w:shd w:val="clear" w:color="auto" w:fill="FABF8F"/>
          </w:tcPr>
          <w:p w:rsidR="001A63C6" w:rsidRPr="00BD7CEA" w:rsidRDefault="001A63C6" w:rsidP="001A63C6">
            <w:pPr>
              <w:pStyle w:val="TableText"/>
              <w:widowControl w:val="0"/>
              <w:spacing w:before="80"/>
              <w:rPr>
                <w:rFonts w:ascii="Tahoma" w:hAnsi="Tahoma" w:cs="Tahoma"/>
                <w:sz w:val="13"/>
              </w:rPr>
            </w:pPr>
            <w:r w:rsidRPr="00BD7CEA">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125</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313</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250</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188</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188</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125</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P</w:t>
            </w:r>
          </w:p>
        </w:tc>
        <w:tc>
          <w:tcPr>
            <w:tcW w:w="450" w:type="dxa"/>
            <w:tcBorders>
              <w:bottom w:val="single" w:sz="4" w:space="0" w:color="auto"/>
            </w:tcBorders>
            <w:shd w:val="clear" w:color="auto" w:fill="FABF8F"/>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w:t>
            </w:r>
          </w:p>
        </w:tc>
        <w:tc>
          <w:tcPr>
            <w:tcW w:w="54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OL/OV</w:t>
            </w:r>
          </w:p>
        </w:tc>
      </w:tr>
      <w:tr w:rsidR="001A63C6" w:rsidRPr="00BD7CEA" w:rsidTr="007E466C">
        <w:trPr>
          <w:trHeight w:val="145"/>
        </w:trPr>
        <w:tc>
          <w:tcPr>
            <w:tcW w:w="2734" w:type="dxa"/>
            <w:gridSpan w:val="2"/>
            <w:tcBorders>
              <w:bottom w:val="single" w:sz="4" w:space="0" w:color="auto"/>
            </w:tcBorders>
            <w:shd w:val="clear" w:color="auto" w:fill="auto"/>
            <w:vAlign w:val="center"/>
          </w:tcPr>
          <w:p w:rsidR="001A63C6" w:rsidRPr="00BD7CEA" w:rsidRDefault="001A63C6" w:rsidP="00E215F4">
            <w:pPr>
              <w:pStyle w:val="ProductNames"/>
              <w:spacing w:beforeLines="20" w:before="48" w:afterLines="20" w:after="48"/>
              <w:rPr>
                <w:rFonts w:ascii="Tahoma" w:hAnsi="Tahoma" w:cs="Tahoma"/>
                <w:sz w:val="14"/>
              </w:rPr>
            </w:pPr>
            <w:bookmarkStart w:id="413" w:name="_Toc336338046"/>
            <w:bookmarkStart w:id="414" w:name="_Toc353375845"/>
            <w:r w:rsidRPr="00BD7CEA">
              <w:rPr>
                <w:rFonts w:ascii="Tahoma" w:hAnsi="Tahoma" w:cs="Tahoma"/>
                <w:sz w:val="14"/>
              </w:rPr>
              <w:t>SQL Server</w:t>
            </w:r>
            <w:r w:rsidR="00700C4B" w:rsidRPr="00BD7CEA">
              <w:rPr>
                <w:rFonts w:ascii="Tahoma" w:eastAsia="Times New Roman" w:hAnsi="Tahoma" w:cs="Tahoma"/>
                <w:color w:val="000000"/>
                <w:sz w:val="18"/>
                <w:szCs w:val="18"/>
                <w:vertAlign w:val="superscript"/>
              </w:rPr>
              <w:t>®</w:t>
            </w:r>
            <w:r w:rsidRPr="00BD7CEA">
              <w:rPr>
                <w:rFonts w:ascii="Tahoma" w:hAnsi="Tahoma" w:cs="Tahoma"/>
                <w:sz w:val="14"/>
              </w:rPr>
              <w:t xml:space="preserve"> 2012 Parallel Data Warehouse</w:t>
            </w:r>
            <w:bookmarkEnd w:id="413"/>
            <w:bookmarkEnd w:id="414"/>
          </w:p>
        </w:tc>
        <w:tc>
          <w:tcPr>
            <w:tcW w:w="450" w:type="dxa"/>
            <w:tcBorders>
              <w:bottom w:val="single" w:sz="4" w:space="0" w:color="auto"/>
            </w:tcBorders>
            <w:shd w:val="clear" w:color="auto" w:fill="auto"/>
            <w:vAlign w:val="center"/>
          </w:tcPr>
          <w:p w:rsidR="001A63C6" w:rsidRPr="00BD7CEA" w:rsidRDefault="006E5080" w:rsidP="002E59B1">
            <w:pPr>
              <w:pStyle w:val="TableText"/>
              <w:widowControl w:val="0"/>
              <w:rPr>
                <w:rStyle w:val="EndnoteReference"/>
                <w:rFonts w:cs="Tahoma"/>
                <w:b w:val="0"/>
                <w:color w:val="000000"/>
                <w:sz w:val="13"/>
                <w:szCs w:val="13"/>
                <w:u w:val="single"/>
              </w:rPr>
            </w:pPr>
            <w:hyperlink w:anchor="_82_SQL_Server" w:history="1">
              <w:r w:rsidR="00955428" w:rsidRPr="00BD7CEA">
                <w:rPr>
                  <w:rStyle w:val="Hyperlink"/>
                  <w:b/>
                  <w:sz w:val="13"/>
                  <w:szCs w:val="13"/>
                </w:rPr>
                <w:t>82</w:t>
              </w:r>
            </w:hyperlink>
            <w:hyperlink w:anchor="_80_SQL_Server" w:history="1"/>
          </w:p>
        </w:tc>
        <w:tc>
          <w:tcPr>
            <w:tcW w:w="450" w:type="dxa"/>
            <w:tcBorders>
              <w:bottom w:val="single" w:sz="4" w:space="0" w:color="auto"/>
            </w:tcBorders>
            <w:shd w:val="clear" w:color="auto" w:fill="auto"/>
          </w:tcPr>
          <w:p w:rsidR="001A63C6" w:rsidRPr="00BD7CEA" w:rsidRDefault="001A63C6" w:rsidP="001A63C6">
            <w:pPr>
              <w:pStyle w:val="TableText"/>
              <w:widowControl w:val="0"/>
              <w:spacing w:before="80"/>
              <w:rPr>
                <w:rFonts w:ascii="Tahoma" w:hAnsi="Tahoma" w:cs="Tahoma"/>
                <w:sz w:val="13"/>
              </w:rPr>
            </w:pPr>
            <w:r w:rsidRPr="00BD7CEA">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200</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500</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400</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300</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300</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BD7CEA"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r>
      <w:tr w:rsidR="00B33D0E" w:rsidRPr="00BD7CEA" w:rsidTr="006B1F3F">
        <w:trPr>
          <w:trHeight w:val="145"/>
        </w:trPr>
        <w:tc>
          <w:tcPr>
            <w:tcW w:w="2734" w:type="dxa"/>
            <w:gridSpan w:val="2"/>
            <w:tcBorders>
              <w:bottom w:val="single" w:sz="4" w:space="0" w:color="auto"/>
            </w:tcBorders>
            <w:shd w:val="clear" w:color="auto" w:fill="FABF8F"/>
            <w:vAlign w:val="center"/>
          </w:tcPr>
          <w:p w:rsidR="001A63C6" w:rsidRPr="00BD7CEA" w:rsidRDefault="001A63C6" w:rsidP="00E215F4">
            <w:pPr>
              <w:pStyle w:val="ProductNames"/>
              <w:spacing w:beforeLines="20" w:before="48" w:afterLines="20" w:after="48"/>
              <w:rPr>
                <w:rFonts w:ascii="Tahoma" w:hAnsi="Tahoma" w:cs="Tahoma"/>
                <w:sz w:val="14"/>
              </w:rPr>
            </w:pPr>
            <w:bookmarkStart w:id="415" w:name="_Toc336338047"/>
            <w:bookmarkStart w:id="416" w:name="_Toc353375846"/>
            <w:r w:rsidRPr="00BD7CEA">
              <w:rPr>
                <w:rFonts w:ascii="Tahoma" w:hAnsi="Tahoma" w:cs="Tahoma"/>
                <w:sz w:val="14"/>
              </w:rPr>
              <w:t>SQL Server</w:t>
            </w:r>
            <w:r w:rsidR="00700C4B" w:rsidRPr="00BD7CEA">
              <w:rPr>
                <w:rFonts w:ascii="Tahoma" w:eastAsia="Times New Roman" w:hAnsi="Tahoma" w:cs="Tahoma"/>
                <w:color w:val="000000"/>
                <w:sz w:val="18"/>
                <w:szCs w:val="18"/>
                <w:vertAlign w:val="superscript"/>
              </w:rPr>
              <w:t>®</w:t>
            </w:r>
            <w:r w:rsidRPr="00BD7CEA">
              <w:rPr>
                <w:rFonts w:ascii="Tahoma" w:hAnsi="Tahoma" w:cs="Tahoma"/>
                <w:sz w:val="14"/>
              </w:rPr>
              <w:t xml:space="preserve"> 2012 Parallel Data Warehouse Developer</w:t>
            </w:r>
            <w:bookmarkEnd w:id="415"/>
            <w:bookmarkEnd w:id="416"/>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tcPr>
          <w:p w:rsidR="001A63C6" w:rsidRPr="00BD7CEA" w:rsidRDefault="001A63C6" w:rsidP="001A63C6">
            <w:pPr>
              <w:pStyle w:val="TableText"/>
              <w:widowControl w:val="0"/>
              <w:spacing w:before="80"/>
              <w:rPr>
                <w:rFonts w:ascii="Tahoma" w:hAnsi="Tahoma" w:cs="Tahoma"/>
                <w:sz w:val="13"/>
              </w:rPr>
            </w:pPr>
            <w:r w:rsidRPr="00BD7CEA">
              <w:rPr>
                <w:rFonts w:ascii="Tahoma" w:hAnsi="Tahoma" w:cs="Tahoma"/>
                <w:sz w:val="13"/>
              </w:rPr>
              <w:t>11/10</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3</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D7CEA"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r>
      <w:tr w:rsidR="001A63C6" w:rsidRPr="00BD7CEA" w:rsidTr="007E466C">
        <w:trPr>
          <w:trHeight w:val="145"/>
        </w:trPr>
        <w:tc>
          <w:tcPr>
            <w:tcW w:w="2734" w:type="dxa"/>
            <w:gridSpan w:val="2"/>
            <w:tcBorders>
              <w:bottom w:val="single" w:sz="4" w:space="0" w:color="auto"/>
            </w:tcBorders>
            <w:shd w:val="clear" w:color="auto" w:fill="auto"/>
            <w:vAlign w:val="center"/>
          </w:tcPr>
          <w:p w:rsidR="001A63C6" w:rsidRPr="00BD7CEA" w:rsidRDefault="001A63C6" w:rsidP="00E215F4">
            <w:pPr>
              <w:pStyle w:val="ProductNames"/>
              <w:spacing w:beforeLines="20" w:before="48" w:afterLines="20" w:after="48"/>
              <w:rPr>
                <w:rFonts w:ascii="Tahoma" w:hAnsi="Tahoma" w:cs="Tahoma"/>
                <w:sz w:val="14"/>
              </w:rPr>
            </w:pPr>
            <w:bookmarkStart w:id="417" w:name="_Toc336338059"/>
            <w:bookmarkStart w:id="418" w:name="_Toc353375847"/>
            <w:r w:rsidRPr="00BD7CEA">
              <w:rPr>
                <w:rFonts w:ascii="Tahoma" w:hAnsi="Tahoma" w:cs="Tahoma"/>
                <w:sz w:val="14"/>
              </w:rPr>
              <w:t>SQL Server</w:t>
            </w:r>
            <w:r w:rsidR="00700C4B" w:rsidRPr="00BD7CEA">
              <w:rPr>
                <w:rFonts w:ascii="Tahoma" w:eastAsia="Times New Roman" w:hAnsi="Tahoma" w:cs="Tahoma"/>
                <w:color w:val="000000"/>
                <w:sz w:val="18"/>
                <w:szCs w:val="18"/>
                <w:vertAlign w:val="superscript"/>
              </w:rPr>
              <w:t>®</w:t>
            </w:r>
            <w:r w:rsidRPr="00BD7CEA">
              <w:rPr>
                <w:rFonts w:ascii="Tahoma" w:hAnsi="Tahoma" w:cs="Tahoma"/>
                <w:sz w:val="14"/>
              </w:rPr>
              <w:t xml:space="preserve"> 2012 Standard</w:t>
            </w:r>
            <w:bookmarkEnd w:id="417"/>
            <w:bookmarkEnd w:id="418"/>
            <w:r w:rsidRPr="00BD7CEA">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BD7CEA" w:rsidRDefault="006E5080" w:rsidP="002E59B1">
            <w:pPr>
              <w:pStyle w:val="TableText"/>
              <w:widowControl w:val="0"/>
              <w:rPr>
                <w:rStyle w:val="EndnoteReference"/>
                <w:rFonts w:cs="Tahoma"/>
                <w:b w:val="0"/>
                <w:color w:val="0000FF"/>
                <w:sz w:val="13"/>
                <w:szCs w:val="13"/>
                <w:u w:val="single"/>
              </w:rPr>
            </w:pPr>
            <w:hyperlink w:anchor="_83_SQL_Server®" w:history="1">
              <w:r w:rsidR="00955428" w:rsidRPr="00BD7CEA">
                <w:rPr>
                  <w:rStyle w:val="Hyperlink"/>
                  <w:b/>
                  <w:sz w:val="13"/>
                  <w:szCs w:val="13"/>
                </w:rPr>
                <w:t>83</w:t>
              </w:r>
            </w:hyperlink>
            <w:hyperlink w:anchor="Srv_90SQLServer2012Standard" w:history="1"/>
          </w:p>
        </w:tc>
        <w:tc>
          <w:tcPr>
            <w:tcW w:w="450" w:type="dxa"/>
            <w:tcBorders>
              <w:bottom w:val="single" w:sz="4" w:space="0" w:color="auto"/>
            </w:tcBorders>
            <w:shd w:val="clear" w:color="auto" w:fill="auto"/>
          </w:tcPr>
          <w:p w:rsidR="001A63C6" w:rsidRPr="00BD7CEA" w:rsidRDefault="001A63C6" w:rsidP="001A63C6">
            <w:pPr>
              <w:pStyle w:val="TableText"/>
              <w:widowControl w:val="0"/>
              <w:spacing w:before="80"/>
              <w:rPr>
                <w:rFonts w:ascii="Tahoma" w:hAnsi="Tahoma" w:cs="Tahoma"/>
                <w:sz w:val="13"/>
              </w:rPr>
            </w:pPr>
            <w:r w:rsidRPr="00BD7CEA">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15</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38</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30</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23</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23</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15</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P</w:t>
            </w:r>
          </w:p>
        </w:tc>
        <w:tc>
          <w:tcPr>
            <w:tcW w:w="450" w:type="dxa"/>
            <w:tcBorders>
              <w:bottom w:val="single" w:sz="4" w:space="0" w:color="auto"/>
            </w:tcBorders>
            <w:shd w:val="clear" w:color="auto" w:fill="auto"/>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w:t>
            </w: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r>
      <w:tr w:rsidR="00B33D0E" w:rsidRPr="00BD7CEA" w:rsidTr="006B1F3F">
        <w:trPr>
          <w:trHeight w:val="145"/>
        </w:trPr>
        <w:tc>
          <w:tcPr>
            <w:tcW w:w="2734" w:type="dxa"/>
            <w:gridSpan w:val="2"/>
            <w:tcBorders>
              <w:bottom w:val="single" w:sz="4" w:space="0" w:color="auto"/>
            </w:tcBorders>
            <w:shd w:val="clear" w:color="auto" w:fill="FABF8F"/>
            <w:vAlign w:val="center"/>
          </w:tcPr>
          <w:p w:rsidR="001A63C6" w:rsidRPr="007B74B7" w:rsidRDefault="001A63C6" w:rsidP="00872F47">
            <w:pPr>
              <w:pStyle w:val="ProductNames"/>
              <w:spacing w:beforeLines="20" w:before="48" w:afterLines="20" w:after="48"/>
              <w:rPr>
                <w:rFonts w:ascii="Tahoma" w:hAnsi="Tahoma" w:cs="Tahoma"/>
                <w:sz w:val="14"/>
                <w:lang w:val="it-IT"/>
              </w:rPr>
            </w:pPr>
            <w:bookmarkStart w:id="419" w:name="_Toc336338060"/>
            <w:bookmarkStart w:id="420" w:name="_Toc353375848"/>
            <w:r w:rsidRPr="007B74B7">
              <w:rPr>
                <w:rFonts w:ascii="Tahoma" w:hAnsi="Tahoma" w:cs="Tahoma"/>
                <w:sz w:val="14"/>
                <w:lang w:val="it-IT"/>
              </w:rPr>
              <w:t>SQL Server</w:t>
            </w:r>
            <w:r w:rsidR="00700C4B" w:rsidRPr="007B74B7">
              <w:rPr>
                <w:rFonts w:ascii="Tahoma" w:eastAsia="Times New Roman" w:hAnsi="Tahoma" w:cs="Tahoma"/>
                <w:color w:val="000000"/>
                <w:sz w:val="18"/>
                <w:szCs w:val="18"/>
                <w:vertAlign w:val="superscript"/>
                <w:lang w:val="it-IT"/>
              </w:rPr>
              <w:t>®</w:t>
            </w:r>
            <w:r w:rsidRPr="007B74B7">
              <w:rPr>
                <w:rFonts w:ascii="Tahoma" w:hAnsi="Tahoma" w:cs="Tahoma"/>
                <w:sz w:val="14"/>
                <w:lang w:val="it-IT"/>
              </w:rPr>
              <w:t xml:space="preserve"> 2012 Standard Core (2</w:t>
            </w:r>
            <w:r w:rsidR="00872F47" w:rsidRPr="007B74B7">
              <w:rPr>
                <w:rFonts w:ascii="Tahoma" w:hAnsi="Tahoma" w:cs="Tahoma"/>
                <w:sz w:val="14"/>
                <w:lang w:val="it-IT"/>
              </w:rPr>
              <w:t> </w:t>
            </w:r>
            <w:r w:rsidRPr="007B74B7">
              <w:rPr>
                <w:rFonts w:ascii="Tahoma" w:hAnsi="Tahoma" w:cs="Tahoma"/>
                <w:sz w:val="14"/>
                <w:lang w:val="it-IT"/>
              </w:rPr>
              <w:t>Licenze Core per confezione)</w:t>
            </w:r>
            <w:bookmarkEnd w:id="419"/>
            <w:bookmarkEnd w:id="420"/>
          </w:p>
        </w:tc>
        <w:tc>
          <w:tcPr>
            <w:tcW w:w="450" w:type="dxa"/>
            <w:tcBorders>
              <w:bottom w:val="single" w:sz="4" w:space="0" w:color="auto"/>
            </w:tcBorders>
            <w:shd w:val="clear" w:color="auto" w:fill="FABF8F"/>
            <w:vAlign w:val="center"/>
          </w:tcPr>
          <w:p w:rsidR="001A63C6" w:rsidRPr="00BD7CEA" w:rsidRDefault="006E5080" w:rsidP="002E59B1">
            <w:pPr>
              <w:pStyle w:val="TableText"/>
              <w:widowControl w:val="0"/>
              <w:rPr>
                <w:rStyle w:val="EndnoteReference"/>
                <w:rFonts w:cs="Tahoma"/>
                <w:b w:val="0"/>
                <w:color w:val="000000"/>
                <w:sz w:val="13"/>
                <w:szCs w:val="13"/>
                <w:u w:val="single"/>
              </w:rPr>
            </w:pPr>
            <w:hyperlink w:anchor="_84_SQL_Server®" w:history="1">
              <w:r w:rsidR="00955428" w:rsidRPr="00BD7CEA">
                <w:rPr>
                  <w:rStyle w:val="Hyperlink"/>
                  <w:b/>
                  <w:sz w:val="13"/>
                  <w:szCs w:val="13"/>
                </w:rPr>
                <w:t>84</w:t>
              </w:r>
            </w:hyperlink>
            <w:hyperlink w:anchor="Srv_91SQLServer2012StandardCore" w:history="1"/>
          </w:p>
        </w:tc>
        <w:tc>
          <w:tcPr>
            <w:tcW w:w="450" w:type="dxa"/>
            <w:tcBorders>
              <w:bottom w:val="single" w:sz="4" w:space="0" w:color="auto"/>
            </w:tcBorders>
            <w:shd w:val="clear" w:color="auto" w:fill="FABF8F"/>
          </w:tcPr>
          <w:p w:rsidR="001A63C6" w:rsidRPr="00BD7CEA" w:rsidRDefault="001A63C6" w:rsidP="001A63C6">
            <w:pPr>
              <w:pStyle w:val="TableText"/>
              <w:widowControl w:val="0"/>
              <w:spacing w:before="80"/>
              <w:rPr>
                <w:rFonts w:ascii="Tahoma" w:hAnsi="Tahoma" w:cs="Tahoma"/>
                <w:sz w:val="13"/>
              </w:rPr>
            </w:pPr>
            <w:r w:rsidRPr="00BD7CEA">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50</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125</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100</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75</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75</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50</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P</w:t>
            </w:r>
          </w:p>
        </w:tc>
        <w:tc>
          <w:tcPr>
            <w:tcW w:w="450" w:type="dxa"/>
            <w:tcBorders>
              <w:bottom w:val="single" w:sz="4" w:space="0" w:color="auto"/>
            </w:tcBorders>
            <w:shd w:val="clear" w:color="auto" w:fill="FABF8F"/>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w:t>
            </w:r>
          </w:p>
        </w:tc>
        <w:tc>
          <w:tcPr>
            <w:tcW w:w="54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OL/OV</w:t>
            </w:r>
          </w:p>
        </w:tc>
      </w:tr>
      <w:tr w:rsidR="001A63C6" w:rsidRPr="00BD7CEA" w:rsidTr="007E466C">
        <w:trPr>
          <w:trHeight w:val="145"/>
        </w:trPr>
        <w:tc>
          <w:tcPr>
            <w:tcW w:w="2734" w:type="dxa"/>
            <w:gridSpan w:val="2"/>
            <w:tcBorders>
              <w:bottom w:val="single" w:sz="4" w:space="0" w:color="auto"/>
            </w:tcBorders>
            <w:shd w:val="clear" w:color="auto" w:fill="auto"/>
            <w:vAlign w:val="center"/>
          </w:tcPr>
          <w:p w:rsidR="001A63C6" w:rsidRPr="007B74B7" w:rsidRDefault="001A63C6" w:rsidP="00095F5D">
            <w:pPr>
              <w:pStyle w:val="ProductNames"/>
              <w:spacing w:beforeLines="20" w:before="48" w:afterLines="20" w:after="48"/>
              <w:rPr>
                <w:rFonts w:ascii="Tahoma" w:hAnsi="Tahoma" w:cs="Tahoma"/>
                <w:sz w:val="14"/>
                <w:lang w:val="it-IT"/>
              </w:rPr>
            </w:pPr>
            <w:bookmarkStart w:id="421" w:name="_Toc336338062"/>
            <w:bookmarkStart w:id="422" w:name="_Toc353375849"/>
            <w:r w:rsidRPr="007B74B7">
              <w:rPr>
                <w:rFonts w:ascii="Tahoma" w:hAnsi="Tahoma" w:cs="Tahoma"/>
                <w:sz w:val="14"/>
                <w:lang w:val="it-IT"/>
              </w:rPr>
              <w:t>Licenza di Gestione Server Enterprise per</w:t>
            </w:r>
            <w:r w:rsidR="00095F5D" w:rsidRPr="007B74B7">
              <w:rPr>
                <w:rFonts w:ascii="Tahoma" w:hAnsi="Tahoma" w:cs="Tahoma"/>
                <w:sz w:val="14"/>
                <w:lang w:val="it-IT"/>
              </w:rPr>
              <w:t> </w:t>
            </w:r>
            <w:r w:rsidRPr="007B74B7">
              <w:rPr>
                <w:rFonts w:ascii="Tahoma" w:hAnsi="Tahoma" w:cs="Tahoma"/>
                <w:sz w:val="14"/>
                <w:lang w:val="it-IT"/>
              </w:rPr>
              <w:t>System Center Configuration Manager</w:t>
            </w:r>
            <w:r w:rsidR="00872F47" w:rsidRPr="007B74B7">
              <w:rPr>
                <w:rFonts w:ascii="Tahoma" w:hAnsi="Tahoma" w:cs="Tahoma"/>
                <w:sz w:val="14"/>
                <w:lang w:val="it-IT"/>
              </w:rPr>
              <w:t> </w:t>
            </w:r>
            <w:r w:rsidRPr="007B74B7">
              <w:rPr>
                <w:rFonts w:ascii="Tahoma" w:hAnsi="Tahoma" w:cs="Tahoma"/>
                <w:sz w:val="14"/>
                <w:lang w:val="it-IT"/>
              </w:rPr>
              <w:t>2007 R3</w:t>
            </w:r>
            <w:bookmarkEnd w:id="421"/>
            <w:bookmarkEnd w:id="422"/>
            <w:r w:rsidRPr="007B74B7">
              <w:rPr>
                <w:rFonts w:ascii="Tahoma" w:hAnsi="Tahoma" w:cs="Tahoma"/>
                <w:sz w:val="14"/>
                <w:lang w:val="it-IT"/>
              </w:rPr>
              <w:t xml:space="preserve"> </w:t>
            </w:r>
          </w:p>
        </w:tc>
        <w:tc>
          <w:tcPr>
            <w:tcW w:w="450" w:type="dxa"/>
            <w:tcBorders>
              <w:bottom w:val="single" w:sz="4" w:space="0" w:color="auto"/>
            </w:tcBorders>
            <w:shd w:val="clear" w:color="auto" w:fill="auto"/>
            <w:vAlign w:val="center"/>
          </w:tcPr>
          <w:p w:rsidR="001A63C6" w:rsidRPr="007B74B7" w:rsidRDefault="001A63C6" w:rsidP="001A63C6">
            <w:pPr>
              <w:pStyle w:val="TableText"/>
              <w:widowControl w:val="0"/>
              <w:rPr>
                <w:rStyle w:val="EndnoteReference"/>
                <w:color w:val="0000FF"/>
                <w:sz w:val="13"/>
                <w:szCs w:val="13"/>
                <w:u w:val="single"/>
                <w:lang w:val="it-IT"/>
              </w:rPr>
            </w:pPr>
          </w:p>
        </w:tc>
        <w:tc>
          <w:tcPr>
            <w:tcW w:w="450" w:type="dxa"/>
            <w:tcBorders>
              <w:bottom w:val="single" w:sz="4" w:space="0" w:color="auto"/>
            </w:tcBorders>
            <w:shd w:val="clear" w:color="auto" w:fill="auto"/>
          </w:tcPr>
          <w:p w:rsidR="001A63C6" w:rsidRPr="00BD7CEA" w:rsidRDefault="001A63C6" w:rsidP="001A63C6">
            <w:pPr>
              <w:pStyle w:val="TableText"/>
              <w:widowControl w:val="0"/>
              <w:spacing w:before="180"/>
              <w:rPr>
                <w:rFonts w:ascii="Tahoma" w:hAnsi="Tahoma" w:cs="Tahoma"/>
                <w:color w:val="000000"/>
                <w:sz w:val="13"/>
              </w:rPr>
            </w:pPr>
            <w:r w:rsidRPr="00BD7CEA">
              <w:rPr>
                <w:rFonts w:ascii="Tahoma" w:hAnsi="Tahoma" w:cs="Tahoma"/>
                <w:color w:val="000000"/>
                <w:sz w:val="13"/>
              </w:rPr>
              <w:t>11/10</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A</w:t>
            </w: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r>
      <w:tr w:rsidR="00B33D0E" w:rsidRPr="00BD7CEA" w:rsidTr="006B1F3F">
        <w:trPr>
          <w:trHeight w:val="145"/>
        </w:trPr>
        <w:tc>
          <w:tcPr>
            <w:tcW w:w="2734" w:type="dxa"/>
            <w:gridSpan w:val="2"/>
            <w:tcBorders>
              <w:bottom w:val="single" w:sz="4" w:space="0" w:color="auto"/>
            </w:tcBorders>
            <w:shd w:val="clear" w:color="auto" w:fill="FABF8F"/>
            <w:vAlign w:val="center"/>
          </w:tcPr>
          <w:p w:rsidR="001A63C6" w:rsidRPr="007B74B7" w:rsidRDefault="001A63C6" w:rsidP="00E215F4">
            <w:pPr>
              <w:pStyle w:val="ProductNames"/>
              <w:spacing w:beforeLines="20" w:before="48" w:afterLines="20" w:after="48"/>
              <w:rPr>
                <w:rFonts w:ascii="Tahoma" w:hAnsi="Tahoma" w:cs="Tahoma"/>
                <w:sz w:val="14"/>
                <w:lang w:val="it-IT"/>
              </w:rPr>
            </w:pPr>
            <w:bookmarkStart w:id="423" w:name="_Toc336338063"/>
            <w:bookmarkStart w:id="424" w:name="_Toc353375850"/>
            <w:r w:rsidRPr="007B74B7">
              <w:rPr>
                <w:rFonts w:ascii="Tahoma" w:hAnsi="Tahoma" w:cs="Tahoma"/>
                <w:sz w:val="14"/>
                <w:lang w:val="it-IT"/>
              </w:rPr>
              <w:t>Licenza di Gestione Server Standard (Standard Server ML) per System Center Configuration Manager 2007 R3</w:t>
            </w:r>
            <w:bookmarkEnd w:id="423"/>
            <w:bookmarkEnd w:id="424"/>
          </w:p>
        </w:tc>
        <w:tc>
          <w:tcPr>
            <w:tcW w:w="450" w:type="dxa"/>
            <w:tcBorders>
              <w:bottom w:val="single" w:sz="4" w:space="0" w:color="auto"/>
            </w:tcBorders>
            <w:shd w:val="clear" w:color="auto" w:fill="FABF8F"/>
            <w:vAlign w:val="center"/>
          </w:tcPr>
          <w:p w:rsidR="001A63C6" w:rsidRPr="007B74B7" w:rsidRDefault="001A63C6" w:rsidP="001A63C6">
            <w:pPr>
              <w:pStyle w:val="TableText"/>
              <w:widowControl w:val="0"/>
              <w:rPr>
                <w:rStyle w:val="EndnoteReference"/>
                <w:color w:val="0000FF"/>
                <w:sz w:val="13"/>
                <w:szCs w:val="13"/>
                <w:u w:val="single"/>
                <w:lang w:val="it-IT"/>
              </w:rPr>
            </w:pPr>
          </w:p>
        </w:tc>
        <w:tc>
          <w:tcPr>
            <w:tcW w:w="450" w:type="dxa"/>
            <w:tcBorders>
              <w:bottom w:val="single" w:sz="4" w:space="0" w:color="auto"/>
            </w:tcBorders>
            <w:shd w:val="clear" w:color="auto" w:fill="FABF8F"/>
          </w:tcPr>
          <w:p w:rsidR="001A63C6" w:rsidRPr="00BD7CEA" w:rsidRDefault="001A63C6" w:rsidP="001A63C6">
            <w:pPr>
              <w:pStyle w:val="TableText"/>
              <w:widowControl w:val="0"/>
              <w:spacing w:before="180"/>
              <w:rPr>
                <w:rFonts w:ascii="Tahoma" w:hAnsi="Tahoma" w:cs="Tahoma"/>
                <w:color w:val="000000"/>
                <w:sz w:val="13"/>
              </w:rPr>
            </w:pPr>
            <w:r w:rsidRPr="00BD7CEA">
              <w:rPr>
                <w:rFonts w:ascii="Tahoma"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sz w:val="13"/>
              </w:rPr>
              <w:t>A</w:t>
            </w:r>
          </w:p>
        </w:tc>
        <w:tc>
          <w:tcPr>
            <w:tcW w:w="54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r>
      <w:tr w:rsidR="001A63C6" w:rsidRPr="00BD7CEA" w:rsidTr="007E466C">
        <w:trPr>
          <w:trHeight w:val="145"/>
        </w:trPr>
        <w:tc>
          <w:tcPr>
            <w:tcW w:w="2734" w:type="dxa"/>
            <w:gridSpan w:val="2"/>
            <w:tcBorders>
              <w:bottom w:val="single" w:sz="4" w:space="0" w:color="auto"/>
            </w:tcBorders>
            <w:shd w:val="clear" w:color="auto" w:fill="auto"/>
            <w:vAlign w:val="center"/>
          </w:tcPr>
          <w:p w:rsidR="001A63C6" w:rsidRPr="007B74B7" w:rsidRDefault="001A63C6" w:rsidP="00872F47">
            <w:pPr>
              <w:pStyle w:val="ProductNames"/>
              <w:spacing w:beforeLines="10" w:before="24" w:afterLines="10" w:after="24"/>
              <w:rPr>
                <w:rFonts w:ascii="Tahoma" w:hAnsi="Tahoma" w:cs="Tahoma"/>
                <w:sz w:val="14"/>
                <w:lang w:val="it-IT"/>
              </w:rPr>
            </w:pPr>
            <w:bookmarkStart w:id="425" w:name="_Toc257333903"/>
            <w:bookmarkStart w:id="426" w:name="_Toc336338067"/>
            <w:bookmarkStart w:id="427" w:name="_Toc353375851"/>
            <w:r w:rsidRPr="007B74B7">
              <w:rPr>
                <w:rFonts w:ascii="Tahoma" w:hAnsi="Tahoma" w:cs="Tahoma"/>
                <w:sz w:val="14"/>
                <w:lang w:val="it-IT"/>
              </w:rPr>
              <w:t>Licenza di Gestione Server Enterprise per</w:t>
            </w:r>
            <w:r w:rsidR="00095F5D" w:rsidRPr="007B74B7">
              <w:rPr>
                <w:rFonts w:ascii="Tahoma" w:hAnsi="Tahoma" w:cs="Tahoma"/>
                <w:sz w:val="14"/>
                <w:lang w:val="it-IT"/>
              </w:rPr>
              <w:t> </w:t>
            </w:r>
            <w:r w:rsidRPr="007B74B7">
              <w:rPr>
                <w:rFonts w:ascii="Tahoma" w:hAnsi="Tahoma" w:cs="Tahoma"/>
                <w:sz w:val="14"/>
                <w:lang w:val="it-IT"/>
              </w:rPr>
              <w:t>System Center Data Protection Manager</w:t>
            </w:r>
            <w:r w:rsidR="00872F47" w:rsidRPr="007B74B7">
              <w:rPr>
                <w:rFonts w:ascii="Tahoma" w:hAnsi="Tahoma" w:cs="Tahoma"/>
                <w:sz w:val="14"/>
                <w:lang w:val="it-IT"/>
              </w:rPr>
              <w:t> </w:t>
            </w:r>
            <w:r w:rsidRPr="007B74B7">
              <w:rPr>
                <w:rFonts w:ascii="Tahoma" w:hAnsi="Tahoma" w:cs="Tahoma"/>
                <w:sz w:val="14"/>
                <w:lang w:val="it-IT"/>
              </w:rPr>
              <w:t>2010</w:t>
            </w:r>
            <w:bookmarkEnd w:id="425"/>
            <w:bookmarkEnd w:id="426"/>
            <w:bookmarkEnd w:id="427"/>
            <w:r w:rsidRPr="007B74B7">
              <w:rPr>
                <w:rFonts w:ascii="Tahoma" w:hAnsi="Tahoma" w:cs="Tahoma"/>
                <w:sz w:val="14"/>
                <w:lang w:val="it-IT"/>
              </w:rPr>
              <w:t xml:space="preserve"> </w:t>
            </w:r>
          </w:p>
        </w:tc>
        <w:tc>
          <w:tcPr>
            <w:tcW w:w="450" w:type="dxa"/>
            <w:tcBorders>
              <w:bottom w:val="single" w:sz="4" w:space="0" w:color="auto"/>
            </w:tcBorders>
            <w:shd w:val="clear" w:color="auto" w:fill="auto"/>
            <w:vAlign w:val="center"/>
          </w:tcPr>
          <w:p w:rsidR="001A63C6" w:rsidRPr="007B74B7" w:rsidRDefault="001A63C6" w:rsidP="001A63C6">
            <w:pPr>
              <w:pStyle w:val="TableText"/>
              <w:widowControl w:val="0"/>
              <w:jc w:val="left"/>
              <w:rPr>
                <w:rStyle w:val="EndnoteReference"/>
                <w:sz w:val="13"/>
                <w:szCs w:val="13"/>
                <w:u w:val="single"/>
                <w:lang w:val="it-IT"/>
              </w:rPr>
            </w:pPr>
          </w:p>
        </w:tc>
        <w:tc>
          <w:tcPr>
            <w:tcW w:w="450" w:type="dxa"/>
            <w:tcBorders>
              <w:bottom w:val="single" w:sz="4" w:space="0" w:color="auto"/>
            </w:tcBorders>
            <w:shd w:val="clear" w:color="auto" w:fill="auto"/>
          </w:tcPr>
          <w:p w:rsidR="001A63C6" w:rsidRPr="00BD7CEA" w:rsidRDefault="001A63C6" w:rsidP="001A63C6">
            <w:pPr>
              <w:pStyle w:val="TableText"/>
              <w:widowControl w:val="0"/>
              <w:spacing w:before="180"/>
              <w:rPr>
                <w:rFonts w:ascii="Tahoma" w:hAnsi="Tahoma" w:cs="Tahoma"/>
                <w:color w:val="000000"/>
                <w:sz w:val="13"/>
              </w:rPr>
            </w:pPr>
            <w:r w:rsidRPr="00BD7CEA">
              <w:rPr>
                <w:rFonts w:ascii="Tahoma" w:hAnsi="Tahoma" w:cs="Tahoma"/>
                <w:sz w:val="13"/>
              </w:rPr>
              <w:t>06/10</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sz w:val="13"/>
              </w:rPr>
              <w:t>AO, ST</w:t>
            </w: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r>
      <w:tr w:rsidR="00B33D0E" w:rsidRPr="00BD7CEA" w:rsidTr="006B1F3F">
        <w:trPr>
          <w:trHeight w:val="145"/>
        </w:trPr>
        <w:tc>
          <w:tcPr>
            <w:tcW w:w="2734" w:type="dxa"/>
            <w:gridSpan w:val="2"/>
            <w:tcBorders>
              <w:bottom w:val="single" w:sz="4" w:space="0" w:color="auto"/>
            </w:tcBorders>
            <w:shd w:val="clear" w:color="auto" w:fill="FABF8F"/>
            <w:vAlign w:val="center"/>
          </w:tcPr>
          <w:p w:rsidR="001A63C6" w:rsidRPr="007B74B7" w:rsidRDefault="001A63C6" w:rsidP="00872F47">
            <w:pPr>
              <w:pStyle w:val="ProductNames"/>
              <w:spacing w:beforeLines="10" w:before="24" w:afterLines="10" w:after="24"/>
              <w:rPr>
                <w:rFonts w:ascii="Tahoma" w:hAnsi="Tahoma" w:cs="Tahoma"/>
                <w:sz w:val="14"/>
                <w:lang w:val="it-IT"/>
              </w:rPr>
            </w:pPr>
            <w:bookmarkStart w:id="428" w:name="_Toc257333904"/>
            <w:bookmarkStart w:id="429" w:name="_Toc336338068"/>
            <w:bookmarkStart w:id="430" w:name="_Toc353375852"/>
            <w:r w:rsidRPr="007B74B7">
              <w:rPr>
                <w:rFonts w:ascii="Tahoma" w:hAnsi="Tahoma" w:cs="Tahoma"/>
                <w:sz w:val="14"/>
                <w:lang w:val="it-IT"/>
              </w:rPr>
              <w:t>Licenza di Gestione Server Standard per</w:t>
            </w:r>
            <w:r w:rsidR="00095F5D" w:rsidRPr="007B74B7">
              <w:rPr>
                <w:rFonts w:ascii="Tahoma" w:hAnsi="Tahoma" w:cs="Tahoma"/>
                <w:sz w:val="14"/>
                <w:lang w:val="it-IT"/>
              </w:rPr>
              <w:t> </w:t>
            </w:r>
            <w:r w:rsidRPr="007B74B7">
              <w:rPr>
                <w:rFonts w:ascii="Tahoma" w:hAnsi="Tahoma" w:cs="Tahoma"/>
                <w:sz w:val="14"/>
                <w:lang w:val="it-IT"/>
              </w:rPr>
              <w:t>System Center Data Protection Manager</w:t>
            </w:r>
            <w:r w:rsidR="00872F47" w:rsidRPr="007B74B7">
              <w:rPr>
                <w:rFonts w:ascii="Tahoma" w:hAnsi="Tahoma" w:cs="Tahoma"/>
                <w:sz w:val="14"/>
                <w:lang w:val="it-IT"/>
              </w:rPr>
              <w:t> </w:t>
            </w:r>
            <w:r w:rsidRPr="007B74B7">
              <w:rPr>
                <w:rFonts w:ascii="Tahoma" w:hAnsi="Tahoma" w:cs="Tahoma"/>
                <w:sz w:val="14"/>
                <w:lang w:val="it-IT"/>
              </w:rPr>
              <w:t>2010</w:t>
            </w:r>
            <w:bookmarkEnd w:id="428"/>
            <w:bookmarkEnd w:id="429"/>
            <w:bookmarkEnd w:id="430"/>
            <w:r w:rsidRPr="007B74B7">
              <w:rPr>
                <w:rFonts w:ascii="Tahoma" w:hAnsi="Tahoma" w:cs="Tahoma"/>
                <w:sz w:val="14"/>
                <w:lang w:val="it-IT"/>
              </w:rPr>
              <w:t xml:space="preserve"> </w:t>
            </w:r>
          </w:p>
        </w:tc>
        <w:tc>
          <w:tcPr>
            <w:tcW w:w="450" w:type="dxa"/>
            <w:tcBorders>
              <w:bottom w:val="single" w:sz="4" w:space="0" w:color="auto"/>
            </w:tcBorders>
            <w:shd w:val="clear" w:color="auto" w:fill="FABF8F"/>
            <w:vAlign w:val="center"/>
          </w:tcPr>
          <w:p w:rsidR="001A63C6" w:rsidRPr="007B74B7" w:rsidRDefault="001A63C6" w:rsidP="001A63C6">
            <w:pPr>
              <w:pStyle w:val="TableText"/>
              <w:widowControl w:val="0"/>
              <w:rPr>
                <w:rStyle w:val="EndnoteReference"/>
                <w:color w:val="0000FF"/>
                <w:sz w:val="13"/>
                <w:szCs w:val="13"/>
                <w:u w:val="single"/>
                <w:lang w:val="it-IT"/>
              </w:rPr>
            </w:pPr>
          </w:p>
        </w:tc>
        <w:tc>
          <w:tcPr>
            <w:tcW w:w="450" w:type="dxa"/>
            <w:tcBorders>
              <w:bottom w:val="single" w:sz="4" w:space="0" w:color="auto"/>
            </w:tcBorders>
            <w:shd w:val="clear" w:color="auto" w:fill="FABF8F"/>
          </w:tcPr>
          <w:p w:rsidR="001A63C6" w:rsidRPr="00BD7CEA" w:rsidRDefault="001A63C6" w:rsidP="001A63C6">
            <w:pPr>
              <w:pStyle w:val="TableText"/>
              <w:widowControl w:val="0"/>
              <w:spacing w:before="180"/>
              <w:rPr>
                <w:rFonts w:ascii="Tahoma" w:hAnsi="Tahoma" w:cs="Tahoma"/>
                <w:color w:val="000000"/>
                <w:sz w:val="13"/>
              </w:rPr>
            </w:pPr>
            <w:r w:rsidRPr="00BD7CEA">
              <w:rPr>
                <w:rFonts w:ascii="Tahoma" w:hAnsi="Tahoma" w:cs="Tahoma"/>
                <w:sz w:val="13"/>
              </w:rPr>
              <w:t>06/10</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sz w:val="13"/>
              </w:rPr>
              <w:t>AO, ST</w:t>
            </w:r>
          </w:p>
        </w:tc>
        <w:tc>
          <w:tcPr>
            <w:tcW w:w="54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r>
      <w:tr w:rsidR="001A63C6" w:rsidRPr="00BD7CEA" w:rsidTr="007E466C">
        <w:trPr>
          <w:trHeight w:val="145"/>
        </w:trPr>
        <w:tc>
          <w:tcPr>
            <w:tcW w:w="2734" w:type="dxa"/>
            <w:gridSpan w:val="2"/>
            <w:tcBorders>
              <w:bottom w:val="single" w:sz="4" w:space="0" w:color="auto"/>
            </w:tcBorders>
            <w:shd w:val="clear" w:color="auto" w:fill="auto"/>
            <w:vAlign w:val="center"/>
          </w:tcPr>
          <w:p w:rsidR="001A63C6" w:rsidRPr="00BD7CEA" w:rsidRDefault="001A63C6" w:rsidP="00E215F4">
            <w:pPr>
              <w:pStyle w:val="ProductNames"/>
              <w:spacing w:beforeLines="20" w:before="48" w:afterLines="20" w:after="48"/>
              <w:rPr>
                <w:rFonts w:ascii="Tahoma" w:hAnsi="Tahoma" w:cs="Tahoma"/>
                <w:sz w:val="14"/>
              </w:rPr>
            </w:pPr>
            <w:bookmarkStart w:id="431" w:name="_Toc336338069"/>
            <w:bookmarkStart w:id="432" w:name="_Toc353375853"/>
            <w:bookmarkStart w:id="433" w:name="_Toc257333905"/>
            <w:r w:rsidRPr="00BD7CEA">
              <w:rPr>
                <w:rFonts w:ascii="Tahoma" w:hAnsi="Tahoma" w:cs="Tahoma"/>
                <w:sz w:val="14"/>
              </w:rPr>
              <w:lastRenderedPageBreak/>
              <w:t>System Center Essentials 2010</w:t>
            </w:r>
            <w:bookmarkEnd w:id="431"/>
            <w:bookmarkEnd w:id="432"/>
            <w:r w:rsidRPr="00BD7CEA">
              <w:rPr>
                <w:rFonts w:ascii="Tahoma" w:hAnsi="Tahoma" w:cs="Tahoma"/>
                <w:sz w:val="14"/>
              </w:rPr>
              <w:t xml:space="preserve"> </w:t>
            </w:r>
            <w:bookmarkEnd w:id="433"/>
          </w:p>
        </w:tc>
        <w:tc>
          <w:tcPr>
            <w:tcW w:w="450" w:type="dxa"/>
            <w:tcBorders>
              <w:bottom w:val="single" w:sz="4" w:space="0" w:color="auto"/>
            </w:tcBorders>
            <w:shd w:val="clear" w:color="auto" w:fill="auto"/>
            <w:vAlign w:val="center"/>
          </w:tcPr>
          <w:p w:rsidR="001A63C6" w:rsidRPr="00BD7CEA" w:rsidRDefault="006E5080" w:rsidP="002E59B1">
            <w:pPr>
              <w:pStyle w:val="TableText"/>
              <w:widowControl w:val="0"/>
              <w:rPr>
                <w:rStyle w:val="EndnoteReference"/>
                <w:b w:val="0"/>
                <w:color w:val="0000FF"/>
                <w:sz w:val="13"/>
                <w:szCs w:val="13"/>
                <w:u w:val="single"/>
              </w:rPr>
            </w:pPr>
            <w:hyperlink w:anchor="_79_System_Center" w:history="1">
              <w:r w:rsidR="00955428" w:rsidRPr="00BD7CEA">
                <w:rPr>
                  <w:rStyle w:val="Hyperlink"/>
                  <w:b/>
                  <w:sz w:val="13"/>
                  <w:szCs w:val="13"/>
                </w:rPr>
                <w:t>85</w:t>
              </w:r>
            </w:hyperlink>
          </w:p>
        </w:tc>
        <w:tc>
          <w:tcPr>
            <w:tcW w:w="450" w:type="dxa"/>
            <w:tcBorders>
              <w:bottom w:val="single" w:sz="4" w:space="0" w:color="auto"/>
            </w:tcBorders>
            <w:shd w:val="clear" w:color="auto" w:fill="auto"/>
          </w:tcPr>
          <w:p w:rsidR="001A63C6" w:rsidRPr="00BD7CEA" w:rsidRDefault="001A63C6" w:rsidP="001A63C6">
            <w:pPr>
              <w:pStyle w:val="TableText"/>
              <w:widowControl w:val="0"/>
              <w:spacing w:before="12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1A63C6" w:rsidRPr="00BD7CEA"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r>
      <w:tr w:rsidR="00B33D0E" w:rsidRPr="00BD7CEA" w:rsidTr="006B1F3F">
        <w:trPr>
          <w:trHeight w:val="145"/>
        </w:trPr>
        <w:tc>
          <w:tcPr>
            <w:tcW w:w="2734" w:type="dxa"/>
            <w:gridSpan w:val="2"/>
            <w:tcBorders>
              <w:bottom w:val="single" w:sz="4" w:space="0" w:color="auto"/>
            </w:tcBorders>
            <w:shd w:val="clear" w:color="auto" w:fill="FABF8F"/>
            <w:vAlign w:val="center"/>
          </w:tcPr>
          <w:p w:rsidR="001A63C6" w:rsidRPr="00BD7CEA" w:rsidRDefault="001A63C6" w:rsidP="00872F47">
            <w:pPr>
              <w:pStyle w:val="ProductNames"/>
              <w:spacing w:beforeLines="20" w:before="48" w:afterLines="20" w:after="48"/>
              <w:rPr>
                <w:rFonts w:ascii="Tahoma" w:hAnsi="Tahoma" w:cs="Tahoma"/>
                <w:sz w:val="14"/>
              </w:rPr>
            </w:pPr>
            <w:bookmarkStart w:id="434" w:name="_Toc257333906"/>
            <w:bookmarkStart w:id="435" w:name="_Toc336338070"/>
            <w:bookmarkStart w:id="436" w:name="_Toc353375854"/>
            <w:r w:rsidRPr="00BD7CEA">
              <w:rPr>
                <w:rFonts w:ascii="Tahoma" w:hAnsi="Tahoma" w:cs="Tahoma"/>
                <w:sz w:val="14"/>
              </w:rPr>
              <w:t>Client ML per System Center Essentials</w:t>
            </w:r>
            <w:r w:rsidR="00872F47" w:rsidRPr="00BD7CEA">
              <w:rPr>
                <w:rFonts w:ascii="Tahoma" w:hAnsi="Tahoma" w:cs="Tahoma"/>
                <w:sz w:val="14"/>
              </w:rPr>
              <w:t> </w:t>
            </w:r>
            <w:r w:rsidRPr="00BD7CEA">
              <w:rPr>
                <w:rFonts w:ascii="Tahoma" w:hAnsi="Tahoma" w:cs="Tahoma"/>
                <w:sz w:val="14"/>
              </w:rPr>
              <w:t>2010</w:t>
            </w:r>
            <w:bookmarkEnd w:id="434"/>
            <w:bookmarkEnd w:id="435"/>
            <w:bookmarkEnd w:id="436"/>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Style w:val="EndnoteReference"/>
                <w:sz w:val="13"/>
                <w:szCs w:val="13"/>
                <w:u w:val="single"/>
              </w:rPr>
            </w:pPr>
          </w:p>
        </w:tc>
        <w:tc>
          <w:tcPr>
            <w:tcW w:w="450" w:type="dxa"/>
            <w:tcBorders>
              <w:bottom w:val="single" w:sz="4" w:space="0" w:color="auto"/>
            </w:tcBorders>
            <w:shd w:val="clear" w:color="auto" w:fill="FABF8F"/>
          </w:tcPr>
          <w:p w:rsidR="001A63C6" w:rsidRPr="00BD7CEA" w:rsidRDefault="001A63C6" w:rsidP="001A63C6">
            <w:pPr>
              <w:pStyle w:val="TableText"/>
              <w:widowControl w:val="0"/>
              <w:spacing w:before="10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1</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1</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BD7CEA"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r>
      <w:tr w:rsidR="001A63C6" w:rsidRPr="00BD7CEA" w:rsidTr="007E466C">
        <w:trPr>
          <w:trHeight w:val="145"/>
        </w:trPr>
        <w:tc>
          <w:tcPr>
            <w:tcW w:w="2734" w:type="dxa"/>
            <w:gridSpan w:val="2"/>
            <w:tcBorders>
              <w:bottom w:val="single" w:sz="4" w:space="0" w:color="auto"/>
            </w:tcBorders>
            <w:shd w:val="clear" w:color="auto" w:fill="auto"/>
            <w:vAlign w:val="center"/>
          </w:tcPr>
          <w:p w:rsidR="001A63C6" w:rsidRPr="00BD7CEA" w:rsidRDefault="001A63C6" w:rsidP="00872F47">
            <w:pPr>
              <w:pStyle w:val="ProductNames"/>
              <w:spacing w:beforeLines="20" w:before="48" w:afterLines="20" w:after="48"/>
              <w:rPr>
                <w:rFonts w:ascii="Tahoma" w:hAnsi="Tahoma" w:cs="Tahoma"/>
                <w:sz w:val="14"/>
              </w:rPr>
            </w:pPr>
            <w:bookmarkStart w:id="437" w:name="_Toc257333908"/>
            <w:bookmarkStart w:id="438" w:name="_Toc336338071"/>
            <w:bookmarkStart w:id="439" w:name="_Toc353375855"/>
            <w:r w:rsidRPr="00BD7CEA">
              <w:rPr>
                <w:rFonts w:ascii="Tahoma" w:hAnsi="Tahoma" w:cs="Tahoma"/>
                <w:sz w:val="14"/>
              </w:rPr>
              <w:t>Server ML per System Center Essentials</w:t>
            </w:r>
            <w:r w:rsidR="00872F47" w:rsidRPr="00BD7CEA">
              <w:rPr>
                <w:rFonts w:ascii="Tahoma" w:hAnsi="Tahoma" w:cs="Tahoma"/>
                <w:sz w:val="14"/>
              </w:rPr>
              <w:t> </w:t>
            </w:r>
            <w:r w:rsidRPr="00BD7CEA">
              <w:rPr>
                <w:rFonts w:ascii="Tahoma" w:hAnsi="Tahoma" w:cs="Tahoma"/>
                <w:sz w:val="14"/>
              </w:rPr>
              <w:t>2010</w:t>
            </w:r>
            <w:bookmarkEnd w:id="437"/>
            <w:bookmarkEnd w:id="438"/>
            <w:bookmarkEnd w:id="439"/>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Style w:val="EndnoteReference"/>
                <w:sz w:val="13"/>
                <w:szCs w:val="13"/>
                <w:u w:val="single"/>
              </w:rPr>
            </w:pPr>
          </w:p>
        </w:tc>
        <w:tc>
          <w:tcPr>
            <w:tcW w:w="450" w:type="dxa"/>
            <w:tcBorders>
              <w:bottom w:val="single" w:sz="4" w:space="0" w:color="auto"/>
            </w:tcBorders>
            <w:shd w:val="clear" w:color="auto" w:fill="auto"/>
          </w:tcPr>
          <w:p w:rsidR="001A63C6" w:rsidRPr="00BD7CEA" w:rsidRDefault="001A63C6" w:rsidP="001A63C6">
            <w:pPr>
              <w:pStyle w:val="TableText"/>
              <w:widowControl w:val="0"/>
              <w:spacing w:before="8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1A63C6" w:rsidRPr="00BD7CEA"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r>
      <w:tr w:rsidR="00B33D0E" w:rsidRPr="00BD7CEA" w:rsidTr="006B1F3F">
        <w:trPr>
          <w:trHeight w:val="145"/>
        </w:trPr>
        <w:tc>
          <w:tcPr>
            <w:tcW w:w="2734" w:type="dxa"/>
            <w:gridSpan w:val="2"/>
            <w:tcBorders>
              <w:bottom w:val="single" w:sz="4" w:space="0" w:color="auto"/>
            </w:tcBorders>
            <w:shd w:val="clear" w:color="auto" w:fill="FABF8F"/>
            <w:vAlign w:val="center"/>
          </w:tcPr>
          <w:p w:rsidR="001A63C6" w:rsidRPr="00BD7CEA" w:rsidRDefault="001A63C6" w:rsidP="00E215F4">
            <w:pPr>
              <w:pStyle w:val="ProductNames"/>
              <w:spacing w:beforeLines="20" w:before="48" w:afterLines="20" w:after="48"/>
              <w:rPr>
                <w:rFonts w:ascii="Tahoma" w:hAnsi="Tahoma" w:cs="Tahoma"/>
                <w:sz w:val="14"/>
              </w:rPr>
            </w:pPr>
            <w:bookmarkStart w:id="440" w:name="_Toc336338072"/>
            <w:bookmarkStart w:id="441" w:name="_Toc353375856"/>
            <w:bookmarkStart w:id="442" w:name="_Toc257333910"/>
            <w:r w:rsidRPr="00BD7CEA">
              <w:rPr>
                <w:rFonts w:ascii="Tahoma" w:hAnsi="Tahoma" w:cs="Tahoma"/>
                <w:sz w:val="14"/>
              </w:rPr>
              <w:t>System Center Essentials 2010 con Tecnologia SQL Server 2008</w:t>
            </w:r>
            <w:bookmarkEnd w:id="440"/>
            <w:bookmarkEnd w:id="441"/>
            <w:r w:rsidRPr="00BD7CEA">
              <w:rPr>
                <w:rFonts w:ascii="Tahoma" w:hAnsi="Tahoma" w:cs="Tahoma"/>
                <w:sz w:val="14"/>
              </w:rPr>
              <w:t xml:space="preserve"> </w:t>
            </w:r>
            <w:bookmarkEnd w:id="442"/>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Style w:val="EndnoteReference"/>
                <w:sz w:val="13"/>
                <w:szCs w:val="13"/>
                <w:u w:val="single"/>
              </w:rPr>
            </w:pPr>
          </w:p>
        </w:tc>
        <w:tc>
          <w:tcPr>
            <w:tcW w:w="450" w:type="dxa"/>
            <w:tcBorders>
              <w:bottom w:val="single" w:sz="4" w:space="0" w:color="auto"/>
            </w:tcBorders>
            <w:shd w:val="clear" w:color="auto" w:fill="FABF8F"/>
          </w:tcPr>
          <w:p w:rsidR="001A63C6" w:rsidRPr="00BD7CEA" w:rsidRDefault="001A63C6" w:rsidP="001A63C6">
            <w:pPr>
              <w:pStyle w:val="TableText"/>
              <w:widowControl w:val="0"/>
              <w:spacing w:before="20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10</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BD7CEA"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r>
      <w:tr w:rsidR="001A63C6" w:rsidRPr="00BD7CEA" w:rsidTr="007E466C">
        <w:trPr>
          <w:trHeight w:val="145"/>
        </w:trPr>
        <w:tc>
          <w:tcPr>
            <w:tcW w:w="2734" w:type="dxa"/>
            <w:gridSpan w:val="2"/>
            <w:tcBorders>
              <w:bottom w:val="single" w:sz="4" w:space="0" w:color="auto"/>
            </w:tcBorders>
            <w:shd w:val="clear" w:color="auto" w:fill="auto"/>
            <w:vAlign w:val="center"/>
          </w:tcPr>
          <w:p w:rsidR="001A63C6" w:rsidRPr="007B74B7" w:rsidRDefault="001A63C6" w:rsidP="00E215F4">
            <w:pPr>
              <w:pStyle w:val="ProductNames"/>
              <w:spacing w:beforeLines="20" w:before="48" w:afterLines="20" w:after="48"/>
              <w:rPr>
                <w:rFonts w:ascii="Tahoma" w:hAnsi="Tahoma" w:cs="Tahoma"/>
                <w:sz w:val="14"/>
                <w:lang w:val="it-IT"/>
              </w:rPr>
            </w:pPr>
            <w:bookmarkStart w:id="443" w:name="_Toc336338073"/>
            <w:bookmarkStart w:id="444" w:name="_Toc353375857"/>
            <w:r w:rsidRPr="007B74B7">
              <w:rPr>
                <w:rFonts w:ascii="Tahoma" w:hAnsi="Tahoma" w:cs="Tahoma"/>
                <w:sz w:val="14"/>
                <w:lang w:val="it-IT"/>
              </w:rPr>
              <w:t>Suite di Licenza di Gestione Client per System Center Essentials Plus 2010</w:t>
            </w:r>
            <w:bookmarkEnd w:id="443"/>
            <w:bookmarkEnd w:id="444"/>
          </w:p>
        </w:tc>
        <w:tc>
          <w:tcPr>
            <w:tcW w:w="450" w:type="dxa"/>
            <w:tcBorders>
              <w:bottom w:val="single" w:sz="4" w:space="0" w:color="auto"/>
            </w:tcBorders>
            <w:shd w:val="clear" w:color="auto" w:fill="auto"/>
            <w:vAlign w:val="center"/>
          </w:tcPr>
          <w:p w:rsidR="001A63C6" w:rsidRPr="007B74B7" w:rsidRDefault="001A63C6" w:rsidP="001A63C6">
            <w:pPr>
              <w:pStyle w:val="TableText"/>
              <w:widowControl w:val="0"/>
              <w:rPr>
                <w:rStyle w:val="EndnoteReference"/>
                <w:sz w:val="13"/>
                <w:szCs w:val="13"/>
                <w:u w:val="single"/>
                <w:lang w:val="it-IT"/>
              </w:rPr>
            </w:pPr>
          </w:p>
        </w:tc>
        <w:tc>
          <w:tcPr>
            <w:tcW w:w="450" w:type="dxa"/>
            <w:tcBorders>
              <w:bottom w:val="single" w:sz="4" w:space="0" w:color="auto"/>
            </w:tcBorders>
            <w:shd w:val="clear" w:color="auto" w:fill="auto"/>
          </w:tcPr>
          <w:p w:rsidR="001A63C6" w:rsidRPr="00BD7CEA" w:rsidRDefault="001A63C6" w:rsidP="001A63C6">
            <w:pPr>
              <w:pStyle w:val="TableText"/>
              <w:widowControl w:val="0"/>
              <w:spacing w:before="80"/>
              <w:rPr>
                <w:rFonts w:ascii="Tahoma" w:hAnsi="Tahoma" w:cs="Tahoma"/>
                <w:color w:val="000000"/>
                <w:sz w:val="13"/>
              </w:rPr>
            </w:pPr>
            <w:r w:rsidRPr="00BD7CEA">
              <w:rPr>
                <w:rFonts w:ascii="Tahoma" w:hAnsi="Tahoma" w:cs="Tahoma"/>
                <w:color w:val="000000"/>
                <w:sz w:val="13"/>
              </w:rPr>
              <w:t>07/10</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r>
      <w:tr w:rsidR="00B33D0E" w:rsidRPr="00BD7CEA" w:rsidTr="006B1F3F">
        <w:trPr>
          <w:trHeight w:val="145"/>
        </w:trPr>
        <w:tc>
          <w:tcPr>
            <w:tcW w:w="2734" w:type="dxa"/>
            <w:gridSpan w:val="2"/>
            <w:tcBorders>
              <w:bottom w:val="single" w:sz="4" w:space="0" w:color="auto"/>
            </w:tcBorders>
            <w:shd w:val="clear" w:color="auto" w:fill="FABF8F"/>
            <w:vAlign w:val="center"/>
          </w:tcPr>
          <w:p w:rsidR="001A63C6" w:rsidRPr="007B74B7" w:rsidRDefault="001A63C6" w:rsidP="00872F47">
            <w:pPr>
              <w:pStyle w:val="ProductNames"/>
              <w:spacing w:beforeLines="20" w:before="48" w:afterLines="20" w:after="48"/>
              <w:rPr>
                <w:rFonts w:ascii="Tahoma" w:hAnsi="Tahoma" w:cs="Tahoma"/>
                <w:sz w:val="14"/>
                <w:lang w:val="it-IT"/>
              </w:rPr>
            </w:pPr>
            <w:bookmarkStart w:id="445" w:name="_Toc336338077"/>
            <w:bookmarkStart w:id="446" w:name="_Toc353375858"/>
            <w:r w:rsidRPr="007B74B7">
              <w:rPr>
                <w:rFonts w:ascii="Tahoma" w:hAnsi="Tahoma" w:cs="Tahoma"/>
                <w:sz w:val="14"/>
                <w:lang w:val="it-IT"/>
              </w:rPr>
              <w:t>Licenza di Gestione Server Standard per</w:t>
            </w:r>
            <w:r w:rsidR="00872F47" w:rsidRPr="007B74B7">
              <w:rPr>
                <w:rFonts w:ascii="Tahoma" w:hAnsi="Tahoma" w:cs="Tahoma"/>
                <w:sz w:val="14"/>
                <w:lang w:val="it-IT"/>
              </w:rPr>
              <w:t> </w:t>
            </w:r>
            <w:r w:rsidRPr="007B74B7">
              <w:rPr>
                <w:rFonts w:ascii="Tahoma" w:hAnsi="Tahoma" w:cs="Tahoma"/>
                <w:sz w:val="14"/>
                <w:lang w:val="it-IT"/>
              </w:rPr>
              <w:t>System Center Operations Manager</w:t>
            </w:r>
            <w:r w:rsidR="00872F47" w:rsidRPr="007B74B7">
              <w:rPr>
                <w:rFonts w:ascii="Tahoma" w:hAnsi="Tahoma" w:cs="Tahoma"/>
                <w:sz w:val="14"/>
                <w:lang w:val="it-IT"/>
              </w:rPr>
              <w:t> </w:t>
            </w:r>
            <w:r w:rsidRPr="007B74B7">
              <w:rPr>
                <w:rFonts w:ascii="Tahoma" w:hAnsi="Tahoma" w:cs="Tahoma"/>
                <w:sz w:val="14"/>
                <w:lang w:val="it-IT"/>
              </w:rPr>
              <w:t>2007 R2</w:t>
            </w:r>
            <w:bookmarkEnd w:id="445"/>
            <w:bookmarkEnd w:id="446"/>
            <w:r w:rsidRPr="007B74B7">
              <w:rPr>
                <w:rFonts w:ascii="Tahoma" w:hAnsi="Tahoma" w:cs="Tahoma"/>
                <w:sz w:val="14"/>
                <w:lang w:val="it-IT"/>
              </w:rPr>
              <w:t xml:space="preserve"> </w:t>
            </w:r>
          </w:p>
        </w:tc>
        <w:tc>
          <w:tcPr>
            <w:tcW w:w="450" w:type="dxa"/>
            <w:tcBorders>
              <w:bottom w:val="single" w:sz="4" w:space="0" w:color="auto"/>
            </w:tcBorders>
            <w:shd w:val="clear" w:color="auto" w:fill="FABF8F"/>
            <w:vAlign w:val="center"/>
          </w:tcPr>
          <w:p w:rsidR="001A63C6" w:rsidRPr="007B74B7" w:rsidRDefault="001A63C6" w:rsidP="001A63C6">
            <w:pPr>
              <w:pStyle w:val="TableText"/>
              <w:widowControl w:val="0"/>
              <w:rPr>
                <w:rStyle w:val="EndnoteReference"/>
                <w:color w:val="000000"/>
                <w:sz w:val="13"/>
                <w:szCs w:val="13"/>
                <w:u w:val="single"/>
                <w:lang w:val="it-IT"/>
              </w:rPr>
            </w:pPr>
          </w:p>
        </w:tc>
        <w:tc>
          <w:tcPr>
            <w:tcW w:w="450" w:type="dxa"/>
            <w:tcBorders>
              <w:bottom w:val="single" w:sz="4" w:space="0" w:color="auto"/>
            </w:tcBorders>
            <w:shd w:val="clear" w:color="auto" w:fill="FABF8F"/>
          </w:tcPr>
          <w:p w:rsidR="001A63C6" w:rsidRPr="00BD7CEA" w:rsidRDefault="001A63C6" w:rsidP="001A63C6">
            <w:pPr>
              <w:pStyle w:val="TableText"/>
              <w:widowControl w:val="0"/>
              <w:spacing w:before="200"/>
              <w:rPr>
                <w:rFonts w:ascii="Tahoma" w:hAnsi="Tahoma" w:cs="Tahoma"/>
                <w:color w:val="000000"/>
                <w:sz w:val="13"/>
              </w:rPr>
            </w:pPr>
            <w:r w:rsidRPr="00BD7CEA">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BD7CEA" w:rsidRDefault="001A63C6" w:rsidP="001A63C6">
            <w:pPr>
              <w:pStyle w:val="TableText"/>
              <w:widowControl w:val="0"/>
              <w:spacing w:before="120"/>
              <w:rPr>
                <w:rFonts w:ascii="Tahoma" w:hAnsi="Tahoma" w:cs="Tahoma"/>
                <w:color w:val="000000"/>
                <w:sz w:val="13"/>
              </w:rPr>
            </w:pPr>
            <w:r w:rsidRPr="00BD7CEA">
              <w:rPr>
                <w:rFonts w:ascii="Tahoma" w:hAnsi="Tahoma" w:cs="Tahoma"/>
                <w:sz w:val="13"/>
              </w:rPr>
              <w:t>A</w:t>
            </w:r>
          </w:p>
        </w:tc>
        <w:tc>
          <w:tcPr>
            <w:tcW w:w="54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r>
      <w:tr w:rsidR="001A63C6" w:rsidRPr="00BD7CEA" w:rsidTr="007E466C">
        <w:trPr>
          <w:trHeight w:val="145"/>
        </w:trPr>
        <w:tc>
          <w:tcPr>
            <w:tcW w:w="2734" w:type="dxa"/>
            <w:gridSpan w:val="2"/>
            <w:tcBorders>
              <w:bottom w:val="single" w:sz="4" w:space="0" w:color="auto"/>
            </w:tcBorders>
            <w:shd w:val="clear" w:color="auto" w:fill="auto"/>
            <w:vAlign w:val="center"/>
          </w:tcPr>
          <w:p w:rsidR="001A63C6" w:rsidRPr="007B74B7" w:rsidRDefault="001A63C6" w:rsidP="00872F47">
            <w:pPr>
              <w:pStyle w:val="ProductNames"/>
              <w:spacing w:beforeLines="20" w:before="48" w:afterLines="20" w:after="48"/>
              <w:rPr>
                <w:rFonts w:ascii="Tahoma" w:hAnsi="Tahoma" w:cs="Tahoma"/>
                <w:sz w:val="14"/>
                <w:lang w:val="it-IT"/>
              </w:rPr>
            </w:pPr>
            <w:bookmarkStart w:id="447" w:name="_Toc336338078"/>
            <w:bookmarkStart w:id="448" w:name="_Toc353375859"/>
            <w:r w:rsidRPr="007B74B7">
              <w:rPr>
                <w:rFonts w:ascii="Tahoma" w:hAnsi="Tahoma" w:cs="Tahoma"/>
                <w:sz w:val="14"/>
                <w:lang w:val="it-IT"/>
              </w:rPr>
              <w:t>Licenza di Gestione Server Enterprise per</w:t>
            </w:r>
            <w:r w:rsidR="00872F47" w:rsidRPr="007B74B7">
              <w:rPr>
                <w:rFonts w:ascii="Tahoma" w:hAnsi="Tahoma" w:cs="Tahoma"/>
                <w:sz w:val="14"/>
                <w:lang w:val="it-IT"/>
              </w:rPr>
              <w:t> </w:t>
            </w:r>
            <w:r w:rsidRPr="007B74B7">
              <w:rPr>
                <w:rFonts w:ascii="Tahoma" w:hAnsi="Tahoma" w:cs="Tahoma"/>
                <w:sz w:val="14"/>
                <w:lang w:val="it-IT"/>
              </w:rPr>
              <w:t>System Center Operations Manager</w:t>
            </w:r>
            <w:r w:rsidR="00872F47" w:rsidRPr="007B74B7">
              <w:rPr>
                <w:rFonts w:ascii="Tahoma" w:hAnsi="Tahoma" w:cs="Tahoma"/>
                <w:sz w:val="14"/>
                <w:lang w:val="it-IT"/>
              </w:rPr>
              <w:t> </w:t>
            </w:r>
            <w:r w:rsidRPr="007B74B7">
              <w:rPr>
                <w:rFonts w:ascii="Tahoma" w:hAnsi="Tahoma" w:cs="Tahoma"/>
                <w:sz w:val="14"/>
                <w:lang w:val="it-IT"/>
              </w:rPr>
              <w:t>2007 R2</w:t>
            </w:r>
            <w:bookmarkEnd w:id="447"/>
            <w:bookmarkEnd w:id="448"/>
            <w:r w:rsidRPr="007B74B7">
              <w:rPr>
                <w:rFonts w:ascii="Tahoma" w:hAnsi="Tahoma" w:cs="Tahoma"/>
                <w:sz w:val="14"/>
                <w:lang w:val="it-IT"/>
              </w:rPr>
              <w:t xml:space="preserve"> </w:t>
            </w:r>
          </w:p>
        </w:tc>
        <w:tc>
          <w:tcPr>
            <w:tcW w:w="450" w:type="dxa"/>
            <w:tcBorders>
              <w:bottom w:val="single" w:sz="4" w:space="0" w:color="auto"/>
            </w:tcBorders>
            <w:shd w:val="clear" w:color="auto" w:fill="auto"/>
            <w:vAlign w:val="center"/>
          </w:tcPr>
          <w:p w:rsidR="001A63C6" w:rsidRPr="007B74B7" w:rsidRDefault="001A63C6" w:rsidP="001A63C6">
            <w:pPr>
              <w:pStyle w:val="TableText"/>
              <w:widowControl w:val="0"/>
              <w:rPr>
                <w:rStyle w:val="EndnoteReference"/>
                <w:color w:val="000000"/>
                <w:sz w:val="13"/>
                <w:szCs w:val="13"/>
                <w:u w:val="single"/>
                <w:lang w:val="it-IT"/>
              </w:rPr>
            </w:pPr>
          </w:p>
        </w:tc>
        <w:tc>
          <w:tcPr>
            <w:tcW w:w="450" w:type="dxa"/>
            <w:tcBorders>
              <w:bottom w:val="single" w:sz="4" w:space="0" w:color="auto"/>
            </w:tcBorders>
            <w:shd w:val="clear" w:color="auto" w:fill="auto"/>
          </w:tcPr>
          <w:p w:rsidR="001A63C6" w:rsidRPr="00BD7CEA" w:rsidRDefault="001A63C6" w:rsidP="001A63C6">
            <w:pPr>
              <w:pStyle w:val="TableText"/>
              <w:widowControl w:val="0"/>
              <w:spacing w:before="200"/>
              <w:rPr>
                <w:rFonts w:ascii="Tahoma" w:hAnsi="Tahoma" w:cs="Tahoma"/>
                <w:color w:val="000000"/>
                <w:sz w:val="13"/>
              </w:rPr>
            </w:pPr>
            <w:r w:rsidRPr="00BD7CEA">
              <w:rPr>
                <w:rFonts w:ascii="Tahoma"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1A63C6" w:rsidRPr="00BD7CEA" w:rsidRDefault="001A63C6" w:rsidP="001A63C6">
            <w:pPr>
              <w:pStyle w:val="TableText"/>
              <w:widowControl w:val="0"/>
              <w:spacing w:before="120"/>
              <w:rPr>
                <w:rFonts w:ascii="Tahoma" w:hAnsi="Tahoma" w:cs="Tahoma"/>
                <w:color w:val="000000"/>
                <w:sz w:val="13"/>
              </w:rPr>
            </w:pPr>
            <w:r w:rsidRPr="00BD7CEA">
              <w:rPr>
                <w:rFonts w:ascii="Tahoma" w:hAnsi="Tahoma" w:cs="Tahoma"/>
                <w:sz w:val="13"/>
              </w:rPr>
              <w:t>A</w:t>
            </w: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r>
      <w:tr w:rsidR="00B33D0E" w:rsidRPr="00BD7CEA" w:rsidTr="006B1F3F">
        <w:trPr>
          <w:trHeight w:val="145"/>
        </w:trPr>
        <w:tc>
          <w:tcPr>
            <w:tcW w:w="2734" w:type="dxa"/>
            <w:gridSpan w:val="2"/>
            <w:tcBorders>
              <w:bottom w:val="single" w:sz="4" w:space="0" w:color="auto"/>
            </w:tcBorders>
            <w:shd w:val="clear" w:color="auto" w:fill="FABF8F"/>
            <w:vAlign w:val="center"/>
          </w:tcPr>
          <w:p w:rsidR="001A63C6" w:rsidRPr="007B74B7" w:rsidRDefault="001A63C6" w:rsidP="00872F47">
            <w:pPr>
              <w:pStyle w:val="ProductNames"/>
              <w:spacing w:beforeLines="20" w:before="48" w:afterLines="20" w:after="48"/>
              <w:rPr>
                <w:rFonts w:ascii="Tahoma" w:hAnsi="Tahoma" w:cs="Tahoma"/>
                <w:sz w:val="14"/>
                <w:lang w:val="it-IT"/>
              </w:rPr>
            </w:pPr>
            <w:bookmarkStart w:id="449" w:name="_Toc336338079"/>
            <w:bookmarkStart w:id="450" w:name="_Toc353375860"/>
            <w:r w:rsidRPr="007B74B7">
              <w:rPr>
                <w:rFonts w:ascii="Tahoma" w:hAnsi="Tahoma" w:cs="Tahoma"/>
                <w:sz w:val="14"/>
                <w:lang w:val="it-IT"/>
              </w:rPr>
              <w:t>Licenza di Gestione Client per OSE per</w:t>
            </w:r>
            <w:r w:rsidR="00872F47" w:rsidRPr="007B74B7">
              <w:rPr>
                <w:rFonts w:ascii="Tahoma" w:hAnsi="Tahoma" w:cs="Tahoma"/>
                <w:sz w:val="14"/>
                <w:lang w:val="it-IT"/>
              </w:rPr>
              <w:t> </w:t>
            </w:r>
            <w:r w:rsidRPr="007B74B7">
              <w:rPr>
                <w:rFonts w:ascii="Tahoma" w:hAnsi="Tahoma" w:cs="Tahoma"/>
                <w:sz w:val="14"/>
                <w:lang w:val="it-IT"/>
              </w:rPr>
              <w:t>System Center Operations Manager</w:t>
            </w:r>
            <w:r w:rsidR="00872F47" w:rsidRPr="007B74B7">
              <w:rPr>
                <w:rFonts w:ascii="Tahoma" w:hAnsi="Tahoma" w:cs="Tahoma"/>
                <w:sz w:val="14"/>
                <w:lang w:val="it-IT"/>
              </w:rPr>
              <w:t> </w:t>
            </w:r>
            <w:r w:rsidRPr="007B74B7">
              <w:rPr>
                <w:rFonts w:ascii="Tahoma" w:hAnsi="Tahoma" w:cs="Tahoma"/>
                <w:sz w:val="14"/>
                <w:lang w:val="it-IT"/>
              </w:rPr>
              <w:t>2007 R2</w:t>
            </w:r>
            <w:bookmarkEnd w:id="449"/>
            <w:bookmarkEnd w:id="450"/>
          </w:p>
        </w:tc>
        <w:tc>
          <w:tcPr>
            <w:tcW w:w="450" w:type="dxa"/>
            <w:tcBorders>
              <w:bottom w:val="single" w:sz="4" w:space="0" w:color="auto"/>
            </w:tcBorders>
            <w:shd w:val="clear" w:color="auto" w:fill="FABF8F"/>
            <w:vAlign w:val="center"/>
          </w:tcPr>
          <w:p w:rsidR="001A63C6" w:rsidRPr="007B74B7" w:rsidRDefault="001A63C6" w:rsidP="001A63C6">
            <w:pPr>
              <w:pStyle w:val="TableText"/>
              <w:widowControl w:val="0"/>
              <w:rPr>
                <w:rStyle w:val="EndnoteReference"/>
                <w:color w:val="000000"/>
                <w:sz w:val="13"/>
                <w:szCs w:val="13"/>
                <w:u w:val="single"/>
                <w:lang w:val="it-IT"/>
              </w:rPr>
            </w:pPr>
          </w:p>
        </w:tc>
        <w:tc>
          <w:tcPr>
            <w:tcW w:w="450" w:type="dxa"/>
            <w:tcBorders>
              <w:bottom w:val="single" w:sz="4" w:space="0" w:color="auto"/>
            </w:tcBorders>
            <w:shd w:val="clear" w:color="auto" w:fill="FABF8F"/>
          </w:tcPr>
          <w:p w:rsidR="001A63C6" w:rsidRPr="00BD7CEA" w:rsidRDefault="001A63C6" w:rsidP="001A63C6">
            <w:pPr>
              <w:pStyle w:val="TableText"/>
              <w:widowControl w:val="0"/>
              <w:spacing w:before="200"/>
              <w:rPr>
                <w:rFonts w:ascii="Tahoma" w:hAnsi="Tahoma" w:cs="Tahoma"/>
                <w:color w:val="000000"/>
                <w:sz w:val="13"/>
              </w:rPr>
            </w:pPr>
            <w:r w:rsidRPr="00BD7CEA">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BD7CEA" w:rsidRDefault="001A63C6" w:rsidP="001A63C6">
            <w:pPr>
              <w:pStyle w:val="TableText"/>
              <w:widowControl w:val="0"/>
              <w:spacing w:before="120"/>
              <w:rPr>
                <w:rFonts w:ascii="Tahoma" w:hAnsi="Tahoma" w:cs="Tahoma"/>
                <w:color w:val="000000"/>
                <w:sz w:val="13"/>
              </w:rPr>
            </w:pPr>
            <w:r w:rsidRPr="00BD7CEA">
              <w:rPr>
                <w:rFonts w:ascii="Tahoma" w:hAnsi="Tahoma" w:cs="Tahoma"/>
                <w:sz w:val="13"/>
              </w:rPr>
              <w:t>AO, ST</w:t>
            </w:r>
          </w:p>
        </w:tc>
        <w:tc>
          <w:tcPr>
            <w:tcW w:w="54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r>
      <w:tr w:rsidR="001A63C6" w:rsidRPr="00BD7CEA" w:rsidTr="007E466C">
        <w:trPr>
          <w:trHeight w:val="145"/>
        </w:trPr>
        <w:tc>
          <w:tcPr>
            <w:tcW w:w="2734" w:type="dxa"/>
            <w:gridSpan w:val="2"/>
            <w:tcBorders>
              <w:bottom w:val="single" w:sz="4" w:space="0" w:color="auto"/>
            </w:tcBorders>
            <w:shd w:val="clear" w:color="auto" w:fill="auto"/>
            <w:vAlign w:val="center"/>
          </w:tcPr>
          <w:p w:rsidR="001A63C6" w:rsidRPr="007B74B7" w:rsidRDefault="001A63C6" w:rsidP="00A030C8">
            <w:pPr>
              <w:pStyle w:val="ProductNames"/>
              <w:spacing w:beforeLines="20" w:before="48" w:afterLines="20" w:after="48"/>
              <w:rPr>
                <w:rFonts w:ascii="Tahoma" w:hAnsi="Tahoma" w:cs="Tahoma"/>
                <w:sz w:val="14"/>
                <w:lang w:val="it-IT"/>
              </w:rPr>
            </w:pPr>
            <w:bookmarkStart w:id="451" w:name="_Toc336338080"/>
            <w:bookmarkStart w:id="452" w:name="_Toc353375861"/>
            <w:r w:rsidRPr="007B74B7">
              <w:rPr>
                <w:rFonts w:ascii="Tahoma" w:hAnsi="Tahoma" w:cs="Tahoma"/>
                <w:sz w:val="14"/>
                <w:lang w:val="it-IT"/>
              </w:rPr>
              <w:t>Licenza di Gestione Client per Utente per</w:t>
            </w:r>
            <w:r w:rsidR="00A030C8" w:rsidRPr="007B74B7">
              <w:rPr>
                <w:rFonts w:ascii="Tahoma" w:hAnsi="Tahoma" w:cs="Tahoma"/>
                <w:sz w:val="14"/>
                <w:lang w:val="it-IT"/>
              </w:rPr>
              <w:t> </w:t>
            </w:r>
            <w:r w:rsidRPr="007B74B7">
              <w:rPr>
                <w:rFonts w:ascii="Tahoma" w:hAnsi="Tahoma" w:cs="Tahoma"/>
                <w:sz w:val="14"/>
                <w:lang w:val="it-IT"/>
              </w:rPr>
              <w:t>System Center Operations Manager</w:t>
            </w:r>
            <w:r w:rsidR="007E508E" w:rsidRPr="007B74B7">
              <w:rPr>
                <w:rFonts w:ascii="Tahoma" w:hAnsi="Tahoma" w:cs="Tahoma"/>
                <w:sz w:val="14"/>
                <w:lang w:val="it-IT"/>
              </w:rPr>
              <w:t xml:space="preserve"> </w:t>
            </w:r>
            <w:r w:rsidRPr="007B74B7">
              <w:rPr>
                <w:rFonts w:ascii="Tahoma" w:hAnsi="Tahoma" w:cs="Tahoma"/>
                <w:sz w:val="14"/>
                <w:lang w:val="it-IT"/>
              </w:rPr>
              <w:t>2007 R2</w:t>
            </w:r>
            <w:bookmarkEnd w:id="451"/>
            <w:bookmarkEnd w:id="452"/>
          </w:p>
        </w:tc>
        <w:tc>
          <w:tcPr>
            <w:tcW w:w="450" w:type="dxa"/>
            <w:tcBorders>
              <w:bottom w:val="single" w:sz="4" w:space="0" w:color="auto"/>
            </w:tcBorders>
            <w:shd w:val="clear" w:color="auto" w:fill="auto"/>
            <w:vAlign w:val="center"/>
          </w:tcPr>
          <w:p w:rsidR="001A63C6" w:rsidRPr="007B74B7" w:rsidRDefault="001A63C6" w:rsidP="001A63C6">
            <w:pPr>
              <w:pStyle w:val="TableText"/>
              <w:widowControl w:val="0"/>
              <w:rPr>
                <w:rStyle w:val="EndnoteReference"/>
                <w:color w:val="000000"/>
                <w:sz w:val="13"/>
                <w:szCs w:val="13"/>
                <w:u w:val="single"/>
                <w:lang w:val="it-IT"/>
              </w:rPr>
            </w:pPr>
          </w:p>
        </w:tc>
        <w:tc>
          <w:tcPr>
            <w:tcW w:w="450" w:type="dxa"/>
            <w:tcBorders>
              <w:bottom w:val="single" w:sz="4" w:space="0" w:color="auto"/>
            </w:tcBorders>
            <w:shd w:val="clear" w:color="auto" w:fill="auto"/>
          </w:tcPr>
          <w:p w:rsidR="001A63C6" w:rsidRPr="00BD7CEA" w:rsidRDefault="001A63C6" w:rsidP="001A63C6">
            <w:pPr>
              <w:pStyle w:val="TableText"/>
              <w:widowControl w:val="0"/>
              <w:spacing w:before="200"/>
              <w:rPr>
                <w:rFonts w:ascii="Tahoma" w:hAnsi="Tahoma" w:cs="Tahoma"/>
                <w:sz w:val="13"/>
              </w:rPr>
            </w:pPr>
            <w:r w:rsidRPr="00BD7CEA">
              <w:rPr>
                <w:rFonts w:ascii="Tahoma" w:hAnsi="Tahoma" w:cs="Tahoma"/>
                <w:sz w:val="13"/>
              </w:rPr>
              <w:t>07/09</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spacing w:before="120"/>
            </w:pPr>
          </w:p>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BD7CEA" w:rsidRDefault="001A63C6" w:rsidP="001A63C6">
            <w:pPr>
              <w:pStyle w:val="TableText"/>
              <w:widowControl w:val="0"/>
              <w:spacing w:before="120"/>
              <w:rPr>
                <w:rFonts w:ascii="Tahoma" w:hAnsi="Tahoma" w:cs="Tahoma"/>
                <w:sz w:val="13"/>
              </w:rPr>
            </w:pPr>
            <w:r w:rsidRPr="00BD7CEA">
              <w:rPr>
                <w:rFonts w:ascii="Tahoma" w:hAnsi="Tahoma" w:cs="Tahoma"/>
                <w:sz w:val="13"/>
              </w:rPr>
              <w:t>AO, ST</w:t>
            </w: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r>
      <w:tr w:rsidR="00B33D0E" w:rsidRPr="00BD7CEA" w:rsidTr="006B1F3F">
        <w:trPr>
          <w:trHeight w:val="145"/>
        </w:trPr>
        <w:tc>
          <w:tcPr>
            <w:tcW w:w="2734" w:type="dxa"/>
            <w:gridSpan w:val="2"/>
            <w:tcBorders>
              <w:bottom w:val="single" w:sz="4" w:space="0" w:color="auto"/>
            </w:tcBorders>
            <w:shd w:val="clear" w:color="auto" w:fill="FABF8F"/>
            <w:vAlign w:val="center"/>
          </w:tcPr>
          <w:p w:rsidR="001A63C6" w:rsidRPr="00BD7CEA" w:rsidRDefault="001A63C6" w:rsidP="00E215F4">
            <w:pPr>
              <w:pStyle w:val="ProductNames"/>
              <w:spacing w:beforeLines="20" w:before="48" w:afterLines="20" w:after="48"/>
              <w:rPr>
                <w:rFonts w:ascii="Tahoma" w:hAnsi="Tahoma" w:cs="Tahoma"/>
                <w:sz w:val="14"/>
              </w:rPr>
            </w:pPr>
            <w:bookmarkStart w:id="453" w:name="_Toc336338081"/>
            <w:bookmarkStart w:id="454" w:name="_Toc353375862"/>
            <w:r w:rsidRPr="00BD7CEA">
              <w:rPr>
                <w:rFonts w:ascii="Tahoma" w:hAnsi="Tahoma" w:cs="Tahoma"/>
                <w:sz w:val="14"/>
              </w:rPr>
              <w:t>System Center Reporting Manager 2006</w:t>
            </w:r>
            <w:bookmarkEnd w:id="453"/>
            <w:bookmarkEnd w:id="454"/>
            <w:r w:rsidRPr="00BD7CEA">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BD7CEA" w:rsidRDefault="006E5080" w:rsidP="002E59B1">
            <w:pPr>
              <w:pStyle w:val="TableText"/>
              <w:widowControl w:val="0"/>
              <w:rPr>
                <w:rStyle w:val="EndnoteReference"/>
                <w:b w:val="0"/>
                <w:color w:val="0000FF"/>
                <w:sz w:val="13"/>
                <w:szCs w:val="13"/>
                <w:u w:val="single"/>
              </w:rPr>
            </w:pPr>
            <w:hyperlink w:anchor="_80_System_Center" w:history="1">
              <w:r w:rsidR="00955428" w:rsidRPr="00BD7CEA">
                <w:rPr>
                  <w:rStyle w:val="Hyperlink"/>
                  <w:b/>
                  <w:sz w:val="13"/>
                  <w:szCs w:val="13"/>
                </w:rPr>
                <w:t>86</w:t>
              </w:r>
            </w:hyperlink>
          </w:p>
        </w:tc>
        <w:tc>
          <w:tcPr>
            <w:tcW w:w="450" w:type="dxa"/>
            <w:tcBorders>
              <w:bottom w:val="single" w:sz="4" w:space="0" w:color="auto"/>
            </w:tcBorders>
            <w:shd w:val="clear" w:color="auto" w:fill="FABF8F"/>
          </w:tcPr>
          <w:p w:rsidR="001A63C6" w:rsidRPr="00BD7CEA"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D7CEA"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r>
      <w:tr w:rsidR="001A63C6" w:rsidRPr="00BD7CEA" w:rsidTr="007E466C">
        <w:trPr>
          <w:trHeight w:val="145"/>
        </w:trPr>
        <w:tc>
          <w:tcPr>
            <w:tcW w:w="2734" w:type="dxa"/>
            <w:gridSpan w:val="2"/>
            <w:tcBorders>
              <w:bottom w:val="single" w:sz="4" w:space="0" w:color="auto"/>
            </w:tcBorders>
            <w:shd w:val="clear" w:color="auto" w:fill="auto"/>
            <w:vAlign w:val="center"/>
          </w:tcPr>
          <w:p w:rsidR="001A63C6" w:rsidRPr="00BD7CEA" w:rsidRDefault="001A63C6" w:rsidP="00E215F4">
            <w:pPr>
              <w:pStyle w:val="ProductNames"/>
              <w:spacing w:beforeLines="20" w:before="48" w:afterLines="20" w:after="48"/>
              <w:rPr>
                <w:rFonts w:ascii="Tahoma" w:hAnsi="Tahoma" w:cs="Tahoma"/>
                <w:sz w:val="14"/>
              </w:rPr>
            </w:pPr>
            <w:bookmarkStart w:id="455" w:name="_Toc336338082"/>
            <w:bookmarkStart w:id="456" w:name="_Toc353375863"/>
            <w:r w:rsidRPr="00BD7CEA">
              <w:rPr>
                <w:rFonts w:ascii="Tahoma" w:hAnsi="Tahoma" w:cs="Tahoma"/>
                <w:sz w:val="14"/>
              </w:rPr>
              <w:t>System Center Server Management Suite Enterprise</w:t>
            </w:r>
            <w:bookmarkEnd w:id="455"/>
            <w:bookmarkEnd w:id="456"/>
            <w:r w:rsidRPr="00BD7CEA">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BD7CEA" w:rsidRDefault="006E5080" w:rsidP="002E59B1">
            <w:pPr>
              <w:pStyle w:val="TableText"/>
              <w:widowControl w:val="0"/>
              <w:rPr>
                <w:rStyle w:val="EndnoteReference"/>
                <w:b w:val="0"/>
                <w:color w:val="0000FF"/>
                <w:sz w:val="13"/>
                <w:szCs w:val="13"/>
                <w:u w:val="single"/>
              </w:rPr>
            </w:pPr>
            <w:hyperlink w:anchor="Srv_85SysCtrSvrMgmtSuiteEnterprise" w:history="1">
              <w:r w:rsidR="00955428" w:rsidRPr="00BD7CEA">
                <w:rPr>
                  <w:rStyle w:val="Hyperlink"/>
                  <w:b/>
                  <w:sz w:val="13"/>
                  <w:szCs w:val="13"/>
                </w:rPr>
                <w:t>87</w:t>
              </w:r>
            </w:hyperlink>
          </w:p>
        </w:tc>
        <w:tc>
          <w:tcPr>
            <w:tcW w:w="450" w:type="dxa"/>
            <w:tcBorders>
              <w:bottom w:val="single" w:sz="4" w:space="0" w:color="auto"/>
            </w:tcBorders>
            <w:shd w:val="clear" w:color="auto" w:fill="auto"/>
          </w:tcPr>
          <w:p w:rsidR="001A63C6" w:rsidRPr="00BD7CEA" w:rsidRDefault="001A63C6" w:rsidP="001A63C6">
            <w:pPr>
              <w:pStyle w:val="TableText"/>
              <w:widowControl w:val="0"/>
              <w:spacing w:before="80"/>
              <w:rPr>
                <w:rFonts w:ascii="Tahoma" w:hAnsi="Tahoma" w:cs="Tahoma"/>
                <w:sz w:val="13"/>
              </w:rPr>
            </w:pPr>
            <w:r w:rsidRPr="00BD7CEA">
              <w:rPr>
                <w:rFonts w:ascii="Tahoma" w:hAnsi="Tahoma" w:cs="Tahoma"/>
                <w:sz w:val="13"/>
              </w:rPr>
              <w:t>10/07</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bottom"/>
          </w:tcPr>
          <w:p w:rsidR="001A63C6" w:rsidRPr="00BD7CEA"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rsidR="001A63C6" w:rsidRPr="00BD7CEA"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rsidR="001A63C6" w:rsidRPr="00BD7CEA"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rsidR="001A63C6" w:rsidRPr="00BD7CEA"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rsidR="001A63C6" w:rsidRPr="00BD7CEA" w:rsidRDefault="001A63C6" w:rsidP="001A63C6">
            <w:pPr>
              <w:pStyle w:val="TableText"/>
              <w:widowControl w:val="0"/>
              <w:spacing w:after="6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rsidR="001A63C6" w:rsidRPr="00BD7CEA" w:rsidRDefault="001A63C6" w:rsidP="001A63C6">
            <w:pPr>
              <w:pStyle w:val="TableText"/>
              <w:widowControl w:val="0"/>
              <w:spacing w:after="6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BD7CEA" w:rsidRDefault="001A63C6" w:rsidP="001A63C6">
            <w:pPr>
              <w:pStyle w:val="TableText"/>
              <w:widowControl w:val="0"/>
              <w:spacing w:before="120"/>
              <w:rPr>
                <w:rFonts w:ascii="Tahoma" w:hAnsi="Tahoma" w:cs="Tahoma"/>
                <w:sz w:val="13"/>
              </w:rPr>
            </w:pPr>
            <w:r w:rsidRPr="00BD7CEA">
              <w:rPr>
                <w:rFonts w:ascii="Tahoma" w:hAnsi="Tahoma" w:cs="Tahoma"/>
                <w:sz w:val="13"/>
              </w:rPr>
              <w:t>A</w:t>
            </w: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r>
      <w:tr w:rsidR="00B33D0E" w:rsidRPr="00BD7CEA" w:rsidTr="006B1F3F">
        <w:trPr>
          <w:trHeight w:val="145"/>
        </w:trPr>
        <w:tc>
          <w:tcPr>
            <w:tcW w:w="2734" w:type="dxa"/>
            <w:gridSpan w:val="2"/>
            <w:tcBorders>
              <w:bottom w:val="single" w:sz="4" w:space="0" w:color="auto"/>
            </w:tcBorders>
            <w:shd w:val="clear" w:color="auto" w:fill="FABF8F"/>
          </w:tcPr>
          <w:p w:rsidR="001A63C6" w:rsidRPr="00BD7CEA" w:rsidRDefault="001A63C6" w:rsidP="00E215F4">
            <w:pPr>
              <w:pStyle w:val="Heading4"/>
              <w:spacing w:beforeLines="20" w:before="48" w:afterLines="20" w:after="48"/>
              <w:ind w:left="0" w:firstLine="0"/>
              <w:rPr>
                <w:rFonts w:ascii="Tahoma" w:hAnsi="Tahoma" w:cs="Tahoma"/>
                <w:b w:val="0"/>
                <w:sz w:val="18"/>
                <w:szCs w:val="18"/>
              </w:rPr>
            </w:pPr>
            <w:bookmarkStart w:id="457" w:name="_Toc336338083"/>
            <w:bookmarkStart w:id="458" w:name="_Toc353375864"/>
            <w:r w:rsidRPr="00BD7CEA">
              <w:rPr>
                <w:rFonts w:ascii="Tahoma" w:hAnsi="Tahoma" w:cs="Tahoma"/>
                <w:b w:val="0"/>
                <w:sz w:val="14"/>
                <w:szCs w:val="18"/>
              </w:rPr>
              <w:t>System Center Server Management Suite Datacenter</w:t>
            </w:r>
            <w:bookmarkEnd w:id="457"/>
            <w:bookmarkEnd w:id="458"/>
          </w:p>
        </w:tc>
        <w:tc>
          <w:tcPr>
            <w:tcW w:w="450" w:type="dxa"/>
            <w:tcBorders>
              <w:bottom w:val="single" w:sz="4" w:space="0" w:color="auto"/>
            </w:tcBorders>
            <w:shd w:val="clear" w:color="auto" w:fill="FABF8F"/>
          </w:tcPr>
          <w:p w:rsidR="001A63C6" w:rsidRPr="00BD7CEA" w:rsidRDefault="006E5080" w:rsidP="002E59B1">
            <w:pPr>
              <w:pStyle w:val="TableText"/>
              <w:widowControl w:val="0"/>
              <w:spacing w:before="120"/>
              <w:rPr>
                <w:rStyle w:val="EndnoteReference"/>
                <w:b w:val="0"/>
                <w:sz w:val="13"/>
                <w:szCs w:val="13"/>
                <w:u w:val="single"/>
              </w:rPr>
            </w:pPr>
            <w:hyperlink w:anchor="_88_System_Center" w:history="1">
              <w:r w:rsidR="00955428" w:rsidRPr="00BD7CEA">
                <w:rPr>
                  <w:rStyle w:val="Hyperlink"/>
                  <w:b/>
                  <w:sz w:val="13"/>
                  <w:szCs w:val="13"/>
                </w:rPr>
                <w:t>88</w:t>
              </w:r>
            </w:hyperlink>
          </w:p>
        </w:tc>
        <w:tc>
          <w:tcPr>
            <w:tcW w:w="450" w:type="dxa"/>
            <w:tcBorders>
              <w:bottom w:val="single" w:sz="4" w:space="0" w:color="auto"/>
            </w:tcBorders>
            <w:shd w:val="clear" w:color="auto" w:fill="FABF8F"/>
          </w:tcPr>
          <w:p w:rsidR="001A63C6" w:rsidRPr="00BD7CEA" w:rsidRDefault="001A63C6" w:rsidP="001A63C6">
            <w:pPr>
              <w:pStyle w:val="TableText"/>
              <w:widowControl w:val="0"/>
              <w:spacing w:before="120"/>
              <w:rPr>
                <w:rFonts w:ascii="Tahoma" w:hAnsi="Tahoma" w:cs="Tahoma"/>
                <w:sz w:val="13"/>
              </w:rPr>
            </w:pPr>
            <w:r w:rsidRPr="00BD7CEA">
              <w:rPr>
                <w:rFonts w:ascii="Tahoma" w:hAnsi="Tahoma" w:cs="Tahoma"/>
                <w:sz w:val="13"/>
              </w:rPr>
              <w:t>07/09</w:t>
            </w:r>
          </w:p>
        </w:tc>
        <w:tc>
          <w:tcPr>
            <w:tcW w:w="360" w:type="dxa"/>
            <w:tcBorders>
              <w:bottom w:val="single" w:sz="4" w:space="0" w:color="auto"/>
              <w:right w:val="single" w:sz="18" w:space="0" w:color="auto"/>
            </w:tcBorders>
            <w:shd w:val="clear" w:color="auto" w:fill="FABF8F"/>
          </w:tcPr>
          <w:p w:rsidR="001A63C6" w:rsidRPr="00BD7CEA" w:rsidRDefault="001A63C6" w:rsidP="001A63C6">
            <w:pPr>
              <w:pStyle w:val="TableText"/>
              <w:widowControl w:val="0"/>
              <w:spacing w:before="120"/>
              <w:rPr>
                <w:rFonts w:ascii="Tahoma" w:hAnsi="Tahoma" w:cs="Tahoma"/>
                <w:sz w:val="13"/>
              </w:rPr>
            </w:pPr>
            <w:r w:rsidRPr="00BD7CEA">
              <w:rPr>
                <w:rFonts w:ascii="Tahoma" w:hAnsi="Tahoma" w:cs="Tahoma"/>
                <w:sz w:val="13"/>
              </w:rPr>
              <w:t>SRV</w:t>
            </w:r>
          </w:p>
        </w:tc>
        <w:tc>
          <w:tcPr>
            <w:tcW w:w="360" w:type="dxa"/>
            <w:tcBorders>
              <w:left w:val="single" w:sz="18" w:space="0" w:color="auto"/>
              <w:bottom w:val="single" w:sz="4" w:space="0" w:color="auto"/>
            </w:tcBorders>
            <w:shd w:val="clear" w:color="auto" w:fill="FABF8F"/>
          </w:tcPr>
          <w:p w:rsidR="001A63C6" w:rsidRPr="00BD7CEA"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BD7CEA"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BD7CEA"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BD7CEA"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BD7CEA"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BD7CEA"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tcPr>
          <w:p w:rsidR="001A63C6" w:rsidRPr="00BD7CEA"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rsidR="001A63C6" w:rsidRPr="00BD7CEA"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BD7CEA" w:rsidRDefault="001A63C6"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tcPr>
          <w:p w:rsidR="001A63C6" w:rsidRPr="00BD7CEA"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rsidR="001A63C6" w:rsidRPr="00BD7CEA" w:rsidRDefault="001A63C6" w:rsidP="001A63C6">
            <w:pPr>
              <w:pStyle w:val="TableText"/>
              <w:widowControl w:val="0"/>
              <w:spacing w:before="120"/>
              <w:rPr>
                <w:rFonts w:ascii="Tahoma" w:hAnsi="Tahoma" w:cs="Tahoma"/>
                <w:sz w:val="13"/>
              </w:rPr>
            </w:pPr>
            <w:r w:rsidRPr="00BD7CEA">
              <w:rPr>
                <w:rFonts w:ascii="Tahoma" w:hAnsi="Tahoma" w:cs="Tahoma"/>
                <w:sz w:val="13"/>
              </w:rPr>
              <w:t>10</w:t>
            </w:r>
          </w:p>
        </w:tc>
        <w:tc>
          <w:tcPr>
            <w:tcW w:w="450" w:type="dxa"/>
            <w:tcBorders>
              <w:bottom w:val="single" w:sz="4" w:space="0" w:color="auto"/>
              <w:right w:val="single" w:sz="18" w:space="0" w:color="auto"/>
            </w:tcBorders>
            <w:shd w:val="clear" w:color="auto" w:fill="FABF8F"/>
          </w:tcPr>
          <w:p w:rsidR="001A63C6" w:rsidRPr="00BD7CEA"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tcPr>
          <w:p w:rsidR="001A63C6" w:rsidRPr="00BD7CEA"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BD7CEA" w:rsidRDefault="001A63C6" w:rsidP="001A63C6">
            <w:pPr>
              <w:pStyle w:val="TableText"/>
              <w:widowControl w:val="0"/>
              <w:spacing w:before="120"/>
              <w:rPr>
                <w:rFonts w:ascii="Tahoma" w:hAnsi="Tahoma" w:cs="Tahoma"/>
                <w:sz w:val="13"/>
              </w:rPr>
            </w:pPr>
            <w:r w:rsidRPr="00BD7CEA">
              <w:rPr>
                <w:rFonts w:ascii="Tahoma" w:hAnsi="Tahoma" w:cs="Tahoma"/>
                <w:sz w:val="13"/>
              </w:rPr>
              <w:t>A</w:t>
            </w:r>
          </w:p>
        </w:tc>
        <w:tc>
          <w:tcPr>
            <w:tcW w:w="540" w:type="dxa"/>
            <w:tcBorders>
              <w:bottom w:val="single" w:sz="4" w:space="0" w:color="auto"/>
            </w:tcBorders>
            <w:shd w:val="clear" w:color="auto" w:fill="FABF8F"/>
          </w:tcPr>
          <w:p w:rsidR="001A63C6" w:rsidRPr="00BD7CEA" w:rsidRDefault="001A63C6" w:rsidP="001A63C6">
            <w:pPr>
              <w:pStyle w:val="TableText"/>
              <w:widowControl w:val="0"/>
              <w:rPr>
                <w:rFonts w:ascii="Tahoma" w:hAnsi="Tahoma" w:cs="Tahoma"/>
                <w:sz w:val="13"/>
              </w:rPr>
            </w:pPr>
          </w:p>
        </w:tc>
      </w:tr>
      <w:tr w:rsidR="001A63C6" w:rsidRPr="00BD7CEA" w:rsidTr="007E466C">
        <w:trPr>
          <w:trHeight w:val="145"/>
        </w:trPr>
        <w:tc>
          <w:tcPr>
            <w:tcW w:w="2734" w:type="dxa"/>
            <w:gridSpan w:val="2"/>
            <w:tcBorders>
              <w:bottom w:val="single" w:sz="4" w:space="0" w:color="auto"/>
            </w:tcBorders>
            <w:shd w:val="clear" w:color="auto" w:fill="auto"/>
          </w:tcPr>
          <w:p w:rsidR="001A63C6" w:rsidRPr="007B74B7" w:rsidRDefault="001A63C6" w:rsidP="00E215F4">
            <w:pPr>
              <w:pStyle w:val="ProductNames"/>
              <w:spacing w:beforeLines="10" w:before="24" w:afterLines="10" w:after="24"/>
              <w:rPr>
                <w:rFonts w:ascii="Tahoma" w:hAnsi="Tahoma" w:cs="Tahoma"/>
                <w:b/>
                <w:sz w:val="14"/>
                <w:lang w:val="it-IT"/>
              </w:rPr>
            </w:pPr>
            <w:bookmarkStart w:id="459" w:name="_Toc336338086"/>
            <w:bookmarkStart w:id="460" w:name="_Toc353375865"/>
            <w:r w:rsidRPr="007B74B7">
              <w:rPr>
                <w:rFonts w:ascii="Tahoma" w:hAnsi="Tahoma" w:cs="Tahoma"/>
                <w:sz w:val="14"/>
                <w:lang w:val="it-IT"/>
              </w:rPr>
              <w:t>Licenza di Gestione Client (Client ML) per</w:t>
            </w:r>
            <w:r w:rsidR="00A030C8" w:rsidRPr="007B74B7">
              <w:rPr>
                <w:rFonts w:ascii="Tahoma" w:hAnsi="Tahoma" w:cs="Tahoma"/>
                <w:sz w:val="14"/>
                <w:lang w:val="it-IT"/>
              </w:rPr>
              <w:t> </w:t>
            </w:r>
            <w:r w:rsidRPr="007B74B7">
              <w:rPr>
                <w:rFonts w:ascii="Tahoma" w:hAnsi="Tahoma" w:cs="Tahoma"/>
                <w:sz w:val="14"/>
                <w:lang w:val="it-IT"/>
              </w:rPr>
              <w:t>OSE per System Center Service Manager 2010</w:t>
            </w:r>
            <w:bookmarkEnd w:id="459"/>
            <w:bookmarkEnd w:id="460"/>
          </w:p>
        </w:tc>
        <w:tc>
          <w:tcPr>
            <w:tcW w:w="450" w:type="dxa"/>
            <w:tcBorders>
              <w:bottom w:val="single" w:sz="4" w:space="0" w:color="auto"/>
            </w:tcBorders>
            <w:shd w:val="clear" w:color="auto" w:fill="auto"/>
          </w:tcPr>
          <w:p w:rsidR="001A63C6" w:rsidRPr="007B74B7" w:rsidRDefault="001A63C6" w:rsidP="001A63C6">
            <w:pPr>
              <w:pStyle w:val="TableText"/>
              <w:widowControl w:val="0"/>
              <w:rPr>
                <w:rStyle w:val="EndnoteReference"/>
                <w:sz w:val="13"/>
                <w:szCs w:val="13"/>
                <w:u w:val="single"/>
                <w:lang w:val="it-IT"/>
              </w:rPr>
            </w:pPr>
          </w:p>
        </w:tc>
        <w:tc>
          <w:tcPr>
            <w:tcW w:w="450" w:type="dxa"/>
            <w:tcBorders>
              <w:bottom w:val="single" w:sz="4" w:space="0" w:color="auto"/>
            </w:tcBorders>
            <w:shd w:val="clear" w:color="auto" w:fill="auto"/>
          </w:tcPr>
          <w:p w:rsidR="001A63C6" w:rsidRPr="00BD7CEA" w:rsidRDefault="001A63C6" w:rsidP="001A63C6">
            <w:pPr>
              <w:pStyle w:val="TableText"/>
              <w:widowControl w:val="0"/>
              <w:spacing w:before="120"/>
              <w:rPr>
                <w:rFonts w:ascii="Tahoma" w:hAnsi="Tahoma" w:cs="Tahoma"/>
                <w:sz w:val="13"/>
              </w:rPr>
            </w:pPr>
            <w:r w:rsidRPr="00BD7CEA">
              <w:rPr>
                <w:rFonts w:ascii="Tahoma" w:hAnsi="Tahoma" w:cs="Tahoma"/>
                <w:sz w:val="13"/>
              </w:rPr>
              <w:t>04/10</w:t>
            </w:r>
          </w:p>
        </w:tc>
        <w:tc>
          <w:tcPr>
            <w:tcW w:w="360" w:type="dxa"/>
            <w:tcBorders>
              <w:bottom w:val="single" w:sz="4" w:space="0" w:color="auto"/>
              <w:right w:val="single" w:sz="18" w:space="0" w:color="auto"/>
            </w:tcBorders>
            <w:shd w:val="clear" w:color="auto" w:fill="auto"/>
          </w:tcPr>
          <w:p w:rsidR="001A63C6" w:rsidRPr="00BD7CEA" w:rsidRDefault="001A63C6" w:rsidP="001A63C6">
            <w:pPr>
              <w:pStyle w:val="TableText"/>
              <w:widowControl w:val="0"/>
              <w:spacing w:before="120"/>
              <w:rPr>
                <w:rFonts w:ascii="Tahoma" w:hAnsi="Tahoma" w:cs="Tahoma"/>
                <w:sz w:val="13"/>
              </w:rPr>
            </w:pPr>
            <w:r w:rsidRPr="00BD7CE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spacing w:before="120"/>
              <w:jc w:val="lef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spacing w:before="120"/>
              <w:rPr>
                <w:rFonts w:ascii="Tahoma" w:hAnsi="Tahoma" w:cs="Tahoma"/>
                <w:sz w:val="13"/>
              </w:rPr>
            </w:pPr>
            <w:r w:rsidRPr="00BD7CE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spacing w:before="120"/>
            </w:pPr>
          </w:p>
          <w:p w:rsidR="001A63C6" w:rsidRPr="00BD7CEA"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1A63C6" w:rsidRPr="00BD7CEA" w:rsidRDefault="001A63C6" w:rsidP="001A63C6">
            <w:pPr>
              <w:pStyle w:val="TableText"/>
              <w:widowControl w:val="0"/>
              <w:spacing w:before="120"/>
              <w:rPr>
                <w:rFonts w:ascii="Tahoma" w:hAnsi="Tahoma" w:cs="Tahoma"/>
                <w:sz w:val="13"/>
              </w:rPr>
            </w:pPr>
            <w:r w:rsidRPr="00BD7CEA">
              <w:rPr>
                <w:rFonts w:ascii="Tahoma" w:hAnsi="Tahoma" w:cs="Tahoma"/>
                <w:sz w:val="13"/>
              </w:rPr>
              <w:t>AO, ST</w:t>
            </w:r>
          </w:p>
        </w:tc>
        <w:tc>
          <w:tcPr>
            <w:tcW w:w="540" w:type="dxa"/>
            <w:tcBorders>
              <w:bottom w:val="single" w:sz="4" w:space="0" w:color="auto"/>
            </w:tcBorders>
            <w:shd w:val="clear" w:color="auto" w:fill="auto"/>
          </w:tcPr>
          <w:p w:rsidR="001A63C6" w:rsidRPr="00BD7CEA" w:rsidRDefault="001A63C6" w:rsidP="001A63C6">
            <w:pPr>
              <w:pStyle w:val="TableText"/>
              <w:widowControl w:val="0"/>
              <w:rPr>
                <w:rFonts w:ascii="Tahoma" w:hAnsi="Tahoma" w:cs="Tahoma"/>
                <w:sz w:val="13"/>
              </w:rPr>
            </w:pPr>
          </w:p>
        </w:tc>
      </w:tr>
      <w:tr w:rsidR="00B33D0E" w:rsidRPr="00BD7CEA" w:rsidTr="006B1F3F">
        <w:trPr>
          <w:trHeight w:val="145"/>
        </w:trPr>
        <w:tc>
          <w:tcPr>
            <w:tcW w:w="2734" w:type="dxa"/>
            <w:gridSpan w:val="2"/>
            <w:tcBorders>
              <w:bottom w:val="single" w:sz="4" w:space="0" w:color="auto"/>
            </w:tcBorders>
            <w:shd w:val="clear" w:color="auto" w:fill="FABF8F"/>
          </w:tcPr>
          <w:p w:rsidR="001A63C6" w:rsidRPr="007B74B7" w:rsidRDefault="001A63C6" w:rsidP="00E215F4">
            <w:pPr>
              <w:pStyle w:val="ProductNames"/>
              <w:spacing w:beforeLines="10" w:before="24" w:afterLines="10" w:after="24"/>
              <w:rPr>
                <w:rFonts w:ascii="Tahoma" w:hAnsi="Tahoma" w:cs="Tahoma"/>
                <w:b/>
                <w:sz w:val="14"/>
                <w:lang w:val="it-IT"/>
              </w:rPr>
            </w:pPr>
            <w:bookmarkStart w:id="461" w:name="_Toc336338087"/>
            <w:bookmarkStart w:id="462" w:name="_Toc353375866"/>
            <w:r w:rsidRPr="007B74B7">
              <w:rPr>
                <w:rFonts w:ascii="Tahoma" w:hAnsi="Tahoma" w:cs="Tahoma"/>
                <w:sz w:val="14"/>
                <w:lang w:val="it-IT"/>
              </w:rPr>
              <w:t>Licenza di Gestione Client (Client ML) per</w:t>
            </w:r>
            <w:r w:rsidR="00A030C8" w:rsidRPr="007B74B7">
              <w:rPr>
                <w:rFonts w:ascii="Tahoma" w:hAnsi="Tahoma" w:cs="Tahoma"/>
                <w:sz w:val="14"/>
                <w:lang w:val="it-IT"/>
              </w:rPr>
              <w:t> </w:t>
            </w:r>
            <w:r w:rsidRPr="007B74B7">
              <w:rPr>
                <w:rFonts w:ascii="Tahoma" w:hAnsi="Tahoma" w:cs="Tahoma"/>
                <w:sz w:val="14"/>
                <w:lang w:val="it-IT"/>
              </w:rPr>
              <w:t>Utente per System Center Service Manager 2010</w:t>
            </w:r>
            <w:bookmarkEnd w:id="461"/>
            <w:bookmarkEnd w:id="462"/>
          </w:p>
        </w:tc>
        <w:tc>
          <w:tcPr>
            <w:tcW w:w="450" w:type="dxa"/>
            <w:tcBorders>
              <w:bottom w:val="single" w:sz="4" w:space="0" w:color="auto"/>
            </w:tcBorders>
            <w:shd w:val="clear" w:color="auto" w:fill="FABF8F"/>
          </w:tcPr>
          <w:p w:rsidR="001A63C6" w:rsidRPr="007B74B7" w:rsidRDefault="001A63C6" w:rsidP="001A63C6">
            <w:pPr>
              <w:pStyle w:val="TableText"/>
              <w:widowControl w:val="0"/>
              <w:rPr>
                <w:rStyle w:val="EndnoteReference"/>
                <w:sz w:val="13"/>
                <w:szCs w:val="13"/>
                <w:u w:val="single"/>
                <w:lang w:val="it-IT"/>
              </w:rPr>
            </w:pPr>
          </w:p>
        </w:tc>
        <w:tc>
          <w:tcPr>
            <w:tcW w:w="450" w:type="dxa"/>
            <w:tcBorders>
              <w:bottom w:val="single" w:sz="4" w:space="0" w:color="auto"/>
            </w:tcBorders>
            <w:shd w:val="clear" w:color="auto" w:fill="FABF8F"/>
          </w:tcPr>
          <w:p w:rsidR="001A63C6" w:rsidRPr="00BD7CEA" w:rsidRDefault="001A63C6" w:rsidP="001A63C6">
            <w:pPr>
              <w:pStyle w:val="TableText"/>
              <w:widowControl w:val="0"/>
              <w:spacing w:before="120"/>
              <w:rPr>
                <w:rFonts w:ascii="Tahoma" w:hAnsi="Tahoma" w:cs="Tahoma"/>
                <w:sz w:val="13"/>
              </w:rPr>
            </w:pPr>
            <w:r w:rsidRPr="00BD7CEA">
              <w:rPr>
                <w:rFonts w:ascii="Tahoma" w:hAnsi="Tahoma" w:cs="Tahoma"/>
                <w:sz w:val="13"/>
              </w:rPr>
              <w:t>04/10</w:t>
            </w:r>
          </w:p>
        </w:tc>
        <w:tc>
          <w:tcPr>
            <w:tcW w:w="360" w:type="dxa"/>
            <w:tcBorders>
              <w:bottom w:val="single" w:sz="4" w:space="0" w:color="auto"/>
              <w:right w:val="single" w:sz="18" w:space="0" w:color="auto"/>
            </w:tcBorders>
            <w:shd w:val="clear" w:color="auto" w:fill="FABF8F"/>
          </w:tcPr>
          <w:p w:rsidR="001A63C6" w:rsidRPr="00BD7CEA" w:rsidRDefault="001A63C6" w:rsidP="001A63C6">
            <w:pPr>
              <w:pStyle w:val="TableText"/>
              <w:widowControl w:val="0"/>
              <w:spacing w:before="120"/>
              <w:rPr>
                <w:rFonts w:ascii="Tahoma" w:hAnsi="Tahoma" w:cs="Tahoma"/>
                <w:sz w:val="13"/>
              </w:rPr>
            </w:pPr>
            <w:r w:rsidRPr="00BD7CE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spacing w:before="120"/>
              <w:rPr>
                <w:rFonts w:ascii="Tahoma" w:hAnsi="Tahoma" w:cs="Tahoma"/>
                <w:sz w:val="13"/>
              </w:rPr>
            </w:pPr>
            <w:r w:rsidRPr="00BD7CEA">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spacing w:before="120"/>
            </w:pPr>
          </w:p>
          <w:p w:rsidR="001A63C6" w:rsidRPr="00BD7CEA"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BD7CEA" w:rsidRDefault="001A63C6" w:rsidP="001A63C6">
            <w:pPr>
              <w:pStyle w:val="TableText"/>
              <w:widowControl w:val="0"/>
              <w:spacing w:before="120"/>
              <w:rPr>
                <w:rFonts w:ascii="Tahoma" w:hAnsi="Tahoma" w:cs="Tahoma"/>
                <w:sz w:val="13"/>
              </w:rPr>
            </w:pPr>
            <w:r w:rsidRPr="00BD7CEA">
              <w:rPr>
                <w:rFonts w:ascii="Tahoma" w:hAnsi="Tahoma" w:cs="Tahoma"/>
                <w:sz w:val="13"/>
              </w:rPr>
              <w:t>AO, ST</w:t>
            </w:r>
          </w:p>
        </w:tc>
        <w:tc>
          <w:tcPr>
            <w:tcW w:w="540" w:type="dxa"/>
            <w:tcBorders>
              <w:bottom w:val="single" w:sz="4" w:space="0" w:color="auto"/>
            </w:tcBorders>
            <w:shd w:val="clear" w:color="auto" w:fill="FABF8F"/>
          </w:tcPr>
          <w:p w:rsidR="001A63C6" w:rsidRPr="00BD7CEA" w:rsidRDefault="001A63C6" w:rsidP="001A63C6">
            <w:pPr>
              <w:pStyle w:val="TableText"/>
              <w:widowControl w:val="0"/>
              <w:rPr>
                <w:rFonts w:ascii="Tahoma" w:hAnsi="Tahoma" w:cs="Tahoma"/>
                <w:sz w:val="13"/>
              </w:rPr>
            </w:pPr>
          </w:p>
        </w:tc>
      </w:tr>
      <w:tr w:rsidR="00B33D0E" w:rsidRPr="00BD7CEA" w:rsidTr="006B1F3F">
        <w:trPr>
          <w:trHeight w:val="145"/>
        </w:trPr>
        <w:tc>
          <w:tcPr>
            <w:tcW w:w="2734" w:type="dxa"/>
            <w:gridSpan w:val="2"/>
            <w:tcBorders>
              <w:bottom w:val="single" w:sz="4" w:space="0" w:color="auto"/>
            </w:tcBorders>
            <w:shd w:val="clear" w:color="auto" w:fill="auto"/>
          </w:tcPr>
          <w:p w:rsidR="001A63C6" w:rsidRPr="007B74B7" w:rsidRDefault="001A63C6" w:rsidP="00E215F4">
            <w:pPr>
              <w:pStyle w:val="Heading3"/>
              <w:spacing w:beforeLines="20" w:before="48" w:afterLines="20" w:after="48"/>
              <w:rPr>
                <w:rFonts w:ascii="Tahoma" w:hAnsi="Tahoma" w:cs="Tahoma"/>
                <w:b w:val="0"/>
                <w:sz w:val="14"/>
                <w:szCs w:val="16"/>
                <w:lang w:val="it-IT"/>
              </w:rPr>
            </w:pPr>
            <w:bookmarkStart w:id="463" w:name="_Toc336338088"/>
            <w:bookmarkStart w:id="464" w:name="_Toc353375867"/>
            <w:r w:rsidRPr="007B74B7">
              <w:rPr>
                <w:rFonts w:ascii="Tahoma" w:hAnsi="Tahoma" w:cs="Tahoma"/>
                <w:b w:val="0"/>
                <w:sz w:val="14"/>
                <w:szCs w:val="16"/>
                <w:lang w:val="it-IT"/>
              </w:rPr>
              <w:t>Licenza di Gestione Server (Server ML) per</w:t>
            </w:r>
            <w:r w:rsidR="00A030C8" w:rsidRPr="007B74B7">
              <w:rPr>
                <w:rFonts w:ascii="Tahoma" w:hAnsi="Tahoma" w:cs="Tahoma"/>
                <w:sz w:val="14"/>
                <w:lang w:val="it-IT"/>
              </w:rPr>
              <w:t> </w:t>
            </w:r>
            <w:r w:rsidRPr="007B74B7">
              <w:rPr>
                <w:rFonts w:ascii="Tahoma" w:hAnsi="Tahoma" w:cs="Tahoma"/>
                <w:b w:val="0"/>
                <w:sz w:val="14"/>
                <w:szCs w:val="16"/>
                <w:lang w:val="it-IT"/>
              </w:rPr>
              <w:t>OSE per System Center Service Manager 2010</w:t>
            </w:r>
            <w:bookmarkEnd w:id="463"/>
            <w:bookmarkEnd w:id="464"/>
          </w:p>
        </w:tc>
        <w:tc>
          <w:tcPr>
            <w:tcW w:w="450" w:type="dxa"/>
            <w:tcBorders>
              <w:bottom w:val="single" w:sz="4" w:space="0" w:color="auto"/>
            </w:tcBorders>
            <w:shd w:val="clear" w:color="auto" w:fill="auto"/>
          </w:tcPr>
          <w:p w:rsidR="001A63C6" w:rsidRPr="007B74B7" w:rsidRDefault="001A63C6" w:rsidP="001A63C6">
            <w:pPr>
              <w:pStyle w:val="TableText"/>
              <w:widowControl w:val="0"/>
              <w:spacing w:before="20" w:after="20"/>
              <w:rPr>
                <w:rStyle w:val="EndnoteReference"/>
                <w:sz w:val="13"/>
                <w:szCs w:val="13"/>
                <w:u w:val="single"/>
                <w:lang w:val="it-IT"/>
              </w:rPr>
            </w:pPr>
          </w:p>
        </w:tc>
        <w:tc>
          <w:tcPr>
            <w:tcW w:w="450" w:type="dxa"/>
            <w:tcBorders>
              <w:bottom w:val="single" w:sz="4" w:space="0" w:color="auto"/>
            </w:tcBorders>
            <w:shd w:val="clear" w:color="auto" w:fill="auto"/>
          </w:tcPr>
          <w:p w:rsidR="001A63C6" w:rsidRPr="00BD7CEA" w:rsidRDefault="001A63C6" w:rsidP="001A63C6">
            <w:pPr>
              <w:pStyle w:val="TableText"/>
              <w:widowControl w:val="0"/>
              <w:spacing w:before="20" w:after="20"/>
              <w:rPr>
                <w:rFonts w:ascii="Tahoma" w:hAnsi="Tahoma" w:cs="Tahoma"/>
                <w:sz w:val="13"/>
              </w:rPr>
            </w:pPr>
            <w:r w:rsidRPr="00BD7CEA">
              <w:rPr>
                <w:rFonts w:ascii="Tahoma" w:hAnsi="Tahoma" w:cs="Tahoma"/>
                <w:sz w:val="13"/>
              </w:rPr>
              <w:t>04/10</w:t>
            </w:r>
          </w:p>
        </w:tc>
        <w:tc>
          <w:tcPr>
            <w:tcW w:w="360" w:type="dxa"/>
            <w:tcBorders>
              <w:bottom w:val="single" w:sz="4" w:space="0" w:color="auto"/>
              <w:right w:val="single" w:sz="18" w:space="0" w:color="auto"/>
            </w:tcBorders>
            <w:shd w:val="clear" w:color="auto" w:fill="auto"/>
          </w:tcPr>
          <w:p w:rsidR="001A63C6" w:rsidRPr="00BD7CEA" w:rsidRDefault="001A63C6" w:rsidP="001A63C6">
            <w:pPr>
              <w:pStyle w:val="TableText"/>
              <w:widowControl w:val="0"/>
              <w:spacing w:before="20" w:after="20"/>
              <w:rPr>
                <w:rFonts w:ascii="Tahoma" w:hAnsi="Tahoma" w:cs="Tahoma"/>
                <w:sz w:val="13"/>
              </w:rPr>
            </w:pPr>
            <w:r w:rsidRPr="00BD7CE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spacing w:before="20" w:after="20"/>
              <w:rPr>
                <w:rFonts w:ascii="Tahoma" w:hAnsi="Tahoma" w:cs="Tahoma"/>
                <w:sz w:val="13"/>
              </w:rPr>
            </w:pPr>
            <w:r w:rsidRPr="00BD7CE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spacing w:before="20" w:after="20"/>
            </w:pPr>
          </w:p>
          <w:p w:rsidR="001A63C6" w:rsidRPr="00BD7CEA"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spacing w:before="20" w:after="20"/>
              <w:rPr>
                <w:rFonts w:ascii="Tahoma" w:hAnsi="Tahoma" w:cs="Tahoma"/>
                <w:sz w:val="13"/>
              </w:rPr>
            </w:pPr>
            <w:r w:rsidRPr="00BD7CEA">
              <w:rPr>
                <w:rFonts w:ascii="Tahoma" w:hAnsi="Tahoma" w:cs="Tahoma"/>
                <w:sz w:val="13"/>
              </w:rPr>
              <w:t>A, ST</w:t>
            </w:r>
          </w:p>
        </w:tc>
        <w:tc>
          <w:tcPr>
            <w:tcW w:w="540" w:type="dxa"/>
            <w:tcBorders>
              <w:bottom w:val="single" w:sz="4" w:space="0" w:color="auto"/>
            </w:tcBorders>
            <w:shd w:val="clear" w:color="auto" w:fill="auto"/>
          </w:tcPr>
          <w:p w:rsidR="001A63C6" w:rsidRPr="00BD7CEA" w:rsidRDefault="001A63C6" w:rsidP="001A63C6">
            <w:pPr>
              <w:pStyle w:val="TableText"/>
              <w:widowControl w:val="0"/>
              <w:spacing w:before="20" w:after="20"/>
              <w:rPr>
                <w:rFonts w:ascii="Tahoma" w:hAnsi="Tahoma" w:cs="Tahoma"/>
                <w:sz w:val="13"/>
              </w:rPr>
            </w:pPr>
          </w:p>
        </w:tc>
      </w:tr>
      <w:tr w:rsidR="006864A1" w:rsidRPr="00BD7CEA" w:rsidTr="006B1F3F">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8" w:type="dxa"/>
            <w:right w:w="8" w:type="dxa"/>
          </w:tblCellMar>
        </w:tblPrEx>
        <w:trPr>
          <w:trHeight w:val="42"/>
        </w:trPr>
        <w:tc>
          <w:tcPr>
            <w:tcW w:w="2734" w:type="dxa"/>
            <w:gridSpan w:val="2"/>
            <w:tcBorders>
              <w:bottom w:val="single" w:sz="2" w:space="0" w:color="auto"/>
            </w:tcBorders>
            <w:shd w:val="clear" w:color="auto" w:fill="FABF8F"/>
          </w:tcPr>
          <w:p w:rsidR="001A63C6" w:rsidRPr="007B74B7" w:rsidRDefault="001A63C6" w:rsidP="00E215F4">
            <w:pPr>
              <w:pStyle w:val="Heading2"/>
              <w:spacing w:beforeLines="20" w:before="48" w:afterLines="20" w:after="48"/>
              <w:ind w:left="0"/>
              <w:rPr>
                <w:rFonts w:ascii="Tahoma" w:hAnsi="Tahoma" w:cs="Tahoma"/>
                <w:b w:val="0"/>
                <w:sz w:val="14"/>
                <w:szCs w:val="14"/>
                <w:lang w:val="it-IT"/>
              </w:rPr>
            </w:pPr>
            <w:bookmarkStart w:id="465" w:name="_Toc336338089"/>
            <w:bookmarkStart w:id="466" w:name="_Toc353375868"/>
            <w:r w:rsidRPr="007B74B7">
              <w:rPr>
                <w:rFonts w:ascii="Tahoma" w:hAnsi="Tahoma" w:cs="Tahoma"/>
                <w:b w:val="0"/>
                <w:sz w:val="14"/>
                <w:szCs w:val="14"/>
                <w:lang w:val="it-IT"/>
              </w:rPr>
              <w:t>Licenza di Gestione Client per OSE per System Center Virtual Machine Manager</w:t>
            </w:r>
            <w:r w:rsidR="00A030C8" w:rsidRPr="007B74B7">
              <w:rPr>
                <w:rFonts w:ascii="Tahoma" w:hAnsi="Tahoma" w:cs="Tahoma"/>
                <w:sz w:val="14"/>
                <w:lang w:val="it-IT"/>
              </w:rPr>
              <w:t> </w:t>
            </w:r>
            <w:r w:rsidRPr="007B74B7">
              <w:rPr>
                <w:rFonts w:ascii="Tahoma" w:hAnsi="Tahoma" w:cs="Tahoma"/>
                <w:b w:val="0"/>
                <w:sz w:val="14"/>
                <w:szCs w:val="14"/>
                <w:lang w:val="it-IT"/>
              </w:rPr>
              <w:t>2008 R2</w:t>
            </w:r>
            <w:bookmarkEnd w:id="465"/>
            <w:bookmarkEnd w:id="466"/>
          </w:p>
        </w:tc>
        <w:tc>
          <w:tcPr>
            <w:tcW w:w="450" w:type="dxa"/>
            <w:tcBorders>
              <w:bottom w:val="single" w:sz="2" w:space="0" w:color="auto"/>
            </w:tcBorders>
            <w:shd w:val="clear" w:color="auto" w:fill="FABF8F"/>
            <w:vAlign w:val="center"/>
          </w:tcPr>
          <w:p w:rsidR="001A63C6" w:rsidRPr="00BD7CEA" w:rsidRDefault="006E5080" w:rsidP="002E59B1">
            <w:pPr>
              <w:pStyle w:val="TableText"/>
              <w:widowControl w:val="0"/>
              <w:spacing w:before="60"/>
              <w:rPr>
                <w:rStyle w:val="EndnoteReference"/>
                <w:rFonts w:cs="Tahoma"/>
                <w:b w:val="0"/>
                <w:color w:val="0000FF"/>
                <w:sz w:val="13"/>
                <w:szCs w:val="13"/>
                <w:u w:val="single"/>
              </w:rPr>
            </w:pPr>
            <w:hyperlink w:anchor="_89_System_Center" w:history="1">
              <w:r w:rsidR="00955428" w:rsidRPr="00BD7CEA">
                <w:rPr>
                  <w:rStyle w:val="Hyperlink"/>
                  <w:rFonts w:cs="Tahoma"/>
                  <w:b/>
                  <w:sz w:val="13"/>
                  <w:szCs w:val="13"/>
                </w:rPr>
                <w:t>89</w:t>
              </w:r>
            </w:hyperlink>
          </w:p>
        </w:tc>
        <w:tc>
          <w:tcPr>
            <w:tcW w:w="450" w:type="dxa"/>
            <w:tcBorders>
              <w:bottom w:val="single" w:sz="2" w:space="0" w:color="auto"/>
            </w:tcBorders>
            <w:shd w:val="clear" w:color="auto" w:fill="FABF8F"/>
          </w:tcPr>
          <w:p w:rsidR="001A63C6" w:rsidRPr="00BD7CEA" w:rsidRDefault="001A63C6" w:rsidP="001A63C6">
            <w:pPr>
              <w:pStyle w:val="TableText"/>
              <w:widowControl w:val="0"/>
              <w:spacing w:before="120"/>
              <w:rPr>
                <w:rFonts w:ascii="Tahoma" w:hAnsi="Tahoma" w:cs="Tahoma"/>
                <w:sz w:val="13"/>
                <w:szCs w:val="13"/>
              </w:rPr>
            </w:pPr>
            <w:r w:rsidRPr="00BD7CEA">
              <w:rPr>
                <w:rFonts w:ascii="Tahoma" w:hAnsi="Tahoma" w:cs="Tahoma"/>
                <w:sz w:val="13"/>
                <w:szCs w:val="13"/>
              </w:rPr>
              <w:t>11/09</w:t>
            </w:r>
          </w:p>
        </w:tc>
        <w:tc>
          <w:tcPr>
            <w:tcW w:w="360" w:type="dxa"/>
            <w:tcBorders>
              <w:bottom w:val="single" w:sz="2" w:space="0" w:color="auto"/>
              <w:right w:val="single" w:sz="5" w:space="0" w:color="auto"/>
            </w:tcBorders>
            <w:shd w:val="clear" w:color="auto" w:fill="FABF8F"/>
          </w:tcPr>
          <w:p w:rsidR="001A63C6" w:rsidRPr="00BD7CEA" w:rsidRDefault="001A63C6" w:rsidP="001A63C6">
            <w:pPr>
              <w:pStyle w:val="TableText"/>
              <w:widowControl w:val="0"/>
              <w:spacing w:before="120"/>
              <w:rPr>
                <w:rFonts w:ascii="Tahoma" w:hAnsi="Tahoma" w:cs="Tahoma"/>
                <w:sz w:val="14"/>
                <w:szCs w:val="14"/>
              </w:rPr>
            </w:pPr>
            <w:r w:rsidRPr="00BD7CEA">
              <w:rPr>
                <w:rFonts w:ascii="Tahoma" w:hAnsi="Tahoma" w:cs="Tahoma"/>
                <w:sz w:val="14"/>
                <w:szCs w:val="14"/>
              </w:rPr>
              <w:t>SRV</w:t>
            </w:r>
          </w:p>
        </w:tc>
        <w:tc>
          <w:tcPr>
            <w:tcW w:w="360" w:type="dxa"/>
            <w:tcBorders>
              <w:left w:val="single" w:sz="5" w:space="0" w:color="auto"/>
              <w:bottom w:val="single" w:sz="2" w:space="0" w:color="auto"/>
            </w:tcBorders>
            <w:shd w:val="clear" w:color="auto" w:fill="FABF8F"/>
          </w:tcPr>
          <w:p w:rsidR="001A63C6" w:rsidRPr="00BD7CEA"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BD7CEA"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BD7CEA"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BD7CEA"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BD7CEA"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BD7CEA" w:rsidRDefault="001A63C6" w:rsidP="001A63C6">
            <w:pPr>
              <w:pStyle w:val="TableText"/>
              <w:widowControl w:val="0"/>
              <w:spacing w:before="120"/>
              <w:rPr>
                <w:rFonts w:ascii="Tahoma" w:hAnsi="Tahoma" w:cs="Tahoma"/>
                <w:sz w:val="14"/>
                <w:szCs w:val="14"/>
              </w:rPr>
            </w:pPr>
          </w:p>
        </w:tc>
        <w:tc>
          <w:tcPr>
            <w:tcW w:w="360" w:type="dxa"/>
            <w:tcBorders>
              <w:bottom w:val="single" w:sz="2" w:space="0" w:color="auto"/>
              <w:right w:val="single" w:sz="5" w:space="0" w:color="auto"/>
            </w:tcBorders>
            <w:shd w:val="clear" w:color="auto" w:fill="FABF8F"/>
          </w:tcPr>
          <w:p w:rsidR="001A63C6" w:rsidRPr="00BD7CEA" w:rsidRDefault="001A63C6" w:rsidP="001A63C6">
            <w:pPr>
              <w:pStyle w:val="TableText"/>
              <w:widowControl w:val="0"/>
              <w:spacing w:before="120"/>
              <w:rPr>
                <w:rFonts w:ascii="Tahoma" w:hAnsi="Tahoma" w:cs="Tahoma"/>
                <w:sz w:val="14"/>
                <w:szCs w:val="14"/>
              </w:rPr>
            </w:pPr>
          </w:p>
        </w:tc>
        <w:tc>
          <w:tcPr>
            <w:tcW w:w="450" w:type="dxa"/>
            <w:tcBorders>
              <w:left w:val="single" w:sz="5" w:space="0" w:color="auto"/>
              <w:bottom w:val="single" w:sz="2" w:space="0" w:color="auto"/>
            </w:tcBorders>
            <w:shd w:val="clear" w:color="auto" w:fill="FABF8F"/>
          </w:tcPr>
          <w:p w:rsidR="001A63C6" w:rsidRPr="00BD7CEA"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BD7CEA"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right w:val="single" w:sz="5" w:space="0" w:color="auto"/>
            </w:tcBorders>
            <w:shd w:val="clear" w:color="auto" w:fill="FABF8F"/>
          </w:tcPr>
          <w:p w:rsidR="001A63C6" w:rsidRPr="00BD7CEA" w:rsidRDefault="001A63C6" w:rsidP="001A63C6">
            <w:pPr>
              <w:pStyle w:val="TableText"/>
              <w:widowControl w:val="0"/>
              <w:spacing w:before="120"/>
              <w:rPr>
                <w:rFonts w:ascii="Tahoma" w:hAnsi="Tahoma" w:cs="Tahoma"/>
                <w:sz w:val="14"/>
                <w:szCs w:val="14"/>
              </w:rPr>
            </w:pPr>
          </w:p>
        </w:tc>
        <w:tc>
          <w:tcPr>
            <w:tcW w:w="450" w:type="dxa"/>
            <w:tcBorders>
              <w:left w:val="single" w:sz="5" w:space="0" w:color="auto"/>
              <w:bottom w:val="single" w:sz="2" w:space="0" w:color="auto"/>
            </w:tcBorders>
            <w:shd w:val="clear" w:color="auto" w:fill="FABF8F"/>
          </w:tcPr>
          <w:p w:rsidR="001A63C6" w:rsidRPr="00BD7CEA" w:rsidRDefault="001A63C6" w:rsidP="001A63C6">
            <w:pPr>
              <w:pStyle w:val="TableText"/>
              <w:widowControl w:val="0"/>
              <w:spacing w:before="120"/>
              <w:rPr>
                <w:rFonts w:ascii="Tahoma" w:hAnsi="Tahoma" w:cs="Tahoma"/>
                <w:sz w:val="14"/>
                <w:szCs w:val="14"/>
              </w:rPr>
            </w:pPr>
            <w:r w:rsidRPr="00BD7CEA">
              <w:rPr>
                <w:rFonts w:ascii="Tahoma" w:hAnsi="Tahoma" w:cs="Tahoma"/>
                <w:sz w:val="14"/>
                <w:szCs w:val="14"/>
              </w:rPr>
              <w:t>1</w:t>
            </w:r>
          </w:p>
        </w:tc>
        <w:tc>
          <w:tcPr>
            <w:tcW w:w="450" w:type="dxa"/>
            <w:tcBorders>
              <w:bottom w:val="single" w:sz="2" w:space="0" w:color="auto"/>
              <w:right w:val="single" w:sz="5" w:space="0" w:color="auto"/>
            </w:tcBorders>
            <w:shd w:val="clear" w:color="auto" w:fill="FABF8F"/>
          </w:tcPr>
          <w:p w:rsidR="001A63C6" w:rsidRPr="00BD7CEA" w:rsidRDefault="001A63C6" w:rsidP="001A63C6">
            <w:pPr>
              <w:pStyle w:val="TableText"/>
              <w:widowControl w:val="0"/>
              <w:spacing w:before="120"/>
              <w:rPr>
                <w:rFonts w:ascii="Tahoma" w:hAnsi="Tahoma" w:cs="Tahoma"/>
                <w:sz w:val="14"/>
                <w:szCs w:val="14"/>
              </w:rPr>
            </w:pPr>
          </w:p>
        </w:tc>
        <w:tc>
          <w:tcPr>
            <w:tcW w:w="450" w:type="dxa"/>
            <w:tcBorders>
              <w:left w:val="single" w:sz="5" w:space="0" w:color="auto"/>
              <w:bottom w:val="single" w:sz="2" w:space="0" w:color="auto"/>
              <w:right w:val="single" w:sz="5" w:space="0" w:color="auto"/>
            </w:tcBorders>
            <w:shd w:val="clear" w:color="auto" w:fill="FABF8F"/>
          </w:tcPr>
          <w:p w:rsidR="001A63C6" w:rsidRPr="00BD7CEA"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BD7CEA" w:rsidRDefault="001A63C6" w:rsidP="001A63C6">
            <w:pPr>
              <w:pStyle w:val="TableText"/>
              <w:widowControl w:val="0"/>
              <w:spacing w:before="120"/>
              <w:rPr>
                <w:rFonts w:ascii="Tahoma" w:hAnsi="Tahoma" w:cs="Tahoma"/>
                <w:sz w:val="14"/>
                <w:szCs w:val="14"/>
              </w:rPr>
            </w:pPr>
            <w:r w:rsidRPr="00BD7CEA">
              <w:rPr>
                <w:rFonts w:ascii="Tahoma" w:hAnsi="Tahoma" w:cs="Tahoma"/>
                <w:sz w:val="13"/>
              </w:rPr>
              <w:t>A</w:t>
            </w:r>
          </w:p>
        </w:tc>
        <w:tc>
          <w:tcPr>
            <w:tcW w:w="540" w:type="dxa"/>
            <w:tcBorders>
              <w:bottom w:val="single" w:sz="2" w:space="0" w:color="auto"/>
            </w:tcBorders>
            <w:shd w:val="clear" w:color="auto" w:fill="FABF8F"/>
          </w:tcPr>
          <w:p w:rsidR="001A63C6" w:rsidRPr="00BD7CEA" w:rsidRDefault="001A63C6" w:rsidP="001A63C6">
            <w:pPr>
              <w:pStyle w:val="TableText"/>
              <w:widowControl w:val="0"/>
              <w:rPr>
                <w:rFonts w:ascii="Tahoma" w:hAnsi="Tahoma" w:cs="Tahoma"/>
                <w:sz w:val="14"/>
                <w:szCs w:val="14"/>
              </w:rPr>
            </w:pPr>
          </w:p>
        </w:tc>
      </w:tr>
      <w:tr w:rsidR="006864A1" w:rsidRPr="00BD7CEA" w:rsidTr="006B1F3F">
        <w:trPr>
          <w:trHeight w:val="145"/>
        </w:trPr>
        <w:tc>
          <w:tcPr>
            <w:tcW w:w="2734" w:type="dxa"/>
            <w:gridSpan w:val="2"/>
            <w:tcBorders>
              <w:bottom w:val="single" w:sz="4" w:space="0" w:color="auto"/>
            </w:tcBorders>
            <w:shd w:val="clear" w:color="auto" w:fill="auto"/>
          </w:tcPr>
          <w:p w:rsidR="001A63C6" w:rsidRPr="007B74B7" w:rsidRDefault="001A63C6" w:rsidP="00E215F4">
            <w:pPr>
              <w:pStyle w:val="Heading2"/>
              <w:spacing w:beforeLines="20" w:before="48" w:afterLines="20" w:after="48"/>
              <w:ind w:left="0"/>
              <w:rPr>
                <w:rFonts w:ascii="Tahoma" w:hAnsi="Tahoma" w:cs="Tahoma"/>
                <w:b w:val="0"/>
                <w:sz w:val="14"/>
                <w:szCs w:val="14"/>
                <w:lang w:val="it-IT"/>
              </w:rPr>
            </w:pPr>
            <w:bookmarkStart w:id="467" w:name="_Toc336338090"/>
            <w:bookmarkStart w:id="468" w:name="_Toc353375869"/>
            <w:r w:rsidRPr="007B74B7">
              <w:rPr>
                <w:rFonts w:ascii="Tahoma" w:hAnsi="Tahoma" w:cs="Tahoma"/>
                <w:b w:val="0"/>
                <w:sz w:val="14"/>
                <w:szCs w:val="14"/>
                <w:lang w:val="it-IT"/>
              </w:rPr>
              <w:t>Licenza di Gestione Client per Utente per System Center Virtual Machine Manager 2008 R2</w:t>
            </w:r>
            <w:bookmarkEnd w:id="467"/>
            <w:bookmarkEnd w:id="468"/>
          </w:p>
        </w:tc>
        <w:tc>
          <w:tcPr>
            <w:tcW w:w="450" w:type="dxa"/>
            <w:tcBorders>
              <w:bottom w:val="single" w:sz="4" w:space="0" w:color="auto"/>
            </w:tcBorders>
            <w:shd w:val="clear" w:color="auto" w:fill="auto"/>
            <w:vAlign w:val="center"/>
          </w:tcPr>
          <w:p w:rsidR="001A63C6" w:rsidRPr="00BD7CEA" w:rsidRDefault="006E5080" w:rsidP="002E59B1">
            <w:pPr>
              <w:pStyle w:val="TableText"/>
              <w:widowControl w:val="0"/>
              <w:spacing w:before="60"/>
              <w:rPr>
                <w:rStyle w:val="EndnoteReference"/>
                <w:rFonts w:cs="Tahoma"/>
                <w:b w:val="0"/>
                <w:sz w:val="13"/>
                <w:szCs w:val="13"/>
                <w:u w:val="single"/>
              </w:rPr>
            </w:pPr>
            <w:hyperlink w:anchor="_89_System_Center" w:history="1">
              <w:r w:rsidR="006C6788" w:rsidRPr="00BD7CEA">
                <w:rPr>
                  <w:rStyle w:val="Hyperlink"/>
                  <w:rFonts w:cs="Tahoma"/>
                  <w:b/>
                  <w:sz w:val="13"/>
                  <w:szCs w:val="13"/>
                </w:rPr>
                <w:t>89</w:t>
              </w:r>
            </w:hyperlink>
          </w:p>
        </w:tc>
        <w:tc>
          <w:tcPr>
            <w:tcW w:w="450" w:type="dxa"/>
            <w:tcBorders>
              <w:bottom w:val="single" w:sz="4" w:space="0" w:color="auto"/>
            </w:tcBorders>
            <w:shd w:val="clear" w:color="auto" w:fill="auto"/>
          </w:tcPr>
          <w:p w:rsidR="001A63C6" w:rsidRPr="00BD7CEA" w:rsidRDefault="001A63C6" w:rsidP="001A63C6">
            <w:pPr>
              <w:pStyle w:val="TableText"/>
              <w:widowControl w:val="0"/>
              <w:spacing w:before="120"/>
              <w:rPr>
                <w:rFonts w:ascii="Tahoma" w:hAnsi="Tahoma" w:cs="Tahoma"/>
                <w:sz w:val="13"/>
                <w:szCs w:val="13"/>
              </w:rPr>
            </w:pPr>
            <w:r w:rsidRPr="00BD7CEA">
              <w:rPr>
                <w:rFonts w:ascii="Tahoma" w:hAnsi="Tahoma" w:cs="Tahoma"/>
                <w:sz w:val="13"/>
                <w:szCs w:val="13"/>
              </w:rPr>
              <w:t>11/09</w:t>
            </w:r>
          </w:p>
        </w:tc>
        <w:tc>
          <w:tcPr>
            <w:tcW w:w="360" w:type="dxa"/>
            <w:tcBorders>
              <w:bottom w:val="single" w:sz="4" w:space="0" w:color="auto"/>
              <w:right w:val="single" w:sz="18" w:space="0" w:color="auto"/>
            </w:tcBorders>
            <w:shd w:val="clear" w:color="auto" w:fill="auto"/>
          </w:tcPr>
          <w:p w:rsidR="001A63C6" w:rsidRPr="00BD7CEA" w:rsidRDefault="001A63C6" w:rsidP="001A63C6">
            <w:pPr>
              <w:pStyle w:val="TableText"/>
              <w:widowControl w:val="0"/>
              <w:spacing w:before="120"/>
              <w:rPr>
                <w:rFonts w:ascii="Tahoma" w:hAnsi="Tahoma" w:cs="Tahoma"/>
                <w:sz w:val="14"/>
                <w:szCs w:val="14"/>
              </w:rPr>
            </w:pPr>
            <w:r w:rsidRPr="00BD7CEA">
              <w:rPr>
                <w:rFonts w:ascii="Tahoma" w:hAnsi="Tahoma" w:cs="Tahoma"/>
                <w:sz w:val="14"/>
                <w:szCs w:val="14"/>
              </w:rPr>
              <w:t>SRV</w:t>
            </w:r>
          </w:p>
        </w:tc>
        <w:tc>
          <w:tcPr>
            <w:tcW w:w="360" w:type="dxa"/>
            <w:tcBorders>
              <w:left w:val="single" w:sz="18" w:space="0" w:color="auto"/>
              <w:bottom w:val="single" w:sz="4" w:space="0" w:color="auto"/>
            </w:tcBorders>
            <w:shd w:val="clear" w:color="auto" w:fill="auto"/>
          </w:tcPr>
          <w:p w:rsidR="001A63C6" w:rsidRPr="00BD7CEA"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BD7CEA"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BD7CEA"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BD7CEA"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BD7CEA"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BD7CEA" w:rsidRDefault="001A63C6" w:rsidP="001A63C6">
            <w:pPr>
              <w:pStyle w:val="TableText"/>
              <w:widowControl w:val="0"/>
              <w:spacing w:before="120"/>
              <w:rPr>
                <w:rFonts w:ascii="Tahoma" w:hAnsi="Tahoma" w:cs="Tahoma"/>
                <w:sz w:val="14"/>
                <w:szCs w:val="14"/>
              </w:rPr>
            </w:pPr>
          </w:p>
        </w:tc>
        <w:tc>
          <w:tcPr>
            <w:tcW w:w="360" w:type="dxa"/>
            <w:tcBorders>
              <w:bottom w:val="single" w:sz="4" w:space="0" w:color="auto"/>
              <w:right w:val="single" w:sz="18" w:space="0" w:color="auto"/>
            </w:tcBorders>
            <w:shd w:val="clear" w:color="auto" w:fill="auto"/>
          </w:tcPr>
          <w:p w:rsidR="001A63C6" w:rsidRPr="00BD7CEA"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auto"/>
          </w:tcPr>
          <w:p w:rsidR="001A63C6" w:rsidRPr="00BD7CEA"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BD7CEA"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right w:val="single" w:sz="18" w:space="0" w:color="auto"/>
            </w:tcBorders>
            <w:shd w:val="clear" w:color="auto" w:fill="auto"/>
          </w:tcPr>
          <w:p w:rsidR="001A63C6" w:rsidRPr="00BD7CEA"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auto"/>
          </w:tcPr>
          <w:p w:rsidR="001A63C6" w:rsidRPr="00BD7CEA" w:rsidRDefault="001A63C6" w:rsidP="001A63C6">
            <w:pPr>
              <w:pStyle w:val="TableText"/>
              <w:widowControl w:val="0"/>
              <w:spacing w:before="120"/>
              <w:rPr>
                <w:rFonts w:ascii="Tahoma" w:hAnsi="Tahoma" w:cs="Tahoma"/>
                <w:sz w:val="14"/>
                <w:szCs w:val="14"/>
              </w:rPr>
            </w:pPr>
            <w:r w:rsidRPr="00BD7CEA">
              <w:rPr>
                <w:rFonts w:ascii="Tahoma" w:hAnsi="Tahoma" w:cs="Tahoma"/>
                <w:sz w:val="14"/>
                <w:szCs w:val="14"/>
              </w:rPr>
              <w:t>1</w:t>
            </w:r>
          </w:p>
        </w:tc>
        <w:tc>
          <w:tcPr>
            <w:tcW w:w="450" w:type="dxa"/>
            <w:tcBorders>
              <w:bottom w:val="single" w:sz="4" w:space="0" w:color="auto"/>
              <w:right w:val="single" w:sz="18" w:space="0" w:color="auto"/>
            </w:tcBorders>
            <w:shd w:val="clear" w:color="auto" w:fill="auto"/>
          </w:tcPr>
          <w:p w:rsidR="001A63C6" w:rsidRPr="00BD7CEA"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auto"/>
          </w:tcPr>
          <w:p w:rsidR="001A63C6" w:rsidRPr="00BD7CEA"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BD7CEA" w:rsidRDefault="001A63C6" w:rsidP="001A63C6">
            <w:pPr>
              <w:pStyle w:val="TableText"/>
              <w:widowControl w:val="0"/>
              <w:spacing w:before="120"/>
              <w:rPr>
                <w:rFonts w:ascii="Tahoma" w:hAnsi="Tahoma" w:cs="Tahoma"/>
                <w:sz w:val="14"/>
                <w:szCs w:val="14"/>
              </w:rPr>
            </w:pPr>
            <w:r w:rsidRPr="00BD7CEA">
              <w:rPr>
                <w:rFonts w:ascii="Tahoma" w:hAnsi="Tahoma" w:cs="Tahoma"/>
                <w:sz w:val="13"/>
              </w:rPr>
              <w:t>A</w:t>
            </w:r>
          </w:p>
        </w:tc>
        <w:tc>
          <w:tcPr>
            <w:tcW w:w="540" w:type="dxa"/>
            <w:tcBorders>
              <w:bottom w:val="single" w:sz="4" w:space="0" w:color="auto"/>
            </w:tcBorders>
            <w:shd w:val="clear" w:color="auto" w:fill="auto"/>
          </w:tcPr>
          <w:p w:rsidR="001A63C6" w:rsidRPr="00BD7CEA" w:rsidRDefault="001A63C6" w:rsidP="001A63C6">
            <w:pPr>
              <w:pStyle w:val="TableText"/>
              <w:widowControl w:val="0"/>
              <w:rPr>
                <w:rFonts w:ascii="Tahoma" w:hAnsi="Tahoma" w:cs="Tahoma"/>
                <w:sz w:val="14"/>
                <w:szCs w:val="14"/>
              </w:rPr>
            </w:pPr>
          </w:p>
        </w:tc>
      </w:tr>
      <w:tr w:rsidR="006864A1" w:rsidRPr="00BD7CEA" w:rsidTr="006B1F3F">
        <w:trPr>
          <w:trHeight w:val="145"/>
        </w:trPr>
        <w:tc>
          <w:tcPr>
            <w:tcW w:w="2734" w:type="dxa"/>
            <w:gridSpan w:val="2"/>
            <w:tcBorders>
              <w:bottom w:val="single" w:sz="4" w:space="0" w:color="auto"/>
            </w:tcBorders>
            <w:shd w:val="clear" w:color="auto" w:fill="FABF8F"/>
          </w:tcPr>
          <w:p w:rsidR="001A63C6" w:rsidRPr="007B74B7" w:rsidRDefault="001A63C6" w:rsidP="00E215F4">
            <w:pPr>
              <w:pStyle w:val="ProductNames"/>
              <w:spacing w:beforeLines="20" w:before="48" w:afterLines="20" w:after="48"/>
              <w:rPr>
                <w:rFonts w:ascii="Tahoma" w:hAnsi="Tahoma" w:cs="Tahoma"/>
                <w:sz w:val="14"/>
                <w:szCs w:val="14"/>
                <w:lang w:val="it-IT"/>
              </w:rPr>
            </w:pPr>
            <w:bookmarkStart w:id="469" w:name="_Toc336338091"/>
            <w:bookmarkStart w:id="470" w:name="_Toc353375870"/>
            <w:r w:rsidRPr="007B74B7">
              <w:rPr>
                <w:rFonts w:ascii="Tahoma" w:hAnsi="Tahoma" w:cs="Tahoma"/>
                <w:color w:val="000000"/>
                <w:sz w:val="14"/>
                <w:szCs w:val="14"/>
                <w:lang w:val="it-IT"/>
              </w:rPr>
              <w:t>Licenza di Gestione Server per System Center Virtual Machine Manager 2008 R2 Enterprise</w:t>
            </w:r>
            <w:bookmarkEnd w:id="469"/>
            <w:bookmarkEnd w:id="470"/>
          </w:p>
        </w:tc>
        <w:tc>
          <w:tcPr>
            <w:tcW w:w="450" w:type="dxa"/>
            <w:tcBorders>
              <w:bottom w:val="single" w:sz="4" w:space="0" w:color="auto"/>
            </w:tcBorders>
            <w:shd w:val="clear" w:color="auto" w:fill="FABF8F"/>
            <w:vAlign w:val="center"/>
          </w:tcPr>
          <w:p w:rsidR="001A63C6" w:rsidRPr="00BD7CEA" w:rsidRDefault="006E5080" w:rsidP="002E59B1">
            <w:pPr>
              <w:pStyle w:val="TableText"/>
              <w:widowControl w:val="0"/>
              <w:spacing w:before="120"/>
              <w:rPr>
                <w:rStyle w:val="EndnoteReference"/>
                <w:rFonts w:cs="Tahoma"/>
                <w:b w:val="0"/>
                <w:sz w:val="13"/>
                <w:szCs w:val="13"/>
                <w:u w:val="single"/>
              </w:rPr>
            </w:pPr>
            <w:hyperlink w:anchor="_89_System_Center" w:history="1">
              <w:r w:rsidR="006C6788" w:rsidRPr="00BD7CEA">
                <w:rPr>
                  <w:rStyle w:val="Hyperlink"/>
                  <w:rFonts w:cs="Tahoma"/>
                  <w:b/>
                  <w:sz w:val="13"/>
                  <w:szCs w:val="13"/>
                </w:rPr>
                <w:t>89</w:t>
              </w:r>
            </w:hyperlink>
            <w:hyperlink w:anchor="Srv_100SysCenterVMM2008R2" w:history="1"/>
          </w:p>
        </w:tc>
        <w:tc>
          <w:tcPr>
            <w:tcW w:w="450" w:type="dxa"/>
            <w:tcBorders>
              <w:bottom w:val="single" w:sz="4" w:space="0" w:color="auto"/>
            </w:tcBorders>
            <w:shd w:val="clear" w:color="auto" w:fill="FABF8F"/>
          </w:tcPr>
          <w:p w:rsidR="001A63C6" w:rsidRPr="00BD7CEA" w:rsidRDefault="001A63C6" w:rsidP="001A63C6">
            <w:pPr>
              <w:pStyle w:val="TableText"/>
              <w:widowControl w:val="0"/>
              <w:spacing w:before="120"/>
              <w:rPr>
                <w:rFonts w:ascii="Tahoma" w:hAnsi="Tahoma" w:cs="Tahoma"/>
                <w:sz w:val="13"/>
                <w:szCs w:val="13"/>
              </w:rPr>
            </w:pPr>
            <w:r w:rsidRPr="00BD7CEA">
              <w:rPr>
                <w:rFonts w:ascii="Tahoma" w:hAnsi="Tahoma" w:cs="Tahoma"/>
                <w:sz w:val="13"/>
                <w:szCs w:val="13"/>
              </w:rPr>
              <w:t>10/08</w:t>
            </w:r>
          </w:p>
        </w:tc>
        <w:tc>
          <w:tcPr>
            <w:tcW w:w="360" w:type="dxa"/>
            <w:tcBorders>
              <w:bottom w:val="single" w:sz="4" w:space="0" w:color="auto"/>
              <w:right w:val="single" w:sz="18" w:space="0" w:color="auto"/>
            </w:tcBorders>
            <w:shd w:val="clear" w:color="auto" w:fill="FABF8F"/>
          </w:tcPr>
          <w:p w:rsidR="001A63C6" w:rsidRPr="00BD7CEA" w:rsidRDefault="001A63C6" w:rsidP="001A63C6">
            <w:pPr>
              <w:pStyle w:val="TableText"/>
              <w:widowControl w:val="0"/>
              <w:spacing w:before="120"/>
              <w:rPr>
                <w:rFonts w:ascii="Tahoma" w:hAnsi="Tahoma" w:cs="Tahoma"/>
                <w:sz w:val="14"/>
                <w:szCs w:val="14"/>
              </w:rPr>
            </w:pPr>
            <w:r w:rsidRPr="00BD7CEA">
              <w:rPr>
                <w:rFonts w:ascii="Tahoma" w:hAnsi="Tahoma" w:cs="Tahoma"/>
                <w:sz w:val="14"/>
                <w:szCs w:val="14"/>
              </w:rPr>
              <w:t>SRV</w:t>
            </w:r>
          </w:p>
        </w:tc>
        <w:tc>
          <w:tcPr>
            <w:tcW w:w="360" w:type="dxa"/>
            <w:tcBorders>
              <w:left w:val="single" w:sz="18" w:space="0" w:color="auto"/>
              <w:bottom w:val="single" w:sz="4" w:space="0" w:color="auto"/>
            </w:tcBorders>
            <w:shd w:val="clear" w:color="auto" w:fill="FABF8F"/>
          </w:tcPr>
          <w:p w:rsidR="001A63C6" w:rsidRPr="00BD7CEA"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BD7CEA"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BD7CEA"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BD7CEA"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BD7CEA"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BD7CEA" w:rsidRDefault="001A63C6" w:rsidP="001A63C6">
            <w:pPr>
              <w:pStyle w:val="TableText"/>
              <w:widowControl w:val="0"/>
              <w:spacing w:before="120"/>
              <w:rPr>
                <w:rFonts w:ascii="Tahoma" w:hAnsi="Tahoma" w:cs="Tahoma"/>
                <w:sz w:val="14"/>
                <w:szCs w:val="14"/>
              </w:rPr>
            </w:pPr>
          </w:p>
        </w:tc>
        <w:tc>
          <w:tcPr>
            <w:tcW w:w="360" w:type="dxa"/>
            <w:tcBorders>
              <w:bottom w:val="single" w:sz="4" w:space="0" w:color="auto"/>
              <w:right w:val="single" w:sz="18" w:space="0" w:color="auto"/>
            </w:tcBorders>
            <w:shd w:val="clear" w:color="auto" w:fill="FABF8F"/>
          </w:tcPr>
          <w:p w:rsidR="001A63C6" w:rsidRPr="00BD7CEA"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FABF8F"/>
          </w:tcPr>
          <w:p w:rsidR="001A63C6" w:rsidRPr="00BD7CEA"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BD7CEA"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right w:val="single" w:sz="18" w:space="0" w:color="auto"/>
            </w:tcBorders>
            <w:shd w:val="clear" w:color="auto" w:fill="FABF8F"/>
          </w:tcPr>
          <w:p w:rsidR="001A63C6" w:rsidRPr="00BD7CEA"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FABF8F"/>
          </w:tcPr>
          <w:p w:rsidR="001A63C6" w:rsidRPr="00BD7CEA" w:rsidRDefault="001A63C6" w:rsidP="001A63C6">
            <w:pPr>
              <w:pStyle w:val="TableText"/>
              <w:widowControl w:val="0"/>
              <w:spacing w:before="120"/>
              <w:rPr>
                <w:rFonts w:ascii="Tahoma" w:hAnsi="Tahoma" w:cs="Tahoma"/>
                <w:sz w:val="14"/>
                <w:szCs w:val="14"/>
              </w:rPr>
            </w:pPr>
            <w:r w:rsidRPr="00BD7CEA">
              <w:rPr>
                <w:rFonts w:ascii="Tahoma" w:hAnsi="Tahoma" w:cs="Tahoma"/>
                <w:sz w:val="14"/>
                <w:szCs w:val="14"/>
              </w:rPr>
              <w:t>10</w:t>
            </w:r>
          </w:p>
        </w:tc>
        <w:tc>
          <w:tcPr>
            <w:tcW w:w="450" w:type="dxa"/>
            <w:tcBorders>
              <w:bottom w:val="single" w:sz="4" w:space="0" w:color="auto"/>
              <w:right w:val="single" w:sz="18" w:space="0" w:color="auto"/>
            </w:tcBorders>
            <w:shd w:val="clear" w:color="auto" w:fill="FABF8F"/>
          </w:tcPr>
          <w:p w:rsidR="001A63C6" w:rsidRPr="00BD7CEA"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FABF8F"/>
          </w:tcPr>
          <w:p w:rsidR="001A63C6" w:rsidRPr="00BD7CEA"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BD7CEA" w:rsidRDefault="001A63C6" w:rsidP="001A63C6">
            <w:pPr>
              <w:pStyle w:val="TableText"/>
              <w:widowControl w:val="0"/>
              <w:spacing w:before="120"/>
              <w:rPr>
                <w:rFonts w:ascii="Tahoma" w:hAnsi="Tahoma" w:cs="Tahoma"/>
                <w:sz w:val="14"/>
                <w:szCs w:val="14"/>
              </w:rPr>
            </w:pPr>
            <w:r w:rsidRPr="00BD7CEA">
              <w:rPr>
                <w:rFonts w:ascii="Tahoma" w:hAnsi="Tahoma" w:cs="Tahoma"/>
                <w:sz w:val="13"/>
              </w:rPr>
              <w:t>A</w:t>
            </w:r>
          </w:p>
        </w:tc>
        <w:tc>
          <w:tcPr>
            <w:tcW w:w="540" w:type="dxa"/>
            <w:tcBorders>
              <w:bottom w:val="single" w:sz="4" w:space="0" w:color="auto"/>
            </w:tcBorders>
            <w:shd w:val="clear" w:color="auto" w:fill="FABF8F"/>
          </w:tcPr>
          <w:p w:rsidR="001A63C6" w:rsidRPr="00BD7CEA" w:rsidRDefault="001A63C6" w:rsidP="001A63C6">
            <w:pPr>
              <w:pStyle w:val="TableText"/>
              <w:widowControl w:val="0"/>
              <w:rPr>
                <w:rFonts w:ascii="Tahoma" w:hAnsi="Tahoma" w:cs="Tahoma"/>
                <w:sz w:val="14"/>
                <w:szCs w:val="14"/>
              </w:rPr>
            </w:pPr>
          </w:p>
        </w:tc>
      </w:tr>
      <w:tr w:rsidR="006864A1" w:rsidRPr="00BD7CEA" w:rsidTr="006B1F3F">
        <w:trPr>
          <w:trHeight w:val="368"/>
        </w:trPr>
        <w:tc>
          <w:tcPr>
            <w:tcW w:w="2734" w:type="dxa"/>
            <w:gridSpan w:val="2"/>
            <w:tcBorders>
              <w:bottom w:val="single" w:sz="4" w:space="0" w:color="auto"/>
            </w:tcBorders>
            <w:shd w:val="clear" w:color="auto" w:fill="auto"/>
            <w:vAlign w:val="center"/>
          </w:tcPr>
          <w:p w:rsidR="001A63C6" w:rsidRPr="007B74B7" w:rsidRDefault="001A63C6" w:rsidP="00E215F4">
            <w:pPr>
              <w:pStyle w:val="ProductNames"/>
              <w:spacing w:beforeLines="20" w:before="48" w:afterLines="20" w:after="48"/>
              <w:rPr>
                <w:rFonts w:ascii="Tahoma" w:hAnsi="Tahoma" w:cs="Tahoma"/>
                <w:sz w:val="14"/>
                <w:lang w:val="fr-FR"/>
              </w:rPr>
            </w:pPr>
            <w:bookmarkStart w:id="471" w:name="_Toc336338093"/>
            <w:bookmarkStart w:id="472" w:name="_Toc353375871"/>
            <w:r w:rsidRPr="007B74B7">
              <w:rPr>
                <w:rFonts w:ascii="Tahoma" w:hAnsi="Tahoma" w:cs="Tahoma"/>
                <w:sz w:val="14"/>
                <w:szCs w:val="18"/>
                <w:lang w:val="fr-FR"/>
              </w:rPr>
              <w:t>System Center 2012 Client Management Suite (Client ML) per OSE</w:t>
            </w:r>
            <w:bookmarkEnd w:id="471"/>
            <w:bookmarkEnd w:id="472"/>
          </w:p>
        </w:tc>
        <w:tc>
          <w:tcPr>
            <w:tcW w:w="450" w:type="dxa"/>
            <w:tcBorders>
              <w:bottom w:val="single" w:sz="4" w:space="0" w:color="auto"/>
            </w:tcBorders>
            <w:shd w:val="clear" w:color="auto" w:fill="auto"/>
            <w:vAlign w:val="center"/>
          </w:tcPr>
          <w:p w:rsidR="001A63C6" w:rsidRPr="00BD7CEA" w:rsidRDefault="006E5080" w:rsidP="002E59B1">
            <w:pPr>
              <w:pStyle w:val="TableText"/>
              <w:widowControl w:val="0"/>
              <w:rPr>
                <w:b/>
                <w:color w:val="000000"/>
                <w:sz w:val="13"/>
                <w:szCs w:val="13"/>
                <w:u w:val="single"/>
              </w:rPr>
            </w:pPr>
            <w:hyperlink w:anchor="_91_89_System" w:history="1">
              <w:r w:rsidR="002E59B1" w:rsidRPr="00BD7CEA">
                <w:rPr>
                  <w:rStyle w:val="Hyperlink"/>
                  <w:rFonts w:cs="Tahoma"/>
                  <w:b/>
                  <w:sz w:val="13"/>
                  <w:szCs w:val="13"/>
                </w:rPr>
                <w:t>90</w:t>
              </w:r>
            </w:hyperlink>
            <w:hyperlink w:anchor="_91_89_System" w:history="1"/>
            <w:hyperlink w:anchor="Srv_101SystemCenter2012" w:history="1"/>
          </w:p>
        </w:tc>
        <w:tc>
          <w:tcPr>
            <w:tcW w:w="450" w:type="dxa"/>
            <w:tcBorders>
              <w:bottom w:val="single" w:sz="4" w:space="0" w:color="auto"/>
            </w:tcBorders>
            <w:shd w:val="clear" w:color="auto" w:fill="auto"/>
          </w:tcPr>
          <w:p w:rsidR="001A63C6" w:rsidRPr="00BD7CEA" w:rsidRDefault="001A63C6" w:rsidP="001A63C6">
            <w:pPr>
              <w:pStyle w:val="TableText"/>
              <w:widowControl w:val="0"/>
              <w:spacing w:before="240"/>
              <w:rPr>
                <w:rFonts w:ascii="Tahoma" w:hAnsi="Tahoma" w:cs="Tahoma"/>
                <w:sz w:val="13"/>
              </w:rPr>
            </w:pPr>
            <w:r w:rsidRPr="00BD7CEA">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1A63C6" w:rsidRPr="00BD7CEA"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2</w:t>
            </w:r>
          </w:p>
        </w:tc>
        <w:tc>
          <w:tcPr>
            <w:tcW w:w="450" w:type="dxa"/>
            <w:tcBorders>
              <w:bottom w:val="single" w:sz="4" w:space="0" w:color="auto"/>
            </w:tcBorders>
            <w:shd w:val="clear" w:color="auto" w:fill="auto"/>
            <w:vAlign w:val="bottom"/>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2</w:t>
            </w:r>
          </w:p>
        </w:tc>
        <w:tc>
          <w:tcPr>
            <w:tcW w:w="450" w:type="dxa"/>
            <w:tcBorders>
              <w:bottom w:val="single" w:sz="4" w:space="0" w:color="auto"/>
            </w:tcBorders>
            <w:shd w:val="clear" w:color="auto" w:fill="auto"/>
            <w:vAlign w:val="bottom"/>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2</w:t>
            </w:r>
          </w:p>
        </w:tc>
        <w:tc>
          <w:tcPr>
            <w:tcW w:w="450" w:type="dxa"/>
            <w:tcBorders>
              <w:bottom w:val="single" w:sz="4" w:space="0" w:color="auto"/>
            </w:tcBorders>
            <w:shd w:val="clear" w:color="auto" w:fill="auto"/>
            <w:vAlign w:val="bottom"/>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1</w:t>
            </w:r>
          </w:p>
        </w:tc>
        <w:tc>
          <w:tcPr>
            <w:tcW w:w="450" w:type="dxa"/>
            <w:tcBorders>
              <w:bottom w:val="single" w:sz="4" w:space="0" w:color="auto"/>
            </w:tcBorders>
            <w:shd w:val="clear" w:color="auto" w:fill="auto"/>
            <w:vAlign w:val="bottom"/>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 </w:t>
            </w:r>
          </w:p>
        </w:tc>
        <w:tc>
          <w:tcPr>
            <w:tcW w:w="450" w:type="dxa"/>
            <w:tcBorders>
              <w:left w:val="single" w:sz="18" w:space="0" w:color="auto"/>
              <w:bottom w:val="single" w:sz="4" w:space="0" w:color="auto"/>
            </w:tcBorders>
            <w:shd w:val="clear" w:color="auto" w:fill="auto"/>
            <w:vAlign w:val="bottom"/>
          </w:tcPr>
          <w:p w:rsidR="001A63C6" w:rsidRPr="00BD7CEA"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rsidR="001A63C6" w:rsidRPr="00BD7CEA" w:rsidRDefault="001A63C6" w:rsidP="001A63C6">
            <w:pPr>
              <w:pStyle w:val="TableText"/>
              <w:widowControl w:val="0"/>
              <w:spacing w:after="120"/>
              <w:rPr>
                <w:rFonts w:ascii="Tahoma" w:hAnsi="Tahoma" w:cs="Tahoma"/>
                <w:sz w:val="13"/>
                <w:szCs w:val="13"/>
              </w:rPr>
            </w:pPr>
            <w:r w:rsidRPr="00BD7CEA">
              <w:rPr>
                <w:rFonts w:ascii="Arial" w:hAnsi="Arial" w:cs="Arial"/>
                <w:sz w:val="13"/>
                <w:szCs w:val="13"/>
              </w:rPr>
              <w:t>A, E</w:t>
            </w:r>
          </w:p>
        </w:tc>
        <w:tc>
          <w:tcPr>
            <w:tcW w:w="450" w:type="dxa"/>
            <w:tcBorders>
              <w:left w:val="single" w:sz="18" w:space="0" w:color="auto"/>
              <w:bottom w:val="single" w:sz="4" w:space="0" w:color="auto"/>
              <w:right w:val="single" w:sz="18" w:space="0" w:color="auto"/>
            </w:tcBorders>
            <w:shd w:val="clear" w:color="auto" w:fill="auto"/>
            <w:vAlign w:val="bottom"/>
          </w:tcPr>
          <w:p w:rsidR="001A63C6" w:rsidRPr="00BD7CEA" w:rsidRDefault="001A63C6" w:rsidP="001A63C6">
            <w:pPr>
              <w:pStyle w:val="TableText"/>
              <w:widowControl w:val="0"/>
              <w:spacing w:after="120"/>
              <w:rPr>
                <w:rFonts w:ascii="Tahoma" w:hAnsi="Tahoma" w:cs="Tahoma"/>
                <w:sz w:val="13"/>
                <w:szCs w:val="13"/>
              </w:rPr>
            </w:pPr>
            <w:r w:rsidRPr="00BD7CEA">
              <w:rPr>
                <w:rFonts w:ascii="Arial" w:hAnsi="Arial" w:cs="Arial"/>
                <w:sz w:val="13"/>
                <w:szCs w:val="13"/>
              </w:rPr>
              <w:t>P</w:t>
            </w:r>
          </w:p>
        </w:tc>
        <w:tc>
          <w:tcPr>
            <w:tcW w:w="450" w:type="dxa"/>
            <w:tcBorders>
              <w:bottom w:val="single" w:sz="4" w:space="0" w:color="auto"/>
            </w:tcBorders>
            <w:shd w:val="clear" w:color="auto" w:fill="auto"/>
          </w:tcPr>
          <w:p w:rsidR="001A63C6" w:rsidRPr="00BD7CEA" w:rsidRDefault="001A63C6" w:rsidP="001A63C6">
            <w:pPr>
              <w:spacing w:before="240"/>
              <w:jc w:val="center"/>
            </w:pPr>
            <w:r w:rsidRPr="00BD7CEA">
              <w:rPr>
                <w:rFonts w:ascii="Arial" w:hAnsi="Arial" w:cs="Arial"/>
                <w:sz w:val="13"/>
                <w:szCs w:val="13"/>
              </w:rPr>
              <w:t>AO, ST</w:t>
            </w:r>
          </w:p>
          <w:p w:rsidR="001A63C6" w:rsidRPr="00BD7CEA" w:rsidRDefault="001A63C6" w:rsidP="001A63C6">
            <w:pPr>
              <w:pStyle w:val="TableText"/>
              <w:widowControl w:val="0"/>
              <w:rPr>
                <w:rFonts w:ascii="Tahoma" w:hAnsi="Tahoma" w:cs="Tahoma"/>
                <w:sz w:val="13"/>
                <w:szCs w:val="13"/>
              </w:rPr>
            </w:pP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r>
      <w:tr w:rsidR="006864A1" w:rsidRPr="00BD7CEA" w:rsidTr="006B1F3F">
        <w:trPr>
          <w:trHeight w:val="134"/>
        </w:trPr>
        <w:tc>
          <w:tcPr>
            <w:tcW w:w="2734" w:type="dxa"/>
            <w:gridSpan w:val="2"/>
            <w:tcBorders>
              <w:bottom w:val="single" w:sz="4" w:space="0" w:color="auto"/>
            </w:tcBorders>
            <w:shd w:val="clear" w:color="auto" w:fill="FABF8F"/>
            <w:vAlign w:val="center"/>
          </w:tcPr>
          <w:p w:rsidR="001A63C6" w:rsidRPr="007B74B7" w:rsidRDefault="001A63C6" w:rsidP="00E215F4">
            <w:pPr>
              <w:pStyle w:val="ProductNames"/>
              <w:spacing w:beforeLines="20" w:before="48" w:afterLines="20" w:after="48"/>
              <w:rPr>
                <w:rFonts w:ascii="Tahoma" w:hAnsi="Tahoma" w:cs="Tahoma"/>
                <w:sz w:val="14"/>
                <w:lang w:val="fr-FR"/>
              </w:rPr>
            </w:pPr>
            <w:bookmarkStart w:id="473" w:name="_Toc336338094"/>
            <w:bookmarkStart w:id="474" w:name="_Toc353375872"/>
            <w:r w:rsidRPr="007B74B7">
              <w:rPr>
                <w:rFonts w:ascii="Tahoma" w:hAnsi="Tahoma" w:cs="Tahoma"/>
                <w:sz w:val="14"/>
                <w:szCs w:val="18"/>
                <w:lang w:val="fr-FR"/>
              </w:rPr>
              <w:t>System Center 2012 Client Management Suite (Client ML) per Utente</w:t>
            </w:r>
            <w:bookmarkEnd w:id="473"/>
            <w:bookmarkEnd w:id="474"/>
          </w:p>
        </w:tc>
        <w:tc>
          <w:tcPr>
            <w:tcW w:w="450" w:type="dxa"/>
            <w:tcBorders>
              <w:bottom w:val="single" w:sz="4" w:space="0" w:color="auto"/>
            </w:tcBorders>
            <w:shd w:val="clear" w:color="auto" w:fill="FABF8F"/>
            <w:vAlign w:val="center"/>
          </w:tcPr>
          <w:p w:rsidR="001A63C6" w:rsidRPr="00BD7CEA" w:rsidRDefault="006E5080" w:rsidP="006E7054">
            <w:pPr>
              <w:pStyle w:val="TableText"/>
              <w:widowControl w:val="0"/>
              <w:rPr>
                <w:b/>
                <w:color w:val="000000"/>
                <w:sz w:val="13"/>
                <w:szCs w:val="13"/>
                <w:u w:val="single"/>
              </w:rPr>
            </w:pPr>
            <w:hyperlink w:anchor="_91_89_System" w:history="1">
              <w:r w:rsidR="006C6788" w:rsidRPr="00BD7CEA">
                <w:rPr>
                  <w:rStyle w:val="Hyperlink"/>
                  <w:rFonts w:cs="Tahoma"/>
                  <w:b/>
                  <w:sz w:val="13"/>
                  <w:szCs w:val="13"/>
                </w:rPr>
                <w:t>90</w:t>
              </w:r>
            </w:hyperlink>
            <w:hyperlink w:anchor="_91_89_System" w:history="1"/>
            <w:hyperlink w:anchor="Srv_101SystemCenter2012" w:history="1"/>
          </w:p>
        </w:tc>
        <w:tc>
          <w:tcPr>
            <w:tcW w:w="450" w:type="dxa"/>
            <w:tcBorders>
              <w:bottom w:val="single" w:sz="4" w:space="0" w:color="auto"/>
            </w:tcBorders>
            <w:shd w:val="clear" w:color="auto" w:fill="FABF8F"/>
          </w:tcPr>
          <w:p w:rsidR="001A63C6" w:rsidRPr="00BD7CEA" w:rsidRDefault="001A63C6" w:rsidP="001A63C6">
            <w:pPr>
              <w:pStyle w:val="TableText"/>
              <w:widowControl w:val="0"/>
              <w:spacing w:before="240"/>
              <w:rPr>
                <w:rFonts w:ascii="Tahoma" w:hAnsi="Tahoma" w:cs="Tahoma"/>
                <w:sz w:val="13"/>
              </w:rPr>
            </w:pPr>
            <w:r w:rsidRPr="00BD7CEA">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1A63C6" w:rsidRPr="00BD7CEA"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1</w:t>
            </w:r>
          </w:p>
        </w:tc>
        <w:tc>
          <w:tcPr>
            <w:tcW w:w="450" w:type="dxa"/>
            <w:tcBorders>
              <w:bottom w:val="single" w:sz="4" w:space="0" w:color="auto"/>
            </w:tcBorders>
            <w:shd w:val="clear" w:color="auto" w:fill="FABF8F"/>
            <w:vAlign w:val="bottom"/>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 </w:t>
            </w:r>
          </w:p>
        </w:tc>
        <w:tc>
          <w:tcPr>
            <w:tcW w:w="450" w:type="dxa"/>
            <w:tcBorders>
              <w:left w:val="single" w:sz="18" w:space="0" w:color="auto"/>
              <w:bottom w:val="single" w:sz="4" w:space="0" w:color="auto"/>
            </w:tcBorders>
            <w:shd w:val="clear" w:color="auto" w:fill="FABF8F"/>
            <w:vAlign w:val="bottom"/>
          </w:tcPr>
          <w:p w:rsidR="001A63C6" w:rsidRPr="00BD7CEA"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D7CEA"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r>
      <w:tr w:rsidR="006864A1" w:rsidRPr="00BD7CEA" w:rsidTr="006B1F3F">
        <w:trPr>
          <w:trHeight w:val="134"/>
        </w:trPr>
        <w:tc>
          <w:tcPr>
            <w:tcW w:w="2734" w:type="dxa"/>
            <w:gridSpan w:val="2"/>
            <w:tcBorders>
              <w:bottom w:val="single" w:sz="4" w:space="0" w:color="auto"/>
            </w:tcBorders>
            <w:shd w:val="clear" w:color="auto" w:fill="auto"/>
            <w:vAlign w:val="center"/>
          </w:tcPr>
          <w:p w:rsidR="001A63C6" w:rsidRPr="007B74B7" w:rsidRDefault="001A63C6" w:rsidP="00095F5D">
            <w:pPr>
              <w:pStyle w:val="ProductNames"/>
              <w:spacing w:beforeLines="20" w:before="48" w:afterLines="20" w:after="48"/>
              <w:rPr>
                <w:rFonts w:ascii="Tahoma" w:hAnsi="Tahoma" w:cs="Tahoma"/>
                <w:sz w:val="14"/>
                <w:lang w:val="it-IT"/>
              </w:rPr>
            </w:pPr>
            <w:bookmarkStart w:id="475" w:name="_Toc336338095"/>
            <w:bookmarkStart w:id="476" w:name="_Toc353375873"/>
            <w:r w:rsidRPr="007B74B7">
              <w:rPr>
                <w:rFonts w:ascii="Tahoma" w:hAnsi="Tahoma" w:cs="Tahoma"/>
                <w:sz w:val="14"/>
                <w:szCs w:val="14"/>
                <w:lang w:val="it-IT"/>
              </w:rPr>
              <w:t>Licenza di Gestione Client (Client ML) per</w:t>
            </w:r>
            <w:r w:rsidR="00095F5D" w:rsidRPr="007B74B7">
              <w:rPr>
                <w:rFonts w:ascii="Tahoma" w:hAnsi="Tahoma" w:cs="Tahoma"/>
                <w:sz w:val="14"/>
                <w:szCs w:val="14"/>
                <w:lang w:val="it-IT"/>
              </w:rPr>
              <w:t> </w:t>
            </w:r>
            <w:r w:rsidRPr="007B74B7">
              <w:rPr>
                <w:rFonts w:ascii="Tahoma" w:hAnsi="Tahoma" w:cs="Tahoma"/>
                <w:sz w:val="14"/>
                <w:szCs w:val="14"/>
                <w:lang w:val="it-IT"/>
              </w:rPr>
              <w:t>System Center 2012 Configuration Manager (Solo Studenti)</w:t>
            </w:r>
            <w:bookmarkEnd w:id="475"/>
            <w:bookmarkEnd w:id="476"/>
          </w:p>
        </w:tc>
        <w:tc>
          <w:tcPr>
            <w:tcW w:w="450" w:type="dxa"/>
            <w:tcBorders>
              <w:bottom w:val="single" w:sz="4" w:space="0" w:color="auto"/>
            </w:tcBorders>
            <w:shd w:val="clear" w:color="auto" w:fill="auto"/>
            <w:vAlign w:val="center"/>
          </w:tcPr>
          <w:p w:rsidR="001A63C6" w:rsidRPr="00BD7CEA" w:rsidRDefault="006E5080" w:rsidP="006E7054">
            <w:pPr>
              <w:pStyle w:val="TableText"/>
              <w:widowControl w:val="0"/>
              <w:rPr>
                <w:b/>
                <w:color w:val="000000"/>
                <w:sz w:val="13"/>
                <w:szCs w:val="13"/>
                <w:u w:val="single"/>
              </w:rPr>
            </w:pPr>
            <w:hyperlink w:anchor="_91_89_System" w:history="1">
              <w:r w:rsidR="006C6788" w:rsidRPr="00BD7CEA">
                <w:rPr>
                  <w:rStyle w:val="Hyperlink"/>
                  <w:rFonts w:cs="Tahoma"/>
                  <w:b/>
                  <w:sz w:val="13"/>
                  <w:szCs w:val="13"/>
                </w:rPr>
                <w:t>90</w:t>
              </w:r>
            </w:hyperlink>
            <w:hyperlink w:anchor="_91_89_System" w:history="1"/>
            <w:hyperlink w:anchor="Srv_101SystemCenter2012" w:history="1"/>
          </w:p>
        </w:tc>
        <w:tc>
          <w:tcPr>
            <w:tcW w:w="450" w:type="dxa"/>
            <w:tcBorders>
              <w:bottom w:val="single" w:sz="4" w:space="0" w:color="auto"/>
            </w:tcBorders>
            <w:shd w:val="clear" w:color="auto" w:fill="auto"/>
          </w:tcPr>
          <w:p w:rsidR="001A63C6" w:rsidRPr="00BD7CEA" w:rsidRDefault="001A63C6" w:rsidP="001A63C6">
            <w:pPr>
              <w:pStyle w:val="TableText"/>
              <w:widowControl w:val="0"/>
              <w:spacing w:before="240"/>
              <w:rPr>
                <w:rFonts w:ascii="Tahoma" w:hAnsi="Tahoma" w:cs="Tahoma"/>
                <w:sz w:val="13"/>
              </w:rPr>
            </w:pPr>
            <w:r w:rsidRPr="00BD7CEA">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1A63C6" w:rsidRPr="00BD7CEA"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2</w:t>
            </w:r>
          </w:p>
        </w:tc>
        <w:tc>
          <w:tcPr>
            <w:tcW w:w="450" w:type="dxa"/>
            <w:tcBorders>
              <w:bottom w:val="single" w:sz="4" w:space="0" w:color="auto"/>
            </w:tcBorders>
            <w:shd w:val="clear" w:color="auto" w:fill="auto"/>
            <w:vAlign w:val="bottom"/>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2</w:t>
            </w:r>
          </w:p>
        </w:tc>
        <w:tc>
          <w:tcPr>
            <w:tcW w:w="450" w:type="dxa"/>
            <w:tcBorders>
              <w:bottom w:val="single" w:sz="4" w:space="0" w:color="auto"/>
            </w:tcBorders>
            <w:shd w:val="clear" w:color="auto" w:fill="auto"/>
            <w:vAlign w:val="bottom"/>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2</w:t>
            </w:r>
          </w:p>
        </w:tc>
        <w:tc>
          <w:tcPr>
            <w:tcW w:w="450" w:type="dxa"/>
            <w:tcBorders>
              <w:bottom w:val="single" w:sz="4" w:space="0" w:color="auto"/>
            </w:tcBorders>
            <w:shd w:val="clear" w:color="auto" w:fill="auto"/>
            <w:vAlign w:val="bottom"/>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1</w:t>
            </w:r>
          </w:p>
        </w:tc>
        <w:tc>
          <w:tcPr>
            <w:tcW w:w="450" w:type="dxa"/>
            <w:tcBorders>
              <w:bottom w:val="single" w:sz="4" w:space="0" w:color="auto"/>
            </w:tcBorders>
            <w:shd w:val="clear" w:color="auto" w:fill="auto"/>
            <w:vAlign w:val="bottom"/>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 </w:t>
            </w:r>
          </w:p>
        </w:tc>
        <w:tc>
          <w:tcPr>
            <w:tcW w:w="450" w:type="dxa"/>
            <w:tcBorders>
              <w:left w:val="single" w:sz="18" w:space="0" w:color="auto"/>
              <w:bottom w:val="single" w:sz="4" w:space="0" w:color="auto"/>
            </w:tcBorders>
            <w:shd w:val="clear" w:color="auto" w:fill="auto"/>
            <w:vAlign w:val="bottom"/>
          </w:tcPr>
          <w:p w:rsidR="001A63C6" w:rsidRPr="00BD7CEA"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bottom"/>
          </w:tcPr>
          <w:p w:rsidR="001A63C6" w:rsidRPr="00BD7CEA"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BD7CEA"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r>
      <w:tr w:rsidR="006864A1" w:rsidRPr="00BD7CEA" w:rsidTr="006B1F3F">
        <w:trPr>
          <w:trHeight w:val="134"/>
        </w:trPr>
        <w:tc>
          <w:tcPr>
            <w:tcW w:w="2734" w:type="dxa"/>
            <w:gridSpan w:val="2"/>
            <w:tcBorders>
              <w:bottom w:val="single" w:sz="4" w:space="0" w:color="auto"/>
            </w:tcBorders>
            <w:shd w:val="clear" w:color="auto" w:fill="FABF8F"/>
            <w:vAlign w:val="center"/>
          </w:tcPr>
          <w:p w:rsidR="001A63C6" w:rsidRPr="007B74B7" w:rsidRDefault="001A63C6" w:rsidP="00095F5D">
            <w:pPr>
              <w:pStyle w:val="ProductNames"/>
              <w:keepNext/>
              <w:spacing w:beforeLines="20" w:before="48" w:afterLines="20" w:after="48"/>
              <w:rPr>
                <w:rFonts w:ascii="Tahoma" w:hAnsi="Tahoma" w:cs="Tahoma"/>
                <w:sz w:val="14"/>
                <w:lang w:val="it-IT"/>
              </w:rPr>
            </w:pPr>
            <w:bookmarkStart w:id="477" w:name="_Toc336338096"/>
            <w:bookmarkStart w:id="478" w:name="_Toc353375874"/>
            <w:r w:rsidRPr="007B74B7">
              <w:rPr>
                <w:rFonts w:ascii="Tahoma" w:hAnsi="Tahoma" w:cs="Tahoma"/>
                <w:sz w:val="14"/>
                <w:lang w:val="it-IT"/>
              </w:rPr>
              <w:lastRenderedPageBreak/>
              <w:t>Licenza di Gestione Client per OSE per System Center 2012 Configuration Manager</w:t>
            </w:r>
            <w:bookmarkEnd w:id="477"/>
            <w:bookmarkEnd w:id="478"/>
          </w:p>
        </w:tc>
        <w:tc>
          <w:tcPr>
            <w:tcW w:w="450" w:type="dxa"/>
            <w:tcBorders>
              <w:bottom w:val="single" w:sz="4" w:space="0" w:color="auto"/>
            </w:tcBorders>
            <w:shd w:val="clear" w:color="auto" w:fill="FABF8F"/>
            <w:vAlign w:val="center"/>
          </w:tcPr>
          <w:p w:rsidR="001A63C6" w:rsidRPr="00BD7CEA" w:rsidRDefault="006E5080" w:rsidP="00095F5D">
            <w:pPr>
              <w:pStyle w:val="TableText"/>
              <w:keepNext/>
              <w:keepLines/>
              <w:widowControl w:val="0"/>
              <w:rPr>
                <w:b/>
                <w:color w:val="000000"/>
                <w:sz w:val="13"/>
                <w:szCs w:val="13"/>
                <w:u w:val="single"/>
              </w:rPr>
            </w:pPr>
            <w:hyperlink w:anchor="_91_89_System" w:history="1">
              <w:r w:rsidR="006C6788" w:rsidRPr="00BD7CEA">
                <w:rPr>
                  <w:rStyle w:val="Hyperlink"/>
                  <w:rFonts w:cs="Tahoma"/>
                  <w:b/>
                  <w:sz w:val="13"/>
                  <w:szCs w:val="13"/>
                </w:rPr>
                <w:t>90</w:t>
              </w:r>
            </w:hyperlink>
            <w:hyperlink w:anchor="_91_89_System" w:history="1"/>
          </w:p>
        </w:tc>
        <w:tc>
          <w:tcPr>
            <w:tcW w:w="450" w:type="dxa"/>
            <w:tcBorders>
              <w:bottom w:val="single" w:sz="4" w:space="0" w:color="auto"/>
            </w:tcBorders>
            <w:shd w:val="clear" w:color="auto" w:fill="FABF8F"/>
          </w:tcPr>
          <w:p w:rsidR="001A63C6" w:rsidRPr="00BD7CEA" w:rsidRDefault="001A63C6" w:rsidP="00095F5D">
            <w:pPr>
              <w:pStyle w:val="TableText"/>
              <w:keepNext/>
              <w:keepLines/>
              <w:widowControl w:val="0"/>
              <w:spacing w:before="240"/>
              <w:rPr>
                <w:rFonts w:ascii="Tahoma" w:hAnsi="Tahoma" w:cs="Tahoma"/>
                <w:sz w:val="13"/>
              </w:rPr>
            </w:pPr>
            <w:r w:rsidRPr="00BD7CEA">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BD7CEA" w:rsidRDefault="001A63C6" w:rsidP="00095F5D">
            <w:pPr>
              <w:pStyle w:val="TableText"/>
              <w:keepNext/>
              <w:keepLines/>
              <w:widowControl w:val="0"/>
              <w:rPr>
                <w:rFonts w:ascii="Tahoma" w:hAnsi="Tahoma" w:cs="Tahoma"/>
                <w:sz w:val="13"/>
              </w:rPr>
            </w:pPr>
            <w:r w:rsidRPr="00BD7CEA">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1A63C6" w:rsidRPr="00BD7CEA" w:rsidRDefault="001A63C6" w:rsidP="00095F5D">
            <w:pPr>
              <w:pStyle w:val="TableText"/>
              <w:keepNext/>
              <w:keepLines/>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BD7CEA" w:rsidRDefault="001A63C6" w:rsidP="00095F5D">
            <w:pPr>
              <w:pStyle w:val="TableText"/>
              <w:keepNext/>
              <w:keepLines/>
              <w:widowControl w:val="0"/>
              <w:spacing w:after="120"/>
              <w:rPr>
                <w:rFonts w:ascii="Tahoma" w:hAnsi="Tahoma" w:cs="Tahoma"/>
                <w:sz w:val="13"/>
                <w:szCs w:val="13"/>
              </w:rPr>
            </w:pPr>
            <w:r w:rsidRPr="00BD7CEA">
              <w:rPr>
                <w:rFonts w:ascii="Arial" w:hAnsi="Arial" w:cs="Arial"/>
                <w:sz w:val="13"/>
                <w:szCs w:val="13"/>
              </w:rPr>
              <w:t>3</w:t>
            </w:r>
          </w:p>
        </w:tc>
        <w:tc>
          <w:tcPr>
            <w:tcW w:w="450" w:type="dxa"/>
            <w:tcBorders>
              <w:bottom w:val="single" w:sz="4" w:space="0" w:color="auto"/>
            </w:tcBorders>
            <w:shd w:val="clear" w:color="auto" w:fill="FABF8F"/>
            <w:vAlign w:val="bottom"/>
          </w:tcPr>
          <w:p w:rsidR="001A63C6" w:rsidRPr="00BD7CEA" w:rsidRDefault="001A63C6" w:rsidP="00095F5D">
            <w:pPr>
              <w:pStyle w:val="TableText"/>
              <w:keepNext/>
              <w:keepLines/>
              <w:widowControl w:val="0"/>
              <w:spacing w:after="120"/>
              <w:rPr>
                <w:rFonts w:ascii="Tahoma" w:hAnsi="Tahoma" w:cs="Tahoma"/>
                <w:sz w:val="13"/>
                <w:szCs w:val="13"/>
              </w:rPr>
            </w:pPr>
            <w:r w:rsidRPr="00BD7CEA">
              <w:rPr>
                <w:rFonts w:ascii="Arial" w:hAnsi="Arial" w:cs="Arial"/>
                <w:sz w:val="13"/>
                <w:szCs w:val="13"/>
              </w:rPr>
              <w:t>2</w:t>
            </w:r>
          </w:p>
        </w:tc>
        <w:tc>
          <w:tcPr>
            <w:tcW w:w="450" w:type="dxa"/>
            <w:tcBorders>
              <w:bottom w:val="single" w:sz="4" w:space="0" w:color="auto"/>
            </w:tcBorders>
            <w:shd w:val="clear" w:color="auto" w:fill="FABF8F"/>
            <w:vAlign w:val="bottom"/>
          </w:tcPr>
          <w:p w:rsidR="001A63C6" w:rsidRPr="00BD7CEA" w:rsidRDefault="001A63C6" w:rsidP="00095F5D">
            <w:pPr>
              <w:pStyle w:val="TableText"/>
              <w:keepNext/>
              <w:keepLines/>
              <w:widowControl w:val="0"/>
              <w:spacing w:after="120"/>
              <w:rPr>
                <w:rFonts w:ascii="Tahoma" w:hAnsi="Tahoma" w:cs="Tahoma"/>
                <w:sz w:val="13"/>
                <w:szCs w:val="13"/>
              </w:rPr>
            </w:pPr>
            <w:r w:rsidRPr="00BD7CEA">
              <w:rPr>
                <w:rFonts w:ascii="Arial" w:hAnsi="Arial" w:cs="Arial"/>
                <w:sz w:val="13"/>
                <w:szCs w:val="13"/>
              </w:rPr>
              <w:t>2</w:t>
            </w:r>
          </w:p>
        </w:tc>
        <w:tc>
          <w:tcPr>
            <w:tcW w:w="450" w:type="dxa"/>
            <w:tcBorders>
              <w:bottom w:val="single" w:sz="4" w:space="0" w:color="auto"/>
            </w:tcBorders>
            <w:shd w:val="clear" w:color="auto" w:fill="FABF8F"/>
            <w:vAlign w:val="bottom"/>
          </w:tcPr>
          <w:p w:rsidR="001A63C6" w:rsidRPr="00BD7CEA" w:rsidRDefault="001A63C6" w:rsidP="00095F5D">
            <w:pPr>
              <w:pStyle w:val="TableText"/>
              <w:keepNext/>
              <w:keepLines/>
              <w:widowControl w:val="0"/>
              <w:spacing w:after="120"/>
              <w:rPr>
                <w:rFonts w:ascii="Tahoma" w:hAnsi="Tahoma" w:cs="Tahoma"/>
                <w:sz w:val="13"/>
                <w:szCs w:val="13"/>
              </w:rPr>
            </w:pPr>
            <w:r w:rsidRPr="00BD7CEA">
              <w:rPr>
                <w:rFonts w:ascii="Arial" w:hAnsi="Arial" w:cs="Arial"/>
                <w:sz w:val="13"/>
                <w:szCs w:val="13"/>
              </w:rPr>
              <w:t>2</w:t>
            </w:r>
          </w:p>
        </w:tc>
        <w:tc>
          <w:tcPr>
            <w:tcW w:w="450" w:type="dxa"/>
            <w:tcBorders>
              <w:bottom w:val="single" w:sz="4" w:space="0" w:color="auto"/>
            </w:tcBorders>
            <w:shd w:val="clear" w:color="auto" w:fill="FABF8F"/>
            <w:vAlign w:val="bottom"/>
          </w:tcPr>
          <w:p w:rsidR="001A63C6" w:rsidRPr="00BD7CEA" w:rsidRDefault="001A63C6" w:rsidP="00095F5D">
            <w:pPr>
              <w:pStyle w:val="TableText"/>
              <w:keepNext/>
              <w:keepLines/>
              <w:widowControl w:val="0"/>
              <w:spacing w:after="120"/>
              <w:rPr>
                <w:rFonts w:ascii="Tahoma" w:hAnsi="Tahoma" w:cs="Tahoma"/>
                <w:sz w:val="13"/>
                <w:szCs w:val="13"/>
              </w:rPr>
            </w:pPr>
            <w:r w:rsidRPr="00BD7CEA">
              <w:rPr>
                <w:rFonts w:ascii="Arial" w:hAnsi="Arial" w:cs="Arial"/>
                <w:sz w:val="13"/>
                <w:szCs w:val="13"/>
              </w:rPr>
              <w:t>1</w:t>
            </w:r>
          </w:p>
        </w:tc>
        <w:tc>
          <w:tcPr>
            <w:tcW w:w="360" w:type="dxa"/>
            <w:tcBorders>
              <w:bottom w:val="single" w:sz="4" w:space="0" w:color="auto"/>
              <w:right w:val="single" w:sz="18" w:space="0" w:color="auto"/>
            </w:tcBorders>
            <w:shd w:val="clear" w:color="auto" w:fill="FABF8F"/>
            <w:vAlign w:val="bottom"/>
          </w:tcPr>
          <w:p w:rsidR="001A63C6" w:rsidRPr="00BD7CEA" w:rsidRDefault="001A63C6" w:rsidP="00095F5D">
            <w:pPr>
              <w:pStyle w:val="TableText"/>
              <w:keepNext/>
              <w:keepLines/>
              <w:widowControl w:val="0"/>
              <w:spacing w:after="120"/>
              <w:rPr>
                <w:rFonts w:ascii="Tahoma" w:hAnsi="Tahoma" w:cs="Tahoma"/>
                <w:sz w:val="13"/>
                <w:szCs w:val="13"/>
              </w:rPr>
            </w:pPr>
            <w:r w:rsidRPr="00BD7CEA">
              <w:rPr>
                <w:rFonts w:ascii="Arial" w:hAnsi="Arial" w:cs="Arial"/>
                <w:sz w:val="13"/>
                <w:szCs w:val="13"/>
              </w:rPr>
              <w:t>1</w:t>
            </w:r>
          </w:p>
        </w:tc>
        <w:tc>
          <w:tcPr>
            <w:tcW w:w="450" w:type="dxa"/>
            <w:tcBorders>
              <w:left w:val="single" w:sz="18" w:space="0" w:color="auto"/>
              <w:bottom w:val="single" w:sz="4" w:space="0" w:color="auto"/>
            </w:tcBorders>
            <w:shd w:val="clear" w:color="auto" w:fill="FABF8F"/>
            <w:vAlign w:val="bottom"/>
          </w:tcPr>
          <w:p w:rsidR="001A63C6" w:rsidRPr="00BD7CEA" w:rsidRDefault="001A63C6" w:rsidP="00095F5D">
            <w:pPr>
              <w:pStyle w:val="TableText"/>
              <w:keepNext/>
              <w:keepLines/>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BD7CEA" w:rsidRDefault="001A63C6" w:rsidP="00095F5D">
            <w:pPr>
              <w:pStyle w:val="TableText"/>
              <w:keepNext/>
              <w:keepLines/>
              <w:widowControl w:val="0"/>
              <w:spacing w:after="120"/>
              <w:rPr>
                <w:rFonts w:ascii="Tahoma" w:hAnsi="Tahoma" w:cs="Tahoma"/>
                <w:sz w:val="13"/>
                <w:szCs w:val="13"/>
              </w:rPr>
            </w:pPr>
            <w:r w:rsidRPr="00BD7CEA">
              <w:rPr>
                <w:rFonts w:ascii="Arial" w:hAnsi="Arial" w:cs="Arial"/>
                <w:sz w:val="13"/>
                <w:szCs w:val="13"/>
              </w:rPr>
              <w:t>2</w:t>
            </w:r>
          </w:p>
        </w:tc>
        <w:tc>
          <w:tcPr>
            <w:tcW w:w="450" w:type="dxa"/>
            <w:tcBorders>
              <w:bottom w:val="single" w:sz="4" w:space="0" w:color="auto"/>
              <w:right w:val="single" w:sz="18" w:space="0" w:color="auto"/>
            </w:tcBorders>
            <w:shd w:val="clear" w:color="auto" w:fill="FABF8F"/>
            <w:vAlign w:val="bottom"/>
          </w:tcPr>
          <w:p w:rsidR="001A63C6" w:rsidRPr="00BD7CEA" w:rsidRDefault="001A63C6" w:rsidP="00095F5D">
            <w:pPr>
              <w:pStyle w:val="TableText"/>
              <w:keepNext/>
              <w:keepLines/>
              <w:widowControl w:val="0"/>
              <w:spacing w:after="120"/>
              <w:rPr>
                <w:rFonts w:ascii="Tahoma" w:hAnsi="Tahoma" w:cs="Tahoma"/>
                <w:sz w:val="13"/>
                <w:szCs w:val="13"/>
              </w:rPr>
            </w:pPr>
            <w:r w:rsidRPr="00BD7CEA">
              <w:rPr>
                <w:rFonts w:ascii="Arial" w:hAnsi="Arial" w:cs="Arial"/>
                <w:sz w:val="13"/>
                <w:szCs w:val="13"/>
              </w:rPr>
              <w:t>1</w:t>
            </w:r>
          </w:p>
        </w:tc>
        <w:tc>
          <w:tcPr>
            <w:tcW w:w="450" w:type="dxa"/>
            <w:tcBorders>
              <w:left w:val="single" w:sz="18" w:space="0" w:color="auto"/>
              <w:bottom w:val="single" w:sz="4" w:space="0" w:color="auto"/>
            </w:tcBorders>
            <w:shd w:val="clear" w:color="auto" w:fill="FABF8F"/>
            <w:vAlign w:val="center"/>
          </w:tcPr>
          <w:p w:rsidR="001A63C6" w:rsidRPr="00BD7CEA" w:rsidRDefault="001A63C6" w:rsidP="00095F5D">
            <w:pPr>
              <w:pStyle w:val="TableText"/>
              <w:keepNext/>
              <w:keepLines/>
              <w:widowControl w:val="0"/>
              <w:rPr>
                <w:rFonts w:ascii="Tahoma" w:hAnsi="Tahoma" w:cs="Tahoma"/>
                <w:sz w:val="13"/>
              </w:rPr>
            </w:pPr>
            <w:r w:rsidRPr="00BD7CEA">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BD7CEA" w:rsidRDefault="001A63C6" w:rsidP="00095F5D">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095F5D">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tcPr>
          <w:p w:rsidR="001A63C6" w:rsidRPr="00BD7CEA" w:rsidRDefault="001A63C6" w:rsidP="00095F5D">
            <w:pPr>
              <w:pStyle w:val="TableText"/>
              <w:keepNext/>
              <w:keepLines/>
              <w:widowControl w:val="0"/>
              <w:spacing w:before="240"/>
              <w:rPr>
                <w:rFonts w:ascii="Tahoma" w:hAnsi="Tahoma" w:cs="Tahoma"/>
                <w:sz w:val="13"/>
              </w:rPr>
            </w:pPr>
          </w:p>
        </w:tc>
        <w:tc>
          <w:tcPr>
            <w:tcW w:w="540" w:type="dxa"/>
            <w:tcBorders>
              <w:bottom w:val="single" w:sz="4" w:space="0" w:color="auto"/>
            </w:tcBorders>
            <w:shd w:val="clear" w:color="auto" w:fill="FABF8F"/>
            <w:vAlign w:val="center"/>
          </w:tcPr>
          <w:p w:rsidR="001A63C6" w:rsidRPr="00BD7CEA" w:rsidRDefault="001A63C6" w:rsidP="00095F5D">
            <w:pPr>
              <w:pStyle w:val="TableText"/>
              <w:keepNext/>
              <w:keepLines/>
              <w:widowControl w:val="0"/>
              <w:rPr>
                <w:rFonts w:ascii="Tahoma" w:hAnsi="Tahoma" w:cs="Tahoma"/>
                <w:sz w:val="13"/>
              </w:rPr>
            </w:pPr>
          </w:p>
        </w:tc>
      </w:tr>
      <w:tr w:rsidR="006864A1" w:rsidRPr="00BD7CEA" w:rsidTr="00241602">
        <w:trPr>
          <w:trHeight w:val="134"/>
        </w:trPr>
        <w:tc>
          <w:tcPr>
            <w:tcW w:w="2734" w:type="dxa"/>
            <w:gridSpan w:val="2"/>
            <w:tcBorders>
              <w:bottom w:val="single" w:sz="4" w:space="0" w:color="auto"/>
            </w:tcBorders>
            <w:shd w:val="clear" w:color="auto" w:fill="FABF8F"/>
            <w:vAlign w:val="center"/>
          </w:tcPr>
          <w:p w:rsidR="001A63C6" w:rsidRPr="007B74B7" w:rsidRDefault="001A63C6" w:rsidP="00E215F4">
            <w:pPr>
              <w:pStyle w:val="ProductNames"/>
              <w:spacing w:beforeLines="20" w:before="48" w:afterLines="20" w:after="48"/>
              <w:rPr>
                <w:rFonts w:ascii="Tahoma" w:hAnsi="Tahoma" w:cs="Tahoma"/>
                <w:sz w:val="14"/>
                <w:lang w:val="it-IT"/>
              </w:rPr>
            </w:pPr>
            <w:bookmarkStart w:id="479" w:name="_Toc336338097"/>
            <w:bookmarkStart w:id="480" w:name="_Toc353375875"/>
            <w:r w:rsidRPr="007B74B7">
              <w:rPr>
                <w:rFonts w:ascii="Tahoma" w:hAnsi="Tahoma" w:cs="Tahoma"/>
                <w:sz w:val="14"/>
                <w:lang w:val="it-IT"/>
              </w:rPr>
              <w:t>Licenza di Gestione Client per Utente per System Center 2012 Configuration Manager</w:t>
            </w:r>
            <w:bookmarkEnd w:id="479"/>
            <w:bookmarkEnd w:id="480"/>
          </w:p>
        </w:tc>
        <w:tc>
          <w:tcPr>
            <w:tcW w:w="450" w:type="dxa"/>
            <w:tcBorders>
              <w:bottom w:val="single" w:sz="4" w:space="0" w:color="auto"/>
            </w:tcBorders>
            <w:shd w:val="clear" w:color="auto" w:fill="FABF8F"/>
            <w:vAlign w:val="center"/>
          </w:tcPr>
          <w:p w:rsidR="001A63C6" w:rsidRPr="00BD7CEA" w:rsidRDefault="006E5080" w:rsidP="006E7054">
            <w:pPr>
              <w:pStyle w:val="TableText"/>
              <w:widowControl w:val="0"/>
              <w:rPr>
                <w:b/>
                <w:color w:val="000000"/>
                <w:sz w:val="13"/>
                <w:szCs w:val="13"/>
                <w:u w:val="single"/>
              </w:rPr>
            </w:pPr>
            <w:hyperlink w:anchor="_91_89_System" w:history="1">
              <w:r w:rsidR="006C6788" w:rsidRPr="00BD7CEA">
                <w:rPr>
                  <w:rStyle w:val="Hyperlink"/>
                  <w:rFonts w:cs="Tahoma"/>
                  <w:b/>
                  <w:sz w:val="13"/>
                  <w:szCs w:val="13"/>
                </w:rPr>
                <w:t>90</w:t>
              </w:r>
            </w:hyperlink>
            <w:hyperlink w:anchor="_91_89_System" w:history="1"/>
            <w:hyperlink w:anchor="Srv_101SystemCenter2012" w:history="1"/>
          </w:p>
        </w:tc>
        <w:tc>
          <w:tcPr>
            <w:tcW w:w="450" w:type="dxa"/>
            <w:tcBorders>
              <w:bottom w:val="single" w:sz="4" w:space="0" w:color="auto"/>
            </w:tcBorders>
            <w:shd w:val="clear" w:color="auto" w:fill="FABF8F"/>
          </w:tcPr>
          <w:p w:rsidR="001A63C6" w:rsidRPr="00BD7CEA" w:rsidRDefault="001A63C6" w:rsidP="001A63C6">
            <w:pPr>
              <w:pStyle w:val="TableText"/>
              <w:widowControl w:val="0"/>
              <w:spacing w:before="240"/>
              <w:rPr>
                <w:rFonts w:ascii="Tahoma" w:hAnsi="Tahoma" w:cs="Tahoma"/>
                <w:sz w:val="13"/>
              </w:rPr>
            </w:pPr>
            <w:r w:rsidRPr="00BD7CEA">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1A63C6" w:rsidRPr="00BD7CEA"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3</w:t>
            </w:r>
          </w:p>
        </w:tc>
        <w:tc>
          <w:tcPr>
            <w:tcW w:w="450" w:type="dxa"/>
            <w:tcBorders>
              <w:bottom w:val="single" w:sz="4" w:space="0" w:color="auto"/>
            </w:tcBorders>
            <w:shd w:val="clear" w:color="auto" w:fill="FABF8F"/>
            <w:vAlign w:val="bottom"/>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1A63C6" w:rsidRPr="00BD7CEA"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 E</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P</w:t>
            </w:r>
          </w:p>
        </w:tc>
        <w:tc>
          <w:tcPr>
            <w:tcW w:w="450" w:type="dxa"/>
            <w:tcBorders>
              <w:bottom w:val="single" w:sz="4" w:space="0" w:color="auto"/>
            </w:tcBorders>
            <w:shd w:val="clear" w:color="auto" w:fill="FABF8F"/>
          </w:tcPr>
          <w:p w:rsidR="001A63C6" w:rsidRPr="00BD7CEA" w:rsidRDefault="001A63C6" w:rsidP="001A63C6">
            <w:pPr>
              <w:pStyle w:val="TableText"/>
              <w:widowControl w:val="0"/>
              <w:spacing w:before="240"/>
              <w:rPr>
                <w:rFonts w:ascii="Tahoma" w:hAnsi="Tahoma" w:cs="Tahoma"/>
                <w:sz w:val="13"/>
              </w:rPr>
            </w:pPr>
            <w:r w:rsidRPr="00BD7CEA">
              <w:rPr>
                <w:rFonts w:ascii="Tahoma" w:hAnsi="Tahoma" w:cs="Tahoma"/>
                <w:sz w:val="13"/>
              </w:rPr>
              <w:t>AO, ST</w:t>
            </w:r>
          </w:p>
        </w:tc>
        <w:tc>
          <w:tcPr>
            <w:tcW w:w="54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r>
      <w:tr w:rsidR="006864A1" w:rsidRPr="00BD7CEA" w:rsidTr="00241602">
        <w:trPr>
          <w:trHeight w:val="134"/>
        </w:trPr>
        <w:tc>
          <w:tcPr>
            <w:tcW w:w="2734" w:type="dxa"/>
            <w:gridSpan w:val="2"/>
            <w:tcBorders>
              <w:bottom w:val="single" w:sz="4" w:space="0" w:color="auto"/>
            </w:tcBorders>
            <w:shd w:val="clear" w:color="auto" w:fill="auto"/>
          </w:tcPr>
          <w:p w:rsidR="001A63C6" w:rsidRPr="007B74B7" w:rsidRDefault="001A63C6" w:rsidP="00E215F4">
            <w:pPr>
              <w:pStyle w:val="ProductNames"/>
              <w:spacing w:beforeLines="20" w:before="48" w:afterLines="20" w:after="48"/>
              <w:rPr>
                <w:rFonts w:ascii="Tahoma" w:hAnsi="Tahoma" w:cs="Tahoma"/>
                <w:sz w:val="14"/>
                <w:lang w:val="it-IT"/>
              </w:rPr>
            </w:pPr>
            <w:bookmarkStart w:id="481" w:name="_Toc336338098"/>
            <w:bookmarkStart w:id="482" w:name="_Toc353375876"/>
            <w:r w:rsidRPr="007B74B7">
              <w:rPr>
                <w:rFonts w:ascii="Tahoma" w:hAnsi="Tahoma" w:cs="Tahoma"/>
                <w:sz w:val="14"/>
                <w:lang w:val="it-IT"/>
              </w:rPr>
              <w:t>Licenza di Gestione Server per System Center 2012 Datacenter (2 processori)</w:t>
            </w:r>
            <w:bookmarkEnd w:id="481"/>
            <w:bookmarkEnd w:id="482"/>
          </w:p>
        </w:tc>
        <w:tc>
          <w:tcPr>
            <w:tcW w:w="450" w:type="dxa"/>
            <w:tcBorders>
              <w:bottom w:val="single" w:sz="4" w:space="0" w:color="auto"/>
            </w:tcBorders>
            <w:shd w:val="clear" w:color="auto" w:fill="auto"/>
            <w:vAlign w:val="center"/>
          </w:tcPr>
          <w:p w:rsidR="001A63C6" w:rsidRPr="00BD7CEA" w:rsidRDefault="006E5080" w:rsidP="006E7054">
            <w:pPr>
              <w:pStyle w:val="TableText"/>
              <w:widowControl w:val="0"/>
              <w:rPr>
                <w:b/>
                <w:color w:val="000000"/>
                <w:sz w:val="13"/>
                <w:szCs w:val="13"/>
                <w:u w:val="single"/>
              </w:rPr>
            </w:pPr>
            <w:hyperlink w:anchor="_91_89_System" w:history="1">
              <w:r w:rsidR="006C6788" w:rsidRPr="00BD7CEA">
                <w:rPr>
                  <w:rStyle w:val="Hyperlink"/>
                  <w:rFonts w:cs="Tahoma"/>
                  <w:b/>
                  <w:sz w:val="13"/>
                  <w:szCs w:val="13"/>
                </w:rPr>
                <w:t>90</w:t>
              </w:r>
            </w:hyperlink>
            <w:hyperlink w:anchor="_91_89_System" w:history="1"/>
            <w:hyperlink w:anchor="Srv_101SystemCenter2012" w:history="1"/>
          </w:p>
        </w:tc>
        <w:tc>
          <w:tcPr>
            <w:tcW w:w="450" w:type="dxa"/>
            <w:tcBorders>
              <w:bottom w:val="single" w:sz="4" w:space="0" w:color="auto"/>
            </w:tcBorders>
            <w:shd w:val="clear" w:color="auto" w:fill="auto"/>
          </w:tcPr>
          <w:p w:rsidR="001A63C6" w:rsidRPr="00BD7CEA" w:rsidRDefault="001A63C6" w:rsidP="001A63C6">
            <w:pPr>
              <w:pStyle w:val="TableText"/>
              <w:widowControl w:val="0"/>
              <w:spacing w:before="120"/>
              <w:rPr>
                <w:rFonts w:ascii="Tahoma" w:hAnsi="Tahoma" w:cs="Tahoma"/>
                <w:sz w:val="13"/>
              </w:rPr>
            </w:pPr>
            <w:r w:rsidRPr="00BD7CEA">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1A63C6" w:rsidRPr="00BD7CEA"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63</w:t>
            </w:r>
          </w:p>
        </w:tc>
        <w:tc>
          <w:tcPr>
            <w:tcW w:w="450" w:type="dxa"/>
            <w:tcBorders>
              <w:bottom w:val="single" w:sz="4" w:space="0" w:color="auto"/>
            </w:tcBorders>
            <w:shd w:val="clear" w:color="auto" w:fill="auto"/>
            <w:vAlign w:val="bottom"/>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50</w:t>
            </w:r>
          </w:p>
        </w:tc>
        <w:tc>
          <w:tcPr>
            <w:tcW w:w="450" w:type="dxa"/>
            <w:tcBorders>
              <w:bottom w:val="single" w:sz="4" w:space="0" w:color="auto"/>
            </w:tcBorders>
            <w:shd w:val="clear" w:color="auto" w:fill="auto"/>
            <w:vAlign w:val="bottom"/>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38</w:t>
            </w:r>
          </w:p>
        </w:tc>
        <w:tc>
          <w:tcPr>
            <w:tcW w:w="450" w:type="dxa"/>
            <w:tcBorders>
              <w:bottom w:val="single" w:sz="4" w:space="0" w:color="auto"/>
            </w:tcBorders>
            <w:shd w:val="clear" w:color="auto" w:fill="auto"/>
            <w:vAlign w:val="bottom"/>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38</w:t>
            </w:r>
          </w:p>
        </w:tc>
        <w:tc>
          <w:tcPr>
            <w:tcW w:w="450" w:type="dxa"/>
            <w:tcBorders>
              <w:bottom w:val="single" w:sz="4" w:space="0" w:color="auto"/>
            </w:tcBorders>
            <w:shd w:val="clear" w:color="auto" w:fill="auto"/>
            <w:vAlign w:val="bottom"/>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25</w:t>
            </w:r>
          </w:p>
        </w:tc>
        <w:tc>
          <w:tcPr>
            <w:tcW w:w="360" w:type="dxa"/>
            <w:tcBorders>
              <w:bottom w:val="single" w:sz="4" w:space="0" w:color="auto"/>
              <w:right w:val="single" w:sz="18" w:space="0" w:color="auto"/>
            </w:tcBorders>
            <w:shd w:val="clear" w:color="auto" w:fill="auto"/>
            <w:vAlign w:val="bottom"/>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13</w:t>
            </w:r>
          </w:p>
        </w:tc>
        <w:tc>
          <w:tcPr>
            <w:tcW w:w="450" w:type="dxa"/>
            <w:tcBorders>
              <w:left w:val="single" w:sz="18" w:space="0" w:color="auto"/>
              <w:bottom w:val="single" w:sz="4" w:space="0" w:color="auto"/>
            </w:tcBorders>
            <w:shd w:val="clear" w:color="auto" w:fill="auto"/>
            <w:vAlign w:val="bottom"/>
          </w:tcPr>
          <w:p w:rsidR="001A63C6" w:rsidRPr="00BD7CEA"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50</w:t>
            </w:r>
          </w:p>
        </w:tc>
        <w:tc>
          <w:tcPr>
            <w:tcW w:w="450" w:type="dxa"/>
            <w:tcBorders>
              <w:bottom w:val="single" w:sz="4" w:space="0" w:color="auto"/>
              <w:right w:val="single" w:sz="18" w:space="0" w:color="auto"/>
            </w:tcBorders>
            <w:shd w:val="clear" w:color="auto" w:fill="auto"/>
            <w:vAlign w:val="bottom"/>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25</w:t>
            </w:r>
          </w:p>
        </w:tc>
        <w:tc>
          <w:tcPr>
            <w:tcW w:w="450" w:type="dxa"/>
            <w:tcBorders>
              <w:left w:val="single" w:sz="18" w:space="0" w:color="auto"/>
              <w:bottom w:val="single" w:sz="4" w:space="0" w:color="auto"/>
            </w:tcBorders>
            <w:shd w:val="clear" w:color="auto" w:fill="auto"/>
            <w:vAlign w:val="bottom"/>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25</w:t>
            </w: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P</w:t>
            </w:r>
          </w:p>
        </w:tc>
        <w:tc>
          <w:tcPr>
            <w:tcW w:w="450" w:type="dxa"/>
            <w:tcBorders>
              <w:bottom w:val="single" w:sz="4" w:space="0" w:color="auto"/>
            </w:tcBorders>
            <w:shd w:val="clear" w:color="auto" w:fill="auto"/>
          </w:tcPr>
          <w:p w:rsidR="001A63C6" w:rsidRPr="00BD7CEA" w:rsidRDefault="001A63C6" w:rsidP="001A63C6">
            <w:pPr>
              <w:pStyle w:val="TableText"/>
              <w:widowControl w:val="0"/>
              <w:spacing w:before="120"/>
              <w:rPr>
                <w:rFonts w:ascii="Tahoma" w:hAnsi="Tahoma" w:cs="Tahoma"/>
                <w:sz w:val="13"/>
              </w:rPr>
            </w:pPr>
            <w:r w:rsidRPr="00BD7CEA">
              <w:rPr>
                <w:rFonts w:ascii="Tahoma" w:hAnsi="Tahoma" w:cs="Tahoma"/>
                <w:sz w:val="13"/>
              </w:rPr>
              <w:t>A</w:t>
            </w: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OL/OV</w:t>
            </w:r>
          </w:p>
        </w:tc>
      </w:tr>
      <w:tr w:rsidR="001136F4" w:rsidRPr="00BD7CEA" w:rsidTr="00241602">
        <w:trPr>
          <w:trHeight w:val="134"/>
        </w:trPr>
        <w:tc>
          <w:tcPr>
            <w:tcW w:w="2734" w:type="dxa"/>
            <w:gridSpan w:val="2"/>
            <w:tcBorders>
              <w:bottom w:val="single" w:sz="4" w:space="0" w:color="auto"/>
            </w:tcBorders>
            <w:shd w:val="clear" w:color="auto" w:fill="FABF8F"/>
            <w:vAlign w:val="center"/>
          </w:tcPr>
          <w:p w:rsidR="001136F4" w:rsidRPr="00BD7CEA" w:rsidRDefault="001136F4" w:rsidP="007E466C">
            <w:pPr>
              <w:pStyle w:val="ProductNames"/>
              <w:spacing w:before="60" w:after="60"/>
              <w:rPr>
                <w:rFonts w:ascii="Tahoma" w:hAnsi="Tahoma" w:cs="Tahoma"/>
                <w:sz w:val="14"/>
              </w:rPr>
            </w:pPr>
            <w:bookmarkStart w:id="483" w:name="_Toc353375877"/>
            <w:r w:rsidRPr="00BD7CEA">
              <w:rPr>
                <w:rFonts w:ascii="Tahoma" w:hAnsi="Tahoma" w:cs="Tahoma"/>
                <w:sz w:val="14"/>
              </w:rPr>
              <w:t>System Center 2012 Endpoint Protection</w:t>
            </w:r>
            <w:bookmarkEnd w:id="483"/>
          </w:p>
        </w:tc>
        <w:tc>
          <w:tcPr>
            <w:tcW w:w="450" w:type="dxa"/>
            <w:tcBorders>
              <w:bottom w:val="single" w:sz="4" w:space="0" w:color="auto"/>
            </w:tcBorders>
            <w:shd w:val="clear" w:color="auto" w:fill="FABF8F"/>
            <w:vAlign w:val="center"/>
          </w:tcPr>
          <w:p w:rsidR="001136F4" w:rsidRPr="00BD7CEA" w:rsidRDefault="006E5080" w:rsidP="006E7054">
            <w:pPr>
              <w:pStyle w:val="TableText"/>
              <w:widowControl w:val="0"/>
              <w:rPr>
                <w:b/>
                <w:color w:val="000000"/>
                <w:sz w:val="13"/>
                <w:szCs w:val="13"/>
                <w:u w:val="single"/>
              </w:rPr>
            </w:pPr>
            <w:hyperlink w:anchor="_103_System_Center" w:history="1">
              <w:r w:rsidR="00955428" w:rsidRPr="00BD7CEA">
                <w:rPr>
                  <w:rStyle w:val="Hyperlink"/>
                  <w:b/>
                  <w:sz w:val="13"/>
                  <w:szCs w:val="13"/>
                </w:rPr>
                <w:t>91</w:t>
              </w:r>
            </w:hyperlink>
            <w:hyperlink w:anchor="Srv_102SysCtr2012EndpointProt" w:history="1"/>
          </w:p>
        </w:tc>
        <w:tc>
          <w:tcPr>
            <w:tcW w:w="450" w:type="dxa"/>
            <w:tcBorders>
              <w:bottom w:val="single" w:sz="4" w:space="0" w:color="auto"/>
            </w:tcBorders>
            <w:shd w:val="clear" w:color="auto" w:fill="FABF8F"/>
            <w:vAlign w:val="center"/>
          </w:tcPr>
          <w:p w:rsidR="001136F4" w:rsidRPr="00BD7CEA" w:rsidRDefault="001136F4" w:rsidP="001A63C6">
            <w:pPr>
              <w:pStyle w:val="TableText"/>
              <w:widowControl w:val="0"/>
              <w:rPr>
                <w:rFonts w:ascii="Tahoma" w:hAnsi="Tahoma" w:cs="Tahoma"/>
                <w:sz w:val="13"/>
              </w:rPr>
            </w:pPr>
            <w:r w:rsidRPr="00BD7CEA">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136F4" w:rsidRPr="00BD7CEA" w:rsidRDefault="001136F4" w:rsidP="001A63C6">
            <w:pPr>
              <w:pStyle w:val="TableText"/>
              <w:widowControl w:val="0"/>
              <w:rPr>
                <w:rFonts w:ascii="Tahoma" w:hAnsi="Tahoma" w:cs="Tahoma"/>
                <w:color w:val="000000"/>
                <w:sz w:val="13"/>
              </w:rPr>
            </w:pPr>
            <w:r w:rsidRPr="00BD7CEA">
              <w:rPr>
                <w:rFonts w:ascii="Tahoma" w:hAnsi="Tahoma" w:cs="Tahoma"/>
                <w:color w:val="000000"/>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136F4" w:rsidRPr="00BD7CEA" w:rsidRDefault="001136F4" w:rsidP="007E466C">
            <w:pPr>
              <w:pStyle w:val="TableText"/>
              <w:widowControl w:val="0"/>
              <w:rPr>
                <w:rFonts w:ascii="Tahoma" w:hAnsi="Tahoma" w:cs="Tahoma"/>
                <w:sz w:val="13"/>
                <w:szCs w:val="13"/>
              </w:rPr>
            </w:pPr>
            <w:r w:rsidRPr="00BD7CEA">
              <w:rPr>
                <w:rFonts w:ascii="Tahoma" w:hAnsi="Tahoma" w:cs="Tahoma"/>
                <w:sz w:val="13"/>
                <w:szCs w:val="13"/>
              </w:rPr>
              <w:t>1 punto</w:t>
            </w:r>
          </w:p>
        </w:tc>
        <w:tc>
          <w:tcPr>
            <w:tcW w:w="450" w:type="dxa"/>
            <w:tcBorders>
              <w:left w:val="single" w:sz="18" w:space="0" w:color="auto"/>
              <w:bottom w:val="single" w:sz="4" w:space="0" w:color="auto"/>
            </w:tcBorders>
            <w:shd w:val="clear" w:color="auto" w:fill="FABF8F"/>
            <w:vAlign w:val="center"/>
          </w:tcPr>
          <w:p w:rsidR="001136F4" w:rsidRPr="00BD7CEA" w:rsidRDefault="001136F4" w:rsidP="007E466C">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136F4" w:rsidRPr="00BD7CEA" w:rsidRDefault="001136F4" w:rsidP="007E466C">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136F4" w:rsidRPr="00BD7CEA" w:rsidRDefault="001136F4" w:rsidP="007E466C">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136F4" w:rsidRPr="00BD7CEA" w:rsidRDefault="001136F4" w:rsidP="007E466C">
            <w:pPr>
              <w:pStyle w:val="TableText"/>
              <w:widowControl w:val="0"/>
              <w:rPr>
                <w:rFonts w:ascii="Tahoma" w:hAnsi="Tahoma" w:cs="Tahoma"/>
                <w:sz w:val="13"/>
                <w:szCs w:val="13"/>
              </w:rPr>
            </w:pPr>
            <w:r w:rsidRPr="00BD7CEA">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136F4" w:rsidRPr="00BD7CEA" w:rsidRDefault="001136F4"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136F4" w:rsidRPr="00BD7CEA" w:rsidRDefault="001136F4" w:rsidP="001A63C6">
            <w:pPr>
              <w:pStyle w:val="TableText"/>
              <w:widowControl w:val="0"/>
              <w:rPr>
                <w:rFonts w:ascii="Tahoma" w:hAnsi="Tahoma" w:cs="Tahoma"/>
                <w:sz w:val="13"/>
              </w:rPr>
            </w:pPr>
            <w:r w:rsidRPr="00BD7CEA">
              <w:rPr>
                <w:rFonts w:ascii="Tahoma" w:hAnsi="Tahoma" w:cs="Tahoma"/>
                <w:sz w:val="13"/>
              </w:rPr>
              <w:t>P</w:t>
            </w:r>
          </w:p>
        </w:tc>
        <w:tc>
          <w:tcPr>
            <w:tcW w:w="450" w:type="dxa"/>
            <w:tcBorders>
              <w:bottom w:val="single" w:sz="4" w:space="0" w:color="auto"/>
            </w:tcBorders>
            <w:shd w:val="clear" w:color="auto" w:fill="FABF8F"/>
            <w:vAlign w:val="center"/>
          </w:tcPr>
          <w:p w:rsidR="001136F4" w:rsidRPr="00BD7CEA" w:rsidRDefault="001136F4" w:rsidP="007E466C">
            <w:pPr>
              <w:pStyle w:val="TableText"/>
              <w:widowControl w:val="0"/>
              <w:rPr>
                <w:rFonts w:ascii="Tahoma" w:hAnsi="Tahoma" w:cs="Tahoma"/>
                <w:sz w:val="13"/>
              </w:rPr>
            </w:pPr>
            <w:r w:rsidRPr="00BD7CEA">
              <w:rPr>
                <w:rFonts w:ascii="Tahoma" w:hAnsi="Tahoma" w:cs="Tahoma"/>
                <w:sz w:val="13"/>
              </w:rPr>
              <w:t>AO, ST</w:t>
            </w:r>
          </w:p>
        </w:tc>
        <w:tc>
          <w:tcPr>
            <w:tcW w:w="540" w:type="dxa"/>
            <w:tcBorders>
              <w:bottom w:val="single" w:sz="4" w:space="0" w:color="auto"/>
            </w:tcBorders>
            <w:shd w:val="clear" w:color="auto" w:fill="FABF8F"/>
            <w:vAlign w:val="center"/>
          </w:tcPr>
          <w:p w:rsidR="001136F4" w:rsidRPr="00BD7CEA" w:rsidRDefault="001136F4" w:rsidP="001A63C6">
            <w:pPr>
              <w:pStyle w:val="TableText"/>
              <w:widowControl w:val="0"/>
              <w:rPr>
                <w:rFonts w:ascii="Tahoma" w:hAnsi="Tahoma" w:cs="Tahoma"/>
                <w:sz w:val="13"/>
              </w:rPr>
            </w:pPr>
          </w:p>
        </w:tc>
      </w:tr>
      <w:tr w:rsidR="00EF228F" w:rsidRPr="00BD7CEA" w:rsidTr="00241602">
        <w:trPr>
          <w:trHeight w:val="134"/>
        </w:trPr>
        <w:tc>
          <w:tcPr>
            <w:tcW w:w="2734" w:type="dxa"/>
            <w:gridSpan w:val="2"/>
            <w:tcBorders>
              <w:bottom w:val="single" w:sz="4" w:space="0" w:color="auto"/>
            </w:tcBorders>
            <w:shd w:val="clear" w:color="auto" w:fill="auto"/>
          </w:tcPr>
          <w:p w:rsidR="001A63C6" w:rsidRPr="007B74B7" w:rsidRDefault="001A63C6" w:rsidP="00E215F4">
            <w:pPr>
              <w:pStyle w:val="ProductNames"/>
              <w:spacing w:beforeLines="20" w:before="48" w:afterLines="20" w:after="48"/>
              <w:rPr>
                <w:rFonts w:ascii="Tahoma" w:hAnsi="Tahoma" w:cs="Tahoma"/>
                <w:sz w:val="14"/>
                <w:lang w:val="it-IT"/>
              </w:rPr>
            </w:pPr>
            <w:bookmarkStart w:id="484" w:name="_Toc336338100"/>
            <w:bookmarkStart w:id="485" w:name="_Toc353375878"/>
            <w:r w:rsidRPr="007B74B7">
              <w:rPr>
                <w:rFonts w:ascii="Tahoma" w:hAnsi="Tahoma" w:cs="Tahoma"/>
                <w:sz w:val="14"/>
                <w:lang w:val="it-IT"/>
              </w:rPr>
              <w:t>Licenza di Gestione Server Standard per System Center 2012 (2 processori)</w:t>
            </w:r>
            <w:bookmarkEnd w:id="484"/>
            <w:bookmarkEnd w:id="485"/>
          </w:p>
        </w:tc>
        <w:tc>
          <w:tcPr>
            <w:tcW w:w="450" w:type="dxa"/>
            <w:tcBorders>
              <w:bottom w:val="single" w:sz="4" w:space="0" w:color="auto"/>
            </w:tcBorders>
            <w:shd w:val="clear" w:color="auto" w:fill="auto"/>
            <w:vAlign w:val="center"/>
          </w:tcPr>
          <w:p w:rsidR="001A63C6" w:rsidRPr="007B74B7" w:rsidRDefault="001A63C6" w:rsidP="001A63C6">
            <w:pPr>
              <w:pStyle w:val="TableText"/>
              <w:widowControl w:val="0"/>
              <w:spacing w:before="240"/>
              <w:rPr>
                <w:b/>
                <w:color w:val="000000"/>
                <w:sz w:val="13"/>
                <w:szCs w:val="13"/>
                <w:u w:val="single"/>
                <w:lang w:val="it-IT"/>
              </w:rPr>
            </w:pPr>
          </w:p>
        </w:tc>
        <w:tc>
          <w:tcPr>
            <w:tcW w:w="450" w:type="dxa"/>
            <w:tcBorders>
              <w:bottom w:val="single" w:sz="4" w:space="0" w:color="auto"/>
            </w:tcBorders>
            <w:shd w:val="clear" w:color="auto" w:fill="auto"/>
          </w:tcPr>
          <w:p w:rsidR="001A63C6" w:rsidRPr="00BD7CEA" w:rsidRDefault="001A63C6" w:rsidP="001A63C6">
            <w:pPr>
              <w:pStyle w:val="TableText"/>
              <w:widowControl w:val="0"/>
              <w:spacing w:before="120"/>
              <w:rPr>
                <w:rFonts w:ascii="Tahoma" w:hAnsi="Tahoma" w:cs="Tahoma"/>
                <w:sz w:val="13"/>
              </w:rPr>
            </w:pPr>
            <w:r w:rsidRPr="00BD7CEA">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1A63C6" w:rsidRPr="00BD7CEA"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38</w:t>
            </w:r>
          </w:p>
        </w:tc>
        <w:tc>
          <w:tcPr>
            <w:tcW w:w="450" w:type="dxa"/>
            <w:tcBorders>
              <w:bottom w:val="single" w:sz="4" w:space="0" w:color="auto"/>
            </w:tcBorders>
            <w:shd w:val="clear" w:color="auto" w:fill="auto"/>
            <w:vAlign w:val="bottom"/>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30</w:t>
            </w:r>
          </w:p>
        </w:tc>
        <w:tc>
          <w:tcPr>
            <w:tcW w:w="450" w:type="dxa"/>
            <w:tcBorders>
              <w:bottom w:val="single" w:sz="4" w:space="0" w:color="auto"/>
            </w:tcBorders>
            <w:shd w:val="clear" w:color="auto" w:fill="auto"/>
            <w:vAlign w:val="bottom"/>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23</w:t>
            </w:r>
          </w:p>
        </w:tc>
        <w:tc>
          <w:tcPr>
            <w:tcW w:w="450" w:type="dxa"/>
            <w:tcBorders>
              <w:bottom w:val="single" w:sz="4" w:space="0" w:color="auto"/>
            </w:tcBorders>
            <w:shd w:val="clear" w:color="auto" w:fill="auto"/>
            <w:vAlign w:val="bottom"/>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23</w:t>
            </w:r>
          </w:p>
        </w:tc>
        <w:tc>
          <w:tcPr>
            <w:tcW w:w="450" w:type="dxa"/>
            <w:tcBorders>
              <w:bottom w:val="single" w:sz="4" w:space="0" w:color="auto"/>
            </w:tcBorders>
            <w:shd w:val="clear" w:color="auto" w:fill="auto"/>
            <w:vAlign w:val="bottom"/>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15</w:t>
            </w:r>
          </w:p>
        </w:tc>
        <w:tc>
          <w:tcPr>
            <w:tcW w:w="360" w:type="dxa"/>
            <w:tcBorders>
              <w:bottom w:val="single" w:sz="4" w:space="0" w:color="auto"/>
              <w:right w:val="single" w:sz="18" w:space="0" w:color="auto"/>
            </w:tcBorders>
            <w:shd w:val="clear" w:color="auto" w:fill="auto"/>
            <w:vAlign w:val="bottom"/>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8</w:t>
            </w:r>
          </w:p>
        </w:tc>
        <w:tc>
          <w:tcPr>
            <w:tcW w:w="450" w:type="dxa"/>
            <w:tcBorders>
              <w:left w:val="single" w:sz="18" w:space="0" w:color="auto"/>
              <w:bottom w:val="single" w:sz="4" w:space="0" w:color="auto"/>
            </w:tcBorders>
            <w:shd w:val="clear" w:color="auto" w:fill="auto"/>
            <w:vAlign w:val="bottom"/>
          </w:tcPr>
          <w:p w:rsidR="001A63C6" w:rsidRPr="00BD7CEA"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30</w:t>
            </w:r>
          </w:p>
        </w:tc>
        <w:tc>
          <w:tcPr>
            <w:tcW w:w="450" w:type="dxa"/>
            <w:tcBorders>
              <w:bottom w:val="single" w:sz="4" w:space="0" w:color="auto"/>
              <w:right w:val="single" w:sz="18" w:space="0" w:color="auto"/>
            </w:tcBorders>
            <w:shd w:val="clear" w:color="auto" w:fill="auto"/>
            <w:vAlign w:val="bottom"/>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15</w:t>
            </w:r>
          </w:p>
        </w:tc>
        <w:tc>
          <w:tcPr>
            <w:tcW w:w="450" w:type="dxa"/>
            <w:tcBorders>
              <w:left w:val="single" w:sz="18" w:space="0" w:color="auto"/>
              <w:bottom w:val="single" w:sz="4" w:space="0" w:color="auto"/>
            </w:tcBorders>
            <w:shd w:val="clear" w:color="auto" w:fill="auto"/>
            <w:vAlign w:val="bottom"/>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15</w:t>
            </w: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P</w:t>
            </w:r>
          </w:p>
        </w:tc>
        <w:tc>
          <w:tcPr>
            <w:tcW w:w="450" w:type="dxa"/>
            <w:tcBorders>
              <w:bottom w:val="single" w:sz="4" w:space="0" w:color="auto"/>
            </w:tcBorders>
            <w:shd w:val="clear" w:color="auto" w:fill="auto"/>
          </w:tcPr>
          <w:p w:rsidR="001A63C6" w:rsidRPr="00BD7CEA" w:rsidRDefault="001A63C6" w:rsidP="001A63C6">
            <w:pPr>
              <w:pStyle w:val="TableText"/>
              <w:widowControl w:val="0"/>
              <w:spacing w:before="120"/>
              <w:rPr>
                <w:rFonts w:ascii="Tahoma" w:hAnsi="Tahoma" w:cs="Tahoma"/>
                <w:sz w:val="13"/>
              </w:rPr>
            </w:pPr>
            <w:r w:rsidRPr="00BD7CEA">
              <w:rPr>
                <w:rFonts w:ascii="Tahoma" w:hAnsi="Tahoma" w:cs="Tahoma"/>
                <w:sz w:val="13"/>
              </w:rPr>
              <w:t>A</w:t>
            </w: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OL/OV</w:t>
            </w:r>
          </w:p>
        </w:tc>
      </w:tr>
      <w:tr w:rsidR="009E5BF9" w:rsidRPr="00BD7CEA" w:rsidTr="00241602">
        <w:trPr>
          <w:trHeight w:val="134"/>
        </w:trPr>
        <w:tc>
          <w:tcPr>
            <w:tcW w:w="2734" w:type="dxa"/>
            <w:gridSpan w:val="2"/>
            <w:tcBorders>
              <w:bottom w:val="single" w:sz="4" w:space="0" w:color="auto"/>
            </w:tcBorders>
            <w:shd w:val="clear" w:color="auto" w:fill="FABF8F"/>
            <w:vAlign w:val="center"/>
          </w:tcPr>
          <w:p w:rsidR="001A63C6" w:rsidRPr="00BD7CEA" w:rsidRDefault="001A63C6" w:rsidP="00E215F4">
            <w:pPr>
              <w:pStyle w:val="ProductNames"/>
              <w:spacing w:beforeLines="20" w:before="48" w:afterLines="20" w:after="48"/>
              <w:rPr>
                <w:rFonts w:ascii="Tahoma" w:hAnsi="Tahoma" w:cs="Tahoma"/>
                <w:sz w:val="14"/>
              </w:rPr>
            </w:pPr>
            <w:bookmarkStart w:id="486" w:name="_Toc336338101"/>
            <w:bookmarkStart w:id="487" w:name="_Toc353375879"/>
            <w:r w:rsidRPr="00BD7CEA">
              <w:rPr>
                <w:rFonts w:ascii="Tahoma" w:hAnsi="Tahoma" w:cs="Tahoma"/>
                <w:sz w:val="14"/>
              </w:rPr>
              <w:t>TechNet Plus Single User</w:t>
            </w:r>
            <w:bookmarkEnd w:id="486"/>
            <w:bookmarkEnd w:id="487"/>
          </w:p>
        </w:tc>
        <w:tc>
          <w:tcPr>
            <w:tcW w:w="450" w:type="dxa"/>
            <w:tcBorders>
              <w:bottom w:val="single" w:sz="4" w:space="0" w:color="auto"/>
            </w:tcBorders>
            <w:shd w:val="clear" w:color="auto" w:fill="FABF8F"/>
            <w:vAlign w:val="center"/>
          </w:tcPr>
          <w:p w:rsidR="001A63C6" w:rsidRPr="00BD7CEA" w:rsidRDefault="006E5080" w:rsidP="006E7054">
            <w:pPr>
              <w:pStyle w:val="TableText"/>
              <w:widowControl w:val="0"/>
              <w:rPr>
                <w:rStyle w:val="EndnoteReference"/>
                <w:rFonts w:cs="Tahoma"/>
                <w:b w:val="0"/>
                <w:color w:val="000000"/>
                <w:position w:val="-11"/>
                <w:sz w:val="13"/>
                <w:szCs w:val="13"/>
                <w:u w:val="single"/>
              </w:rPr>
            </w:pPr>
            <w:hyperlink w:anchor="_92_TechNet_Plus" w:history="1">
              <w:r w:rsidR="00955428" w:rsidRPr="00BD7CEA">
                <w:rPr>
                  <w:rStyle w:val="Hyperlink"/>
                  <w:b/>
                  <w:sz w:val="13"/>
                  <w:szCs w:val="13"/>
                </w:rPr>
                <w:t>92</w:t>
              </w:r>
            </w:hyperlink>
            <w:hyperlink w:anchor="Srv_103TechNetPlusSingleUser" w:history="1"/>
          </w:p>
        </w:tc>
        <w:tc>
          <w:tcPr>
            <w:tcW w:w="450" w:type="dxa"/>
            <w:tcBorders>
              <w:bottom w:val="single" w:sz="4" w:space="0" w:color="auto"/>
            </w:tcBorders>
            <w:shd w:val="clear" w:color="auto" w:fill="FABF8F"/>
          </w:tcPr>
          <w:p w:rsidR="001A63C6" w:rsidRPr="00BD7CEA"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3</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P</w:t>
            </w:r>
          </w:p>
        </w:tc>
        <w:tc>
          <w:tcPr>
            <w:tcW w:w="450" w:type="dxa"/>
            <w:tcBorders>
              <w:bottom w:val="single" w:sz="4" w:space="0" w:color="auto"/>
            </w:tcBorders>
            <w:shd w:val="clear" w:color="auto" w:fill="FABF8F"/>
          </w:tcPr>
          <w:p w:rsidR="001A63C6" w:rsidRPr="00BD7CEA" w:rsidRDefault="001A63C6" w:rsidP="001A63C6">
            <w:pPr>
              <w:pStyle w:val="TableText"/>
              <w:widowControl w:val="0"/>
              <w:spacing w:before="120"/>
              <w:rPr>
                <w:rFonts w:ascii="Tahoma" w:hAnsi="Tahoma" w:cs="Tahoma"/>
                <w:sz w:val="13"/>
              </w:rPr>
            </w:pPr>
            <w:r w:rsidRPr="00BD7CEA">
              <w:rPr>
                <w:rFonts w:ascii="Tahoma" w:hAnsi="Tahoma" w:cs="Tahoma"/>
                <w:sz w:val="13"/>
              </w:rPr>
              <w:t>A</w:t>
            </w:r>
          </w:p>
        </w:tc>
        <w:tc>
          <w:tcPr>
            <w:tcW w:w="54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OL</w:t>
            </w:r>
          </w:p>
        </w:tc>
      </w:tr>
      <w:tr w:rsidR="00EF228F" w:rsidRPr="00BD7CEA" w:rsidTr="00241602">
        <w:trPr>
          <w:trHeight w:val="145"/>
        </w:trPr>
        <w:tc>
          <w:tcPr>
            <w:tcW w:w="2734" w:type="dxa"/>
            <w:gridSpan w:val="2"/>
            <w:tcBorders>
              <w:bottom w:val="single" w:sz="4" w:space="0" w:color="auto"/>
            </w:tcBorders>
            <w:shd w:val="clear" w:color="auto" w:fill="auto"/>
          </w:tcPr>
          <w:p w:rsidR="001A63C6" w:rsidRPr="00BD7CEA" w:rsidRDefault="001A63C6" w:rsidP="00E215F4">
            <w:pPr>
              <w:pStyle w:val="Heading2"/>
              <w:spacing w:beforeLines="20" w:before="48" w:afterLines="20" w:after="48"/>
              <w:ind w:left="0"/>
              <w:rPr>
                <w:rFonts w:ascii="Tahoma" w:hAnsi="Tahoma" w:cs="Tahoma"/>
                <w:b w:val="0"/>
                <w:sz w:val="14"/>
                <w:szCs w:val="14"/>
              </w:rPr>
            </w:pPr>
            <w:bookmarkStart w:id="488" w:name="_Toc336338102"/>
            <w:bookmarkStart w:id="489" w:name="_Toc353375880"/>
            <w:r w:rsidRPr="00BD7CEA">
              <w:rPr>
                <w:rFonts w:ascii="Tahoma" w:hAnsi="Tahoma" w:cs="Tahoma"/>
                <w:b w:val="0"/>
                <w:sz w:val="14"/>
                <w:szCs w:val="14"/>
              </w:rPr>
              <w:t>VDI Suite</w:t>
            </w:r>
            <w:bookmarkEnd w:id="488"/>
            <w:bookmarkEnd w:id="489"/>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b/>
                <w:sz w:val="13"/>
                <w:szCs w:val="13"/>
                <w:u w:val="single"/>
              </w:rPr>
            </w:pPr>
          </w:p>
        </w:tc>
        <w:tc>
          <w:tcPr>
            <w:tcW w:w="450" w:type="dxa"/>
            <w:tcBorders>
              <w:bottom w:val="single" w:sz="4" w:space="0" w:color="auto"/>
            </w:tcBorders>
            <w:shd w:val="clear" w:color="auto" w:fill="auto"/>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rPr>
                <w:rFonts w:ascii="Tahoma" w:hAnsi="Tahoma" w:cs="Tahoma"/>
                <w:sz w:val="13"/>
                <w:szCs w:val="13"/>
              </w:rPr>
            </w:pPr>
            <w:r w:rsidRPr="00BD7CEA">
              <w:rPr>
                <w:rFonts w:ascii="Tahoma" w:hAnsi="Tahoma" w:cs="Tahoma"/>
                <w:sz w:val="13"/>
                <w:szCs w:val="13"/>
              </w:rPr>
              <w:t>1 punto</w:t>
            </w: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rPr>
                <w:rFonts w:ascii="Tahoma" w:hAnsi="Tahoma" w:cs="Tahoma"/>
                <w:sz w:val="13"/>
                <w:szCs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rPr>
                <w:rFonts w:ascii="Tahoma" w:hAnsi="Tahoma" w:cs="Tahoma"/>
                <w:sz w:val="13"/>
                <w:szCs w:val="13"/>
              </w:rPr>
            </w:pPr>
            <w:r w:rsidRPr="00BD7CEA">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rPr>
                <w:rFonts w:ascii="Tahoma" w:hAnsi="Tahoma" w:cs="Tahoma"/>
                <w:sz w:val="13"/>
                <w:szCs w:val="13"/>
              </w:rPr>
            </w:pPr>
            <w:r w:rsidRPr="00BD7CEA">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rPr>
                <w:rFonts w:ascii="Tahoma" w:hAnsi="Tahoma" w:cs="Tahoma"/>
                <w:sz w:val="13"/>
                <w:szCs w:val="13"/>
              </w:rPr>
            </w:pPr>
            <w:r w:rsidRPr="00BD7CEA">
              <w:rPr>
                <w:rFonts w:ascii="Tahoma" w:hAnsi="Tahoma" w:cs="Tahoma"/>
                <w:sz w:val="13"/>
                <w:szCs w:val="13"/>
              </w:rPr>
              <w:t>P</w:t>
            </w:r>
          </w:p>
        </w:tc>
        <w:tc>
          <w:tcPr>
            <w:tcW w:w="450" w:type="dxa"/>
            <w:tcBorders>
              <w:bottom w:val="single" w:sz="4" w:space="0" w:color="auto"/>
            </w:tcBorders>
            <w:shd w:val="clear" w:color="auto" w:fill="auto"/>
          </w:tcPr>
          <w:p w:rsidR="001A63C6" w:rsidRPr="00BD7CEA" w:rsidRDefault="001A63C6" w:rsidP="001A63C6">
            <w:pPr>
              <w:pStyle w:val="TableText"/>
              <w:rPr>
                <w:rFonts w:ascii="Tahoma" w:hAnsi="Tahoma" w:cs="Tahoma"/>
                <w:sz w:val="13"/>
                <w:szCs w:val="13"/>
              </w:rPr>
            </w:pPr>
            <w:r w:rsidRPr="00BD7CEA">
              <w:rPr>
                <w:rFonts w:ascii="Tahoma" w:hAnsi="Tahoma" w:cs="Tahoma"/>
                <w:sz w:val="13"/>
                <w:szCs w:val="13"/>
              </w:rPr>
              <w:t>A, ST</w:t>
            </w: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r>
      <w:tr w:rsidR="00B33D0E" w:rsidRPr="00BD7CEA" w:rsidTr="00241602">
        <w:trPr>
          <w:trHeight w:val="215"/>
        </w:trPr>
        <w:tc>
          <w:tcPr>
            <w:tcW w:w="2734" w:type="dxa"/>
            <w:gridSpan w:val="2"/>
            <w:tcBorders>
              <w:bottom w:val="single" w:sz="4" w:space="0" w:color="auto"/>
            </w:tcBorders>
            <w:shd w:val="clear" w:color="auto" w:fill="FABF8F"/>
          </w:tcPr>
          <w:p w:rsidR="001A63C6" w:rsidRPr="00BD7CEA" w:rsidRDefault="001A63C6" w:rsidP="00E215F4">
            <w:pPr>
              <w:pStyle w:val="Heading2"/>
              <w:spacing w:beforeLines="20" w:before="48" w:afterLines="20" w:after="48"/>
              <w:ind w:left="0"/>
              <w:rPr>
                <w:rFonts w:ascii="Tahoma" w:hAnsi="Tahoma" w:cs="Tahoma"/>
                <w:b w:val="0"/>
                <w:sz w:val="14"/>
                <w:szCs w:val="14"/>
              </w:rPr>
            </w:pPr>
            <w:bookmarkStart w:id="490" w:name="_Toc336338103"/>
            <w:bookmarkStart w:id="491" w:name="_Toc353375881"/>
            <w:r w:rsidRPr="00BD7CEA">
              <w:rPr>
                <w:rFonts w:ascii="Tahoma" w:hAnsi="Tahoma" w:cs="Tahoma"/>
                <w:b w:val="0"/>
                <w:sz w:val="14"/>
                <w:szCs w:val="14"/>
              </w:rPr>
              <w:t>VDI Suite con MDOP</w:t>
            </w:r>
            <w:bookmarkEnd w:id="490"/>
            <w:bookmarkEnd w:id="491"/>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b/>
                <w:sz w:val="13"/>
                <w:szCs w:val="13"/>
                <w:u w:val="single"/>
              </w:rPr>
            </w:pPr>
          </w:p>
        </w:tc>
        <w:tc>
          <w:tcPr>
            <w:tcW w:w="450" w:type="dxa"/>
            <w:tcBorders>
              <w:bottom w:val="single" w:sz="4" w:space="0" w:color="auto"/>
            </w:tcBorders>
            <w:shd w:val="clear" w:color="auto" w:fill="FABF8F"/>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rPr>
                <w:rFonts w:ascii="Tahoma" w:hAnsi="Tahoma" w:cs="Tahoma"/>
                <w:sz w:val="13"/>
                <w:szCs w:val="13"/>
              </w:rPr>
            </w:pPr>
            <w:r w:rsidRPr="00BD7CEA">
              <w:rPr>
                <w:rFonts w:ascii="Tahoma" w:hAnsi="Tahoma" w:cs="Tahoma"/>
                <w:sz w:val="13"/>
                <w:szCs w:val="13"/>
              </w:rPr>
              <w:t>1 punto</w:t>
            </w: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rPr>
                <w:rFonts w:ascii="Tahoma" w:hAnsi="Tahoma" w:cs="Tahoma"/>
                <w:sz w:val="13"/>
                <w:szCs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rPr>
                <w:rFonts w:ascii="Tahoma" w:hAnsi="Tahoma" w:cs="Tahoma"/>
                <w:sz w:val="13"/>
                <w:szCs w:val="13"/>
              </w:rPr>
            </w:pPr>
            <w:r w:rsidRPr="00BD7CEA">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rPr>
                <w:rFonts w:ascii="Tahoma" w:hAnsi="Tahoma" w:cs="Tahoma"/>
                <w:sz w:val="13"/>
                <w:szCs w:val="13"/>
              </w:rPr>
            </w:pPr>
            <w:r w:rsidRPr="00BD7CEA">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rPr>
                <w:rFonts w:ascii="Tahoma" w:hAnsi="Tahoma" w:cs="Tahoma"/>
                <w:sz w:val="13"/>
                <w:szCs w:val="13"/>
              </w:rPr>
            </w:pPr>
            <w:r w:rsidRPr="00BD7CEA">
              <w:rPr>
                <w:rFonts w:ascii="Tahoma" w:hAnsi="Tahoma" w:cs="Tahoma"/>
                <w:sz w:val="13"/>
                <w:szCs w:val="13"/>
              </w:rPr>
              <w:t>E, P</w:t>
            </w:r>
          </w:p>
        </w:tc>
        <w:tc>
          <w:tcPr>
            <w:tcW w:w="450" w:type="dxa"/>
            <w:tcBorders>
              <w:bottom w:val="single" w:sz="4" w:space="0" w:color="auto"/>
            </w:tcBorders>
            <w:shd w:val="clear" w:color="auto" w:fill="FABF8F"/>
          </w:tcPr>
          <w:p w:rsidR="001A63C6" w:rsidRPr="00BD7CEA" w:rsidRDefault="001A63C6" w:rsidP="001A63C6">
            <w:pPr>
              <w:pStyle w:val="TableText"/>
              <w:rPr>
                <w:rFonts w:ascii="Tahoma" w:hAnsi="Tahoma" w:cs="Tahoma"/>
                <w:sz w:val="13"/>
                <w:szCs w:val="13"/>
              </w:rPr>
            </w:pPr>
            <w:r w:rsidRPr="00BD7CEA">
              <w:rPr>
                <w:rFonts w:ascii="Tahoma" w:hAnsi="Tahoma" w:cs="Tahoma"/>
                <w:sz w:val="13"/>
                <w:szCs w:val="13"/>
              </w:rPr>
              <w:t>A, ST</w:t>
            </w:r>
          </w:p>
        </w:tc>
        <w:tc>
          <w:tcPr>
            <w:tcW w:w="54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r>
      <w:tr w:rsidR="00EF228F" w:rsidRPr="00BD7CEA" w:rsidTr="00241602">
        <w:trPr>
          <w:trHeight w:val="260"/>
        </w:trPr>
        <w:tc>
          <w:tcPr>
            <w:tcW w:w="2734" w:type="dxa"/>
            <w:gridSpan w:val="2"/>
            <w:tcBorders>
              <w:bottom w:val="single" w:sz="4" w:space="0" w:color="auto"/>
            </w:tcBorders>
            <w:shd w:val="clear" w:color="auto" w:fill="auto"/>
          </w:tcPr>
          <w:p w:rsidR="001A63C6" w:rsidRPr="00BD7CEA" w:rsidRDefault="001A63C6" w:rsidP="00E215F4">
            <w:pPr>
              <w:pStyle w:val="Heading2"/>
              <w:spacing w:beforeLines="20" w:before="48" w:afterLines="20" w:after="48"/>
              <w:ind w:left="0"/>
              <w:rPr>
                <w:rFonts w:ascii="Tahoma" w:hAnsi="Tahoma" w:cs="Tahoma"/>
                <w:b w:val="0"/>
                <w:sz w:val="14"/>
                <w:szCs w:val="14"/>
              </w:rPr>
            </w:pPr>
            <w:bookmarkStart w:id="492" w:name="_Toc336338104"/>
            <w:bookmarkStart w:id="493" w:name="_Toc353375882"/>
            <w:r w:rsidRPr="00BD7CEA">
              <w:rPr>
                <w:rFonts w:ascii="Tahoma" w:hAnsi="Tahoma" w:cs="Tahoma"/>
                <w:b w:val="0"/>
                <w:sz w:val="14"/>
                <w:szCs w:val="14"/>
              </w:rPr>
              <w:t>VDI Standard Suite</w:t>
            </w:r>
            <w:bookmarkEnd w:id="492"/>
            <w:bookmarkEnd w:id="493"/>
          </w:p>
        </w:tc>
        <w:tc>
          <w:tcPr>
            <w:tcW w:w="450" w:type="dxa"/>
            <w:tcBorders>
              <w:bottom w:val="single" w:sz="4" w:space="0" w:color="auto"/>
            </w:tcBorders>
            <w:shd w:val="clear" w:color="auto" w:fill="auto"/>
            <w:vAlign w:val="center"/>
          </w:tcPr>
          <w:p w:rsidR="001A63C6" w:rsidRPr="00BD7CEA" w:rsidRDefault="006E5080" w:rsidP="006E7054">
            <w:pPr>
              <w:pStyle w:val="TableText"/>
              <w:widowControl w:val="0"/>
              <w:rPr>
                <w:rStyle w:val="EndnoteReference"/>
                <w:b w:val="0"/>
                <w:sz w:val="13"/>
                <w:szCs w:val="13"/>
              </w:rPr>
            </w:pPr>
            <w:hyperlink w:anchor="_93_VDI_Standard" w:history="1">
              <w:r w:rsidR="00955428" w:rsidRPr="00BD7CEA">
                <w:rPr>
                  <w:rStyle w:val="Hyperlink"/>
                  <w:b/>
                  <w:sz w:val="13"/>
                  <w:szCs w:val="13"/>
                </w:rPr>
                <w:t>93</w:t>
              </w:r>
            </w:hyperlink>
          </w:p>
        </w:tc>
        <w:tc>
          <w:tcPr>
            <w:tcW w:w="450" w:type="dxa"/>
            <w:tcBorders>
              <w:bottom w:val="single" w:sz="4" w:space="0" w:color="auto"/>
            </w:tcBorders>
            <w:shd w:val="clear" w:color="auto" w:fill="auto"/>
          </w:tcPr>
          <w:p w:rsidR="001A63C6" w:rsidRPr="00BD7CE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BD7CEA"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r>
      <w:tr w:rsidR="00B33D0E" w:rsidRPr="00BD7CEA" w:rsidTr="00241602">
        <w:trPr>
          <w:trHeight w:val="260"/>
        </w:trPr>
        <w:tc>
          <w:tcPr>
            <w:tcW w:w="2734" w:type="dxa"/>
            <w:gridSpan w:val="2"/>
            <w:tcBorders>
              <w:bottom w:val="single" w:sz="4" w:space="0" w:color="auto"/>
            </w:tcBorders>
            <w:shd w:val="clear" w:color="auto" w:fill="FABF8F"/>
          </w:tcPr>
          <w:p w:rsidR="001A63C6" w:rsidRPr="00BD7CEA" w:rsidRDefault="001A63C6" w:rsidP="00E215F4">
            <w:pPr>
              <w:pStyle w:val="Heading2"/>
              <w:spacing w:beforeLines="20" w:before="48" w:afterLines="20" w:after="48"/>
              <w:ind w:left="0"/>
              <w:rPr>
                <w:rFonts w:ascii="Tahoma" w:hAnsi="Tahoma" w:cs="Tahoma"/>
                <w:b w:val="0"/>
                <w:sz w:val="14"/>
                <w:szCs w:val="14"/>
              </w:rPr>
            </w:pPr>
            <w:bookmarkStart w:id="494" w:name="_Toc336338105"/>
            <w:bookmarkStart w:id="495" w:name="_Toc353375883"/>
            <w:r w:rsidRPr="00BD7CEA">
              <w:rPr>
                <w:rFonts w:ascii="Tahoma" w:hAnsi="Tahoma" w:cs="Tahoma"/>
                <w:b w:val="0"/>
                <w:sz w:val="14"/>
                <w:szCs w:val="14"/>
              </w:rPr>
              <w:t>VDI Standard Suite con MDOP</w:t>
            </w:r>
            <w:bookmarkEnd w:id="494"/>
            <w:bookmarkEnd w:id="495"/>
          </w:p>
        </w:tc>
        <w:tc>
          <w:tcPr>
            <w:tcW w:w="450" w:type="dxa"/>
            <w:tcBorders>
              <w:bottom w:val="single" w:sz="4" w:space="0" w:color="auto"/>
            </w:tcBorders>
            <w:shd w:val="clear" w:color="auto" w:fill="FABF8F"/>
            <w:vAlign w:val="center"/>
          </w:tcPr>
          <w:p w:rsidR="001A63C6" w:rsidRPr="00BD7CEA" w:rsidRDefault="006E5080" w:rsidP="006E7054">
            <w:pPr>
              <w:pStyle w:val="TableText"/>
              <w:widowControl w:val="0"/>
              <w:rPr>
                <w:rStyle w:val="EndnoteReference"/>
                <w:b w:val="0"/>
                <w:sz w:val="13"/>
                <w:szCs w:val="13"/>
                <w:u w:val="single"/>
              </w:rPr>
            </w:pPr>
            <w:hyperlink w:anchor="_93_VDI_Standard" w:history="1">
              <w:r w:rsidR="009369B7" w:rsidRPr="00BD7CEA">
                <w:rPr>
                  <w:rStyle w:val="Hyperlink"/>
                  <w:b/>
                  <w:sz w:val="13"/>
                  <w:szCs w:val="13"/>
                </w:rPr>
                <w:t>93</w:t>
              </w:r>
            </w:hyperlink>
            <w:hyperlink w:anchor="Srv_105VDIStandardandPremiumSuites" w:history="1"/>
          </w:p>
        </w:tc>
        <w:tc>
          <w:tcPr>
            <w:tcW w:w="450" w:type="dxa"/>
            <w:tcBorders>
              <w:bottom w:val="single" w:sz="4" w:space="0" w:color="auto"/>
            </w:tcBorders>
            <w:shd w:val="clear" w:color="auto" w:fill="FABF8F"/>
          </w:tcPr>
          <w:p w:rsidR="001A63C6" w:rsidRPr="00BD7CE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D7CEA"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r>
      <w:tr w:rsidR="00EF228F" w:rsidRPr="00BD7CEA" w:rsidTr="00241602">
        <w:trPr>
          <w:trHeight w:val="260"/>
        </w:trPr>
        <w:tc>
          <w:tcPr>
            <w:tcW w:w="2734" w:type="dxa"/>
            <w:gridSpan w:val="2"/>
            <w:tcBorders>
              <w:bottom w:val="single" w:sz="4" w:space="0" w:color="auto"/>
            </w:tcBorders>
            <w:shd w:val="clear" w:color="auto" w:fill="auto"/>
          </w:tcPr>
          <w:p w:rsidR="001A63C6" w:rsidRPr="00BD7CEA" w:rsidRDefault="001A63C6" w:rsidP="00E215F4">
            <w:pPr>
              <w:pStyle w:val="Heading2"/>
              <w:spacing w:beforeLines="20" w:before="48" w:afterLines="20" w:after="48"/>
              <w:ind w:left="0"/>
              <w:rPr>
                <w:rFonts w:ascii="Tahoma" w:hAnsi="Tahoma" w:cs="Tahoma"/>
                <w:b w:val="0"/>
                <w:sz w:val="14"/>
                <w:szCs w:val="14"/>
              </w:rPr>
            </w:pPr>
            <w:bookmarkStart w:id="496" w:name="_Toc336338106"/>
            <w:bookmarkStart w:id="497" w:name="_Toc353375884"/>
            <w:r w:rsidRPr="00BD7CEA">
              <w:rPr>
                <w:rFonts w:ascii="Tahoma" w:hAnsi="Tahoma" w:cs="Tahoma"/>
                <w:b w:val="0"/>
                <w:sz w:val="14"/>
                <w:szCs w:val="14"/>
              </w:rPr>
              <w:t>VDI Premium Suite</w:t>
            </w:r>
            <w:bookmarkEnd w:id="496"/>
            <w:bookmarkEnd w:id="497"/>
          </w:p>
        </w:tc>
        <w:tc>
          <w:tcPr>
            <w:tcW w:w="450" w:type="dxa"/>
            <w:tcBorders>
              <w:bottom w:val="single" w:sz="4" w:space="0" w:color="auto"/>
            </w:tcBorders>
            <w:shd w:val="clear" w:color="auto" w:fill="auto"/>
            <w:vAlign w:val="center"/>
          </w:tcPr>
          <w:p w:rsidR="001A63C6" w:rsidRPr="00BD7CEA" w:rsidRDefault="006E5080" w:rsidP="006E7054">
            <w:pPr>
              <w:pStyle w:val="TableText"/>
              <w:widowControl w:val="0"/>
              <w:rPr>
                <w:rStyle w:val="EndnoteReference"/>
                <w:b w:val="0"/>
                <w:sz w:val="13"/>
                <w:szCs w:val="13"/>
                <w:u w:val="single"/>
              </w:rPr>
            </w:pPr>
            <w:hyperlink w:anchor="_93_VDI_Standard" w:history="1">
              <w:r w:rsidR="009369B7" w:rsidRPr="00BD7CEA">
                <w:rPr>
                  <w:rStyle w:val="Hyperlink"/>
                  <w:b/>
                  <w:sz w:val="13"/>
                  <w:szCs w:val="13"/>
                </w:rPr>
                <w:t>93</w:t>
              </w:r>
            </w:hyperlink>
            <w:hyperlink w:anchor="Srv_105VDIStandardandPremiumSuites" w:history="1"/>
          </w:p>
        </w:tc>
        <w:tc>
          <w:tcPr>
            <w:tcW w:w="450" w:type="dxa"/>
            <w:tcBorders>
              <w:bottom w:val="single" w:sz="4" w:space="0" w:color="auto"/>
            </w:tcBorders>
            <w:shd w:val="clear" w:color="auto" w:fill="auto"/>
          </w:tcPr>
          <w:p w:rsidR="001A63C6" w:rsidRPr="00BD7CE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BD7CEA"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r>
      <w:tr w:rsidR="00B33D0E" w:rsidRPr="00BD7CEA" w:rsidTr="00241602">
        <w:trPr>
          <w:trHeight w:val="260"/>
        </w:trPr>
        <w:tc>
          <w:tcPr>
            <w:tcW w:w="2734" w:type="dxa"/>
            <w:gridSpan w:val="2"/>
            <w:tcBorders>
              <w:bottom w:val="single" w:sz="4" w:space="0" w:color="auto"/>
            </w:tcBorders>
            <w:shd w:val="clear" w:color="auto" w:fill="FABF8F"/>
          </w:tcPr>
          <w:p w:rsidR="001A63C6" w:rsidRPr="007B74B7" w:rsidRDefault="001A63C6" w:rsidP="00E215F4">
            <w:pPr>
              <w:pStyle w:val="Heading2"/>
              <w:spacing w:beforeLines="20" w:before="48" w:afterLines="20" w:after="48"/>
              <w:ind w:left="0"/>
              <w:rPr>
                <w:rFonts w:ascii="Tahoma" w:hAnsi="Tahoma" w:cs="Tahoma"/>
                <w:b w:val="0"/>
                <w:sz w:val="14"/>
                <w:szCs w:val="14"/>
                <w:lang w:val="it-IT"/>
              </w:rPr>
            </w:pPr>
            <w:bookmarkStart w:id="498" w:name="_Toc336338107"/>
            <w:bookmarkStart w:id="499" w:name="_Toc353375885"/>
            <w:r w:rsidRPr="007B74B7">
              <w:rPr>
                <w:rFonts w:ascii="Tahoma" w:hAnsi="Tahoma" w:cs="Tahoma"/>
                <w:b w:val="0"/>
                <w:sz w:val="14"/>
                <w:szCs w:val="14"/>
                <w:lang w:val="it-IT"/>
              </w:rPr>
              <w:t>VDI Premium Suite con MDOP</w:t>
            </w:r>
            <w:bookmarkEnd w:id="498"/>
            <w:bookmarkEnd w:id="499"/>
          </w:p>
        </w:tc>
        <w:tc>
          <w:tcPr>
            <w:tcW w:w="450" w:type="dxa"/>
            <w:tcBorders>
              <w:bottom w:val="single" w:sz="4" w:space="0" w:color="auto"/>
            </w:tcBorders>
            <w:shd w:val="clear" w:color="auto" w:fill="FABF8F"/>
            <w:vAlign w:val="center"/>
          </w:tcPr>
          <w:p w:rsidR="001A63C6" w:rsidRPr="00BD7CEA" w:rsidRDefault="006E5080" w:rsidP="006E7054">
            <w:pPr>
              <w:pStyle w:val="TableText"/>
              <w:widowControl w:val="0"/>
              <w:rPr>
                <w:rStyle w:val="EndnoteReference"/>
                <w:b w:val="0"/>
                <w:sz w:val="13"/>
                <w:szCs w:val="13"/>
                <w:u w:val="single"/>
              </w:rPr>
            </w:pPr>
            <w:hyperlink w:anchor="_93_VDI_Standard" w:history="1">
              <w:r w:rsidR="009369B7" w:rsidRPr="00BD7CEA">
                <w:rPr>
                  <w:rStyle w:val="Hyperlink"/>
                  <w:b/>
                  <w:sz w:val="13"/>
                  <w:szCs w:val="13"/>
                </w:rPr>
                <w:t>93</w:t>
              </w:r>
            </w:hyperlink>
          </w:p>
        </w:tc>
        <w:tc>
          <w:tcPr>
            <w:tcW w:w="450" w:type="dxa"/>
            <w:tcBorders>
              <w:bottom w:val="single" w:sz="4" w:space="0" w:color="auto"/>
            </w:tcBorders>
            <w:shd w:val="clear" w:color="auto" w:fill="FABF8F"/>
          </w:tcPr>
          <w:p w:rsidR="001A63C6" w:rsidRPr="00BD7CE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D7CEA"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r>
      <w:tr w:rsidR="00B33D0E" w:rsidRPr="00BD7CEA" w:rsidTr="00241602">
        <w:trPr>
          <w:trHeight w:val="145"/>
        </w:trPr>
        <w:tc>
          <w:tcPr>
            <w:tcW w:w="2734" w:type="dxa"/>
            <w:gridSpan w:val="2"/>
            <w:tcBorders>
              <w:bottom w:val="single" w:sz="4" w:space="0" w:color="auto"/>
            </w:tcBorders>
            <w:shd w:val="clear" w:color="auto" w:fill="auto"/>
          </w:tcPr>
          <w:p w:rsidR="001A63C6" w:rsidRPr="00BD7CEA" w:rsidRDefault="001A63C6" w:rsidP="00E215F4">
            <w:pPr>
              <w:pStyle w:val="ProductNames"/>
              <w:spacing w:beforeLines="20" w:before="48" w:afterLines="20" w:after="48"/>
              <w:rPr>
                <w:rFonts w:ascii="Tahoma" w:hAnsi="Tahoma"/>
                <w:sz w:val="14"/>
              </w:rPr>
            </w:pPr>
            <w:bookmarkStart w:id="500" w:name="_Toc353375886"/>
            <w:r w:rsidRPr="00BD7CEA">
              <w:rPr>
                <w:rFonts w:ascii="Tahoma" w:hAnsi="Tahoma" w:cs="Tahoma"/>
                <w:sz w:val="14"/>
              </w:rPr>
              <w:t>Vexcel Server</w:t>
            </w:r>
            <w:bookmarkEnd w:id="500"/>
          </w:p>
        </w:tc>
        <w:tc>
          <w:tcPr>
            <w:tcW w:w="450" w:type="dxa"/>
            <w:tcBorders>
              <w:bottom w:val="single" w:sz="4" w:space="0" w:color="auto"/>
            </w:tcBorders>
            <w:shd w:val="clear" w:color="auto" w:fill="auto"/>
            <w:vAlign w:val="center"/>
          </w:tcPr>
          <w:p w:rsidR="001A63C6" w:rsidRPr="00BD7CEA" w:rsidRDefault="006E5080" w:rsidP="006E7054">
            <w:pPr>
              <w:pStyle w:val="TableText"/>
              <w:widowControl w:val="0"/>
              <w:rPr>
                <w:rStyle w:val="EndnoteReference"/>
                <w:b w:val="0"/>
                <w:sz w:val="13"/>
                <w:szCs w:val="13"/>
                <w:u w:val="single"/>
              </w:rPr>
            </w:pPr>
            <w:hyperlink w:anchor="_94_Vexcel_Server" w:history="1">
              <w:r w:rsidR="00955428" w:rsidRPr="00BD7CEA">
                <w:rPr>
                  <w:rStyle w:val="Hyperlink"/>
                  <w:b/>
                  <w:sz w:val="13"/>
                  <w:szCs w:val="13"/>
                </w:rPr>
                <w:t>94</w:t>
              </w:r>
            </w:hyperlink>
            <w:hyperlink w:anchor="Srv_27BingMapsSvrandContentPack" w:history="1"/>
          </w:p>
        </w:tc>
        <w:tc>
          <w:tcPr>
            <w:tcW w:w="450" w:type="dxa"/>
            <w:tcBorders>
              <w:bottom w:val="single" w:sz="4" w:space="0" w:color="auto"/>
            </w:tcBorders>
            <w:shd w:val="clear" w:color="auto" w:fill="auto"/>
          </w:tcPr>
          <w:p w:rsidR="001A63C6" w:rsidRPr="00BD7CEA" w:rsidRDefault="001A63C6" w:rsidP="001A63C6">
            <w:pPr>
              <w:pStyle w:val="TableText"/>
              <w:widowControl w:val="0"/>
              <w:spacing w:before="80"/>
              <w:rPr>
                <w:rFonts w:ascii="Tahoma" w:hAnsi="Tahoma" w:cs="Tahoma"/>
                <w:sz w:val="13"/>
              </w:rPr>
            </w:pPr>
            <w:r w:rsidRPr="00BD7CEA">
              <w:rPr>
                <w:rFonts w:ascii="Tahoma" w:hAnsi="Tahoma" w:cs="Tahoma"/>
                <w:sz w:val="13"/>
              </w:rPr>
              <w:t>08/09</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200 crediti</w:t>
            </w: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P</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w:t>
            </w: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r>
      <w:tr w:rsidR="00B33D0E" w:rsidRPr="00BD7CEA" w:rsidTr="00241602">
        <w:trPr>
          <w:trHeight w:val="145"/>
        </w:trPr>
        <w:tc>
          <w:tcPr>
            <w:tcW w:w="2734" w:type="dxa"/>
            <w:gridSpan w:val="2"/>
            <w:tcBorders>
              <w:bottom w:val="single" w:sz="4" w:space="0" w:color="auto"/>
            </w:tcBorders>
            <w:shd w:val="clear" w:color="auto" w:fill="FABF8F"/>
          </w:tcPr>
          <w:p w:rsidR="001A63C6" w:rsidRPr="00BD7CEA" w:rsidRDefault="001A63C6" w:rsidP="00E215F4">
            <w:pPr>
              <w:pStyle w:val="ProductNames"/>
              <w:spacing w:beforeLines="20" w:before="48" w:afterLines="20" w:after="48"/>
              <w:rPr>
                <w:rFonts w:ascii="Tahoma" w:hAnsi="Tahoma"/>
                <w:sz w:val="14"/>
              </w:rPr>
            </w:pPr>
            <w:bookmarkStart w:id="501" w:name="_Toc353375887"/>
            <w:r w:rsidRPr="00BD7CEA">
              <w:rPr>
                <w:rFonts w:ascii="Tahoma" w:hAnsi="Tahoma" w:cs="Tahoma"/>
                <w:sz w:val="14"/>
              </w:rPr>
              <w:t>Vexcel Server con Enhanced Content Pack</w:t>
            </w:r>
            <w:bookmarkEnd w:id="501"/>
            <w:r w:rsidRPr="00BD7CEA">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BD7CEA" w:rsidRDefault="006E5080" w:rsidP="006E7054">
            <w:pPr>
              <w:pStyle w:val="TableText"/>
              <w:widowControl w:val="0"/>
              <w:rPr>
                <w:rStyle w:val="EndnoteReference"/>
                <w:b w:val="0"/>
                <w:sz w:val="13"/>
                <w:szCs w:val="13"/>
                <w:u w:val="single"/>
              </w:rPr>
            </w:pPr>
            <w:hyperlink w:anchor="_94_Vexcel_Server" w:history="1">
              <w:r w:rsidR="009369B7" w:rsidRPr="00BD7CEA">
                <w:rPr>
                  <w:rStyle w:val="Hyperlink"/>
                  <w:b/>
                  <w:sz w:val="13"/>
                  <w:szCs w:val="13"/>
                </w:rPr>
                <w:t>94</w:t>
              </w:r>
            </w:hyperlink>
          </w:p>
        </w:tc>
        <w:tc>
          <w:tcPr>
            <w:tcW w:w="450" w:type="dxa"/>
            <w:tcBorders>
              <w:bottom w:val="single" w:sz="4" w:space="0" w:color="auto"/>
            </w:tcBorders>
            <w:shd w:val="clear" w:color="auto" w:fill="FABF8F"/>
          </w:tcPr>
          <w:p w:rsidR="001A63C6" w:rsidRPr="00BD7CEA" w:rsidRDefault="001A63C6" w:rsidP="001A63C6">
            <w:pPr>
              <w:pStyle w:val="TableText"/>
              <w:widowControl w:val="0"/>
              <w:spacing w:before="80"/>
              <w:rPr>
                <w:rFonts w:ascii="Tahoma" w:hAnsi="Tahoma" w:cs="Tahoma"/>
                <w:sz w:val="13"/>
              </w:rPr>
            </w:pPr>
            <w:r w:rsidRPr="00BD7CEA">
              <w:rPr>
                <w:rFonts w:ascii="Tahoma" w:hAnsi="Tahoma" w:cs="Tahoma"/>
                <w:sz w:val="13"/>
              </w:rPr>
              <w:t>08/09</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200 crediti</w:t>
            </w: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200</w:t>
            </w: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P</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w:t>
            </w:r>
          </w:p>
        </w:tc>
        <w:tc>
          <w:tcPr>
            <w:tcW w:w="54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r>
      <w:tr w:rsidR="001A63C6" w:rsidRPr="00BD7CEA" w:rsidTr="007E466C">
        <w:trPr>
          <w:trHeight w:val="145"/>
        </w:trPr>
        <w:tc>
          <w:tcPr>
            <w:tcW w:w="2734" w:type="dxa"/>
            <w:gridSpan w:val="2"/>
            <w:tcBorders>
              <w:bottom w:val="single" w:sz="4" w:space="0" w:color="auto"/>
            </w:tcBorders>
            <w:shd w:val="clear" w:color="auto" w:fill="auto"/>
          </w:tcPr>
          <w:p w:rsidR="001A63C6" w:rsidRPr="007B74B7" w:rsidRDefault="001A63C6" w:rsidP="00E215F4">
            <w:pPr>
              <w:pStyle w:val="Heading2"/>
              <w:spacing w:beforeLines="20" w:before="48" w:afterLines="20" w:after="48"/>
              <w:ind w:left="0"/>
              <w:rPr>
                <w:rFonts w:ascii="Tahoma" w:hAnsi="Tahoma" w:cs="Tahoma"/>
                <w:b w:val="0"/>
                <w:sz w:val="14"/>
                <w:szCs w:val="14"/>
                <w:lang w:val="pt-BR"/>
              </w:rPr>
            </w:pPr>
            <w:bookmarkStart w:id="502" w:name="_Toc336338108"/>
            <w:bookmarkStart w:id="503" w:name="_Toc353375888"/>
            <w:r w:rsidRPr="007B74B7">
              <w:rPr>
                <w:rFonts w:ascii="Tahoma" w:hAnsi="Tahoma" w:cs="Tahoma"/>
                <w:b w:val="0"/>
                <w:sz w:val="14"/>
                <w:szCs w:val="14"/>
                <w:lang w:val="pt-BR"/>
              </w:rPr>
              <w:t>Virtual Server 2005 R2 Enterprise Edition</w:t>
            </w:r>
            <w:bookmarkEnd w:id="502"/>
            <w:bookmarkEnd w:id="503"/>
          </w:p>
        </w:tc>
        <w:tc>
          <w:tcPr>
            <w:tcW w:w="450" w:type="dxa"/>
            <w:tcBorders>
              <w:bottom w:val="single" w:sz="4" w:space="0" w:color="auto"/>
            </w:tcBorders>
            <w:shd w:val="clear" w:color="auto" w:fill="auto"/>
            <w:vAlign w:val="center"/>
          </w:tcPr>
          <w:p w:rsidR="001A63C6" w:rsidRPr="007B74B7" w:rsidRDefault="001A63C6" w:rsidP="001A63C6">
            <w:pPr>
              <w:pStyle w:val="TableText"/>
              <w:widowControl w:val="0"/>
              <w:rPr>
                <w:rStyle w:val="EndnoteReference"/>
                <w:sz w:val="13"/>
                <w:szCs w:val="13"/>
                <w:u w:val="single"/>
                <w:lang w:val="pt-BR"/>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spacing w:before="80"/>
              <w:rPr>
                <w:rFonts w:ascii="Tahoma" w:hAnsi="Tahoma" w:cs="Tahoma"/>
                <w:sz w:val="13"/>
              </w:rPr>
            </w:pPr>
            <w:r w:rsidRPr="00BD7CEA">
              <w:rPr>
                <w:rFonts w:ascii="Tahoma" w:hAnsi="Tahoma" w:cs="Tahoma"/>
                <w:sz w:val="13"/>
              </w:rPr>
              <w:t>12/05</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BD7CEA"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r>
      <w:tr w:rsidR="006B1F3F" w:rsidRPr="00BD7CEA" w:rsidTr="006B1F3F">
        <w:trPr>
          <w:trHeight w:val="145"/>
        </w:trPr>
        <w:tc>
          <w:tcPr>
            <w:tcW w:w="2734" w:type="dxa"/>
            <w:gridSpan w:val="2"/>
            <w:tcBorders>
              <w:bottom w:val="single" w:sz="4" w:space="0" w:color="auto"/>
            </w:tcBorders>
            <w:shd w:val="clear" w:color="auto" w:fill="FABF8F"/>
            <w:vAlign w:val="center"/>
          </w:tcPr>
          <w:p w:rsidR="001A63C6" w:rsidRPr="00BD7CEA" w:rsidRDefault="001A63C6" w:rsidP="00E215F4">
            <w:pPr>
              <w:pStyle w:val="Heading2"/>
              <w:spacing w:beforeLines="20" w:before="48" w:afterLines="20" w:after="48"/>
              <w:ind w:left="0"/>
              <w:rPr>
                <w:rFonts w:ascii="Tahoma" w:hAnsi="Tahoma" w:cs="Tahoma"/>
                <w:b w:val="0"/>
                <w:sz w:val="14"/>
                <w:szCs w:val="14"/>
              </w:rPr>
            </w:pPr>
            <w:bookmarkStart w:id="504" w:name="_Toc336338109"/>
            <w:bookmarkStart w:id="505" w:name="_Toc353375889"/>
            <w:r w:rsidRPr="00BD7CEA">
              <w:rPr>
                <w:rFonts w:ascii="Tahoma" w:hAnsi="Tahoma" w:cs="Tahoma"/>
                <w:b w:val="0"/>
                <w:sz w:val="14"/>
                <w:szCs w:val="14"/>
              </w:rPr>
              <w:t>Visual Studio</w:t>
            </w:r>
            <w:r w:rsidR="00700C4B" w:rsidRPr="00BD7CEA">
              <w:rPr>
                <w:rFonts w:ascii="Tahoma" w:eastAsia="Times New Roman" w:hAnsi="Tahoma" w:cs="Tahoma"/>
                <w:b w:val="0"/>
                <w:color w:val="000000"/>
                <w:sz w:val="14"/>
                <w:szCs w:val="14"/>
                <w:vertAlign w:val="superscript"/>
              </w:rPr>
              <w:t>®</w:t>
            </w:r>
            <w:r w:rsidRPr="00BD7CEA">
              <w:rPr>
                <w:rFonts w:ascii="Tahoma" w:hAnsi="Tahoma" w:cs="Tahoma"/>
                <w:b w:val="0"/>
                <w:sz w:val="14"/>
                <w:szCs w:val="14"/>
              </w:rPr>
              <w:t xml:space="preserve"> Team Foundation Server 2012 con Tecnologia SQL Server 2012</w:t>
            </w:r>
            <w:bookmarkEnd w:id="504"/>
            <w:bookmarkEnd w:id="505"/>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Style w:val="EndnoteReference"/>
                <w:rFonts w:ascii="Tahoma" w:hAnsi="Tahoma"/>
                <w:sz w:val="13"/>
                <w:szCs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spacing w:before="80"/>
              <w:rPr>
                <w:rFonts w:ascii="Tahoma" w:hAnsi="Tahoma" w:cs="Tahoma"/>
                <w:sz w:val="13"/>
              </w:rPr>
            </w:pPr>
            <w:r w:rsidRPr="00BD7CEA">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13</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10</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P</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w:t>
            </w:r>
          </w:p>
        </w:tc>
        <w:tc>
          <w:tcPr>
            <w:tcW w:w="54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r>
      <w:tr w:rsidR="001A63C6" w:rsidRPr="00BD7CEA" w:rsidTr="007E466C">
        <w:trPr>
          <w:trHeight w:val="145"/>
        </w:trPr>
        <w:tc>
          <w:tcPr>
            <w:tcW w:w="2734" w:type="dxa"/>
            <w:gridSpan w:val="2"/>
            <w:tcBorders>
              <w:bottom w:val="single" w:sz="4" w:space="0" w:color="auto"/>
            </w:tcBorders>
            <w:shd w:val="clear" w:color="auto" w:fill="auto"/>
            <w:vAlign w:val="center"/>
          </w:tcPr>
          <w:p w:rsidR="001A63C6" w:rsidRPr="007B74B7" w:rsidRDefault="001A63C6" w:rsidP="00E215F4">
            <w:pPr>
              <w:pStyle w:val="Heading2"/>
              <w:spacing w:beforeLines="20" w:before="48" w:afterLines="20" w:after="48"/>
              <w:ind w:left="0"/>
              <w:rPr>
                <w:rFonts w:ascii="Tahoma" w:hAnsi="Tahoma" w:cs="Tahoma"/>
                <w:b w:val="0"/>
                <w:sz w:val="14"/>
                <w:szCs w:val="14"/>
                <w:lang w:val="it-IT"/>
              </w:rPr>
            </w:pPr>
            <w:bookmarkStart w:id="506" w:name="_Toc254805933"/>
            <w:bookmarkStart w:id="507" w:name="_Toc336338110"/>
            <w:bookmarkStart w:id="508" w:name="_Toc353375890"/>
            <w:r w:rsidRPr="007B74B7">
              <w:rPr>
                <w:rFonts w:ascii="Tahoma" w:hAnsi="Tahoma" w:cs="Tahoma"/>
                <w:b w:val="0"/>
                <w:sz w:val="14"/>
                <w:szCs w:val="14"/>
                <w:lang w:val="it-IT"/>
              </w:rPr>
              <w:t>CAL per Dispositivo per Visual Studio</w:t>
            </w:r>
            <w:r w:rsidR="00700C4B" w:rsidRPr="007B74B7">
              <w:rPr>
                <w:rFonts w:ascii="Tahoma" w:hAnsi="Tahoma" w:cs="Tahoma"/>
                <w:b w:val="0"/>
                <w:sz w:val="14"/>
                <w:szCs w:val="14"/>
                <w:vertAlign w:val="superscript"/>
                <w:lang w:val="it-IT"/>
              </w:rPr>
              <w:t>®</w:t>
            </w:r>
            <w:r w:rsidRPr="007B74B7">
              <w:rPr>
                <w:rFonts w:ascii="Tahoma" w:hAnsi="Tahoma" w:cs="Tahoma"/>
                <w:b w:val="0"/>
                <w:sz w:val="14"/>
                <w:szCs w:val="14"/>
                <w:lang w:val="it-IT"/>
              </w:rPr>
              <w:t xml:space="preserve"> Team Foundation Server 2012</w:t>
            </w:r>
            <w:bookmarkEnd w:id="506"/>
            <w:bookmarkEnd w:id="507"/>
            <w:bookmarkEnd w:id="508"/>
          </w:p>
        </w:tc>
        <w:tc>
          <w:tcPr>
            <w:tcW w:w="450" w:type="dxa"/>
            <w:tcBorders>
              <w:bottom w:val="single" w:sz="4" w:space="0" w:color="auto"/>
            </w:tcBorders>
            <w:shd w:val="clear" w:color="auto" w:fill="auto"/>
            <w:vAlign w:val="center"/>
          </w:tcPr>
          <w:p w:rsidR="001A63C6" w:rsidRPr="007B74B7" w:rsidRDefault="001A63C6" w:rsidP="001A63C6">
            <w:pPr>
              <w:pStyle w:val="TableText"/>
              <w:widowControl w:val="0"/>
              <w:rPr>
                <w:rStyle w:val="EndnoteReference"/>
                <w:rFonts w:ascii="Tahoma" w:hAnsi="Tahoma"/>
                <w:sz w:val="13"/>
                <w:szCs w:val="13"/>
                <w:lang w:val="it-IT"/>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spacing w:before="80"/>
              <w:rPr>
                <w:rFonts w:ascii="Tahoma" w:hAnsi="Tahoma" w:cs="Tahoma"/>
                <w:sz w:val="13"/>
              </w:rPr>
            </w:pPr>
            <w:r w:rsidRPr="00BD7CEA">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5</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13</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10</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8</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8</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5</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P</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w:t>
            </w: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r>
      <w:tr w:rsidR="006B1F3F" w:rsidRPr="00BD7CEA" w:rsidTr="006B1F3F">
        <w:trPr>
          <w:trHeight w:val="145"/>
        </w:trPr>
        <w:tc>
          <w:tcPr>
            <w:tcW w:w="2734" w:type="dxa"/>
            <w:gridSpan w:val="2"/>
            <w:tcBorders>
              <w:bottom w:val="single" w:sz="4" w:space="0" w:color="auto"/>
            </w:tcBorders>
            <w:shd w:val="clear" w:color="auto" w:fill="FABF8F"/>
            <w:vAlign w:val="center"/>
          </w:tcPr>
          <w:p w:rsidR="001A63C6" w:rsidRPr="00BD7CEA" w:rsidRDefault="001A63C6" w:rsidP="00E215F4">
            <w:pPr>
              <w:pStyle w:val="Heading2"/>
              <w:spacing w:beforeLines="20" w:before="48" w:afterLines="20" w:after="48"/>
              <w:ind w:left="0"/>
              <w:rPr>
                <w:rFonts w:ascii="Tahoma" w:hAnsi="Tahoma" w:cs="Tahoma"/>
                <w:b w:val="0"/>
                <w:sz w:val="14"/>
                <w:szCs w:val="14"/>
              </w:rPr>
            </w:pPr>
            <w:bookmarkStart w:id="509" w:name="_Toc254805934"/>
            <w:bookmarkStart w:id="510" w:name="_Toc336338111"/>
            <w:bookmarkStart w:id="511" w:name="_Toc353375891"/>
            <w:r w:rsidRPr="00BD7CEA">
              <w:rPr>
                <w:rFonts w:ascii="Tahoma" w:hAnsi="Tahoma" w:cs="Tahoma"/>
                <w:b w:val="0"/>
                <w:sz w:val="14"/>
                <w:szCs w:val="14"/>
              </w:rPr>
              <w:t>User CAL per Visual Studio</w:t>
            </w:r>
            <w:r w:rsidR="00700C4B" w:rsidRPr="00BD7CEA">
              <w:rPr>
                <w:rFonts w:ascii="Tahoma" w:hAnsi="Tahoma" w:cs="Tahoma"/>
                <w:b w:val="0"/>
                <w:sz w:val="14"/>
                <w:szCs w:val="14"/>
                <w:vertAlign w:val="superscript"/>
              </w:rPr>
              <w:t>®</w:t>
            </w:r>
            <w:r w:rsidRPr="00BD7CEA">
              <w:rPr>
                <w:rFonts w:ascii="Tahoma" w:hAnsi="Tahoma" w:cs="Tahoma"/>
                <w:b w:val="0"/>
                <w:sz w:val="14"/>
                <w:szCs w:val="14"/>
              </w:rPr>
              <w:t xml:space="preserve"> Team Foundation Server 2012</w:t>
            </w:r>
            <w:bookmarkEnd w:id="509"/>
            <w:bookmarkEnd w:id="510"/>
            <w:bookmarkEnd w:id="511"/>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Style w:val="EndnoteReference"/>
                <w:rFonts w:ascii="Tahoma" w:hAnsi="Tahoma"/>
                <w:sz w:val="13"/>
                <w:szCs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spacing w:before="80"/>
              <w:rPr>
                <w:rFonts w:ascii="Tahoma" w:hAnsi="Tahoma" w:cs="Tahoma"/>
                <w:sz w:val="13"/>
              </w:rPr>
            </w:pPr>
            <w:r w:rsidRPr="00BD7CEA">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13</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10</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spacing w:after="120"/>
              <w:rPr>
                <w:rFonts w:ascii="Tahoma" w:hAnsi="Tahoma" w:cs="Tahoma"/>
                <w:sz w:val="13"/>
                <w:szCs w:val="13"/>
              </w:rPr>
            </w:pPr>
            <w:r w:rsidRPr="00BD7CEA">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P</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w:t>
            </w:r>
          </w:p>
        </w:tc>
        <w:tc>
          <w:tcPr>
            <w:tcW w:w="54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r>
      <w:tr w:rsidR="001A63C6" w:rsidRPr="00BD7CEA" w:rsidTr="007E466C">
        <w:trPr>
          <w:trHeight w:val="494"/>
        </w:trPr>
        <w:tc>
          <w:tcPr>
            <w:tcW w:w="2734" w:type="dxa"/>
            <w:gridSpan w:val="2"/>
            <w:tcBorders>
              <w:bottom w:val="single" w:sz="4" w:space="0" w:color="auto"/>
            </w:tcBorders>
            <w:shd w:val="clear" w:color="auto" w:fill="auto"/>
          </w:tcPr>
          <w:p w:rsidR="001A63C6" w:rsidRPr="00BD7CEA" w:rsidRDefault="001A63C6" w:rsidP="003B23CC">
            <w:pPr>
              <w:pStyle w:val="Heading2"/>
              <w:spacing w:beforeLines="20" w:before="48" w:afterLines="20" w:after="48"/>
              <w:ind w:left="0"/>
              <w:rPr>
                <w:rFonts w:ascii="Tahoma" w:hAnsi="Tahoma" w:cs="Tahoma"/>
                <w:b w:val="0"/>
                <w:sz w:val="14"/>
                <w:szCs w:val="14"/>
              </w:rPr>
            </w:pPr>
            <w:bookmarkStart w:id="512" w:name="_Toc336338113"/>
            <w:bookmarkStart w:id="513" w:name="_Toc353375892"/>
            <w:r w:rsidRPr="00BD7CEA">
              <w:rPr>
                <w:rFonts w:ascii="Tahoma" w:hAnsi="Tahoma" w:cs="Tahoma"/>
                <w:b w:val="0"/>
                <w:sz w:val="14"/>
                <w:szCs w:val="14"/>
              </w:rPr>
              <w:t>Web Antimalware Subscription per</w:t>
            </w:r>
            <w:r w:rsidR="003B23CC" w:rsidRPr="00BD7CEA">
              <w:rPr>
                <w:rFonts w:ascii="Tahoma" w:hAnsi="Tahoma" w:cs="Tahoma"/>
                <w:b w:val="0"/>
                <w:sz w:val="14"/>
                <w:szCs w:val="14"/>
              </w:rPr>
              <w:t> </w:t>
            </w:r>
            <w:r w:rsidRPr="00BD7CEA">
              <w:rPr>
                <w:rFonts w:ascii="Tahoma" w:hAnsi="Tahoma" w:cs="Tahoma"/>
                <w:b w:val="0"/>
                <w:sz w:val="14"/>
                <w:szCs w:val="14"/>
              </w:rPr>
              <w:t>Forefront Threat Management Gateway</w:t>
            </w:r>
            <w:r w:rsidR="00A030C8" w:rsidRPr="00BD7CEA">
              <w:rPr>
                <w:rFonts w:ascii="Tahoma" w:hAnsi="Tahoma" w:cs="Tahoma"/>
                <w:b w:val="0"/>
                <w:sz w:val="14"/>
                <w:szCs w:val="14"/>
              </w:rPr>
              <w:t> </w:t>
            </w:r>
            <w:r w:rsidRPr="00BD7CEA">
              <w:rPr>
                <w:rFonts w:ascii="Tahoma" w:hAnsi="Tahoma" w:cs="Tahoma"/>
                <w:b w:val="0"/>
                <w:sz w:val="14"/>
                <w:szCs w:val="14"/>
              </w:rPr>
              <w:t>Medium Business Edition (Dispositivo e</w:t>
            </w:r>
            <w:r w:rsidR="00A030C8" w:rsidRPr="00BD7CEA">
              <w:rPr>
                <w:rFonts w:ascii="Tahoma" w:hAnsi="Tahoma" w:cs="Tahoma"/>
                <w:b w:val="0"/>
                <w:sz w:val="14"/>
                <w:szCs w:val="14"/>
              </w:rPr>
              <w:t> </w:t>
            </w:r>
            <w:r w:rsidRPr="00BD7CEA">
              <w:rPr>
                <w:rFonts w:ascii="Tahoma" w:hAnsi="Tahoma" w:cs="Tahoma"/>
                <w:b w:val="0"/>
                <w:sz w:val="14"/>
                <w:szCs w:val="14"/>
              </w:rPr>
              <w:t>Utente)</w:t>
            </w:r>
            <w:bookmarkEnd w:id="512"/>
            <w:bookmarkEnd w:id="513"/>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Style w:val="EndnoteReference"/>
                <w:rFonts w:ascii="Tahoma" w:hAnsi="Tahoma" w:cs="Tahoma"/>
                <w:sz w:val="13"/>
                <w:szCs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spacing w:before="160"/>
              <w:rPr>
                <w:rFonts w:ascii="Tahoma" w:hAnsi="Tahoma" w:cs="Tahoma"/>
                <w:sz w:val="13"/>
              </w:rPr>
            </w:pPr>
            <w:r w:rsidRPr="00BD7CEA">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25</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P</w:t>
            </w:r>
          </w:p>
        </w:tc>
        <w:tc>
          <w:tcPr>
            <w:tcW w:w="450" w:type="dxa"/>
            <w:tcBorders>
              <w:bottom w:val="single" w:sz="4" w:space="0" w:color="auto"/>
            </w:tcBorders>
            <w:shd w:val="clear" w:color="auto" w:fill="auto"/>
          </w:tcPr>
          <w:p w:rsidR="001A63C6" w:rsidRPr="00BD7CEA"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r>
      <w:tr w:rsidR="00B33D0E" w:rsidRPr="00BD7CEA" w:rsidTr="006B1F3F">
        <w:trPr>
          <w:trHeight w:val="287"/>
        </w:trPr>
        <w:tc>
          <w:tcPr>
            <w:tcW w:w="2734" w:type="dxa"/>
            <w:gridSpan w:val="2"/>
            <w:tcBorders>
              <w:bottom w:val="single" w:sz="4" w:space="0" w:color="auto"/>
            </w:tcBorders>
            <w:shd w:val="clear" w:color="auto" w:fill="FABF8F"/>
            <w:vAlign w:val="center"/>
          </w:tcPr>
          <w:p w:rsidR="001A63C6" w:rsidRPr="00BD7CEA" w:rsidRDefault="001A63C6" w:rsidP="00E215F4">
            <w:pPr>
              <w:pStyle w:val="Heading2"/>
              <w:spacing w:beforeLines="20" w:before="48" w:afterLines="20" w:after="48"/>
              <w:ind w:left="0"/>
              <w:rPr>
                <w:rFonts w:ascii="Tahoma" w:hAnsi="Tahoma" w:cs="Tahoma"/>
                <w:b w:val="0"/>
                <w:sz w:val="14"/>
              </w:rPr>
            </w:pPr>
            <w:bookmarkStart w:id="514" w:name="_Toc336338114"/>
            <w:bookmarkStart w:id="515" w:name="_Toc353375893"/>
            <w:r w:rsidRPr="00BD7CEA">
              <w:rPr>
                <w:rFonts w:ascii="Tahoma" w:hAnsi="Tahoma" w:cs="Tahoma"/>
                <w:b w:val="0"/>
                <w:sz w:val="14"/>
              </w:rPr>
              <w:t>Servizi di Windows Azure</w:t>
            </w:r>
            <w:bookmarkEnd w:id="514"/>
            <w:bookmarkEnd w:id="515"/>
          </w:p>
        </w:tc>
        <w:tc>
          <w:tcPr>
            <w:tcW w:w="450" w:type="dxa"/>
            <w:tcBorders>
              <w:bottom w:val="single" w:sz="4" w:space="0" w:color="auto"/>
            </w:tcBorders>
            <w:shd w:val="clear" w:color="auto" w:fill="FABF8F"/>
            <w:vAlign w:val="center"/>
          </w:tcPr>
          <w:p w:rsidR="001A63C6" w:rsidRPr="00BD7CEA" w:rsidRDefault="006E5080" w:rsidP="006E7054">
            <w:pPr>
              <w:pStyle w:val="TableText"/>
              <w:widowControl w:val="0"/>
              <w:spacing w:before="100" w:beforeAutospacing="1"/>
              <w:rPr>
                <w:rFonts w:cs="Tahoma"/>
                <w:b/>
                <w:color w:val="0000FF"/>
                <w:sz w:val="13"/>
                <w:szCs w:val="13"/>
                <w:u w:val="single"/>
              </w:rPr>
            </w:pPr>
            <w:hyperlink w:anchor="_95_Servizi_Windows" w:history="1">
              <w:r w:rsidR="00955428" w:rsidRPr="00BD7CEA">
                <w:rPr>
                  <w:rStyle w:val="Hyperlink"/>
                  <w:rFonts w:cs="Tahoma"/>
                  <w:b/>
                  <w:sz w:val="13"/>
                  <w:szCs w:val="13"/>
                </w:rPr>
                <w:t>95</w:t>
              </w:r>
            </w:hyperlink>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spacing w:before="80"/>
              <w:rPr>
                <w:rFonts w:ascii="Tahoma" w:hAnsi="Tahoma" w:cs="Tahoma"/>
                <w:sz w:val="13"/>
              </w:rPr>
            </w:pPr>
            <w:r w:rsidRPr="00BD7CEA">
              <w:rPr>
                <w:rFonts w:ascii="Tahoma" w:hAnsi="Tahoma" w:cs="Tahoma"/>
                <w:sz w:val="13"/>
              </w:rPr>
              <w:t>11/11</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w:t>
            </w:r>
          </w:p>
        </w:tc>
        <w:tc>
          <w:tcPr>
            <w:tcW w:w="54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r>
      <w:tr w:rsidR="001A63C6" w:rsidRPr="00BD7CEA" w:rsidTr="007E466C">
        <w:trPr>
          <w:trHeight w:val="152"/>
        </w:trPr>
        <w:tc>
          <w:tcPr>
            <w:tcW w:w="2734" w:type="dxa"/>
            <w:gridSpan w:val="2"/>
            <w:tcBorders>
              <w:bottom w:val="single" w:sz="4" w:space="0" w:color="auto"/>
            </w:tcBorders>
            <w:shd w:val="clear" w:color="auto" w:fill="auto"/>
            <w:vAlign w:val="center"/>
          </w:tcPr>
          <w:p w:rsidR="001A63C6" w:rsidRPr="00BD7CEA" w:rsidRDefault="001A63C6" w:rsidP="001A63C6">
            <w:pPr>
              <w:pStyle w:val="Heading2"/>
              <w:spacing w:before="20" w:after="20"/>
              <w:ind w:left="0"/>
              <w:rPr>
                <w:rFonts w:ascii="Tahoma" w:hAnsi="Tahoma" w:cs="Tahoma"/>
                <w:b w:val="0"/>
                <w:sz w:val="14"/>
                <w:szCs w:val="14"/>
              </w:rPr>
            </w:pPr>
            <w:bookmarkStart w:id="516" w:name="_Toc336338115"/>
            <w:bookmarkStart w:id="517" w:name="_Toc353375894"/>
            <w:r w:rsidRPr="00BD7CEA">
              <w:rPr>
                <w:rFonts w:ascii="Tahoma" w:hAnsi="Tahoma" w:cs="Tahoma"/>
                <w:b w:val="0"/>
                <w:sz w:val="14"/>
              </w:rPr>
              <w:t>Windows</w:t>
            </w:r>
            <w:r w:rsidR="00700C4B" w:rsidRPr="00BD7CEA">
              <w:rPr>
                <w:rFonts w:ascii="Tahoma" w:hAnsi="Tahoma" w:cs="Tahoma"/>
                <w:b w:val="0"/>
                <w:sz w:val="14"/>
                <w:vertAlign w:val="superscript"/>
              </w:rPr>
              <w:t>®</w:t>
            </w:r>
            <w:r w:rsidRPr="00BD7CEA">
              <w:rPr>
                <w:rFonts w:ascii="Tahoma" w:hAnsi="Tahoma" w:cs="Tahoma"/>
                <w:b w:val="0"/>
                <w:sz w:val="14"/>
              </w:rPr>
              <w:t xml:space="preserve"> Embedded Device Manager</w:t>
            </w:r>
            <w:r w:rsidR="00A030C8" w:rsidRPr="00BD7CEA">
              <w:rPr>
                <w:rFonts w:ascii="Tahoma" w:hAnsi="Tahoma" w:cs="Tahoma"/>
                <w:sz w:val="14"/>
              </w:rPr>
              <w:t> </w:t>
            </w:r>
            <w:r w:rsidRPr="00BD7CEA">
              <w:rPr>
                <w:rFonts w:ascii="Tahoma" w:hAnsi="Tahoma" w:cs="Tahoma"/>
                <w:b w:val="0"/>
                <w:sz w:val="14"/>
              </w:rPr>
              <w:t>2011</w:t>
            </w:r>
            <w:bookmarkEnd w:id="516"/>
            <w:bookmarkEnd w:id="517"/>
          </w:p>
        </w:tc>
        <w:tc>
          <w:tcPr>
            <w:tcW w:w="450" w:type="dxa"/>
            <w:tcBorders>
              <w:bottom w:val="single" w:sz="4" w:space="0" w:color="auto"/>
            </w:tcBorders>
            <w:shd w:val="clear" w:color="auto" w:fill="auto"/>
            <w:vAlign w:val="center"/>
          </w:tcPr>
          <w:p w:rsidR="001A63C6" w:rsidRPr="00BD7CEA" w:rsidRDefault="006E5080" w:rsidP="006E7054">
            <w:pPr>
              <w:pStyle w:val="TableText"/>
              <w:widowControl w:val="0"/>
              <w:spacing w:before="100" w:beforeAutospacing="1"/>
              <w:rPr>
                <w:rFonts w:cs="Tahoma"/>
                <w:b/>
                <w:color w:val="0000FF"/>
                <w:sz w:val="13"/>
                <w:szCs w:val="13"/>
                <w:u w:val="single"/>
              </w:rPr>
            </w:pPr>
            <w:hyperlink w:anchor="_96_Licenza_di" w:history="1">
              <w:r w:rsidR="00955428" w:rsidRPr="00BD7CEA">
                <w:rPr>
                  <w:rStyle w:val="Hyperlink"/>
                  <w:rFonts w:cs="Tahoma"/>
                  <w:b/>
                  <w:sz w:val="13"/>
                  <w:szCs w:val="13"/>
                </w:rPr>
                <w:t>96</w:t>
              </w:r>
            </w:hyperlink>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BD7CEA"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r>
      <w:tr w:rsidR="00B33D0E" w:rsidRPr="007B74B7" w:rsidTr="006B1F3F">
        <w:trPr>
          <w:trHeight w:val="287"/>
        </w:trPr>
        <w:tc>
          <w:tcPr>
            <w:tcW w:w="2734" w:type="dxa"/>
            <w:gridSpan w:val="2"/>
            <w:tcBorders>
              <w:bottom w:val="single" w:sz="4" w:space="0" w:color="auto"/>
            </w:tcBorders>
            <w:shd w:val="clear" w:color="auto" w:fill="FABF8F"/>
            <w:vAlign w:val="center"/>
          </w:tcPr>
          <w:p w:rsidR="001A63C6" w:rsidRPr="007B74B7" w:rsidRDefault="001A63C6" w:rsidP="001A63C6">
            <w:pPr>
              <w:pStyle w:val="Heading2"/>
              <w:spacing w:before="20" w:after="20"/>
              <w:ind w:left="0"/>
              <w:rPr>
                <w:rFonts w:ascii="Tahoma" w:hAnsi="Tahoma" w:cs="Tahoma"/>
                <w:b w:val="0"/>
                <w:sz w:val="14"/>
                <w:szCs w:val="14"/>
                <w:lang w:val="it-IT"/>
              </w:rPr>
            </w:pPr>
            <w:bookmarkStart w:id="518" w:name="_Toc336338116"/>
            <w:bookmarkStart w:id="519" w:name="_Toc353375895"/>
            <w:r w:rsidRPr="007B74B7">
              <w:rPr>
                <w:rFonts w:ascii="Tahoma" w:hAnsi="Tahoma" w:cs="Tahoma"/>
                <w:b w:val="0"/>
                <w:sz w:val="14"/>
                <w:lang w:val="it-IT"/>
              </w:rPr>
              <w:t>Licenza di Gestione Client per OSE per</w:t>
            </w:r>
            <w:r w:rsidR="00A030C8" w:rsidRPr="007B74B7">
              <w:rPr>
                <w:rFonts w:ascii="Tahoma" w:hAnsi="Tahoma" w:cs="Tahoma"/>
                <w:b w:val="0"/>
                <w:sz w:val="14"/>
                <w:szCs w:val="14"/>
                <w:lang w:val="it-IT"/>
              </w:rPr>
              <w:t> </w:t>
            </w:r>
            <w:r w:rsidRPr="007B74B7">
              <w:rPr>
                <w:rFonts w:ascii="Tahoma" w:hAnsi="Tahoma" w:cs="Tahoma"/>
                <w:b w:val="0"/>
                <w:sz w:val="14"/>
                <w:lang w:val="it-IT"/>
              </w:rPr>
              <w:t>Windows</w:t>
            </w:r>
            <w:r w:rsidR="00700C4B" w:rsidRPr="007B74B7">
              <w:rPr>
                <w:rFonts w:ascii="Tahoma" w:hAnsi="Tahoma" w:cs="Tahoma"/>
                <w:b w:val="0"/>
                <w:sz w:val="14"/>
                <w:vertAlign w:val="superscript"/>
                <w:lang w:val="it-IT"/>
              </w:rPr>
              <w:t>®</w:t>
            </w:r>
            <w:r w:rsidRPr="007B74B7">
              <w:rPr>
                <w:rFonts w:ascii="Tahoma" w:hAnsi="Tahoma" w:cs="Tahoma"/>
                <w:b w:val="0"/>
                <w:sz w:val="14"/>
                <w:lang w:val="it-IT"/>
              </w:rPr>
              <w:t xml:space="preserve"> Embedded Device Manager</w:t>
            </w:r>
            <w:r w:rsidR="00A030C8" w:rsidRPr="007B74B7">
              <w:rPr>
                <w:rFonts w:ascii="Tahoma" w:hAnsi="Tahoma" w:cs="Tahoma"/>
                <w:b w:val="0"/>
                <w:sz w:val="14"/>
                <w:szCs w:val="14"/>
                <w:lang w:val="it-IT"/>
              </w:rPr>
              <w:t> </w:t>
            </w:r>
            <w:r w:rsidRPr="007B74B7">
              <w:rPr>
                <w:rFonts w:ascii="Tahoma" w:hAnsi="Tahoma" w:cs="Tahoma"/>
                <w:b w:val="0"/>
                <w:sz w:val="14"/>
                <w:lang w:val="it-IT"/>
              </w:rPr>
              <w:t>2011</w:t>
            </w:r>
            <w:bookmarkEnd w:id="518"/>
            <w:bookmarkEnd w:id="519"/>
          </w:p>
        </w:tc>
        <w:tc>
          <w:tcPr>
            <w:tcW w:w="450" w:type="dxa"/>
            <w:tcBorders>
              <w:bottom w:val="single" w:sz="4" w:space="0" w:color="auto"/>
            </w:tcBorders>
            <w:shd w:val="clear" w:color="auto" w:fill="FABF8F"/>
            <w:vAlign w:val="center"/>
          </w:tcPr>
          <w:p w:rsidR="001A63C6" w:rsidRPr="007B74B7" w:rsidRDefault="001A63C6" w:rsidP="001A63C6">
            <w:pPr>
              <w:pStyle w:val="TableText"/>
              <w:widowControl w:val="0"/>
              <w:spacing w:before="100" w:beforeAutospacing="1"/>
              <w:rPr>
                <w:rFonts w:ascii="Tahoma" w:hAnsi="Tahoma" w:cs="Tahoma"/>
                <w:b/>
                <w:color w:val="0000FF"/>
                <w:sz w:val="13"/>
                <w:szCs w:val="13"/>
                <w:lang w:val="it-IT"/>
              </w:rPr>
            </w:pPr>
          </w:p>
        </w:tc>
        <w:tc>
          <w:tcPr>
            <w:tcW w:w="450" w:type="dxa"/>
            <w:tcBorders>
              <w:bottom w:val="single" w:sz="4" w:space="0" w:color="auto"/>
            </w:tcBorders>
            <w:shd w:val="clear" w:color="auto" w:fill="FABF8F"/>
            <w:vAlign w:val="center"/>
          </w:tcPr>
          <w:p w:rsidR="001A63C6" w:rsidRPr="007B74B7" w:rsidRDefault="001A63C6" w:rsidP="001A63C6">
            <w:pPr>
              <w:pStyle w:val="TableText"/>
              <w:widowControl w:val="0"/>
              <w:spacing w:before="80"/>
              <w:rPr>
                <w:rFonts w:ascii="Tahoma" w:hAnsi="Tahoma" w:cs="Tahoma"/>
                <w:sz w:val="13"/>
                <w:lang w:val="it-IT"/>
              </w:rPr>
            </w:pPr>
          </w:p>
        </w:tc>
        <w:tc>
          <w:tcPr>
            <w:tcW w:w="360" w:type="dxa"/>
            <w:tcBorders>
              <w:bottom w:val="single" w:sz="4" w:space="0" w:color="auto"/>
              <w:right w:val="single" w:sz="18" w:space="0" w:color="auto"/>
            </w:tcBorders>
            <w:shd w:val="clear" w:color="auto" w:fill="FABF8F"/>
            <w:vAlign w:val="center"/>
          </w:tcPr>
          <w:p w:rsidR="001A63C6" w:rsidRPr="007B74B7" w:rsidRDefault="001A63C6" w:rsidP="001A63C6">
            <w:pPr>
              <w:pStyle w:val="TableText"/>
              <w:widowControl w:val="0"/>
              <w:rPr>
                <w:rFonts w:ascii="Tahoma" w:hAnsi="Tahoma" w:cs="Tahoma"/>
                <w:sz w:val="13"/>
                <w:lang w:val="it-IT"/>
              </w:rPr>
            </w:pPr>
          </w:p>
        </w:tc>
        <w:tc>
          <w:tcPr>
            <w:tcW w:w="360" w:type="dxa"/>
            <w:tcBorders>
              <w:left w:val="single" w:sz="18" w:space="0" w:color="auto"/>
              <w:bottom w:val="single" w:sz="4" w:space="0" w:color="auto"/>
            </w:tcBorders>
            <w:shd w:val="clear" w:color="auto" w:fill="FABF8F"/>
            <w:vAlign w:val="center"/>
          </w:tcPr>
          <w:p w:rsidR="001A63C6" w:rsidRPr="007B74B7" w:rsidRDefault="001A63C6" w:rsidP="001A63C6">
            <w:pPr>
              <w:pStyle w:val="TableText"/>
              <w:widowControl w:val="0"/>
              <w:rPr>
                <w:rFonts w:ascii="Tahoma" w:hAnsi="Tahoma" w:cs="Tahoma"/>
                <w:sz w:val="13"/>
                <w:lang w:val="it-IT"/>
              </w:rPr>
            </w:pPr>
          </w:p>
        </w:tc>
        <w:tc>
          <w:tcPr>
            <w:tcW w:w="450" w:type="dxa"/>
            <w:tcBorders>
              <w:bottom w:val="single" w:sz="4" w:space="0" w:color="auto"/>
            </w:tcBorders>
            <w:shd w:val="clear" w:color="auto" w:fill="FABF8F"/>
            <w:vAlign w:val="center"/>
          </w:tcPr>
          <w:p w:rsidR="001A63C6" w:rsidRPr="007B74B7" w:rsidRDefault="001A63C6" w:rsidP="001A63C6">
            <w:pPr>
              <w:pStyle w:val="TableText"/>
              <w:widowControl w:val="0"/>
              <w:rPr>
                <w:rFonts w:ascii="Tahoma" w:hAnsi="Tahoma" w:cs="Tahoma"/>
                <w:sz w:val="13"/>
                <w:lang w:val="it-IT"/>
              </w:rPr>
            </w:pPr>
          </w:p>
        </w:tc>
        <w:tc>
          <w:tcPr>
            <w:tcW w:w="450" w:type="dxa"/>
            <w:tcBorders>
              <w:bottom w:val="single" w:sz="4" w:space="0" w:color="auto"/>
            </w:tcBorders>
            <w:shd w:val="clear" w:color="auto" w:fill="FABF8F"/>
            <w:vAlign w:val="center"/>
          </w:tcPr>
          <w:p w:rsidR="001A63C6" w:rsidRPr="007B74B7" w:rsidRDefault="001A63C6" w:rsidP="001A63C6">
            <w:pPr>
              <w:pStyle w:val="TableText"/>
              <w:widowControl w:val="0"/>
              <w:rPr>
                <w:rFonts w:ascii="Tahoma" w:hAnsi="Tahoma" w:cs="Tahoma"/>
                <w:sz w:val="13"/>
                <w:lang w:val="it-IT"/>
              </w:rPr>
            </w:pPr>
          </w:p>
        </w:tc>
        <w:tc>
          <w:tcPr>
            <w:tcW w:w="450" w:type="dxa"/>
            <w:tcBorders>
              <w:bottom w:val="single" w:sz="4" w:space="0" w:color="auto"/>
            </w:tcBorders>
            <w:shd w:val="clear" w:color="auto" w:fill="FABF8F"/>
            <w:vAlign w:val="center"/>
          </w:tcPr>
          <w:p w:rsidR="001A63C6" w:rsidRPr="007B74B7" w:rsidRDefault="001A63C6" w:rsidP="001A63C6">
            <w:pPr>
              <w:pStyle w:val="TableText"/>
              <w:widowControl w:val="0"/>
              <w:rPr>
                <w:rFonts w:ascii="Tahoma" w:hAnsi="Tahoma" w:cs="Tahoma"/>
                <w:sz w:val="13"/>
                <w:lang w:val="it-IT"/>
              </w:rPr>
            </w:pPr>
          </w:p>
        </w:tc>
        <w:tc>
          <w:tcPr>
            <w:tcW w:w="450" w:type="dxa"/>
            <w:tcBorders>
              <w:bottom w:val="single" w:sz="4" w:space="0" w:color="auto"/>
            </w:tcBorders>
            <w:shd w:val="clear" w:color="auto" w:fill="FABF8F"/>
            <w:vAlign w:val="center"/>
          </w:tcPr>
          <w:p w:rsidR="001A63C6" w:rsidRPr="007B74B7" w:rsidRDefault="001A63C6" w:rsidP="001A63C6">
            <w:pPr>
              <w:pStyle w:val="TableText"/>
              <w:widowControl w:val="0"/>
              <w:rPr>
                <w:rFonts w:ascii="Tahoma" w:hAnsi="Tahoma" w:cs="Tahoma"/>
                <w:sz w:val="13"/>
                <w:lang w:val="it-IT"/>
              </w:rPr>
            </w:pPr>
          </w:p>
        </w:tc>
        <w:tc>
          <w:tcPr>
            <w:tcW w:w="450" w:type="dxa"/>
            <w:tcBorders>
              <w:bottom w:val="single" w:sz="4" w:space="0" w:color="auto"/>
            </w:tcBorders>
            <w:shd w:val="clear" w:color="auto" w:fill="FABF8F"/>
            <w:vAlign w:val="center"/>
          </w:tcPr>
          <w:p w:rsidR="001A63C6" w:rsidRPr="007B74B7" w:rsidRDefault="001A63C6" w:rsidP="001A63C6">
            <w:pPr>
              <w:pStyle w:val="TableText"/>
              <w:widowControl w:val="0"/>
              <w:rPr>
                <w:rFonts w:ascii="Tahoma" w:hAnsi="Tahoma" w:cs="Tahoma"/>
                <w:sz w:val="13"/>
                <w:lang w:val="it-IT"/>
              </w:rPr>
            </w:pPr>
          </w:p>
        </w:tc>
        <w:tc>
          <w:tcPr>
            <w:tcW w:w="360" w:type="dxa"/>
            <w:tcBorders>
              <w:bottom w:val="single" w:sz="4" w:space="0" w:color="auto"/>
              <w:right w:val="single" w:sz="18" w:space="0" w:color="auto"/>
            </w:tcBorders>
            <w:shd w:val="clear" w:color="auto" w:fill="FABF8F"/>
            <w:vAlign w:val="center"/>
          </w:tcPr>
          <w:p w:rsidR="001A63C6" w:rsidRPr="007B74B7" w:rsidRDefault="001A63C6" w:rsidP="001A63C6">
            <w:pPr>
              <w:pStyle w:val="TableText"/>
              <w:widowControl w:val="0"/>
              <w:rPr>
                <w:rFonts w:ascii="Tahoma" w:hAnsi="Tahoma" w:cs="Tahoma"/>
                <w:sz w:val="13"/>
                <w:lang w:val="it-IT"/>
              </w:rPr>
            </w:pPr>
          </w:p>
        </w:tc>
        <w:tc>
          <w:tcPr>
            <w:tcW w:w="450" w:type="dxa"/>
            <w:tcBorders>
              <w:left w:val="single" w:sz="18" w:space="0" w:color="auto"/>
              <w:bottom w:val="single" w:sz="4" w:space="0" w:color="auto"/>
            </w:tcBorders>
            <w:shd w:val="clear" w:color="auto" w:fill="FABF8F"/>
            <w:vAlign w:val="center"/>
          </w:tcPr>
          <w:p w:rsidR="001A63C6" w:rsidRPr="007B74B7" w:rsidRDefault="001A63C6" w:rsidP="001A63C6">
            <w:pPr>
              <w:pStyle w:val="TableText"/>
              <w:widowControl w:val="0"/>
              <w:rPr>
                <w:rFonts w:ascii="Tahoma" w:hAnsi="Tahoma" w:cs="Tahoma"/>
                <w:sz w:val="13"/>
                <w:lang w:val="it-IT"/>
              </w:rPr>
            </w:pPr>
          </w:p>
        </w:tc>
        <w:tc>
          <w:tcPr>
            <w:tcW w:w="450" w:type="dxa"/>
            <w:tcBorders>
              <w:bottom w:val="single" w:sz="4" w:space="0" w:color="auto"/>
            </w:tcBorders>
            <w:shd w:val="clear" w:color="auto" w:fill="FABF8F"/>
            <w:vAlign w:val="center"/>
          </w:tcPr>
          <w:p w:rsidR="001A63C6" w:rsidRPr="007B74B7" w:rsidRDefault="001A63C6" w:rsidP="001A63C6">
            <w:pPr>
              <w:pStyle w:val="TableText"/>
              <w:widowControl w:val="0"/>
              <w:rPr>
                <w:rFonts w:ascii="Tahoma" w:hAnsi="Tahoma" w:cs="Tahoma"/>
                <w:sz w:val="13"/>
                <w:lang w:val="it-IT"/>
              </w:rPr>
            </w:pPr>
          </w:p>
        </w:tc>
        <w:tc>
          <w:tcPr>
            <w:tcW w:w="450" w:type="dxa"/>
            <w:tcBorders>
              <w:bottom w:val="single" w:sz="4" w:space="0" w:color="auto"/>
              <w:right w:val="single" w:sz="18" w:space="0" w:color="auto"/>
            </w:tcBorders>
            <w:shd w:val="clear" w:color="auto" w:fill="FABF8F"/>
            <w:vAlign w:val="center"/>
          </w:tcPr>
          <w:p w:rsidR="001A63C6" w:rsidRPr="007B74B7" w:rsidRDefault="001A63C6" w:rsidP="001A63C6">
            <w:pPr>
              <w:pStyle w:val="TableText"/>
              <w:widowControl w:val="0"/>
              <w:rPr>
                <w:rFonts w:ascii="Tahoma" w:hAnsi="Tahoma" w:cs="Tahoma"/>
                <w:sz w:val="13"/>
                <w:lang w:val="it-IT"/>
              </w:rPr>
            </w:pPr>
          </w:p>
        </w:tc>
        <w:tc>
          <w:tcPr>
            <w:tcW w:w="450" w:type="dxa"/>
            <w:tcBorders>
              <w:left w:val="single" w:sz="18" w:space="0" w:color="auto"/>
              <w:bottom w:val="single" w:sz="4" w:space="0" w:color="auto"/>
            </w:tcBorders>
            <w:shd w:val="clear" w:color="auto" w:fill="FABF8F"/>
            <w:vAlign w:val="center"/>
          </w:tcPr>
          <w:p w:rsidR="001A63C6" w:rsidRPr="007B74B7" w:rsidRDefault="001A63C6" w:rsidP="001A63C6">
            <w:pPr>
              <w:pStyle w:val="TableText"/>
              <w:widowControl w:val="0"/>
              <w:rPr>
                <w:rFonts w:ascii="Tahoma" w:hAnsi="Tahoma" w:cs="Tahoma"/>
                <w:sz w:val="13"/>
                <w:lang w:val="it-IT"/>
              </w:rPr>
            </w:pPr>
          </w:p>
        </w:tc>
        <w:tc>
          <w:tcPr>
            <w:tcW w:w="450" w:type="dxa"/>
            <w:tcBorders>
              <w:bottom w:val="single" w:sz="4" w:space="0" w:color="auto"/>
              <w:right w:val="single" w:sz="18" w:space="0" w:color="auto"/>
            </w:tcBorders>
            <w:shd w:val="clear" w:color="auto" w:fill="FABF8F"/>
            <w:vAlign w:val="center"/>
          </w:tcPr>
          <w:p w:rsidR="001A63C6" w:rsidRPr="007B74B7" w:rsidRDefault="001A63C6" w:rsidP="001A63C6">
            <w:pPr>
              <w:pStyle w:val="TableText"/>
              <w:widowControl w:val="0"/>
              <w:rPr>
                <w:rFonts w:ascii="Tahoma" w:hAnsi="Tahoma" w:cs="Tahoma"/>
                <w:sz w:val="13"/>
                <w:lang w:val="it-IT"/>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B74B7" w:rsidRDefault="001A63C6" w:rsidP="001A63C6">
            <w:pPr>
              <w:pStyle w:val="TableText"/>
              <w:widowControl w:val="0"/>
              <w:rPr>
                <w:rFonts w:ascii="Tahoma" w:hAnsi="Tahoma" w:cs="Tahoma"/>
                <w:sz w:val="13"/>
                <w:lang w:val="it-IT"/>
              </w:rPr>
            </w:pPr>
          </w:p>
        </w:tc>
        <w:tc>
          <w:tcPr>
            <w:tcW w:w="450" w:type="dxa"/>
            <w:tcBorders>
              <w:bottom w:val="single" w:sz="4" w:space="0" w:color="auto"/>
            </w:tcBorders>
            <w:shd w:val="clear" w:color="auto" w:fill="FABF8F"/>
          </w:tcPr>
          <w:p w:rsidR="001A63C6" w:rsidRPr="007B74B7" w:rsidRDefault="001A63C6" w:rsidP="001A63C6">
            <w:pPr>
              <w:pStyle w:val="TableText"/>
              <w:widowControl w:val="0"/>
              <w:rPr>
                <w:rFonts w:ascii="Tahoma" w:hAnsi="Tahoma" w:cs="Tahoma"/>
                <w:sz w:val="13"/>
                <w:lang w:val="it-IT"/>
              </w:rPr>
            </w:pPr>
          </w:p>
        </w:tc>
        <w:tc>
          <w:tcPr>
            <w:tcW w:w="540" w:type="dxa"/>
            <w:tcBorders>
              <w:bottom w:val="single" w:sz="4" w:space="0" w:color="auto"/>
            </w:tcBorders>
            <w:shd w:val="clear" w:color="auto" w:fill="FABF8F"/>
            <w:vAlign w:val="center"/>
          </w:tcPr>
          <w:p w:rsidR="001A63C6" w:rsidRPr="007B74B7" w:rsidRDefault="001A63C6" w:rsidP="001A63C6">
            <w:pPr>
              <w:pStyle w:val="TableText"/>
              <w:widowControl w:val="0"/>
              <w:rPr>
                <w:rFonts w:ascii="Tahoma" w:hAnsi="Tahoma" w:cs="Tahoma"/>
                <w:sz w:val="13"/>
                <w:lang w:val="it-IT"/>
              </w:rPr>
            </w:pPr>
          </w:p>
        </w:tc>
      </w:tr>
      <w:tr w:rsidR="001A63C6" w:rsidRPr="00BD7CEA" w:rsidTr="007E466C">
        <w:trPr>
          <w:trHeight w:val="287"/>
        </w:trPr>
        <w:tc>
          <w:tcPr>
            <w:tcW w:w="2734" w:type="dxa"/>
            <w:gridSpan w:val="2"/>
            <w:tcBorders>
              <w:bottom w:val="single" w:sz="4" w:space="0" w:color="auto"/>
            </w:tcBorders>
            <w:shd w:val="clear" w:color="auto" w:fill="auto"/>
            <w:vAlign w:val="center"/>
          </w:tcPr>
          <w:p w:rsidR="001A63C6" w:rsidRPr="007B74B7" w:rsidRDefault="001A63C6" w:rsidP="001A63C6">
            <w:pPr>
              <w:pStyle w:val="Heading2"/>
              <w:spacing w:before="20" w:after="20"/>
              <w:ind w:left="0"/>
              <w:rPr>
                <w:rFonts w:ascii="Tahoma" w:hAnsi="Tahoma" w:cs="Tahoma"/>
                <w:b w:val="0"/>
                <w:sz w:val="14"/>
                <w:szCs w:val="14"/>
                <w:lang w:val="it-IT"/>
              </w:rPr>
            </w:pPr>
            <w:bookmarkStart w:id="520" w:name="_Toc336338117"/>
            <w:bookmarkStart w:id="521" w:name="_Toc353375896"/>
            <w:r w:rsidRPr="007B74B7">
              <w:rPr>
                <w:rFonts w:ascii="Tahoma" w:hAnsi="Tahoma" w:cs="Tahoma"/>
                <w:b w:val="0"/>
                <w:sz w:val="14"/>
                <w:lang w:val="it-IT"/>
              </w:rPr>
              <w:t>Licenza di Gestione Client per Utente per</w:t>
            </w:r>
            <w:r w:rsidR="00A030C8" w:rsidRPr="007B74B7">
              <w:rPr>
                <w:rFonts w:ascii="Tahoma" w:hAnsi="Tahoma" w:cs="Tahoma"/>
                <w:b w:val="0"/>
                <w:sz w:val="14"/>
                <w:szCs w:val="14"/>
                <w:lang w:val="it-IT"/>
              </w:rPr>
              <w:t> </w:t>
            </w:r>
            <w:r w:rsidRPr="007B74B7">
              <w:rPr>
                <w:rFonts w:ascii="Tahoma" w:hAnsi="Tahoma" w:cs="Tahoma"/>
                <w:b w:val="0"/>
                <w:sz w:val="14"/>
                <w:lang w:val="it-IT"/>
              </w:rPr>
              <w:t>Windows</w:t>
            </w:r>
            <w:r w:rsidR="00700C4B" w:rsidRPr="007B74B7">
              <w:rPr>
                <w:rFonts w:ascii="Tahoma" w:hAnsi="Tahoma" w:cs="Tahoma"/>
                <w:b w:val="0"/>
                <w:sz w:val="14"/>
                <w:vertAlign w:val="superscript"/>
                <w:lang w:val="it-IT"/>
              </w:rPr>
              <w:t>®</w:t>
            </w:r>
            <w:r w:rsidRPr="007B74B7">
              <w:rPr>
                <w:rFonts w:ascii="Tahoma" w:hAnsi="Tahoma" w:cs="Tahoma"/>
                <w:b w:val="0"/>
                <w:sz w:val="14"/>
                <w:lang w:val="it-IT"/>
              </w:rPr>
              <w:t xml:space="preserve"> Embedded Device Manager</w:t>
            </w:r>
            <w:r w:rsidR="00A030C8" w:rsidRPr="007B74B7">
              <w:rPr>
                <w:rFonts w:ascii="Tahoma" w:hAnsi="Tahoma" w:cs="Tahoma"/>
                <w:b w:val="0"/>
                <w:sz w:val="14"/>
                <w:szCs w:val="14"/>
                <w:lang w:val="it-IT"/>
              </w:rPr>
              <w:t> </w:t>
            </w:r>
            <w:r w:rsidRPr="007B74B7">
              <w:rPr>
                <w:rFonts w:ascii="Tahoma" w:hAnsi="Tahoma" w:cs="Tahoma"/>
                <w:b w:val="0"/>
                <w:sz w:val="14"/>
                <w:lang w:val="it-IT"/>
              </w:rPr>
              <w:t>2011</w:t>
            </w:r>
            <w:bookmarkEnd w:id="520"/>
            <w:bookmarkEnd w:id="521"/>
          </w:p>
        </w:tc>
        <w:tc>
          <w:tcPr>
            <w:tcW w:w="450" w:type="dxa"/>
            <w:tcBorders>
              <w:bottom w:val="single" w:sz="4" w:space="0" w:color="auto"/>
            </w:tcBorders>
            <w:shd w:val="clear" w:color="auto" w:fill="auto"/>
            <w:vAlign w:val="center"/>
          </w:tcPr>
          <w:p w:rsidR="001A63C6" w:rsidRPr="00BD7CEA" w:rsidRDefault="006E5080" w:rsidP="006E7054">
            <w:pPr>
              <w:pStyle w:val="TableText"/>
              <w:widowControl w:val="0"/>
              <w:spacing w:before="100" w:beforeAutospacing="1"/>
              <w:rPr>
                <w:rFonts w:cs="Tahoma"/>
                <w:b/>
                <w:color w:val="0000FF"/>
                <w:sz w:val="13"/>
                <w:szCs w:val="13"/>
              </w:rPr>
            </w:pPr>
            <w:hyperlink w:anchor="_97_Licenze_di" w:history="1">
              <w:r w:rsidR="00955428" w:rsidRPr="00BD7CEA">
                <w:rPr>
                  <w:rStyle w:val="Hyperlink"/>
                  <w:rFonts w:cs="Tahoma"/>
                  <w:b/>
                  <w:sz w:val="13"/>
                  <w:szCs w:val="13"/>
                </w:rPr>
                <w:t>97</w:t>
              </w:r>
            </w:hyperlink>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BD7CEA"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r>
      <w:tr w:rsidR="00B33D0E" w:rsidRPr="00BD7CEA" w:rsidTr="006B1F3F">
        <w:trPr>
          <w:trHeight w:val="287"/>
        </w:trPr>
        <w:tc>
          <w:tcPr>
            <w:tcW w:w="2734" w:type="dxa"/>
            <w:gridSpan w:val="2"/>
            <w:tcBorders>
              <w:bottom w:val="single" w:sz="4" w:space="0" w:color="auto"/>
            </w:tcBorders>
            <w:shd w:val="clear" w:color="auto" w:fill="FABF8F"/>
            <w:vAlign w:val="center"/>
          </w:tcPr>
          <w:p w:rsidR="001A63C6" w:rsidRPr="00BD7CEA" w:rsidRDefault="001A63C6" w:rsidP="001A63C6">
            <w:pPr>
              <w:pStyle w:val="Heading2"/>
              <w:spacing w:before="20" w:after="20"/>
              <w:ind w:left="0"/>
              <w:rPr>
                <w:rFonts w:ascii="Tahoma" w:hAnsi="Tahoma" w:cs="Tahoma"/>
                <w:b w:val="0"/>
                <w:sz w:val="14"/>
                <w:szCs w:val="14"/>
              </w:rPr>
            </w:pPr>
            <w:bookmarkStart w:id="522" w:name="_Toc336338118"/>
            <w:bookmarkStart w:id="523" w:name="_Toc353375897"/>
            <w:r w:rsidRPr="00BD7CEA">
              <w:rPr>
                <w:rFonts w:ascii="Tahoma" w:hAnsi="Tahoma" w:cs="Tahoma"/>
                <w:b w:val="0"/>
                <w:sz w:val="14"/>
              </w:rPr>
              <w:t>Windows</w:t>
            </w:r>
            <w:r w:rsidR="00700C4B" w:rsidRPr="00BD7CEA">
              <w:rPr>
                <w:rFonts w:ascii="Tahoma" w:hAnsi="Tahoma" w:cs="Tahoma"/>
                <w:b w:val="0"/>
                <w:sz w:val="14"/>
                <w:vertAlign w:val="superscript"/>
              </w:rPr>
              <w:t>®</w:t>
            </w:r>
            <w:r w:rsidRPr="00BD7CEA">
              <w:rPr>
                <w:rFonts w:ascii="Tahoma" w:hAnsi="Tahoma" w:cs="Tahoma"/>
                <w:b w:val="0"/>
                <w:sz w:val="14"/>
              </w:rPr>
              <w:t xml:space="preserve"> Embedded Device Manager 2011 con Tecnologia SQL Server</w:t>
            </w:r>
            <w:r w:rsidR="00700C4B" w:rsidRPr="00BD7CEA">
              <w:rPr>
                <w:rFonts w:ascii="Tahoma" w:hAnsi="Tahoma" w:cs="Tahoma"/>
                <w:b w:val="0"/>
                <w:sz w:val="14"/>
                <w:vertAlign w:val="superscript"/>
              </w:rPr>
              <w:t>®</w:t>
            </w:r>
            <w:r w:rsidRPr="00BD7CEA">
              <w:rPr>
                <w:rFonts w:ascii="Tahoma" w:hAnsi="Tahoma" w:cs="Tahoma"/>
                <w:b w:val="0"/>
                <w:sz w:val="14"/>
              </w:rPr>
              <w:t xml:space="preserve"> 2008</w:t>
            </w:r>
            <w:bookmarkEnd w:id="522"/>
            <w:bookmarkEnd w:id="523"/>
          </w:p>
        </w:tc>
        <w:tc>
          <w:tcPr>
            <w:tcW w:w="450" w:type="dxa"/>
            <w:tcBorders>
              <w:bottom w:val="single" w:sz="4" w:space="0" w:color="auto"/>
            </w:tcBorders>
            <w:shd w:val="clear" w:color="auto" w:fill="FABF8F"/>
            <w:vAlign w:val="center"/>
          </w:tcPr>
          <w:p w:rsidR="001A63C6" w:rsidRPr="00BD7CEA" w:rsidRDefault="006E5080" w:rsidP="006E7054">
            <w:pPr>
              <w:pStyle w:val="TableText"/>
              <w:widowControl w:val="0"/>
              <w:spacing w:before="100" w:beforeAutospacing="1"/>
              <w:rPr>
                <w:rFonts w:cs="Tahoma"/>
                <w:b/>
                <w:color w:val="0000FF"/>
                <w:sz w:val="13"/>
                <w:szCs w:val="13"/>
                <w:u w:val="single"/>
              </w:rPr>
            </w:pPr>
            <w:hyperlink w:anchor="_97_Licenze_di" w:history="1">
              <w:r w:rsidR="00DD73EC" w:rsidRPr="00BD7CEA">
                <w:rPr>
                  <w:rStyle w:val="Hyperlink"/>
                  <w:rFonts w:cs="Tahoma"/>
                  <w:b/>
                  <w:sz w:val="13"/>
                  <w:szCs w:val="13"/>
                </w:rPr>
                <w:t>97</w:t>
              </w:r>
            </w:hyperlink>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D7CEA"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r>
      <w:tr w:rsidR="001A63C6" w:rsidRPr="00BD7CEA" w:rsidTr="007E466C">
        <w:trPr>
          <w:trHeight w:val="287"/>
        </w:trPr>
        <w:tc>
          <w:tcPr>
            <w:tcW w:w="2734" w:type="dxa"/>
            <w:gridSpan w:val="2"/>
            <w:tcBorders>
              <w:bottom w:val="single" w:sz="4" w:space="0" w:color="auto"/>
            </w:tcBorders>
            <w:shd w:val="clear" w:color="auto" w:fill="auto"/>
            <w:vAlign w:val="center"/>
          </w:tcPr>
          <w:p w:rsidR="001A63C6" w:rsidRPr="00BD7CEA" w:rsidRDefault="001A63C6" w:rsidP="001A63C6">
            <w:pPr>
              <w:pStyle w:val="Heading2"/>
              <w:spacing w:before="20" w:after="20"/>
              <w:ind w:left="0"/>
              <w:rPr>
                <w:rFonts w:ascii="Tahoma" w:hAnsi="Tahoma" w:cs="Tahoma"/>
                <w:b w:val="0"/>
                <w:sz w:val="14"/>
                <w:szCs w:val="14"/>
              </w:rPr>
            </w:pPr>
            <w:bookmarkStart w:id="524" w:name="_Toc336338119"/>
            <w:bookmarkStart w:id="525" w:name="_Toc353375898"/>
            <w:r w:rsidRPr="00BD7CEA">
              <w:rPr>
                <w:rFonts w:ascii="Tahoma" w:hAnsi="Tahoma" w:cs="Tahoma"/>
                <w:b w:val="0"/>
                <w:sz w:val="14"/>
                <w:szCs w:val="14"/>
              </w:rPr>
              <w:t>Windows Essential Business Server 2008 Standard</w:t>
            </w:r>
            <w:bookmarkEnd w:id="524"/>
            <w:bookmarkEnd w:id="525"/>
          </w:p>
        </w:tc>
        <w:tc>
          <w:tcPr>
            <w:tcW w:w="450" w:type="dxa"/>
            <w:tcBorders>
              <w:bottom w:val="single" w:sz="4" w:space="0" w:color="auto"/>
            </w:tcBorders>
            <w:shd w:val="clear" w:color="auto" w:fill="auto"/>
            <w:vAlign w:val="center"/>
          </w:tcPr>
          <w:p w:rsidR="001A63C6" w:rsidRPr="00BD7CEA" w:rsidRDefault="006E5080" w:rsidP="006E7054">
            <w:pPr>
              <w:pStyle w:val="TableText"/>
              <w:widowControl w:val="0"/>
              <w:spacing w:before="100" w:beforeAutospacing="1"/>
              <w:rPr>
                <w:rStyle w:val="EndnoteReference"/>
                <w:rFonts w:cs="Tahoma"/>
                <w:b w:val="0"/>
                <w:color w:val="0000FF"/>
                <w:sz w:val="13"/>
                <w:szCs w:val="13"/>
                <w:u w:val="single"/>
              </w:rPr>
            </w:pPr>
            <w:hyperlink w:anchor="_98_Windows_EBS" w:history="1">
              <w:r w:rsidR="00955428" w:rsidRPr="00BD7CEA">
                <w:rPr>
                  <w:rStyle w:val="Hyperlink"/>
                  <w:rFonts w:cs="Tahoma"/>
                  <w:b/>
                  <w:sz w:val="13"/>
                  <w:szCs w:val="13"/>
                </w:rPr>
                <w:t>98</w:t>
              </w:r>
            </w:hyperlink>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BD7CEA"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r>
      <w:tr w:rsidR="00B33D0E" w:rsidRPr="00BD7CEA" w:rsidTr="006B1F3F">
        <w:trPr>
          <w:trHeight w:val="287"/>
        </w:trPr>
        <w:tc>
          <w:tcPr>
            <w:tcW w:w="2734" w:type="dxa"/>
            <w:gridSpan w:val="2"/>
            <w:tcBorders>
              <w:bottom w:val="single" w:sz="4" w:space="0" w:color="auto"/>
            </w:tcBorders>
            <w:shd w:val="clear" w:color="auto" w:fill="FABF8F"/>
            <w:vAlign w:val="center"/>
          </w:tcPr>
          <w:p w:rsidR="001A63C6" w:rsidRPr="00BD7CEA" w:rsidRDefault="001A63C6" w:rsidP="001A63C6">
            <w:pPr>
              <w:pStyle w:val="Heading2"/>
              <w:spacing w:before="20" w:after="20"/>
              <w:ind w:left="0"/>
              <w:rPr>
                <w:rFonts w:ascii="Tahoma" w:hAnsi="Tahoma" w:cs="Tahoma"/>
                <w:b w:val="0"/>
                <w:sz w:val="14"/>
                <w:szCs w:val="14"/>
              </w:rPr>
            </w:pPr>
            <w:bookmarkStart w:id="526" w:name="_Toc336338120"/>
            <w:bookmarkStart w:id="527" w:name="_Toc353375899"/>
            <w:r w:rsidRPr="00BD7CEA">
              <w:rPr>
                <w:rFonts w:ascii="Tahoma" w:hAnsi="Tahoma" w:cs="Tahoma"/>
                <w:b w:val="0"/>
                <w:sz w:val="14"/>
                <w:szCs w:val="14"/>
              </w:rPr>
              <w:t>CAL Suite per Windows Essential Business Server 2008</w:t>
            </w:r>
            <w:bookmarkEnd w:id="526"/>
            <w:bookmarkEnd w:id="527"/>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spacing w:before="100" w:beforeAutospacing="1"/>
              <w:rPr>
                <w:rStyle w:val="EndnoteReference"/>
                <w:rFonts w:ascii="Tahoma" w:hAnsi="Tahoma" w:cs="Tahoma"/>
                <w:color w:val="0000FF"/>
                <w:sz w:val="13"/>
                <w:szCs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spacing w:before="80"/>
              <w:rPr>
                <w:rFonts w:ascii="Tahoma" w:hAnsi="Tahoma" w:cs="Tahoma"/>
                <w:sz w:val="13"/>
              </w:rPr>
            </w:pPr>
            <w:r w:rsidRPr="00BD7CEA">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D7CEA"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r>
      <w:tr w:rsidR="001A63C6" w:rsidRPr="00BD7CEA" w:rsidTr="007E466C">
        <w:trPr>
          <w:trHeight w:val="287"/>
        </w:trPr>
        <w:tc>
          <w:tcPr>
            <w:tcW w:w="2734" w:type="dxa"/>
            <w:gridSpan w:val="2"/>
            <w:tcBorders>
              <w:bottom w:val="single" w:sz="4" w:space="0" w:color="auto"/>
            </w:tcBorders>
            <w:shd w:val="clear" w:color="auto" w:fill="auto"/>
            <w:vAlign w:val="center"/>
          </w:tcPr>
          <w:p w:rsidR="001A63C6" w:rsidRPr="00BD7CEA" w:rsidRDefault="001A63C6" w:rsidP="001A63C6">
            <w:pPr>
              <w:pStyle w:val="Heading2"/>
              <w:spacing w:before="20" w:after="20"/>
              <w:ind w:left="0"/>
              <w:rPr>
                <w:rFonts w:ascii="Tahoma" w:hAnsi="Tahoma" w:cs="Tahoma"/>
                <w:b w:val="0"/>
                <w:sz w:val="14"/>
                <w:szCs w:val="14"/>
              </w:rPr>
            </w:pPr>
            <w:bookmarkStart w:id="528" w:name="_Toc336338121"/>
            <w:bookmarkStart w:id="529" w:name="_Toc353375900"/>
            <w:r w:rsidRPr="00BD7CEA">
              <w:rPr>
                <w:rFonts w:ascii="Tahoma" w:hAnsi="Tahoma" w:cs="Tahoma"/>
                <w:b w:val="0"/>
                <w:sz w:val="14"/>
                <w:szCs w:val="14"/>
              </w:rPr>
              <w:t>CAL Suite per Windows Essential Business Server 2008 (5 client)</w:t>
            </w:r>
            <w:bookmarkEnd w:id="528"/>
            <w:bookmarkEnd w:id="529"/>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spacing w:before="100" w:beforeAutospacing="1"/>
              <w:rPr>
                <w:rStyle w:val="EndnoteReference"/>
                <w:rFonts w:ascii="Tahoma" w:hAnsi="Tahoma" w:cs="Tahoma"/>
                <w:color w:val="0000FF"/>
                <w:sz w:val="13"/>
                <w:szCs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spacing w:before="80"/>
              <w:rPr>
                <w:rFonts w:ascii="Tahoma" w:hAnsi="Tahoma" w:cs="Tahoma"/>
                <w:sz w:val="13"/>
              </w:rPr>
            </w:pPr>
            <w:r w:rsidRPr="00BD7CEA">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5</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P</w:t>
            </w:r>
          </w:p>
        </w:tc>
        <w:tc>
          <w:tcPr>
            <w:tcW w:w="450" w:type="dxa"/>
            <w:tcBorders>
              <w:bottom w:val="single" w:sz="4" w:space="0" w:color="auto"/>
            </w:tcBorders>
            <w:shd w:val="clear" w:color="auto" w:fill="auto"/>
          </w:tcPr>
          <w:p w:rsidR="001A63C6" w:rsidRPr="00BD7CEA"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OL</w:t>
            </w:r>
          </w:p>
        </w:tc>
      </w:tr>
      <w:tr w:rsidR="00B33D0E" w:rsidRPr="00BD7CEA" w:rsidTr="006B1F3F">
        <w:trPr>
          <w:trHeight w:val="287"/>
        </w:trPr>
        <w:tc>
          <w:tcPr>
            <w:tcW w:w="2734" w:type="dxa"/>
            <w:gridSpan w:val="2"/>
            <w:tcBorders>
              <w:bottom w:val="single" w:sz="4" w:space="0" w:color="auto"/>
            </w:tcBorders>
            <w:shd w:val="clear" w:color="auto" w:fill="FABF8F"/>
            <w:vAlign w:val="center"/>
          </w:tcPr>
          <w:p w:rsidR="001A63C6" w:rsidRPr="00BD7CEA" w:rsidRDefault="001A63C6" w:rsidP="001A63C6">
            <w:pPr>
              <w:pStyle w:val="Heading2"/>
              <w:spacing w:before="20" w:after="20"/>
              <w:ind w:left="0"/>
              <w:rPr>
                <w:rFonts w:ascii="Tahoma" w:hAnsi="Tahoma" w:cs="Tahoma"/>
                <w:b w:val="0"/>
                <w:sz w:val="14"/>
                <w:szCs w:val="14"/>
              </w:rPr>
            </w:pPr>
            <w:bookmarkStart w:id="530" w:name="_Toc336338122"/>
            <w:bookmarkStart w:id="531" w:name="_Toc353375901"/>
            <w:r w:rsidRPr="00BD7CEA">
              <w:rPr>
                <w:rFonts w:ascii="Tahoma" w:hAnsi="Tahoma" w:cs="Tahoma"/>
                <w:b w:val="0"/>
                <w:color w:val="000000"/>
                <w:sz w:val="14"/>
                <w:szCs w:val="14"/>
              </w:rPr>
              <w:t>CAL Suite per Windows Essential Business Server 2008 (20 client)</w:t>
            </w:r>
            <w:bookmarkEnd w:id="530"/>
            <w:bookmarkEnd w:id="531"/>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spacing w:before="100" w:beforeAutospacing="1"/>
              <w:rPr>
                <w:rStyle w:val="EndnoteReference"/>
                <w:rFonts w:ascii="Tahoma" w:hAnsi="Tahoma" w:cs="Tahoma"/>
                <w:color w:val="0000FF"/>
                <w:sz w:val="13"/>
                <w:szCs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spacing w:before="80"/>
              <w:rPr>
                <w:rFonts w:ascii="Tahoma" w:hAnsi="Tahoma" w:cs="Tahoma"/>
                <w:sz w:val="13"/>
              </w:rPr>
            </w:pPr>
            <w:r w:rsidRPr="00BD7CEA">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25</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P</w:t>
            </w:r>
          </w:p>
        </w:tc>
        <w:tc>
          <w:tcPr>
            <w:tcW w:w="450" w:type="dxa"/>
            <w:tcBorders>
              <w:bottom w:val="single" w:sz="4" w:space="0" w:color="auto"/>
            </w:tcBorders>
            <w:shd w:val="clear" w:color="auto" w:fill="FABF8F"/>
          </w:tcPr>
          <w:p w:rsidR="001A63C6" w:rsidRPr="00BD7CEA"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OL</w:t>
            </w:r>
          </w:p>
        </w:tc>
      </w:tr>
      <w:tr w:rsidR="001A63C6" w:rsidRPr="00BD7CEA" w:rsidTr="007E466C">
        <w:trPr>
          <w:trHeight w:val="287"/>
        </w:trPr>
        <w:tc>
          <w:tcPr>
            <w:tcW w:w="2734" w:type="dxa"/>
            <w:gridSpan w:val="2"/>
            <w:tcBorders>
              <w:bottom w:val="single" w:sz="4" w:space="0" w:color="auto"/>
            </w:tcBorders>
            <w:shd w:val="clear" w:color="auto" w:fill="auto"/>
            <w:vAlign w:val="center"/>
          </w:tcPr>
          <w:p w:rsidR="001A63C6" w:rsidRPr="00BD7CEA" w:rsidRDefault="001A63C6" w:rsidP="001A63C6">
            <w:pPr>
              <w:pStyle w:val="Heading2"/>
              <w:spacing w:before="20" w:after="20"/>
              <w:ind w:left="0"/>
              <w:rPr>
                <w:rFonts w:ascii="Tahoma" w:hAnsi="Tahoma" w:cs="Tahoma"/>
                <w:b w:val="0"/>
                <w:sz w:val="14"/>
                <w:szCs w:val="14"/>
              </w:rPr>
            </w:pPr>
            <w:bookmarkStart w:id="532" w:name="_Toc336338123"/>
            <w:bookmarkStart w:id="533" w:name="_Toc353375902"/>
            <w:r w:rsidRPr="00BD7CEA">
              <w:rPr>
                <w:rFonts w:ascii="Tahoma" w:hAnsi="Tahoma" w:cs="Tahoma"/>
                <w:b w:val="0"/>
                <w:sz w:val="14"/>
                <w:szCs w:val="14"/>
              </w:rPr>
              <w:t>CAL Suite per Windows Essential Business Server 2008 (50 client)</w:t>
            </w:r>
            <w:bookmarkEnd w:id="532"/>
            <w:bookmarkEnd w:id="533"/>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spacing w:before="100" w:beforeAutospacing="1"/>
              <w:rPr>
                <w:rStyle w:val="EndnoteReference"/>
                <w:rFonts w:ascii="Tahoma" w:hAnsi="Tahoma" w:cs="Tahoma"/>
                <w:color w:val="0000FF"/>
                <w:sz w:val="13"/>
                <w:szCs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spacing w:before="80"/>
              <w:rPr>
                <w:rFonts w:ascii="Tahoma" w:hAnsi="Tahoma" w:cs="Tahoma"/>
                <w:sz w:val="13"/>
              </w:rPr>
            </w:pPr>
            <w:r w:rsidRPr="00BD7CEA">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50</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P</w:t>
            </w:r>
          </w:p>
        </w:tc>
        <w:tc>
          <w:tcPr>
            <w:tcW w:w="450" w:type="dxa"/>
            <w:tcBorders>
              <w:bottom w:val="single" w:sz="4" w:space="0" w:color="auto"/>
            </w:tcBorders>
            <w:shd w:val="clear" w:color="auto" w:fill="auto"/>
          </w:tcPr>
          <w:p w:rsidR="001A63C6" w:rsidRPr="00BD7CEA"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OL</w:t>
            </w:r>
          </w:p>
        </w:tc>
      </w:tr>
      <w:tr w:rsidR="00B33D0E" w:rsidRPr="00BD7CEA" w:rsidTr="006B1F3F">
        <w:trPr>
          <w:trHeight w:val="287"/>
        </w:trPr>
        <w:tc>
          <w:tcPr>
            <w:tcW w:w="2734" w:type="dxa"/>
            <w:gridSpan w:val="2"/>
            <w:tcBorders>
              <w:bottom w:val="single" w:sz="4" w:space="0" w:color="auto"/>
            </w:tcBorders>
            <w:shd w:val="clear" w:color="auto" w:fill="FABF8F"/>
            <w:vAlign w:val="center"/>
          </w:tcPr>
          <w:p w:rsidR="001A63C6" w:rsidRPr="00BD7CEA" w:rsidRDefault="001A63C6" w:rsidP="001A63C6">
            <w:pPr>
              <w:pStyle w:val="Heading2"/>
              <w:spacing w:before="20" w:after="20"/>
              <w:ind w:left="0"/>
              <w:rPr>
                <w:rFonts w:ascii="Tahoma" w:hAnsi="Tahoma" w:cs="Tahoma"/>
                <w:b w:val="0"/>
                <w:sz w:val="14"/>
                <w:szCs w:val="14"/>
              </w:rPr>
            </w:pPr>
            <w:bookmarkStart w:id="534" w:name="_Toc336338124"/>
            <w:bookmarkStart w:id="535" w:name="_Toc353375903"/>
            <w:r w:rsidRPr="00BD7CEA">
              <w:rPr>
                <w:rFonts w:ascii="Tahoma" w:hAnsi="Tahoma" w:cs="Tahoma"/>
                <w:b w:val="0"/>
                <w:sz w:val="14"/>
                <w:szCs w:val="14"/>
              </w:rPr>
              <w:lastRenderedPageBreak/>
              <w:t>Windows Essential Business Server 2008 Premium</w:t>
            </w:r>
            <w:bookmarkEnd w:id="534"/>
            <w:bookmarkEnd w:id="535"/>
            <w:r w:rsidRPr="00BD7CEA">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rsidR="001A63C6" w:rsidRPr="00BD7CEA" w:rsidRDefault="006E5080" w:rsidP="006E7054">
            <w:pPr>
              <w:pStyle w:val="TableText"/>
              <w:widowControl w:val="0"/>
              <w:spacing w:before="100" w:beforeAutospacing="1"/>
              <w:rPr>
                <w:rStyle w:val="EndnoteReference"/>
                <w:rFonts w:cs="Tahoma"/>
                <w:b w:val="0"/>
                <w:color w:val="0000FF"/>
                <w:sz w:val="13"/>
                <w:szCs w:val="13"/>
                <w:u w:val="single"/>
              </w:rPr>
            </w:pPr>
            <w:hyperlink w:anchor="_98_Windows_EBS" w:history="1">
              <w:r w:rsidR="00DD73EC" w:rsidRPr="00BD7CEA">
                <w:rPr>
                  <w:rStyle w:val="Hyperlink"/>
                  <w:rFonts w:cs="Tahoma"/>
                  <w:b/>
                  <w:sz w:val="13"/>
                  <w:szCs w:val="13"/>
                </w:rPr>
                <w:t>98</w:t>
              </w:r>
            </w:hyperlink>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D7CEA"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r>
      <w:tr w:rsidR="00B33D0E" w:rsidRPr="00BD7CEA" w:rsidTr="006B1F3F">
        <w:trPr>
          <w:trHeight w:val="287"/>
        </w:trPr>
        <w:tc>
          <w:tcPr>
            <w:tcW w:w="2734" w:type="dxa"/>
            <w:gridSpan w:val="2"/>
            <w:tcBorders>
              <w:bottom w:val="single" w:sz="4" w:space="0" w:color="auto"/>
            </w:tcBorders>
            <w:shd w:val="clear" w:color="auto" w:fill="FFFFFF"/>
            <w:vAlign w:val="center"/>
          </w:tcPr>
          <w:p w:rsidR="001A63C6" w:rsidRPr="007B74B7" w:rsidRDefault="001A63C6" w:rsidP="001A63C6">
            <w:pPr>
              <w:pStyle w:val="Heading2"/>
              <w:spacing w:before="20" w:after="20"/>
              <w:ind w:left="0"/>
              <w:rPr>
                <w:rFonts w:ascii="Tahoma" w:hAnsi="Tahoma" w:cs="Tahoma"/>
                <w:b w:val="0"/>
                <w:sz w:val="14"/>
                <w:szCs w:val="14"/>
                <w:lang w:val="it-IT"/>
              </w:rPr>
            </w:pPr>
            <w:bookmarkStart w:id="536" w:name="_Toc336338125"/>
            <w:bookmarkStart w:id="537" w:name="_Toc353375904"/>
            <w:r w:rsidRPr="007B74B7">
              <w:rPr>
                <w:rFonts w:ascii="Tahoma" w:hAnsi="Tahoma" w:cs="Tahoma"/>
                <w:b w:val="0"/>
                <w:sz w:val="14"/>
                <w:szCs w:val="14"/>
                <w:lang w:val="it-IT"/>
              </w:rPr>
              <w:t>CAL Suite per Windows Essential Business Server 2008 per Utenti o Dispositivi Premium</w:t>
            </w:r>
            <w:bookmarkEnd w:id="536"/>
            <w:bookmarkEnd w:id="537"/>
            <w:r w:rsidRPr="007B74B7">
              <w:rPr>
                <w:rFonts w:ascii="Tahoma" w:hAnsi="Tahoma" w:cs="Tahoma"/>
                <w:b w:val="0"/>
                <w:sz w:val="14"/>
                <w:szCs w:val="14"/>
                <w:lang w:val="it-IT"/>
              </w:rPr>
              <w:t xml:space="preserve"> </w:t>
            </w:r>
          </w:p>
        </w:tc>
        <w:tc>
          <w:tcPr>
            <w:tcW w:w="450" w:type="dxa"/>
            <w:tcBorders>
              <w:bottom w:val="single" w:sz="4" w:space="0" w:color="auto"/>
            </w:tcBorders>
            <w:shd w:val="clear" w:color="auto" w:fill="FFFFFF"/>
            <w:vAlign w:val="center"/>
          </w:tcPr>
          <w:p w:rsidR="001A63C6" w:rsidRPr="007B74B7" w:rsidRDefault="001A63C6" w:rsidP="001A63C6">
            <w:pPr>
              <w:pStyle w:val="TableText"/>
              <w:widowControl w:val="0"/>
              <w:spacing w:before="100" w:beforeAutospacing="1"/>
              <w:rPr>
                <w:rStyle w:val="EndnoteReference"/>
                <w:rFonts w:ascii="Tahoma" w:hAnsi="Tahoma" w:cs="Tahoma"/>
                <w:sz w:val="13"/>
                <w:lang w:val="it-IT"/>
              </w:rPr>
            </w:pPr>
          </w:p>
        </w:tc>
        <w:tc>
          <w:tcPr>
            <w:tcW w:w="450" w:type="dxa"/>
            <w:tcBorders>
              <w:bottom w:val="single" w:sz="4" w:space="0" w:color="auto"/>
            </w:tcBorders>
            <w:shd w:val="clear" w:color="auto" w:fill="FFFFFF"/>
            <w:vAlign w:val="center"/>
          </w:tcPr>
          <w:p w:rsidR="001A63C6" w:rsidRPr="00BD7CEA" w:rsidRDefault="001A63C6" w:rsidP="001A63C6">
            <w:pPr>
              <w:pStyle w:val="TableText"/>
              <w:widowControl w:val="0"/>
              <w:spacing w:before="80"/>
              <w:rPr>
                <w:rFonts w:ascii="Tahoma" w:hAnsi="Tahoma" w:cs="Tahoma"/>
                <w:sz w:val="13"/>
              </w:rPr>
            </w:pPr>
            <w:r w:rsidRPr="00BD7CEA">
              <w:rPr>
                <w:rFonts w:ascii="Tahoma" w:hAnsi="Tahoma" w:cs="Tahoma"/>
                <w:sz w:val="13"/>
              </w:rPr>
              <w:t>11/08</w:t>
            </w:r>
          </w:p>
        </w:tc>
        <w:tc>
          <w:tcPr>
            <w:tcW w:w="360" w:type="dxa"/>
            <w:tcBorders>
              <w:bottom w:val="single" w:sz="4" w:space="0" w:color="auto"/>
              <w:right w:val="single" w:sz="18" w:space="0" w:color="auto"/>
            </w:tcBorders>
            <w:shd w:val="clear" w:color="auto" w:fill="FFFFF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BD7CE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cPr>
          <w:p w:rsidR="001A63C6" w:rsidRPr="00BD7CEA"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vAlign w:val="center"/>
          </w:tcPr>
          <w:p w:rsidR="001A63C6" w:rsidRPr="00BD7CEA" w:rsidRDefault="001A63C6" w:rsidP="001A63C6">
            <w:pPr>
              <w:pStyle w:val="TableText"/>
              <w:widowControl w:val="0"/>
              <w:rPr>
                <w:rFonts w:ascii="Tahoma" w:hAnsi="Tahoma" w:cs="Tahoma"/>
                <w:sz w:val="13"/>
              </w:rPr>
            </w:pPr>
          </w:p>
        </w:tc>
      </w:tr>
      <w:tr w:rsidR="00B33D0E" w:rsidRPr="00BD7CEA" w:rsidTr="006B1F3F">
        <w:trPr>
          <w:trHeight w:val="287"/>
        </w:trPr>
        <w:tc>
          <w:tcPr>
            <w:tcW w:w="2734" w:type="dxa"/>
            <w:gridSpan w:val="2"/>
            <w:tcBorders>
              <w:bottom w:val="single" w:sz="4" w:space="0" w:color="auto"/>
            </w:tcBorders>
            <w:shd w:val="clear" w:color="auto" w:fill="FABF8F"/>
            <w:vAlign w:val="center"/>
          </w:tcPr>
          <w:p w:rsidR="001A63C6" w:rsidRPr="007B74B7" w:rsidRDefault="001A63C6" w:rsidP="001A63C6">
            <w:pPr>
              <w:pStyle w:val="Heading2"/>
              <w:spacing w:before="20" w:after="20"/>
              <w:ind w:left="0"/>
              <w:rPr>
                <w:rFonts w:ascii="Tahoma" w:hAnsi="Tahoma" w:cs="Tahoma"/>
                <w:b w:val="0"/>
                <w:sz w:val="14"/>
                <w:szCs w:val="14"/>
                <w:lang w:val="it-IT"/>
              </w:rPr>
            </w:pPr>
            <w:bookmarkStart w:id="538" w:name="_Toc336338126"/>
            <w:bookmarkStart w:id="539" w:name="_Toc353375905"/>
            <w:r w:rsidRPr="007B74B7">
              <w:rPr>
                <w:rFonts w:ascii="Tahoma" w:hAnsi="Tahoma" w:cs="Tahoma"/>
                <w:b w:val="0"/>
                <w:sz w:val="14"/>
                <w:szCs w:val="14"/>
                <w:lang w:val="it-IT"/>
              </w:rPr>
              <w:t>CAL Suite per Windows Essential Business Server 2008 per Utenti o Dispositivi Premium (5 client)</w:t>
            </w:r>
            <w:bookmarkEnd w:id="538"/>
            <w:bookmarkEnd w:id="539"/>
          </w:p>
        </w:tc>
        <w:tc>
          <w:tcPr>
            <w:tcW w:w="450" w:type="dxa"/>
            <w:tcBorders>
              <w:bottom w:val="single" w:sz="4" w:space="0" w:color="auto"/>
            </w:tcBorders>
            <w:shd w:val="clear" w:color="auto" w:fill="FABF8F"/>
            <w:vAlign w:val="center"/>
          </w:tcPr>
          <w:p w:rsidR="001A63C6" w:rsidRPr="007B74B7" w:rsidRDefault="001A63C6" w:rsidP="001A63C6">
            <w:pPr>
              <w:pStyle w:val="TableText"/>
              <w:widowControl w:val="0"/>
              <w:spacing w:before="100" w:beforeAutospacing="1"/>
              <w:rPr>
                <w:rStyle w:val="EndnoteReference"/>
                <w:rFonts w:ascii="Tahoma" w:hAnsi="Tahoma" w:cs="Tahoma"/>
                <w:sz w:val="13"/>
                <w:lang w:val="it-IT"/>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spacing w:before="200"/>
              <w:rPr>
                <w:rFonts w:ascii="Tahoma" w:hAnsi="Tahoma" w:cs="Tahoma"/>
                <w:sz w:val="13"/>
              </w:rPr>
            </w:pPr>
            <w:r w:rsidRPr="00BD7CEA">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15</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P</w:t>
            </w:r>
          </w:p>
        </w:tc>
        <w:tc>
          <w:tcPr>
            <w:tcW w:w="450" w:type="dxa"/>
            <w:tcBorders>
              <w:bottom w:val="single" w:sz="4" w:space="0" w:color="auto"/>
            </w:tcBorders>
            <w:shd w:val="clear" w:color="auto" w:fill="FABF8F"/>
          </w:tcPr>
          <w:p w:rsidR="001A63C6" w:rsidRPr="00BD7CEA"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OL</w:t>
            </w:r>
          </w:p>
        </w:tc>
      </w:tr>
      <w:tr w:rsidR="00B33D0E" w:rsidRPr="00BD7CEA" w:rsidTr="006B1F3F">
        <w:trPr>
          <w:trHeight w:val="287"/>
        </w:trPr>
        <w:tc>
          <w:tcPr>
            <w:tcW w:w="2734" w:type="dxa"/>
            <w:gridSpan w:val="2"/>
            <w:tcBorders>
              <w:bottom w:val="single" w:sz="4" w:space="0" w:color="auto"/>
            </w:tcBorders>
            <w:shd w:val="clear" w:color="auto" w:fill="FFFFFF"/>
            <w:vAlign w:val="center"/>
          </w:tcPr>
          <w:p w:rsidR="001A63C6" w:rsidRPr="007B74B7" w:rsidRDefault="001A63C6" w:rsidP="001A63C6">
            <w:pPr>
              <w:pStyle w:val="Heading2"/>
              <w:spacing w:before="20" w:after="20"/>
              <w:ind w:left="0"/>
              <w:rPr>
                <w:rFonts w:ascii="Tahoma" w:hAnsi="Tahoma" w:cs="Tahoma"/>
                <w:b w:val="0"/>
                <w:sz w:val="14"/>
                <w:szCs w:val="14"/>
                <w:lang w:val="it-IT"/>
              </w:rPr>
            </w:pPr>
            <w:bookmarkStart w:id="540" w:name="_Toc336338127"/>
            <w:bookmarkStart w:id="541" w:name="_Toc353375906"/>
            <w:r w:rsidRPr="007B74B7">
              <w:rPr>
                <w:rFonts w:ascii="Tahoma" w:hAnsi="Tahoma" w:cs="Tahoma"/>
                <w:b w:val="0"/>
                <w:sz w:val="14"/>
                <w:szCs w:val="14"/>
                <w:lang w:val="it-IT"/>
              </w:rPr>
              <w:t>CAL Suite per Windows Essential Business Server 2008 per Utenti o Dispositivi Premium (20 client)</w:t>
            </w:r>
            <w:bookmarkEnd w:id="540"/>
            <w:bookmarkEnd w:id="541"/>
          </w:p>
        </w:tc>
        <w:tc>
          <w:tcPr>
            <w:tcW w:w="450" w:type="dxa"/>
            <w:tcBorders>
              <w:bottom w:val="single" w:sz="4" w:space="0" w:color="auto"/>
            </w:tcBorders>
            <w:shd w:val="clear" w:color="auto" w:fill="FFFFFF"/>
            <w:vAlign w:val="center"/>
          </w:tcPr>
          <w:p w:rsidR="001A63C6" w:rsidRPr="007B74B7" w:rsidRDefault="001A63C6" w:rsidP="001A63C6">
            <w:pPr>
              <w:pStyle w:val="TableText"/>
              <w:widowControl w:val="0"/>
              <w:spacing w:before="100" w:beforeAutospacing="1"/>
              <w:rPr>
                <w:rStyle w:val="EndnoteReference"/>
                <w:rFonts w:ascii="Tahoma" w:hAnsi="Tahoma" w:cs="Tahoma"/>
                <w:sz w:val="13"/>
                <w:lang w:val="it-IT"/>
              </w:rPr>
            </w:pPr>
          </w:p>
        </w:tc>
        <w:tc>
          <w:tcPr>
            <w:tcW w:w="450" w:type="dxa"/>
            <w:tcBorders>
              <w:bottom w:val="single" w:sz="4" w:space="0" w:color="auto"/>
            </w:tcBorders>
            <w:shd w:val="clear" w:color="auto" w:fill="FFFFFF"/>
            <w:vAlign w:val="center"/>
          </w:tcPr>
          <w:p w:rsidR="001A63C6" w:rsidRPr="00BD7CEA" w:rsidRDefault="001A63C6" w:rsidP="001A63C6">
            <w:pPr>
              <w:pStyle w:val="TableText"/>
              <w:widowControl w:val="0"/>
              <w:spacing w:before="160"/>
              <w:rPr>
                <w:rFonts w:ascii="Tahoma" w:hAnsi="Tahoma" w:cs="Tahoma"/>
                <w:sz w:val="13"/>
              </w:rPr>
            </w:pPr>
            <w:r w:rsidRPr="00BD7CEA">
              <w:rPr>
                <w:rFonts w:ascii="Tahoma" w:hAnsi="Tahoma" w:cs="Tahoma"/>
                <w:sz w:val="13"/>
              </w:rPr>
              <w:t>11/08</w:t>
            </w:r>
          </w:p>
        </w:tc>
        <w:tc>
          <w:tcPr>
            <w:tcW w:w="360" w:type="dxa"/>
            <w:tcBorders>
              <w:bottom w:val="single" w:sz="4" w:space="0" w:color="auto"/>
              <w:right w:val="single" w:sz="18" w:space="0" w:color="auto"/>
            </w:tcBorders>
            <w:shd w:val="clear" w:color="auto" w:fill="FFFFF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BD7CE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50</w:t>
            </w:r>
          </w:p>
        </w:tc>
        <w:tc>
          <w:tcPr>
            <w:tcW w:w="450" w:type="dxa"/>
            <w:tcBorders>
              <w:bottom w:val="single" w:sz="4" w:space="0" w:color="auto"/>
            </w:tcBorders>
            <w:shd w:val="clear" w:color="auto" w:fill="FFFFF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P</w:t>
            </w:r>
          </w:p>
        </w:tc>
        <w:tc>
          <w:tcPr>
            <w:tcW w:w="450" w:type="dxa"/>
            <w:tcBorders>
              <w:bottom w:val="single" w:sz="4" w:space="0" w:color="auto"/>
            </w:tcBorders>
            <w:shd w:val="clear" w:color="auto" w:fill="FFFFFF"/>
          </w:tcPr>
          <w:p w:rsidR="001A63C6" w:rsidRPr="00BD7CEA"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OL</w:t>
            </w:r>
          </w:p>
        </w:tc>
      </w:tr>
      <w:tr w:rsidR="00B33D0E" w:rsidRPr="00BD7CEA" w:rsidTr="006B1F3F">
        <w:trPr>
          <w:trHeight w:val="287"/>
        </w:trPr>
        <w:tc>
          <w:tcPr>
            <w:tcW w:w="2734" w:type="dxa"/>
            <w:gridSpan w:val="2"/>
            <w:tcBorders>
              <w:bottom w:val="single" w:sz="4" w:space="0" w:color="auto"/>
            </w:tcBorders>
            <w:shd w:val="clear" w:color="auto" w:fill="FABF8F"/>
            <w:vAlign w:val="center"/>
          </w:tcPr>
          <w:p w:rsidR="001A63C6" w:rsidRPr="007B74B7" w:rsidRDefault="001A63C6" w:rsidP="001A63C6">
            <w:pPr>
              <w:pStyle w:val="Heading2"/>
              <w:spacing w:before="20" w:after="20"/>
              <w:ind w:left="0"/>
              <w:rPr>
                <w:rFonts w:ascii="Tahoma" w:hAnsi="Tahoma" w:cs="Tahoma"/>
                <w:b w:val="0"/>
                <w:sz w:val="14"/>
                <w:szCs w:val="14"/>
                <w:lang w:val="it-IT"/>
              </w:rPr>
            </w:pPr>
            <w:bookmarkStart w:id="542" w:name="_Toc336338128"/>
            <w:bookmarkStart w:id="543" w:name="_Toc353375907"/>
            <w:r w:rsidRPr="007B74B7">
              <w:rPr>
                <w:rFonts w:ascii="Tahoma" w:hAnsi="Tahoma" w:cs="Tahoma"/>
                <w:b w:val="0"/>
                <w:sz w:val="14"/>
                <w:szCs w:val="14"/>
                <w:lang w:val="it-IT"/>
              </w:rPr>
              <w:t>CAL Suite per Windows Essential Business Server 2008 per Utenti o Dispositivi Premium (50 client)</w:t>
            </w:r>
            <w:bookmarkEnd w:id="542"/>
            <w:bookmarkEnd w:id="543"/>
          </w:p>
        </w:tc>
        <w:tc>
          <w:tcPr>
            <w:tcW w:w="450" w:type="dxa"/>
            <w:tcBorders>
              <w:bottom w:val="single" w:sz="4" w:space="0" w:color="auto"/>
            </w:tcBorders>
            <w:shd w:val="clear" w:color="auto" w:fill="FABF8F"/>
            <w:vAlign w:val="center"/>
          </w:tcPr>
          <w:p w:rsidR="001A63C6" w:rsidRPr="007B74B7" w:rsidRDefault="001A63C6" w:rsidP="001A63C6">
            <w:pPr>
              <w:pStyle w:val="TableText"/>
              <w:widowControl w:val="0"/>
              <w:spacing w:before="100" w:beforeAutospacing="1"/>
              <w:rPr>
                <w:rStyle w:val="EndnoteReference"/>
                <w:rFonts w:cs="Tahoma"/>
                <w:color w:val="0000FF"/>
                <w:sz w:val="13"/>
                <w:lang w:val="it-IT"/>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spacing w:before="180"/>
              <w:rPr>
                <w:rFonts w:ascii="Tahoma" w:hAnsi="Tahoma" w:cs="Tahoma"/>
                <w:sz w:val="13"/>
              </w:rPr>
            </w:pPr>
            <w:r w:rsidRPr="00BD7CEA">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75</w:t>
            </w: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P</w:t>
            </w:r>
          </w:p>
        </w:tc>
        <w:tc>
          <w:tcPr>
            <w:tcW w:w="450" w:type="dxa"/>
            <w:tcBorders>
              <w:bottom w:val="single" w:sz="4" w:space="0" w:color="auto"/>
            </w:tcBorders>
            <w:shd w:val="clear" w:color="auto" w:fill="FABF8F"/>
          </w:tcPr>
          <w:p w:rsidR="001A63C6" w:rsidRPr="00BD7CEA"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OL</w:t>
            </w:r>
          </w:p>
        </w:tc>
      </w:tr>
      <w:tr w:rsidR="00B33D0E" w:rsidRPr="00BD7CEA" w:rsidTr="006B1F3F">
        <w:trPr>
          <w:trHeight w:val="145"/>
        </w:trPr>
        <w:tc>
          <w:tcPr>
            <w:tcW w:w="2734" w:type="dxa"/>
            <w:gridSpan w:val="2"/>
            <w:tcBorders>
              <w:bottom w:val="single" w:sz="4" w:space="0" w:color="auto"/>
            </w:tcBorders>
            <w:shd w:val="clear" w:color="auto" w:fill="FFFFFF"/>
            <w:vAlign w:val="center"/>
          </w:tcPr>
          <w:p w:rsidR="001A63C6" w:rsidRPr="00BD7CEA" w:rsidRDefault="001A63C6" w:rsidP="001A63C6">
            <w:pPr>
              <w:pStyle w:val="Heading2"/>
              <w:spacing w:before="20" w:after="20"/>
              <w:ind w:left="0"/>
              <w:rPr>
                <w:rFonts w:ascii="Tahoma" w:hAnsi="Tahoma" w:cs="Tahoma"/>
                <w:b w:val="0"/>
                <w:sz w:val="14"/>
                <w:szCs w:val="14"/>
              </w:rPr>
            </w:pPr>
            <w:bookmarkStart w:id="544" w:name="_Toc336338129"/>
            <w:bookmarkStart w:id="545" w:name="_Toc353375908"/>
            <w:r w:rsidRPr="00BD7CEA">
              <w:rPr>
                <w:rFonts w:ascii="Tahoma" w:hAnsi="Tahoma" w:cs="Tahoma"/>
                <w:b w:val="0"/>
                <w:sz w:val="14"/>
                <w:szCs w:val="14"/>
              </w:rPr>
              <w:t>Windows HPC Server 2008 R2 Suite</w:t>
            </w:r>
            <w:bookmarkEnd w:id="544"/>
            <w:bookmarkEnd w:id="545"/>
            <w:r w:rsidRPr="00BD7CEA">
              <w:rPr>
                <w:rFonts w:ascii="Tahoma" w:hAnsi="Tahoma" w:cs="Tahoma"/>
                <w:b w:val="0"/>
                <w:sz w:val="14"/>
                <w:szCs w:val="14"/>
              </w:rPr>
              <w:t xml:space="preserve"> </w:t>
            </w:r>
          </w:p>
        </w:tc>
        <w:tc>
          <w:tcPr>
            <w:tcW w:w="450" w:type="dxa"/>
            <w:tcBorders>
              <w:bottom w:val="single" w:sz="4" w:space="0" w:color="auto"/>
            </w:tcBorders>
            <w:shd w:val="clear" w:color="auto" w:fill="FFFFFF"/>
            <w:vAlign w:val="center"/>
          </w:tcPr>
          <w:p w:rsidR="001A63C6" w:rsidRPr="00BD7CEA" w:rsidRDefault="006E5080" w:rsidP="006E7054">
            <w:pPr>
              <w:pStyle w:val="TableText"/>
              <w:widowControl w:val="0"/>
              <w:rPr>
                <w:b/>
                <w:sz w:val="13"/>
                <w:szCs w:val="13"/>
                <w:u w:val="single"/>
              </w:rPr>
            </w:pPr>
            <w:hyperlink w:anchor="_99_Windows_HPC" w:history="1">
              <w:r w:rsidR="00955428" w:rsidRPr="00BD7CEA">
                <w:rPr>
                  <w:rStyle w:val="Hyperlink"/>
                  <w:b/>
                  <w:sz w:val="13"/>
                  <w:szCs w:val="13"/>
                </w:rPr>
                <w:t>99</w:t>
              </w:r>
            </w:hyperlink>
          </w:p>
        </w:tc>
        <w:tc>
          <w:tcPr>
            <w:tcW w:w="450" w:type="dxa"/>
            <w:tcBorders>
              <w:bottom w:val="single" w:sz="4" w:space="0" w:color="auto"/>
            </w:tcBorders>
            <w:shd w:val="clear" w:color="auto" w:fill="FFFFFF"/>
            <w:vAlign w:val="center"/>
          </w:tcPr>
          <w:p w:rsidR="001A63C6" w:rsidRPr="00BD7CEA" w:rsidRDefault="001A63C6" w:rsidP="007E466C">
            <w:pPr>
              <w:pStyle w:val="TableText"/>
              <w:widowControl w:val="0"/>
              <w:rPr>
                <w:rFonts w:ascii="Tahoma" w:hAnsi="Tahoma" w:cs="Tahoma"/>
                <w:color w:val="000000"/>
                <w:sz w:val="13"/>
              </w:rPr>
            </w:pPr>
            <w:r w:rsidRPr="00BD7CEA">
              <w:rPr>
                <w:rFonts w:ascii="Tahoma" w:hAnsi="Tahoma" w:cs="Tahoma"/>
                <w:color w:val="000000"/>
                <w:sz w:val="13"/>
              </w:rPr>
              <w:t>09/10</w:t>
            </w:r>
          </w:p>
        </w:tc>
        <w:tc>
          <w:tcPr>
            <w:tcW w:w="360" w:type="dxa"/>
            <w:tcBorders>
              <w:bottom w:val="single" w:sz="4" w:space="0" w:color="auto"/>
              <w:right w:val="single" w:sz="18" w:space="0" w:color="auto"/>
            </w:tcBorders>
            <w:shd w:val="clear" w:color="auto" w:fill="FFFFFF"/>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BD7CE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cPr>
          <w:p w:rsidR="001A63C6" w:rsidRPr="00BD7CEA"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FFFFF"/>
            <w:vAlign w:val="center"/>
          </w:tcPr>
          <w:p w:rsidR="001A63C6" w:rsidRPr="00BD7CEA" w:rsidRDefault="001A63C6" w:rsidP="001A63C6">
            <w:pPr>
              <w:pStyle w:val="TableText"/>
              <w:widowControl w:val="0"/>
              <w:rPr>
                <w:rFonts w:ascii="Tahoma" w:hAnsi="Tahoma" w:cs="Tahoma"/>
                <w:color w:val="000000"/>
                <w:sz w:val="13"/>
              </w:rPr>
            </w:pPr>
          </w:p>
        </w:tc>
      </w:tr>
      <w:tr w:rsidR="00B33D0E" w:rsidRPr="00BD7CEA" w:rsidTr="006B1F3F">
        <w:trPr>
          <w:trHeight w:val="145"/>
        </w:trPr>
        <w:tc>
          <w:tcPr>
            <w:tcW w:w="2734" w:type="dxa"/>
            <w:gridSpan w:val="2"/>
            <w:tcBorders>
              <w:bottom w:val="single" w:sz="4" w:space="0" w:color="auto"/>
            </w:tcBorders>
            <w:shd w:val="clear" w:color="auto" w:fill="FABF8F"/>
            <w:vAlign w:val="center"/>
          </w:tcPr>
          <w:p w:rsidR="001A63C6" w:rsidRPr="00BD7CEA" w:rsidRDefault="001A63C6" w:rsidP="001A63C6">
            <w:pPr>
              <w:pStyle w:val="Heading2"/>
              <w:spacing w:before="20" w:after="20"/>
              <w:ind w:left="0"/>
              <w:rPr>
                <w:rFonts w:ascii="Tahoma" w:hAnsi="Tahoma" w:cs="Tahoma"/>
                <w:b w:val="0"/>
                <w:sz w:val="14"/>
                <w:szCs w:val="14"/>
              </w:rPr>
            </w:pPr>
            <w:bookmarkStart w:id="546" w:name="_Toc353375909"/>
            <w:r w:rsidRPr="00BD7CEA">
              <w:rPr>
                <w:rFonts w:ascii="Tahoma" w:hAnsi="Tahoma" w:cs="Tahoma"/>
                <w:b w:val="0"/>
                <w:sz w:val="14"/>
              </w:rPr>
              <w:t>Componente Aggiuntivo per Windows Intune per System Center Configuration Manager e System Center EndPoint Protection (Per Utente)</w:t>
            </w:r>
            <w:bookmarkEnd w:id="546"/>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b/>
                <w:sz w:val="13"/>
                <w:szCs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spacing w:before="80"/>
              <w:rPr>
                <w:rFonts w:ascii="Tahoma" w:hAnsi="Tahoma" w:cs="Tahoma"/>
                <w:color w:val="000000"/>
                <w:sz w:val="13"/>
              </w:rPr>
            </w:pPr>
            <w:r w:rsidRPr="00BD7CEA">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 ST</w:t>
            </w:r>
          </w:p>
        </w:tc>
        <w:tc>
          <w:tcPr>
            <w:tcW w:w="54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r>
      <w:tr w:rsidR="001A63C6" w:rsidRPr="00BD7CEA" w:rsidTr="007E466C">
        <w:trPr>
          <w:trHeight w:val="145"/>
        </w:trPr>
        <w:tc>
          <w:tcPr>
            <w:tcW w:w="2734" w:type="dxa"/>
            <w:gridSpan w:val="2"/>
            <w:tcBorders>
              <w:bottom w:val="single" w:sz="4" w:space="0" w:color="auto"/>
            </w:tcBorders>
            <w:shd w:val="clear" w:color="auto" w:fill="auto"/>
            <w:vAlign w:val="center"/>
          </w:tcPr>
          <w:p w:rsidR="001A63C6" w:rsidRPr="00BD7CEA" w:rsidRDefault="001A63C6" w:rsidP="001A63C6">
            <w:pPr>
              <w:pStyle w:val="Heading2"/>
              <w:spacing w:before="20" w:after="20"/>
              <w:ind w:left="0"/>
              <w:rPr>
                <w:rFonts w:ascii="Tahoma" w:hAnsi="Tahoma" w:cs="Tahoma"/>
                <w:b w:val="0"/>
                <w:sz w:val="14"/>
                <w:szCs w:val="14"/>
              </w:rPr>
            </w:pPr>
            <w:bookmarkStart w:id="547" w:name="_Toc353375910"/>
            <w:r w:rsidRPr="00BD7CEA">
              <w:rPr>
                <w:rFonts w:ascii="Tahoma" w:hAnsi="Tahoma" w:cs="Tahoma"/>
                <w:b w:val="0"/>
                <w:sz w:val="14"/>
                <w:szCs w:val="14"/>
              </w:rPr>
              <w:t>Windows Intune (Per Utente)</w:t>
            </w:r>
            <w:bookmarkEnd w:id="547"/>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b/>
                <w:sz w:val="13"/>
                <w:szCs w:val="13"/>
              </w:rPr>
            </w:pPr>
          </w:p>
        </w:tc>
        <w:tc>
          <w:tcPr>
            <w:tcW w:w="450" w:type="dxa"/>
            <w:tcBorders>
              <w:bottom w:val="single" w:sz="4" w:space="0" w:color="auto"/>
            </w:tcBorders>
            <w:shd w:val="clear" w:color="auto" w:fill="auto"/>
            <w:vAlign w:val="center"/>
          </w:tcPr>
          <w:p w:rsidR="001A63C6" w:rsidRPr="00BD7CEA" w:rsidRDefault="001A63C6" w:rsidP="007E466C">
            <w:pPr>
              <w:pStyle w:val="TableText"/>
              <w:widowControl w:val="0"/>
              <w:rPr>
                <w:rFonts w:ascii="Tahoma" w:hAnsi="Tahoma" w:cs="Tahoma"/>
                <w:color w:val="000000"/>
                <w:sz w:val="13"/>
              </w:rPr>
            </w:pPr>
            <w:r w:rsidRPr="00BD7CEA">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OSB</w:t>
            </w:r>
          </w:p>
        </w:tc>
        <w:tc>
          <w:tcPr>
            <w:tcW w:w="36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BD7CEA"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r>
      <w:tr w:rsidR="00B33D0E" w:rsidRPr="00BD7CEA" w:rsidTr="006B1F3F">
        <w:trPr>
          <w:trHeight w:val="145"/>
        </w:trPr>
        <w:tc>
          <w:tcPr>
            <w:tcW w:w="2734" w:type="dxa"/>
            <w:gridSpan w:val="2"/>
            <w:tcBorders>
              <w:bottom w:val="single" w:sz="4" w:space="0" w:color="auto"/>
            </w:tcBorders>
            <w:shd w:val="clear" w:color="auto" w:fill="FABF8F"/>
            <w:vAlign w:val="center"/>
          </w:tcPr>
          <w:p w:rsidR="001A63C6" w:rsidRPr="00BD7CEA" w:rsidRDefault="001A63C6" w:rsidP="001A63C6">
            <w:pPr>
              <w:pStyle w:val="Heading2"/>
              <w:spacing w:before="20" w:after="20"/>
              <w:ind w:left="0"/>
              <w:rPr>
                <w:rFonts w:ascii="Tahoma" w:hAnsi="Tahoma" w:cs="Tahoma"/>
                <w:b w:val="0"/>
                <w:sz w:val="14"/>
                <w:szCs w:val="14"/>
              </w:rPr>
            </w:pPr>
            <w:bookmarkStart w:id="548" w:name="_Toc336338132"/>
            <w:bookmarkStart w:id="549" w:name="_Toc341193035"/>
            <w:bookmarkStart w:id="550" w:name="_Toc353375911"/>
            <w:r w:rsidRPr="00BD7CEA">
              <w:rPr>
                <w:rFonts w:ascii="Tahoma" w:hAnsi="Tahoma" w:cs="Tahoma"/>
                <w:b w:val="0"/>
                <w:sz w:val="14"/>
                <w:szCs w:val="14"/>
              </w:rPr>
              <w:t>USL Add-On per Windows Intune Extra Storage 1 GB</w:t>
            </w:r>
            <w:bookmarkEnd w:id="548"/>
            <w:bookmarkEnd w:id="549"/>
            <w:bookmarkEnd w:id="550"/>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b/>
                <w:sz w:val="13"/>
                <w:szCs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spacing w:before="80"/>
              <w:rPr>
                <w:rFonts w:ascii="Tahoma" w:hAnsi="Tahoma" w:cs="Tahoma"/>
                <w:color w:val="000000"/>
                <w:sz w:val="13"/>
              </w:rPr>
            </w:pPr>
            <w:r w:rsidRPr="00BD7CEA">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 ST</w:t>
            </w:r>
          </w:p>
        </w:tc>
        <w:tc>
          <w:tcPr>
            <w:tcW w:w="540" w:type="dxa"/>
            <w:tcBorders>
              <w:bottom w:val="single" w:sz="4" w:space="0" w:color="auto"/>
            </w:tcBorders>
            <w:shd w:val="clear" w:color="auto" w:fill="FABF8F"/>
            <w:vAlign w:val="center"/>
          </w:tcPr>
          <w:p w:rsidR="001A63C6" w:rsidRPr="00BD7CEA" w:rsidRDefault="001A63C6" w:rsidP="001A63C6">
            <w:pPr>
              <w:pStyle w:val="TableText"/>
              <w:widowControl w:val="0"/>
              <w:rPr>
                <w:rFonts w:ascii="Tahoma" w:hAnsi="Tahoma" w:cs="Tahoma"/>
                <w:color w:val="000000"/>
                <w:sz w:val="13"/>
              </w:rPr>
            </w:pPr>
          </w:p>
        </w:tc>
      </w:tr>
      <w:tr w:rsidR="001A63C6" w:rsidRPr="00BD7CEA" w:rsidTr="007E466C">
        <w:trPr>
          <w:trHeight w:val="145"/>
        </w:trPr>
        <w:tc>
          <w:tcPr>
            <w:tcW w:w="2734" w:type="dxa"/>
            <w:gridSpan w:val="2"/>
            <w:tcBorders>
              <w:bottom w:val="single" w:sz="4" w:space="0" w:color="auto"/>
            </w:tcBorders>
            <w:shd w:val="clear" w:color="auto" w:fill="auto"/>
            <w:vAlign w:val="center"/>
          </w:tcPr>
          <w:p w:rsidR="001A63C6" w:rsidRPr="00BD7CEA" w:rsidRDefault="001A63C6" w:rsidP="001A63C6">
            <w:pPr>
              <w:pStyle w:val="Heading2"/>
              <w:spacing w:before="20" w:after="20"/>
              <w:ind w:left="0"/>
              <w:rPr>
                <w:rFonts w:ascii="Tahoma" w:hAnsi="Tahoma" w:cs="Tahoma"/>
                <w:b w:val="0"/>
                <w:sz w:val="14"/>
                <w:szCs w:val="14"/>
              </w:rPr>
            </w:pPr>
            <w:bookmarkStart w:id="551" w:name="_Toc336338133"/>
            <w:bookmarkStart w:id="552" w:name="_Toc353375912"/>
            <w:r w:rsidRPr="00BD7CEA">
              <w:rPr>
                <w:rFonts w:ascii="Tahoma" w:hAnsi="Tahoma" w:cs="Tahoma"/>
                <w:b w:val="0"/>
                <w:sz w:val="14"/>
                <w:szCs w:val="14"/>
              </w:rPr>
              <w:t>Windows MultiPoint Server 2012 Standard</w:t>
            </w:r>
            <w:bookmarkEnd w:id="551"/>
            <w:bookmarkEnd w:id="552"/>
          </w:p>
        </w:tc>
        <w:tc>
          <w:tcPr>
            <w:tcW w:w="450" w:type="dxa"/>
            <w:tcBorders>
              <w:bottom w:val="single" w:sz="4" w:space="0" w:color="auto"/>
            </w:tcBorders>
            <w:shd w:val="clear" w:color="auto" w:fill="auto"/>
            <w:vAlign w:val="center"/>
          </w:tcPr>
          <w:p w:rsidR="001A63C6" w:rsidRPr="00BD7CEA" w:rsidRDefault="006E5080" w:rsidP="006E7054">
            <w:pPr>
              <w:pStyle w:val="TableText"/>
              <w:widowControl w:val="0"/>
              <w:rPr>
                <w:b/>
                <w:sz w:val="13"/>
                <w:szCs w:val="13"/>
                <w:u w:val="single"/>
              </w:rPr>
            </w:pPr>
            <w:hyperlink w:anchor="_100_Windows_Multipoint" w:history="1">
              <w:r w:rsidR="006E7054" w:rsidRPr="00BD7CEA">
                <w:rPr>
                  <w:rStyle w:val="Hyperlink"/>
                  <w:b/>
                  <w:sz w:val="13"/>
                  <w:szCs w:val="13"/>
                </w:rPr>
                <w:t>100</w:t>
              </w:r>
            </w:hyperlink>
            <w:hyperlink w:anchor="_98_Windows_Multipoint" w:history="1"/>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spacing w:before="80"/>
              <w:rPr>
                <w:rFonts w:ascii="Tahoma" w:hAnsi="Tahoma" w:cs="Tahoma"/>
                <w:color w:val="000000"/>
                <w:sz w:val="13"/>
              </w:rPr>
            </w:pPr>
            <w:r w:rsidRPr="00BD7CEA">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5</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13</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10</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8</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8</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5</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3</w:t>
            </w: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5</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sz w:val="13"/>
              </w:rPr>
              <w:t>A</w:t>
            </w: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r>
      <w:tr w:rsidR="00B33D0E" w:rsidRPr="00BD7CEA" w:rsidTr="006B1F3F">
        <w:trPr>
          <w:trHeight w:val="145"/>
        </w:trPr>
        <w:tc>
          <w:tcPr>
            <w:tcW w:w="2734" w:type="dxa"/>
            <w:gridSpan w:val="2"/>
            <w:tcBorders>
              <w:bottom w:val="single" w:sz="4" w:space="0" w:color="auto"/>
            </w:tcBorders>
            <w:shd w:val="clear" w:color="auto" w:fill="F4B083" w:themeFill="accent2" w:themeFillTint="99"/>
            <w:vAlign w:val="center"/>
          </w:tcPr>
          <w:p w:rsidR="001A63C6" w:rsidRPr="00BD7CEA" w:rsidRDefault="001A63C6" w:rsidP="001A63C6">
            <w:pPr>
              <w:pStyle w:val="Heading2"/>
              <w:spacing w:before="20" w:after="20"/>
              <w:ind w:left="0"/>
              <w:rPr>
                <w:rFonts w:ascii="Tahoma" w:hAnsi="Tahoma" w:cs="Tahoma"/>
                <w:b w:val="0"/>
                <w:sz w:val="14"/>
                <w:szCs w:val="14"/>
              </w:rPr>
            </w:pPr>
            <w:bookmarkStart w:id="553" w:name="_Toc336338134"/>
            <w:bookmarkStart w:id="554" w:name="_Toc353375913"/>
            <w:r w:rsidRPr="00BD7CEA">
              <w:rPr>
                <w:rFonts w:ascii="Tahoma" w:hAnsi="Tahoma" w:cs="Tahoma"/>
                <w:b w:val="0"/>
                <w:sz w:val="14"/>
                <w:szCs w:val="14"/>
              </w:rPr>
              <w:t>Windows MultiPoint Server 2012 Premium</w:t>
            </w:r>
            <w:bookmarkEnd w:id="553"/>
            <w:bookmarkEnd w:id="554"/>
          </w:p>
        </w:tc>
        <w:tc>
          <w:tcPr>
            <w:tcW w:w="450" w:type="dxa"/>
            <w:tcBorders>
              <w:bottom w:val="single" w:sz="4" w:space="0" w:color="auto"/>
            </w:tcBorders>
            <w:shd w:val="clear" w:color="auto" w:fill="F4B083" w:themeFill="accent2" w:themeFillTint="99"/>
            <w:vAlign w:val="center"/>
          </w:tcPr>
          <w:p w:rsidR="001A63C6" w:rsidRPr="00BD7CEA" w:rsidRDefault="006E5080" w:rsidP="006E7054">
            <w:pPr>
              <w:pStyle w:val="TableText"/>
              <w:widowControl w:val="0"/>
              <w:rPr>
                <w:b/>
                <w:sz w:val="13"/>
                <w:szCs w:val="13"/>
                <w:u w:val="single"/>
              </w:rPr>
            </w:pPr>
            <w:hyperlink w:anchor="_101_Windows_Multipoint" w:history="1">
              <w:r w:rsidR="00955428" w:rsidRPr="00BD7CEA">
                <w:rPr>
                  <w:rStyle w:val="Hyperlink"/>
                  <w:b/>
                  <w:sz w:val="13"/>
                  <w:szCs w:val="13"/>
                </w:rPr>
                <w:t>101</w:t>
              </w:r>
            </w:hyperlink>
          </w:p>
        </w:tc>
        <w:tc>
          <w:tcPr>
            <w:tcW w:w="450" w:type="dxa"/>
            <w:tcBorders>
              <w:bottom w:val="single" w:sz="4" w:space="0" w:color="auto"/>
            </w:tcBorders>
            <w:shd w:val="clear" w:color="auto" w:fill="F4B083" w:themeFill="accent2" w:themeFillTint="99"/>
            <w:vAlign w:val="center"/>
          </w:tcPr>
          <w:p w:rsidR="001A63C6" w:rsidRPr="00BD7CEA" w:rsidRDefault="001A63C6" w:rsidP="001A63C6">
            <w:pPr>
              <w:pStyle w:val="TableText"/>
              <w:widowControl w:val="0"/>
              <w:spacing w:before="80"/>
              <w:rPr>
                <w:rFonts w:ascii="Tahoma" w:hAnsi="Tahoma" w:cs="Tahoma"/>
                <w:color w:val="000000"/>
                <w:sz w:val="13"/>
              </w:rPr>
            </w:pPr>
            <w:r w:rsidRPr="00BD7CEA">
              <w:rPr>
                <w:rFonts w:ascii="Tahoma" w:hAnsi="Tahoma" w:cs="Tahoma"/>
                <w:color w:val="000000"/>
                <w:sz w:val="13"/>
              </w:rPr>
              <w:t>12/12</w:t>
            </w:r>
          </w:p>
        </w:tc>
        <w:tc>
          <w:tcPr>
            <w:tcW w:w="360" w:type="dxa"/>
            <w:tcBorders>
              <w:bottom w:val="single" w:sz="4" w:space="0" w:color="auto"/>
              <w:right w:val="single" w:sz="18"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10</w:t>
            </w:r>
          </w:p>
        </w:tc>
        <w:tc>
          <w:tcPr>
            <w:tcW w:w="450" w:type="dxa"/>
            <w:tcBorders>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25</w:t>
            </w:r>
          </w:p>
        </w:tc>
        <w:tc>
          <w:tcPr>
            <w:tcW w:w="450" w:type="dxa"/>
            <w:tcBorders>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20</w:t>
            </w:r>
          </w:p>
        </w:tc>
        <w:tc>
          <w:tcPr>
            <w:tcW w:w="450" w:type="dxa"/>
            <w:tcBorders>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15</w:t>
            </w:r>
          </w:p>
        </w:tc>
        <w:tc>
          <w:tcPr>
            <w:tcW w:w="450" w:type="dxa"/>
            <w:tcBorders>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15</w:t>
            </w:r>
          </w:p>
        </w:tc>
        <w:tc>
          <w:tcPr>
            <w:tcW w:w="450" w:type="dxa"/>
            <w:tcBorders>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10</w:t>
            </w:r>
          </w:p>
        </w:tc>
        <w:tc>
          <w:tcPr>
            <w:tcW w:w="360" w:type="dxa"/>
            <w:tcBorders>
              <w:bottom w:val="single" w:sz="4" w:space="0" w:color="auto"/>
              <w:right w:val="single" w:sz="18"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5</w:t>
            </w:r>
          </w:p>
        </w:tc>
        <w:tc>
          <w:tcPr>
            <w:tcW w:w="450" w:type="dxa"/>
            <w:tcBorders>
              <w:left w:val="single" w:sz="18" w:space="0" w:color="auto"/>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10</w:t>
            </w:r>
          </w:p>
        </w:tc>
        <w:tc>
          <w:tcPr>
            <w:tcW w:w="450" w:type="dxa"/>
            <w:tcBorders>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20</w:t>
            </w:r>
          </w:p>
        </w:tc>
        <w:tc>
          <w:tcPr>
            <w:tcW w:w="450" w:type="dxa"/>
            <w:tcBorders>
              <w:bottom w:val="single" w:sz="4" w:space="0" w:color="auto"/>
              <w:right w:val="single" w:sz="18"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10</w:t>
            </w:r>
          </w:p>
        </w:tc>
        <w:tc>
          <w:tcPr>
            <w:tcW w:w="450" w:type="dxa"/>
            <w:tcBorders>
              <w:left w:val="single" w:sz="18" w:space="0" w:color="auto"/>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10</w:t>
            </w:r>
          </w:p>
        </w:tc>
        <w:tc>
          <w:tcPr>
            <w:tcW w:w="450" w:type="dxa"/>
            <w:tcBorders>
              <w:bottom w:val="single" w:sz="4" w:space="0" w:color="auto"/>
              <w:right w:val="single" w:sz="18"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4B083" w:themeFill="accent2" w:themeFillTint="99"/>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sz w:val="13"/>
              </w:rPr>
              <w:t>A</w:t>
            </w:r>
          </w:p>
        </w:tc>
        <w:tc>
          <w:tcPr>
            <w:tcW w:w="540" w:type="dxa"/>
            <w:tcBorders>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color w:val="000000"/>
                <w:sz w:val="13"/>
              </w:rPr>
            </w:pPr>
          </w:p>
        </w:tc>
      </w:tr>
      <w:tr w:rsidR="001A63C6" w:rsidRPr="00BD7CEA" w:rsidTr="007E466C">
        <w:trPr>
          <w:trHeight w:val="145"/>
        </w:trPr>
        <w:tc>
          <w:tcPr>
            <w:tcW w:w="2734" w:type="dxa"/>
            <w:gridSpan w:val="2"/>
            <w:tcBorders>
              <w:bottom w:val="single" w:sz="4" w:space="0" w:color="auto"/>
            </w:tcBorders>
            <w:shd w:val="clear" w:color="auto" w:fill="auto"/>
            <w:vAlign w:val="center"/>
          </w:tcPr>
          <w:p w:rsidR="001A63C6" w:rsidRPr="00BD7CEA" w:rsidRDefault="001A63C6" w:rsidP="001A63C6">
            <w:pPr>
              <w:pStyle w:val="Heading2"/>
              <w:spacing w:before="20" w:after="20"/>
              <w:ind w:left="0"/>
              <w:rPr>
                <w:rFonts w:ascii="Tahoma" w:hAnsi="Tahoma" w:cs="Tahoma"/>
                <w:b w:val="0"/>
                <w:sz w:val="14"/>
                <w:szCs w:val="14"/>
              </w:rPr>
            </w:pPr>
            <w:bookmarkStart w:id="555" w:name="_Toc336338135"/>
            <w:bookmarkStart w:id="556" w:name="_Toc353375914"/>
            <w:r w:rsidRPr="00BD7CEA">
              <w:rPr>
                <w:rFonts w:ascii="Tahoma" w:hAnsi="Tahoma" w:cs="Tahoma"/>
                <w:b w:val="0"/>
                <w:sz w:val="14"/>
                <w:szCs w:val="14"/>
              </w:rPr>
              <w:t>CAL per Windows MultiPoint Server 2012</w:t>
            </w:r>
            <w:bookmarkEnd w:id="555"/>
            <w:bookmarkEnd w:id="556"/>
          </w:p>
        </w:tc>
        <w:tc>
          <w:tcPr>
            <w:tcW w:w="450" w:type="dxa"/>
            <w:tcBorders>
              <w:bottom w:val="single" w:sz="4" w:space="0" w:color="auto"/>
            </w:tcBorders>
            <w:shd w:val="clear" w:color="auto" w:fill="auto"/>
            <w:vAlign w:val="center"/>
          </w:tcPr>
          <w:p w:rsidR="001A63C6" w:rsidRPr="00BD7CEA" w:rsidRDefault="006E5080" w:rsidP="006E7054">
            <w:pPr>
              <w:pStyle w:val="TableText"/>
              <w:widowControl w:val="0"/>
              <w:rPr>
                <w:b/>
                <w:sz w:val="13"/>
                <w:szCs w:val="13"/>
                <w:u w:val="single"/>
              </w:rPr>
            </w:pPr>
            <w:hyperlink w:anchor="_102_Licenza_CAL" w:history="1">
              <w:r w:rsidR="00955428" w:rsidRPr="00BD7CEA">
                <w:rPr>
                  <w:rStyle w:val="Hyperlink"/>
                  <w:b/>
                  <w:sz w:val="13"/>
                  <w:szCs w:val="13"/>
                </w:rPr>
                <w:t>102</w:t>
              </w:r>
            </w:hyperlink>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spacing w:before="80"/>
              <w:rPr>
                <w:rFonts w:ascii="Tahoma" w:hAnsi="Tahoma" w:cs="Tahoma"/>
                <w:color w:val="000000"/>
                <w:sz w:val="13"/>
              </w:rPr>
            </w:pPr>
            <w:r w:rsidRPr="00BD7CEA">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3</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sz w:val="13"/>
              </w:rPr>
              <w:t>A</w:t>
            </w: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r>
      <w:tr w:rsidR="00B33D0E" w:rsidRPr="00BD7CEA" w:rsidTr="006B1F3F">
        <w:trPr>
          <w:trHeight w:val="145"/>
        </w:trPr>
        <w:tc>
          <w:tcPr>
            <w:tcW w:w="2734" w:type="dxa"/>
            <w:gridSpan w:val="2"/>
            <w:tcBorders>
              <w:bottom w:val="single" w:sz="4" w:space="0" w:color="auto"/>
            </w:tcBorders>
            <w:shd w:val="clear" w:color="auto" w:fill="F4B083" w:themeFill="accent2" w:themeFillTint="99"/>
            <w:vAlign w:val="center"/>
          </w:tcPr>
          <w:p w:rsidR="001A63C6" w:rsidRPr="00BD7CEA" w:rsidRDefault="001A63C6" w:rsidP="001A63C6">
            <w:pPr>
              <w:pStyle w:val="Heading2"/>
              <w:spacing w:before="20" w:after="20"/>
              <w:ind w:left="0"/>
              <w:rPr>
                <w:rFonts w:ascii="Tahoma" w:hAnsi="Tahoma" w:cs="Tahoma"/>
                <w:b w:val="0"/>
                <w:sz w:val="14"/>
                <w:szCs w:val="14"/>
              </w:rPr>
            </w:pPr>
            <w:bookmarkStart w:id="557" w:name="_Toc336338136"/>
            <w:bookmarkStart w:id="558" w:name="_Toc353375915"/>
            <w:r w:rsidRPr="00BD7CEA">
              <w:rPr>
                <w:rFonts w:ascii="Tahoma" w:hAnsi="Tahoma" w:cs="Tahoma"/>
                <w:b w:val="0"/>
                <w:sz w:val="14"/>
                <w:szCs w:val="14"/>
              </w:rPr>
              <w:t>CAL per Windows MultiPoint Server 2012 con CAL per Windows Server 2012</w:t>
            </w:r>
            <w:bookmarkEnd w:id="557"/>
            <w:bookmarkEnd w:id="558"/>
          </w:p>
        </w:tc>
        <w:tc>
          <w:tcPr>
            <w:tcW w:w="450" w:type="dxa"/>
            <w:tcBorders>
              <w:bottom w:val="single" w:sz="4" w:space="0" w:color="auto"/>
            </w:tcBorders>
            <w:shd w:val="clear" w:color="auto" w:fill="F4B083" w:themeFill="accent2" w:themeFillTint="99"/>
            <w:vAlign w:val="center"/>
          </w:tcPr>
          <w:p w:rsidR="001A63C6" w:rsidRPr="00BD7CEA" w:rsidRDefault="001A63C6" w:rsidP="001A63C6">
            <w:pPr>
              <w:pStyle w:val="TableText"/>
              <w:widowControl w:val="0"/>
              <w:rPr>
                <w:b/>
                <w:sz w:val="13"/>
                <w:szCs w:val="13"/>
              </w:rPr>
            </w:pPr>
          </w:p>
        </w:tc>
        <w:tc>
          <w:tcPr>
            <w:tcW w:w="450" w:type="dxa"/>
            <w:tcBorders>
              <w:bottom w:val="single" w:sz="4" w:space="0" w:color="auto"/>
            </w:tcBorders>
            <w:shd w:val="clear" w:color="auto" w:fill="F4B083" w:themeFill="accent2" w:themeFillTint="99"/>
            <w:vAlign w:val="center"/>
          </w:tcPr>
          <w:p w:rsidR="001A63C6" w:rsidRPr="00BD7CEA" w:rsidRDefault="001A63C6" w:rsidP="001A63C6">
            <w:pPr>
              <w:pStyle w:val="TableText"/>
              <w:widowControl w:val="0"/>
              <w:spacing w:before="80"/>
              <w:rPr>
                <w:rFonts w:ascii="Tahoma" w:hAnsi="Tahoma" w:cs="Tahoma"/>
                <w:color w:val="000000"/>
                <w:sz w:val="13"/>
              </w:rPr>
            </w:pPr>
            <w:r w:rsidRPr="00BD7CEA">
              <w:rPr>
                <w:rFonts w:ascii="Tahoma" w:hAnsi="Tahoma" w:cs="Tahoma"/>
                <w:color w:val="000000"/>
                <w:sz w:val="13"/>
              </w:rPr>
              <w:t>12/12</w:t>
            </w:r>
          </w:p>
        </w:tc>
        <w:tc>
          <w:tcPr>
            <w:tcW w:w="360" w:type="dxa"/>
            <w:tcBorders>
              <w:bottom w:val="single" w:sz="4" w:space="0" w:color="auto"/>
              <w:right w:val="single" w:sz="18"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3</w:t>
            </w:r>
          </w:p>
        </w:tc>
        <w:tc>
          <w:tcPr>
            <w:tcW w:w="450" w:type="dxa"/>
            <w:tcBorders>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360" w:type="dxa"/>
            <w:tcBorders>
              <w:bottom w:val="single" w:sz="4" w:space="0" w:color="auto"/>
              <w:right w:val="single" w:sz="18"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w:t>
            </w:r>
          </w:p>
        </w:tc>
        <w:tc>
          <w:tcPr>
            <w:tcW w:w="450" w:type="dxa"/>
            <w:tcBorders>
              <w:bottom w:val="single" w:sz="4" w:space="0" w:color="auto"/>
              <w:right w:val="single" w:sz="18"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bottom w:val="single" w:sz="4" w:space="0" w:color="auto"/>
              <w:right w:val="single" w:sz="18"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4B083" w:themeFill="accent2" w:themeFillTint="99"/>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sz w:val="13"/>
              </w:rPr>
              <w:t>A</w:t>
            </w:r>
          </w:p>
        </w:tc>
        <w:tc>
          <w:tcPr>
            <w:tcW w:w="540" w:type="dxa"/>
            <w:tcBorders>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color w:val="000000"/>
                <w:sz w:val="13"/>
              </w:rPr>
            </w:pPr>
          </w:p>
        </w:tc>
      </w:tr>
      <w:tr w:rsidR="001A63C6" w:rsidRPr="00BD7CEA" w:rsidTr="007E466C">
        <w:trPr>
          <w:trHeight w:val="145"/>
        </w:trPr>
        <w:tc>
          <w:tcPr>
            <w:tcW w:w="2734" w:type="dxa"/>
            <w:gridSpan w:val="2"/>
            <w:tcBorders>
              <w:bottom w:val="single" w:sz="4" w:space="0" w:color="auto"/>
            </w:tcBorders>
            <w:shd w:val="clear" w:color="auto" w:fill="auto"/>
            <w:vAlign w:val="center"/>
          </w:tcPr>
          <w:p w:rsidR="001A63C6" w:rsidRPr="00BD7CEA" w:rsidRDefault="001A63C6" w:rsidP="001A63C6">
            <w:pPr>
              <w:pStyle w:val="Heading2"/>
              <w:spacing w:before="20" w:after="20"/>
              <w:ind w:left="0"/>
              <w:rPr>
                <w:rFonts w:ascii="Tahoma" w:hAnsi="Tahoma" w:cs="Tahoma"/>
                <w:b w:val="0"/>
                <w:sz w:val="14"/>
                <w:szCs w:val="14"/>
              </w:rPr>
            </w:pPr>
            <w:bookmarkStart w:id="559" w:name="_Toc336338137"/>
            <w:bookmarkStart w:id="560" w:name="_Toc353375916"/>
            <w:r w:rsidRPr="00BD7CEA">
              <w:rPr>
                <w:rFonts w:ascii="Tahoma" w:hAnsi="Tahoma" w:cs="Tahoma"/>
                <w:b w:val="0"/>
                <w:sz w:val="14"/>
                <w:szCs w:val="14"/>
              </w:rPr>
              <w:t>Windows MultiPoint Server 2012 Premium con Windows MultiPoint Server 2012 (CAL) (5 Client)</w:t>
            </w:r>
            <w:bookmarkEnd w:id="559"/>
            <w:bookmarkEnd w:id="560"/>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b/>
                <w:sz w:val="13"/>
                <w:szCs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spacing w:before="80"/>
              <w:rPr>
                <w:rFonts w:ascii="Tahoma" w:hAnsi="Tahoma" w:cs="Tahoma"/>
                <w:color w:val="000000"/>
                <w:sz w:val="13"/>
              </w:rPr>
            </w:pPr>
            <w:r w:rsidRPr="00BD7CEA">
              <w:rPr>
                <w:rFonts w:ascii="Tahoma" w:hAnsi="Tahoma" w:cs="Tahoma"/>
                <w:color w:val="000000"/>
                <w:sz w:val="13"/>
              </w:rPr>
              <w:t>01/13</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25</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63</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50</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38</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38</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25</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sz w:val="13"/>
              </w:rPr>
              <w:t>A</w:t>
            </w: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OL/OV</w:t>
            </w:r>
          </w:p>
        </w:tc>
      </w:tr>
      <w:tr w:rsidR="00B33D0E" w:rsidRPr="00BD7CEA" w:rsidTr="006B1F3F">
        <w:trPr>
          <w:trHeight w:val="145"/>
        </w:trPr>
        <w:tc>
          <w:tcPr>
            <w:tcW w:w="2734" w:type="dxa"/>
            <w:gridSpan w:val="2"/>
            <w:tcBorders>
              <w:bottom w:val="single" w:sz="4" w:space="0" w:color="auto"/>
            </w:tcBorders>
            <w:shd w:val="clear" w:color="auto" w:fill="F4B083" w:themeFill="accent2" w:themeFillTint="99"/>
            <w:vAlign w:val="center"/>
          </w:tcPr>
          <w:p w:rsidR="001A63C6" w:rsidRPr="00BD7CEA" w:rsidRDefault="001A63C6" w:rsidP="001A63C6">
            <w:pPr>
              <w:pStyle w:val="Heading2"/>
              <w:spacing w:before="20" w:after="20"/>
              <w:ind w:left="0"/>
              <w:rPr>
                <w:rFonts w:ascii="Tahoma" w:hAnsi="Tahoma" w:cs="Tahoma"/>
                <w:b w:val="0"/>
                <w:sz w:val="14"/>
                <w:szCs w:val="14"/>
              </w:rPr>
            </w:pPr>
            <w:bookmarkStart w:id="561" w:name="_Toc336338138"/>
            <w:bookmarkStart w:id="562" w:name="_Toc353375917"/>
            <w:r w:rsidRPr="00BD7CEA">
              <w:rPr>
                <w:rFonts w:ascii="Tahoma" w:hAnsi="Tahoma" w:cs="Tahoma"/>
                <w:b w:val="0"/>
                <w:sz w:val="14"/>
                <w:szCs w:val="14"/>
              </w:rPr>
              <w:t>Windows MultiPoint Server 2012 Premium con Windows MultiPoint Server 2012 (CAL) (5 Client) con Windows Server 2012 (CAL) (5 Client)</w:t>
            </w:r>
            <w:bookmarkEnd w:id="561"/>
            <w:bookmarkEnd w:id="562"/>
          </w:p>
        </w:tc>
        <w:tc>
          <w:tcPr>
            <w:tcW w:w="450" w:type="dxa"/>
            <w:tcBorders>
              <w:bottom w:val="single" w:sz="4" w:space="0" w:color="auto"/>
            </w:tcBorders>
            <w:shd w:val="clear" w:color="auto" w:fill="F4B083" w:themeFill="accent2" w:themeFillTint="99"/>
            <w:vAlign w:val="center"/>
          </w:tcPr>
          <w:p w:rsidR="001A63C6" w:rsidRPr="00BD7CEA" w:rsidRDefault="001A63C6" w:rsidP="001A63C6">
            <w:pPr>
              <w:pStyle w:val="TableText"/>
              <w:widowControl w:val="0"/>
              <w:rPr>
                <w:b/>
                <w:sz w:val="13"/>
                <w:szCs w:val="13"/>
              </w:rPr>
            </w:pPr>
          </w:p>
        </w:tc>
        <w:tc>
          <w:tcPr>
            <w:tcW w:w="450" w:type="dxa"/>
            <w:tcBorders>
              <w:bottom w:val="single" w:sz="4" w:space="0" w:color="auto"/>
            </w:tcBorders>
            <w:shd w:val="clear" w:color="auto" w:fill="F4B083" w:themeFill="accent2" w:themeFillTint="99"/>
            <w:vAlign w:val="center"/>
          </w:tcPr>
          <w:p w:rsidR="001A63C6" w:rsidRPr="00BD7CEA" w:rsidRDefault="001A63C6" w:rsidP="001A63C6">
            <w:pPr>
              <w:pStyle w:val="TableText"/>
              <w:widowControl w:val="0"/>
              <w:spacing w:before="80"/>
              <w:rPr>
                <w:rFonts w:ascii="Tahoma" w:hAnsi="Tahoma" w:cs="Tahoma"/>
                <w:color w:val="000000"/>
                <w:sz w:val="13"/>
              </w:rPr>
            </w:pPr>
            <w:r w:rsidRPr="00BD7CEA">
              <w:rPr>
                <w:rFonts w:ascii="Tahoma" w:hAnsi="Tahoma" w:cs="Tahoma"/>
                <w:color w:val="000000"/>
                <w:sz w:val="13"/>
              </w:rPr>
              <w:t>01/13</w:t>
            </w:r>
          </w:p>
        </w:tc>
        <w:tc>
          <w:tcPr>
            <w:tcW w:w="360" w:type="dxa"/>
            <w:tcBorders>
              <w:bottom w:val="single" w:sz="4" w:space="0" w:color="auto"/>
              <w:right w:val="single" w:sz="18"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25</w:t>
            </w:r>
          </w:p>
        </w:tc>
        <w:tc>
          <w:tcPr>
            <w:tcW w:w="450" w:type="dxa"/>
            <w:tcBorders>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63</w:t>
            </w:r>
          </w:p>
        </w:tc>
        <w:tc>
          <w:tcPr>
            <w:tcW w:w="450" w:type="dxa"/>
            <w:tcBorders>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50</w:t>
            </w:r>
          </w:p>
        </w:tc>
        <w:tc>
          <w:tcPr>
            <w:tcW w:w="450" w:type="dxa"/>
            <w:tcBorders>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38</w:t>
            </w:r>
          </w:p>
        </w:tc>
        <w:tc>
          <w:tcPr>
            <w:tcW w:w="450" w:type="dxa"/>
            <w:tcBorders>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38</w:t>
            </w:r>
          </w:p>
        </w:tc>
        <w:tc>
          <w:tcPr>
            <w:tcW w:w="450" w:type="dxa"/>
            <w:tcBorders>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25</w:t>
            </w:r>
          </w:p>
        </w:tc>
        <w:tc>
          <w:tcPr>
            <w:tcW w:w="360" w:type="dxa"/>
            <w:tcBorders>
              <w:bottom w:val="single" w:sz="4" w:space="0" w:color="auto"/>
              <w:right w:val="single" w:sz="18"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13</w:t>
            </w:r>
          </w:p>
        </w:tc>
        <w:tc>
          <w:tcPr>
            <w:tcW w:w="450" w:type="dxa"/>
            <w:tcBorders>
              <w:left w:val="single" w:sz="18" w:space="0" w:color="auto"/>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25</w:t>
            </w:r>
          </w:p>
        </w:tc>
        <w:tc>
          <w:tcPr>
            <w:tcW w:w="450" w:type="dxa"/>
            <w:tcBorders>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50</w:t>
            </w:r>
          </w:p>
        </w:tc>
        <w:tc>
          <w:tcPr>
            <w:tcW w:w="450" w:type="dxa"/>
            <w:tcBorders>
              <w:bottom w:val="single" w:sz="4" w:space="0" w:color="auto"/>
              <w:right w:val="single" w:sz="18"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25</w:t>
            </w:r>
          </w:p>
        </w:tc>
        <w:tc>
          <w:tcPr>
            <w:tcW w:w="450" w:type="dxa"/>
            <w:tcBorders>
              <w:left w:val="single" w:sz="18" w:space="0" w:color="auto"/>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25</w:t>
            </w:r>
          </w:p>
        </w:tc>
        <w:tc>
          <w:tcPr>
            <w:tcW w:w="450" w:type="dxa"/>
            <w:tcBorders>
              <w:bottom w:val="single" w:sz="4" w:space="0" w:color="auto"/>
              <w:right w:val="single" w:sz="18"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4B083" w:themeFill="accent2" w:themeFillTint="99"/>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sz w:val="13"/>
              </w:rPr>
              <w:t>A</w:t>
            </w:r>
          </w:p>
        </w:tc>
        <w:tc>
          <w:tcPr>
            <w:tcW w:w="540" w:type="dxa"/>
            <w:tcBorders>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OL/OV</w:t>
            </w:r>
          </w:p>
        </w:tc>
      </w:tr>
      <w:tr w:rsidR="001A63C6" w:rsidRPr="00BD7CEA" w:rsidTr="007E466C">
        <w:trPr>
          <w:trHeight w:val="145"/>
        </w:trPr>
        <w:tc>
          <w:tcPr>
            <w:tcW w:w="2734" w:type="dxa"/>
            <w:gridSpan w:val="2"/>
            <w:tcBorders>
              <w:bottom w:val="single" w:sz="4" w:space="0" w:color="auto"/>
            </w:tcBorders>
            <w:shd w:val="clear" w:color="auto" w:fill="auto"/>
            <w:vAlign w:val="center"/>
          </w:tcPr>
          <w:p w:rsidR="001A63C6" w:rsidRPr="00BD7CEA" w:rsidRDefault="001A63C6" w:rsidP="001A63C6">
            <w:pPr>
              <w:pStyle w:val="Heading2"/>
              <w:spacing w:before="20" w:after="20"/>
              <w:ind w:left="0"/>
              <w:rPr>
                <w:rFonts w:ascii="Tahoma" w:hAnsi="Tahoma" w:cs="Tahoma"/>
                <w:b w:val="0"/>
                <w:sz w:val="14"/>
                <w:szCs w:val="14"/>
              </w:rPr>
            </w:pPr>
            <w:bookmarkStart w:id="563" w:name="_Toc336338139"/>
            <w:bookmarkStart w:id="564" w:name="_Toc353375918"/>
            <w:r w:rsidRPr="00BD7CEA">
              <w:rPr>
                <w:rFonts w:ascii="Tahoma" w:hAnsi="Tahoma" w:cs="Tahoma"/>
                <w:b w:val="0"/>
                <w:sz w:val="14"/>
                <w:szCs w:val="14"/>
              </w:rPr>
              <w:t>Windows Server™ 2008 R2 HPC Edition</w:t>
            </w:r>
            <w:bookmarkEnd w:id="563"/>
            <w:bookmarkEnd w:id="564"/>
          </w:p>
        </w:tc>
        <w:tc>
          <w:tcPr>
            <w:tcW w:w="450" w:type="dxa"/>
            <w:tcBorders>
              <w:bottom w:val="single" w:sz="4" w:space="0" w:color="auto"/>
            </w:tcBorders>
            <w:shd w:val="clear" w:color="auto" w:fill="auto"/>
            <w:vAlign w:val="center"/>
          </w:tcPr>
          <w:p w:rsidR="001A63C6" w:rsidRPr="00BD7CEA" w:rsidRDefault="006E5080" w:rsidP="006E7054">
            <w:pPr>
              <w:pStyle w:val="TableText"/>
              <w:widowControl w:val="0"/>
              <w:spacing w:before="240"/>
              <w:rPr>
                <w:rStyle w:val="EndnoteReference"/>
                <w:rFonts w:cs="Tahoma"/>
                <w:b w:val="0"/>
                <w:color w:val="0000FF"/>
                <w:sz w:val="13"/>
                <w:szCs w:val="13"/>
                <w:u w:val="single"/>
              </w:rPr>
            </w:pPr>
            <w:hyperlink w:anchor="_103_Windows_Server" w:history="1">
              <w:r w:rsidR="00955428" w:rsidRPr="00BD7CEA">
                <w:rPr>
                  <w:rStyle w:val="Hyperlink"/>
                  <w:b/>
                  <w:sz w:val="13"/>
                  <w:szCs w:val="13"/>
                </w:rPr>
                <w:t>103</w:t>
              </w:r>
            </w:hyperlink>
          </w:p>
        </w:tc>
        <w:tc>
          <w:tcPr>
            <w:tcW w:w="450" w:type="dxa"/>
            <w:tcBorders>
              <w:bottom w:val="single" w:sz="4" w:space="0" w:color="auto"/>
            </w:tcBorders>
            <w:shd w:val="clear" w:color="auto" w:fill="auto"/>
          </w:tcPr>
          <w:p w:rsidR="001A63C6" w:rsidRPr="00BD7CEA" w:rsidRDefault="001A63C6" w:rsidP="001A63C6">
            <w:pPr>
              <w:pStyle w:val="TableText"/>
              <w:widowControl w:val="0"/>
              <w:spacing w:before="120"/>
              <w:rPr>
                <w:rFonts w:ascii="Tahoma" w:hAnsi="Tahoma" w:cs="Tahoma"/>
                <w:color w:val="000000"/>
                <w:sz w:val="13"/>
              </w:rPr>
            </w:pPr>
            <w:r w:rsidRPr="00BD7CEA">
              <w:rPr>
                <w:sz w:val="13"/>
              </w:rPr>
              <w:t>09/10</w:t>
            </w:r>
          </w:p>
        </w:tc>
        <w:tc>
          <w:tcPr>
            <w:tcW w:w="360" w:type="dxa"/>
            <w:tcBorders>
              <w:bottom w:val="single" w:sz="4" w:space="0" w:color="auto"/>
              <w:right w:val="single" w:sz="18" w:space="0" w:color="auto"/>
            </w:tcBorders>
            <w:shd w:val="clear" w:color="auto" w:fill="auto"/>
          </w:tcPr>
          <w:p w:rsidR="001A63C6" w:rsidRPr="00BD7CEA" w:rsidRDefault="001A63C6" w:rsidP="001A63C6">
            <w:pPr>
              <w:pStyle w:val="TableText"/>
              <w:widowControl w:val="0"/>
              <w:spacing w:before="120"/>
              <w:rPr>
                <w:rFonts w:ascii="Tahoma" w:hAnsi="Tahoma" w:cs="Tahoma"/>
                <w:color w:val="000000"/>
                <w:sz w:val="13"/>
              </w:rPr>
            </w:pPr>
            <w:r w:rsidRPr="00BD7CEA">
              <w:t>SRV</w:t>
            </w:r>
          </w:p>
        </w:tc>
        <w:tc>
          <w:tcPr>
            <w:tcW w:w="360" w:type="dxa"/>
            <w:tcBorders>
              <w:left w:val="single" w:sz="18" w:space="0" w:color="auto"/>
              <w:bottom w:val="single" w:sz="4" w:space="0" w:color="auto"/>
            </w:tcBorders>
            <w:shd w:val="clear" w:color="auto" w:fill="auto"/>
          </w:tcPr>
          <w:p w:rsidR="001A63C6" w:rsidRPr="00BD7CEA"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1A63C6" w:rsidRPr="00BD7CEA"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1A63C6" w:rsidRPr="00BD7CEA"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1A63C6" w:rsidRPr="00BD7CEA"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1A63C6" w:rsidRPr="00BD7CEA"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1A63C6" w:rsidRPr="00BD7CEA"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tcPr>
          <w:p w:rsidR="001A63C6" w:rsidRPr="00BD7CEA"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tcPr>
          <w:p w:rsidR="001A63C6" w:rsidRPr="00BD7CEA"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1A63C6" w:rsidRPr="00BD7CEA" w:rsidRDefault="001A63C6"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auto"/>
          </w:tcPr>
          <w:p w:rsidR="001A63C6" w:rsidRPr="00BD7CEA"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tcPr>
          <w:p w:rsidR="001A63C6" w:rsidRPr="00BD7CEA" w:rsidRDefault="001A63C6"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auto"/>
          </w:tcPr>
          <w:p w:rsidR="001A63C6" w:rsidRPr="00BD7CEA"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tcPr>
          <w:p w:rsidR="001A63C6" w:rsidRPr="00BD7CEA"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1A63C6" w:rsidRPr="00BD7CEA"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r>
      <w:tr w:rsidR="00B33D0E" w:rsidRPr="00BD7CEA" w:rsidTr="006B1F3F">
        <w:trPr>
          <w:trHeight w:val="145"/>
        </w:trPr>
        <w:tc>
          <w:tcPr>
            <w:tcW w:w="2734" w:type="dxa"/>
            <w:gridSpan w:val="2"/>
            <w:tcBorders>
              <w:bottom w:val="single" w:sz="4" w:space="0" w:color="auto"/>
            </w:tcBorders>
            <w:shd w:val="clear" w:color="auto" w:fill="F4B083" w:themeFill="accent2" w:themeFillTint="99"/>
            <w:vAlign w:val="center"/>
          </w:tcPr>
          <w:p w:rsidR="001A63C6" w:rsidRPr="00BD7CEA" w:rsidRDefault="001A63C6" w:rsidP="001A63C6">
            <w:pPr>
              <w:pStyle w:val="Heading2"/>
              <w:spacing w:before="20" w:after="20"/>
              <w:ind w:left="0"/>
              <w:rPr>
                <w:rFonts w:ascii="Tahoma" w:hAnsi="Tahoma" w:cs="Tahoma"/>
                <w:b w:val="0"/>
                <w:sz w:val="14"/>
                <w:szCs w:val="14"/>
              </w:rPr>
            </w:pPr>
            <w:bookmarkStart w:id="565" w:name="_Toc336338140"/>
            <w:bookmarkStart w:id="566" w:name="_Toc353375919"/>
            <w:r w:rsidRPr="00BD7CEA">
              <w:rPr>
                <w:rFonts w:ascii="Tahoma" w:hAnsi="Tahoma" w:cs="Tahoma"/>
                <w:b w:val="0"/>
                <w:sz w:val="14"/>
                <w:szCs w:val="14"/>
              </w:rPr>
              <w:t>Windows Server™ 2008 R2 Enterprise</w:t>
            </w:r>
            <w:bookmarkEnd w:id="565"/>
            <w:bookmarkEnd w:id="566"/>
          </w:p>
        </w:tc>
        <w:tc>
          <w:tcPr>
            <w:tcW w:w="450" w:type="dxa"/>
            <w:tcBorders>
              <w:bottom w:val="single" w:sz="4" w:space="0" w:color="auto"/>
            </w:tcBorders>
            <w:shd w:val="clear" w:color="auto" w:fill="F4B083" w:themeFill="accent2" w:themeFillTint="99"/>
            <w:vAlign w:val="center"/>
          </w:tcPr>
          <w:p w:rsidR="001A63C6" w:rsidRPr="00BD7CEA" w:rsidRDefault="006E5080" w:rsidP="006E7054">
            <w:pPr>
              <w:pStyle w:val="TableText"/>
              <w:widowControl w:val="0"/>
              <w:rPr>
                <w:rStyle w:val="EndnoteReference"/>
                <w:rFonts w:cs="Tahoma"/>
                <w:b w:val="0"/>
                <w:color w:val="0000FF"/>
                <w:sz w:val="13"/>
                <w:szCs w:val="13"/>
                <w:u w:val="single"/>
              </w:rPr>
            </w:pPr>
            <w:hyperlink w:anchor="_104_Windows_Server" w:history="1">
              <w:r w:rsidR="00955428" w:rsidRPr="00BD7CEA">
                <w:rPr>
                  <w:rStyle w:val="Hyperlink"/>
                  <w:b/>
                  <w:sz w:val="13"/>
                  <w:szCs w:val="13"/>
                </w:rPr>
                <w:t>104</w:t>
              </w:r>
            </w:hyperlink>
          </w:p>
        </w:tc>
        <w:tc>
          <w:tcPr>
            <w:tcW w:w="450" w:type="dxa"/>
            <w:tcBorders>
              <w:bottom w:val="single" w:sz="4" w:space="0" w:color="auto"/>
            </w:tcBorders>
            <w:shd w:val="clear" w:color="auto" w:fill="F4B083" w:themeFill="accent2" w:themeFillTint="99"/>
            <w:vAlign w:val="center"/>
          </w:tcPr>
          <w:p w:rsidR="001A63C6" w:rsidRPr="00BD7CEA" w:rsidRDefault="001A63C6" w:rsidP="001A63C6">
            <w:pPr>
              <w:pStyle w:val="TableText"/>
              <w:widowControl w:val="0"/>
              <w:spacing w:before="80"/>
              <w:rPr>
                <w:rFonts w:ascii="Tahoma" w:hAnsi="Tahoma" w:cs="Tahoma"/>
                <w:color w:val="000000"/>
                <w:sz w:val="13"/>
              </w:rPr>
            </w:pPr>
            <w:r w:rsidRPr="00BD7CEA">
              <w:rPr>
                <w:rFonts w:ascii="Tahoma" w:hAnsi="Tahoma" w:cs="Tahoma"/>
                <w:color w:val="000000"/>
                <w:sz w:val="13"/>
              </w:rPr>
              <w:t>08/09</w:t>
            </w:r>
          </w:p>
        </w:tc>
        <w:tc>
          <w:tcPr>
            <w:tcW w:w="360" w:type="dxa"/>
            <w:tcBorders>
              <w:bottom w:val="single" w:sz="4" w:space="0" w:color="auto"/>
              <w:right w:val="single" w:sz="18"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4B083" w:themeFill="accent2" w:themeFillTint="99"/>
          </w:tcPr>
          <w:p w:rsidR="001A63C6" w:rsidRPr="00BD7CEA"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color w:val="000000"/>
                <w:sz w:val="13"/>
              </w:rPr>
            </w:pPr>
          </w:p>
        </w:tc>
      </w:tr>
      <w:tr w:rsidR="001A63C6" w:rsidRPr="00BD7CEA" w:rsidTr="007E466C">
        <w:trPr>
          <w:trHeight w:val="145"/>
        </w:trPr>
        <w:tc>
          <w:tcPr>
            <w:tcW w:w="2734" w:type="dxa"/>
            <w:gridSpan w:val="2"/>
            <w:tcBorders>
              <w:bottom w:val="single" w:sz="4" w:space="0" w:color="auto"/>
            </w:tcBorders>
            <w:shd w:val="clear" w:color="auto" w:fill="auto"/>
            <w:vAlign w:val="center"/>
          </w:tcPr>
          <w:p w:rsidR="001A63C6" w:rsidRPr="007B74B7" w:rsidRDefault="001A63C6" w:rsidP="001A63C6">
            <w:pPr>
              <w:pStyle w:val="Heading2"/>
              <w:spacing w:before="20" w:after="20"/>
              <w:ind w:left="0"/>
              <w:rPr>
                <w:rFonts w:ascii="Tahoma" w:hAnsi="Tahoma" w:cs="Tahoma"/>
                <w:b w:val="0"/>
                <w:sz w:val="14"/>
                <w:szCs w:val="14"/>
                <w:lang w:val="it-IT"/>
              </w:rPr>
            </w:pPr>
            <w:bookmarkStart w:id="567" w:name="_Toc336338141"/>
            <w:bookmarkStart w:id="568" w:name="_Toc353375920"/>
            <w:r w:rsidRPr="007B74B7">
              <w:rPr>
                <w:rFonts w:ascii="Tahoma" w:hAnsi="Tahoma" w:cs="Tahoma"/>
                <w:b w:val="0"/>
                <w:sz w:val="14"/>
                <w:szCs w:val="14"/>
                <w:lang w:val="it-IT"/>
              </w:rPr>
              <w:t>Windows Server™ 2008 R2 per Sistemi Basati su Itanium</w:t>
            </w:r>
            <w:bookmarkEnd w:id="567"/>
            <w:bookmarkEnd w:id="568"/>
          </w:p>
        </w:tc>
        <w:tc>
          <w:tcPr>
            <w:tcW w:w="450" w:type="dxa"/>
            <w:tcBorders>
              <w:bottom w:val="single" w:sz="4" w:space="0" w:color="auto"/>
            </w:tcBorders>
            <w:shd w:val="clear" w:color="auto" w:fill="auto"/>
            <w:vAlign w:val="center"/>
          </w:tcPr>
          <w:p w:rsidR="001A63C6" w:rsidRPr="00BD7CEA" w:rsidRDefault="006E5080" w:rsidP="006E7054">
            <w:pPr>
              <w:pStyle w:val="TableText"/>
              <w:widowControl w:val="0"/>
              <w:rPr>
                <w:rStyle w:val="EndnoteReference"/>
                <w:b w:val="0"/>
                <w:sz w:val="13"/>
                <w:szCs w:val="13"/>
                <w:u w:val="single"/>
              </w:rPr>
            </w:pPr>
            <w:hyperlink w:anchor="_105_Windows_Server" w:history="1">
              <w:r w:rsidR="00955428" w:rsidRPr="00BD7CEA">
                <w:rPr>
                  <w:rStyle w:val="Hyperlink"/>
                  <w:b/>
                  <w:sz w:val="13"/>
                  <w:szCs w:val="13"/>
                </w:rPr>
                <w:t>105</w:t>
              </w:r>
            </w:hyperlink>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spacing w:before="120"/>
              <w:rPr>
                <w:rFonts w:ascii="Tahoma" w:hAnsi="Tahoma" w:cs="Tahoma"/>
                <w:color w:val="000000"/>
                <w:sz w:val="13"/>
              </w:rPr>
            </w:pPr>
            <w:r w:rsidRPr="00BD7CEA">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BD7CEA"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p>
        </w:tc>
      </w:tr>
      <w:tr w:rsidR="00B33D0E" w:rsidRPr="00BD7CEA" w:rsidTr="006B1F3F">
        <w:trPr>
          <w:trHeight w:val="145"/>
        </w:trPr>
        <w:tc>
          <w:tcPr>
            <w:tcW w:w="2734" w:type="dxa"/>
            <w:gridSpan w:val="2"/>
            <w:tcBorders>
              <w:bottom w:val="single" w:sz="4" w:space="0" w:color="auto"/>
            </w:tcBorders>
            <w:shd w:val="clear" w:color="auto" w:fill="F4B083" w:themeFill="accent2" w:themeFillTint="99"/>
            <w:vAlign w:val="center"/>
          </w:tcPr>
          <w:p w:rsidR="001A63C6" w:rsidRPr="00BD7CEA" w:rsidRDefault="001A63C6" w:rsidP="001A63C6">
            <w:pPr>
              <w:pStyle w:val="Heading2"/>
              <w:spacing w:before="20" w:after="20"/>
              <w:ind w:left="0"/>
              <w:rPr>
                <w:rFonts w:ascii="Tahoma" w:hAnsi="Tahoma" w:cs="Tahoma"/>
                <w:b w:val="0"/>
                <w:sz w:val="14"/>
                <w:szCs w:val="14"/>
              </w:rPr>
            </w:pPr>
            <w:bookmarkStart w:id="569" w:name="_Toc336338142"/>
            <w:bookmarkStart w:id="570" w:name="_Toc353375921"/>
            <w:r w:rsidRPr="00BD7CEA">
              <w:rPr>
                <w:rFonts w:ascii="Tahoma" w:hAnsi="Tahoma" w:cs="Tahoma"/>
                <w:b w:val="0"/>
                <w:sz w:val="14"/>
                <w:szCs w:val="14"/>
              </w:rPr>
              <w:t>CAL per Windows Server™ 2012 (Dispositivo e Utente)</w:t>
            </w:r>
            <w:bookmarkEnd w:id="569"/>
            <w:bookmarkEnd w:id="570"/>
          </w:p>
        </w:tc>
        <w:tc>
          <w:tcPr>
            <w:tcW w:w="450" w:type="dxa"/>
            <w:tcBorders>
              <w:bottom w:val="single" w:sz="4" w:space="0" w:color="auto"/>
            </w:tcBorders>
            <w:shd w:val="clear" w:color="auto" w:fill="F4B083" w:themeFill="accent2" w:themeFillTint="99"/>
            <w:vAlign w:val="center"/>
          </w:tcPr>
          <w:p w:rsidR="001A63C6" w:rsidRPr="00BD7CEA" w:rsidRDefault="006E5080" w:rsidP="006E7054">
            <w:pPr>
              <w:pStyle w:val="TableText"/>
              <w:widowControl w:val="0"/>
              <w:rPr>
                <w:b/>
                <w:sz w:val="13"/>
                <w:szCs w:val="13"/>
                <w:u w:val="single"/>
              </w:rPr>
            </w:pPr>
            <w:hyperlink w:anchor="_106_Licenza_CAL" w:history="1">
              <w:r w:rsidR="00955428" w:rsidRPr="00BD7CEA">
                <w:rPr>
                  <w:rStyle w:val="Hyperlink"/>
                  <w:b/>
                  <w:sz w:val="13"/>
                  <w:szCs w:val="13"/>
                </w:rPr>
                <w:t>106</w:t>
              </w:r>
            </w:hyperlink>
          </w:p>
        </w:tc>
        <w:tc>
          <w:tcPr>
            <w:tcW w:w="450" w:type="dxa"/>
            <w:tcBorders>
              <w:bottom w:val="single" w:sz="4" w:space="0" w:color="auto"/>
            </w:tcBorders>
            <w:shd w:val="clear" w:color="auto" w:fill="F4B083" w:themeFill="accent2" w:themeFillTint="99"/>
            <w:vAlign w:val="center"/>
          </w:tcPr>
          <w:p w:rsidR="001A63C6" w:rsidRPr="00BD7CEA" w:rsidRDefault="001A63C6" w:rsidP="001A63C6">
            <w:pPr>
              <w:pStyle w:val="TableText"/>
              <w:widowControl w:val="0"/>
              <w:spacing w:before="120"/>
              <w:rPr>
                <w:rFonts w:ascii="Tahoma" w:hAnsi="Tahoma" w:cs="Tahoma"/>
                <w:color w:val="000000"/>
                <w:sz w:val="13"/>
              </w:rPr>
            </w:pPr>
            <w:r w:rsidRPr="00BD7CEA">
              <w:rPr>
                <w:rFonts w:ascii="Tahoma" w:hAnsi="Tahoma" w:cs="Tahoma"/>
                <w:color w:val="000000"/>
                <w:sz w:val="13"/>
              </w:rPr>
              <w:t>09/12</w:t>
            </w:r>
          </w:p>
        </w:tc>
        <w:tc>
          <w:tcPr>
            <w:tcW w:w="360" w:type="dxa"/>
            <w:tcBorders>
              <w:bottom w:val="single" w:sz="4" w:space="0" w:color="auto"/>
              <w:right w:val="single" w:sz="18"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3</w:t>
            </w:r>
          </w:p>
        </w:tc>
        <w:tc>
          <w:tcPr>
            <w:tcW w:w="450" w:type="dxa"/>
            <w:tcBorders>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360" w:type="dxa"/>
            <w:tcBorders>
              <w:bottom w:val="single" w:sz="4" w:space="0" w:color="auto"/>
              <w:right w:val="single" w:sz="18"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w:t>
            </w:r>
          </w:p>
        </w:tc>
        <w:tc>
          <w:tcPr>
            <w:tcW w:w="450" w:type="dxa"/>
            <w:tcBorders>
              <w:bottom w:val="single" w:sz="4" w:space="0" w:color="auto"/>
              <w:right w:val="single" w:sz="18"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bottom w:val="single" w:sz="4" w:space="0" w:color="auto"/>
              <w:right w:val="single" w:sz="18"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P</w:t>
            </w:r>
          </w:p>
        </w:tc>
        <w:tc>
          <w:tcPr>
            <w:tcW w:w="450" w:type="dxa"/>
            <w:tcBorders>
              <w:bottom w:val="single" w:sz="4" w:space="0" w:color="auto"/>
            </w:tcBorders>
            <w:shd w:val="clear" w:color="auto" w:fill="F4B083" w:themeFill="accent2" w:themeFillTint="99"/>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 ST</w:t>
            </w:r>
          </w:p>
        </w:tc>
        <w:tc>
          <w:tcPr>
            <w:tcW w:w="540" w:type="dxa"/>
            <w:tcBorders>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color w:val="000000"/>
                <w:sz w:val="13"/>
              </w:rPr>
            </w:pPr>
          </w:p>
        </w:tc>
      </w:tr>
      <w:tr w:rsidR="001A63C6" w:rsidRPr="00BD7CEA" w:rsidTr="007E466C">
        <w:trPr>
          <w:trHeight w:val="145"/>
        </w:trPr>
        <w:tc>
          <w:tcPr>
            <w:tcW w:w="2734" w:type="dxa"/>
            <w:gridSpan w:val="2"/>
            <w:tcBorders>
              <w:bottom w:val="single" w:sz="4" w:space="0" w:color="auto"/>
            </w:tcBorders>
            <w:shd w:val="clear" w:color="auto" w:fill="auto"/>
            <w:vAlign w:val="center"/>
          </w:tcPr>
          <w:p w:rsidR="001A63C6" w:rsidRPr="00BD7CEA" w:rsidRDefault="001A63C6" w:rsidP="001A63C6">
            <w:pPr>
              <w:pStyle w:val="Heading2"/>
              <w:spacing w:before="20" w:after="20"/>
              <w:ind w:left="0"/>
              <w:rPr>
                <w:rFonts w:ascii="Tahoma" w:hAnsi="Tahoma" w:cs="Tahoma"/>
                <w:b w:val="0"/>
                <w:sz w:val="14"/>
                <w:szCs w:val="14"/>
              </w:rPr>
            </w:pPr>
            <w:bookmarkStart w:id="571" w:name="_Toc336338143"/>
            <w:bookmarkStart w:id="572" w:name="_Toc353375922"/>
            <w:r w:rsidRPr="00BD7CEA">
              <w:rPr>
                <w:rFonts w:ascii="Tahoma" w:hAnsi="Tahoma" w:cs="Tahoma"/>
                <w:b w:val="0"/>
                <w:sz w:val="14"/>
                <w:szCs w:val="14"/>
              </w:rPr>
              <w:t>Windows Server™ 2012 Datacenter</w:t>
            </w:r>
            <w:bookmarkEnd w:id="571"/>
            <w:bookmarkEnd w:id="572"/>
          </w:p>
        </w:tc>
        <w:tc>
          <w:tcPr>
            <w:tcW w:w="450" w:type="dxa"/>
            <w:tcBorders>
              <w:bottom w:val="single" w:sz="4" w:space="0" w:color="auto"/>
            </w:tcBorders>
            <w:shd w:val="clear" w:color="auto" w:fill="auto"/>
            <w:vAlign w:val="center"/>
          </w:tcPr>
          <w:p w:rsidR="001A63C6" w:rsidRPr="00BD7CEA" w:rsidRDefault="006E5080" w:rsidP="006E7054">
            <w:pPr>
              <w:pStyle w:val="TableText"/>
              <w:widowControl w:val="0"/>
              <w:rPr>
                <w:rStyle w:val="EndnoteReference"/>
                <w:b w:val="0"/>
                <w:color w:val="0070C0"/>
                <w:sz w:val="13"/>
                <w:szCs w:val="13"/>
                <w:u w:val="single"/>
              </w:rPr>
            </w:pPr>
            <w:hyperlink w:anchor="_107_Windows_Server" w:history="1">
              <w:r w:rsidR="00955428" w:rsidRPr="00BD7CEA">
                <w:rPr>
                  <w:rStyle w:val="Hyperlink"/>
                  <w:b/>
                  <w:sz w:val="13"/>
                  <w:szCs w:val="13"/>
                </w:rPr>
                <w:t>107</w:t>
              </w:r>
            </w:hyperlink>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spacing w:before="120"/>
              <w:rPr>
                <w:rFonts w:ascii="Tahoma" w:hAnsi="Tahoma" w:cs="Tahoma"/>
                <w:color w:val="000000"/>
                <w:sz w:val="13"/>
              </w:rPr>
            </w:pPr>
            <w:r w:rsidRPr="00BD7CEA">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50</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125</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100</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75</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75</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50</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P</w:t>
            </w:r>
          </w:p>
        </w:tc>
        <w:tc>
          <w:tcPr>
            <w:tcW w:w="450" w:type="dxa"/>
            <w:tcBorders>
              <w:bottom w:val="single" w:sz="4" w:space="0" w:color="auto"/>
            </w:tcBorders>
            <w:shd w:val="clear" w:color="auto" w:fill="auto"/>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w:t>
            </w: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OL/OV</w:t>
            </w:r>
          </w:p>
        </w:tc>
      </w:tr>
      <w:tr w:rsidR="00B33D0E" w:rsidRPr="00BD7CEA" w:rsidTr="006B1F3F">
        <w:trPr>
          <w:trHeight w:val="145"/>
        </w:trPr>
        <w:tc>
          <w:tcPr>
            <w:tcW w:w="2734" w:type="dxa"/>
            <w:gridSpan w:val="2"/>
            <w:tcBorders>
              <w:bottom w:val="single" w:sz="4" w:space="0" w:color="auto"/>
            </w:tcBorders>
            <w:shd w:val="clear" w:color="auto" w:fill="F4B083" w:themeFill="accent2" w:themeFillTint="99"/>
            <w:vAlign w:val="center"/>
          </w:tcPr>
          <w:p w:rsidR="001A63C6" w:rsidRPr="00BD7CEA" w:rsidRDefault="001A63C6" w:rsidP="001A63C6">
            <w:pPr>
              <w:pStyle w:val="Heading2"/>
              <w:spacing w:before="20" w:after="20"/>
              <w:ind w:left="0"/>
              <w:rPr>
                <w:rFonts w:ascii="Tahoma" w:hAnsi="Tahoma" w:cs="Tahoma"/>
                <w:b w:val="0"/>
                <w:sz w:val="14"/>
                <w:szCs w:val="14"/>
              </w:rPr>
            </w:pPr>
            <w:bookmarkStart w:id="573" w:name="_Toc336338144"/>
            <w:bookmarkStart w:id="574" w:name="_Toc353375923"/>
            <w:r w:rsidRPr="00BD7CEA">
              <w:rPr>
                <w:rFonts w:ascii="Tahoma" w:hAnsi="Tahoma" w:cs="Tahoma"/>
                <w:b w:val="0"/>
                <w:sz w:val="14"/>
                <w:szCs w:val="14"/>
              </w:rPr>
              <w:t>Windows Server™ 2012 Standard</w:t>
            </w:r>
            <w:bookmarkEnd w:id="573"/>
            <w:bookmarkEnd w:id="574"/>
          </w:p>
        </w:tc>
        <w:tc>
          <w:tcPr>
            <w:tcW w:w="450" w:type="dxa"/>
            <w:tcBorders>
              <w:bottom w:val="single" w:sz="4" w:space="0" w:color="auto"/>
            </w:tcBorders>
            <w:shd w:val="clear" w:color="auto" w:fill="F4B083" w:themeFill="accent2" w:themeFillTint="99"/>
            <w:vAlign w:val="center"/>
          </w:tcPr>
          <w:p w:rsidR="001A63C6" w:rsidRPr="00BD7CEA" w:rsidRDefault="006E5080" w:rsidP="006E7054">
            <w:pPr>
              <w:pStyle w:val="TableText"/>
              <w:widowControl w:val="0"/>
              <w:rPr>
                <w:rStyle w:val="EndnoteReference"/>
                <w:b w:val="0"/>
                <w:color w:val="0070C0"/>
                <w:sz w:val="13"/>
                <w:szCs w:val="13"/>
                <w:u w:val="single"/>
                <w:vertAlign w:val="baseline"/>
              </w:rPr>
            </w:pPr>
            <w:hyperlink w:anchor="_108_Windows_Server" w:history="1">
              <w:r w:rsidR="00955428" w:rsidRPr="00BD7CEA">
                <w:rPr>
                  <w:rStyle w:val="Hyperlink"/>
                  <w:b/>
                  <w:sz w:val="13"/>
                  <w:szCs w:val="13"/>
                </w:rPr>
                <w:t>108</w:t>
              </w:r>
            </w:hyperlink>
          </w:p>
        </w:tc>
        <w:tc>
          <w:tcPr>
            <w:tcW w:w="450" w:type="dxa"/>
            <w:tcBorders>
              <w:bottom w:val="single" w:sz="4" w:space="0" w:color="auto"/>
            </w:tcBorders>
            <w:shd w:val="clear" w:color="auto" w:fill="F4B083" w:themeFill="accent2" w:themeFillTint="99"/>
            <w:vAlign w:val="center"/>
          </w:tcPr>
          <w:p w:rsidR="001A63C6" w:rsidRPr="00BD7CEA" w:rsidRDefault="001A63C6" w:rsidP="001A63C6">
            <w:pPr>
              <w:pStyle w:val="TableText"/>
              <w:widowControl w:val="0"/>
              <w:spacing w:before="120"/>
              <w:rPr>
                <w:rFonts w:ascii="Tahoma" w:hAnsi="Tahoma" w:cs="Tahoma"/>
                <w:color w:val="000000"/>
                <w:sz w:val="13"/>
              </w:rPr>
            </w:pPr>
            <w:r w:rsidRPr="00BD7CEA">
              <w:rPr>
                <w:rFonts w:ascii="Tahoma" w:hAnsi="Tahoma" w:cs="Tahoma"/>
                <w:color w:val="000000"/>
                <w:sz w:val="13"/>
              </w:rPr>
              <w:t>08/12</w:t>
            </w:r>
          </w:p>
        </w:tc>
        <w:tc>
          <w:tcPr>
            <w:tcW w:w="360" w:type="dxa"/>
            <w:tcBorders>
              <w:bottom w:val="single" w:sz="4" w:space="0" w:color="auto"/>
              <w:right w:val="single" w:sz="18"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15</w:t>
            </w:r>
          </w:p>
        </w:tc>
        <w:tc>
          <w:tcPr>
            <w:tcW w:w="450" w:type="dxa"/>
            <w:tcBorders>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38</w:t>
            </w:r>
          </w:p>
        </w:tc>
        <w:tc>
          <w:tcPr>
            <w:tcW w:w="450" w:type="dxa"/>
            <w:tcBorders>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30</w:t>
            </w:r>
          </w:p>
        </w:tc>
        <w:tc>
          <w:tcPr>
            <w:tcW w:w="450" w:type="dxa"/>
            <w:tcBorders>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23</w:t>
            </w:r>
          </w:p>
        </w:tc>
        <w:tc>
          <w:tcPr>
            <w:tcW w:w="450" w:type="dxa"/>
            <w:tcBorders>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23</w:t>
            </w:r>
          </w:p>
        </w:tc>
        <w:tc>
          <w:tcPr>
            <w:tcW w:w="450" w:type="dxa"/>
            <w:tcBorders>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15</w:t>
            </w:r>
          </w:p>
        </w:tc>
        <w:tc>
          <w:tcPr>
            <w:tcW w:w="360" w:type="dxa"/>
            <w:tcBorders>
              <w:bottom w:val="single" w:sz="4" w:space="0" w:color="auto"/>
              <w:right w:val="single" w:sz="18"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8</w:t>
            </w:r>
          </w:p>
        </w:tc>
        <w:tc>
          <w:tcPr>
            <w:tcW w:w="450" w:type="dxa"/>
            <w:tcBorders>
              <w:left w:val="single" w:sz="18" w:space="0" w:color="auto"/>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15</w:t>
            </w:r>
          </w:p>
        </w:tc>
        <w:tc>
          <w:tcPr>
            <w:tcW w:w="450" w:type="dxa"/>
            <w:tcBorders>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30</w:t>
            </w:r>
          </w:p>
        </w:tc>
        <w:tc>
          <w:tcPr>
            <w:tcW w:w="450" w:type="dxa"/>
            <w:tcBorders>
              <w:bottom w:val="single" w:sz="4" w:space="0" w:color="auto"/>
              <w:right w:val="single" w:sz="18"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15</w:t>
            </w:r>
          </w:p>
        </w:tc>
        <w:tc>
          <w:tcPr>
            <w:tcW w:w="450" w:type="dxa"/>
            <w:tcBorders>
              <w:left w:val="single" w:sz="18" w:space="0" w:color="auto"/>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15</w:t>
            </w:r>
          </w:p>
        </w:tc>
        <w:tc>
          <w:tcPr>
            <w:tcW w:w="450" w:type="dxa"/>
            <w:tcBorders>
              <w:bottom w:val="single" w:sz="4" w:space="0" w:color="auto"/>
              <w:right w:val="single" w:sz="18"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P</w:t>
            </w:r>
          </w:p>
        </w:tc>
        <w:tc>
          <w:tcPr>
            <w:tcW w:w="450" w:type="dxa"/>
            <w:tcBorders>
              <w:bottom w:val="single" w:sz="4" w:space="0" w:color="auto"/>
            </w:tcBorders>
            <w:shd w:val="clear" w:color="auto" w:fill="F4B083" w:themeFill="accent2" w:themeFillTint="99"/>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w:t>
            </w:r>
          </w:p>
        </w:tc>
        <w:tc>
          <w:tcPr>
            <w:tcW w:w="540" w:type="dxa"/>
            <w:tcBorders>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color w:val="000000"/>
                <w:sz w:val="13"/>
              </w:rPr>
            </w:pPr>
          </w:p>
        </w:tc>
      </w:tr>
      <w:tr w:rsidR="001A63C6" w:rsidRPr="00BD7CEA" w:rsidTr="007E466C">
        <w:trPr>
          <w:trHeight w:val="145"/>
        </w:trPr>
        <w:tc>
          <w:tcPr>
            <w:tcW w:w="2734" w:type="dxa"/>
            <w:gridSpan w:val="2"/>
            <w:tcBorders>
              <w:bottom w:val="single" w:sz="4" w:space="0" w:color="auto"/>
            </w:tcBorders>
            <w:shd w:val="clear" w:color="auto" w:fill="auto"/>
            <w:vAlign w:val="center"/>
          </w:tcPr>
          <w:p w:rsidR="001A63C6" w:rsidRPr="00BD7CEA" w:rsidRDefault="001A63C6" w:rsidP="001A63C6">
            <w:pPr>
              <w:pStyle w:val="Heading2"/>
              <w:spacing w:before="20" w:after="20"/>
              <w:ind w:left="0"/>
              <w:rPr>
                <w:rFonts w:ascii="Tahoma" w:hAnsi="Tahoma" w:cs="Tahoma"/>
                <w:b w:val="0"/>
                <w:sz w:val="14"/>
                <w:szCs w:val="14"/>
              </w:rPr>
            </w:pPr>
            <w:bookmarkStart w:id="575" w:name="_Toc336338145"/>
            <w:bookmarkStart w:id="576" w:name="_Toc353375924"/>
            <w:r w:rsidRPr="00BD7CEA">
              <w:rPr>
                <w:rFonts w:ascii="Tahoma" w:hAnsi="Tahoma" w:cs="Tahoma"/>
                <w:b w:val="0"/>
                <w:sz w:val="14"/>
                <w:szCs w:val="14"/>
              </w:rPr>
              <w:t>External Connector per Windows Server™</w:t>
            </w:r>
            <w:bookmarkEnd w:id="575"/>
            <w:bookmarkEnd w:id="576"/>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Style w:val="EndnoteReference"/>
                <w:sz w:val="13"/>
                <w:szCs w:val="13"/>
                <w:u w:val="single"/>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spacing w:before="160"/>
              <w:rPr>
                <w:rFonts w:ascii="Tahoma" w:hAnsi="Tahoma" w:cs="Tahoma"/>
                <w:color w:val="000000"/>
                <w:sz w:val="13"/>
              </w:rPr>
            </w:pPr>
            <w:r w:rsidRPr="00BD7CEA">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25</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63</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50</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38</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38</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25</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P</w:t>
            </w:r>
          </w:p>
        </w:tc>
        <w:tc>
          <w:tcPr>
            <w:tcW w:w="450" w:type="dxa"/>
            <w:tcBorders>
              <w:bottom w:val="single" w:sz="4" w:space="0" w:color="auto"/>
            </w:tcBorders>
            <w:shd w:val="clear" w:color="auto" w:fill="auto"/>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w:t>
            </w: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OL/OV</w:t>
            </w:r>
          </w:p>
        </w:tc>
      </w:tr>
      <w:tr w:rsidR="00B33D0E" w:rsidRPr="00BD7CEA" w:rsidTr="006B1F3F">
        <w:trPr>
          <w:trHeight w:val="145"/>
        </w:trPr>
        <w:tc>
          <w:tcPr>
            <w:tcW w:w="2734" w:type="dxa"/>
            <w:gridSpan w:val="2"/>
            <w:tcBorders>
              <w:bottom w:val="single" w:sz="4" w:space="0" w:color="auto"/>
            </w:tcBorders>
            <w:shd w:val="clear" w:color="auto" w:fill="F4B083" w:themeFill="accent2" w:themeFillTint="99"/>
            <w:vAlign w:val="center"/>
          </w:tcPr>
          <w:p w:rsidR="001A63C6" w:rsidRPr="007B74B7" w:rsidRDefault="001A63C6" w:rsidP="001A63C6">
            <w:pPr>
              <w:pStyle w:val="Heading2"/>
              <w:spacing w:before="20" w:after="20"/>
              <w:ind w:left="0"/>
              <w:rPr>
                <w:rFonts w:ascii="Tahoma" w:hAnsi="Tahoma" w:cs="Tahoma"/>
                <w:b w:val="0"/>
                <w:sz w:val="14"/>
                <w:szCs w:val="14"/>
                <w:lang w:val="it-IT"/>
              </w:rPr>
            </w:pPr>
            <w:bookmarkStart w:id="577" w:name="_Toc336338146"/>
            <w:bookmarkStart w:id="578" w:name="_Toc353375925"/>
            <w:r w:rsidRPr="007B74B7">
              <w:rPr>
                <w:rFonts w:ascii="Tahoma" w:hAnsi="Tahoma" w:cs="Tahoma"/>
                <w:b w:val="0"/>
                <w:sz w:val="14"/>
                <w:szCs w:val="14"/>
                <w:lang w:val="it-IT"/>
              </w:rPr>
              <w:t>CAL per Servizi Desktop Remoto Windows Server™ 2012</w:t>
            </w:r>
            <w:bookmarkEnd w:id="577"/>
            <w:bookmarkEnd w:id="578"/>
          </w:p>
        </w:tc>
        <w:tc>
          <w:tcPr>
            <w:tcW w:w="450" w:type="dxa"/>
            <w:tcBorders>
              <w:bottom w:val="single" w:sz="4" w:space="0" w:color="auto"/>
            </w:tcBorders>
            <w:shd w:val="clear" w:color="auto" w:fill="F4B083" w:themeFill="accent2" w:themeFillTint="99"/>
            <w:vAlign w:val="center"/>
          </w:tcPr>
          <w:p w:rsidR="001A63C6" w:rsidRPr="007B74B7" w:rsidRDefault="001A63C6" w:rsidP="001A63C6">
            <w:pPr>
              <w:pStyle w:val="TableText"/>
              <w:widowControl w:val="0"/>
              <w:rPr>
                <w:rStyle w:val="EndnoteReference"/>
                <w:sz w:val="13"/>
                <w:szCs w:val="13"/>
                <w:u w:val="single"/>
                <w:lang w:val="it-IT"/>
              </w:rPr>
            </w:pPr>
          </w:p>
        </w:tc>
        <w:tc>
          <w:tcPr>
            <w:tcW w:w="450" w:type="dxa"/>
            <w:tcBorders>
              <w:bottom w:val="single" w:sz="4" w:space="0" w:color="auto"/>
            </w:tcBorders>
            <w:shd w:val="clear" w:color="auto" w:fill="F4B083" w:themeFill="accent2" w:themeFillTint="99"/>
            <w:vAlign w:val="center"/>
          </w:tcPr>
          <w:p w:rsidR="001A63C6" w:rsidRPr="00BD7CEA" w:rsidRDefault="001A63C6" w:rsidP="001A63C6">
            <w:pPr>
              <w:pStyle w:val="TableText"/>
              <w:widowControl w:val="0"/>
              <w:spacing w:before="160"/>
              <w:rPr>
                <w:rFonts w:ascii="Tahoma" w:hAnsi="Tahoma" w:cs="Tahoma"/>
                <w:color w:val="000000"/>
                <w:sz w:val="13"/>
              </w:rPr>
            </w:pPr>
            <w:r w:rsidRPr="00BD7CEA">
              <w:rPr>
                <w:rFonts w:ascii="Tahoma" w:hAnsi="Tahoma" w:cs="Tahoma"/>
                <w:color w:val="000000"/>
                <w:sz w:val="13"/>
              </w:rPr>
              <w:t>09/12</w:t>
            </w:r>
          </w:p>
        </w:tc>
        <w:tc>
          <w:tcPr>
            <w:tcW w:w="360" w:type="dxa"/>
            <w:tcBorders>
              <w:bottom w:val="single" w:sz="4" w:space="0" w:color="auto"/>
              <w:right w:val="single" w:sz="18"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3</w:t>
            </w:r>
          </w:p>
        </w:tc>
        <w:tc>
          <w:tcPr>
            <w:tcW w:w="450" w:type="dxa"/>
            <w:tcBorders>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360" w:type="dxa"/>
            <w:tcBorders>
              <w:bottom w:val="single" w:sz="4" w:space="0" w:color="auto"/>
              <w:right w:val="single" w:sz="18"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w:t>
            </w:r>
          </w:p>
        </w:tc>
        <w:tc>
          <w:tcPr>
            <w:tcW w:w="450" w:type="dxa"/>
            <w:tcBorders>
              <w:bottom w:val="single" w:sz="4" w:space="0" w:color="auto"/>
              <w:right w:val="single" w:sz="18"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bottom w:val="single" w:sz="4" w:space="0" w:color="auto"/>
              <w:right w:val="single" w:sz="18"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A,D</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P</w:t>
            </w:r>
          </w:p>
        </w:tc>
        <w:tc>
          <w:tcPr>
            <w:tcW w:w="450" w:type="dxa"/>
            <w:tcBorders>
              <w:bottom w:val="single" w:sz="4" w:space="0" w:color="auto"/>
            </w:tcBorders>
            <w:shd w:val="clear" w:color="auto" w:fill="F4B083" w:themeFill="accent2" w:themeFillTint="99"/>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 ST</w:t>
            </w:r>
          </w:p>
        </w:tc>
        <w:tc>
          <w:tcPr>
            <w:tcW w:w="540" w:type="dxa"/>
            <w:tcBorders>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color w:val="000000"/>
                <w:sz w:val="13"/>
              </w:rPr>
            </w:pPr>
          </w:p>
        </w:tc>
      </w:tr>
      <w:tr w:rsidR="001A63C6" w:rsidRPr="00BD7CEA" w:rsidTr="007E466C">
        <w:trPr>
          <w:trHeight w:val="431"/>
        </w:trPr>
        <w:tc>
          <w:tcPr>
            <w:tcW w:w="2734" w:type="dxa"/>
            <w:gridSpan w:val="2"/>
            <w:tcBorders>
              <w:bottom w:val="single" w:sz="4" w:space="0" w:color="auto"/>
            </w:tcBorders>
            <w:shd w:val="clear" w:color="auto" w:fill="auto"/>
            <w:vAlign w:val="center"/>
          </w:tcPr>
          <w:p w:rsidR="001A63C6" w:rsidRPr="00BD7CEA" w:rsidRDefault="001A63C6" w:rsidP="001A63C6">
            <w:pPr>
              <w:pStyle w:val="Heading2"/>
              <w:spacing w:before="20" w:after="20"/>
              <w:ind w:left="0"/>
              <w:rPr>
                <w:rFonts w:ascii="Tahoma" w:hAnsi="Tahoma" w:cs="Tahoma"/>
                <w:b w:val="0"/>
                <w:sz w:val="14"/>
                <w:szCs w:val="14"/>
              </w:rPr>
            </w:pPr>
            <w:bookmarkStart w:id="579" w:name="_Toc336338147"/>
            <w:bookmarkStart w:id="580" w:name="_Toc353375926"/>
            <w:r w:rsidRPr="00BD7CEA">
              <w:rPr>
                <w:rFonts w:ascii="Tahoma" w:hAnsi="Tahoma" w:cs="Tahoma"/>
                <w:b w:val="0"/>
                <w:sz w:val="14"/>
                <w:szCs w:val="14"/>
              </w:rPr>
              <w:t>External Connector per Servizi Desktop Remoto Windows Server™ 2012</w:t>
            </w:r>
            <w:bookmarkEnd w:id="579"/>
            <w:bookmarkEnd w:id="580"/>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Style w:val="EndnoteReference"/>
                <w:sz w:val="13"/>
                <w:szCs w:val="13"/>
                <w:u w:val="single"/>
              </w:rPr>
            </w:pP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spacing w:before="160"/>
              <w:rPr>
                <w:rFonts w:ascii="Tahoma" w:hAnsi="Tahoma" w:cs="Tahoma"/>
                <w:color w:val="000000"/>
                <w:sz w:val="13"/>
              </w:rPr>
            </w:pPr>
            <w:r w:rsidRPr="00BD7CEA">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75</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188</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150</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113</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113</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75</w:t>
            </w:r>
          </w:p>
        </w:tc>
        <w:tc>
          <w:tcPr>
            <w:tcW w:w="36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38</w:t>
            </w: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75</w:t>
            </w:r>
          </w:p>
        </w:tc>
        <w:tc>
          <w:tcPr>
            <w:tcW w:w="45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150</w:t>
            </w: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75</w:t>
            </w:r>
          </w:p>
        </w:tc>
        <w:tc>
          <w:tcPr>
            <w:tcW w:w="450" w:type="dxa"/>
            <w:tcBorders>
              <w:left w:val="single" w:sz="18" w:space="0" w:color="auto"/>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P</w:t>
            </w:r>
          </w:p>
        </w:tc>
        <w:tc>
          <w:tcPr>
            <w:tcW w:w="450" w:type="dxa"/>
            <w:tcBorders>
              <w:bottom w:val="single" w:sz="4" w:space="0" w:color="auto"/>
            </w:tcBorders>
            <w:shd w:val="clear" w:color="auto" w:fill="auto"/>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w:t>
            </w:r>
          </w:p>
        </w:tc>
        <w:tc>
          <w:tcPr>
            <w:tcW w:w="540" w:type="dxa"/>
            <w:tcBorders>
              <w:bottom w:val="single" w:sz="4" w:space="0" w:color="auto"/>
            </w:tcBorders>
            <w:shd w:val="clear" w:color="auto" w:fill="auto"/>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OL/OV</w:t>
            </w:r>
          </w:p>
        </w:tc>
      </w:tr>
      <w:tr w:rsidR="00B33D0E" w:rsidRPr="00BD7CEA" w:rsidTr="006B1F3F">
        <w:trPr>
          <w:trHeight w:val="145"/>
        </w:trPr>
        <w:tc>
          <w:tcPr>
            <w:tcW w:w="2734" w:type="dxa"/>
            <w:gridSpan w:val="2"/>
            <w:tcBorders>
              <w:bottom w:val="single" w:sz="4" w:space="0" w:color="auto"/>
            </w:tcBorders>
            <w:shd w:val="clear" w:color="auto" w:fill="F4B083" w:themeFill="accent2" w:themeFillTint="99"/>
            <w:vAlign w:val="center"/>
          </w:tcPr>
          <w:p w:rsidR="001A63C6" w:rsidRPr="00BD7CEA" w:rsidRDefault="001A63C6" w:rsidP="001A63C6">
            <w:pPr>
              <w:pStyle w:val="Heading2"/>
              <w:spacing w:before="20" w:after="20"/>
              <w:ind w:left="0"/>
              <w:rPr>
                <w:rFonts w:ascii="Tahoma" w:hAnsi="Tahoma" w:cs="Tahoma"/>
                <w:b w:val="0"/>
                <w:sz w:val="14"/>
                <w:szCs w:val="14"/>
              </w:rPr>
            </w:pPr>
            <w:bookmarkStart w:id="581" w:name="_Toc336338148"/>
            <w:bookmarkStart w:id="582" w:name="_Toc353375927"/>
            <w:r w:rsidRPr="00BD7CEA">
              <w:rPr>
                <w:rFonts w:ascii="Tahoma" w:hAnsi="Tahoma" w:cs="Tahoma"/>
                <w:b w:val="0"/>
                <w:sz w:val="14"/>
                <w:szCs w:val="14"/>
              </w:rPr>
              <w:t>CAL per Windows Server™ 2012 Active Directory Rights Management Services</w:t>
            </w:r>
            <w:bookmarkEnd w:id="581"/>
            <w:bookmarkEnd w:id="582"/>
          </w:p>
        </w:tc>
        <w:tc>
          <w:tcPr>
            <w:tcW w:w="450" w:type="dxa"/>
            <w:tcBorders>
              <w:bottom w:val="single" w:sz="4" w:space="0" w:color="auto"/>
            </w:tcBorders>
            <w:shd w:val="clear" w:color="auto" w:fill="F4B083" w:themeFill="accent2" w:themeFillTint="99"/>
            <w:vAlign w:val="center"/>
          </w:tcPr>
          <w:p w:rsidR="001A63C6" w:rsidRPr="00BD7CEA" w:rsidRDefault="001A63C6" w:rsidP="001A63C6">
            <w:pPr>
              <w:pStyle w:val="TableText"/>
              <w:widowControl w:val="0"/>
              <w:rPr>
                <w:rStyle w:val="EndnoteReference"/>
                <w:sz w:val="13"/>
                <w:szCs w:val="13"/>
                <w:u w:val="single"/>
              </w:rPr>
            </w:pPr>
          </w:p>
        </w:tc>
        <w:tc>
          <w:tcPr>
            <w:tcW w:w="450" w:type="dxa"/>
            <w:tcBorders>
              <w:bottom w:val="single" w:sz="4" w:space="0" w:color="auto"/>
            </w:tcBorders>
            <w:shd w:val="clear" w:color="auto" w:fill="F4B083" w:themeFill="accent2" w:themeFillTint="99"/>
            <w:vAlign w:val="center"/>
          </w:tcPr>
          <w:p w:rsidR="001A63C6" w:rsidRPr="00BD7CEA" w:rsidRDefault="001A63C6" w:rsidP="001A63C6">
            <w:pPr>
              <w:pStyle w:val="TableText"/>
              <w:widowControl w:val="0"/>
              <w:spacing w:before="160"/>
              <w:rPr>
                <w:rFonts w:ascii="Tahoma" w:hAnsi="Tahoma" w:cs="Tahoma"/>
                <w:color w:val="000000"/>
                <w:sz w:val="13"/>
              </w:rPr>
            </w:pPr>
            <w:r w:rsidRPr="00BD7CEA">
              <w:rPr>
                <w:rFonts w:ascii="Tahoma" w:hAnsi="Tahoma" w:cs="Tahoma"/>
                <w:color w:val="000000"/>
                <w:sz w:val="13"/>
              </w:rPr>
              <w:t>09/12</w:t>
            </w:r>
          </w:p>
        </w:tc>
        <w:tc>
          <w:tcPr>
            <w:tcW w:w="360" w:type="dxa"/>
            <w:tcBorders>
              <w:bottom w:val="single" w:sz="4" w:space="0" w:color="auto"/>
              <w:right w:val="single" w:sz="18"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color w:val="000000"/>
                <w:sz w:val="13"/>
              </w:rPr>
            </w:pPr>
            <w:r w:rsidRPr="00BD7CEA">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3</w:t>
            </w:r>
          </w:p>
        </w:tc>
        <w:tc>
          <w:tcPr>
            <w:tcW w:w="450" w:type="dxa"/>
            <w:tcBorders>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360" w:type="dxa"/>
            <w:tcBorders>
              <w:bottom w:val="single" w:sz="4" w:space="0" w:color="auto"/>
              <w:right w:val="single" w:sz="18"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2</w:t>
            </w:r>
          </w:p>
        </w:tc>
        <w:tc>
          <w:tcPr>
            <w:tcW w:w="450" w:type="dxa"/>
            <w:tcBorders>
              <w:bottom w:val="single" w:sz="4" w:space="0" w:color="auto"/>
              <w:right w:val="single" w:sz="18"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1</w:t>
            </w:r>
          </w:p>
        </w:tc>
        <w:tc>
          <w:tcPr>
            <w:tcW w:w="450" w:type="dxa"/>
            <w:tcBorders>
              <w:bottom w:val="single" w:sz="4" w:space="0" w:color="auto"/>
              <w:right w:val="single" w:sz="18"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P</w:t>
            </w:r>
          </w:p>
        </w:tc>
        <w:tc>
          <w:tcPr>
            <w:tcW w:w="450" w:type="dxa"/>
            <w:tcBorders>
              <w:bottom w:val="single" w:sz="4" w:space="0" w:color="auto"/>
            </w:tcBorders>
            <w:shd w:val="clear" w:color="auto" w:fill="F4B083" w:themeFill="accent2" w:themeFillTint="99"/>
          </w:tcPr>
          <w:p w:rsidR="001A63C6" w:rsidRPr="00BD7CEA" w:rsidRDefault="001A63C6" w:rsidP="001A63C6">
            <w:pPr>
              <w:pStyle w:val="TableText"/>
              <w:widowControl w:val="0"/>
              <w:rPr>
                <w:rFonts w:ascii="Tahoma" w:hAnsi="Tahoma" w:cs="Tahoma"/>
                <w:sz w:val="13"/>
              </w:rPr>
            </w:pPr>
            <w:r w:rsidRPr="00BD7CEA">
              <w:rPr>
                <w:rFonts w:ascii="Tahoma" w:hAnsi="Tahoma" w:cs="Tahoma"/>
                <w:sz w:val="13"/>
              </w:rPr>
              <w:t>A, ST</w:t>
            </w:r>
          </w:p>
        </w:tc>
        <w:tc>
          <w:tcPr>
            <w:tcW w:w="540" w:type="dxa"/>
            <w:tcBorders>
              <w:bottom w:val="single" w:sz="4" w:space="0" w:color="auto"/>
            </w:tcBorders>
            <w:shd w:val="clear" w:color="auto" w:fill="F4B083" w:themeFill="accent2" w:themeFillTint="99"/>
            <w:vAlign w:val="center"/>
          </w:tcPr>
          <w:p w:rsidR="001A63C6" w:rsidRPr="00BD7CEA" w:rsidRDefault="001A63C6" w:rsidP="001A63C6">
            <w:pPr>
              <w:pStyle w:val="TableText"/>
              <w:widowControl w:val="0"/>
              <w:rPr>
                <w:rFonts w:ascii="Tahoma" w:hAnsi="Tahoma" w:cs="Tahoma"/>
                <w:color w:val="000000"/>
                <w:sz w:val="13"/>
              </w:rPr>
            </w:pPr>
          </w:p>
        </w:tc>
      </w:tr>
      <w:tr w:rsidR="001A63C6" w:rsidRPr="00BD7CEA" w:rsidTr="007E466C">
        <w:trPr>
          <w:trHeight w:val="467"/>
        </w:trPr>
        <w:tc>
          <w:tcPr>
            <w:tcW w:w="2734" w:type="dxa"/>
            <w:gridSpan w:val="2"/>
            <w:tcBorders>
              <w:bottom w:val="single" w:sz="4" w:space="0" w:color="auto"/>
            </w:tcBorders>
            <w:shd w:val="clear" w:color="auto" w:fill="auto"/>
            <w:vAlign w:val="center"/>
          </w:tcPr>
          <w:p w:rsidR="001A63C6" w:rsidRPr="00BD7CEA" w:rsidRDefault="001A63C6" w:rsidP="00095F5D">
            <w:pPr>
              <w:pStyle w:val="Heading2"/>
              <w:spacing w:before="20" w:after="20"/>
              <w:ind w:left="0"/>
              <w:rPr>
                <w:rFonts w:ascii="Tahoma" w:hAnsi="Tahoma" w:cs="Tahoma"/>
                <w:b w:val="0"/>
                <w:sz w:val="14"/>
                <w:szCs w:val="14"/>
              </w:rPr>
            </w:pPr>
            <w:bookmarkStart w:id="583" w:name="_Toc336338149"/>
            <w:bookmarkStart w:id="584" w:name="_Toc353375928"/>
            <w:r w:rsidRPr="00BD7CEA">
              <w:rPr>
                <w:rFonts w:ascii="Tahoma" w:hAnsi="Tahoma" w:cs="Tahoma"/>
                <w:b w:val="0"/>
                <w:sz w:val="14"/>
                <w:szCs w:val="14"/>
              </w:rPr>
              <w:t>External Connector per Windows Server™ Active Directory Rights Management Services</w:t>
            </w:r>
            <w:bookmarkEnd w:id="583"/>
            <w:bookmarkEnd w:id="584"/>
          </w:p>
        </w:tc>
        <w:tc>
          <w:tcPr>
            <w:tcW w:w="450" w:type="dxa"/>
            <w:tcBorders>
              <w:bottom w:val="single" w:sz="4" w:space="0" w:color="auto"/>
            </w:tcBorders>
            <w:shd w:val="clear" w:color="auto" w:fill="auto"/>
            <w:vAlign w:val="center"/>
          </w:tcPr>
          <w:p w:rsidR="001A63C6" w:rsidRPr="00BD7CEA" w:rsidRDefault="001A63C6" w:rsidP="00095F5D">
            <w:pPr>
              <w:pStyle w:val="TableText"/>
              <w:widowControl w:val="0"/>
              <w:rPr>
                <w:rStyle w:val="EndnoteReference"/>
                <w:sz w:val="13"/>
                <w:szCs w:val="13"/>
                <w:u w:val="single"/>
              </w:rPr>
            </w:pPr>
          </w:p>
        </w:tc>
        <w:tc>
          <w:tcPr>
            <w:tcW w:w="450" w:type="dxa"/>
            <w:tcBorders>
              <w:bottom w:val="single" w:sz="4" w:space="0" w:color="auto"/>
            </w:tcBorders>
            <w:shd w:val="clear" w:color="auto" w:fill="auto"/>
            <w:vAlign w:val="center"/>
          </w:tcPr>
          <w:p w:rsidR="001A63C6" w:rsidRPr="00BD7CEA" w:rsidRDefault="001A63C6" w:rsidP="00095F5D">
            <w:pPr>
              <w:pStyle w:val="TableText"/>
              <w:widowControl w:val="0"/>
              <w:spacing w:before="160"/>
              <w:rPr>
                <w:rFonts w:ascii="Tahoma" w:hAnsi="Tahoma" w:cs="Tahoma"/>
                <w:color w:val="000000"/>
                <w:sz w:val="13"/>
              </w:rPr>
            </w:pPr>
            <w:r w:rsidRPr="00BD7CEA">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BD7CEA" w:rsidRDefault="001A63C6" w:rsidP="00095F5D">
            <w:pPr>
              <w:pStyle w:val="TableText"/>
              <w:widowControl w:val="0"/>
              <w:rPr>
                <w:rFonts w:ascii="Tahoma" w:hAnsi="Tahoma" w:cs="Tahoma"/>
                <w:color w:val="000000"/>
                <w:sz w:val="13"/>
              </w:rPr>
            </w:pPr>
            <w:r w:rsidRPr="00BD7CE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BD7CEA" w:rsidRDefault="001A63C6" w:rsidP="00095F5D">
            <w:pPr>
              <w:pStyle w:val="TableText"/>
              <w:widowControl w:val="0"/>
              <w:rPr>
                <w:rFonts w:ascii="Tahoma" w:hAnsi="Tahoma" w:cs="Tahoma"/>
                <w:sz w:val="13"/>
              </w:rPr>
            </w:pPr>
            <w:r w:rsidRPr="00BD7CEA">
              <w:rPr>
                <w:rFonts w:ascii="Tahoma" w:hAnsi="Tahoma" w:cs="Tahoma"/>
                <w:sz w:val="13"/>
              </w:rPr>
              <w:t>125</w:t>
            </w:r>
          </w:p>
        </w:tc>
        <w:tc>
          <w:tcPr>
            <w:tcW w:w="450" w:type="dxa"/>
            <w:tcBorders>
              <w:bottom w:val="single" w:sz="4" w:space="0" w:color="auto"/>
            </w:tcBorders>
            <w:shd w:val="clear" w:color="auto" w:fill="auto"/>
            <w:vAlign w:val="center"/>
          </w:tcPr>
          <w:p w:rsidR="001A63C6" w:rsidRPr="00BD7CEA" w:rsidRDefault="001A63C6" w:rsidP="00095F5D">
            <w:pPr>
              <w:pStyle w:val="TableText"/>
              <w:widowControl w:val="0"/>
              <w:rPr>
                <w:rFonts w:ascii="Tahoma" w:hAnsi="Tahoma" w:cs="Tahoma"/>
                <w:sz w:val="13"/>
              </w:rPr>
            </w:pPr>
            <w:r w:rsidRPr="00BD7CEA">
              <w:rPr>
                <w:rFonts w:ascii="Tahoma" w:hAnsi="Tahoma" w:cs="Tahoma"/>
                <w:sz w:val="13"/>
              </w:rPr>
              <w:t>313</w:t>
            </w:r>
          </w:p>
        </w:tc>
        <w:tc>
          <w:tcPr>
            <w:tcW w:w="450" w:type="dxa"/>
            <w:tcBorders>
              <w:bottom w:val="single" w:sz="4" w:space="0" w:color="auto"/>
            </w:tcBorders>
            <w:shd w:val="clear" w:color="auto" w:fill="auto"/>
            <w:vAlign w:val="center"/>
          </w:tcPr>
          <w:p w:rsidR="001A63C6" w:rsidRPr="00BD7CEA" w:rsidRDefault="001A63C6" w:rsidP="00095F5D">
            <w:pPr>
              <w:pStyle w:val="TableText"/>
              <w:widowControl w:val="0"/>
              <w:rPr>
                <w:rFonts w:ascii="Tahoma" w:hAnsi="Tahoma" w:cs="Tahoma"/>
                <w:sz w:val="13"/>
              </w:rPr>
            </w:pPr>
            <w:r w:rsidRPr="00BD7CEA">
              <w:rPr>
                <w:rFonts w:ascii="Tahoma" w:hAnsi="Tahoma" w:cs="Tahoma"/>
                <w:sz w:val="13"/>
              </w:rPr>
              <w:t>250</w:t>
            </w:r>
          </w:p>
        </w:tc>
        <w:tc>
          <w:tcPr>
            <w:tcW w:w="450" w:type="dxa"/>
            <w:tcBorders>
              <w:bottom w:val="single" w:sz="4" w:space="0" w:color="auto"/>
            </w:tcBorders>
            <w:shd w:val="clear" w:color="auto" w:fill="auto"/>
            <w:vAlign w:val="center"/>
          </w:tcPr>
          <w:p w:rsidR="001A63C6" w:rsidRPr="00BD7CEA" w:rsidRDefault="001A63C6" w:rsidP="00095F5D">
            <w:pPr>
              <w:pStyle w:val="TableText"/>
              <w:widowControl w:val="0"/>
              <w:rPr>
                <w:rFonts w:ascii="Tahoma" w:hAnsi="Tahoma" w:cs="Tahoma"/>
                <w:sz w:val="13"/>
              </w:rPr>
            </w:pPr>
            <w:r w:rsidRPr="00BD7CEA">
              <w:rPr>
                <w:rFonts w:ascii="Tahoma" w:hAnsi="Tahoma" w:cs="Tahoma"/>
                <w:sz w:val="13"/>
              </w:rPr>
              <w:t>188</w:t>
            </w:r>
          </w:p>
        </w:tc>
        <w:tc>
          <w:tcPr>
            <w:tcW w:w="450" w:type="dxa"/>
            <w:tcBorders>
              <w:bottom w:val="single" w:sz="4" w:space="0" w:color="auto"/>
            </w:tcBorders>
            <w:shd w:val="clear" w:color="auto" w:fill="auto"/>
            <w:vAlign w:val="center"/>
          </w:tcPr>
          <w:p w:rsidR="001A63C6" w:rsidRPr="00BD7CEA" w:rsidRDefault="001A63C6" w:rsidP="00095F5D">
            <w:pPr>
              <w:pStyle w:val="TableText"/>
              <w:widowControl w:val="0"/>
              <w:rPr>
                <w:rFonts w:ascii="Tahoma" w:hAnsi="Tahoma" w:cs="Tahoma"/>
                <w:sz w:val="13"/>
              </w:rPr>
            </w:pPr>
            <w:r w:rsidRPr="00BD7CEA">
              <w:rPr>
                <w:rFonts w:ascii="Tahoma" w:hAnsi="Tahoma" w:cs="Tahoma"/>
                <w:sz w:val="13"/>
              </w:rPr>
              <w:t>188</w:t>
            </w:r>
          </w:p>
        </w:tc>
        <w:tc>
          <w:tcPr>
            <w:tcW w:w="450" w:type="dxa"/>
            <w:tcBorders>
              <w:bottom w:val="single" w:sz="4" w:space="0" w:color="auto"/>
            </w:tcBorders>
            <w:shd w:val="clear" w:color="auto" w:fill="auto"/>
            <w:vAlign w:val="center"/>
          </w:tcPr>
          <w:p w:rsidR="001A63C6" w:rsidRPr="00BD7CEA" w:rsidRDefault="001A63C6" w:rsidP="00095F5D">
            <w:pPr>
              <w:pStyle w:val="TableText"/>
              <w:widowControl w:val="0"/>
              <w:rPr>
                <w:rFonts w:ascii="Tahoma" w:hAnsi="Tahoma" w:cs="Tahoma"/>
                <w:sz w:val="13"/>
              </w:rPr>
            </w:pPr>
            <w:r w:rsidRPr="00BD7CEA">
              <w:rPr>
                <w:rFonts w:ascii="Tahoma" w:hAnsi="Tahoma" w:cs="Tahoma"/>
                <w:sz w:val="13"/>
              </w:rPr>
              <w:t>125</w:t>
            </w:r>
          </w:p>
        </w:tc>
        <w:tc>
          <w:tcPr>
            <w:tcW w:w="360" w:type="dxa"/>
            <w:tcBorders>
              <w:bottom w:val="single" w:sz="4" w:space="0" w:color="auto"/>
              <w:right w:val="single" w:sz="18" w:space="0" w:color="auto"/>
            </w:tcBorders>
            <w:shd w:val="clear" w:color="auto" w:fill="auto"/>
            <w:vAlign w:val="center"/>
          </w:tcPr>
          <w:p w:rsidR="001A63C6" w:rsidRPr="00BD7CEA" w:rsidRDefault="001A63C6" w:rsidP="00095F5D">
            <w:pPr>
              <w:pStyle w:val="TableText"/>
              <w:widowControl w:val="0"/>
              <w:rPr>
                <w:rFonts w:ascii="Tahoma" w:hAnsi="Tahoma" w:cs="Tahoma"/>
                <w:sz w:val="13"/>
              </w:rPr>
            </w:pPr>
            <w:r w:rsidRPr="00BD7CEA">
              <w:rPr>
                <w:rFonts w:ascii="Tahoma" w:hAnsi="Tahoma" w:cs="Tahoma"/>
                <w:sz w:val="13"/>
              </w:rPr>
              <w:t>63</w:t>
            </w:r>
          </w:p>
        </w:tc>
        <w:tc>
          <w:tcPr>
            <w:tcW w:w="450" w:type="dxa"/>
            <w:tcBorders>
              <w:left w:val="single" w:sz="18" w:space="0" w:color="auto"/>
              <w:bottom w:val="single" w:sz="4" w:space="0" w:color="auto"/>
            </w:tcBorders>
            <w:shd w:val="clear" w:color="auto" w:fill="auto"/>
            <w:vAlign w:val="center"/>
          </w:tcPr>
          <w:p w:rsidR="001A63C6" w:rsidRPr="00BD7CEA" w:rsidRDefault="001A63C6" w:rsidP="00095F5D">
            <w:pPr>
              <w:pStyle w:val="TableText"/>
              <w:widowControl w:val="0"/>
              <w:rPr>
                <w:rFonts w:ascii="Tahoma" w:hAnsi="Tahoma" w:cs="Tahoma"/>
                <w:sz w:val="13"/>
              </w:rPr>
            </w:pPr>
            <w:r w:rsidRPr="00BD7CEA">
              <w:rPr>
                <w:rFonts w:ascii="Tahoma" w:hAnsi="Tahoma" w:cs="Tahoma"/>
                <w:sz w:val="13"/>
              </w:rPr>
              <w:t>125</w:t>
            </w:r>
          </w:p>
        </w:tc>
        <w:tc>
          <w:tcPr>
            <w:tcW w:w="450" w:type="dxa"/>
            <w:tcBorders>
              <w:bottom w:val="single" w:sz="4" w:space="0" w:color="auto"/>
            </w:tcBorders>
            <w:shd w:val="clear" w:color="auto" w:fill="auto"/>
            <w:vAlign w:val="center"/>
          </w:tcPr>
          <w:p w:rsidR="001A63C6" w:rsidRPr="00BD7CEA" w:rsidRDefault="001A63C6" w:rsidP="00095F5D">
            <w:pPr>
              <w:pStyle w:val="TableText"/>
              <w:widowControl w:val="0"/>
              <w:rPr>
                <w:rFonts w:ascii="Tahoma" w:hAnsi="Tahoma" w:cs="Tahoma"/>
                <w:sz w:val="13"/>
              </w:rPr>
            </w:pPr>
            <w:r w:rsidRPr="00BD7CEA">
              <w:rPr>
                <w:rFonts w:ascii="Tahoma" w:hAnsi="Tahoma" w:cs="Tahoma"/>
                <w:sz w:val="13"/>
              </w:rPr>
              <w:t>250</w:t>
            </w:r>
          </w:p>
        </w:tc>
        <w:tc>
          <w:tcPr>
            <w:tcW w:w="450" w:type="dxa"/>
            <w:tcBorders>
              <w:bottom w:val="single" w:sz="4" w:space="0" w:color="auto"/>
              <w:right w:val="single" w:sz="18" w:space="0" w:color="auto"/>
            </w:tcBorders>
            <w:shd w:val="clear" w:color="auto" w:fill="auto"/>
            <w:vAlign w:val="center"/>
          </w:tcPr>
          <w:p w:rsidR="001A63C6" w:rsidRPr="00BD7CEA" w:rsidRDefault="001A63C6" w:rsidP="00095F5D">
            <w:pPr>
              <w:pStyle w:val="TableText"/>
              <w:widowControl w:val="0"/>
              <w:rPr>
                <w:rFonts w:ascii="Tahoma" w:hAnsi="Tahoma" w:cs="Tahoma"/>
                <w:sz w:val="13"/>
              </w:rPr>
            </w:pPr>
            <w:r w:rsidRPr="00BD7CEA">
              <w:rPr>
                <w:rFonts w:ascii="Tahoma" w:hAnsi="Tahoma" w:cs="Tahoma"/>
                <w:sz w:val="13"/>
              </w:rPr>
              <w:t>125</w:t>
            </w:r>
          </w:p>
        </w:tc>
        <w:tc>
          <w:tcPr>
            <w:tcW w:w="450" w:type="dxa"/>
            <w:tcBorders>
              <w:left w:val="single" w:sz="18" w:space="0" w:color="auto"/>
              <w:bottom w:val="single" w:sz="4" w:space="0" w:color="auto"/>
            </w:tcBorders>
            <w:shd w:val="clear" w:color="auto" w:fill="auto"/>
            <w:vAlign w:val="center"/>
          </w:tcPr>
          <w:p w:rsidR="001A63C6" w:rsidRPr="00BD7CEA" w:rsidRDefault="001A63C6" w:rsidP="00095F5D">
            <w:pPr>
              <w:pStyle w:val="TableText"/>
              <w:widowControl w:val="0"/>
              <w:rPr>
                <w:rFonts w:ascii="Tahoma" w:hAnsi="Tahoma" w:cs="Tahoma"/>
                <w:sz w:val="13"/>
              </w:rPr>
            </w:pPr>
            <w:r w:rsidRPr="00BD7CEA">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rsidR="001A63C6" w:rsidRPr="00BD7CEA" w:rsidRDefault="001A63C6" w:rsidP="00095F5D">
            <w:pPr>
              <w:pStyle w:val="TableText"/>
              <w:widowControl w:val="0"/>
              <w:rPr>
                <w:rFonts w:ascii="Tahoma" w:hAnsi="Tahoma" w:cs="Tahoma"/>
                <w:sz w:val="13"/>
              </w:rPr>
            </w:pPr>
            <w:r w:rsidRPr="00BD7CE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D7CEA" w:rsidRDefault="001A63C6" w:rsidP="00095F5D">
            <w:pPr>
              <w:pStyle w:val="TableText"/>
              <w:widowControl w:val="0"/>
              <w:rPr>
                <w:rFonts w:ascii="Tahoma" w:hAnsi="Tahoma" w:cs="Tahoma"/>
                <w:sz w:val="13"/>
              </w:rPr>
            </w:pPr>
            <w:r w:rsidRPr="00BD7CEA">
              <w:rPr>
                <w:rFonts w:ascii="Tahoma" w:hAnsi="Tahoma" w:cs="Tahoma"/>
                <w:sz w:val="13"/>
              </w:rPr>
              <w:t>P</w:t>
            </w:r>
          </w:p>
        </w:tc>
        <w:tc>
          <w:tcPr>
            <w:tcW w:w="450" w:type="dxa"/>
            <w:tcBorders>
              <w:bottom w:val="single" w:sz="4" w:space="0" w:color="auto"/>
            </w:tcBorders>
            <w:shd w:val="clear" w:color="auto" w:fill="auto"/>
          </w:tcPr>
          <w:p w:rsidR="001A63C6" w:rsidRPr="00BD7CEA" w:rsidRDefault="001A63C6" w:rsidP="00095F5D">
            <w:pPr>
              <w:pStyle w:val="TableText"/>
              <w:widowControl w:val="0"/>
              <w:rPr>
                <w:rFonts w:ascii="Tahoma" w:hAnsi="Tahoma" w:cs="Tahoma"/>
                <w:sz w:val="13"/>
              </w:rPr>
            </w:pPr>
            <w:r w:rsidRPr="00BD7CEA">
              <w:rPr>
                <w:rFonts w:ascii="Tahoma" w:hAnsi="Tahoma" w:cs="Tahoma"/>
                <w:sz w:val="13"/>
              </w:rPr>
              <w:t>A, ST</w:t>
            </w:r>
          </w:p>
        </w:tc>
        <w:tc>
          <w:tcPr>
            <w:tcW w:w="540" w:type="dxa"/>
            <w:tcBorders>
              <w:bottom w:val="single" w:sz="4" w:space="0" w:color="auto"/>
            </w:tcBorders>
            <w:shd w:val="clear" w:color="auto" w:fill="auto"/>
            <w:vAlign w:val="center"/>
          </w:tcPr>
          <w:p w:rsidR="001A63C6" w:rsidRPr="00BD7CEA" w:rsidRDefault="001A63C6" w:rsidP="00095F5D">
            <w:pPr>
              <w:pStyle w:val="TableText"/>
              <w:widowControl w:val="0"/>
              <w:rPr>
                <w:rFonts w:ascii="Tahoma" w:hAnsi="Tahoma" w:cs="Tahoma"/>
                <w:color w:val="000000"/>
                <w:sz w:val="13"/>
              </w:rPr>
            </w:pPr>
            <w:r w:rsidRPr="00BD7CEA">
              <w:rPr>
                <w:rFonts w:ascii="Tahoma" w:hAnsi="Tahoma" w:cs="Tahoma"/>
                <w:color w:val="000000"/>
                <w:sz w:val="13"/>
              </w:rPr>
              <w:t>OL/OV</w:t>
            </w:r>
          </w:p>
        </w:tc>
      </w:tr>
      <w:tr w:rsidR="00A5643F" w:rsidRPr="00BD7CEA" w:rsidTr="006B1F3F">
        <w:trPr>
          <w:gridBefore w:val="1"/>
          <w:wBefore w:w="20" w:type="dxa"/>
          <w:trHeight w:val="145"/>
        </w:trPr>
        <w:tc>
          <w:tcPr>
            <w:tcW w:w="2714" w:type="dxa"/>
            <w:tcBorders>
              <w:bottom w:val="single" w:sz="4" w:space="0" w:color="auto"/>
            </w:tcBorders>
            <w:shd w:val="clear" w:color="auto" w:fill="FABF8F"/>
            <w:vAlign w:val="center"/>
          </w:tcPr>
          <w:p w:rsidR="00A5643F" w:rsidRPr="00BD7CEA" w:rsidRDefault="00A5643F" w:rsidP="00095F5D">
            <w:pPr>
              <w:pStyle w:val="Heading2"/>
              <w:spacing w:before="20" w:after="20"/>
              <w:ind w:left="0"/>
              <w:rPr>
                <w:rFonts w:ascii="Tahoma" w:hAnsi="Tahoma" w:cs="Tahoma"/>
                <w:b w:val="0"/>
                <w:sz w:val="14"/>
                <w:szCs w:val="14"/>
              </w:rPr>
            </w:pPr>
            <w:bookmarkStart w:id="585" w:name="_Toc353375929"/>
            <w:r w:rsidRPr="00BD7CEA">
              <w:rPr>
                <w:rFonts w:ascii="Tahoma" w:hAnsi="Tahoma" w:cs="Tahoma"/>
                <w:b w:val="0"/>
                <w:sz w:val="14"/>
                <w:szCs w:val="14"/>
              </w:rPr>
              <w:t>Windows Small Business Server 2008 Premium</w:t>
            </w:r>
            <w:bookmarkEnd w:id="585"/>
            <w:r w:rsidRPr="00BD7CEA">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rsidR="00A5643F" w:rsidRPr="00BD7CEA" w:rsidRDefault="006E5080" w:rsidP="00095F5D">
            <w:pPr>
              <w:pStyle w:val="TableText"/>
              <w:widowControl w:val="0"/>
              <w:rPr>
                <w:b/>
                <w:sz w:val="13"/>
                <w:szCs w:val="13"/>
                <w:u w:val="single"/>
              </w:rPr>
            </w:pPr>
            <w:hyperlink w:anchor="_109_Windows_Web" w:history="1">
              <w:r w:rsidR="00955428" w:rsidRPr="00BD7CEA">
                <w:rPr>
                  <w:rStyle w:val="Hyperlink"/>
                  <w:b/>
                  <w:sz w:val="13"/>
                  <w:szCs w:val="13"/>
                </w:rPr>
                <w:t>109</w:t>
              </w:r>
            </w:hyperlink>
          </w:p>
        </w:tc>
        <w:tc>
          <w:tcPr>
            <w:tcW w:w="450" w:type="dxa"/>
            <w:tcBorders>
              <w:bottom w:val="single" w:sz="4" w:space="0" w:color="auto"/>
            </w:tcBorders>
            <w:shd w:val="clear" w:color="auto" w:fill="FABF8F"/>
          </w:tcPr>
          <w:p w:rsidR="00A5643F" w:rsidRPr="00BD7CEA" w:rsidRDefault="00A5643F" w:rsidP="00095F5D">
            <w:pPr>
              <w:pStyle w:val="TableText"/>
              <w:widowControl w:val="0"/>
              <w:spacing w:before="120"/>
              <w:rPr>
                <w:rFonts w:ascii="Tahoma" w:hAnsi="Tahoma" w:cs="Tahoma"/>
                <w:sz w:val="13"/>
              </w:rPr>
            </w:pPr>
            <w:r w:rsidRPr="00BD7CEA">
              <w:rPr>
                <w:rFonts w:ascii="Tahoma" w:hAnsi="Tahoma" w:cs="Tahoma"/>
                <w:sz w:val="13"/>
              </w:rPr>
              <w:t>10/08</w:t>
            </w:r>
          </w:p>
        </w:tc>
        <w:tc>
          <w:tcPr>
            <w:tcW w:w="360" w:type="dxa"/>
            <w:tcBorders>
              <w:bottom w:val="single" w:sz="4" w:space="0" w:color="auto"/>
              <w:right w:val="single" w:sz="18" w:space="0" w:color="auto"/>
            </w:tcBorders>
            <w:shd w:val="clear" w:color="auto" w:fill="FABF8F"/>
            <w:vAlign w:val="center"/>
          </w:tcPr>
          <w:p w:rsidR="00A5643F" w:rsidRPr="00BD7CEA" w:rsidRDefault="00A5643F" w:rsidP="00095F5D">
            <w:pPr>
              <w:pStyle w:val="TableText"/>
              <w:widowControl w:val="0"/>
              <w:rPr>
                <w:rFonts w:ascii="Tahoma" w:hAnsi="Tahoma" w:cs="Tahoma"/>
                <w:sz w:val="13"/>
              </w:rPr>
            </w:pPr>
            <w:r w:rsidRPr="00BD7CE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BD7CEA" w:rsidRDefault="00A5643F" w:rsidP="00095F5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BD7CEA" w:rsidRDefault="00A5643F" w:rsidP="00095F5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BD7CEA" w:rsidRDefault="00A5643F" w:rsidP="00095F5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BD7CEA" w:rsidRDefault="00A5643F" w:rsidP="00095F5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BD7CEA" w:rsidRDefault="00A5643F" w:rsidP="00095F5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BD7CEA" w:rsidRDefault="00A5643F" w:rsidP="00095F5D">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5643F" w:rsidRPr="00BD7CEA" w:rsidRDefault="00A5643F" w:rsidP="00095F5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BD7CEA" w:rsidRDefault="00A5643F" w:rsidP="00095F5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BD7CEA" w:rsidDel="001265B4" w:rsidRDefault="00A5643F" w:rsidP="00095F5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BD7CEA" w:rsidRDefault="00A5643F" w:rsidP="00095F5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BD7CEA" w:rsidRDefault="00A5643F" w:rsidP="00095F5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BD7CEA" w:rsidRDefault="00A5643F" w:rsidP="00095F5D">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BD7CEA" w:rsidRDefault="00A5643F" w:rsidP="00095F5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BD7CEA" w:rsidRDefault="00A5643F" w:rsidP="00095F5D">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A5643F" w:rsidRPr="00BD7CEA" w:rsidRDefault="00A5643F" w:rsidP="00095F5D">
            <w:pPr>
              <w:pStyle w:val="TableText"/>
              <w:widowControl w:val="0"/>
              <w:rPr>
                <w:rFonts w:ascii="Tahoma" w:hAnsi="Tahoma" w:cs="Tahoma"/>
                <w:sz w:val="13"/>
              </w:rPr>
            </w:pPr>
          </w:p>
        </w:tc>
      </w:tr>
      <w:tr w:rsidR="00A5643F" w:rsidRPr="00BD7CEA" w:rsidTr="006B1F3F">
        <w:trPr>
          <w:gridBefore w:val="1"/>
          <w:wBefore w:w="20" w:type="dxa"/>
          <w:trHeight w:val="145"/>
        </w:trPr>
        <w:tc>
          <w:tcPr>
            <w:tcW w:w="2714" w:type="dxa"/>
            <w:tcBorders>
              <w:bottom w:val="single" w:sz="4" w:space="0" w:color="auto"/>
            </w:tcBorders>
            <w:shd w:val="clear" w:color="auto" w:fill="auto"/>
            <w:vAlign w:val="center"/>
          </w:tcPr>
          <w:p w:rsidR="00A5643F" w:rsidRPr="00BD7CEA" w:rsidRDefault="00A5643F" w:rsidP="00095F5D">
            <w:pPr>
              <w:pStyle w:val="Heading2"/>
              <w:keepNext/>
              <w:keepLines/>
              <w:spacing w:before="20" w:after="20"/>
              <w:ind w:left="0"/>
              <w:rPr>
                <w:rFonts w:ascii="Tahoma" w:hAnsi="Tahoma" w:cs="Tahoma"/>
                <w:b w:val="0"/>
              </w:rPr>
            </w:pPr>
            <w:bookmarkStart w:id="586" w:name="_Toc336338154"/>
            <w:bookmarkStart w:id="587" w:name="_Toc353375930"/>
            <w:r w:rsidRPr="00BD7CEA">
              <w:rPr>
                <w:rFonts w:ascii="Tahoma" w:hAnsi="Tahoma" w:cs="Tahoma"/>
                <w:b w:val="0"/>
                <w:sz w:val="14"/>
              </w:rPr>
              <w:lastRenderedPageBreak/>
              <w:t>CAL Suite per Windows Small Business Server 2008 per Utenti o Dispositivi Premium</w:t>
            </w:r>
            <w:bookmarkEnd w:id="586"/>
            <w:bookmarkEnd w:id="587"/>
          </w:p>
        </w:tc>
        <w:tc>
          <w:tcPr>
            <w:tcW w:w="450" w:type="dxa"/>
            <w:tcBorders>
              <w:bottom w:val="single" w:sz="4" w:space="0" w:color="auto"/>
            </w:tcBorders>
            <w:shd w:val="clear" w:color="auto" w:fill="auto"/>
            <w:vAlign w:val="center"/>
          </w:tcPr>
          <w:p w:rsidR="00A5643F" w:rsidRPr="00BD7CEA" w:rsidRDefault="00A5643F" w:rsidP="00095F5D">
            <w:pPr>
              <w:pStyle w:val="TableText"/>
              <w:keepNext/>
              <w:keepLines/>
              <w:widowControl w:val="0"/>
              <w:rPr>
                <w:b/>
                <w:sz w:val="13"/>
                <w:szCs w:val="13"/>
              </w:rPr>
            </w:pPr>
          </w:p>
        </w:tc>
        <w:tc>
          <w:tcPr>
            <w:tcW w:w="450" w:type="dxa"/>
            <w:tcBorders>
              <w:bottom w:val="single" w:sz="4" w:space="0" w:color="auto"/>
            </w:tcBorders>
            <w:shd w:val="clear" w:color="auto" w:fill="auto"/>
            <w:vAlign w:val="center"/>
          </w:tcPr>
          <w:p w:rsidR="00A5643F" w:rsidRPr="00BD7CEA" w:rsidRDefault="00A5643F" w:rsidP="00095F5D">
            <w:pPr>
              <w:pStyle w:val="TableText"/>
              <w:keepNext/>
              <w:keepLines/>
              <w:widowControl w:val="0"/>
              <w:spacing w:before="120"/>
              <w:rPr>
                <w:rFonts w:ascii="Tahoma" w:hAnsi="Tahoma" w:cs="Tahoma"/>
                <w:sz w:val="13"/>
              </w:rPr>
            </w:pPr>
            <w:r w:rsidRPr="00BD7CEA">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BD7CEA" w:rsidRDefault="00A5643F" w:rsidP="00095F5D">
            <w:pPr>
              <w:pStyle w:val="TableText"/>
              <w:keepNext/>
              <w:keepLines/>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A5643F" w:rsidRPr="00BD7CEA" w:rsidRDefault="00A5643F" w:rsidP="00095F5D">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BD7CEA" w:rsidRDefault="00A5643F" w:rsidP="00095F5D">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BD7CEA" w:rsidRDefault="00A5643F" w:rsidP="00095F5D">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BD7CEA" w:rsidRDefault="00A5643F" w:rsidP="00095F5D">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BD7CEA" w:rsidRDefault="00A5643F" w:rsidP="00095F5D">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BD7CEA" w:rsidRDefault="00A5643F" w:rsidP="00095F5D">
            <w:pPr>
              <w:pStyle w:val="TableText"/>
              <w:keepNext/>
              <w:keepLines/>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5643F" w:rsidRPr="00BD7CEA" w:rsidRDefault="00A5643F" w:rsidP="00095F5D">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BD7CEA" w:rsidRDefault="00A5643F" w:rsidP="00095F5D">
            <w:pPr>
              <w:pStyle w:val="TableText"/>
              <w:keepNext/>
              <w:keepLines/>
              <w:widowControl w:val="0"/>
              <w:rPr>
                <w:rFonts w:ascii="Tahoma" w:hAnsi="Tahoma" w:cs="Tahoma"/>
                <w:sz w:val="13"/>
              </w:rPr>
            </w:pPr>
            <w:r w:rsidRPr="00BD7CEA">
              <w:rPr>
                <w:rFonts w:ascii="Tahoma" w:hAnsi="Tahoma" w:cs="Tahoma"/>
                <w:sz w:val="13"/>
              </w:rPr>
              <w:t>1</w:t>
            </w:r>
          </w:p>
        </w:tc>
        <w:tc>
          <w:tcPr>
            <w:tcW w:w="450" w:type="dxa"/>
            <w:tcBorders>
              <w:bottom w:val="single" w:sz="4" w:space="0" w:color="auto"/>
            </w:tcBorders>
            <w:shd w:val="clear" w:color="auto" w:fill="auto"/>
            <w:vAlign w:val="center"/>
          </w:tcPr>
          <w:p w:rsidR="00A5643F" w:rsidRPr="00BD7CEA" w:rsidDel="001265B4" w:rsidRDefault="00A5643F" w:rsidP="00095F5D">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BD7CEA" w:rsidRDefault="00A5643F" w:rsidP="00095F5D">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BD7CEA" w:rsidRDefault="00A5643F" w:rsidP="00095F5D">
            <w:pPr>
              <w:pStyle w:val="TableText"/>
              <w:keepNext/>
              <w:keepLines/>
              <w:widowControl w:val="0"/>
              <w:rPr>
                <w:rFonts w:ascii="Tahoma" w:hAnsi="Tahoma" w:cs="Tahoma"/>
                <w:sz w:val="13"/>
              </w:rPr>
            </w:pPr>
            <w:r w:rsidRPr="00BD7CE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BD7CEA" w:rsidRDefault="00A5643F" w:rsidP="00095F5D">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BD7CEA" w:rsidRDefault="00A5643F" w:rsidP="00095F5D">
            <w:pPr>
              <w:pStyle w:val="TableText"/>
              <w:keepNext/>
              <w:keepLines/>
              <w:widowControl w:val="0"/>
              <w:rPr>
                <w:rFonts w:ascii="Tahoma" w:hAnsi="Tahoma" w:cs="Tahoma"/>
                <w:sz w:val="13"/>
              </w:rPr>
            </w:pPr>
            <w:r w:rsidRPr="00BD7CEA">
              <w:rPr>
                <w:rFonts w:ascii="Tahoma" w:hAnsi="Tahoma" w:cs="Tahoma"/>
                <w:sz w:val="13"/>
              </w:rPr>
              <w:t>E, P</w:t>
            </w:r>
          </w:p>
        </w:tc>
        <w:tc>
          <w:tcPr>
            <w:tcW w:w="450" w:type="dxa"/>
            <w:tcBorders>
              <w:bottom w:val="single" w:sz="4" w:space="0" w:color="auto"/>
            </w:tcBorders>
            <w:shd w:val="clear" w:color="auto" w:fill="auto"/>
          </w:tcPr>
          <w:p w:rsidR="00A5643F" w:rsidRPr="00BD7CEA" w:rsidRDefault="00A5643F" w:rsidP="00095F5D">
            <w:pPr>
              <w:pStyle w:val="TableText"/>
              <w:keepNext/>
              <w:keepLines/>
              <w:widowControl w:val="0"/>
              <w:rPr>
                <w:rFonts w:ascii="Tahoma" w:hAnsi="Tahoma" w:cs="Tahoma"/>
                <w:sz w:val="13"/>
              </w:rPr>
            </w:pPr>
            <w:r w:rsidRPr="00BD7CEA">
              <w:rPr>
                <w:rFonts w:ascii="Tahoma" w:hAnsi="Tahoma" w:cs="Tahoma"/>
                <w:sz w:val="13"/>
              </w:rPr>
              <w:t>A</w:t>
            </w:r>
          </w:p>
        </w:tc>
        <w:tc>
          <w:tcPr>
            <w:tcW w:w="540" w:type="dxa"/>
            <w:tcBorders>
              <w:bottom w:val="single" w:sz="4" w:space="0" w:color="auto"/>
            </w:tcBorders>
            <w:shd w:val="clear" w:color="auto" w:fill="auto"/>
            <w:vAlign w:val="center"/>
          </w:tcPr>
          <w:p w:rsidR="00A5643F" w:rsidRPr="00BD7CEA" w:rsidRDefault="00A5643F" w:rsidP="00095F5D">
            <w:pPr>
              <w:pStyle w:val="TableText"/>
              <w:keepNext/>
              <w:keepLines/>
              <w:widowControl w:val="0"/>
              <w:rPr>
                <w:rFonts w:ascii="Tahoma" w:hAnsi="Tahoma" w:cs="Tahoma"/>
                <w:sz w:val="13"/>
              </w:rPr>
            </w:pPr>
          </w:p>
        </w:tc>
      </w:tr>
      <w:tr w:rsidR="00A5643F" w:rsidRPr="00BD7CEA" w:rsidTr="006B1F3F">
        <w:trPr>
          <w:gridBefore w:val="1"/>
          <w:wBefore w:w="20" w:type="dxa"/>
          <w:trHeight w:val="145"/>
        </w:trPr>
        <w:tc>
          <w:tcPr>
            <w:tcW w:w="2714" w:type="dxa"/>
            <w:tcBorders>
              <w:bottom w:val="single" w:sz="4" w:space="0" w:color="auto"/>
            </w:tcBorders>
            <w:shd w:val="clear" w:color="auto" w:fill="FABF8F"/>
            <w:vAlign w:val="center"/>
          </w:tcPr>
          <w:p w:rsidR="00A5643F" w:rsidRPr="00BD7CEA" w:rsidRDefault="00A5643F" w:rsidP="002E5D03">
            <w:pPr>
              <w:pStyle w:val="Heading2"/>
              <w:spacing w:before="20" w:after="20"/>
              <w:ind w:left="0"/>
              <w:rPr>
                <w:rFonts w:ascii="Tahoma" w:hAnsi="Tahoma" w:cs="Tahoma"/>
                <w:b w:val="0"/>
                <w:sz w:val="14"/>
                <w:szCs w:val="14"/>
              </w:rPr>
            </w:pPr>
            <w:bookmarkStart w:id="588" w:name="_Toc336338155"/>
            <w:bookmarkStart w:id="589" w:name="_Toc353375931"/>
            <w:r w:rsidRPr="00BD7CEA">
              <w:rPr>
                <w:rFonts w:ascii="Tahoma" w:hAnsi="Tahoma" w:cs="Tahoma"/>
                <w:b w:val="0"/>
                <w:sz w:val="14"/>
              </w:rPr>
              <w:t>CAL Suite per Windows Small Business Server 2008 per Utenti o Dispositivi Premium (5 Client)</w:t>
            </w:r>
            <w:bookmarkEnd w:id="588"/>
            <w:bookmarkEnd w:id="589"/>
          </w:p>
        </w:tc>
        <w:tc>
          <w:tcPr>
            <w:tcW w:w="450" w:type="dxa"/>
            <w:tcBorders>
              <w:bottom w:val="single" w:sz="4" w:space="0" w:color="auto"/>
            </w:tcBorders>
            <w:shd w:val="clear" w:color="auto" w:fill="FABF8F"/>
            <w:vAlign w:val="center"/>
          </w:tcPr>
          <w:p w:rsidR="00A5643F" w:rsidRPr="00BD7CEA" w:rsidRDefault="00A5643F" w:rsidP="00D63C1B">
            <w:pPr>
              <w:pStyle w:val="TableText"/>
              <w:widowControl w:val="0"/>
              <w:rPr>
                <w:b/>
                <w:sz w:val="13"/>
                <w:szCs w:val="13"/>
              </w:rPr>
            </w:pPr>
          </w:p>
        </w:tc>
        <w:tc>
          <w:tcPr>
            <w:tcW w:w="450" w:type="dxa"/>
            <w:tcBorders>
              <w:bottom w:val="single" w:sz="4" w:space="0" w:color="auto"/>
            </w:tcBorders>
            <w:shd w:val="clear" w:color="auto" w:fill="FABF8F"/>
            <w:vAlign w:val="center"/>
          </w:tcPr>
          <w:p w:rsidR="00A5643F" w:rsidRPr="00BD7CEA" w:rsidRDefault="00A5643F" w:rsidP="00886719">
            <w:pPr>
              <w:pStyle w:val="TableText"/>
              <w:widowControl w:val="0"/>
              <w:spacing w:before="120"/>
              <w:rPr>
                <w:rFonts w:ascii="Tahoma" w:hAnsi="Tahoma" w:cs="Tahoma"/>
                <w:sz w:val="13"/>
              </w:rPr>
            </w:pPr>
            <w:r w:rsidRPr="00BD7CEA">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BD7CEA" w:rsidRDefault="00A5643F"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A5643F" w:rsidRPr="00BD7CEA"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BD7CEA"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BD7CEA"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BD7CEA"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BD7CEA"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BD7CEA"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5643F" w:rsidRPr="00BD7CEA"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BD7CEA" w:rsidRDefault="00A5643F" w:rsidP="00886719">
            <w:pPr>
              <w:pStyle w:val="TableText"/>
              <w:widowControl w:val="0"/>
              <w:rPr>
                <w:rFonts w:ascii="Tahoma" w:hAnsi="Tahoma" w:cs="Tahoma"/>
                <w:sz w:val="13"/>
              </w:rPr>
            </w:pPr>
            <w:r w:rsidRPr="00BD7CEA">
              <w:rPr>
                <w:rFonts w:ascii="Tahoma" w:hAnsi="Tahoma" w:cs="Tahoma"/>
                <w:sz w:val="13"/>
              </w:rPr>
              <w:t>5</w:t>
            </w:r>
          </w:p>
        </w:tc>
        <w:tc>
          <w:tcPr>
            <w:tcW w:w="450" w:type="dxa"/>
            <w:tcBorders>
              <w:bottom w:val="single" w:sz="4" w:space="0" w:color="auto"/>
            </w:tcBorders>
            <w:shd w:val="clear" w:color="auto" w:fill="FABF8F"/>
            <w:vAlign w:val="center"/>
          </w:tcPr>
          <w:p w:rsidR="00A5643F" w:rsidRPr="00BD7CEA" w:rsidDel="001265B4"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BD7CEA"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BD7CEA" w:rsidRDefault="00A5643F" w:rsidP="00886719">
            <w:pPr>
              <w:pStyle w:val="TableText"/>
              <w:widowControl w:val="0"/>
              <w:rPr>
                <w:rFonts w:ascii="Tahoma" w:hAnsi="Tahoma" w:cs="Tahoma"/>
                <w:sz w:val="13"/>
              </w:rPr>
            </w:pPr>
            <w:r w:rsidRPr="00BD7CEA">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BD7CEA"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BD7CEA" w:rsidRDefault="00A5643F" w:rsidP="00886719">
            <w:pPr>
              <w:pStyle w:val="TableText"/>
              <w:widowControl w:val="0"/>
              <w:rPr>
                <w:rFonts w:ascii="Tahoma" w:hAnsi="Tahoma" w:cs="Tahoma"/>
                <w:sz w:val="13"/>
              </w:rPr>
            </w:pPr>
            <w:r w:rsidRPr="00BD7CEA">
              <w:rPr>
                <w:rFonts w:ascii="Tahoma" w:hAnsi="Tahoma" w:cs="Tahoma"/>
                <w:sz w:val="13"/>
              </w:rPr>
              <w:t>P</w:t>
            </w:r>
          </w:p>
        </w:tc>
        <w:tc>
          <w:tcPr>
            <w:tcW w:w="450" w:type="dxa"/>
            <w:tcBorders>
              <w:bottom w:val="single" w:sz="4" w:space="0" w:color="auto"/>
            </w:tcBorders>
            <w:shd w:val="clear" w:color="auto" w:fill="FABF8F"/>
          </w:tcPr>
          <w:p w:rsidR="00A5643F" w:rsidRPr="00BD7CEA" w:rsidRDefault="00A5643F" w:rsidP="00886719">
            <w:pPr>
              <w:pStyle w:val="TableText"/>
              <w:widowControl w:val="0"/>
              <w:rPr>
                <w:rFonts w:ascii="Tahoma" w:hAnsi="Tahoma" w:cs="Tahoma"/>
                <w:sz w:val="13"/>
              </w:rPr>
            </w:pPr>
            <w:r w:rsidRPr="00BD7CEA">
              <w:rPr>
                <w:rFonts w:ascii="Tahoma" w:hAnsi="Tahoma" w:cs="Tahoma"/>
                <w:sz w:val="13"/>
              </w:rPr>
              <w:t>A</w:t>
            </w:r>
          </w:p>
        </w:tc>
        <w:tc>
          <w:tcPr>
            <w:tcW w:w="540" w:type="dxa"/>
            <w:tcBorders>
              <w:bottom w:val="single" w:sz="4" w:space="0" w:color="auto"/>
            </w:tcBorders>
            <w:shd w:val="clear" w:color="auto" w:fill="FABF8F"/>
            <w:vAlign w:val="center"/>
          </w:tcPr>
          <w:p w:rsidR="00A5643F" w:rsidRPr="00BD7CEA" w:rsidRDefault="00A5643F" w:rsidP="00886719">
            <w:pPr>
              <w:pStyle w:val="TableText"/>
              <w:widowControl w:val="0"/>
              <w:rPr>
                <w:rFonts w:ascii="Tahoma" w:hAnsi="Tahoma" w:cs="Tahoma"/>
                <w:sz w:val="13"/>
              </w:rPr>
            </w:pPr>
            <w:r w:rsidRPr="00BD7CEA">
              <w:rPr>
                <w:rFonts w:ascii="Tahoma" w:hAnsi="Tahoma" w:cs="Tahoma"/>
                <w:sz w:val="13"/>
              </w:rPr>
              <w:t>OL/OV</w:t>
            </w:r>
          </w:p>
        </w:tc>
      </w:tr>
      <w:tr w:rsidR="00F76ED4" w:rsidRPr="00BD7CEA" w:rsidTr="006B1F3F">
        <w:trPr>
          <w:gridBefore w:val="1"/>
          <w:wBefore w:w="20" w:type="dxa"/>
          <w:trHeight w:val="145"/>
        </w:trPr>
        <w:tc>
          <w:tcPr>
            <w:tcW w:w="2714" w:type="dxa"/>
            <w:tcBorders>
              <w:bottom w:val="single" w:sz="4" w:space="0" w:color="auto"/>
            </w:tcBorders>
            <w:shd w:val="clear" w:color="auto" w:fill="auto"/>
            <w:vAlign w:val="center"/>
          </w:tcPr>
          <w:p w:rsidR="00A5643F" w:rsidRPr="00BD7CEA" w:rsidRDefault="00A5643F" w:rsidP="002E5D03">
            <w:pPr>
              <w:pStyle w:val="Heading2"/>
              <w:spacing w:before="20" w:after="20"/>
              <w:ind w:left="0"/>
              <w:rPr>
                <w:rFonts w:ascii="Tahoma" w:hAnsi="Tahoma" w:cs="Tahoma"/>
                <w:b w:val="0"/>
                <w:sz w:val="14"/>
                <w:szCs w:val="14"/>
              </w:rPr>
            </w:pPr>
            <w:bookmarkStart w:id="590" w:name="_Toc336338156"/>
            <w:bookmarkStart w:id="591" w:name="_Toc353375932"/>
            <w:r w:rsidRPr="00BD7CEA">
              <w:rPr>
                <w:rFonts w:ascii="Tahoma" w:hAnsi="Tahoma" w:cs="Tahoma"/>
                <w:b w:val="0"/>
                <w:sz w:val="14"/>
              </w:rPr>
              <w:t>CAL Suite per Windows Small Business Server 2008 per Utenti o Dispositivi Premium (20 Client)</w:t>
            </w:r>
            <w:bookmarkEnd w:id="590"/>
            <w:bookmarkEnd w:id="591"/>
          </w:p>
        </w:tc>
        <w:tc>
          <w:tcPr>
            <w:tcW w:w="450" w:type="dxa"/>
            <w:tcBorders>
              <w:bottom w:val="single" w:sz="4" w:space="0" w:color="auto"/>
            </w:tcBorders>
            <w:shd w:val="clear" w:color="auto" w:fill="auto"/>
            <w:vAlign w:val="center"/>
          </w:tcPr>
          <w:p w:rsidR="00A5643F" w:rsidRPr="00BD7CEA" w:rsidRDefault="00A5643F" w:rsidP="00D63C1B">
            <w:pPr>
              <w:pStyle w:val="TableText"/>
              <w:widowControl w:val="0"/>
              <w:rPr>
                <w:b/>
                <w:sz w:val="13"/>
                <w:szCs w:val="13"/>
              </w:rPr>
            </w:pPr>
          </w:p>
        </w:tc>
        <w:tc>
          <w:tcPr>
            <w:tcW w:w="450" w:type="dxa"/>
            <w:tcBorders>
              <w:bottom w:val="single" w:sz="4" w:space="0" w:color="auto"/>
            </w:tcBorders>
            <w:shd w:val="clear" w:color="auto" w:fill="auto"/>
            <w:vAlign w:val="center"/>
          </w:tcPr>
          <w:p w:rsidR="00A5643F" w:rsidRPr="00BD7CEA" w:rsidRDefault="00A5643F" w:rsidP="00886719">
            <w:pPr>
              <w:pStyle w:val="TableText"/>
              <w:widowControl w:val="0"/>
              <w:spacing w:before="120"/>
              <w:rPr>
                <w:rFonts w:ascii="Tahoma" w:hAnsi="Tahoma" w:cs="Tahoma"/>
                <w:sz w:val="13"/>
              </w:rPr>
            </w:pPr>
            <w:r w:rsidRPr="00BD7CEA">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BD7CEA" w:rsidRDefault="00A5643F"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A5643F" w:rsidRPr="00BD7CEA"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BD7CEA"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BD7CEA"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BD7CEA"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BD7CEA"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BD7CEA"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5643F" w:rsidRPr="00BD7CEA"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BD7CEA" w:rsidRDefault="00A5643F" w:rsidP="00886719">
            <w:pPr>
              <w:pStyle w:val="TableText"/>
              <w:widowControl w:val="0"/>
              <w:rPr>
                <w:rFonts w:ascii="Tahoma" w:hAnsi="Tahoma" w:cs="Tahoma"/>
                <w:sz w:val="13"/>
              </w:rPr>
            </w:pPr>
            <w:r w:rsidRPr="00BD7CEA">
              <w:rPr>
                <w:rFonts w:ascii="Tahoma" w:hAnsi="Tahoma" w:cs="Tahoma"/>
                <w:sz w:val="13"/>
              </w:rPr>
              <w:t>25</w:t>
            </w:r>
          </w:p>
        </w:tc>
        <w:tc>
          <w:tcPr>
            <w:tcW w:w="450" w:type="dxa"/>
            <w:tcBorders>
              <w:bottom w:val="single" w:sz="4" w:space="0" w:color="auto"/>
            </w:tcBorders>
            <w:shd w:val="clear" w:color="auto" w:fill="auto"/>
            <w:vAlign w:val="center"/>
          </w:tcPr>
          <w:p w:rsidR="00A5643F" w:rsidRPr="00BD7CEA" w:rsidDel="001265B4"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BD7CEA"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BD7CEA" w:rsidRDefault="00A5643F" w:rsidP="00886719">
            <w:pPr>
              <w:pStyle w:val="TableText"/>
              <w:widowControl w:val="0"/>
              <w:rPr>
                <w:rFonts w:ascii="Tahoma" w:hAnsi="Tahoma" w:cs="Tahoma"/>
                <w:sz w:val="13"/>
              </w:rPr>
            </w:pPr>
            <w:r w:rsidRPr="00BD7CEA">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BD7CEA"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BD7CEA" w:rsidRDefault="00A5643F" w:rsidP="00886719">
            <w:pPr>
              <w:pStyle w:val="TableText"/>
              <w:widowControl w:val="0"/>
              <w:rPr>
                <w:rFonts w:ascii="Tahoma" w:hAnsi="Tahoma" w:cs="Tahoma"/>
                <w:sz w:val="13"/>
              </w:rPr>
            </w:pPr>
            <w:r w:rsidRPr="00BD7CEA">
              <w:rPr>
                <w:rFonts w:ascii="Tahoma" w:hAnsi="Tahoma" w:cs="Tahoma"/>
                <w:sz w:val="13"/>
              </w:rPr>
              <w:t>P</w:t>
            </w:r>
          </w:p>
        </w:tc>
        <w:tc>
          <w:tcPr>
            <w:tcW w:w="450" w:type="dxa"/>
            <w:tcBorders>
              <w:bottom w:val="single" w:sz="4" w:space="0" w:color="auto"/>
            </w:tcBorders>
            <w:shd w:val="clear" w:color="auto" w:fill="auto"/>
          </w:tcPr>
          <w:p w:rsidR="00A5643F" w:rsidRPr="00BD7CEA" w:rsidRDefault="00A5643F" w:rsidP="00886719">
            <w:pPr>
              <w:pStyle w:val="TableText"/>
              <w:widowControl w:val="0"/>
              <w:rPr>
                <w:rFonts w:ascii="Tahoma" w:hAnsi="Tahoma" w:cs="Tahoma"/>
                <w:sz w:val="13"/>
              </w:rPr>
            </w:pPr>
            <w:r w:rsidRPr="00BD7CEA">
              <w:rPr>
                <w:rFonts w:ascii="Tahoma" w:hAnsi="Tahoma" w:cs="Tahoma"/>
                <w:sz w:val="13"/>
              </w:rPr>
              <w:t>A</w:t>
            </w:r>
          </w:p>
        </w:tc>
        <w:tc>
          <w:tcPr>
            <w:tcW w:w="540" w:type="dxa"/>
            <w:tcBorders>
              <w:bottom w:val="single" w:sz="4" w:space="0" w:color="auto"/>
            </w:tcBorders>
            <w:shd w:val="clear" w:color="auto" w:fill="auto"/>
            <w:vAlign w:val="center"/>
          </w:tcPr>
          <w:p w:rsidR="00A5643F" w:rsidRPr="00BD7CEA" w:rsidRDefault="00A5643F" w:rsidP="00886719">
            <w:pPr>
              <w:pStyle w:val="TableText"/>
              <w:widowControl w:val="0"/>
              <w:rPr>
                <w:rFonts w:ascii="Tahoma" w:hAnsi="Tahoma" w:cs="Tahoma"/>
                <w:sz w:val="13"/>
              </w:rPr>
            </w:pPr>
            <w:r w:rsidRPr="00BD7CEA">
              <w:rPr>
                <w:rFonts w:ascii="Tahoma" w:hAnsi="Tahoma" w:cs="Tahoma"/>
                <w:sz w:val="13"/>
              </w:rPr>
              <w:t>OL/OV</w:t>
            </w:r>
          </w:p>
        </w:tc>
      </w:tr>
      <w:tr w:rsidR="00F76ED4" w:rsidRPr="00BD7CEA" w:rsidTr="006B1F3F">
        <w:trPr>
          <w:gridBefore w:val="1"/>
          <w:wBefore w:w="20" w:type="dxa"/>
          <w:trHeight w:val="145"/>
        </w:trPr>
        <w:tc>
          <w:tcPr>
            <w:tcW w:w="2714" w:type="dxa"/>
            <w:tcBorders>
              <w:bottom w:val="single" w:sz="4" w:space="0" w:color="auto"/>
            </w:tcBorders>
            <w:shd w:val="clear" w:color="auto" w:fill="FABF8F"/>
            <w:vAlign w:val="center"/>
          </w:tcPr>
          <w:p w:rsidR="00A5643F" w:rsidRPr="00BD7CEA" w:rsidRDefault="00A5643F" w:rsidP="002E5D03">
            <w:pPr>
              <w:pStyle w:val="Heading2"/>
              <w:spacing w:before="20" w:after="20"/>
              <w:ind w:left="0"/>
              <w:rPr>
                <w:rFonts w:ascii="Tahoma" w:hAnsi="Tahoma" w:cs="Tahoma"/>
                <w:b w:val="0"/>
                <w:sz w:val="14"/>
                <w:szCs w:val="14"/>
              </w:rPr>
            </w:pPr>
            <w:bookmarkStart w:id="592" w:name="_Toc336338157"/>
            <w:bookmarkStart w:id="593" w:name="_Toc353375933"/>
            <w:r w:rsidRPr="00BD7CEA">
              <w:rPr>
                <w:rFonts w:ascii="Tahoma" w:hAnsi="Tahoma" w:cs="Tahoma"/>
                <w:b w:val="0"/>
                <w:sz w:val="14"/>
                <w:szCs w:val="14"/>
              </w:rPr>
              <w:t>Windows Small Business Server 2011 Standard (5 client)</w:t>
            </w:r>
            <w:bookmarkEnd w:id="592"/>
            <w:bookmarkEnd w:id="593"/>
            <w:r w:rsidRPr="00BD7CEA">
              <w:rPr>
                <w:rFonts w:ascii="Tahoma" w:eastAsia="Times New Roman" w:hAnsi="Tahoma" w:cs="Tahoma"/>
                <w:b w:val="0"/>
                <w:sz w:val="14"/>
                <w:szCs w:val="14"/>
              </w:rPr>
              <w:t xml:space="preserve"> </w:t>
            </w:r>
          </w:p>
        </w:tc>
        <w:tc>
          <w:tcPr>
            <w:tcW w:w="450" w:type="dxa"/>
            <w:tcBorders>
              <w:bottom w:val="single" w:sz="4" w:space="0" w:color="auto"/>
            </w:tcBorders>
            <w:shd w:val="clear" w:color="auto" w:fill="FABF8F"/>
            <w:vAlign w:val="center"/>
          </w:tcPr>
          <w:p w:rsidR="00A5643F" w:rsidRPr="00BD7CEA" w:rsidRDefault="006E5080" w:rsidP="006E7054">
            <w:pPr>
              <w:pStyle w:val="TableText"/>
              <w:widowControl w:val="0"/>
              <w:rPr>
                <w:rStyle w:val="EndnoteReference"/>
                <w:b w:val="0"/>
                <w:color w:val="0000FF"/>
                <w:sz w:val="13"/>
                <w:szCs w:val="13"/>
                <w:u w:val="single"/>
              </w:rPr>
            </w:pPr>
            <w:hyperlink w:anchor="_110_Windows_Small_1" w:history="1">
              <w:r w:rsidR="00955428" w:rsidRPr="00BD7CEA">
                <w:rPr>
                  <w:rStyle w:val="Hyperlink"/>
                  <w:b/>
                  <w:sz w:val="13"/>
                  <w:szCs w:val="13"/>
                </w:rPr>
                <w:t>110</w:t>
              </w:r>
            </w:hyperlink>
          </w:p>
        </w:tc>
        <w:tc>
          <w:tcPr>
            <w:tcW w:w="450" w:type="dxa"/>
            <w:tcBorders>
              <w:bottom w:val="single" w:sz="4" w:space="0" w:color="auto"/>
            </w:tcBorders>
            <w:shd w:val="clear" w:color="auto" w:fill="FABF8F"/>
            <w:vAlign w:val="center"/>
          </w:tcPr>
          <w:p w:rsidR="00A5643F" w:rsidRPr="00BD7CEA" w:rsidRDefault="00A5643F" w:rsidP="00886719">
            <w:pPr>
              <w:pStyle w:val="TableText"/>
              <w:widowControl w:val="0"/>
              <w:spacing w:before="120"/>
              <w:rPr>
                <w:rFonts w:ascii="Tahoma" w:hAnsi="Tahoma" w:cs="Tahoma"/>
                <w:sz w:val="13"/>
              </w:rPr>
            </w:pPr>
            <w:r w:rsidRPr="00BD7CEA">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BD7CEA" w:rsidRDefault="00A5643F" w:rsidP="00886719">
            <w:pPr>
              <w:pStyle w:val="TableText"/>
              <w:widowControl w:val="0"/>
              <w:rPr>
                <w:rFonts w:ascii="Tahoma" w:hAnsi="Tahoma" w:cs="Tahoma"/>
                <w:sz w:val="13"/>
              </w:rPr>
            </w:pPr>
            <w:r w:rsidRPr="00BD7CE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BD7CEA"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BD7CEA"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BD7CEA"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BD7CEA"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BD7CEA"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BD7CEA"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5643F" w:rsidRPr="00BD7CEA"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BD7CEA" w:rsidRDefault="00A5643F" w:rsidP="00886719">
            <w:pPr>
              <w:pStyle w:val="TableText"/>
              <w:widowControl w:val="0"/>
              <w:rPr>
                <w:rFonts w:ascii="Tahoma" w:hAnsi="Tahoma" w:cs="Tahoma"/>
                <w:sz w:val="13"/>
              </w:rPr>
            </w:pPr>
            <w:r w:rsidRPr="00BD7CEA">
              <w:rPr>
                <w:rFonts w:ascii="Tahoma" w:hAnsi="Tahoma" w:cs="Tahoma"/>
                <w:sz w:val="13"/>
              </w:rPr>
              <w:t>15</w:t>
            </w:r>
          </w:p>
        </w:tc>
        <w:tc>
          <w:tcPr>
            <w:tcW w:w="450" w:type="dxa"/>
            <w:tcBorders>
              <w:bottom w:val="single" w:sz="4" w:space="0" w:color="auto"/>
            </w:tcBorders>
            <w:shd w:val="clear" w:color="auto" w:fill="FABF8F"/>
            <w:vAlign w:val="center"/>
          </w:tcPr>
          <w:p w:rsidR="00A5643F" w:rsidRPr="00BD7CEA"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BD7CEA"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BD7CEA" w:rsidRDefault="00A5643F" w:rsidP="00886719">
            <w:pPr>
              <w:pStyle w:val="TableText"/>
              <w:widowControl w:val="0"/>
              <w:rPr>
                <w:rFonts w:ascii="Tahoma" w:hAnsi="Tahoma" w:cs="Tahoma"/>
                <w:sz w:val="13"/>
              </w:rPr>
            </w:pPr>
            <w:r w:rsidRPr="00BD7CEA">
              <w:rPr>
                <w:rFonts w:ascii="Tahoma" w:hAnsi="Tahoma" w:cs="Tahoma"/>
                <w:sz w:val="13"/>
              </w:rPr>
              <w:t>15</w:t>
            </w:r>
          </w:p>
        </w:tc>
        <w:tc>
          <w:tcPr>
            <w:tcW w:w="450" w:type="dxa"/>
            <w:tcBorders>
              <w:bottom w:val="single" w:sz="4" w:space="0" w:color="auto"/>
              <w:right w:val="single" w:sz="18" w:space="0" w:color="auto"/>
            </w:tcBorders>
            <w:shd w:val="clear" w:color="auto" w:fill="FABF8F"/>
            <w:vAlign w:val="center"/>
          </w:tcPr>
          <w:p w:rsidR="00A5643F" w:rsidRPr="00BD7CEA"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BD7CEA" w:rsidRDefault="00A5643F" w:rsidP="00886719">
            <w:pPr>
              <w:pStyle w:val="TableText"/>
              <w:widowControl w:val="0"/>
              <w:rPr>
                <w:rFonts w:ascii="Tahoma" w:hAnsi="Tahoma" w:cs="Tahoma"/>
                <w:sz w:val="13"/>
              </w:rPr>
            </w:pPr>
            <w:r w:rsidRPr="00BD7CEA">
              <w:rPr>
                <w:rFonts w:ascii="Tahoma" w:hAnsi="Tahoma" w:cs="Tahoma"/>
                <w:sz w:val="13"/>
              </w:rPr>
              <w:t>P</w:t>
            </w:r>
          </w:p>
        </w:tc>
        <w:tc>
          <w:tcPr>
            <w:tcW w:w="450" w:type="dxa"/>
            <w:tcBorders>
              <w:bottom w:val="single" w:sz="4" w:space="0" w:color="auto"/>
            </w:tcBorders>
            <w:shd w:val="clear" w:color="auto" w:fill="FABF8F"/>
          </w:tcPr>
          <w:p w:rsidR="00A5643F" w:rsidRPr="00BD7CEA" w:rsidRDefault="00A5643F" w:rsidP="00886719">
            <w:pPr>
              <w:pStyle w:val="TableText"/>
              <w:widowControl w:val="0"/>
              <w:rPr>
                <w:rFonts w:ascii="Tahoma" w:hAnsi="Tahoma" w:cs="Tahoma"/>
                <w:sz w:val="13"/>
              </w:rPr>
            </w:pPr>
            <w:r w:rsidRPr="00BD7CEA">
              <w:rPr>
                <w:rFonts w:ascii="Tahoma" w:hAnsi="Tahoma" w:cs="Tahoma"/>
                <w:sz w:val="13"/>
              </w:rPr>
              <w:t>A</w:t>
            </w:r>
          </w:p>
        </w:tc>
        <w:tc>
          <w:tcPr>
            <w:tcW w:w="540" w:type="dxa"/>
            <w:tcBorders>
              <w:bottom w:val="single" w:sz="4" w:space="0" w:color="auto"/>
            </w:tcBorders>
            <w:shd w:val="clear" w:color="auto" w:fill="FABF8F"/>
            <w:vAlign w:val="center"/>
          </w:tcPr>
          <w:p w:rsidR="00A5643F" w:rsidRPr="00BD7CEA" w:rsidRDefault="00A5643F" w:rsidP="00886719">
            <w:pPr>
              <w:pStyle w:val="TableText"/>
              <w:widowControl w:val="0"/>
              <w:rPr>
                <w:rFonts w:ascii="Tahoma" w:hAnsi="Tahoma" w:cs="Tahoma"/>
                <w:sz w:val="13"/>
              </w:rPr>
            </w:pPr>
            <w:r w:rsidRPr="00BD7CEA">
              <w:rPr>
                <w:rFonts w:ascii="Tahoma" w:hAnsi="Tahoma" w:cs="Tahoma"/>
                <w:color w:val="000000"/>
                <w:sz w:val="13"/>
              </w:rPr>
              <w:t>OL/OV</w:t>
            </w:r>
          </w:p>
        </w:tc>
      </w:tr>
      <w:tr w:rsidR="00F76ED4" w:rsidRPr="00BD7CEA" w:rsidTr="006B1F3F">
        <w:trPr>
          <w:gridBefore w:val="1"/>
          <w:wBefore w:w="20" w:type="dxa"/>
          <w:trHeight w:val="145"/>
        </w:trPr>
        <w:tc>
          <w:tcPr>
            <w:tcW w:w="2714" w:type="dxa"/>
            <w:tcBorders>
              <w:bottom w:val="single" w:sz="4" w:space="0" w:color="auto"/>
            </w:tcBorders>
            <w:shd w:val="clear" w:color="auto" w:fill="auto"/>
            <w:vAlign w:val="center"/>
          </w:tcPr>
          <w:p w:rsidR="00A5643F" w:rsidRPr="00BD7CEA" w:rsidRDefault="00A5643F" w:rsidP="002E5D03">
            <w:pPr>
              <w:pStyle w:val="Heading2"/>
              <w:spacing w:before="20" w:after="20"/>
              <w:ind w:left="0"/>
              <w:rPr>
                <w:rFonts w:ascii="Tahoma" w:hAnsi="Tahoma" w:cs="Tahoma"/>
                <w:b w:val="0"/>
                <w:sz w:val="14"/>
                <w:szCs w:val="14"/>
              </w:rPr>
            </w:pPr>
            <w:bookmarkStart w:id="594" w:name="_Toc336338158"/>
            <w:bookmarkStart w:id="595" w:name="_Toc353375934"/>
            <w:r w:rsidRPr="00BD7CEA">
              <w:rPr>
                <w:rFonts w:ascii="Tahoma" w:hAnsi="Tahoma" w:cs="Tahoma"/>
                <w:b w:val="0"/>
                <w:sz w:val="14"/>
                <w:szCs w:val="14"/>
              </w:rPr>
              <w:t>CAL Suite per Windows Small Business Server 2011 (1 client)</w:t>
            </w:r>
            <w:bookmarkEnd w:id="594"/>
            <w:bookmarkEnd w:id="595"/>
          </w:p>
        </w:tc>
        <w:tc>
          <w:tcPr>
            <w:tcW w:w="450" w:type="dxa"/>
            <w:tcBorders>
              <w:bottom w:val="single" w:sz="4" w:space="0" w:color="auto"/>
            </w:tcBorders>
            <w:shd w:val="clear" w:color="auto" w:fill="auto"/>
            <w:vAlign w:val="center"/>
          </w:tcPr>
          <w:p w:rsidR="00A5643F" w:rsidRPr="00BD7CEA" w:rsidRDefault="006E5080" w:rsidP="006E7054">
            <w:pPr>
              <w:pStyle w:val="TableText"/>
              <w:widowControl w:val="0"/>
              <w:rPr>
                <w:rStyle w:val="EndnoteReference"/>
                <w:b w:val="0"/>
                <w:color w:val="0000FF"/>
                <w:sz w:val="13"/>
                <w:szCs w:val="13"/>
                <w:u w:val="single"/>
              </w:rPr>
            </w:pPr>
            <w:hyperlink w:anchor="_111_Windows_Small" w:history="1">
              <w:r w:rsidR="00955428" w:rsidRPr="00BD7CEA">
                <w:rPr>
                  <w:rStyle w:val="Hyperlink"/>
                  <w:b/>
                  <w:sz w:val="13"/>
                  <w:szCs w:val="13"/>
                </w:rPr>
                <w:t>111</w:t>
              </w:r>
            </w:hyperlink>
          </w:p>
        </w:tc>
        <w:tc>
          <w:tcPr>
            <w:tcW w:w="450" w:type="dxa"/>
            <w:tcBorders>
              <w:bottom w:val="single" w:sz="4" w:space="0" w:color="auto"/>
            </w:tcBorders>
            <w:shd w:val="clear" w:color="auto" w:fill="auto"/>
            <w:vAlign w:val="center"/>
          </w:tcPr>
          <w:p w:rsidR="00A5643F" w:rsidRPr="00BD7CEA" w:rsidRDefault="00A5643F" w:rsidP="00886719">
            <w:pPr>
              <w:pStyle w:val="TableText"/>
              <w:widowControl w:val="0"/>
              <w:spacing w:before="120"/>
              <w:rPr>
                <w:rFonts w:ascii="Tahoma" w:hAnsi="Tahoma" w:cs="Tahoma"/>
                <w:sz w:val="13"/>
              </w:rPr>
            </w:pPr>
            <w:r w:rsidRPr="00BD7CEA">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BD7CEA" w:rsidRDefault="00A5643F" w:rsidP="00886719">
            <w:pPr>
              <w:pStyle w:val="TableText"/>
              <w:widowControl w:val="0"/>
              <w:rPr>
                <w:rFonts w:ascii="Tahoma" w:hAnsi="Tahoma" w:cs="Tahoma"/>
                <w:sz w:val="13"/>
              </w:rPr>
            </w:pPr>
            <w:r w:rsidRPr="00BD7CE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BD7CEA"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BD7CEA"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BD7CEA"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BD7CEA"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BD7CEA"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BD7CEA"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5643F" w:rsidRPr="00BD7CEA"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BD7CEA" w:rsidRDefault="00A5643F" w:rsidP="00886719">
            <w:pPr>
              <w:pStyle w:val="TableText"/>
              <w:widowControl w:val="0"/>
              <w:rPr>
                <w:rFonts w:ascii="Tahoma" w:hAnsi="Tahoma" w:cs="Tahoma"/>
                <w:sz w:val="13"/>
              </w:rPr>
            </w:pPr>
            <w:r w:rsidRPr="00BD7CEA">
              <w:rPr>
                <w:rFonts w:ascii="Tahoma" w:hAnsi="Tahoma" w:cs="Tahoma"/>
                <w:sz w:val="13"/>
              </w:rPr>
              <w:t>1</w:t>
            </w:r>
          </w:p>
        </w:tc>
        <w:tc>
          <w:tcPr>
            <w:tcW w:w="450" w:type="dxa"/>
            <w:tcBorders>
              <w:bottom w:val="single" w:sz="4" w:space="0" w:color="auto"/>
            </w:tcBorders>
            <w:shd w:val="clear" w:color="auto" w:fill="auto"/>
            <w:vAlign w:val="center"/>
          </w:tcPr>
          <w:p w:rsidR="00A5643F" w:rsidRPr="00BD7CEA"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BD7CEA"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BD7CEA" w:rsidRDefault="00A5643F" w:rsidP="00886719">
            <w:pPr>
              <w:pStyle w:val="TableText"/>
              <w:widowControl w:val="0"/>
              <w:rPr>
                <w:rFonts w:ascii="Tahoma" w:hAnsi="Tahoma" w:cs="Tahoma"/>
                <w:sz w:val="13"/>
              </w:rPr>
            </w:pPr>
            <w:r w:rsidRPr="00BD7CE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BD7CEA"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BD7CEA" w:rsidRDefault="00A5643F" w:rsidP="00886719">
            <w:pPr>
              <w:pStyle w:val="TableText"/>
              <w:widowControl w:val="0"/>
              <w:rPr>
                <w:rFonts w:ascii="Tahoma" w:hAnsi="Tahoma" w:cs="Tahoma"/>
                <w:sz w:val="13"/>
              </w:rPr>
            </w:pPr>
            <w:r w:rsidRPr="00BD7CEA">
              <w:rPr>
                <w:rFonts w:ascii="Tahoma" w:hAnsi="Tahoma" w:cs="Tahoma"/>
                <w:sz w:val="13"/>
              </w:rPr>
              <w:t>E, P</w:t>
            </w:r>
          </w:p>
        </w:tc>
        <w:tc>
          <w:tcPr>
            <w:tcW w:w="450" w:type="dxa"/>
            <w:tcBorders>
              <w:bottom w:val="single" w:sz="4" w:space="0" w:color="auto"/>
            </w:tcBorders>
            <w:shd w:val="clear" w:color="auto" w:fill="auto"/>
          </w:tcPr>
          <w:p w:rsidR="00A5643F" w:rsidRPr="00BD7CEA" w:rsidRDefault="00A5643F" w:rsidP="00886719">
            <w:pPr>
              <w:pStyle w:val="TableText"/>
              <w:widowControl w:val="0"/>
              <w:rPr>
                <w:rFonts w:ascii="Tahoma" w:hAnsi="Tahoma" w:cs="Tahoma"/>
                <w:sz w:val="13"/>
              </w:rPr>
            </w:pPr>
            <w:r w:rsidRPr="00BD7CEA">
              <w:rPr>
                <w:rFonts w:ascii="Tahoma" w:hAnsi="Tahoma" w:cs="Tahoma"/>
                <w:sz w:val="13"/>
              </w:rPr>
              <w:t>A, ST</w:t>
            </w:r>
          </w:p>
        </w:tc>
        <w:tc>
          <w:tcPr>
            <w:tcW w:w="540" w:type="dxa"/>
            <w:tcBorders>
              <w:bottom w:val="single" w:sz="4" w:space="0" w:color="auto"/>
            </w:tcBorders>
            <w:shd w:val="clear" w:color="auto" w:fill="auto"/>
            <w:vAlign w:val="center"/>
          </w:tcPr>
          <w:p w:rsidR="00A5643F" w:rsidRPr="00BD7CEA" w:rsidRDefault="00A5643F" w:rsidP="00886719">
            <w:pPr>
              <w:pStyle w:val="TableText"/>
              <w:widowControl w:val="0"/>
              <w:rPr>
                <w:rFonts w:ascii="Tahoma" w:hAnsi="Tahoma" w:cs="Tahoma"/>
                <w:sz w:val="13"/>
              </w:rPr>
            </w:pPr>
          </w:p>
        </w:tc>
      </w:tr>
      <w:tr w:rsidR="00F76ED4" w:rsidRPr="00BD7CEA" w:rsidTr="006B1F3F">
        <w:trPr>
          <w:gridBefore w:val="1"/>
          <w:wBefore w:w="20" w:type="dxa"/>
          <w:trHeight w:val="145"/>
        </w:trPr>
        <w:tc>
          <w:tcPr>
            <w:tcW w:w="2714" w:type="dxa"/>
            <w:tcBorders>
              <w:bottom w:val="single" w:sz="4" w:space="0" w:color="auto"/>
            </w:tcBorders>
            <w:shd w:val="clear" w:color="auto" w:fill="FABF8F"/>
            <w:vAlign w:val="center"/>
          </w:tcPr>
          <w:p w:rsidR="00A5643F" w:rsidRPr="00BD7CEA" w:rsidRDefault="00A5643F" w:rsidP="002E5D03">
            <w:pPr>
              <w:pStyle w:val="Heading2"/>
              <w:spacing w:before="20" w:after="20"/>
              <w:ind w:left="0"/>
              <w:rPr>
                <w:rFonts w:ascii="Tahoma" w:hAnsi="Tahoma" w:cs="Tahoma"/>
                <w:b w:val="0"/>
                <w:color w:val="000000"/>
                <w:sz w:val="14"/>
                <w:szCs w:val="14"/>
              </w:rPr>
            </w:pPr>
            <w:bookmarkStart w:id="596" w:name="_Toc336338159"/>
            <w:bookmarkStart w:id="597" w:name="_Toc353375935"/>
            <w:r w:rsidRPr="00BD7CEA">
              <w:rPr>
                <w:rFonts w:ascii="Tahoma" w:hAnsi="Tahoma" w:cs="Tahoma"/>
                <w:b w:val="0"/>
                <w:sz w:val="14"/>
                <w:szCs w:val="14"/>
              </w:rPr>
              <w:t>CAL Suite per Windows Small Business Server 2011 (5 client)</w:t>
            </w:r>
            <w:bookmarkEnd w:id="596"/>
            <w:bookmarkEnd w:id="597"/>
          </w:p>
        </w:tc>
        <w:tc>
          <w:tcPr>
            <w:tcW w:w="450" w:type="dxa"/>
            <w:tcBorders>
              <w:bottom w:val="single" w:sz="4" w:space="0" w:color="auto"/>
            </w:tcBorders>
            <w:shd w:val="clear" w:color="auto" w:fill="FABF8F"/>
            <w:vAlign w:val="center"/>
          </w:tcPr>
          <w:p w:rsidR="00A5643F" w:rsidRPr="00BD7CEA" w:rsidRDefault="006E5080" w:rsidP="006E7054">
            <w:pPr>
              <w:pStyle w:val="TableText"/>
              <w:widowControl w:val="0"/>
              <w:rPr>
                <w:rStyle w:val="EndnoteReference"/>
                <w:b w:val="0"/>
                <w:sz w:val="13"/>
                <w:szCs w:val="13"/>
                <w:u w:val="single"/>
              </w:rPr>
            </w:pPr>
            <w:hyperlink w:anchor="_111_Windows_Small" w:history="1">
              <w:r w:rsidR="00DD73EC" w:rsidRPr="00BD7CEA">
                <w:rPr>
                  <w:rStyle w:val="Hyperlink"/>
                  <w:b/>
                  <w:sz w:val="13"/>
                  <w:szCs w:val="13"/>
                </w:rPr>
                <w:t>111</w:t>
              </w:r>
            </w:hyperlink>
          </w:p>
        </w:tc>
        <w:tc>
          <w:tcPr>
            <w:tcW w:w="450" w:type="dxa"/>
            <w:tcBorders>
              <w:bottom w:val="single" w:sz="4" w:space="0" w:color="auto"/>
            </w:tcBorders>
            <w:shd w:val="clear" w:color="auto" w:fill="FABF8F"/>
            <w:vAlign w:val="center"/>
          </w:tcPr>
          <w:p w:rsidR="00A5643F" w:rsidRPr="00BD7CEA" w:rsidRDefault="00A5643F" w:rsidP="00886719">
            <w:pPr>
              <w:pStyle w:val="TableText"/>
              <w:widowControl w:val="0"/>
              <w:spacing w:before="120"/>
              <w:rPr>
                <w:rFonts w:ascii="Tahoma" w:hAnsi="Tahoma" w:cs="Tahoma"/>
                <w:sz w:val="13"/>
              </w:rPr>
            </w:pPr>
            <w:r w:rsidRPr="00BD7CEA">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BD7CEA" w:rsidRDefault="00A5643F" w:rsidP="00886719">
            <w:pPr>
              <w:pStyle w:val="TableText"/>
              <w:widowControl w:val="0"/>
              <w:rPr>
                <w:rFonts w:ascii="Tahoma" w:hAnsi="Tahoma" w:cs="Tahoma"/>
                <w:sz w:val="13"/>
              </w:rPr>
            </w:pPr>
            <w:r w:rsidRPr="00BD7CE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BD7CEA" w:rsidRDefault="00A5643F" w:rsidP="00886719">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rsidR="00A5643F" w:rsidRPr="00BD7CEA"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BD7CEA"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BD7CEA"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BD7CEA" w:rsidRDefault="00A5643F" w:rsidP="00886719">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BD7CEA" w:rsidRDefault="00A5643F" w:rsidP="00886719">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BD7CEA" w:rsidRDefault="00A5643F"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BD7CEA" w:rsidRDefault="00A5643F" w:rsidP="00886719">
            <w:pPr>
              <w:pStyle w:val="TableText"/>
              <w:widowControl w:val="0"/>
              <w:rPr>
                <w:rFonts w:ascii="Tahoma" w:hAnsi="Tahoma" w:cs="Tahoma"/>
                <w:sz w:val="13"/>
              </w:rPr>
            </w:pPr>
            <w:r w:rsidRPr="00BD7CEA">
              <w:rPr>
                <w:rFonts w:ascii="Tahoma" w:hAnsi="Tahoma" w:cs="Tahoma"/>
                <w:sz w:val="13"/>
              </w:rPr>
              <w:t>5</w:t>
            </w:r>
          </w:p>
        </w:tc>
        <w:tc>
          <w:tcPr>
            <w:tcW w:w="450" w:type="dxa"/>
            <w:tcBorders>
              <w:bottom w:val="single" w:sz="4" w:space="0" w:color="auto"/>
            </w:tcBorders>
            <w:shd w:val="clear" w:color="auto" w:fill="FABF8F"/>
            <w:vAlign w:val="center"/>
          </w:tcPr>
          <w:p w:rsidR="00A5643F" w:rsidRPr="00BD7CEA"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BD7CEA"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BD7CEA" w:rsidRDefault="00A5643F" w:rsidP="00886719">
            <w:pPr>
              <w:pStyle w:val="TableText"/>
              <w:widowControl w:val="0"/>
              <w:rPr>
                <w:rFonts w:ascii="Tahoma" w:hAnsi="Tahoma" w:cs="Tahoma"/>
                <w:sz w:val="13"/>
              </w:rPr>
            </w:pPr>
            <w:r w:rsidRPr="00BD7CEA">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BD7CEA"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BD7CEA" w:rsidRDefault="00A5643F" w:rsidP="00886719">
            <w:pPr>
              <w:pStyle w:val="TableText"/>
              <w:widowControl w:val="0"/>
              <w:rPr>
                <w:rFonts w:ascii="Tahoma" w:hAnsi="Tahoma" w:cs="Tahoma"/>
                <w:sz w:val="13"/>
              </w:rPr>
            </w:pPr>
            <w:r w:rsidRPr="00BD7CEA">
              <w:rPr>
                <w:rFonts w:ascii="Tahoma" w:hAnsi="Tahoma" w:cs="Tahoma"/>
                <w:sz w:val="13"/>
              </w:rPr>
              <w:t>P</w:t>
            </w:r>
          </w:p>
        </w:tc>
        <w:tc>
          <w:tcPr>
            <w:tcW w:w="450" w:type="dxa"/>
            <w:tcBorders>
              <w:bottom w:val="single" w:sz="4" w:space="0" w:color="auto"/>
            </w:tcBorders>
            <w:shd w:val="clear" w:color="auto" w:fill="FABF8F"/>
          </w:tcPr>
          <w:p w:rsidR="00A5643F" w:rsidRPr="00BD7CEA" w:rsidRDefault="00A5643F" w:rsidP="00886719">
            <w:pPr>
              <w:pStyle w:val="TableText"/>
              <w:widowControl w:val="0"/>
              <w:rPr>
                <w:rFonts w:ascii="Tahoma" w:hAnsi="Tahoma" w:cs="Tahoma"/>
                <w:sz w:val="13"/>
              </w:rPr>
            </w:pPr>
            <w:r w:rsidRPr="00BD7CEA">
              <w:rPr>
                <w:rFonts w:ascii="Tahoma" w:hAnsi="Tahoma" w:cs="Tahoma"/>
                <w:sz w:val="13"/>
              </w:rPr>
              <w:t>A</w:t>
            </w:r>
          </w:p>
        </w:tc>
        <w:tc>
          <w:tcPr>
            <w:tcW w:w="540" w:type="dxa"/>
            <w:tcBorders>
              <w:bottom w:val="single" w:sz="4" w:space="0" w:color="auto"/>
            </w:tcBorders>
            <w:shd w:val="clear" w:color="auto" w:fill="FABF8F"/>
            <w:vAlign w:val="center"/>
          </w:tcPr>
          <w:p w:rsidR="00A5643F" w:rsidRPr="00BD7CEA" w:rsidRDefault="00A5643F" w:rsidP="00886719">
            <w:pPr>
              <w:pStyle w:val="TableText"/>
              <w:widowControl w:val="0"/>
              <w:rPr>
                <w:rFonts w:ascii="Tahoma" w:hAnsi="Tahoma" w:cs="Tahoma"/>
                <w:sz w:val="13"/>
              </w:rPr>
            </w:pPr>
            <w:r w:rsidRPr="00BD7CEA">
              <w:rPr>
                <w:rFonts w:ascii="Tahoma" w:hAnsi="Tahoma" w:cs="Tahoma"/>
                <w:color w:val="000000"/>
                <w:sz w:val="13"/>
              </w:rPr>
              <w:t>OL/OV</w:t>
            </w:r>
          </w:p>
        </w:tc>
      </w:tr>
      <w:tr w:rsidR="00F76ED4" w:rsidRPr="00BD7CEA" w:rsidTr="006B1F3F">
        <w:trPr>
          <w:gridBefore w:val="1"/>
          <w:wBefore w:w="20" w:type="dxa"/>
          <w:trHeight w:val="145"/>
        </w:trPr>
        <w:tc>
          <w:tcPr>
            <w:tcW w:w="2714" w:type="dxa"/>
            <w:tcBorders>
              <w:bottom w:val="single" w:sz="4" w:space="0" w:color="auto"/>
            </w:tcBorders>
            <w:shd w:val="clear" w:color="auto" w:fill="auto"/>
          </w:tcPr>
          <w:p w:rsidR="00A5643F" w:rsidRPr="00BD7CEA" w:rsidRDefault="00A5643F" w:rsidP="002E5D03">
            <w:pPr>
              <w:pStyle w:val="Heading2"/>
              <w:spacing w:before="20" w:after="20"/>
              <w:ind w:left="0"/>
              <w:rPr>
                <w:rFonts w:ascii="Tahoma" w:hAnsi="Tahoma" w:cs="Tahoma"/>
                <w:b w:val="0"/>
                <w:color w:val="000000"/>
                <w:sz w:val="14"/>
                <w:szCs w:val="14"/>
              </w:rPr>
            </w:pPr>
            <w:bookmarkStart w:id="598" w:name="_Toc336338160"/>
            <w:bookmarkStart w:id="599" w:name="_Toc353375936"/>
            <w:r w:rsidRPr="00BD7CEA">
              <w:rPr>
                <w:rFonts w:ascii="Tahoma" w:hAnsi="Tahoma" w:cs="Tahoma"/>
                <w:b w:val="0"/>
                <w:sz w:val="14"/>
                <w:szCs w:val="14"/>
              </w:rPr>
              <w:t>CAL Suite per Windows Small Business Server 2011 (20 client)</w:t>
            </w:r>
            <w:bookmarkEnd w:id="598"/>
            <w:bookmarkEnd w:id="599"/>
            <w:r w:rsidRPr="00BD7CEA">
              <w:rPr>
                <w:rFonts w:ascii="Tahoma" w:eastAsia="Times New Roman" w:hAnsi="Tahoma" w:cs="Tahoma"/>
                <w:b w:val="0"/>
                <w:sz w:val="14"/>
                <w:szCs w:val="14"/>
              </w:rPr>
              <w:t xml:space="preserve"> </w:t>
            </w:r>
          </w:p>
        </w:tc>
        <w:tc>
          <w:tcPr>
            <w:tcW w:w="450" w:type="dxa"/>
            <w:tcBorders>
              <w:bottom w:val="single" w:sz="4" w:space="0" w:color="auto"/>
            </w:tcBorders>
            <w:shd w:val="clear" w:color="auto" w:fill="auto"/>
            <w:vAlign w:val="center"/>
          </w:tcPr>
          <w:p w:rsidR="00A5643F" w:rsidRPr="00BD7CEA" w:rsidRDefault="006E5080" w:rsidP="006E7054">
            <w:pPr>
              <w:pStyle w:val="TableText"/>
              <w:widowControl w:val="0"/>
              <w:rPr>
                <w:rStyle w:val="EndnoteReference"/>
                <w:b w:val="0"/>
                <w:sz w:val="13"/>
                <w:szCs w:val="13"/>
                <w:u w:val="single"/>
              </w:rPr>
            </w:pPr>
            <w:hyperlink w:anchor="_111_Windows_Small" w:history="1">
              <w:r w:rsidR="00DD73EC" w:rsidRPr="00BD7CEA">
                <w:rPr>
                  <w:rStyle w:val="Hyperlink"/>
                  <w:b/>
                  <w:sz w:val="13"/>
                  <w:szCs w:val="13"/>
                </w:rPr>
                <w:t>111</w:t>
              </w:r>
            </w:hyperlink>
          </w:p>
        </w:tc>
        <w:tc>
          <w:tcPr>
            <w:tcW w:w="450" w:type="dxa"/>
            <w:tcBorders>
              <w:bottom w:val="single" w:sz="4" w:space="0" w:color="auto"/>
            </w:tcBorders>
            <w:shd w:val="clear" w:color="auto" w:fill="auto"/>
            <w:vAlign w:val="center"/>
          </w:tcPr>
          <w:p w:rsidR="00A5643F" w:rsidRPr="00BD7CEA" w:rsidRDefault="00A5643F" w:rsidP="00886719">
            <w:pPr>
              <w:pStyle w:val="TableText"/>
              <w:widowControl w:val="0"/>
              <w:spacing w:before="120"/>
              <w:rPr>
                <w:rFonts w:ascii="Tahoma" w:hAnsi="Tahoma" w:cs="Tahoma"/>
                <w:sz w:val="13"/>
              </w:rPr>
            </w:pPr>
            <w:r w:rsidRPr="00BD7CEA">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BD7CEA" w:rsidRDefault="00A5643F" w:rsidP="00886719">
            <w:pPr>
              <w:pStyle w:val="TableText"/>
              <w:widowControl w:val="0"/>
              <w:rPr>
                <w:rFonts w:ascii="Tahoma" w:hAnsi="Tahoma" w:cs="Tahoma"/>
                <w:sz w:val="13"/>
              </w:rPr>
            </w:pPr>
            <w:r w:rsidRPr="00BD7CE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BD7CEA" w:rsidRDefault="00A5643F" w:rsidP="00886719">
            <w:pPr>
              <w:pStyle w:val="TableT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rsidR="00A5643F" w:rsidRPr="00BD7CEA"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BD7CEA"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BD7CEA"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BD7CEA" w:rsidRDefault="00A5643F" w:rsidP="00886719">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rsidR="00A5643F" w:rsidRPr="00BD7CEA" w:rsidRDefault="00A5643F" w:rsidP="00886719">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BD7CEA" w:rsidRDefault="00A5643F"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BD7CEA" w:rsidRDefault="00A5643F" w:rsidP="00886719">
            <w:pPr>
              <w:pStyle w:val="TableText"/>
              <w:widowControl w:val="0"/>
              <w:rPr>
                <w:rFonts w:ascii="Tahoma" w:hAnsi="Tahoma" w:cs="Tahoma"/>
                <w:sz w:val="13"/>
              </w:rPr>
            </w:pPr>
            <w:r w:rsidRPr="00BD7CEA">
              <w:rPr>
                <w:rFonts w:ascii="Tahoma" w:hAnsi="Tahoma" w:cs="Tahoma"/>
                <w:sz w:val="13"/>
              </w:rPr>
              <w:t>25</w:t>
            </w:r>
          </w:p>
        </w:tc>
        <w:tc>
          <w:tcPr>
            <w:tcW w:w="450" w:type="dxa"/>
            <w:tcBorders>
              <w:bottom w:val="single" w:sz="4" w:space="0" w:color="auto"/>
            </w:tcBorders>
            <w:shd w:val="clear" w:color="auto" w:fill="auto"/>
            <w:vAlign w:val="center"/>
          </w:tcPr>
          <w:p w:rsidR="00A5643F" w:rsidRPr="00BD7CEA"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BD7CEA"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BD7CEA" w:rsidRDefault="00A5643F" w:rsidP="00886719">
            <w:pPr>
              <w:pStyle w:val="TableText"/>
              <w:widowControl w:val="0"/>
              <w:rPr>
                <w:rFonts w:ascii="Tahoma" w:hAnsi="Tahoma" w:cs="Tahoma"/>
                <w:sz w:val="13"/>
              </w:rPr>
            </w:pPr>
            <w:r w:rsidRPr="00BD7CEA">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BD7CEA"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BD7CEA" w:rsidRDefault="00A5643F" w:rsidP="00886719">
            <w:pPr>
              <w:pStyle w:val="TableText"/>
              <w:widowControl w:val="0"/>
              <w:rPr>
                <w:rFonts w:ascii="Tahoma" w:hAnsi="Tahoma" w:cs="Tahoma"/>
                <w:sz w:val="13"/>
              </w:rPr>
            </w:pPr>
            <w:r w:rsidRPr="00BD7CEA">
              <w:rPr>
                <w:rFonts w:ascii="Tahoma" w:hAnsi="Tahoma" w:cs="Tahoma"/>
                <w:sz w:val="13"/>
              </w:rPr>
              <w:t>P</w:t>
            </w:r>
          </w:p>
        </w:tc>
        <w:tc>
          <w:tcPr>
            <w:tcW w:w="450" w:type="dxa"/>
            <w:tcBorders>
              <w:bottom w:val="single" w:sz="4" w:space="0" w:color="auto"/>
            </w:tcBorders>
            <w:shd w:val="clear" w:color="auto" w:fill="auto"/>
          </w:tcPr>
          <w:p w:rsidR="00A5643F" w:rsidRPr="00BD7CEA" w:rsidRDefault="00A5643F" w:rsidP="00886719">
            <w:pPr>
              <w:pStyle w:val="TableText"/>
              <w:widowControl w:val="0"/>
              <w:rPr>
                <w:rFonts w:ascii="Tahoma" w:hAnsi="Tahoma" w:cs="Tahoma"/>
                <w:sz w:val="13"/>
              </w:rPr>
            </w:pPr>
            <w:r w:rsidRPr="00BD7CEA">
              <w:rPr>
                <w:rFonts w:ascii="Tahoma" w:hAnsi="Tahoma" w:cs="Tahoma"/>
                <w:sz w:val="13"/>
              </w:rPr>
              <w:t>A</w:t>
            </w:r>
          </w:p>
        </w:tc>
        <w:tc>
          <w:tcPr>
            <w:tcW w:w="540" w:type="dxa"/>
            <w:tcBorders>
              <w:bottom w:val="single" w:sz="4" w:space="0" w:color="auto"/>
            </w:tcBorders>
            <w:shd w:val="clear" w:color="auto" w:fill="auto"/>
            <w:vAlign w:val="center"/>
          </w:tcPr>
          <w:p w:rsidR="00A5643F" w:rsidRPr="00BD7CEA" w:rsidRDefault="00A5643F" w:rsidP="00886719">
            <w:pPr>
              <w:pStyle w:val="TableText"/>
              <w:widowControl w:val="0"/>
              <w:rPr>
                <w:rFonts w:ascii="Tahoma" w:hAnsi="Tahoma" w:cs="Tahoma"/>
                <w:sz w:val="13"/>
              </w:rPr>
            </w:pPr>
            <w:r w:rsidRPr="00BD7CEA">
              <w:rPr>
                <w:rFonts w:ascii="Tahoma" w:hAnsi="Tahoma" w:cs="Tahoma"/>
                <w:color w:val="000000"/>
                <w:sz w:val="13"/>
              </w:rPr>
              <w:t>OL/OV</w:t>
            </w:r>
          </w:p>
        </w:tc>
      </w:tr>
      <w:tr w:rsidR="00A5643F" w:rsidRPr="00BD7CEA" w:rsidTr="006B1F3F">
        <w:trPr>
          <w:gridBefore w:val="1"/>
          <w:wBefore w:w="20" w:type="dxa"/>
          <w:trHeight w:val="145"/>
        </w:trPr>
        <w:tc>
          <w:tcPr>
            <w:tcW w:w="2714" w:type="dxa"/>
            <w:tcBorders>
              <w:bottom w:val="single" w:sz="4" w:space="0" w:color="auto"/>
            </w:tcBorders>
            <w:shd w:val="clear" w:color="auto" w:fill="FABF8F"/>
            <w:vAlign w:val="center"/>
          </w:tcPr>
          <w:p w:rsidR="00A5643F" w:rsidRPr="00BD7CEA" w:rsidRDefault="00A5643F" w:rsidP="002E5D03">
            <w:pPr>
              <w:pStyle w:val="Heading2"/>
              <w:spacing w:before="20" w:after="20"/>
              <w:ind w:left="0"/>
              <w:rPr>
                <w:rFonts w:ascii="Tahoma" w:hAnsi="Tahoma" w:cs="Tahoma"/>
                <w:b w:val="0"/>
                <w:sz w:val="14"/>
                <w:szCs w:val="14"/>
              </w:rPr>
            </w:pPr>
            <w:bookmarkStart w:id="600" w:name="_Toc336338161"/>
            <w:bookmarkStart w:id="601" w:name="_Toc353375937"/>
            <w:r w:rsidRPr="00BD7CEA">
              <w:rPr>
                <w:rFonts w:ascii="Tahoma" w:hAnsi="Tahoma" w:cs="Tahoma"/>
                <w:b w:val="0"/>
                <w:sz w:val="14"/>
                <w:szCs w:val="14"/>
              </w:rPr>
              <w:t>Premium Add-on per Windows Small Business Server 2011 (5 client)</w:t>
            </w:r>
            <w:bookmarkEnd w:id="600"/>
            <w:bookmarkEnd w:id="601"/>
          </w:p>
        </w:tc>
        <w:tc>
          <w:tcPr>
            <w:tcW w:w="450" w:type="dxa"/>
            <w:tcBorders>
              <w:bottom w:val="single" w:sz="4" w:space="0" w:color="auto"/>
            </w:tcBorders>
            <w:shd w:val="clear" w:color="auto" w:fill="FABF8F"/>
            <w:vAlign w:val="center"/>
          </w:tcPr>
          <w:p w:rsidR="00A5643F" w:rsidRPr="00BD7CEA" w:rsidRDefault="006E5080" w:rsidP="006E7054">
            <w:pPr>
              <w:pStyle w:val="TableText"/>
              <w:widowControl w:val="0"/>
              <w:rPr>
                <w:rStyle w:val="EndnoteReference"/>
                <w:rFonts w:cs="Tahoma"/>
                <w:b w:val="0"/>
                <w:color w:val="0000FF"/>
                <w:sz w:val="13"/>
                <w:szCs w:val="13"/>
                <w:u w:val="single"/>
              </w:rPr>
            </w:pPr>
            <w:hyperlink w:anchor="_112_CAL_Suite" w:history="1">
              <w:r w:rsidR="00955428" w:rsidRPr="00BD7CEA">
                <w:rPr>
                  <w:rStyle w:val="Hyperlink"/>
                  <w:b/>
                  <w:sz w:val="13"/>
                  <w:szCs w:val="13"/>
                </w:rPr>
                <w:t>112</w:t>
              </w:r>
            </w:hyperlink>
          </w:p>
        </w:tc>
        <w:tc>
          <w:tcPr>
            <w:tcW w:w="450" w:type="dxa"/>
            <w:tcBorders>
              <w:bottom w:val="single" w:sz="4" w:space="0" w:color="auto"/>
            </w:tcBorders>
            <w:shd w:val="clear" w:color="auto" w:fill="FABF8F"/>
          </w:tcPr>
          <w:p w:rsidR="00A5643F" w:rsidRPr="00BD7CEA" w:rsidRDefault="00A5643F" w:rsidP="00F97D54">
            <w:pPr>
              <w:pStyle w:val="TableText"/>
              <w:widowControl w:val="0"/>
              <w:spacing w:before="120"/>
              <w:rPr>
                <w:rFonts w:ascii="Tahoma" w:hAnsi="Tahoma" w:cs="Tahoma"/>
                <w:sz w:val="13"/>
              </w:rPr>
            </w:pPr>
            <w:r w:rsidRPr="00BD7CEA">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BD7CEA" w:rsidRDefault="00A5643F" w:rsidP="00F97D54">
            <w:pPr>
              <w:pStyle w:val="TableText"/>
              <w:widowControl w:val="0"/>
              <w:rPr>
                <w:rFonts w:ascii="Tahoma" w:hAnsi="Tahoma" w:cs="Tahoma"/>
                <w:sz w:val="13"/>
              </w:rPr>
            </w:pPr>
            <w:r w:rsidRPr="00BD7CE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BD7CEA" w:rsidRDefault="00A5643F"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rsidR="00A5643F" w:rsidRPr="00BD7CEA"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BD7CEA"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BD7CEA"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BD7CEA"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BD7CEA" w:rsidRDefault="00A5643F"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BD7CEA"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BD7CEA" w:rsidRDefault="00A5643F" w:rsidP="00F97D54">
            <w:pPr>
              <w:pStyle w:val="TableText"/>
              <w:widowControl w:val="0"/>
              <w:rPr>
                <w:rFonts w:ascii="Tahoma" w:hAnsi="Tahoma" w:cs="Tahoma"/>
                <w:sz w:val="13"/>
              </w:rPr>
            </w:pPr>
            <w:r w:rsidRPr="00BD7CEA">
              <w:rPr>
                <w:rFonts w:ascii="Tahoma" w:hAnsi="Tahoma" w:cs="Tahoma"/>
                <w:sz w:val="13"/>
              </w:rPr>
              <w:t>5</w:t>
            </w:r>
          </w:p>
        </w:tc>
        <w:tc>
          <w:tcPr>
            <w:tcW w:w="450" w:type="dxa"/>
            <w:tcBorders>
              <w:bottom w:val="single" w:sz="4" w:space="0" w:color="auto"/>
            </w:tcBorders>
            <w:shd w:val="clear" w:color="auto" w:fill="FABF8F"/>
            <w:vAlign w:val="center"/>
          </w:tcPr>
          <w:p w:rsidR="00A5643F" w:rsidRPr="00BD7CEA" w:rsidRDefault="00A5643F"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BD7CEA"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BD7CEA" w:rsidRDefault="00A5643F" w:rsidP="00F97D54">
            <w:pPr>
              <w:pStyle w:val="TableText"/>
              <w:widowControl w:val="0"/>
              <w:rPr>
                <w:rFonts w:ascii="Tahoma" w:hAnsi="Tahoma" w:cs="Tahoma"/>
                <w:sz w:val="13"/>
              </w:rPr>
            </w:pPr>
            <w:r w:rsidRPr="00BD7CEA">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BD7CEA"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BD7CEA" w:rsidRDefault="00A5643F" w:rsidP="00F97D54">
            <w:pPr>
              <w:pStyle w:val="TableText"/>
              <w:widowControl w:val="0"/>
              <w:rPr>
                <w:rFonts w:ascii="Tahoma" w:hAnsi="Tahoma" w:cs="Tahoma"/>
                <w:sz w:val="13"/>
              </w:rPr>
            </w:pPr>
            <w:r w:rsidRPr="00BD7CEA">
              <w:rPr>
                <w:rFonts w:ascii="Tahoma" w:hAnsi="Tahoma" w:cs="Tahoma"/>
                <w:sz w:val="13"/>
              </w:rPr>
              <w:t>P</w:t>
            </w:r>
          </w:p>
        </w:tc>
        <w:tc>
          <w:tcPr>
            <w:tcW w:w="450" w:type="dxa"/>
            <w:tcBorders>
              <w:bottom w:val="single" w:sz="4" w:space="0" w:color="auto"/>
            </w:tcBorders>
            <w:shd w:val="clear" w:color="auto" w:fill="FABF8F"/>
          </w:tcPr>
          <w:p w:rsidR="00A5643F" w:rsidRPr="00BD7CEA" w:rsidRDefault="00A5643F" w:rsidP="00F97D54">
            <w:pPr>
              <w:pStyle w:val="TableText"/>
              <w:widowControl w:val="0"/>
              <w:rPr>
                <w:rFonts w:ascii="Tahoma" w:hAnsi="Tahoma" w:cs="Tahoma"/>
                <w:sz w:val="13"/>
              </w:rPr>
            </w:pPr>
            <w:r w:rsidRPr="00BD7CEA">
              <w:rPr>
                <w:rFonts w:ascii="Tahoma" w:hAnsi="Tahoma" w:cs="Tahoma"/>
                <w:sz w:val="13"/>
              </w:rPr>
              <w:t>A</w:t>
            </w:r>
          </w:p>
        </w:tc>
        <w:tc>
          <w:tcPr>
            <w:tcW w:w="540" w:type="dxa"/>
            <w:tcBorders>
              <w:bottom w:val="single" w:sz="4" w:space="0" w:color="auto"/>
            </w:tcBorders>
            <w:shd w:val="clear" w:color="auto" w:fill="FABF8F"/>
            <w:vAlign w:val="center"/>
          </w:tcPr>
          <w:p w:rsidR="00A5643F" w:rsidRPr="00BD7CEA" w:rsidRDefault="00A5643F" w:rsidP="00F97D54">
            <w:pPr>
              <w:pStyle w:val="TableText"/>
              <w:widowControl w:val="0"/>
              <w:rPr>
                <w:rFonts w:ascii="Tahoma" w:hAnsi="Tahoma" w:cs="Tahoma"/>
                <w:sz w:val="13"/>
              </w:rPr>
            </w:pPr>
            <w:r w:rsidRPr="00BD7CEA">
              <w:rPr>
                <w:rFonts w:ascii="Tahoma" w:hAnsi="Tahoma" w:cs="Tahoma"/>
                <w:sz w:val="13"/>
              </w:rPr>
              <w:t>OL/OV</w:t>
            </w:r>
          </w:p>
        </w:tc>
      </w:tr>
      <w:tr w:rsidR="00A5643F" w:rsidRPr="00BD7CEA" w:rsidTr="006B1F3F">
        <w:trPr>
          <w:gridBefore w:val="1"/>
          <w:wBefore w:w="20" w:type="dxa"/>
          <w:trHeight w:val="145"/>
        </w:trPr>
        <w:tc>
          <w:tcPr>
            <w:tcW w:w="2714" w:type="dxa"/>
            <w:tcBorders>
              <w:bottom w:val="single" w:sz="4" w:space="0" w:color="auto"/>
            </w:tcBorders>
            <w:shd w:val="clear" w:color="auto" w:fill="auto"/>
            <w:vAlign w:val="center"/>
          </w:tcPr>
          <w:p w:rsidR="00A5643F" w:rsidRPr="00BD7CEA" w:rsidRDefault="00A5643F" w:rsidP="002E5D03">
            <w:pPr>
              <w:pStyle w:val="Heading2"/>
              <w:spacing w:before="20" w:after="20"/>
              <w:ind w:left="0"/>
              <w:rPr>
                <w:rFonts w:ascii="Tahoma" w:hAnsi="Tahoma" w:cs="Tahoma"/>
                <w:b w:val="0"/>
                <w:sz w:val="14"/>
                <w:szCs w:val="14"/>
              </w:rPr>
            </w:pPr>
            <w:bookmarkStart w:id="602" w:name="_Toc336338162"/>
            <w:bookmarkStart w:id="603" w:name="_Toc353375938"/>
            <w:r w:rsidRPr="00BD7CEA">
              <w:rPr>
                <w:rFonts w:ascii="Tahoma" w:hAnsi="Tahoma" w:cs="Tahoma"/>
                <w:b w:val="0"/>
                <w:sz w:val="14"/>
                <w:szCs w:val="14"/>
              </w:rPr>
              <w:t>Premium Add-on CAL Suite per Windows Small Business Server 2011</w:t>
            </w:r>
            <w:bookmarkEnd w:id="602"/>
            <w:bookmarkEnd w:id="603"/>
            <w:r w:rsidRPr="00BD7CEA">
              <w:rPr>
                <w:rFonts w:ascii="Tahoma" w:hAnsi="Tahoma" w:cs="Tahoma"/>
                <w:b w:val="0"/>
                <w:sz w:val="14"/>
                <w:szCs w:val="14"/>
              </w:rPr>
              <w:t xml:space="preserve"> </w:t>
            </w:r>
          </w:p>
        </w:tc>
        <w:tc>
          <w:tcPr>
            <w:tcW w:w="450" w:type="dxa"/>
            <w:tcBorders>
              <w:bottom w:val="single" w:sz="4" w:space="0" w:color="auto"/>
            </w:tcBorders>
            <w:shd w:val="clear" w:color="auto" w:fill="auto"/>
            <w:vAlign w:val="center"/>
          </w:tcPr>
          <w:p w:rsidR="00A5643F" w:rsidRPr="00BD7CEA" w:rsidRDefault="006E5080" w:rsidP="006E7054">
            <w:pPr>
              <w:pStyle w:val="TableText"/>
              <w:widowControl w:val="0"/>
              <w:rPr>
                <w:b/>
                <w:sz w:val="13"/>
                <w:szCs w:val="13"/>
                <w:u w:val="single"/>
              </w:rPr>
            </w:pPr>
            <w:hyperlink w:anchor="_113_Premium_Add-on" w:history="1">
              <w:r w:rsidR="00955428" w:rsidRPr="00BD7CEA">
                <w:rPr>
                  <w:rStyle w:val="Hyperlink"/>
                  <w:b/>
                  <w:sz w:val="13"/>
                  <w:szCs w:val="13"/>
                </w:rPr>
                <w:t>113</w:t>
              </w:r>
            </w:hyperlink>
          </w:p>
        </w:tc>
        <w:tc>
          <w:tcPr>
            <w:tcW w:w="450" w:type="dxa"/>
            <w:tcBorders>
              <w:bottom w:val="single" w:sz="4" w:space="0" w:color="auto"/>
            </w:tcBorders>
            <w:shd w:val="clear" w:color="auto" w:fill="auto"/>
          </w:tcPr>
          <w:p w:rsidR="00A5643F" w:rsidRPr="00BD7CEA" w:rsidRDefault="00A5643F">
            <w:pPr>
              <w:pStyle w:val="TableText"/>
              <w:widowControl w:val="0"/>
              <w:spacing w:before="120"/>
              <w:rPr>
                <w:rFonts w:ascii="Tahoma" w:hAnsi="Tahoma" w:cs="Tahoma"/>
                <w:sz w:val="13"/>
              </w:rPr>
            </w:pPr>
            <w:r w:rsidRPr="00BD7CEA">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BD7CEA" w:rsidRDefault="00A5643F">
            <w:pPr>
              <w:pStyle w:val="TableText"/>
              <w:widowControl w:val="0"/>
              <w:rPr>
                <w:rFonts w:ascii="Tahoma" w:hAnsi="Tahoma" w:cs="Tahoma"/>
                <w:sz w:val="13"/>
              </w:rPr>
            </w:pPr>
            <w:r w:rsidRPr="00BD7CE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BD7CEA" w:rsidRDefault="00A5643F">
            <w:pPr>
              <w:pStyle w:val="TableT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rsidR="00A5643F" w:rsidRPr="00BD7CEA" w:rsidRDefault="00A5643F">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BD7CEA" w:rsidRDefault="00A5643F">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BD7CEA" w:rsidRDefault="00A5643F">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BD7CEA" w:rsidRDefault="00A5643F">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rsidR="00A5643F" w:rsidRPr="00BD7CEA" w:rsidRDefault="00A5643F">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BD7CEA" w:rsidRDefault="00A5643F">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BD7CEA" w:rsidRDefault="00A5643F">
            <w:pPr>
              <w:pStyle w:val="TableText"/>
              <w:widowControl w:val="0"/>
              <w:rPr>
                <w:rFonts w:ascii="Tahoma" w:hAnsi="Tahoma" w:cs="Tahoma"/>
                <w:sz w:val="13"/>
              </w:rPr>
            </w:pPr>
            <w:r w:rsidRPr="00BD7CEA">
              <w:rPr>
                <w:rFonts w:ascii="Tahoma" w:hAnsi="Tahoma" w:cs="Tahoma"/>
                <w:sz w:val="13"/>
              </w:rPr>
              <w:t>1</w:t>
            </w:r>
          </w:p>
        </w:tc>
        <w:tc>
          <w:tcPr>
            <w:tcW w:w="450" w:type="dxa"/>
            <w:tcBorders>
              <w:bottom w:val="single" w:sz="4" w:space="0" w:color="auto"/>
            </w:tcBorders>
            <w:shd w:val="clear" w:color="auto" w:fill="auto"/>
            <w:vAlign w:val="center"/>
          </w:tcPr>
          <w:p w:rsidR="00A5643F" w:rsidRPr="00BD7CEA" w:rsidRDefault="00A5643F">
            <w:pPr>
              <w:pStyle w:val="TableText"/>
              <w:widowControl w:val="0"/>
              <w:rPr>
                <w:rFonts w:ascii="Tahoma" w:hAnsi="Tahoma" w:cs="Tahoma"/>
                <w:sz w:val="13"/>
              </w:rPr>
            </w:pPr>
            <w:r w:rsidRPr="00BD7CEA">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A5643F" w:rsidRPr="00BD7CEA" w:rsidRDefault="00A5643F">
            <w:pPr>
              <w:pStyle w:val="TableText"/>
              <w:widowControl w:val="0"/>
              <w:rPr>
                <w:rFonts w:ascii="Tahoma" w:hAnsi="Tahoma" w:cs="Tahoma"/>
                <w:sz w:val="13"/>
              </w:rPr>
            </w:pPr>
            <w:r w:rsidRPr="00BD7CE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A5643F" w:rsidRPr="00BD7CEA" w:rsidRDefault="00A5643F">
            <w:pPr>
              <w:pStyle w:val="TableText"/>
              <w:widowControl w:val="0"/>
              <w:rPr>
                <w:rFonts w:ascii="Tahoma" w:hAnsi="Tahoma" w:cs="Tahoma"/>
                <w:sz w:val="13"/>
              </w:rPr>
            </w:pPr>
            <w:r w:rsidRPr="00BD7CE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BD7CEA" w:rsidRDefault="00A564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BD7CEA" w:rsidRDefault="00A5643F">
            <w:pPr>
              <w:pStyle w:val="TableText"/>
              <w:widowControl w:val="0"/>
              <w:rPr>
                <w:rFonts w:ascii="Tahoma" w:hAnsi="Tahoma" w:cs="Tahoma"/>
                <w:sz w:val="13"/>
              </w:rPr>
            </w:pPr>
            <w:r w:rsidRPr="00BD7CEA">
              <w:rPr>
                <w:rFonts w:ascii="Tahoma" w:hAnsi="Tahoma" w:cs="Tahoma"/>
                <w:sz w:val="13"/>
              </w:rPr>
              <w:t>E, P</w:t>
            </w:r>
          </w:p>
        </w:tc>
        <w:tc>
          <w:tcPr>
            <w:tcW w:w="450" w:type="dxa"/>
            <w:tcBorders>
              <w:bottom w:val="single" w:sz="4" w:space="0" w:color="auto"/>
            </w:tcBorders>
            <w:shd w:val="clear" w:color="auto" w:fill="auto"/>
          </w:tcPr>
          <w:p w:rsidR="00A5643F" w:rsidRPr="00BD7CEA" w:rsidRDefault="00A5643F">
            <w:pPr>
              <w:pStyle w:val="TableText"/>
              <w:widowControl w:val="0"/>
              <w:rPr>
                <w:rFonts w:ascii="Tahoma" w:hAnsi="Tahoma" w:cs="Tahoma"/>
                <w:sz w:val="13"/>
              </w:rPr>
            </w:pPr>
            <w:r w:rsidRPr="00BD7CEA">
              <w:rPr>
                <w:rFonts w:ascii="Tahoma" w:hAnsi="Tahoma" w:cs="Tahoma"/>
                <w:sz w:val="13"/>
              </w:rPr>
              <w:t>A, ST</w:t>
            </w:r>
          </w:p>
        </w:tc>
        <w:tc>
          <w:tcPr>
            <w:tcW w:w="540" w:type="dxa"/>
            <w:tcBorders>
              <w:bottom w:val="single" w:sz="4" w:space="0" w:color="auto"/>
            </w:tcBorders>
            <w:shd w:val="clear" w:color="auto" w:fill="auto"/>
            <w:vAlign w:val="center"/>
          </w:tcPr>
          <w:p w:rsidR="00A5643F" w:rsidRPr="00BD7CEA" w:rsidRDefault="00A5643F">
            <w:pPr>
              <w:pStyle w:val="TableText"/>
              <w:widowControl w:val="0"/>
              <w:rPr>
                <w:rFonts w:ascii="Tahoma" w:hAnsi="Tahoma" w:cs="Tahoma"/>
                <w:sz w:val="13"/>
              </w:rPr>
            </w:pPr>
          </w:p>
        </w:tc>
      </w:tr>
      <w:tr w:rsidR="00A5643F" w:rsidRPr="00BD7CEA" w:rsidTr="006B1F3F">
        <w:trPr>
          <w:gridBefore w:val="1"/>
          <w:wBefore w:w="20" w:type="dxa"/>
          <w:trHeight w:val="145"/>
        </w:trPr>
        <w:tc>
          <w:tcPr>
            <w:tcW w:w="2714" w:type="dxa"/>
            <w:tcBorders>
              <w:bottom w:val="single" w:sz="4" w:space="0" w:color="auto"/>
            </w:tcBorders>
            <w:shd w:val="clear" w:color="auto" w:fill="FABF8F"/>
            <w:vAlign w:val="center"/>
          </w:tcPr>
          <w:p w:rsidR="00A5643F" w:rsidRPr="00BD7CEA" w:rsidRDefault="00A5643F" w:rsidP="002E5D03">
            <w:pPr>
              <w:pStyle w:val="Heading2"/>
              <w:spacing w:before="20" w:after="20"/>
              <w:ind w:left="0"/>
              <w:rPr>
                <w:rFonts w:ascii="Tahoma" w:hAnsi="Tahoma" w:cs="Tahoma"/>
                <w:b w:val="0"/>
                <w:sz w:val="14"/>
                <w:szCs w:val="14"/>
              </w:rPr>
            </w:pPr>
            <w:bookmarkStart w:id="604" w:name="_Toc336338163"/>
            <w:bookmarkStart w:id="605" w:name="_Toc353375939"/>
            <w:r w:rsidRPr="00BD7CEA">
              <w:rPr>
                <w:rFonts w:ascii="Tahoma" w:hAnsi="Tahoma" w:cs="Tahoma"/>
                <w:b w:val="0"/>
                <w:sz w:val="14"/>
                <w:szCs w:val="14"/>
              </w:rPr>
              <w:t>Premium Add-on CAL Suite per Windows Small Business Server 2011 (5 client)</w:t>
            </w:r>
            <w:bookmarkEnd w:id="604"/>
            <w:bookmarkEnd w:id="605"/>
          </w:p>
        </w:tc>
        <w:tc>
          <w:tcPr>
            <w:tcW w:w="450" w:type="dxa"/>
            <w:tcBorders>
              <w:bottom w:val="single" w:sz="4" w:space="0" w:color="auto"/>
            </w:tcBorders>
            <w:shd w:val="clear" w:color="auto" w:fill="FABF8F"/>
            <w:vAlign w:val="center"/>
          </w:tcPr>
          <w:p w:rsidR="00A5643F" w:rsidRPr="00BD7CEA" w:rsidRDefault="006E5080" w:rsidP="006E7054">
            <w:pPr>
              <w:pStyle w:val="TableText"/>
              <w:widowControl w:val="0"/>
              <w:rPr>
                <w:b/>
                <w:sz w:val="13"/>
                <w:szCs w:val="13"/>
                <w:u w:val="single"/>
              </w:rPr>
            </w:pPr>
            <w:hyperlink w:anchor="_113_Premium_Add-on" w:history="1">
              <w:r w:rsidR="00DD73EC" w:rsidRPr="00BD7CEA">
                <w:rPr>
                  <w:rStyle w:val="Hyperlink"/>
                  <w:b/>
                  <w:sz w:val="13"/>
                  <w:szCs w:val="13"/>
                </w:rPr>
                <w:t>113</w:t>
              </w:r>
            </w:hyperlink>
          </w:p>
        </w:tc>
        <w:tc>
          <w:tcPr>
            <w:tcW w:w="450" w:type="dxa"/>
            <w:tcBorders>
              <w:bottom w:val="single" w:sz="4" w:space="0" w:color="auto"/>
            </w:tcBorders>
            <w:shd w:val="clear" w:color="auto" w:fill="FABF8F"/>
          </w:tcPr>
          <w:p w:rsidR="00A5643F" w:rsidRPr="00BD7CEA" w:rsidRDefault="00A5643F" w:rsidP="00F97D54">
            <w:pPr>
              <w:pStyle w:val="TableText"/>
              <w:widowControl w:val="0"/>
              <w:spacing w:before="120"/>
              <w:rPr>
                <w:rFonts w:ascii="Tahoma" w:hAnsi="Tahoma" w:cs="Tahoma"/>
                <w:sz w:val="13"/>
              </w:rPr>
            </w:pPr>
            <w:r w:rsidRPr="00BD7CEA">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BD7CEA" w:rsidRDefault="00A5643F" w:rsidP="00F97D54">
            <w:pPr>
              <w:pStyle w:val="TableText"/>
              <w:widowControl w:val="0"/>
              <w:rPr>
                <w:rFonts w:ascii="Tahoma" w:hAnsi="Tahoma" w:cs="Tahoma"/>
                <w:sz w:val="13"/>
              </w:rPr>
            </w:pPr>
            <w:r w:rsidRPr="00BD7CE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BD7CEA" w:rsidRDefault="00A5643F"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rsidR="00A5643F" w:rsidRPr="00BD7CEA"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BD7CEA"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BD7CEA"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BD7CEA"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BD7CEA" w:rsidRDefault="00A5643F"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BD7CEA"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BD7CEA" w:rsidRDefault="00A5643F" w:rsidP="00F97D54">
            <w:pPr>
              <w:pStyle w:val="TableText"/>
              <w:widowControl w:val="0"/>
              <w:rPr>
                <w:rFonts w:ascii="Tahoma" w:hAnsi="Tahoma" w:cs="Tahoma"/>
                <w:sz w:val="13"/>
              </w:rPr>
            </w:pPr>
            <w:r w:rsidRPr="00BD7CEA">
              <w:rPr>
                <w:rFonts w:ascii="Tahoma" w:hAnsi="Tahoma" w:cs="Tahoma"/>
                <w:sz w:val="13"/>
              </w:rPr>
              <w:t>5</w:t>
            </w:r>
          </w:p>
        </w:tc>
        <w:tc>
          <w:tcPr>
            <w:tcW w:w="450" w:type="dxa"/>
            <w:tcBorders>
              <w:bottom w:val="single" w:sz="4" w:space="0" w:color="auto"/>
            </w:tcBorders>
            <w:shd w:val="clear" w:color="auto" w:fill="FABF8F"/>
            <w:vAlign w:val="center"/>
          </w:tcPr>
          <w:p w:rsidR="00A5643F" w:rsidRPr="00BD7CEA" w:rsidRDefault="00A5643F" w:rsidP="00F97D54">
            <w:pPr>
              <w:pStyle w:val="TableText"/>
              <w:widowControl w:val="0"/>
              <w:rPr>
                <w:rFonts w:ascii="Tahoma" w:hAnsi="Tahoma" w:cs="Tahoma"/>
                <w:sz w:val="13"/>
              </w:rPr>
            </w:pPr>
            <w:r w:rsidRPr="00BD7CEA">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BD7CEA" w:rsidRDefault="00A5643F" w:rsidP="00F97D54">
            <w:pPr>
              <w:pStyle w:val="TableText"/>
              <w:widowControl w:val="0"/>
              <w:rPr>
                <w:rFonts w:ascii="Tahoma" w:hAnsi="Tahoma" w:cs="Tahoma"/>
                <w:sz w:val="13"/>
              </w:rPr>
            </w:pPr>
            <w:r w:rsidRPr="00BD7CEA">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BD7CEA" w:rsidRDefault="00A5643F" w:rsidP="00F97D54">
            <w:pPr>
              <w:pStyle w:val="TableText"/>
              <w:widowControl w:val="0"/>
              <w:rPr>
                <w:rFonts w:ascii="Tahoma" w:hAnsi="Tahoma" w:cs="Tahoma"/>
                <w:sz w:val="13"/>
              </w:rPr>
            </w:pPr>
            <w:r w:rsidRPr="00BD7CEA">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BD7CEA"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BD7CEA" w:rsidRDefault="00A5643F" w:rsidP="00F97D54">
            <w:pPr>
              <w:pStyle w:val="TableText"/>
              <w:widowControl w:val="0"/>
              <w:rPr>
                <w:rFonts w:ascii="Tahoma" w:hAnsi="Tahoma" w:cs="Tahoma"/>
                <w:sz w:val="13"/>
              </w:rPr>
            </w:pPr>
            <w:r w:rsidRPr="00BD7CEA">
              <w:rPr>
                <w:rFonts w:ascii="Tahoma" w:hAnsi="Tahoma" w:cs="Tahoma"/>
                <w:sz w:val="13"/>
              </w:rPr>
              <w:t>P</w:t>
            </w:r>
          </w:p>
        </w:tc>
        <w:tc>
          <w:tcPr>
            <w:tcW w:w="450" w:type="dxa"/>
            <w:tcBorders>
              <w:bottom w:val="single" w:sz="4" w:space="0" w:color="auto"/>
            </w:tcBorders>
            <w:shd w:val="clear" w:color="auto" w:fill="FABF8F"/>
          </w:tcPr>
          <w:p w:rsidR="00A5643F" w:rsidRPr="00BD7CEA" w:rsidRDefault="00A5643F" w:rsidP="00F97D54">
            <w:pPr>
              <w:pStyle w:val="TableText"/>
              <w:widowControl w:val="0"/>
              <w:rPr>
                <w:rFonts w:ascii="Tahoma" w:hAnsi="Tahoma" w:cs="Tahoma"/>
                <w:sz w:val="13"/>
              </w:rPr>
            </w:pPr>
            <w:r w:rsidRPr="00BD7CEA">
              <w:rPr>
                <w:rFonts w:ascii="Tahoma" w:hAnsi="Tahoma" w:cs="Tahoma"/>
                <w:sz w:val="13"/>
              </w:rPr>
              <w:t>A</w:t>
            </w:r>
          </w:p>
        </w:tc>
        <w:tc>
          <w:tcPr>
            <w:tcW w:w="540" w:type="dxa"/>
            <w:tcBorders>
              <w:bottom w:val="single" w:sz="4" w:space="0" w:color="auto"/>
            </w:tcBorders>
            <w:shd w:val="clear" w:color="auto" w:fill="FABF8F"/>
            <w:vAlign w:val="center"/>
          </w:tcPr>
          <w:p w:rsidR="00A5643F" w:rsidRPr="00BD7CEA" w:rsidRDefault="00A5643F" w:rsidP="00F97D54">
            <w:pPr>
              <w:pStyle w:val="TableText"/>
              <w:widowControl w:val="0"/>
              <w:rPr>
                <w:rFonts w:ascii="Tahoma" w:hAnsi="Tahoma" w:cs="Tahoma"/>
                <w:sz w:val="13"/>
              </w:rPr>
            </w:pPr>
            <w:r w:rsidRPr="00BD7CEA">
              <w:rPr>
                <w:rFonts w:ascii="Tahoma" w:hAnsi="Tahoma" w:cs="Tahoma"/>
                <w:sz w:val="13"/>
              </w:rPr>
              <w:t>OL/OV</w:t>
            </w:r>
          </w:p>
        </w:tc>
      </w:tr>
      <w:tr w:rsidR="00A5643F" w:rsidRPr="00BD7CEA" w:rsidTr="006B1F3F">
        <w:trPr>
          <w:gridBefore w:val="1"/>
          <w:wBefore w:w="20" w:type="dxa"/>
          <w:trHeight w:val="440"/>
        </w:trPr>
        <w:tc>
          <w:tcPr>
            <w:tcW w:w="2714" w:type="dxa"/>
            <w:tcBorders>
              <w:bottom w:val="single" w:sz="4" w:space="0" w:color="auto"/>
            </w:tcBorders>
            <w:shd w:val="clear" w:color="auto" w:fill="auto"/>
            <w:vAlign w:val="center"/>
          </w:tcPr>
          <w:p w:rsidR="00A5643F" w:rsidRPr="00BD7CEA" w:rsidRDefault="00A5643F" w:rsidP="002E5D03">
            <w:pPr>
              <w:pStyle w:val="Heading2"/>
              <w:spacing w:before="20" w:after="20"/>
              <w:ind w:left="0"/>
              <w:rPr>
                <w:rFonts w:ascii="Tahoma" w:hAnsi="Tahoma" w:cs="Tahoma"/>
                <w:b w:val="0"/>
                <w:sz w:val="14"/>
                <w:szCs w:val="14"/>
              </w:rPr>
            </w:pPr>
            <w:bookmarkStart w:id="606" w:name="_Toc336338164"/>
            <w:bookmarkStart w:id="607" w:name="_Toc353375940"/>
            <w:r w:rsidRPr="00BD7CEA">
              <w:rPr>
                <w:rFonts w:ascii="Tahoma" w:hAnsi="Tahoma" w:cs="Tahoma"/>
                <w:b w:val="0"/>
                <w:sz w:val="14"/>
                <w:szCs w:val="14"/>
              </w:rPr>
              <w:t>Premium Add-on CAL Suite per Windows Small Business Server 2011 (20 client)</w:t>
            </w:r>
            <w:bookmarkEnd w:id="606"/>
            <w:bookmarkEnd w:id="607"/>
          </w:p>
        </w:tc>
        <w:tc>
          <w:tcPr>
            <w:tcW w:w="450" w:type="dxa"/>
            <w:tcBorders>
              <w:bottom w:val="single" w:sz="4" w:space="0" w:color="auto"/>
            </w:tcBorders>
            <w:shd w:val="clear" w:color="auto" w:fill="auto"/>
            <w:vAlign w:val="center"/>
          </w:tcPr>
          <w:p w:rsidR="00A5643F" w:rsidRPr="00BD7CEA" w:rsidRDefault="006E5080" w:rsidP="006E7054">
            <w:pPr>
              <w:pStyle w:val="TableText"/>
              <w:widowControl w:val="0"/>
              <w:rPr>
                <w:b/>
                <w:sz w:val="13"/>
                <w:szCs w:val="13"/>
                <w:u w:val="single"/>
              </w:rPr>
            </w:pPr>
            <w:hyperlink w:anchor="_113_Premium_Add-on" w:history="1">
              <w:r w:rsidR="00DD73EC" w:rsidRPr="00BD7CEA">
                <w:rPr>
                  <w:rStyle w:val="Hyperlink"/>
                  <w:b/>
                  <w:sz w:val="13"/>
                  <w:szCs w:val="13"/>
                </w:rPr>
                <w:t>113</w:t>
              </w:r>
            </w:hyperlink>
          </w:p>
        </w:tc>
        <w:tc>
          <w:tcPr>
            <w:tcW w:w="450" w:type="dxa"/>
            <w:tcBorders>
              <w:bottom w:val="single" w:sz="4" w:space="0" w:color="auto"/>
            </w:tcBorders>
            <w:shd w:val="clear" w:color="auto" w:fill="auto"/>
          </w:tcPr>
          <w:p w:rsidR="00A5643F" w:rsidRPr="00BD7CEA" w:rsidRDefault="00A5643F" w:rsidP="00F97D54">
            <w:pPr>
              <w:pStyle w:val="TableText"/>
              <w:widowControl w:val="0"/>
              <w:spacing w:before="120"/>
              <w:rPr>
                <w:rFonts w:ascii="Tahoma" w:hAnsi="Tahoma" w:cs="Tahoma"/>
                <w:sz w:val="13"/>
              </w:rPr>
            </w:pPr>
            <w:r w:rsidRPr="00BD7CEA">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BD7CEA" w:rsidRDefault="00A5643F" w:rsidP="00F97D54">
            <w:pPr>
              <w:pStyle w:val="TableText"/>
              <w:widowControl w:val="0"/>
              <w:rPr>
                <w:rFonts w:ascii="Tahoma" w:hAnsi="Tahoma" w:cs="Tahoma"/>
                <w:sz w:val="13"/>
              </w:rPr>
            </w:pPr>
            <w:r w:rsidRPr="00BD7CE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BD7CEA" w:rsidRDefault="00A5643F"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rsidR="00A5643F" w:rsidRPr="00BD7CEA"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BD7CEA"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BD7CEA"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BD7CEA"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rsidR="00A5643F" w:rsidRPr="00BD7CEA" w:rsidRDefault="00A5643F"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BD7CEA"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BD7CEA" w:rsidRDefault="00A5643F" w:rsidP="00F97D54">
            <w:pPr>
              <w:pStyle w:val="TableText"/>
              <w:widowControl w:val="0"/>
              <w:rPr>
                <w:rFonts w:ascii="Tahoma" w:hAnsi="Tahoma" w:cs="Tahoma"/>
                <w:sz w:val="13"/>
              </w:rPr>
            </w:pPr>
            <w:r w:rsidRPr="00BD7CEA">
              <w:rPr>
                <w:rFonts w:ascii="Tahoma" w:hAnsi="Tahoma" w:cs="Tahoma"/>
                <w:sz w:val="13"/>
              </w:rPr>
              <w:t>25</w:t>
            </w:r>
          </w:p>
        </w:tc>
        <w:tc>
          <w:tcPr>
            <w:tcW w:w="450" w:type="dxa"/>
            <w:tcBorders>
              <w:bottom w:val="single" w:sz="4" w:space="0" w:color="auto"/>
            </w:tcBorders>
            <w:shd w:val="clear" w:color="auto" w:fill="auto"/>
            <w:vAlign w:val="center"/>
          </w:tcPr>
          <w:p w:rsidR="00A5643F" w:rsidRPr="00BD7CEA" w:rsidRDefault="00A5643F" w:rsidP="00F97D54">
            <w:pPr>
              <w:pStyle w:val="TableText"/>
              <w:widowControl w:val="0"/>
              <w:rPr>
                <w:rFonts w:ascii="Tahoma" w:hAnsi="Tahoma" w:cs="Tahoma"/>
                <w:sz w:val="13"/>
              </w:rPr>
            </w:pPr>
            <w:r w:rsidRPr="00BD7CEA">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A5643F" w:rsidRPr="00BD7CEA" w:rsidRDefault="00A5643F" w:rsidP="00F97D54">
            <w:pPr>
              <w:pStyle w:val="TableText"/>
              <w:widowControl w:val="0"/>
              <w:rPr>
                <w:rFonts w:ascii="Tahoma" w:hAnsi="Tahoma" w:cs="Tahoma"/>
                <w:sz w:val="13"/>
              </w:rPr>
            </w:pPr>
            <w:r w:rsidRPr="00BD7CEA">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A5643F" w:rsidRPr="00BD7CEA" w:rsidRDefault="00A5643F" w:rsidP="00F97D54">
            <w:pPr>
              <w:pStyle w:val="TableText"/>
              <w:widowControl w:val="0"/>
              <w:rPr>
                <w:rFonts w:ascii="Tahoma" w:hAnsi="Tahoma" w:cs="Tahoma"/>
                <w:sz w:val="13"/>
              </w:rPr>
            </w:pPr>
            <w:r w:rsidRPr="00BD7CEA">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BD7CEA"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BD7CEA" w:rsidRDefault="00A5643F" w:rsidP="00F97D54">
            <w:pPr>
              <w:pStyle w:val="TableText"/>
              <w:widowControl w:val="0"/>
              <w:rPr>
                <w:rFonts w:ascii="Tahoma" w:hAnsi="Tahoma" w:cs="Tahoma"/>
                <w:sz w:val="13"/>
              </w:rPr>
            </w:pPr>
            <w:r w:rsidRPr="00BD7CEA">
              <w:rPr>
                <w:rFonts w:ascii="Tahoma" w:hAnsi="Tahoma" w:cs="Tahoma"/>
                <w:sz w:val="13"/>
              </w:rPr>
              <w:t>P</w:t>
            </w:r>
          </w:p>
        </w:tc>
        <w:tc>
          <w:tcPr>
            <w:tcW w:w="450" w:type="dxa"/>
            <w:tcBorders>
              <w:bottom w:val="single" w:sz="4" w:space="0" w:color="auto"/>
            </w:tcBorders>
            <w:shd w:val="clear" w:color="auto" w:fill="auto"/>
          </w:tcPr>
          <w:p w:rsidR="00A5643F" w:rsidRPr="00BD7CEA" w:rsidRDefault="00A5643F" w:rsidP="00F97D54">
            <w:pPr>
              <w:pStyle w:val="TableText"/>
              <w:widowControl w:val="0"/>
              <w:rPr>
                <w:rFonts w:ascii="Tahoma" w:hAnsi="Tahoma" w:cs="Tahoma"/>
                <w:sz w:val="13"/>
              </w:rPr>
            </w:pPr>
            <w:r w:rsidRPr="00BD7CEA">
              <w:rPr>
                <w:rFonts w:ascii="Tahoma" w:hAnsi="Tahoma" w:cs="Tahoma"/>
                <w:sz w:val="13"/>
              </w:rPr>
              <w:t>A</w:t>
            </w:r>
          </w:p>
        </w:tc>
        <w:tc>
          <w:tcPr>
            <w:tcW w:w="540" w:type="dxa"/>
            <w:tcBorders>
              <w:bottom w:val="single" w:sz="4" w:space="0" w:color="auto"/>
            </w:tcBorders>
            <w:shd w:val="clear" w:color="auto" w:fill="auto"/>
            <w:vAlign w:val="center"/>
          </w:tcPr>
          <w:p w:rsidR="00A5643F" w:rsidRPr="00BD7CEA" w:rsidRDefault="00A5643F" w:rsidP="00F97D54">
            <w:pPr>
              <w:pStyle w:val="TableText"/>
              <w:widowControl w:val="0"/>
              <w:rPr>
                <w:rFonts w:ascii="Tahoma" w:hAnsi="Tahoma" w:cs="Tahoma"/>
                <w:sz w:val="13"/>
              </w:rPr>
            </w:pPr>
            <w:r w:rsidRPr="00BD7CEA">
              <w:rPr>
                <w:rFonts w:ascii="Tahoma" w:hAnsi="Tahoma" w:cs="Tahoma"/>
                <w:color w:val="000000"/>
                <w:sz w:val="13"/>
              </w:rPr>
              <w:t>OL/OV</w:t>
            </w:r>
          </w:p>
        </w:tc>
      </w:tr>
      <w:tr w:rsidR="00A5643F" w:rsidRPr="00BD7CEA" w:rsidTr="006B1F3F">
        <w:trPr>
          <w:gridBefore w:val="1"/>
          <w:wBefore w:w="20" w:type="dxa"/>
          <w:trHeight w:val="440"/>
        </w:trPr>
        <w:tc>
          <w:tcPr>
            <w:tcW w:w="2714" w:type="dxa"/>
            <w:tcBorders>
              <w:bottom w:val="single" w:sz="4" w:space="0" w:color="auto"/>
            </w:tcBorders>
            <w:shd w:val="clear" w:color="auto" w:fill="FABF8F"/>
            <w:vAlign w:val="center"/>
          </w:tcPr>
          <w:p w:rsidR="00A5643F" w:rsidRPr="00BD7CEA" w:rsidRDefault="00A5643F" w:rsidP="002E5D03">
            <w:pPr>
              <w:pStyle w:val="Heading2"/>
              <w:spacing w:before="20" w:after="20"/>
              <w:ind w:left="0"/>
              <w:rPr>
                <w:rFonts w:ascii="Tahoma" w:hAnsi="Tahoma" w:cs="Tahoma"/>
                <w:b w:val="0"/>
                <w:sz w:val="14"/>
                <w:szCs w:val="14"/>
              </w:rPr>
            </w:pPr>
            <w:bookmarkStart w:id="608" w:name="_Toc336338165"/>
            <w:bookmarkStart w:id="609" w:name="_Toc353375941"/>
            <w:r w:rsidRPr="00BD7CEA">
              <w:rPr>
                <w:rFonts w:ascii="Tahoma" w:hAnsi="Tahoma" w:cs="Tahoma"/>
                <w:b w:val="0"/>
                <w:sz w:val="14"/>
                <w:szCs w:val="14"/>
              </w:rPr>
              <w:t>Windows Server Essentials 2012</w:t>
            </w:r>
            <w:bookmarkEnd w:id="608"/>
            <w:bookmarkEnd w:id="609"/>
          </w:p>
        </w:tc>
        <w:tc>
          <w:tcPr>
            <w:tcW w:w="450" w:type="dxa"/>
            <w:tcBorders>
              <w:bottom w:val="single" w:sz="4" w:space="0" w:color="auto"/>
            </w:tcBorders>
            <w:shd w:val="clear" w:color="auto" w:fill="FABF8F"/>
            <w:vAlign w:val="center"/>
          </w:tcPr>
          <w:p w:rsidR="00A5643F" w:rsidRPr="00BD7CEA" w:rsidRDefault="00A5643F" w:rsidP="0059600B">
            <w:pPr>
              <w:pStyle w:val="TableText"/>
              <w:widowControl w:val="0"/>
              <w:rPr>
                <w:b/>
                <w:sz w:val="13"/>
                <w:szCs w:val="13"/>
                <w:u w:val="single"/>
              </w:rPr>
            </w:pPr>
          </w:p>
        </w:tc>
        <w:tc>
          <w:tcPr>
            <w:tcW w:w="450" w:type="dxa"/>
            <w:tcBorders>
              <w:bottom w:val="single" w:sz="4" w:space="0" w:color="auto"/>
            </w:tcBorders>
            <w:shd w:val="clear" w:color="auto" w:fill="FABF8F"/>
          </w:tcPr>
          <w:p w:rsidR="00A5643F" w:rsidRPr="00BD7CEA" w:rsidRDefault="00A5643F" w:rsidP="00F97D54">
            <w:pPr>
              <w:pStyle w:val="TableText"/>
              <w:widowControl w:val="0"/>
              <w:spacing w:before="120"/>
              <w:rPr>
                <w:rFonts w:ascii="Tahoma" w:hAnsi="Tahoma" w:cs="Tahoma"/>
                <w:sz w:val="13"/>
              </w:rPr>
            </w:pPr>
            <w:r w:rsidRPr="00BD7CEA">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rsidR="00A5643F" w:rsidRPr="00BD7CEA" w:rsidRDefault="00A5643F" w:rsidP="00F97D5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A5643F" w:rsidRPr="00BD7CEA" w:rsidRDefault="00A5643F"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rsidR="00A5643F" w:rsidRPr="00BD7CEA"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BD7CEA"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BD7CEA"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BD7CEA"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BD7CEA" w:rsidRDefault="00A5643F"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BD7CEA"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BD7CEA" w:rsidRDefault="00A5643F" w:rsidP="00F97D54">
            <w:pPr>
              <w:pStyle w:val="TableText"/>
              <w:widowControl w:val="0"/>
              <w:rPr>
                <w:rFonts w:ascii="Tahoma" w:hAnsi="Tahoma" w:cs="Tahoma"/>
                <w:sz w:val="13"/>
              </w:rPr>
            </w:pPr>
            <w:r w:rsidRPr="00BD7CEA">
              <w:rPr>
                <w:rFonts w:ascii="Tahoma" w:hAnsi="Tahoma" w:cs="Tahoma"/>
                <w:sz w:val="13"/>
              </w:rPr>
              <w:t>5</w:t>
            </w:r>
          </w:p>
        </w:tc>
        <w:tc>
          <w:tcPr>
            <w:tcW w:w="450" w:type="dxa"/>
            <w:tcBorders>
              <w:bottom w:val="single" w:sz="4" w:space="0" w:color="auto"/>
            </w:tcBorders>
            <w:shd w:val="clear" w:color="auto" w:fill="FABF8F"/>
            <w:vAlign w:val="center"/>
          </w:tcPr>
          <w:p w:rsidR="00A5643F" w:rsidRPr="00BD7CEA" w:rsidRDefault="00A5643F" w:rsidP="00F97D54">
            <w:pPr>
              <w:pStyle w:val="TableText"/>
              <w:widowControl w:val="0"/>
              <w:rPr>
                <w:rFonts w:ascii="Tahoma" w:hAnsi="Tahoma" w:cs="Tahoma"/>
                <w:sz w:val="13"/>
              </w:rPr>
            </w:pPr>
            <w:r w:rsidRPr="00BD7CEA">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BD7CEA" w:rsidRDefault="00A5643F" w:rsidP="00F97D54">
            <w:pPr>
              <w:pStyle w:val="TableText"/>
              <w:widowControl w:val="0"/>
              <w:rPr>
                <w:rFonts w:ascii="Tahoma" w:hAnsi="Tahoma" w:cs="Tahoma"/>
                <w:sz w:val="13"/>
              </w:rPr>
            </w:pPr>
            <w:r w:rsidRPr="00BD7CEA">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BD7CEA" w:rsidRDefault="00A5643F" w:rsidP="00F97D54">
            <w:pPr>
              <w:pStyle w:val="TableText"/>
              <w:widowControl w:val="0"/>
              <w:rPr>
                <w:rFonts w:ascii="Tahoma" w:hAnsi="Tahoma" w:cs="Tahoma"/>
                <w:sz w:val="13"/>
              </w:rPr>
            </w:pPr>
            <w:r w:rsidRPr="00BD7CEA">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BD7CEA"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BD7CEA" w:rsidRDefault="00A5643F" w:rsidP="00F97D54">
            <w:pPr>
              <w:pStyle w:val="TableText"/>
              <w:widowControl w:val="0"/>
              <w:rPr>
                <w:rFonts w:ascii="Tahoma" w:hAnsi="Tahoma" w:cs="Tahoma"/>
                <w:sz w:val="13"/>
              </w:rPr>
            </w:pPr>
            <w:r w:rsidRPr="00BD7CEA">
              <w:rPr>
                <w:rFonts w:ascii="Tahoma" w:hAnsi="Tahoma" w:cs="Tahoma"/>
                <w:sz w:val="13"/>
              </w:rPr>
              <w:t>P</w:t>
            </w:r>
          </w:p>
        </w:tc>
        <w:tc>
          <w:tcPr>
            <w:tcW w:w="450" w:type="dxa"/>
            <w:tcBorders>
              <w:bottom w:val="single" w:sz="4" w:space="0" w:color="auto"/>
            </w:tcBorders>
            <w:shd w:val="clear" w:color="auto" w:fill="FABF8F"/>
          </w:tcPr>
          <w:p w:rsidR="00A5643F" w:rsidRPr="00BD7CEA" w:rsidRDefault="00A5643F" w:rsidP="00F97D54">
            <w:pPr>
              <w:pStyle w:val="TableText"/>
              <w:widowControl w:val="0"/>
              <w:rPr>
                <w:rFonts w:ascii="Tahoma" w:hAnsi="Tahoma" w:cs="Tahoma"/>
                <w:sz w:val="13"/>
              </w:rPr>
            </w:pPr>
            <w:r w:rsidRPr="00BD7CEA">
              <w:rPr>
                <w:rFonts w:ascii="Tahoma" w:hAnsi="Tahoma" w:cs="Tahoma"/>
                <w:sz w:val="13"/>
              </w:rPr>
              <w:t>A</w:t>
            </w:r>
          </w:p>
        </w:tc>
        <w:tc>
          <w:tcPr>
            <w:tcW w:w="540" w:type="dxa"/>
            <w:tcBorders>
              <w:bottom w:val="single" w:sz="4" w:space="0" w:color="auto"/>
            </w:tcBorders>
            <w:shd w:val="clear" w:color="auto" w:fill="FABF8F"/>
            <w:vAlign w:val="center"/>
          </w:tcPr>
          <w:p w:rsidR="00A5643F" w:rsidRPr="00BD7CEA" w:rsidRDefault="00A5643F" w:rsidP="00F97D54">
            <w:pPr>
              <w:pStyle w:val="TableText"/>
              <w:widowControl w:val="0"/>
              <w:rPr>
                <w:rFonts w:ascii="Tahoma" w:hAnsi="Tahoma" w:cs="Tahoma"/>
                <w:color w:val="000000"/>
                <w:sz w:val="13"/>
              </w:rPr>
            </w:pPr>
          </w:p>
        </w:tc>
      </w:tr>
      <w:tr w:rsidR="00A5643F" w:rsidRPr="00BD7CEA" w:rsidTr="006B1F3F">
        <w:trPr>
          <w:gridBefore w:val="1"/>
          <w:wBefore w:w="20" w:type="dxa"/>
          <w:trHeight w:val="145"/>
        </w:trPr>
        <w:tc>
          <w:tcPr>
            <w:tcW w:w="2714" w:type="dxa"/>
            <w:shd w:val="clear" w:color="auto" w:fill="auto"/>
            <w:vAlign w:val="center"/>
          </w:tcPr>
          <w:p w:rsidR="00A5643F" w:rsidRPr="00BD7CEA" w:rsidRDefault="00A5643F" w:rsidP="002E5D03">
            <w:pPr>
              <w:pStyle w:val="Heading2"/>
              <w:spacing w:before="20" w:after="20"/>
              <w:ind w:left="0"/>
              <w:rPr>
                <w:rFonts w:ascii="Tahoma" w:hAnsi="Tahoma" w:cs="Tahoma"/>
                <w:b w:val="0"/>
                <w:sz w:val="14"/>
                <w:szCs w:val="14"/>
              </w:rPr>
            </w:pPr>
            <w:bookmarkStart w:id="610" w:name="_Toc336338166"/>
            <w:bookmarkStart w:id="611" w:name="_Toc353375942"/>
            <w:r w:rsidRPr="00BD7CEA">
              <w:rPr>
                <w:rFonts w:ascii="Tahoma" w:hAnsi="Tahoma" w:cs="Tahoma"/>
                <w:b w:val="0"/>
                <w:sz w:val="14"/>
                <w:szCs w:val="14"/>
              </w:rPr>
              <w:t>Windows Small Business Server 2011 Essentials</w:t>
            </w:r>
            <w:bookmarkEnd w:id="610"/>
            <w:bookmarkEnd w:id="611"/>
          </w:p>
        </w:tc>
        <w:tc>
          <w:tcPr>
            <w:tcW w:w="450" w:type="dxa"/>
            <w:shd w:val="clear" w:color="auto" w:fill="auto"/>
            <w:vAlign w:val="center"/>
          </w:tcPr>
          <w:p w:rsidR="00A5643F" w:rsidRPr="00BD7CEA" w:rsidRDefault="006E5080" w:rsidP="006E7054">
            <w:pPr>
              <w:pStyle w:val="TableText"/>
              <w:widowControl w:val="0"/>
              <w:rPr>
                <w:b/>
                <w:sz w:val="13"/>
                <w:szCs w:val="13"/>
                <w:u w:val="single"/>
              </w:rPr>
            </w:pPr>
            <w:hyperlink w:anchor="_114_Premium_Add-on" w:history="1">
              <w:r w:rsidR="00955428" w:rsidRPr="00BD7CEA">
                <w:rPr>
                  <w:rStyle w:val="Hyperlink"/>
                  <w:b/>
                  <w:sz w:val="13"/>
                  <w:szCs w:val="13"/>
                </w:rPr>
                <w:t>114</w:t>
              </w:r>
            </w:hyperlink>
          </w:p>
        </w:tc>
        <w:tc>
          <w:tcPr>
            <w:tcW w:w="450" w:type="dxa"/>
            <w:shd w:val="clear" w:color="auto" w:fill="auto"/>
          </w:tcPr>
          <w:p w:rsidR="00A5643F" w:rsidRPr="00BD7CEA" w:rsidRDefault="00A5643F" w:rsidP="00F97D54">
            <w:pPr>
              <w:pStyle w:val="TableText"/>
              <w:widowControl w:val="0"/>
              <w:spacing w:before="120"/>
              <w:rPr>
                <w:rFonts w:ascii="Tahoma" w:hAnsi="Tahoma" w:cs="Tahoma"/>
                <w:sz w:val="13"/>
              </w:rPr>
            </w:pPr>
            <w:r w:rsidRPr="00BD7CEA">
              <w:rPr>
                <w:rFonts w:ascii="Tahoma" w:hAnsi="Tahoma" w:cs="Tahoma"/>
                <w:sz w:val="13"/>
              </w:rPr>
              <w:t>05/11</w:t>
            </w:r>
          </w:p>
        </w:tc>
        <w:tc>
          <w:tcPr>
            <w:tcW w:w="360" w:type="dxa"/>
            <w:tcBorders>
              <w:right w:val="single" w:sz="18" w:space="0" w:color="auto"/>
            </w:tcBorders>
            <w:shd w:val="clear" w:color="auto" w:fill="auto"/>
            <w:vAlign w:val="center"/>
          </w:tcPr>
          <w:p w:rsidR="00A5643F" w:rsidRPr="00BD7CEA" w:rsidRDefault="00A5643F" w:rsidP="00F97D54">
            <w:pPr>
              <w:pStyle w:val="TableText"/>
              <w:widowControl w:val="0"/>
              <w:rPr>
                <w:rFonts w:ascii="Tahoma" w:hAnsi="Tahoma" w:cs="Tahoma"/>
                <w:sz w:val="13"/>
              </w:rPr>
            </w:pPr>
            <w:r w:rsidRPr="00BD7CEA">
              <w:rPr>
                <w:rFonts w:ascii="Tahoma" w:hAnsi="Tahoma" w:cs="Tahoma"/>
                <w:sz w:val="13"/>
              </w:rPr>
              <w:t>SRV</w:t>
            </w:r>
          </w:p>
        </w:tc>
        <w:tc>
          <w:tcPr>
            <w:tcW w:w="360" w:type="dxa"/>
            <w:tcBorders>
              <w:left w:val="single" w:sz="18" w:space="0" w:color="auto"/>
            </w:tcBorders>
            <w:shd w:val="clear" w:color="auto" w:fill="auto"/>
            <w:vAlign w:val="center"/>
          </w:tcPr>
          <w:p w:rsidR="00A5643F" w:rsidRPr="00BD7CEA"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BD7CEA"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BD7CEA"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BD7CEA"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BD7CEA"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BD7CEA" w:rsidRDefault="00A5643F" w:rsidP="00F97D54">
            <w:pPr>
              <w:pStyle w:val="TableText"/>
              <w:widowControl w:val="0"/>
              <w:rPr>
                <w:rFonts w:ascii="Tahoma" w:hAnsi="Tahoma" w:cs="Tahoma"/>
                <w:color w:val="000000"/>
                <w:sz w:val="13"/>
              </w:rPr>
            </w:pPr>
          </w:p>
        </w:tc>
        <w:tc>
          <w:tcPr>
            <w:tcW w:w="360" w:type="dxa"/>
            <w:tcBorders>
              <w:right w:val="single" w:sz="18" w:space="0" w:color="auto"/>
            </w:tcBorders>
            <w:shd w:val="clear" w:color="auto" w:fill="auto"/>
            <w:vAlign w:val="center"/>
          </w:tcPr>
          <w:p w:rsidR="00A5643F" w:rsidRPr="00BD7CEA" w:rsidRDefault="00A5643F" w:rsidP="00F97D54">
            <w:pPr>
              <w:pStyle w:val="TableText"/>
              <w:widowControl w:val="0"/>
              <w:rPr>
                <w:rFonts w:ascii="Tahoma" w:hAnsi="Tahoma" w:cs="Tahoma"/>
                <w:color w:val="000000"/>
                <w:sz w:val="13"/>
              </w:rPr>
            </w:pPr>
          </w:p>
        </w:tc>
        <w:tc>
          <w:tcPr>
            <w:tcW w:w="450" w:type="dxa"/>
            <w:tcBorders>
              <w:left w:val="single" w:sz="18" w:space="0" w:color="auto"/>
            </w:tcBorders>
            <w:shd w:val="clear" w:color="auto" w:fill="auto"/>
            <w:vAlign w:val="center"/>
          </w:tcPr>
          <w:p w:rsidR="00A5643F" w:rsidRPr="00BD7CEA"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BD7CEA" w:rsidRDefault="00A5643F" w:rsidP="00F97D54">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rsidR="00A5643F" w:rsidRPr="00BD7CEA" w:rsidRDefault="00A5643F" w:rsidP="00F97D54">
            <w:pPr>
              <w:pStyle w:val="TableText"/>
              <w:widowControl w:val="0"/>
              <w:rPr>
                <w:rFonts w:ascii="Tahoma" w:hAnsi="Tahoma" w:cs="Tahoma"/>
                <w:sz w:val="13"/>
              </w:rPr>
            </w:pPr>
          </w:p>
        </w:tc>
        <w:tc>
          <w:tcPr>
            <w:tcW w:w="450" w:type="dxa"/>
            <w:tcBorders>
              <w:left w:val="single" w:sz="18" w:space="0" w:color="auto"/>
            </w:tcBorders>
            <w:shd w:val="clear" w:color="auto" w:fill="auto"/>
            <w:vAlign w:val="center"/>
          </w:tcPr>
          <w:p w:rsidR="00A5643F" w:rsidRPr="00BD7CEA" w:rsidRDefault="00A5643F" w:rsidP="00F97D54">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rsidR="00A5643F" w:rsidRPr="00BD7CEA" w:rsidRDefault="00A5643F" w:rsidP="00F97D54">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rsidR="00A5643F" w:rsidRPr="00BD7CEA" w:rsidRDefault="00A5643F" w:rsidP="00F97D54">
            <w:pPr>
              <w:pStyle w:val="TableText"/>
              <w:widowControl w:val="0"/>
              <w:rPr>
                <w:rFonts w:ascii="Tahoma" w:hAnsi="Tahoma" w:cs="Tahoma"/>
                <w:sz w:val="13"/>
              </w:rPr>
            </w:pPr>
          </w:p>
        </w:tc>
        <w:tc>
          <w:tcPr>
            <w:tcW w:w="450" w:type="dxa"/>
            <w:shd w:val="clear" w:color="auto" w:fill="auto"/>
          </w:tcPr>
          <w:p w:rsidR="00A5643F" w:rsidRPr="00BD7CEA" w:rsidRDefault="00A5643F" w:rsidP="00E27A85">
            <w:pPr>
              <w:pStyle w:val="TableText"/>
              <w:widowControl w:val="0"/>
              <w:spacing w:before="60"/>
              <w:rPr>
                <w:rFonts w:ascii="Tahoma" w:hAnsi="Tahoma" w:cs="Tahoma"/>
                <w:sz w:val="13"/>
              </w:rPr>
            </w:pPr>
          </w:p>
        </w:tc>
        <w:tc>
          <w:tcPr>
            <w:tcW w:w="540" w:type="dxa"/>
            <w:shd w:val="clear" w:color="auto" w:fill="auto"/>
            <w:vAlign w:val="center"/>
          </w:tcPr>
          <w:p w:rsidR="00A5643F" w:rsidRPr="00BD7CEA" w:rsidRDefault="00A5643F" w:rsidP="00F97D54">
            <w:pPr>
              <w:pStyle w:val="TableText"/>
              <w:widowControl w:val="0"/>
              <w:rPr>
                <w:rFonts w:ascii="Tahoma" w:hAnsi="Tahoma" w:cs="Tahoma"/>
                <w:color w:val="000000"/>
                <w:sz w:val="13"/>
              </w:rPr>
            </w:pPr>
          </w:p>
        </w:tc>
      </w:tr>
      <w:tr w:rsidR="00CE1716" w:rsidRPr="00BD7CEA" w:rsidTr="006B1F3F">
        <w:trPr>
          <w:gridBefore w:val="1"/>
          <w:wBefore w:w="20" w:type="dxa"/>
          <w:trHeight w:val="359"/>
        </w:trPr>
        <w:tc>
          <w:tcPr>
            <w:tcW w:w="2714" w:type="dxa"/>
            <w:tcBorders>
              <w:bottom w:val="single" w:sz="4" w:space="0" w:color="auto"/>
            </w:tcBorders>
            <w:shd w:val="clear" w:color="auto" w:fill="FABF8F"/>
            <w:vAlign w:val="center"/>
          </w:tcPr>
          <w:p w:rsidR="00CE1716" w:rsidRPr="00BD7CEA" w:rsidRDefault="00CE1716" w:rsidP="00E13599">
            <w:pPr>
              <w:pStyle w:val="Heading2"/>
              <w:keepNext/>
              <w:spacing w:before="20" w:after="20"/>
              <w:ind w:left="0"/>
              <w:rPr>
                <w:rFonts w:ascii="Tahoma" w:hAnsi="Tahoma" w:cs="Tahoma"/>
                <w:b w:val="0"/>
                <w:sz w:val="14"/>
                <w:szCs w:val="14"/>
              </w:rPr>
            </w:pPr>
            <w:bookmarkStart w:id="612" w:name="_Toc353375943"/>
            <w:r w:rsidRPr="00BD7CEA">
              <w:rPr>
                <w:rFonts w:ascii="Tahoma" w:hAnsi="Tahoma" w:cs="Tahoma"/>
                <w:b w:val="0"/>
                <w:sz w:val="14"/>
                <w:szCs w:val="14"/>
              </w:rPr>
              <w:t>Windows Web Server 2008 R2</w:t>
            </w:r>
            <w:bookmarkEnd w:id="612"/>
          </w:p>
        </w:tc>
        <w:tc>
          <w:tcPr>
            <w:tcW w:w="450" w:type="dxa"/>
            <w:tcBorders>
              <w:bottom w:val="single" w:sz="4" w:space="0" w:color="auto"/>
            </w:tcBorders>
            <w:shd w:val="clear" w:color="auto" w:fill="FABF8F"/>
            <w:vAlign w:val="center"/>
          </w:tcPr>
          <w:p w:rsidR="00CE1716" w:rsidRPr="00BD7CEA" w:rsidRDefault="006E5080" w:rsidP="006E7054">
            <w:pPr>
              <w:pStyle w:val="TableText"/>
              <w:keepNext/>
              <w:widowControl w:val="0"/>
              <w:rPr>
                <w:rStyle w:val="EndnoteReference"/>
                <w:b w:val="0"/>
                <w:sz w:val="13"/>
                <w:szCs w:val="13"/>
                <w:u w:val="single"/>
              </w:rPr>
            </w:pPr>
            <w:hyperlink w:anchor="_115_Windows_Small" w:history="1">
              <w:r w:rsidR="00955428" w:rsidRPr="00BD7CEA">
                <w:rPr>
                  <w:rStyle w:val="Hyperlink"/>
                  <w:b/>
                  <w:sz w:val="13"/>
                  <w:szCs w:val="13"/>
                </w:rPr>
                <w:t>115</w:t>
              </w:r>
            </w:hyperlink>
          </w:p>
        </w:tc>
        <w:tc>
          <w:tcPr>
            <w:tcW w:w="450" w:type="dxa"/>
            <w:tcBorders>
              <w:bottom w:val="single" w:sz="4" w:space="0" w:color="auto"/>
            </w:tcBorders>
            <w:shd w:val="clear" w:color="auto" w:fill="FABF8F"/>
            <w:vAlign w:val="center"/>
          </w:tcPr>
          <w:p w:rsidR="00CE1716" w:rsidRPr="00BD7CEA" w:rsidRDefault="00CE1716" w:rsidP="00E13599">
            <w:pPr>
              <w:pStyle w:val="TableText"/>
              <w:keepNext/>
              <w:widowControl w:val="0"/>
              <w:spacing w:before="120"/>
              <w:rPr>
                <w:rFonts w:ascii="Tahoma" w:hAnsi="Tahoma" w:cs="Tahoma"/>
                <w:color w:val="000000"/>
                <w:sz w:val="13"/>
              </w:rPr>
            </w:pPr>
            <w:r w:rsidRPr="00BD7CEA">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rsidR="00CE1716" w:rsidRPr="00BD7CEA" w:rsidRDefault="00CE1716" w:rsidP="00E13599">
            <w:pPr>
              <w:pStyle w:val="TableText"/>
              <w:keepNext/>
              <w:widowControl w:val="0"/>
              <w:rPr>
                <w:rFonts w:ascii="Tahoma" w:hAnsi="Tahoma" w:cs="Tahoma"/>
                <w:color w:val="000000"/>
                <w:sz w:val="13"/>
              </w:rPr>
            </w:pPr>
            <w:r w:rsidRPr="00BD7CEA">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CE1716" w:rsidRPr="00BD7CEA"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BD7CEA"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BD7CEA"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BD7CEA"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BD7CEA"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BD7CEA" w:rsidRDefault="00CE1716" w:rsidP="00E13599">
            <w:pPr>
              <w:pStyle w:val="TableText"/>
              <w:keepN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CE1716" w:rsidRPr="00BD7CEA" w:rsidRDefault="00CE1716" w:rsidP="00E13599">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E1716" w:rsidRPr="00BD7CEA"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BD7CEA" w:rsidRDefault="00CE1716" w:rsidP="00E1359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E1716" w:rsidRPr="00BD7CEA" w:rsidRDefault="00CE1716" w:rsidP="00E13599">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E1716" w:rsidRPr="00BD7CEA" w:rsidRDefault="00CE1716" w:rsidP="00E1359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E1716" w:rsidRPr="00BD7CEA" w:rsidRDefault="00CE1716" w:rsidP="00E13599">
            <w:pPr>
              <w:pStyle w:val="TableText"/>
              <w:keepN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CE1716" w:rsidRPr="00BD7CEA"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BD7CEA" w:rsidRDefault="00CE1716" w:rsidP="00E13599">
            <w:pPr>
              <w:pStyle w:val="TableText"/>
              <w:keepN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CE1716" w:rsidRPr="00BD7CEA" w:rsidRDefault="00CE1716" w:rsidP="00E13599">
            <w:pPr>
              <w:pStyle w:val="TableText"/>
              <w:keepNext/>
              <w:widowControl w:val="0"/>
              <w:rPr>
                <w:rFonts w:ascii="Tahoma" w:hAnsi="Tahoma" w:cs="Tahoma"/>
                <w:color w:val="000000"/>
                <w:sz w:val="13"/>
              </w:rPr>
            </w:pPr>
          </w:p>
        </w:tc>
      </w:tr>
      <w:tr w:rsidR="00A5643F" w:rsidRPr="00BD7CEA" w:rsidTr="006B1F3F">
        <w:trPr>
          <w:gridBefore w:val="1"/>
          <w:wBefore w:w="20" w:type="dxa"/>
          <w:trHeight w:val="145"/>
        </w:trPr>
        <w:tc>
          <w:tcPr>
            <w:tcW w:w="2714" w:type="dxa"/>
            <w:tcBorders>
              <w:bottom w:val="single" w:sz="4" w:space="0" w:color="auto"/>
            </w:tcBorders>
            <w:shd w:val="clear" w:color="auto" w:fill="auto"/>
            <w:vAlign w:val="center"/>
          </w:tcPr>
          <w:p w:rsidR="00A5643F" w:rsidRPr="00BD7CEA" w:rsidRDefault="00A5643F" w:rsidP="002E5D03">
            <w:pPr>
              <w:pStyle w:val="Heading2"/>
              <w:spacing w:before="20" w:after="20"/>
              <w:ind w:left="0"/>
              <w:rPr>
                <w:rFonts w:ascii="Tahoma" w:hAnsi="Tahoma" w:cs="Tahoma"/>
                <w:b w:val="0"/>
                <w:sz w:val="14"/>
                <w:szCs w:val="14"/>
              </w:rPr>
            </w:pPr>
            <w:bookmarkStart w:id="613" w:name="_Toc353375944"/>
            <w:r w:rsidRPr="00BD7CEA">
              <w:rPr>
                <w:rFonts w:ascii="Tahoma" w:hAnsi="Tahoma" w:cs="Tahoma"/>
                <w:b w:val="0"/>
                <w:sz w:val="14"/>
                <w:szCs w:val="14"/>
              </w:rPr>
              <w:t>Yammer Enterprise</w:t>
            </w:r>
            <w:bookmarkEnd w:id="613"/>
          </w:p>
        </w:tc>
        <w:tc>
          <w:tcPr>
            <w:tcW w:w="450" w:type="dxa"/>
            <w:tcBorders>
              <w:bottom w:val="single" w:sz="4" w:space="0" w:color="auto"/>
            </w:tcBorders>
            <w:shd w:val="clear" w:color="auto" w:fill="auto"/>
            <w:vAlign w:val="center"/>
          </w:tcPr>
          <w:p w:rsidR="00A5643F" w:rsidRPr="00BD7CEA" w:rsidRDefault="00A5643F" w:rsidP="00370049">
            <w:pPr>
              <w:pStyle w:val="TableText"/>
              <w:widowControl w:val="0"/>
              <w:rPr>
                <w:b/>
                <w:sz w:val="13"/>
                <w:szCs w:val="13"/>
              </w:rPr>
            </w:pPr>
          </w:p>
        </w:tc>
        <w:tc>
          <w:tcPr>
            <w:tcW w:w="450" w:type="dxa"/>
            <w:tcBorders>
              <w:bottom w:val="single" w:sz="4" w:space="0" w:color="auto"/>
            </w:tcBorders>
            <w:shd w:val="clear" w:color="auto" w:fill="auto"/>
          </w:tcPr>
          <w:p w:rsidR="00A5643F" w:rsidRPr="00BD7CEA" w:rsidRDefault="00A5643F" w:rsidP="00F97D54">
            <w:pPr>
              <w:pStyle w:val="TableText"/>
              <w:widowControl w:val="0"/>
              <w:spacing w:before="120"/>
              <w:rPr>
                <w:rFonts w:ascii="Tahoma" w:hAnsi="Tahoma" w:cs="Tahoma"/>
                <w:sz w:val="13"/>
              </w:rPr>
            </w:pPr>
            <w:r w:rsidRPr="00BD7CEA">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rsidR="00A5643F" w:rsidRPr="00BD7CEA" w:rsidRDefault="00A5643F" w:rsidP="00F97D54">
            <w:pPr>
              <w:pStyle w:val="TableText"/>
              <w:widowControl w:val="0"/>
              <w:rPr>
                <w:rFonts w:ascii="Tahoma" w:hAnsi="Tahoma" w:cs="Tahoma"/>
                <w:sz w:val="13"/>
              </w:rPr>
            </w:pPr>
            <w:r w:rsidRPr="00BD7CE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BD7CEA"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BD7CEA"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BD7CEA"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BD7CEA"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BD7CEA"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BD7CEA" w:rsidRDefault="00A5643F" w:rsidP="00F97D54">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A5643F" w:rsidRPr="00BD7CEA" w:rsidRDefault="00A5643F" w:rsidP="00F97D54">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A5643F" w:rsidRPr="00BD7CEA"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BD7CEA" w:rsidRDefault="00A5643F"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BD7CEA"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BD7CEA" w:rsidRDefault="00A5643F"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BD7CEA"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BD7CEA" w:rsidRDefault="00A5643F" w:rsidP="00F97D54">
            <w:pPr>
              <w:pStyle w:val="TableText"/>
              <w:widowControl w:val="0"/>
              <w:rPr>
                <w:rFonts w:ascii="Tahoma" w:hAnsi="Tahoma" w:cs="Tahoma"/>
                <w:sz w:val="13"/>
              </w:rPr>
            </w:pPr>
          </w:p>
        </w:tc>
        <w:tc>
          <w:tcPr>
            <w:tcW w:w="450" w:type="dxa"/>
            <w:tcBorders>
              <w:bottom w:val="single" w:sz="4" w:space="0" w:color="auto"/>
            </w:tcBorders>
            <w:shd w:val="clear" w:color="auto" w:fill="auto"/>
          </w:tcPr>
          <w:p w:rsidR="00A5643F" w:rsidRPr="00BD7CEA" w:rsidRDefault="00A5643F" w:rsidP="00E27A85">
            <w:pPr>
              <w:pStyle w:val="TableText"/>
              <w:widowControl w:val="0"/>
              <w:spacing w:before="60"/>
              <w:rPr>
                <w:rFonts w:ascii="Tahoma" w:hAnsi="Tahoma" w:cs="Tahoma"/>
                <w:sz w:val="13"/>
              </w:rPr>
            </w:pPr>
            <w:r w:rsidRPr="00BD7CEA">
              <w:rPr>
                <w:rFonts w:ascii="Tahoma" w:hAnsi="Tahoma" w:cs="Tahoma"/>
                <w:sz w:val="13"/>
              </w:rPr>
              <w:t>A</w:t>
            </w:r>
          </w:p>
        </w:tc>
        <w:tc>
          <w:tcPr>
            <w:tcW w:w="540" w:type="dxa"/>
            <w:tcBorders>
              <w:bottom w:val="single" w:sz="4" w:space="0" w:color="auto"/>
            </w:tcBorders>
            <w:shd w:val="clear" w:color="auto" w:fill="auto"/>
            <w:vAlign w:val="center"/>
          </w:tcPr>
          <w:p w:rsidR="00A5643F" w:rsidRPr="00BD7CEA" w:rsidRDefault="00A5643F" w:rsidP="00F97D54">
            <w:pPr>
              <w:pStyle w:val="TableText"/>
              <w:widowControl w:val="0"/>
              <w:rPr>
                <w:rFonts w:ascii="Tahoma" w:hAnsi="Tahoma" w:cs="Tahoma"/>
                <w:color w:val="000000"/>
                <w:sz w:val="13"/>
              </w:rPr>
            </w:pPr>
          </w:p>
        </w:tc>
      </w:tr>
    </w:tbl>
    <w:p w:rsidR="00612FCC" w:rsidRPr="00BD7CEA" w:rsidRDefault="004A59D9" w:rsidP="003B23CC">
      <w:pPr>
        <w:pStyle w:val="Heading1"/>
      </w:pPr>
      <w:bookmarkStart w:id="614" w:name="_Toc349586123"/>
      <w:bookmarkStart w:id="615" w:name="_Toc349586654"/>
      <w:bookmarkStart w:id="616" w:name="_Toc353375945"/>
      <w:bookmarkStart w:id="617" w:name="_Toc336338167"/>
      <w:r>
        <w:rPr>
          <w:noProof/>
          <w:sz w:val="14"/>
        </w:rPr>
        <mc:AlternateContent>
          <mc:Choice Requires="wps">
            <w:drawing>
              <wp:anchor distT="0" distB="0" distL="114300" distR="114300" simplePos="0" relativeHeight="251656704" behindDoc="0" locked="0" layoutInCell="1" allowOverlap="1">
                <wp:simplePos x="0" y="0"/>
                <wp:positionH relativeFrom="column">
                  <wp:posOffset>-331470</wp:posOffset>
                </wp:positionH>
                <wp:positionV relativeFrom="paragraph">
                  <wp:posOffset>117475</wp:posOffset>
                </wp:positionV>
                <wp:extent cx="6547485" cy="504190"/>
                <wp:effectExtent l="0" t="0" r="0" b="0"/>
                <wp:wrapTopAndBottom/>
                <wp:docPr id="9"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26D7" w:rsidRDefault="001126D7" w:rsidP="00C8780F">
                            <w:pPr>
                              <w:rPr>
                                <w:rFonts w:cs="Tahoma"/>
                                <w:i/>
                                <w:color w:val="000000"/>
                                <w:sz w:val="14"/>
                                <w:szCs w:val="14"/>
                              </w:rPr>
                            </w:pPr>
                            <w:r>
                              <w:rPr>
                                <w:rFonts w:cs="Tahoma"/>
                                <w:i/>
                                <w:color w:val="000000"/>
                                <w:sz w:val="14"/>
                                <w:szCs w:val="14"/>
                              </w:rPr>
                              <w:t>Nota: se la cella del prodotto è vuota significa che il prodotto non è attualmente offerto nel programma.</w:t>
                            </w:r>
                          </w:p>
                          <w:p w:rsidR="001126D7" w:rsidRDefault="001126D7" w:rsidP="00C8780F">
                            <w:pPr>
                              <w:rPr>
                                <w:rFonts w:cs="Tahoma"/>
                                <w:i/>
                                <w:color w:val="000000"/>
                                <w:sz w:val="14"/>
                                <w:szCs w:val="14"/>
                              </w:rPr>
                            </w:pPr>
                            <w:r>
                              <w:rPr>
                                <w:rFonts w:cs="Tahoma"/>
                                <w:i/>
                                <w:color w:val="000000"/>
                                <w:sz w:val="14"/>
                                <w:szCs w:val="14"/>
                              </w:rPr>
                              <w:t>*Per quanto riguarda Select Plus verranno utilizzati solo i valori "L" e tre anni per "L&amp;SA" / "SA".</w:t>
                            </w:r>
                          </w:p>
                          <w:p w:rsidR="001126D7" w:rsidRDefault="001126D7" w:rsidP="00C8780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9" o:spid="_x0000_s1029" type="#_x0000_t202" style="position:absolute;margin-left:-26.1pt;margin-top:9.25pt;width:515.55pt;height:39.7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Hr/ugIAAMEFAAAOAAAAZHJzL2Uyb0RvYy54bWysVNtunDAQfa/Uf7D8ToCt2QUUNkqWpaqU&#10;XqSkH+AFs1gFm9rehbTqv3ds9pbkpWrrB8v2jM/czsz1zdi1aM+U5lJkOLwKMGKilBUX2wx/fSy8&#10;GCNtqKhoKwXL8BPT+Gb59s310KdsJhvZVkwhABE6HfoMN8b0qe/rsmEd1VeyZwKEtVQdNXBVW79S&#10;dAD0rvVnQTD3B6mqXsmSaQ2v+STES4df16w0n+taM4PaDINvxu3K7Ru7+8trmm4V7RteHtygf+FF&#10;R7kAoyeonBqKdoq/gup4qaSWtbkqZefLuuYlczFANGHwIpqHhvbMxQLJ0f0pTfr/wZaf9l8U4lWG&#10;E4wE7aBEj2w06E6OKEpseoZep6D10IOeGeEdyuxC1f29LL9pJOSqoWLLbpWSQ8NoBe6F9qd/8XXC&#10;0RZkM3yUFdihOyMd0FirzuYOsoEAHcr0dCqN9aWEx3lEFiSOMCpBFgUkTFztfJoef/dKm/dMdsge&#10;Mqyg9A6d7u+1sd7Q9KhijQlZ8LZ15W/FswdQnF7ANny1MuuFq+bPJEjW8TomHpnN1x4J8ty7LVbE&#10;mxfhIsrf5atVHv6ydkOSNryqmLBmjswKyZ9V7sDxiRMnbmnZ8srCWZe02m5WrUJ7Cswu3HI5B8lZ&#10;zX/uhksCxPIipHBGgrtZ4hXzeOGRgkResghiLwiTu2QekITkxfOQ7rlg/x4SGoB00SyayHR2+kVs&#10;gVuvY6Npxw3MjpZ3GY5PSjS1FFyLypXWUN5O54tUWPfPqYByHwvtCGs5OrHVjJvRtca7Yx9sZPUE&#10;DFYSCAY0hbkHh0aqHxgNMEMyrL/vqGIYtR8EdEESEmKHjruQaDGDi7qUbC4lVJQAlWGD0XRcmWlQ&#10;7XrFtw1YmvpOyFvonJo7UtsWm7w69BvMCRfbYabZQXR5d1rnybv8DQAA//8DAFBLAwQUAAYACAAA&#10;ACEAeoUxvt0AAAAJAQAADwAAAGRycy9kb3ducmV2LnhtbEyPwU7DMAyG70h7h8iTuG0JFWVtaToh&#10;EFcQYyBxyxqvrWicqsnW8vZ4J7jZ+j/9/lxuZ9eLM46h86ThZq1AINXedtRo2L8/rzIQIRqypveE&#10;Gn4wwLZaXJWmsH6iNzzvYiO4hEJhNLQxDoWUoW7RmbD2AxJnRz86E3kdG2lHM3G562Wi1J10piO+&#10;0JoBH1usv3cnp+Hj5fj1eatemyeXDpOflSSXS62vl/PDPYiIc/yD4aLP6lCx08GfyAbRa1ilScIo&#10;B1kKgoF8k+UgDpchB1mV8v8H1S8AAAD//wMAUEsBAi0AFAAGAAgAAAAhALaDOJL+AAAA4QEAABMA&#10;AAAAAAAAAAAAAAAAAAAAAFtDb250ZW50X1R5cGVzXS54bWxQSwECLQAUAAYACAAAACEAOP0h/9YA&#10;AACUAQAACwAAAAAAAAAAAAAAAAAvAQAAX3JlbHMvLnJlbHNQSwECLQAUAAYACAAAACEAbLx6/7oC&#10;AADBBQAADgAAAAAAAAAAAAAAAAAuAgAAZHJzL2Uyb0RvYy54bWxQSwECLQAUAAYACAAAACEAeoUx&#10;vt0AAAAJAQAADwAAAAAAAAAAAAAAAAAUBQAAZHJzL2Rvd25yZXYueG1sUEsFBgAAAAAEAAQA8wAA&#10;AB4GAAAAAA==&#10;" filled="f" stroked="f">
                <v:textbox>
                  <w:txbxContent>
                    <w:p w:rsidR="001126D7" w:rsidRDefault="001126D7" w:rsidP="00C8780F">
                      <w:pPr>
                        <w:rPr>
                          <w:rFonts w:cs="Tahoma"/>
                          <w:i/>
                          <w:color w:val="000000"/>
                          <w:sz w:val="14"/>
                          <w:szCs w:val="14"/>
                        </w:rPr>
                      </w:pPr>
                      <w:r>
                        <w:rPr>
                          <w:rFonts w:cs="Tahoma"/>
                          <w:i/>
                          <w:color w:val="000000"/>
                          <w:sz w:val="14"/>
                          <w:szCs w:val="14"/>
                        </w:rPr>
                        <w:t>Nota: se la cella del prodotto è vuota significa che il prodotto non è attualmente offerto nel programma.</w:t>
                      </w:r>
                    </w:p>
                    <w:p w:rsidR="001126D7" w:rsidRDefault="001126D7" w:rsidP="00C8780F">
                      <w:pPr>
                        <w:rPr>
                          <w:rFonts w:cs="Tahoma"/>
                          <w:i/>
                          <w:color w:val="000000"/>
                          <w:sz w:val="14"/>
                          <w:szCs w:val="14"/>
                        </w:rPr>
                      </w:pPr>
                      <w:r>
                        <w:rPr>
                          <w:rFonts w:cs="Tahoma"/>
                          <w:i/>
                          <w:color w:val="000000"/>
                          <w:sz w:val="14"/>
                          <w:szCs w:val="14"/>
                        </w:rPr>
                        <w:t>*Per quanto riguarda Select Plus verranno utilizzati solo i valori "L" e tre anni per "L&amp;SA" / "SA".</w:t>
                      </w:r>
                    </w:p>
                    <w:p w:rsidR="001126D7" w:rsidRDefault="001126D7" w:rsidP="00C8780F"/>
                  </w:txbxContent>
                </v:textbox>
                <w10:wrap type="topAndBottom"/>
              </v:shape>
            </w:pict>
          </mc:Fallback>
        </mc:AlternateContent>
      </w:r>
      <w:bookmarkEnd w:id="614"/>
      <w:bookmarkEnd w:id="615"/>
      <w:bookmarkEnd w:id="616"/>
      <w:r w:rsidR="00955428" w:rsidRPr="00BD7CEA">
        <w:br w:type="page"/>
      </w:r>
    </w:p>
    <w:p w:rsidR="00023FE7" w:rsidRPr="007B74B7" w:rsidRDefault="00A33112" w:rsidP="003B23CC">
      <w:pPr>
        <w:pStyle w:val="Heading1"/>
        <w:rPr>
          <w:lang w:val="it-IT"/>
        </w:rPr>
      </w:pPr>
      <w:bookmarkStart w:id="618" w:name="_Toc349586124"/>
      <w:bookmarkStart w:id="619" w:name="_Toc353375946"/>
      <w:r w:rsidRPr="007B74B7">
        <w:rPr>
          <w:lang w:val="it-IT"/>
        </w:rPr>
        <w:lastRenderedPageBreak/>
        <w:t>ARTICOLO 1</w:t>
      </w:r>
      <w:r w:rsidR="00FD7C0D" w:rsidRPr="007B74B7">
        <w:rPr>
          <w:lang w:val="it-IT"/>
        </w:rPr>
        <w:t xml:space="preserve"> – </w:t>
      </w:r>
      <w:r w:rsidRPr="007B74B7">
        <w:rPr>
          <w:lang w:val="it-IT"/>
        </w:rPr>
        <w:t>Modifiche apportate alla LISTA DEI PRODOTTI</w:t>
      </w:r>
      <w:bookmarkEnd w:id="618"/>
      <w:r w:rsidRPr="007B74B7">
        <w:rPr>
          <w:lang w:val="it-IT"/>
        </w:rPr>
        <w:t xml:space="preserve"> negli ultimi 12 mesi</w:t>
      </w:r>
      <w:bookmarkEnd w:id="617"/>
      <w:bookmarkEnd w:id="619"/>
    </w:p>
    <w:p w:rsidR="0064651F" w:rsidRPr="007B74B7" w:rsidRDefault="0064651F" w:rsidP="004759C6">
      <w:pPr>
        <w:pStyle w:val="Heading2"/>
        <w:ind w:left="0"/>
        <w:jc w:val="both"/>
        <w:rPr>
          <w:lang w:val="it-IT"/>
        </w:rPr>
      </w:pPr>
      <w:bookmarkStart w:id="620" w:name="_Toc336338168"/>
    </w:p>
    <w:p w:rsidR="00290FC1" w:rsidRPr="007B74B7" w:rsidRDefault="00290FC1" w:rsidP="00B65F35">
      <w:pPr>
        <w:pStyle w:val="Heading2"/>
        <w:ind w:left="0"/>
        <w:jc w:val="both"/>
        <w:rPr>
          <w:lang w:val="it-IT"/>
        </w:rPr>
      </w:pPr>
      <w:bookmarkStart w:id="621" w:name="_Toc353375947"/>
      <w:r w:rsidRPr="007B74B7">
        <w:rPr>
          <w:rFonts w:ascii="Tahoma" w:hAnsi="Tahoma" w:cs="Tahoma"/>
          <w:color w:val="FF6600"/>
          <w:lang w:val="it-IT"/>
        </w:rPr>
        <w:t>MODIFICHE APPORTATE NEL MESE DI MAGGIO 2013</w:t>
      </w:r>
      <w:bookmarkEnd w:id="621"/>
    </w:p>
    <w:p w:rsidR="00290FC1" w:rsidRPr="007B74B7" w:rsidRDefault="00290FC1" w:rsidP="00B65F35">
      <w:pPr>
        <w:pStyle w:val="Heading2"/>
        <w:ind w:left="0"/>
        <w:jc w:val="both"/>
        <w:rPr>
          <w:lang w:val="it-IT"/>
        </w:rPr>
      </w:pPr>
    </w:p>
    <w:p w:rsidR="00290FC1" w:rsidRPr="007B74B7" w:rsidRDefault="00290FC1" w:rsidP="00290FC1">
      <w:pPr>
        <w:spacing w:after="60"/>
        <w:rPr>
          <w:lang w:val="it-IT"/>
        </w:rPr>
      </w:pPr>
      <w:r w:rsidRPr="007B74B7">
        <w:rPr>
          <w:b/>
          <w:lang w:val="it-IT"/>
        </w:rPr>
        <w:t>Prodotti Aggiunti</w:t>
      </w:r>
    </w:p>
    <w:p w:rsidR="007E2DBF" w:rsidRPr="007B74B7" w:rsidRDefault="007E2DBF" w:rsidP="007E2DBF">
      <w:pPr>
        <w:rPr>
          <w:lang w:val="it-IT"/>
        </w:rPr>
      </w:pPr>
      <w:r w:rsidRPr="007B74B7">
        <w:rPr>
          <w:lang w:val="it-IT"/>
        </w:rPr>
        <w:t>Learning Solutions MCP 30 Exam Vouchers (SL Utente)</w:t>
      </w:r>
    </w:p>
    <w:p w:rsidR="007E2DBF" w:rsidRPr="00BD7CEA" w:rsidRDefault="007E2DBF" w:rsidP="007E2DBF">
      <w:r w:rsidRPr="00BD7CEA">
        <w:t>Learning Solutions MOS 500 Exam Site License (SL Servizi)</w:t>
      </w:r>
    </w:p>
    <w:p w:rsidR="007E2DBF" w:rsidRPr="00BD7CEA" w:rsidRDefault="007E2DBF" w:rsidP="007E2DBF">
      <w:r w:rsidRPr="00BD7CEA">
        <w:t>Learning Solutions MTA 250 Exam Site License (SL Servizi)</w:t>
      </w:r>
    </w:p>
    <w:p w:rsidR="00290FC1" w:rsidRPr="00BD7CEA" w:rsidRDefault="00290FC1" w:rsidP="00290FC1"/>
    <w:p w:rsidR="00290FC1" w:rsidRPr="00BD7CEA" w:rsidRDefault="00290FC1" w:rsidP="00290FC1">
      <w:pPr>
        <w:spacing w:after="60"/>
      </w:pPr>
      <w:r w:rsidRPr="00BD7CEA">
        <w:rPr>
          <w:b/>
        </w:rPr>
        <w:t>Modifiche</w:t>
      </w:r>
    </w:p>
    <w:p w:rsidR="00290FC1" w:rsidRPr="00BD7CEA" w:rsidRDefault="007E2DBF" w:rsidP="00290FC1">
      <w:r w:rsidRPr="00BD7CEA">
        <w:t>Learning Solutions MCP 1 Exam Vouchers (SL Servizi)</w:t>
      </w:r>
    </w:p>
    <w:p w:rsidR="007E2DBF" w:rsidRPr="00BD7CEA" w:rsidRDefault="007E2DBF" w:rsidP="00290FC1">
      <w:r w:rsidRPr="00BD7CEA">
        <w:t>Licenza “Subscription” per Windows Companion</w:t>
      </w:r>
    </w:p>
    <w:p w:rsidR="007E2DBF" w:rsidRPr="00BD7CEA" w:rsidRDefault="007E2DBF" w:rsidP="00290FC1">
      <w:r w:rsidRPr="00BD7CEA">
        <w:t>Windows Desktop Optimization Pack per Software Assurance</w:t>
      </w:r>
    </w:p>
    <w:p w:rsidR="007E2DBF" w:rsidRPr="007B74B7" w:rsidRDefault="007E2DBF" w:rsidP="00290FC1">
      <w:pPr>
        <w:rPr>
          <w:lang w:val="it-IT"/>
        </w:rPr>
      </w:pPr>
      <w:r w:rsidRPr="007B74B7">
        <w:rPr>
          <w:lang w:val="it-IT"/>
        </w:rPr>
        <w:t>Windows 8 Enterprise Sideloading (100 confezioni)</w:t>
      </w:r>
    </w:p>
    <w:p w:rsidR="007E2DBF" w:rsidRPr="007B74B7" w:rsidRDefault="007E2DBF" w:rsidP="00290FC1">
      <w:pPr>
        <w:rPr>
          <w:lang w:val="it-IT"/>
        </w:rPr>
      </w:pPr>
      <w:r w:rsidRPr="007B74B7">
        <w:rPr>
          <w:lang w:val="it-IT"/>
        </w:rPr>
        <w:t>Windows</w:t>
      </w:r>
      <w:r w:rsidR="00700C4B" w:rsidRPr="007B74B7">
        <w:rPr>
          <w:vertAlign w:val="superscript"/>
          <w:lang w:val="it-IT"/>
        </w:rPr>
        <w:t>®</w:t>
      </w:r>
      <w:r w:rsidRPr="007B74B7">
        <w:rPr>
          <w:lang w:val="it-IT"/>
        </w:rPr>
        <w:t xml:space="preserve"> 8 Pro con MDOP</w:t>
      </w:r>
    </w:p>
    <w:p w:rsidR="00D57D2B" w:rsidRPr="007B74B7" w:rsidRDefault="00D57D2B" w:rsidP="00290FC1">
      <w:pPr>
        <w:rPr>
          <w:lang w:val="it-IT"/>
        </w:rPr>
      </w:pPr>
    </w:p>
    <w:p w:rsidR="00D57D2B" w:rsidRPr="007B74B7" w:rsidRDefault="00D57D2B" w:rsidP="00290FC1">
      <w:pPr>
        <w:rPr>
          <w:lang w:val="it-IT"/>
        </w:rPr>
      </w:pPr>
    </w:p>
    <w:p w:rsidR="00B65F35" w:rsidRPr="007B74B7" w:rsidRDefault="00B65F35" w:rsidP="00B65F35">
      <w:pPr>
        <w:pStyle w:val="Heading2"/>
        <w:ind w:left="0"/>
        <w:jc w:val="both"/>
        <w:rPr>
          <w:lang w:val="it-IT"/>
        </w:rPr>
      </w:pPr>
      <w:bookmarkStart w:id="622" w:name="_Toc353375948"/>
      <w:r w:rsidRPr="007B74B7">
        <w:rPr>
          <w:rFonts w:ascii="Tahoma" w:hAnsi="Tahoma" w:cs="Tahoma"/>
          <w:color w:val="FF6600"/>
          <w:lang w:val="it-IT"/>
        </w:rPr>
        <w:t>MODIFICHE APPORTATE NEL MESE DI APRILE 2013</w:t>
      </w:r>
      <w:bookmarkEnd w:id="622"/>
    </w:p>
    <w:p w:rsidR="00B65F35" w:rsidRPr="007B74B7" w:rsidRDefault="00B65F35" w:rsidP="004759C6">
      <w:pPr>
        <w:pStyle w:val="Heading2"/>
        <w:ind w:left="0"/>
        <w:jc w:val="both"/>
        <w:rPr>
          <w:lang w:val="it-IT"/>
        </w:rPr>
      </w:pPr>
    </w:p>
    <w:p w:rsidR="00B65F35" w:rsidRPr="007B74B7" w:rsidRDefault="00B65F35" w:rsidP="00B65F35">
      <w:pPr>
        <w:spacing w:after="60"/>
        <w:rPr>
          <w:lang w:val="it-IT"/>
        </w:rPr>
      </w:pPr>
      <w:r w:rsidRPr="007B74B7">
        <w:rPr>
          <w:b/>
          <w:lang w:val="it-IT"/>
        </w:rPr>
        <w:t>Prodotti Aggiunti</w:t>
      </w:r>
    </w:p>
    <w:p w:rsidR="00D02D7A" w:rsidRPr="007B74B7" w:rsidRDefault="00D02D7A" w:rsidP="00D02D7A">
      <w:pPr>
        <w:rPr>
          <w:lang w:val="it-IT"/>
        </w:rPr>
      </w:pPr>
      <w:r w:rsidRPr="007B74B7">
        <w:rPr>
          <w:lang w:val="it-IT"/>
        </w:rPr>
        <w:t>Bing Maps Consumer Tracked Per Asset Monthly Sub</w:t>
      </w:r>
    </w:p>
    <w:p w:rsidR="00D02D7A" w:rsidRPr="007B74B7" w:rsidRDefault="00D02D7A" w:rsidP="00D02D7A">
      <w:pPr>
        <w:rPr>
          <w:lang w:val="it-IT"/>
        </w:rPr>
      </w:pPr>
      <w:r w:rsidRPr="007B74B7">
        <w:rPr>
          <w:lang w:val="it-IT"/>
        </w:rPr>
        <w:t>Bing Maps Desktop con Enhanced Content Pack</w:t>
      </w:r>
    </w:p>
    <w:p w:rsidR="00D02D7A" w:rsidRPr="00BD7CEA" w:rsidRDefault="00D02D7A" w:rsidP="00D02D7A">
      <w:r w:rsidRPr="00BD7CEA">
        <w:t>Bing Maps for Enterprise Platform Fee Monthly Sub</w:t>
      </w:r>
    </w:p>
    <w:p w:rsidR="00D02D7A" w:rsidRPr="00BD7CEA" w:rsidRDefault="00D02D7A" w:rsidP="00D02D7A">
      <w:r w:rsidRPr="00BD7CEA">
        <w:t>Bing Maps Public Website Usage 100K Transactions Monthly Sub</w:t>
      </w:r>
    </w:p>
    <w:p w:rsidR="00D02D7A" w:rsidRPr="00BD7CEA" w:rsidRDefault="00D02D7A" w:rsidP="00D02D7A">
      <w:r w:rsidRPr="00BD7CEA">
        <w:t>Bing Maps Public Website Usage 250K Transactions Monthly Sub</w:t>
      </w:r>
    </w:p>
    <w:p w:rsidR="00D02D7A" w:rsidRPr="00BD7CEA" w:rsidRDefault="00D02D7A" w:rsidP="00D02D7A">
      <w:r w:rsidRPr="00BD7CEA">
        <w:t>Bing Maps Public Website Usage 420K Transactions Monthly Sub</w:t>
      </w:r>
    </w:p>
    <w:p w:rsidR="00D02D7A" w:rsidRPr="00BD7CEA" w:rsidRDefault="00D02D7A" w:rsidP="00D02D7A">
      <w:r w:rsidRPr="00BD7CEA">
        <w:t>Bing Maps Public Website Usage 840K Transactions Monthly Sub</w:t>
      </w:r>
    </w:p>
    <w:p w:rsidR="00D02D7A" w:rsidRPr="00BD7CEA" w:rsidRDefault="00D02D7A" w:rsidP="00D02D7A">
      <w:r w:rsidRPr="00BD7CEA">
        <w:t>Bing Maps Public Website Usage 2.5m Transactions Monthly Sub</w:t>
      </w:r>
    </w:p>
    <w:p w:rsidR="00D02D7A" w:rsidRPr="00BD7CEA" w:rsidRDefault="00D02D7A" w:rsidP="00D02D7A">
      <w:r w:rsidRPr="00BD7CEA">
        <w:t>Bing Maps Public Website Usage 4.2m Transactions Monthly Sub</w:t>
      </w:r>
    </w:p>
    <w:p w:rsidR="00D02D7A" w:rsidRPr="00BD7CEA" w:rsidRDefault="00D02D7A" w:rsidP="00D02D7A">
      <w:r w:rsidRPr="00BD7CEA">
        <w:t>Bing Maps Public Website Usage 8.4m Transactions Monthly Sub</w:t>
      </w:r>
    </w:p>
    <w:p w:rsidR="00D02D7A" w:rsidRPr="00BD7CEA" w:rsidRDefault="00D02D7A" w:rsidP="00D02D7A">
      <w:r w:rsidRPr="00BD7CEA">
        <w:t>Bing Maps Public Website Usage Unlimited Transactions Monthly Sub</w:t>
      </w:r>
    </w:p>
    <w:p w:rsidR="00D02D7A" w:rsidRPr="00BD7CEA" w:rsidRDefault="00D02D7A" w:rsidP="00D02D7A">
      <w:r w:rsidRPr="00BD7CEA">
        <w:t>Bing Maps Internal Website Usage 100K Transactions Monthly Sub</w:t>
      </w:r>
    </w:p>
    <w:p w:rsidR="00D02D7A" w:rsidRPr="00BD7CEA" w:rsidRDefault="00D02D7A" w:rsidP="00D02D7A">
      <w:r w:rsidRPr="00BD7CEA">
        <w:t>Bing Maps Internal Website Usage 250K Transactions Monthly Sub</w:t>
      </w:r>
    </w:p>
    <w:p w:rsidR="00D02D7A" w:rsidRPr="00BD7CEA" w:rsidRDefault="00D02D7A" w:rsidP="00D02D7A">
      <w:r w:rsidRPr="00BD7CEA">
        <w:t>Bing Maps Internal Website Usage 420K Transactions Monthly Sub</w:t>
      </w:r>
    </w:p>
    <w:p w:rsidR="00D02D7A" w:rsidRPr="00BD7CEA" w:rsidRDefault="00D02D7A" w:rsidP="00D02D7A">
      <w:r w:rsidRPr="00BD7CEA">
        <w:t>Bing Maps Internal Website Usage 1.25m Transactions Monthly Sub</w:t>
      </w:r>
    </w:p>
    <w:p w:rsidR="00D02D7A" w:rsidRPr="00BD7CEA" w:rsidRDefault="00D02D7A" w:rsidP="00D02D7A">
      <w:r w:rsidRPr="00BD7CEA">
        <w:t>Bing Maps Internal Website Usage 2.1m Transactions Monthly Sub</w:t>
      </w:r>
    </w:p>
    <w:p w:rsidR="00D02D7A" w:rsidRPr="00BD7CEA" w:rsidRDefault="00D02D7A" w:rsidP="00D02D7A">
      <w:r w:rsidRPr="00BD7CEA">
        <w:t>Bing Maps Internal Website Usage Unlimited Transactions Monthly Sub</w:t>
      </w:r>
    </w:p>
    <w:p w:rsidR="00D02D7A" w:rsidRPr="00BD7CEA" w:rsidRDefault="00D02D7A" w:rsidP="00D02D7A">
      <w:r w:rsidRPr="00BD7CEA">
        <w:t>Bing Maps Per Known User Monthly Sub</w:t>
      </w:r>
    </w:p>
    <w:p w:rsidR="00D02D7A" w:rsidRPr="00BD7CEA" w:rsidRDefault="00D02D7A" w:rsidP="00D02D7A">
      <w:r w:rsidRPr="00BD7CEA">
        <w:t>Bing Maps Known User 5K Bundle Monthly Sub</w:t>
      </w:r>
    </w:p>
    <w:p w:rsidR="00D02D7A" w:rsidRPr="00BD7CEA" w:rsidRDefault="00D02D7A" w:rsidP="00D02D7A">
      <w:r w:rsidRPr="00BD7CEA">
        <w:t>Bing Maps Light Known Per User Monthly Sub</w:t>
      </w:r>
    </w:p>
    <w:p w:rsidR="00D02D7A" w:rsidRPr="00BD7CEA" w:rsidRDefault="00D02D7A" w:rsidP="00D02D7A">
      <w:r w:rsidRPr="00BD7CEA">
        <w:t>Bing Maps Light Known 5K User Bundle Monthly Sub</w:t>
      </w:r>
    </w:p>
    <w:p w:rsidR="00D02D7A" w:rsidRPr="00BD7CEA" w:rsidRDefault="00D02D7A" w:rsidP="00D02D7A">
      <w:r w:rsidRPr="00BD7CEA">
        <w:t>Bing Maps Mobile Asset Management Platform Fee Monthly Sub</w:t>
      </w:r>
    </w:p>
    <w:p w:rsidR="00D02D7A" w:rsidRPr="00BD7CEA" w:rsidRDefault="00D02D7A" w:rsidP="00D02D7A">
      <w:r w:rsidRPr="00BD7CEA">
        <w:t>Bing Maps Mobile Asset Management NA w routing Per Asset Monthly Sub</w:t>
      </w:r>
    </w:p>
    <w:p w:rsidR="00D02D7A" w:rsidRPr="00BD7CEA" w:rsidRDefault="00D02D7A" w:rsidP="00D02D7A">
      <w:r w:rsidRPr="00BD7CEA">
        <w:t>Bing Maps Mobile Asset Management NA w/o routing Per Asset Monthly Sub</w:t>
      </w:r>
    </w:p>
    <w:p w:rsidR="00D02D7A" w:rsidRPr="00BD7CEA" w:rsidRDefault="00D02D7A" w:rsidP="00D02D7A">
      <w:r w:rsidRPr="00BD7CEA">
        <w:t>Bing Maps Mobile Asset Management Europe w routing Per Asset Monthly Sub</w:t>
      </w:r>
    </w:p>
    <w:p w:rsidR="00D02D7A" w:rsidRPr="00BD7CEA" w:rsidRDefault="00D02D7A" w:rsidP="00D02D7A">
      <w:r w:rsidRPr="00BD7CEA">
        <w:t>Bing Maps Mobile Asset Management Europe w/o routing Per Asset Monthly Sub</w:t>
      </w:r>
    </w:p>
    <w:p w:rsidR="00D02D7A" w:rsidRPr="00BD7CEA" w:rsidRDefault="00D02D7A" w:rsidP="00D02D7A">
      <w:r w:rsidRPr="00BD7CEA">
        <w:t>Bing Maps Server</w:t>
      </w:r>
    </w:p>
    <w:p w:rsidR="00D02D7A" w:rsidRPr="00BD7CEA" w:rsidRDefault="00D02D7A" w:rsidP="00D02D7A">
      <w:r w:rsidRPr="00BD7CEA">
        <w:t>BizTalk</w:t>
      </w:r>
      <w:r w:rsidR="00700C4B" w:rsidRPr="00BD7CEA">
        <w:rPr>
          <w:vertAlign w:val="superscript"/>
        </w:rPr>
        <w:t>®</w:t>
      </w:r>
      <w:r w:rsidRPr="00BD7CEA">
        <w:t xml:space="preserve"> Server 2013 Enterprise Edition </w:t>
      </w:r>
    </w:p>
    <w:p w:rsidR="00D02D7A" w:rsidRPr="00BD7CEA" w:rsidRDefault="00D02D7A" w:rsidP="00D02D7A">
      <w:r w:rsidRPr="00BD7CEA">
        <w:t>BizTalk</w:t>
      </w:r>
      <w:r w:rsidR="00700C4B" w:rsidRPr="00BD7CEA">
        <w:rPr>
          <w:vertAlign w:val="superscript"/>
        </w:rPr>
        <w:t>®</w:t>
      </w:r>
      <w:r w:rsidRPr="00BD7CEA">
        <w:t xml:space="preserve"> Server 2013 Standard Edition </w:t>
      </w:r>
    </w:p>
    <w:p w:rsidR="00D02D7A" w:rsidRPr="00BD7CEA" w:rsidRDefault="00D02D7A" w:rsidP="00D02D7A">
      <w:r w:rsidRPr="00BD7CEA">
        <w:t>BizTalk</w:t>
      </w:r>
      <w:r w:rsidR="00700C4B" w:rsidRPr="00BD7CEA">
        <w:rPr>
          <w:vertAlign w:val="superscript"/>
        </w:rPr>
        <w:t>®</w:t>
      </w:r>
      <w:r w:rsidRPr="00BD7CEA">
        <w:t xml:space="preserve"> Server 2013 Branch</w:t>
      </w:r>
    </w:p>
    <w:p w:rsidR="00D02D7A" w:rsidRPr="00BD7CEA" w:rsidRDefault="00D02D7A" w:rsidP="00D02D7A">
      <w:r w:rsidRPr="00BD7CEA">
        <w:t>BizTalk</w:t>
      </w:r>
      <w:r w:rsidR="00700C4B" w:rsidRPr="00BD7CEA">
        <w:rPr>
          <w:vertAlign w:val="superscript"/>
        </w:rPr>
        <w:t>®</w:t>
      </w:r>
      <w:r w:rsidRPr="00BD7CEA">
        <w:t xml:space="preserve"> Server 2013 Branch IDC </w:t>
      </w:r>
    </w:p>
    <w:p w:rsidR="00D02D7A" w:rsidRPr="00BD7CEA" w:rsidRDefault="00D02D7A" w:rsidP="00D02D7A">
      <w:r w:rsidRPr="00BD7CEA">
        <w:t>BizTalk</w:t>
      </w:r>
      <w:r w:rsidR="00700C4B" w:rsidRPr="00BD7CEA">
        <w:rPr>
          <w:vertAlign w:val="superscript"/>
        </w:rPr>
        <w:t>®</w:t>
      </w:r>
      <w:r w:rsidRPr="00BD7CEA">
        <w:t xml:space="preserve"> Server 2013 Standard Edition IDC </w:t>
      </w:r>
    </w:p>
    <w:p w:rsidR="00D02D7A" w:rsidRPr="007B74B7" w:rsidRDefault="00D02D7A" w:rsidP="00D02D7A">
      <w:pPr>
        <w:rPr>
          <w:lang w:val="it-IT"/>
        </w:rPr>
      </w:pPr>
      <w:r w:rsidRPr="007B74B7">
        <w:rPr>
          <w:lang w:val="it-IT"/>
        </w:rPr>
        <w:t>Office 365 Enterprise E1 (SL per Utente) (Pool di Applicazioni)</w:t>
      </w:r>
    </w:p>
    <w:p w:rsidR="00D02D7A" w:rsidRPr="007B74B7" w:rsidRDefault="00D02D7A" w:rsidP="00D02D7A">
      <w:pPr>
        <w:rPr>
          <w:lang w:val="it-IT"/>
        </w:rPr>
      </w:pPr>
      <w:r w:rsidRPr="007B74B7">
        <w:rPr>
          <w:lang w:val="it-IT"/>
        </w:rPr>
        <w:lastRenderedPageBreak/>
        <w:t>Office 365 Enterprise E2 (SL per Utente) (Pool di Applicazioni)</w:t>
      </w:r>
    </w:p>
    <w:p w:rsidR="00D02D7A" w:rsidRPr="007B74B7" w:rsidRDefault="00D02D7A" w:rsidP="00D02D7A">
      <w:pPr>
        <w:rPr>
          <w:lang w:val="it-IT"/>
        </w:rPr>
      </w:pPr>
      <w:r w:rsidRPr="007B74B7">
        <w:rPr>
          <w:lang w:val="it-IT"/>
        </w:rPr>
        <w:t>Office 365 Enterprise E3 (SL per Utente) (Pool di Applicazioni)</w:t>
      </w:r>
    </w:p>
    <w:p w:rsidR="00D02D7A" w:rsidRPr="007B74B7" w:rsidRDefault="00D02D7A" w:rsidP="00D02D7A">
      <w:pPr>
        <w:rPr>
          <w:lang w:val="it-IT"/>
        </w:rPr>
      </w:pPr>
      <w:r w:rsidRPr="007B74B7">
        <w:rPr>
          <w:lang w:val="it-IT"/>
        </w:rPr>
        <w:t>Office 365 Enterprise E4 (SL per Utente) (Pool di Applicazioni)</w:t>
      </w:r>
    </w:p>
    <w:p w:rsidR="00D02D7A" w:rsidRPr="007B74B7" w:rsidRDefault="00D02D7A" w:rsidP="00D02D7A">
      <w:pPr>
        <w:rPr>
          <w:lang w:val="it-IT"/>
        </w:rPr>
      </w:pPr>
      <w:r w:rsidRPr="007B74B7">
        <w:rPr>
          <w:lang w:val="it-IT"/>
        </w:rPr>
        <w:t>Office 365 Education A2 (SL per Utente) (Pool di Applicazioni)</w:t>
      </w:r>
    </w:p>
    <w:p w:rsidR="00D02D7A" w:rsidRPr="007B74B7" w:rsidRDefault="00D02D7A" w:rsidP="00D02D7A">
      <w:pPr>
        <w:rPr>
          <w:lang w:val="it-IT"/>
        </w:rPr>
      </w:pPr>
      <w:r w:rsidRPr="007B74B7">
        <w:rPr>
          <w:lang w:val="it-IT"/>
        </w:rPr>
        <w:t>Office 365 Education A3 (SL per Utente) (Pool di Applicazioni)</w:t>
      </w:r>
    </w:p>
    <w:p w:rsidR="00D02D7A" w:rsidRPr="007B74B7" w:rsidRDefault="00D02D7A" w:rsidP="00D02D7A">
      <w:pPr>
        <w:rPr>
          <w:lang w:val="it-IT"/>
        </w:rPr>
      </w:pPr>
      <w:r w:rsidRPr="007B74B7">
        <w:rPr>
          <w:lang w:val="it-IT"/>
        </w:rPr>
        <w:t>Office 365 Education A4 (SL per Utente) (Pool di Applicazioni)</w:t>
      </w:r>
    </w:p>
    <w:p w:rsidR="00D02D7A" w:rsidRPr="007B74B7" w:rsidRDefault="00D02D7A" w:rsidP="00D02D7A">
      <w:pPr>
        <w:rPr>
          <w:lang w:val="it-IT"/>
        </w:rPr>
      </w:pPr>
      <w:r w:rsidRPr="007B74B7">
        <w:rPr>
          <w:lang w:val="it-IT"/>
        </w:rPr>
        <w:t>Office 365 Enterprise E1 (SL per Utente) (Pool di Server)</w:t>
      </w:r>
    </w:p>
    <w:p w:rsidR="00D02D7A" w:rsidRPr="007B74B7" w:rsidRDefault="00D02D7A" w:rsidP="00D02D7A">
      <w:pPr>
        <w:rPr>
          <w:lang w:val="it-IT"/>
        </w:rPr>
      </w:pPr>
      <w:r w:rsidRPr="007B74B7">
        <w:rPr>
          <w:lang w:val="it-IT"/>
        </w:rPr>
        <w:t>Office 365 Enterprise E2 (SL per Utente) (Pool di Server)</w:t>
      </w:r>
    </w:p>
    <w:p w:rsidR="00D02D7A" w:rsidRPr="007B74B7" w:rsidRDefault="00D02D7A" w:rsidP="00D02D7A">
      <w:pPr>
        <w:rPr>
          <w:lang w:val="it-IT"/>
        </w:rPr>
      </w:pPr>
      <w:r w:rsidRPr="007B74B7">
        <w:rPr>
          <w:lang w:val="it-IT"/>
        </w:rPr>
        <w:t>Office 365 Enterprise E3 (SL per Utente) (Pool di Server)</w:t>
      </w:r>
    </w:p>
    <w:p w:rsidR="00D02D7A" w:rsidRPr="007B74B7" w:rsidRDefault="00D02D7A" w:rsidP="00D02D7A">
      <w:pPr>
        <w:rPr>
          <w:lang w:val="it-IT"/>
        </w:rPr>
      </w:pPr>
      <w:r w:rsidRPr="007B74B7">
        <w:rPr>
          <w:lang w:val="it-IT"/>
        </w:rPr>
        <w:t>Office 365 Enterprise E4 (SL per Utente) (Pool di Server)</w:t>
      </w:r>
    </w:p>
    <w:p w:rsidR="00D02D7A" w:rsidRPr="007B74B7" w:rsidRDefault="00D02D7A" w:rsidP="00D02D7A">
      <w:pPr>
        <w:rPr>
          <w:lang w:val="it-IT"/>
        </w:rPr>
      </w:pPr>
      <w:r w:rsidRPr="007B74B7">
        <w:rPr>
          <w:lang w:val="it-IT"/>
        </w:rPr>
        <w:t>Office 365 Government G1 (SL per Utente) (Pool di Server)</w:t>
      </w:r>
    </w:p>
    <w:p w:rsidR="00D02D7A" w:rsidRPr="007B74B7" w:rsidRDefault="00D02D7A" w:rsidP="00D02D7A">
      <w:pPr>
        <w:rPr>
          <w:lang w:val="it-IT"/>
        </w:rPr>
      </w:pPr>
      <w:r w:rsidRPr="007B74B7">
        <w:rPr>
          <w:lang w:val="it-IT"/>
        </w:rPr>
        <w:t>Office 365 Government G2 (SL per Utente) (Pool di Server)</w:t>
      </w:r>
    </w:p>
    <w:p w:rsidR="00D02D7A" w:rsidRPr="007B74B7" w:rsidRDefault="00D02D7A" w:rsidP="00D02D7A">
      <w:pPr>
        <w:rPr>
          <w:lang w:val="it-IT"/>
        </w:rPr>
      </w:pPr>
      <w:r w:rsidRPr="007B74B7">
        <w:rPr>
          <w:lang w:val="it-IT"/>
        </w:rPr>
        <w:t>Office 365 Government G3 (SL per Utente) (Pool di Server)</w:t>
      </w:r>
    </w:p>
    <w:p w:rsidR="00D02D7A" w:rsidRPr="007B74B7" w:rsidRDefault="00D02D7A" w:rsidP="00D02D7A">
      <w:pPr>
        <w:rPr>
          <w:lang w:val="it-IT"/>
        </w:rPr>
      </w:pPr>
      <w:r w:rsidRPr="007B74B7">
        <w:rPr>
          <w:lang w:val="it-IT"/>
        </w:rPr>
        <w:t>Office 365 Government G4 (SL per Utente) (Pool di Server)</w:t>
      </w:r>
    </w:p>
    <w:p w:rsidR="00D02D7A" w:rsidRPr="007B74B7" w:rsidRDefault="00D02D7A" w:rsidP="00D02D7A">
      <w:pPr>
        <w:rPr>
          <w:lang w:val="it-IT"/>
        </w:rPr>
      </w:pPr>
      <w:r w:rsidRPr="007B74B7">
        <w:rPr>
          <w:lang w:val="it-IT"/>
        </w:rPr>
        <w:t>Office 365 Enterprise K1 (SL per Utente) (Pool di Server)</w:t>
      </w:r>
    </w:p>
    <w:p w:rsidR="00D02D7A" w:rsidRPr="007B74B7" w:rsidRDefault="00D02D7A" w:rsidP="00D02D7A">
      <w:pPr>
        <w:rPr>
          <w:lang w:val="it-IT"/>
        </w:rPr>
      </w:pPr>
      <w:r w:rsidRPr="007B74B7">
        <w:rPr>
          <w:lang w:val="it-IT"/>
        </w:rPr>
        <w:t>Office 365 Enterprise K2 (SL per Utente) (Pool di Server)</w:t>
      </w:r>
    </w:p>
    <w:p w:rsidR="003418C5" w:rsidRPr="007B74B7" w:rsidRDefault="003418C5" w:rsidP="003418C5">
      <w:pPr>
        <w:rPr>
          <w:lang w:val="it-IT"/>
        </w:rPr>
      </w:pPr>
      <w:r w:rsidRPr="007B74B7">
        <w:rPr>
          <w:lang w:val="it-IT"/>
        </w:rPr>
        <w:t>Office 365 ProPlus SA Transition (SL per Utente) (Pool di Applicazioni)</w:t>
      </w:r>
    </w:p>
    <w:p w:rsidR="00D02D7A" w:rsidRPr="00BD7CEA" w:rsidRDefault="00D02D7A">
      <w:r w:rsidRPr="00BD7CEA">
        <w:t>Microsoft Desktop Optimization Pack per Software Assurance</w:t>
      </w:r>
    </w:p>
    <w:p w:rsidR="00D02D7A" w:rsidRPr="00BD7CEA" w:rsidRDefault="00D02D7A" w:rsidP="007E466C">
      <w:r w:rsidRPr="00BD7CEA">
        <w:t>System Center Global Service Monitor</w:t>
      </w:r>
    </w:p>
    <w:p w:rsidR="005F584F" w:rsidRPr="00BD7CEA" w:rsidRDefault="005F584F" w:rsidP="005F584F">
      <w:r w:rsidRPr="00BD7CEA">
        <w:t>Vexcel Desktop con Enhanced Content Pack</w:t>
      </w:r>
    </w:p>
    <w:p w:rsidR="009C779A" w:rsidRPr="00BD7CEA" w:rsidRDefault="00242B11">
      <w:r w:rsidRPr="00BD7CEA">
        <w:t>Vexcel Server</w:t>
      </w:r>
    </w:p>
    <w:p w:rsidR="00242B11" w:rsidRPr="00BD7CEA" w:rsidRDefault="00242B11">
      <w:r w:rsidRPr="00BD7CEA">
        <w:t>Vexcel Server con Enhanced Content Pack</w:t>
      </w:r>
    </w:p>
    <w:p w:rsidR="002B2CD8" w:rsidRDefault="002B2CD8" w:rsidP="00B65F35">
      <w:pPr>
        <w:spacing w:after="60"/>
        <w:rPr>
          <w:b/>
        </w:rPr>
      </w:pPr>
    </w:p>
    <w:p w:rsidR="00B65F35" w:rsidRPr="00BD7CEA" w:rsidRDefault="00B65F35" w:rsidP="00B65F35">
      <w:pPr>
        <w:spacing w:after="60"/>
      </w:pPr>
      <w:r w:rsidRPr="00BD7CEA">
        <w:rPr>
          <w:b/>
        </w:rPr>
        <w:t>Modifiche</w:t>
      </w:r>
    </w:p>
    <w:p w:rsidR="00B65F35" w:rsidRPr="00BD7CEA" w:rsidRDefault="009C779A" w:rsidP="009C779A">
      <w:r w:rsidRPr="00BD7CEA">
        <w:t>Bing Maps Standard (SL per Utente)</w:t>
      </w:r>
    </w:p>
    <w:p w:rsidR="009C779A" w:rsidRPr="007B74B7" w:rsidRDefault="009C779A" w:rsidP="00D66F68">
      <w:pPr>
        <w:rPr>
          <w:lang w:val="it-IT"/>
        </w:rPr>
      </w:pPr>
      <w:r w:rsidRPr="007B74B7">
        <w:rPr>
          <w:lang w:val="it-IT"/>
        </w:rPr>
        <w:t>Office 365 Piano E1 (SL per Utente) (Pool di Applicazioni)</w:t>
      </w:r>
    </w:p>
    <w:p w:rsidR="009C779A" w:rsidRPr="007B74B7" w:rsidRDefault="009C779A" w:rsidP="00D66F68">
      <w:pPr>
        <w:rPr>
          <w:lang w:val="it-IT"/>
        </w:rPr>
      </w:pPr>
      <w:r w:rsidRPr="007B74B7">
        <w:rPr>
          <w:lang w:val="it-IT"/>
        </w:rPr>
        <w:t>Office 365 Piano E2 (SL per Utente) (Pool di Applicazioni)</w:t>
      </w:r>
    </w:p>
    <w:p w:rsidR="009C779A" w:rsidRPr="007B74B7" w:rsidRDefault="009C779A" w:rsidP="00D02D7A">
      <w:pPr>
        <w:rPr>
          <w:lang w:val="it-IT"/>
        </w:rPr>
      </w:pPr>
      <w:r w:rsidRPr="007B74B7">
        <w:rPr>
          <w:lang w:val="it-IT"/>
        </w:rPr>
        <w:t>Office 365 Piano E3 (SL per Utente) (Pool di Applicazioni)</w:t>
      </w:r>
    </w:p>
    <w:p w:rsidR="009C779A" w:rsidRPr="007B74B7" w:rsidRDefault="009C779A" w:rsidP="00D02D7A">
      <w:pPr>
        <w:rPr>
          <w:lang w:val="it-IT"/>
        </w:rPr>
      </w:pPr>
      <w:r w:rsidRPr="007B74B7">
        <w:rPr>
          <w:lang w:val="it-IT"/>
        </w:rPr>
        <w:t>Office 365 Piano E4 (SL per Utente) (Pool di Applicazioni)</w:t>
      </w:r>
    </w:p>
    <w:p w:rsidR="009C779A" w:rsidRPr="007B74B7" w:rsidRDefault="009C779A" w:rsidP="00242B11">
      <w:pPr>
        <w:rPr>
          <w:lang w:val="it-IT"/>
        </w:rPr>
      </w:pPr>
      <w:r w:rsidRPr="007B74B7">
        <w:rPr>
          <w:lang w:val="it-IT"/>
        </w:rPr>
        <w:t>Office 365 Piano A2 (SL per Utente) (Pool di Applicazioni)</w:t>
      </w:r>
    </w:p>
    <w:p w:rsidR="009C779A" w:rsidRPr="007B74B7" w:rsidRDefault="009C779A" w:rsidP="00242B11">
      <w:pPr>
        <w:rPr>
          <w:lang w:val="it-IT"/>
        </w:rPr>
      </w:pPr>
      <w:r w:rsidRPr="007B74B7">
        <w:rPr>
          <w:lang w:val="it-IT"/>
        </w:rPr>
        <w:t>Office 365 Piano A3 (SL per Utente) (Pool di Applicazioni)</w:t>
      </w:r>
    </w:p>
    <w:p w:rsidR="009C779A" w:rsidRPr="007B74B7" w:rsidRDefault="009C779A" w:rsidP="00EA31A6">
      <w:pPr>
        <w:rPr>
          <w:lang w:val="it-IT"/>
        </w:rPr>
      </w:pPr>
      <w:r w:rsidRPr="007B74B7">
        <w:rPr>
          <w:lang w:val="it-IT"/>
        </w:rPr>
        <w:t>Office 365 Piano A4 (SL per Utente) (Pool di Applicazioni)</w:t>
      </w:r>
    </w:p>
    <w:p w:rsidR="009C779A" w:rsidRPr="007B74B7" w:rsidRDefault="009C779A" w:rsidP="00EA31A6">
      <w:pPr>
        <w:rPr>
          <w:lang w:val="it-IT"/>
        </w:rPr>
      </w:pPr>
      <w:r w:rsidRPr="007B74B7">
        <w:rPr>
          <w:lang w:val="it-IT"/>
        </w:rPr>
        <w:t>Office 365 Piano E1 (SL per Utente) (Pool di Server)</w:t>
      </w:r>
    </w:p>
    <w:p w:rsidR="009C779A" w:rsidRPr="007B74B7" w:rsidRDefault="00FD7C0D" w:rsidP="00EA31A6">
      <w:pPr>
        <w:rPr>
          <w:lang w:val="it-IT"/>
        </w:rPr>
      </w:pPr>
      <w:r w:rsidRPr="007B74B7">
        <w:rPr>
          <w:lang w:val="it-IT"/>
        </w:rPr>
        <w:t xml:space="preserve">Office 365 Piano E2 – </w:t>
      </w:r>
      <w:r w:rsidR="009C779A" w:rsidRPr="007B74B7">
        <w:rPr>
          <w:lang w:val="it-IT"/>
        </w:rPr>
        <w:t>E4 (SL per Utente) (Pool di Server)</w:t>
      </w:r>
    </w:p>
    <w:p w:rsidR="009C779A" w:rsidRPr="007B74B7" w:rsidRDefault="009C779A" w:rsidP="00EA31A6">
      <w:pPr>
        <w:rPr>
          <w:lang w:val="it-IT"/>
        </w:rPr>
      </w:pPr>
      <w:r w:rsidRPr="007B74B7">
        <w:rPr>
          <w:lang w:val="it-IT"/>
        </w:rPr>
        <w:t>Office 365 Piano G1</w:t>
      </w:r>
      <w:r w:rsidR="00FD7C0D" w:rsidRPr="007B74B7">
        <w:rPr>
          <w:lang w:val="it-IT"/>
        </w:rPr>
        <w:t xml:space="preserve"> – </w:t>
      </w:r>
      <w:r w:rsidRPr="007B74B7">
        <w:rPr>
          <w:lang w:val="it-IT"/>
        </w:rPr>
        <w:t>G4 (SL per Utente) (Pool di Server)</w:t>
      </w:r>
    </w:p>
    <w:p w:rsidR="009C779A" w:rsidRPr="007B74B7" w:rsidRDefault="009C779A" w:rsidP="003537B9">
      <w:pPr>
        <w:rPr>
          <w:lang w:val="it-IT"/>
        </w:rPr>
      </w:pPr>
      <w:r w:rsidRPr="007B74B7">
        <w:rPr>
          <w:lang w:val="it-IT"/>
        </w:rPr>
        <w:t>Office 365 Piano K1 (SL per Utente) (Pool di Server)</w:t>
      </w:r>
    </w:p>
    <w:p w:rsidR="009C779A" w:rsidRPr="007B74B7" w:rsidRDefault="009C779A" w:rsidP="003537B9">
      <w:pPr>
        <w:rPr>
          <w:lang w:val="it-IT"/>
        </w:rPr>
      </w:pPr>
      <w:r w:rsidRPr="007B74B7">
        <w:rPr>
          <w:lang w:val="it-IT"/>
        </w:rPr>
        <w:t>Office 365 Piano K2 (SL per Utente) (Pool di Server)</w:t>
      </w:r>
    </w:p>
    <w:p w:rsidR="003A31B1" w:rsidRPr="007B74B7" w:rsidRDefault="003A31B1" w:rsidP="003A31B1">
      <w:pPr>
        <w:rPr>
          <w:lang w:val="it-IT"/>
        </w:rPr>
      </w:pPr>
      <w:r w:rsidRPr="007B74B7">
        <w:rPr>
          <w:lang w:val="it-IT"/>
        </w:rPr>
        <w:t>System Center 2012 Endpoint Protection</w:t>
      </w:r>
    </w:p>
    <w:p w:rsidR="00242B11" w:rsidRPr="007B74B7" w:rsidRDefault="00242B11" w:rsidP="00242B11">
      <w:pPr>
        <w:rPr>
          <w:lang w:val="it-IT"/>
        </w:rPr>
      </w:pPr>
      <w:r w:rsidRPr="007B74B7">
        <w:rPr>
          <w:lang w:val="it-IT"/>
        </w:rPr>
        <w:t>BizTalk Server passa dal modello di licenza per “Processore” al modello di licenza “Core” per la versione 2013</w:t>
      </w:r>
    </w:p>
    <w:p w:rsidR="00242B11" w:rsidRPr="007B74B7" w:rsidRDefault="00242B11" w:rsidP="00242B11">
      <w:pPr>
        <w:rPr>
          <w:lang w:val="it-IT"/>
        </w:rPr>
      </w:pPr>
      <w:r w:rsidRPr="007B74B7">
        <w:rPr>
          <w:lang w:val="it-IT"/>
        </w:rPr>
        <w:t>Rimosso Prodotto Aggiuntivo ("A") da Sys Ctr Endpoint Protection</w:t>
      </w:r>
    </w:p>
    <w:p w:rsidR="00242B11" w:rsidRPr="007B74B7" w:rsidRDefault="00242B11" w:rsidP="00242B11">
      <w:pPr>
        <w:rPr>
          <w:lang w:val="it-IT"/>
        </w:rPr>
      </w:pPr>
      <w:r w:rsidRPr="007B74B7">
        <w:rPr>
          <w:lang w:val="it-IT"/>
        </w:rPr>
        <w:t>Rimosso Professional dalla voce Bing Maps Standard (SL per Utente)</w:t>
      </w:r>
    </w:p>
    <w:p w:rsidR="009C779A" w:rsidRPr="007B74B7" w:rsidRDefault="009C779A" w:rsidP="009C779A">
      <w:pPr>
        <w:rPr>
          <w:lang w:val="it-IT"/>
        </w:rPr>
      </w:pPr>
    </w:p>
    <w:p w:rsidR="00B65F35" w:rsidRPr="007B74B7" w:rsidRDefault="00B65F35" w:rsidP="007E466C">
      <w:pPr>
        <w:spacing w:after="60"/>
        <w:rPr>
          <w:lang w:val="it-IT"/>
        </w:rPr>
      </w:pPr>
      <w:r w:rsidRPr="007B74B7">
        <w:rPr>
          <w:b/>
          <w:lang w:val="it-IT"/>
        </w:rPr>
        <w:t>Prodotti Eliminati</w:t>
      </w:r>
    </w:p>
    <w:p w:rsidR="00D02D7A" w:rsidRPr="007B74B7" w:rsidRDefault="00D02D7A" w:rsidP="00D02D7A">
      <w:pPr>
        <w:rPr>
          <w:lang w:val="it-IT"/>
        </w:rPr>
      </w:pPr>
      <w:r w:rsidRPr="007B74B7">
        <w:rPr>
          <w:lang w:val="it-IT"/>
        </w:rPr>
        <w:t>Bing Maps 25KTrx (SL Add-on)</w:t>
      </w:r>
    </w:p>
    <w:p w:rsidR="00D02D7A" w:rsidRPr="00BD7CEA" w:rsidRDefault="00D02D7A" w:rsidP="00D02D7A">
      <w:r w:rsidRPr="00BD7CEA">
        <w:t>Bing Maps 250KTrx (SL Add-on)</w:t>
      </w:r>
    </w:p>
    <w:p w:rsidR="00D02D7A" w:rsidRPr="00BD7CEA" w:rsidRDefault="00D02D7A" w:rsidP="00D02D7A">
      <w:r w:rsidRPr="00BD7CEA">
        <w:t>Bing Maps Professional (SL Servizi)</w:t>
      </w:r>
    </w:p>
    <w:p w:rsidR="005F584F" w:rsidRPr="00BD7CEA" w:rsidRDefault="005F584F" w:rsidP="005F584F">
      <w:r w:rsidRPr="00BD7CEA">
        <w:t>Bing Maps Desktop con Enhanced Content Pack</w:t>
      </w:r>
    </w:p>
    <w:p w:rsidR="005F584F" w:rsidRPr="00BD7CEA" w:rsidRDefault="005F584F" w:rsidP="005F584F">
      <w:r w:rsidRPr="00BD7CEA">
        <w:t>Bing Maps Server</w:t>
      </w:r>
    </w:p>
    <w:p w:rsidR="005F584F" w:rsidRPr="00BD7CEA" w:rsidRDefault="005F584F" w:rsidP="005F584F">
      <w:r w:rsidRPr="00BD7CEA">
        <w:t>Bing Maps con Enhanced Content Pack</w:t>
      </w:r>
    </w:p>
    <w:p w:rsidR="00D02D7A" w:rsidRPr="00BD7CEA" w:rsidRDefault="00D02D7A" w:rsidP="00D02D7A">
      <w:r w:rsidRPr="00BD7CEA">
        <w:t>Bing Maps Unlimited Trx (SL Add-on)</w:t>
      </w:r>
    </w:p>
    <w:p w:rsidR="00242B11" w:rsidRPr="00BD7CEA" w:rsidRDefault="00242B11" w:rsidP="00D02D7A">
      <w:r w:rsidRPr="00BD7CEA">
        <w:t>Bing Server</w:t>
      </w:r>
    </w:p>
    <w:p w:rsidR="00242B11" w:rsidRPr="00BD7CEA" w:rsidRDefault="00242B11" w:rsidP="00D02D7A">
      <w:r w:rsidRPr="00BD7CEA">
        <w:t>Bing Server con Enhanced Content Pack</w:t>
      </w:r>
    </w:p>
    <w:p w:rsidR="00D02D7A" w:rsidRPr="00BD7CEA" w:rsidRDefault="00D02D7A" w:rsidP="00D02D7A">
      <w:r w:rsidRPr="00BD7CEA">
        <w:t>BizTalk</w:t>
      </w:r>
      <w:r w:rsidR="00700C4B" w:rsidRPr="00BD7CEA">
        <w:rPr>
          <w:vertAlign w:val="superscript"/>
        </w:rPr>
        <w:t>®</w:t>
      </w:r>
      <w:r w:rsidRPr="00BD7CEA">
        <w:t xml:space="preserve"> Server 2010 Branch Edition </w:t>
      </w:r>
    </w:p>
    <w:p w:rsidR="00D02D7A" w:rsidRPr="00BD7CEA" w:rsidRDefault="00D02D7A" w:rsidP="00D02D7A">
      <w:r w:rsidRPr="00BD7CEA">
        <w:t>BizTalk</w:t>
      </w:r>
      <w:r w:rsidR="00700C4B" w:rsidRPr="00BD7CEA">
        <w:rPr>
          <w:vertAlign w:val="superscript"/>
        </w:rPr>
        <w:t>®</w:t>
      </w:r>
      <w:r w:rsidRPr="00BD7CEA">
        <w:t xml:space="preserve"> Server 2010 Enterprise Edition</w:t>
      </w:r>
    </w:p>
    <w:p w:rsidR="00D02D7A" w:rsidRPr="00BD7CEA" w:rsidRDefault="00D02D7A" w:rsidP="00D02D7A">
      <w:r w:rsidRPr="00BD7CEA">
        <w:t>BizTalk</w:t>
      </w:r>
      <w:r w:rsidR="00700C4B" w:rsidRPr="00BD7CEA">
        <w:rPr>
          <w:vertAlign w:val="superscript"/>
        </w:rPr>
        <w:t>®</w:t>
      </w:r>
      <w:r w:rsidRPr="00BD7CEA">
        <w:t xml:space="preserve"> Server 2010 Enterprise RFID</w:t>
      </w:r>
    </w:p>
    <w:p w:rsidR="00D02D7A" w:rsidRPr="00BD7CEA" w:rsidRDefault="00D02D7A" w:rsidP="00D02D7A">
      <w:r w:rsidRPr="00BD7CEA">
        <w:t>BizTalk</w:t>
      </w:r>
      <w:r w:rsidR="00700C4B" w:rsidRPr="00BD7CEA">
        <w:rPr>
          <w:vertAlign w:val="superscript"/>
        </w:rPr>
        <w:t>®</w:t>
      </w:r>
      <w:r w:rsidRPr="00BD7CEA">
        <w:t xml:space="preserve"> Server 2010 Standard Edition </w:t>
      </w:r>
    </w:p>
    <w:p w:rsidR="00D02D7A" w:rsidRPr="00BD7CEA" w:rsidRDefault="00D02D7A" w:rsidP="00D02D7A">
      <w:r w:rsidRPr="00BD7CEA">
        <w:t>BizTalk</w:t>
      </w:r>
      <w:r w:rsidR="00700C4B" w:rsidRPr="00BD7CEA">
        <w:rPr>
          <w:vertAlign w:val="superscript"/>
        </w:rPr>
        <w:t>®</w:t>
      </w:r>
      <w:r w:rsidRPr="00BD7CEA">
        <w:t xml:space="preserve"> Server 2010 Developer IDC </w:t>
      </w:r>
    </w:p>
    <w:p w:rsidR="00D02D7A" w:rsidRPr="00BD7CEA" w:rsidRDefault="00D02D7A" w:rsidP="00D02D7A">
      <w:r w:rsidRPr="00BD7CEA">
        <w:t>BizTalk</w:t>
      </w:r>
      <w:r w:rsidR="00700C4B" w:rsidRPr="00BD7CEA">
        <w:rPr>
          <w:vertAlign w:val="superscript"/>
        </w:rPr>
        <w:t>®</w:t>
      </w:r>
      <w:r w:rsidRPr="00BD7CEA">
        <w:t xml:space="preserve"> Server 2010 Branch IDC </w:t>
      </w:r>
    </w:p>
    <w:p w:rsidR="00D02D7A" w:rsidRPr="00BD7CEA" w:rsidRDefault="00D02D7A" w:rsidP="00D02D7A">
      <w:r w:rsidRPr="00BD7CEA">
        <w:lastRenderedPageBreak/>
        <w:t>Data Warehouse Appliance 2012</w:t>
      </w:r>
    </w:p>
    <w:p w:rsidR="00D02D7A" w:rsidRPr="007B74B7" w:rsidRDefault="00D02D7A" w:rsidP="00D02D7A">
      <w:pPr>
        <w:rPr>
          <w:lang w:val="it-IT"/>
        </w:rPr>
      </w:pPr>
      <w:r w:rsidRPr="007B74B7">
        <w:rPr>
          <w:lang w:val="it-IT"/>
        </w:rPr>
        <w:t>Office 365 Piano E1 (SL per Utente) (Pool di Applicazioni)</w:t>
      </w:r>
    </w:p>
    <w:p w:rsidR="00D02D7A" w:rsidRPr="007B74B7" w:rsidRDefault="00D02D7A" w:rsidP="00D02D7A">
      <w:pPr>
        <w:rPr>
          <w:lang w:val="it-IT"/>
        </w:rPr>
      </w:pPr>
      <w:r w:rsidRPr="007B74B7">
        <w:rPr>
          <w:lang w:val="it-IT"/>
        </w:rPr>
        <w:t>Office 365 Piano E2 (SL per Utente) (Pool di Applicazioni)</w:t>
      </w:r>
    </w:p>
    <w:p w:rsidR="00D02D7A" w:rsidRPr="007B74B7" w:rsidRDefault="00D02D7A" w:rsidP="00D02D7A">
      <w:pPr>
        <w:rPr>
          <w:lang w:val="it-IT"/>
        </w:rPr>
      </w:pPr>
      <w:r w:rsidRPr="007B74B7">
        <w:rPr>
          <w:lang w:val="it-IT"/>
        </w:rPr>
        <w:t>Office 365 Piano E3 (SL per Utente) (Pool di Applicazioni)</w:t>
      </w:r>
    </w:p>
    <w:p w:rsidR="00D02D7A" w:rsidRPr="007B74B7" w:rsidRDefault="00D02D7A" w:rsidP="00D02D7A">
      <w:pPr>
        <w:rPr>
          <w:lang w:val="it-IT"/>
        </w:rPr>
      </w:pPr>
      <w:r w:rsidRPr="007B74B7">
        <w:rPr>
          <w:lang w:val="it-IT"/>
        </w:rPr>
        <w:t>Office 365 Piano E4 (SL per Utente) (Pool di Applicazioni)</w:t>
      </w:r>
    </w:p>
    <w:p w:rsidR="00D02D7A" w:rsidRPr="007B74B7" w:rsidRDefault="00D02D7A" w:rsidP="00D02D7A">
      <w:pPr>
        <w:rPr>
          <w:lang w:val="it-IT"/>
        </w:rPr>
      </w:pPr>
      <w:r w:rsidRPr="007B74B7">
        <w:rPr>
          <w:lang w:val="it-IT"/>
        </w:rPr>
        <w:t>Office 365 Piano A2 (SL per Utente) (Pool di Applicazioni)</w:t>
      </w:r>
    </w:p>
    <w:p w:rsidR="00D02D7A" w:rsidRPr="007B74B7" w:rsidRDefault="00D02D7A" w:rsidP="00D02D7A">
      <w:pPr>
        <w:rPr>
          <w:lang w:val="it-IT"/>
        </w:rPr>
      </w:pPr>
      <w:r w:rsidRPr="007B74B7">
        <w:rPr>
          <w:lang w:val="it-IT"/>
        </w:rPr>
        <w:t>Office 365 Piano A3 (SL per Utente) (Pool di Applicazioni)</w:t>
      </w:r>
    </w:p>
    <w:p w:rsidR="00D02D7A" w:rsidRPr="007B74B7" w:rsidRDefault="00D02D7A" w:rsidP="00D02D7A">
      <w:pPr>
        <w:rPr>
          <w:lang w:val="it-IT"/>
        </w:rPr>
      </w:pPr>
      <w:r w:rsidRPr="007B74B7">
        <w:rPr>
          <w:lang w:val="it-IT"/>
        </w:rPr>
        <w:t>Office 365 Piano A4 (SL per Utente) (Pool di Applicazioni)</w:t>
      </w:r>
    </w:p>
    <w:p w:rsidR="00D02D7A" w:rsidRPr="007B74B7" w:rsidRDefault="00D02D7A" w:rsidP="00D02D7A">
      <w:pPr>
        <w:rPr>
          <w:lang w:val="it-IT"/>
        </w:rPr>
      </w:pPr>
      <w:r w:rsidRPr="007B74B7">
        <w:rPr>
          <w:lang w:val="it-IT"/>
        </w:rPr>
        <w:t>Office 365 Piano E1 (SL per Utente) (Pool di Server)</w:t>
      </w:r>
    </w:p>
    <w:p w:rsidR="00D02D7A" w:rsidRPr="007B74B7" w:rsidRDefault="00D02D7A" w:rsidP="00D02D7A">
      <w:pPr>
        <w:rPr>
          <w:lang w:val="it-IT"/>
        </w:rPr>
      </w:pPr>
      <w:r w:rsidRPr="007B74B7">
        <w:rPr>
          <w:lang w:val="it-IT"/>
        </w:rPr>
        <w:t>Office 365 Piano E2 (SL per Utente) (Pool di Server)</w:t>
      </w:r>
    </w:p>
    <w:p w:rsidR="00D02D7A" w:rsidRPr="007B74B7" w:rsidRDefault="00D02D7A" w:rsidP="00D02D7A">
      <w:pPr>
        <w:rPr>
          <w:lang w:val="it-IT"/>
        </w:rPr>
      </w:pPr>
      <w:r w:rsidRPr="007B74B7">
        <w:rPr>
          <w:lang w:val="it-IT"/>
        </w:rPr>
        <w:t>Office 365 Piano E3 (SL per Utente) (Pool di Server)</w:t>
      </w:r>
    </w:p>
    <w:p w:rsidR="00D02D7A" w:rsidRPr="007B74B7" w:rsidRDefault="00D02D7A" w:rsidP="00D02D7A">
      <w:pPr>
        <w:rPr>
          <w:lang w:val="it-IT"/>
        </w:rPr>
      </w:pPr>
      <w:r w:rsidRPr="007B74B7">
        <w:rPr>
          <w:lang w:val="it-IT"/>
        </w:rPr>
        <w:t>Office 365 Piano E4 (SL per Utente) (Pool di Server)</w:t>
      </w:r>
    </w:p>
    <w:p w:rsidR="00D02D7A" w:rsidRPr="007B74B7" w:rsidRDefault="00D02D7A" w:rsidP="00D02D7A">
      <w:pPr>
        <w:rPr>
          <w:lang w:val="it-IT"/>
        </w:rPr>
      </w:pPr>
      <w:r w:rsidRPr="007B74B7">
        <w:rPr>
          <w:lang w:val="it-IT"/>
        </w:rPr>
        <w:t>Office 365 Piano G1 (SL per Utente) (Pool di Server)</w:t>
      </w:r>
    </w:p>
    <w:p w:rsidR="00D02D7A" w:rsidRPr="007B74B7" w:rsidRDefault="00D02D7A" w:rsidP="00D02D7A">
      <w:pPr>
        <w:rPr>
          <w:lang w:val="it-IT"/>
        </w:rPr>
      </w:pPr>
      <w:r w:rsidRPr="007B74B7">
        <w:rPr>
          <w:lang w:val="it-IT"/>
        </w:rPr>
        <w:t>Office 365 Piano G2 (SL per Utente) (Pool di Server)</w:t>
      </w:r>
    </w:p>
    <w:p w:rsidR="00D02D7A" w:rsidRPr="007B74B7" w:rsidRDefault="00D02D7A" w:rsidP="00D02D7A">
      <w:pPr>
        <w:rPr>
          <w:lang w:val="it-IT"/>
        </w:rPr>
      </w:pPr>
      <w:r w:rsidRPr="007B74B7">
        <w:rPr>
          <w:lang w:val="it-IT"/>
        </w:rPr>
        <w:t>Office 365 Piano G3 (SL per Utente) (Pool di Server)</w:t>
      </w:r>
    </w:p>
    <w:p w:rsidR="00D02D7A" w:rsidRPr="007B74B7" w:rsidRDefault="00D02D7A" w:rsidP="00D02D7A">
      <w:pPr>
        <w:rPr>
          <w:lang w:val="it-IT"/>
        </w:rPr>
      </w:pPr>
      <w:r w:rsidRPr="007B74B7">
        <w:rPr>
          <w:lang w:val="it-IT"/>
        </w:rPr>
        <w:t>Office 365 Piano G4 (SL per Utente) (Pool di Server)</w:t>
      </w:r>
    </w:p>
    <w:p w:rsidR="00D02D7A" w:rsidRPr="007B74B7" w:rsidRDefault="00D02D7A" w:rsidP="00D02D7A">
      <w:pPr>
        <w:rPr>
          <w:lang w:val="it-IT"/>
        </w:rPr>
      </w:pPr>
      <w:r w:rsidRPr="007B74B7">
        <w:rPr>
          <w:lang w:val="it-IT"/>
        </w:rPr>
        <w:t>Office 365 Piano K1 (SL per Utente) (Pool di Server)</w:t>
      </w:r>
    </w:p>
    <w:p w:rsidR="00D02D7A" w:rsidRPr="007B74B7" w:rsidRDefault="00D02D7A" w:rsidP="00D02D7A">
      <w:pPr>
        <w:rPr>
          <w:lang w:val="it-IT"/>
        </w:rPr>
      </w:pPr>
      <w:r w:rsidRPr="007B74B7">
        <w:rPr>
          <w:lang w:val="it-IT"/>
        </w:rPr>
        <w:t>Office 365 Piano K2 (SL per Utente) (Pool di Server)</w:t>
      </w:r>
    </w:p>
    <w:p w:rsidR="00D02D7A" w:rsidRPr="00BD7CEA" w:rsidRDefault="00D02D7A" w:rsidP="00D02D7A">
      <w:r w:rsidRPr="00BD7CEA">
        <w:t>System Center 2012 Endpoint Protection</w:t>
      </w:r>
    </w:p>
    <w:p w:rsidR="00D02D7A" w:rsidRPr="00BD7CEA" w:rsidRDefault="00D02D7A" w:rsidP="00D02D7A">
      <w:r w:rsidRPr="00BD7CEA">
        <w:t>Forefront Online Protection for Exchange (SL per Dispositivo e Utente)</w:t>
      </w:r>
    </w:p>
    <w:p w:rsidR="00D02D7A" w:rsidRPr="00BD7CEA" w:rsidRDefault="00D02D7A" w:rsidP="00D02D7A">
      <w:r w:rsidRPr="00BD7CEA">
        <w:t>Microsoft Desktop Optimization Pack 2012 per Software Assurance</w:t>
      </w:r>
    </w:p>
    <w:p w:rsidR="00B65F35" w:rsidRPr="00BD7CEA" w:rsidRDefault="00B65F35" w:rsidP="007E466C"/>
    <w:p w:rsidR="00D57D2B" w:rsidRPr="00BD7CEA" w:rsidRDefault="00D57D2B" w:rsidP="007E466C"/>
    <w:p w:rsidR="004759C6" w:rsidRPr="007B74B7" w:rsidRDefault="004759C6" w:rsidP="004759C6">
      <w:pPr>
        <w:pStyle w:val="Heading2"/>
        <w:ind w:left="0"/>
        <w:jc w:val="both"/>
        <w:rPr>
          <w:lang w:val="it-IT"/>
        </w:rPr>
      </w:pPr>
      <w:bookmarkStart w:id="623" w:name="_Toc353375949"/>
      <w:r w:rsidRPr="007B74B7">
        <w:rPr>
          <w:rFonts w:ascii="Tahoma" w:hAnsi="Tahoma" w:cs="Tahoma"/>
          <w:color w:val="FF6600"/>
          <w:lang w:val="it-IT"/>
        </w:rPr>
        <w:t>MODIFICHE APPORTATE NEL MESE DI MARZO 2013</w:t>
      </w:r>
      <w:bookmarkEnd w:id="623"/>
    </w:p>
    <w:p w:rsidR="004759C6" w:rsidRPr="007B74B7" w:rsidRDefault="004759C6" w:rsidP="004759C6">
      <w:pPr>
        <w:pStyle w:val="Heading2"/>
        <w:ind w:left="0"/>
        <w:jc w:val="both"/>
        <w:rPr>
          <w:lang w:val="it-IT"/>
        </w:rPr>
      </w:pPr>
    </w:p>
    <w:p w:rsidR="0064651F" w:rsidRPr="007B74B7" w:rsidRDefault="004759C6" w:rsidP="0064651F">
      <w:pPr>
        <w:spacing w:after="60"/>
        <w:rPr>
          <w:lang w:val="it-IT"/>
        </w:rPr>
      </w:pPr>
      <w:r w:rsidRPr="007B74B7">
        <w:rPr>
          <w:b/>
          <w:lang w:val="it-IT"/>
        </w:rPr>
        <w:t>Prodotti Aggiunti</w:t>
      </w:r>
    </w:p>
    <w:p w:rsidR="006D5B20" w:rsidRPr="007B74B7" w:rsidRDefault="006D5B20" w:rsidP="006D5B20">
      <w:pPr>
        <w:rPr>
          <w:lang w:val="it-IT"/>
        </w:rPr>
      </w:pPr>
      <w:r w:rsidRPr="007B74B7">
        <w:rPr>
          <w:rFonts w:cs="Tahoma"/>
          <w:color w:val="000000"/>
          <w:szCs w:val="18"/>
          <w:lang w:val="it-IT"/>
        </w:rPr>
        <w:t>Archiviazione Exchange Online per Exchange Online</w:t>
      </w:r>
    </w:p>
    <w:p w:rsidR="006D5B20" w:rsidRPr="00BD7CEA" w:rsidRDefault="006D5B20" w:rsidP="006D5B20">
      <w:r w:rsidRPr="00BD7CEA">
        <w:rPr>
          <w:rFonts w:cs="Tahoma"/>
          <w:color w:val="000000"/>
          <w:szCs w:val="18"/>
        </w:rPr>
        <w:t xml:space="preserve">Archiviazione Exchange Online per Exchange Online A </w:t>
      </w:r>
    </w:p>
    <w:p w:rsidR="006D5B20" w:rsidRPr="00BD7CEA" w:rsidRDefault="006D5B20" w:rsidP="006D5B20">
      <w:r w:rsidRPr="00BD7CEA">
        <w:rPr>
          <w:rFonts w:cs="Tahoma"/>
          <w:color w:val="000000"/>
          <w:szCs w:val="18"/>
        </w:rPr>
        <w:t>Exchange Online Protection (SL per Utente)</w:t>
      </w:r>
    </w:p>
    <w:p w:rsidR="00140B67" w:rsidRPr="00BD7CEA" w:rsidRDefault="00140B67" w:rsidP="006D6A83">
      <w:r w:rsidRPr="00BD7CEA">
        <w:rPr>
          <w:rFonts w:cs="Tahoma"/>
          <w:color w:val="000000"/>
          <w:szCs w:val="18"/>
        </w:rPr>
        <w:t>Office 365 Midsize Business (SL per Utente)</w:t>
      </w:r>
    </w:p>
    <w:p w:rsidR="00170CFB" w:rsidRPr="007B74B7" w:rsidRDefault="006D5B20" w:rsidP="006D6A83">
      <w:pPr>
        <w:rPr>
          <w:lang w:val="it-IT"/>
        </w:rPr>
      </w:pPr>
      <w:r w:rsidRPr="007B74B7">
        <w:rPr>
          <w:rFonts w:cs="Tahoma"/>
          <w:color w:val="000000"/>
          <w:szCs w:val="18"/>
          <w:lang w:val="it-IT"/>
        </w:rPr>
        <w:t>Office 365 Piano E1 (SL per Utente) SQL Server</w:t>
      </w:r>
      <w:r w:rsidR="00700C4B" w:rsidRPr="007B74B7">
        <w:rPr>
          <w:rFonts w:cs="Tahoma"/>
          <w:color w:val="000000"/>
          <w:szCs w:val="18"/>
          <w:vertAlign w:val="superscript"/>
          <w:lang w:val="it-IT"/>
        </w:rPr>
        <w:t>®</w:t>
      </w:r>
      <w:r w:rsidRPr="007B74B7">
        <w:rPr>
          <w:rFonts w:cs="Tahoma"/>
          <w:color w:val="000000"/>
          <w:szCs w:val="18"/>
          <w:lang w:val="it-IT"/>
        </w:rPr>
        <w:t xml:space="preserve"> 2012 Parallel Data Warehouse</w:t>
      </w:r>
    </w:p>
    <w:p w:rsidR="006D5B20" w:rsidRPr="00BD7CEA" w:rsidRDefault="006D5B20" w:rsidP="006D5B20">
      <w:r w:rsidRPr="00BD7CEA">
        <w:rPr>
          <w:rFonts w:cs="Tahoma"/>
          <w:color w:val="000000"/>
          <w:szCs w:val="18"/>
        </w:rPr>
        <w:t xml:space="preserve">Project Online </w:t>
      </w:r>
    </w:p>
    <w:p w:rsidR="006D5B20" w:rsidRPr="00BD7CEA" w:rsidRDefault="006D5B20" w:rsidP="006D5B20">
      <w:r w:rsidRPr="00BD7CEA">
        <w:rPr>
          <w:rFonts w:cs="Tahoma"/>
          <w:color w:val="000000"/>
          <w:szCs w:val="18"/>
        </w:rPr>
        <w:t>Project Online A</w:t>
      </w:r>
      <w:r w:rsidR="008D782D" w:rsidRPr="00BD7CEA">
        <w:rPr>
          <w:rFonts w:cs="Tahoma"/>
          <w:color w:val="000000"/>
          <w:szCs w:val="18"/>
        </w:rPr>
        <w:t xml:space="preserve"> </w:t>
      </w:r>
    </w:p>
    <w:p w:rsidR="006D5B20" w:rsidRPr="00BD7CEA" w:rsidRDefault="006D5B20" w:rsidP="006D5B20">
      <w:r w:rsidRPr="00BD7CEA">
        <w:rPr>
          <w:rFonts w:cs="Tahoma"/>
          <w:color w:val="000000"/>
          <w:szCs w:val="18"/>
        </w:rPr>
        <w:t xml:space="preserve">Project Pro per Office 365 </w:t>
      </w:r>
    </w:p>
    <w:p w:rsidR="006D5B20" w:rsidRPr="00BD7CEA" w:rsidRDefault="006D5B20" w:rsidP="006D5B20">
      <w:r w:rsidRPr="00BD7CEA">
        <w:rPr>
          <w:rFonts w:cs="Tahoma"/>
          <w:color w:val="000000"/>
          <w:szCs w:val="18"/>
        </w:rPr>
        <w:t>Project Pro per Office 365 A</w:t>
      </w:r>
      <w:r w:rsidR="008D782D" w:rsidRPr="00BD7CEA">
        <w:rPr>
          <w:rFonts w:cs="Tahoma"/>
          <w:color w:val="000000"/>
          <w:szCs w:val="18"/>
        </w:rPr>
        <w:t xml:space="preserve"> </w:t>
      </w:r>
    </w:p>
    <w:p w:rsidR="00170CFB" w:rsidRPr="00BD7CEA" w:rsidRDefault="00170CFB" w:rsidP="006D6A83">
      <w:r w:rsidRPr="00BD7CEA">
        <w:rPr>
          <w:rFonts w:cs="Tahoma"/>
          <w:color w:val="000000"/>
          <w:szCs w:val="18"/>
        </w:rPr>
        <w:t>SQL Server</w:t>
      </w:r>
      <w:r w:rsidR="00700C4B" w:rsidRPr="00BD7CEA">
        <w:rPr>
          <w:rFonts w:cs="Tahoma"/>
          <w:color w:val="000000"/>
          <w:szCs w:val="18"/>
          <w:vertAlign w:val="superscript"/>
        </w:rPr>
        <w:t>®</w:t>
      </w:r>
      <w:r w:rsidRPr="00BD7CEA">
        <w:rPr>
          <w:rFonts w:cs="Tahoma"/>
          <w:color w:val="000000"/>
          <w:szCs w:val="18"/>
        </w:rPr>
        <w:t xml:space="preserve"> 2012 Parallel Data Warehouse Developer</w:t>
      </w:r>
    </w:p>
    <w:p w:rsidR="00170CFB" w:rsidRPr="007B74B7" w:rsidRDefault="00170CFB" w:rsidP="006D6A83">
      <w:pPr>
        <w:rPr>
          <w:lang w:val="it-IT"/>
        </w:rPr>
      </w:pPr>
      <w:r w:rsidRPr="007B74B7">
        <w:rPr>
          <w:rFonts w:cs="Tahoma"/>
          <w:color w:val="000000"/>
          <w:szCs w:val="18"/>
          <w:lang w:val="it-IT"/>
        </w:rPr>
        <w:t>Visio Pro per Office 365 A</w:t>
      </w:r>
      <w:r w:rsidR="008D782D" w:rsidRPr="007B74B7">
        <w:rPr>
          <w:rFonts w:cs="Tahoma"/>
          <w:color w:val="000000"/>
          <w:szCs w:val="18"/>
          <w:lang w:val="it-IT"/>
        </w:rPr>
        <w:t xml:space="preserve"> </w:t>
      </w:r>
    </w:p>
    <w:p w:rsidR="00170CFB" w:rsidRPr="007B74B7" w:rsidRDefault="00170CFB" w:rsidP="006D6A83">
      <w:pPr>
        <w:rPr>
          <w:lang w:val="it-IT"/>
        </w:rPr>
      </w:pPr>
      <w:r w:rsidRPr="007B74B7">
        <w:rPr>
          <w:rFonts w:cs="Tahoma"/>
          <w:color w:val="000000"/>
          <w:szCs w:val="18"/>
          <w:lang w:val="it-IT"/>
        </w:rPr>
        <w:t xml:space="preserve">Visio Pro per Office 365 </w:t>
      </w:r>
    </w:p>
    <w:p w:rsidR="00170CFB" w:rsidRPr="007B74B7" w:rsidRDefault="00170CFB" w:rsidP="006D6A83">
      <w:pPr>
        <w:rPr>
          <w:lang w:val="fr-FR"/>
        </w:rPr>
      </w:pPr>
      <w:r w:rsidRPr="007B74B7">
        <w:rPr>
          <w:rFonts w:cs="Tahoma"/>
          <w:color w:val="000000"/>
          <w:szCs w:val="18"/>
          <w:lang w:val="fr-FR"/>
        </w:rPr>
        <w:t xml:space="preserve">Yammer Enterprise </w:t>
      </w:r>
    </w:p>
    <w:p w:rsidR="004759C6" w:rsidRPr="007B74B7" w:rsidRDefault="004759C6" w:rsidP="004759C6">
      <w:pPr>
        <w:keepNext/>
        <w:tabs>
          <w:tab w:val="num" w:pos="720"/>
        </w:tabs>
        <w:outlineLvl w:val="3"/>
        <w:rPr>
          <w:lang w:val="fr-FR"/>
        </w:rPr>
      </w:pPr>
    </w:p>
    <w:p w:rsidR="004759C6" w:rsidRPr="007B74B7" w:rsidRDefault="004759C6" w:rsidP="004759C6">
      <w:pPr>
        <w:spacing w:after="60"/>
        <w:rPr>
          <w:lang w:val="fr-FR"/>
        </w:rPr>
      </w:pPr>
      <w:r w:rsidRPr="007B74B7">
        <w:rPr>
          <w:b/>
          <w:lang w:val="fr-FR"/>
        </w:rPr>
        <w:t>Modifiche</w:t>
      </w:r>
    </w:p>
    <w:p w:rsidR="00497ADA" w:rsidRPr="007B74B7" w:rsidRDefault="00497ADA" w:rsidP="006D5B20">
      <w:pPr>
        <w:rPr>
          <w:lang w:val="fr-FR"/>
        </w:rPr>
      </w:pPr>
      <w:r w:rsidRPr="007B74B7">
        <w:rPr>
          <w:rFonts w:cs="Tahoma"/>
          <w:color w:val="000000"/>
          <w:szCs w:val="18"/>
          <w:lang w:val="fr-FR"/>
        </w:rPr>
        <w:t>Dynamics CRM Online</w:t>
      </w:r>
    </w:p>
    <w:p w:rsidR="006D5B20" w:rsidRPr="007B74B7" w:rsidRDefault="006D5B20" w:rsidP="006D5B20">
      <w:pPr>
        <w:rPr>
          <w:lang w:val="it-IT"/>
        </w:rPr>
      </w:pPr>
      <w:r w:rsidRPr="007B74B7">
        <w:rPr>
          <w:rFonts w:cs="Tahoma"/>
          <w:color w:val="000000"/>
          <w:szCs w:val="18"/>
          <w:lang w:val="it-IT"/>
        </w:rPr>
        <w:t>Archiviazione Exchange Online per Exchange Server</w:t>
      </w:r>
    </w:p>
    <w:p w:rsidR="006D5B20" w:rsidRPr="007B74B7" w:rsidRDefault="006D5B20" w:rsidP="006D5B20">
      <w:pPr>
        <w:rPr>
          <w:lang w:val="it-IT"/>
        </w:rPr>
      </w:pPr>
      <w:r w:rsidRPr="007B74B7">
        <w:rPr>
          <w:rFonts w:cs="Tahoma"/>
          <w:color w:val="000000"/>
          <w:szCs w:val="18"/>
          <w:lang w:val="it-IT"/>
        </w:rPr>
        <w:t>Exchange Online Piano 1 (SL per Utente)</w:t>
      </w:r>
    </w:p>
    <w:p w:rsidR="006D5B20" w:rsidRPr="007B74B7" w:rsidRDefault="006D5B20" w:rsidP="006D5B20">
      <w:pPr>
        <w:rPr>
          <w:lang w:val="it-IT"/>
        </w:rPr>
      </w:pPr>
      <w:r w:rsidRPr="007B74B7">
        <w:rPr>
          <w:rFonts w:cs="Tahoma"/>
          <w:color w:val="000000"/>
          <w:szCs w:val="18"/>
          <w:lang w:val="it-IT"/>
        </w:rPr>
        <w:t>Exchange Online Piano 2 (SL per Utente)</w:t>
      </w:r>
    </w:p>
    <w:p w:rsidR="006D5B20" w:rsidRPr="007B74B7" w:rsidRDefault="006D5B20" w:rsidP="006D5B20">
      <w:pPr>
        <w:rPr>
          <w:lang w:val="it-IT"/>
        </w:rPr>
      </w:pPr>
      <w:r w:rsidRPr="007B74B7">
        <w:rPr>
          <w:rFonts w:cs="Tahoma"/>
          <w:color w:val="000000"/>
          <w:szCs w:val="18"/>
          <w:lang w:val="it-IT"/>
        </w:rPr>
        <w:t>Exchange Online Piano 1A per Ex Allievi (SL per Utente)</w:t>
      </w:r>
    </w:p>
    <w:p w:rsidR="006D5B20" w:rsidRPr="007B74B7" w:rsidRDefault="006D5B20" w:rsidP="006D5B20">
      <w:pPr>
        <w:rPr>
          <w:lang w:val="it-IT"/>
        </w:rPr>
      </w:pPr>
      <w:r w:rsidRPr="007B74B7">
        <w:rPr>
          <w:rFonts w:cs="Tahoma"/>
          <w:color w:val="000000"/>
          <w:szCs w:val="18"/>
          <w:lang w:val="it-IT"/>
        </w:rPr>
        <w:t>Exchange Online Piano 2A (SL per Utente)</w:t>
      </w:r>
    </w:p>
    <w:p w:rsidR="006D5B20" w:rsidRPr="007B74B7" w:rsidRDefault="006D5B20" w:rsidP="006D5B20">
      <w:pPr>
        <w:rPr>
          <w:lang w:val="it-IT"/>
        </w:rPr>
      </w:pPr>
      <w:r w:rsidRPr="007B74B7">
        <w:rPr>
          <w:rFonts w:cs="Tahoma"/>
          <w:color w:val="000000"/>
          <w:szCs w:val="18"/>
          <w:lang w:val="it-IT"/>
        </w:rPr>
        <w:t>Lync Online Piano 3A (SL per Utente)</w:t>
      </w:r>
    </w:p>
    <w:p w:rsidR="00497ADA" w:rsidRPr="007B74B7" w:rsidRDefault="00497ADA" w:rsidP="006D5B20">
      <w:pPr>
        <w:rPr>
          <w:lang w:val="it-IT"/>
        </w:rPr>
      </w:pPr>
      <w:r w:rsidRPr="007B74B7">
        <w:rPr>
          <w:rFonts w:cs="Tahoma"/>
          <w:color w:val="000000"/>
          <w:szCs w:val="18"/>
          <w:lang w:val="it-IT"/>
        </w:rPr>
        <w:t>Microsoft Dynamics CRM 2011 Server</w:t>
      </w:r>
    </w:p>
    <w:p w:rsidR="006D5B20" w:rsidRPr="007B74B7" w:rsidRDefault="006D5B20" w:rsidP="006D5B20">
      <w:pPr>
        <w:rPr>
          <w:lang w:val="it-IT"/>
        </w:rPr>
      </w:pPr>
      <w:r w:rsidRPr="007B74B7">
        <w:rPr>
          <w:rFonts w:cs="Tahoma"/>
          <w:color w:val="000000"/>
          <w:szCs w:val="18"/>
          <w:lang w:val="it-IT"/>
        </w:rPr>
        <w:t>Offerte di Supporto per Microsoft Windows Azure</w:t>
      </w:r>
    </w:p>
    <w:p w:rsidR="006D5B20" w:rsidRPr="007B74B7" w:rsidRDefault="006D5B20" w:rsidP="006D5B20">
      <w:pPr>
        <w:rPr>
          <w:lang w:val="it-IT"/>
        </w:rPr>
      </w:pPr>
      <w:r w:rsidRPr="007B74B7">
        <w:rPr>
          <w:rFonts w:cs="Tahoma"/>
          <w:color w:val="000000"/>
          <w:szCs w:val="18"/>
          <w:lang w:val="it-IT"/>
        </w:rPr>
        <w:t>Office 365 A2 (SL per Utente)</w:t>
      </w:r>
    </w:p>
    <w:p w:rsidR="006D5B20" w:rsidRPr="007B74B7" w:rsidRDefault="006D5B20" w:rsidP="006D5B20">
      <w:pPr>
        <w:rPr>
          <w:lang w:val="it-IT"/>
        </w:rPr>
      </w:pPr>
      <w:r w:rsidRPr="007B74B7">
        <w:rPr>
          <w:rFonts w:cs="Tahoma"/>
          <w:color w:val="000000"/>
          <w:szCs w:val="18"/>
          <w:lang w:val="it-IT"/>
        </w:rPr>
        <w:t>Office 365 A3 (SL per Utente)</w:t>
      </w:r>
    </w:p>
    <w:p w:rsidR="006D5B20" w:rsidRPr="007B74B7" w:rsidRDefault="006D5B20" w:rsidP="006D5B20">
      <w:pPr>
        <w:rPr>
          <w:lang w:val="it-IT"/>
        </w:rPr>
      </w:pPr>
      <w:r w:rsidRPr="007B74B7">
        <w:rPr>
          <w:rFonts w:cs="Tahoma"/>
          <w:color w:val="000000"/>
          <w:szCs w:val="18"/>
          <w:lang w:val="it-IT"/>
        </w:rPr>
        <w:t>Office 365 A4 (SL per Utente)</w:t>
      </w:r>
    </w:p>
    <w:p w:rsidR="006D5B20" w:rsidRPr="007B74B7" w:rsidRDefault="006D5B20" w:rsidP="006D5B20">
      <w:pPr>
        <w:rPr>
          <w:lang w:val="it-IT"/>
        </w:rPr>
      </w:pPr>
      <w:r w:rsidRPr="007B74B7">
        <w:rPr>
          <w:rFonts w:cs="Tahoma"/>
          <w:color w:val="000000"/>
          <w:szCs w:val="18"/>
          <w:lang w:val="it-IT"/>
        </w:rPr>
        <w:t>Sottoscrizione Office Professional Plus A (SL per Utente)</w:t>
      </w:r>
    </w:p>
    <w:p w:rsidR="006D5B20" w:rsidRPr="00BD7CEA" w:rsidRDefault="006D5B20" w:rsidP="006D5B20">
      <w:r w:rsidRPr="00BD7CEA">
        <w:rPr>
          <w:rFonts w:cs="Tahoma"/>
          <w:color w:val="000000"/>
          <w:szCs w:val="18"/>
        </w:rPr>
        <w:t>Office Web Applications con SharePoint Piano 2A (SL per utente)</w:t>
      </w:r>
    </w:p>
    <w:p w:rsidR="006D5B20" w:rsidRPr="00BD7CEA" w:rsidRDefault="006D5B20" w:rsidP="006D6A83">
      <w:r w:rsidRPr="00BD7CEA">
        <w:rPr>
          <w:rFonts w:cs="Tahoma"/>
          <w:color w:val="000000"/>
          <w:szCs w:val="18"/>
        </w:rPr>
        <w:t>SharePoint™ Online Extra Storage 1 GB A (SL Add-on)</w:t>
      </w:r>
    </w:p>
    <w:p w:rsidR="00170CFB" w:rsidRPr="007B74B7" w:rsidRDefault="00170CFB" w:rsidP="006D6A83">
      <w:pPr>
        <w:rPr>
          <w:lang w:val="it-IT"/>
        </w:rPr>
      </w:pPr>
      <w:r w:rsidRPr="007B74B7">
        <w:rPr>
          <w:rFonts w:cs="Tahoma"/>
          <w:color w:val="000000"/>
          <w:szCs w:val="18"/>
          <w:lang w:val="it-IT"/>
        </w:rPr>
        <w:t>Licenza di Gestione Server Enterprise per System Center Configuration Manager 2007 R3</w:t>
      </w:r>
    </w:p>
    <w:p w:rsidR="00170CFB" w:rsidRPr="007B74B7" w:rsidRDefault="00170CFB" w:rsidP="006D6A83">
      <w:pPr>
        <w:rPr>
          <w:lang w:val="it-IT"/>
        </w:rPr>
      </w:pPr>
      <w:r w:rsidRPr="007B74B7">
        <w:rPr>
          <w:rFonts w:cs="Tahoma"/>
          <w:color w:val="000000"/>
          <w:szCs w:val="18"/>
          <w:lang w:val="it-IT"/>
        </w:rPr>
        <w:t>Licenza di Gestione Server Standard (Standard Server ML) per System Center Configuration Manager 2007 R3</w:t>
      </w:r>
    </w:p>
    <w:p w:rsidR="00170CFB" w:rsidRPr="007B74B7" w:rsidRDefault="00170CFB" w:rsidP="006D6A83">
      <w:pPr>
        <w:rPr>
          <w:lang w:val="it-IT"/>
        </w:rPr>
      </w:pPr>
      <w:r w:rsidRPr="007B74B7">
        <w:rPr>
          <w:rFonts w:cs="Tahoma"/>
          <w:color w:val="000000"/>
          <w:szCs w:val="18"/>
          <w:lang w:val="it-IT"/>
        </w:rPr>
        <w:lastRenderedPageBreak/>
        <w:t>Licenza di Gestione Server Enterprise per System Center Data Protection Manager 2010</w:t>
      </w:r>
    </w:p>
    <w:p w:rsidR="00170CFB" w:rsidRPr="007B74B7" w:rsidRDefault="00170CFB" w:rsidP="006D6A83">
      <w:pPr>
        <w:rPr>
          <w:lang w:val="it-IT"/>
        </w:rPr>
      </w:pPr>
      <w:r w:rsidRPr="007B74B7">
        <w:rPr>
          <w:rFonts w:cs="Tahoma"/>
          <w:color w:val="000000"/>
          <w:szCs w:val="18"/>
          <w:lang w:val="it-IT"/>
        </w:rPr>
        <w:t>Licenza di Gestione Server Standard per System Center Data Protection Manager 2010</w:t>
      </w:r>
    </w:p>
    <w:p w:rsidR="00170CFB" w:rsidRPr="007B74B7" w:rsidRDefault="00170CFB" w:rsidP="006D6A83">
      <w:pPr>
        <w:rPr>
          <w:lang w:val="it-IT"/>
        </w:rPr>
      </w:pPr>
      <w:r w:rsidRPr="007B74B7">
        <w:rPr>
          <w:rFonts w:cs="Tahoma"/>
          <w:color w:val="000000"/>
          <w:szCs w:val="18"/>
          <w:lang w:val="it-IT"/>
        </w:rPr>
        <w:t>Licenza di Gestione Client per Utente per System Center Operations Manager 2007 R2</w:t>
      </w:r>
    </w:p>
    <w:p w:rsidR="00170CFB" w:rsidRPr="007B74B7" w:rsidRDefault="00170CFB" w:rsidP="006D6A83">
      <w:pPr>
        <w:rPr>
          <w:lang w:val="it-IT"/>
        </w:rPr>
      </w:pPr>
      <w:r w:rsidRPr="007B74B7">
        <w:rPr>
          <w:rFonts w:cs="Tahoma"/>
          <w:color w:val="000000"/>
          <w:szCs w:val="18"/>
          <w:lang w:val="it-IT"/>
        </w:rPr>
        <w:t>Licenza di Gestione Client per OSE per System Center Operations Manager 2007 R2</w:t>
      </w:r>
    </w:p>
    <w:p w:rsidR="00170CFB" w:rsidRPr="007B74B7" w:rsidRDefault="00170CFB" w:rsidP="006D6A83">
      <w:pPr>
        <w:rPr>
          <w:lang w:val="it-IT"/>
        </w:rPr>
      </w:pPr>
      <w:r w:rsidRPr="007B74B7">
        <w:rPr>
          <w:rFonts w:cs="Tahoma"/>
          <w:color w:val="000000"/>
          <w:szCs w:val="18"/>
          <w:lang w:val="it-IT"/>
        </w:rPr>
        <w:t>Licenza di Gestione Server Enterprise per System Center Operations Manager 2007 R2</w:t>
      </w:r>
    </w:p>
    <w:p w:rsidR="00170CFB" w:rsidRPr="007B74B7" w:rsidRDefault="00170CFB" w:rsidP="006D6A83">
      <w:pPr>
        <w:rPr>
          <w:lang w:val="it-IT"/>
        </w:rPr>
      </w:pPr>
      <w:r w:rsidRPr="007B74B7">
        <w:rPr>
          <w:rFonts w:cs="Tahoma"/>
          <w:color w:val="000000"/>
          <w:szCs w:val="18"/>
          <w:lang w:val="it-IT"/>
        </w:rPr>
        <w:t>Licenza di Gestione Server Standard per System Center Operations Manager 2007 R2</w:t>
      </w:r>
    </w:p>
    <w:p w:rsidR="00170CFB" w:rsidRPr="007B74B7" w:rsidRDefault="00170CFB" w:rsidP="006D6A83">
      <w:pPr>
        <w:rPr>
          <w:lang w:val="it-IT"/>
        </w:rPr>
      </w:pPr>
      <w:r w:rsidRPr="007B74B7">
        <w:rPr>
          <w:rFonts w:cs="Tahoma"/>
          <w:color w:val="000000"/>
          <w:szCs w:val="18"/>
          <w:lang w:val="it-IT"/>
        </w:rPr>
        <w:t>Licenza di Gestione Client (Client ML) per Utente per System Center Service Manager 2010</w:t>
      </w:r>
    </w:p>
    <w:p w:rsidR="00170CFB" w:rsidRPr="007B74B7" w:rsidRDefault="00170CFB" w:rsidP="006D6A83">
      <w:pPr>
        <w:rPr>
          <w:lang w:val="it-IT"/>
        </w:rPr>
      </w:pPr>
      <w:r w:rsidRPr="007B74B7">
        <w:rPr>
          <w:rFonts w:cs="Tahoma"/>
          <w:color w:val="000000"/>
          <w:szCs w:val="18"/>
          <w:lang w:val="it-IT"/>
        </w:rPr>
        <w:t>Licenza di Gestione Client (Client ML) per OSE per System Center Service Manager 2010</w:t>
      </w:r>
    </w:p>
    <w:p w:rsidR="00170CFB" w:rsidRPr="007B74B7" w:rsidRDefault="00170CFB" w:rsidP="006D6A83">
      <w:pPr>
        <w:rPr>
          <w:lang w:val="it-IT"/>
        </w:rPr>
      </w:pPr>
      <w:r w:rsidRPr="007B74B7">
        <w:rPr>
          <w:rFonts w:cs="Tahoma"/>
          <w:color w:val="000000"/>
          <w:szCs w:val="18"/>
          <w:lang w:val="it-IT"/>
        </w:rPr>
        <w:t>Licenza di Gestione Server (Server ML) per OSE per System Center Service Manager 2010</w:t>
      </w:r>
    </w:p>
    <w:p w:rsidR="00170CFB" w:rsidRPr="007B74B7" w:rsidRDefault="00170CFB" w:rsidP="006D6A83">
      <w:pPr>
        <w:rPr>
          <w:lang w:val="it-IT"/>
        </w:rPr>
      </w:pPr>
      <w:r w:rsidRPr="007B74B7">
        <w:rPr>
          <w:rFonts w:cs="Tahoma"/>
          <w:color w:val="000000"/>
          <w:szCs w:val="18"/>
          <w:lang w:val="it-IT"/>
        </w:rPr>
        <w:t>Licenza di Gestione Client per Utente per System Center Virtual Machine Manager 2008 R2</w:t>
      </w:r>
    </w:p>
    <w:p w:rsidR="00170CFB" w:rsidRPr="007B74B7" w:rsidRDefault="00170CFB" w:rsidP="006D6A83">
      <w:pPr>
        <w:rPr>
          <w:lang w:val="it-IT"/>
        </w:rPr>
      </w:pPr>
      <w:r w:rsidRPr="007B74B7">
        <w:rPr>
          <w:rFonts w:cs="Tahoma"/>
          <w:color w:val="000000"/>
          <w:szCs w:val="18"/>
          <w:lang w:val="it-IT"/>
        </w:rPr>
        <w:t>Licenza di Gestione Client per OSE per System Center Virtual Machine Manager 2008 R2</w:t>
      </w:r>
    </w:p>
    <w:p w:rsidR="00170CFB" w:rsidRPr="007B74B7" w:rsidRDefault="00170CFB" w:rsidP="006D6A83">
      <w:pPr>
        <w:rPr>
          <w:lang w:val="it-IT"/>
        </w:rPr>
      </w:pPr>
      <w:r w:rsidRPr="007B74B7">
        <w:rPr>
          <w:rFonts w:cs="Tahoma"/>
          <w:color w:val="000000"/>
          <w:szCs w:val="18"/>
          <w:lang w:val="it-IT"/>
        </w:rPr>
        <w:t>Licenza di Gestione Server per System Center Virtual Machine Manager 2008 R2 Enterprise</w:t>
      </w:r>
    </w:p>
    <w:p w:rsidR="0064651F" w:rsidRPr="007B74B7" w:rsidRDefault="00497ADA">
      <w:pPr>
        <w:rPr>
          <w:lang w:val="it-IT"/>
        </w:rPr>
      </w:pPr>
      <w:r w:rsidRPr="007B74B7">
        <w:rPr>
          <w:rFonts w:cs="Tahoma"/>
          <w:color w:val="000000"/>
          <w:szCs w:val="18"/>
          <w:lang w:val="it-IT"/>
        </w:rPr>
        <w:t>Windows Intune USL</w:t>
      </w:r>
    </w:p>
    <w:p w:rsidR="0064651F" w:rsidRPr="007B74B7" w:rsidRDefault="0064651F">
      <w:pPr>
        <w:rPr>
          <w:lang w:val="it-IT"/>
        </w:rPr>
      </w:pPr>
    </w:p>
    <w:p w:rsidR="004759C6" w:rsidRPr="007B74B7" w:rsidRDefault="004759C6" w:rsidP="0064651F">
      <w:pPr>
        <w:keepNext/>
        <w:tabs>
          <w:tab w:val="num" w:pos="720"/>
        </w:tabs>
        <w:spacing w:after="60"/>
        <w:outlineLvl w:val="3"/>
        <w:rPr>
          <w:lang w:val="it-IT"/>
        </w:rPr>
      </w:pPr>
      <w:r w:rsidRPr="007B74B7">
        <w:rPr>
          <w:b/>
          <w:lang w:val="it-IT"/>
        </w:rPr>
        <w:t>Prodotti Eliminati</w:t>
      </w:r>
    </w:p>
    <w:p w:rsidR="006D5B20" w:rsidRPr="007B74B7" w:rsidRDefault="006D5B20" w:rsidP="006D5B20">
      <w:pPr>
        <w:rPr>
          <w:lang w:val="it-IT"/>
        </w:rPr>
      </w:pPr>
      <w:r w:rsidRPr="007B74B7">
        <w:rPr>
          <w:rFonts w:cs="Tahoma"/>
          <w:color w:val="000000"/>
          <w:szCs w:val="18"/>
          <w:lang w:val="it-IT"/>
        </w:rPr>
        <w:t>Expression Studio Professional 4</w:t>
      </w:r>
    </w:p>
    <w:p w:rsidR="006D5B20" w:rsidRPr="007B74B7" w:rsidRDefault="006D5B20" w:rsidP="006D5B20">
      <w:pPr>
        <w:rPr>
          <w:lang w:val="it-IT"/>
        </w:rPr>
      </w:pPr>
      <w:r w:rsidRPr="007B74B7">
        <w:rPr>
          <w:rFonts w:cs="Tahoma"/>
          <w:color w:val="000000"/>
          <w:szCs w:val="18"/>
          <w:lang w:val="it-IT"/>
        </w:rPr>
        <w:t>Expression Studio Ultimate 4</w:t>
      </w:r>
    </w:p>
    <w:p w:rsidR="006D5B20" w:rsidRPr="007B74B7" w:rsidRDefault="006D5B20" w:rsidP="006D5B20">
      <w:pPr>
        <w:rPr>
          <w:lang w:val="it-IT"/>
        </w:rPr>
      </w:pPr>
      <w:r w:rsidRPr="007B74B7">
        <w:rPr>
          <w:rFonts w:cs="Tahoma"/>
          <w:color w:val="000000"/>
          <w:szCs w:val="18"/>
          <w:lang w:val="it-IT"/>
        </w:rPr>
        <w:t>Office Web Applications A (SL per Utente)</w:t>
      </w:r>
    </w:p>
    <w:p w:rsidR="006D5B20" w:rsidRPr="007B74B7" w:rsidRDefault="006D5B20" w:rsidP="006D5B20">
      <w:pPr>
        <w:rPr>
          <w:lang w:val="it-IT"/>
        </w:rPr>
      </w:pPr>
      <w:r w:rsidRPr="007B74B7">
        <w:rPr>
          <w:rFonts w:cs="Tahoma"/>
          <w:color w:val="000000"/>
          <w:szCs w:val="18"/>
          <w:lang w:val="it-IT"/>
        </w:rPr>
        <w:t>SQL Server</w:t>
      </w:r>
      <w:r w:rsidR="00700C4B" w:rsidRPr="007B74B7">
        <w:rPr>
          <w:rFonts w:cs="Tahoma"/>
          <w:color w:val="000000"/>
          <w:szCs w:val="18"/>
          <w:vertAlign w:val="superscript"/>
          <w:lang w:val="it-IT"/>
        </w:rPr>
        <w:t>®</w:t>
      </w:r>
      <w:r w:rsidRPr="007B74B7">
        <w:rPr>
          <w:rFonts w:cs="Tahoma"/>
          <w:color w:val="000000"/>
          <w:szCs w:val="18"/>
          <w:lang w:val="it-IT"/>
        </w:rPr>
        <w:t xml:space="preserve"> 2008 R2 Parallel Data Warehouse</w:t>
      </w:r>
    </w:p>
    <w:p w:rsidR="006D5B20" w:rsidRPr="007B74B7" w:rsidRDefault="006D5B20" w:rsidP="006D5B20">
      <w:pPr>
        <w:rPr>
          <w:lang w:val="it-IT"/>
        </w:rPr>
      </w:pPr>
      <w:r w:rsidRPr="007B74B7">
        <w:rPr>
          <w:rFonts w:cs="Tahoma"/>
          <w:color w:val="000000"/>
          <w:szCs w:val="18"/>
          <w:lang w:val="it-IT"/>
        </w:rPr>
        <w:t>SQL Server</w:t>
      </w:r>
      <w:r w:rsidR="00700C4B" w:rsidRPr="007B74B7">
        <w:rPr>
          <w:rFonts w:cs="Tahoma"/>
          <w:color w:val="000000"/>
          <w:szCs w:val="18"/>
          <w:vertAlign w:val="superscript"/>
          <w:lang w:val="it-IT"/>
        </w:rPr>
        <w:t>®</w:t>
      </w:r>
      <w:r w:rsidRPr="007B74B7">
        <w:rPr>
          <w:rFonts w:cs="Tahoma"/>
          <w:color w:val="000000"/>
          <w:szCs w:val="18"/>
          <w:lang w:val="it-IT"/>
        </w:rPr>
        <w:t xml:space="preserve"> 2008 R2 Parallel Data Warehouse Developer</w:t>
      </w:r>
    </w:p>
    <w:p w:rsidR="00170CFB" w:rsidRPr="007B74B7" w:rsidRDefault="00170CFB" w:rsidP="006D6A83">
      <w:pPr>
        <w:rPr>
          <w:lang w:val="it-IT"/>
        </w:rPr>
      </w:pPr>
      <w:r w:rsidRPr="007B74B7">
        <w:rPr>
          <w:rFonts w:cs="Tahoma"/>
          <w:color w:val="000000"/>
          <w:szCs w:val="18"/>
          <w:lang w:val="it-IT"/>
        </w:rPr>
        <w:t>System Center Configuration Manager 2007 R3</w:t>
      </w:r>
    </w:p>
    <w:p w:rsidR="00170CFB" w:rsidRPr="007B74B7" w:rsidRDefault="00170CFB" w:rsidP="006D6A83">
      <w:pPr>
        <w:rPr>
          <w:lang w:val="it-IT"/>
        </w:rPr>
      </w:pPr>
      <w:r w:rsidRPr="007B74B7">
        <w:rPr>
          <w:rFonts w:cs="Tahoma"/>
          <w:color w:val="000000"/>
          <w:szCs w:val="18"/>
          <w:lang w:val="it-IT"/>
        </w:rPr>
        <w:t>System Center Configuration Manager 2007 R3 con Tecnologia SQL Server 2008</w:t>
      </w:r>
    </w:p>
    <w:p w:rsidR="00170CFB" w:rsidRPr="007B74B7" w:rsidRDefault="00170CFB" w:rsidP="006D6A83">
      <w:pPr>
        <w:rPr>
          <w:lang w:val="it-IT"/>
        </w:rPr>
      </w:pPr>
      <w:r w:rsidRPr="007B74B7">
        <w:rPr>
          <w:rFonts w:cs="Tahoma"/>
          <w:color w:val="000000"/>
          <w:szCs w:val="18"/>
          <w:lang w:val="it-IT"/>
        </w:rPr>
        <w:t>Licenza di Gestione Client per Utente per System Center Data Protection Manager 2010</w:t>
      </w:r>
    </w:p>
    <w:p w:rsidR="00170CFB" w:rsidRPr="007B74B7" w:rsidRDefault="00170CFB" w:rsidP="006D6A83">
      <w:pPr>
        <w:rPr>
          <w:lang w:val="it-IT"/>
        </w:rPr>
      </w:pPr>
      <w:r w:rsidRPr="007B74B7">
        <w:rPr>
          <w:rFonts w:cs="Tahoma"/>
          <w:color w:val="000000"/>
          <w:szCs w:val="18"/>
          <w:lang w:val="it-IT"/>
        </w:rPr>
        <w:t>Licenza di Gestione Client per OSE per System Center Data Protection Manager 2010</w:t>
      </w:r>
    </w:p>
    <w:p w:rsidR="00170CFB" w:rsidRPr="007B74B7" w:rsidRDefault="00170CFB" w:rsidP="006D6A83">
      <w:pPr>
        <w:rPr>
          <w:lang w:val="it-IT"/>
        </w:rPr>
      </w:pPr>
      <w:r w:rsidRPr="007B74B7">
        <w:rPr>
          <w:rFonts w:cs="Tahoma"/>
          <w:color w:val="000000"/>
          <w:szCs w:val="18"/>
          <w:lang w:val="it-IT"/>
        </w:rPr>
        <w:t>System Center Operations Manager 2007 R2</w:t>
      </w:r>
    </w:p>
    <w:p w:rsidR="00170CFB" w:rsidRPr="007B74B7" w:rsidRDefault="00170CFB" w:rsidP="006D6A83">
      <w:pPr>
        <w:rPr>
          <w:lang w:val="it-IT"/>
        </w:rPr>
      </w:pPr>
      <w:r w:rsidRPr="007B74B7">
        <w:rPr>
          <w:rFonts w:cs="Tahoma"/>
          <w:color w:val="000000"/>
          <w:szCs w:val="18"/>
          <w:lang w:val="it-IT"/>
        </w:rPr>
        <w:t>System Center Operations Manager 2007 R2 con Tecnologia SQL Server 2008</w:t>
      </w:r>
    </w:p>
    <w:p w:rsidR="00170CFB" w:rsidRPr="007B74B7" w:rsidRDefault="00170CFB" w:rsidP="006D6A83">
      <w:pPr>
        <w:rPr>
          <w:lang w:val="it-IT"/>
        </w:rPr>
      </w:pPr>
      <w:r w:rsidRPr="007B74B7">
        <w:rPr>
          <w:rFonts w:cs="Tahoma"/>
          <w:color w:val="000000"/>
          <w:szCs w:val="18"/>
          <w:lang w:val="it-IT"/>
        </w:rPr>
        <w:t>System Center Service Manager 2010</w:t>
      </w:r>
    </w:p>
    <w:p w:rsidR="00170CFB" w:rsidRPr="007B74B7" w:rsidRDefault="00170CFB" w:rsidP="006D6A83">
      <w:pPr>
        <w:rPr>
          <w:lang w:val="it-IT"/>
        </w:rPr>
      </w:pPr>
      <w:r w:rsidRPr="007B74B7">
        <w:rPr>
          <w:rFonts w:cs="Tahoma"/>
          <w:color w:val="000000"/>
          <w:szCs w:val="18"/>
          <w:lang w:val="it-IT"/>
        </w:rPr>
        <w:t>System Center Service Manager 2010 con Tecnologia SQL Server 2008</w:t>
      </w:r>
    </w:p>
    <w:p w:rsidR="00170CFB" w:rsidRPr="00BD7CEA" w:rsidRDefault="00170CFB" w:rsidP="006D6A83">
      <w:r w:rsidRPr="00BD7CEA">
        <w:rPr>
          <w:rFonts w:cs="Tahoma"/>
          <w:color w:val="000000"/>
          <w:szCs w:val="18"/>
        </w:rPr>
        <w:t>System Center Essentials 2010</w:t>
      </w:r>
    </w:p>
    <w:p w:rsidR="00170CFB" w:rsidRPr="00BD7CEA" w:rsidRDefault="00170CFB" w:rsidP="006D6A83">
      <w:r w:rsidRPr="00BD7CEA">
        <w:rPr>
          <w:rFonts w:cs="Tahoma"/>
          <w:color w:val="000000"/>
          <w:szCs w:val="18"/>
        </w:rPr>
        <w:t>Client ML per System Center Essentials 2010</w:t>
      </w:r>
    </w:p>
    <w:p w:rsidR="00170CFB" w:rsidRPr="00BD7CEA" w:rsidRDefault="00170CFB" w:rsidP="006D6A83">
      <w:r w:rsidRPr="00BD7CEA">
        <w:rPr>
          <w:rFonts w:cs="Tahoma"/>
          <w:color w:val="000000"/>
          <w:szCs w:val="18"/>
        </w:rPr>
        <w:t>Server ML per System Center Essentials 2010</w:t>
      </w:r>
    </w:p>
    <w:p w:rsidR="00170CFB" w:rsidRPr="00BD7CEA" w:rsidRDefault="00170CFB" w:rsidP="006D6A83">
      <w:r w:rsidRPr="00BD7CEA">
        <w:rPr>
          <w:rFonts w:cs="Tahoma"/>
          <w:color w:val="000000"/>
          <w:szCs w:val="18"/>
        </w:rPr>
        <w:t xml:space="preserve">System Center Essentials 2010 con Tecnologia SQL Server 2008 </w:t>
      </w:r>
    </w:p>
    <w:p w:rsidR="00170CFB" w:rsidRPr="00BD7CEA" w:rsidRDefault="00170CFB" w:rsidP="006D6A83">
      <w:r w:rsidRPr="00BD7CEA">
        <w:rPr>
          <w:rFonts w:cs="Tahoma"/>
          <w:color w:val="000000"/>
          <w:szCs w:val="18"/>
        </w:rPr>
        <w:t>Suite di Licenza di Gestione Client per System Center Essentials Plus 2010</w:t>
      </w:r>
    </w:p>
    <w:p w:rsidR="00170CFB" w:rsidRPr="007B74B7" w:rsidRDefault="00170CFB" w:rsidP="006D6A83">
      <w:pPr>
        <w:rPr>
          <w:lang w:val="it-IT"/>
        </w:rPr>
      </w:pPr>
      <w:r w:rsidRPr="007B74B7">
        <w:rPr>
          <w:rFonts w:cs="Tahoma"/>
          <w:color w:val="000000"/>
          <w:szCs w:val="18"/>
          <w:lang w:val="it-IT"/>
        </w:rPr>
        <w:t>Suite di Licenza di Gestione Server per System Center Essentials Plus 2010</w:t>
      </w:r>
    </w:p>
    <w:p w:rsidR="00170CFB" w:rsidRPr="00BD7CEA" w:rsidRDefault="00170CFB" w:rsidP="006D6A83">
      <w:r w:rsidRPr="00BD7CEA">
        <w:rPr>
          <w:rFonts w:cs="Tahoma"/>
          <w:color w:val="000000"/>
          <w:szCs w:val="18"/>
        </w:rPr>
        <w:t>System Center Virtual Machine Manager 2008 R2 Workgroup Edition</w:t>
      </w:r>
    </w:p>
    <w:p w:rsidR="00170CFB" w:rsidRPr="00BD7CEA" w:rsidRDefault="00170CFB" w:rsidP="006D6A83">
      <w:r w:rsidRPr="00BD7CEA">
        <w:rPr>
          <w:rFonts w:cs="Tahoma"/>
          <w:color w:val="000000"/>
          <w:szCs w:val="18"/>
        </w:rPr>
        <w:t>External Connector per Visual Studio</w:t>
      </w:r>
      <w:r w:rsidR="00700C4B" w:rsidRPr="00BD7CEA">
        <w:rPr>
          <w:rFonts w:cs="Tahoma"/>
          <w:color w:val="000000"/>
          <w:szCs w:val="18"/>
          <w:vertAlign w:val="superscript"/>
        </w:rPr>
        <w:t>®</w:t>
      </w:r>
      <w:r w:rsidRPr="00BD7CEA">
        <w:rPr>
          <w:rFonts w:cs="Tahoma"/>
          <w:color w:val="000000"/>
          <w:szCs w:val="18"/>
        </w:rPr>
        <w:t xml:space="preserve"> Team Foundation Server 2012</w:t>
      </w:r>
    </w:p>
    <w:p w:rsidR="004759C6" w:rsidRPr="00BD7CEA" w:rsidRDefault="004759C6" w:rsidP="007E466C"/>
    <w:p w:rsidR="0064651F" w:rsidRPr="00BD7CEA" w:rsidRDefault="0064651F" w:rsidP="0064651F"/>
    <w:p w:rsidR="00243B33" w:rsidRPr="007B74B7" w:rsidRDefault="000225E7" w:rsidP="00243B33">
      <w:pPr>
        <w:pStyle w:val="Heading2"/>
        <w:ind w:left="0"/>
        <w:jc w:val="both"/>
        <w:rPr>
          <w:lang w:val="it-IT"/>
        </w:rPr>
      </w:pPr>
      <w:bookmarkStart w:id="624" w:name="_Toc353375950"/>
      <w:r w:rsidRPr="007B74B7">
        <w:rPr>
          <w:rFonts w:ascii="Tahoma" w:hAnsi="Tahoma" w:cs="Tahoma"/>
          <w:color w:val="FF6600"/>
          <w:lang w:val="it-IT"/>
        </w:rPr>
        <w:t>MODIFICHE APPORTATE NEL MESE DI FEBBRAIO 2013</w:t>
      </w:r>
      <w:bookmarkEnd w:id="624"/>
    </w:p>
    <w:p w:rsidR="00243B33" w:rsidRPr="007B74B7" w:rsidRDefault="00243B33" w:rsidP="00E06050">
      <w:pPr>
        <w:pStyle w:val="Heading2"/>
        <w:ind w:left="0"/>
        <w:jc w:val="both"/>
        <w:rPr>
          <w:lang w:val="it-IT"/>
        </w:rPr>
      </w:pPr>
    </w:p>
    <w:p w:rsidR="00662A44" w:rsidRPr="007B74B7" w:rsidRDefault="00662A44" w:rsidP="00662A44">
      <w:pPr>
        <w:spacing w:after="60"/>
        <w:rPr>
          <w:lang w:val="it-IT"/>
        </w:rPr>
      </w:pPr>
      <w:r w:rsidRPr="007B74B7">
        <w:rPr>
          <w:b/>
          <w:lang w:val="it-IT"/>
        </w:rPr>
        <w:t>Prodotti Aggiunti</w:t>
      </w:r>
    </w:p>
    <w:p w:rsidR="00662A44" w:rsidRPr="007B74B7" w:rsidRDefault="00662A44" w:rsidP="00662A44">
      <w:pPr>
        <w:rPr>
          <w:lang w:val="it-IT"/>
        </w:rPr>
      </w:pPr>
      <w:r w:rsidRPr="007B74B7">
        <w:rPr>
          <w:rFonts w:cs="Tahoma"/>
          <w:color w:val="000000"/>
          <w:szCs w:val="18"/>
          <w:lang w:val="it-IT"/>
        </w:rPr>
        <w:t xml:space="preserve">Enterprise Additive CAL per Microsoft </w:t>
      </w:r>
      <w:r w:rsidRPr="007B74B7">
        <w:rPr>
          <w:rFonts w:cs="Tahoma"/>
          <w:color w:val="000000"/>
          <w:szCs w:val="20"/>
          <w:lang w:val="it-IT"/>
        </w:rPr>
        <w:t>Dynamics AX 2012 R2 (Utente e Dispositivo)</w:t>
      </w:r>
    </w:p>
    <w:p w:rsidR="00662A44" w:rsidRPr="007B74B7" w:rsidRDefault="00662A44" w:rsidP="00662A44">
      <w:pPr>
        <w:rPr>
          <w:lang w:val="it-IT"/>
        </w:rPr>
      </w:pPr>
      <w:r w:rsidRPr="007B74B7">
        <w:rPr>
          <w:rFonts w:cs="Tahoma"/>
          <w:color w:val="000000"/>
          <w:szCs w:val="18"/>
          <w:lang w:val="it-IT"/>
        </w:rPr>
        <w:t xml:space="preserve">Enterprise CAL per Microsoft </w:t>
      </w:r>
      <w:r w:rsidRPr="007B74B7">
        <w:rPr>
          <w:rFonts w:cs="Tahoma"/>
          <w:color w:val="000000"/>
          <w:szCs w:val="20"/>
          <w:lang w:val="it-IT"/>
        </w:rPr>
        <w:t>Dynamics AX 2012 R2 (Utente e Dispositivo)</w:t>
      </w:r>
    </w:p>
    <w:p w:rsidR="00662A44" w:rsidRPr="007B74B7" w:rsidRDefault="00662A44" w:rsidP="00662A44">
      <w:pPr>
        <w:rPr>
          <w:lang w:val="it-IT"/>
        </w:rPr>
      </w:pPr>
      <w:r w:rsidRPr="007B74B7">
        <w:rPr>
          <w:rFonts w:cs="Tahoma"/>
          <w:color w:val="000000"/>
          <w:szCs w:val="18"/>
          <w:lang w:val="it-IT"/>
        </w:rPr>
        <w:t xml:space="preserve">Functional Additive CAL per Microsoft </w:t>
      </w:r>
      <w:r w:rsidRPr="007B74B7">
        <w:rPr>
          <w:rFonts w:cs="Tahoma"/>
          <w:color w:val="000000"/>
          <w:szCs w:val="20"/>
          <w:lang w:val="it-IT"/>
        </w:rPr>
        <w:t>Dynamics AX 2012 R2 (Utente e Dispositivo)</w:t>
      </w:r>
    </w:p>
    <w:p w:rsidR="00662A44" w:rsidRPr="007B74B7" w:rsidRDefault="00662A44" w:rsidP="00662A44">
      <w:pPr>
        <w:rPr>
          <w:lang w:val="it-IT"/>
        </w:rPr>
      </w:pPr>
      <w:r w:rsidRPr="007B74B7">
        <w:rPr>
          <w:rFonts w:cs="Tahoma"/>
          <w:color w:val="000000"/>
          <w:szCs w:val="18"/>
          <w:lang w:val="it-IT"/>
        </w:rPr>
        <w:t xml:space="preserve">Functional CAL per Microsoft </w:t>
      </w:r>
      <w:r w:rsidRPr="007B74B7">
        <w:rPr>
          <w:rFonts w:cs="Tahoma"/>
          <w:color w:val="000000"/>
          <w:szCs w:val="20"/>
          <w:lang w:val="it-IT"/>
        </w:rPr>
        <w:t>Dynamics AX 2012 R2 (Utente e Dispositivo)</w:t>
      </w:r>
    </w:p>
    <w:p w:rsidR="00662A44" w:rsidRPr="007B74B7" w:rsidRDefault="00662A44" w:rsidP="00662A44">
      <w:pPr>
        <w:rPr>
          <w:lang w:val="it-IT"/>
        </w:rPr>
      </w:pPr>
      <w:r w:rsidRPr="007B74B7">
        <w:rPr>
          <w:rFonts w:cs="Tahoma"/>
          <w:color w:val="000000"/>
          <w:szCs w:val="18"/>
          <w:lang w:val="it-IT"/>
        </w:rPr>
        <w:t xml:space="preserve">Self Serve CAL per Microsoft </w:t>
      </w:r>
      <w:r w:rsidRPr="007B74B7">
        <w:rPr>
          <w:rFonts w:cs="Tahoma"/>
          <w:color w:val="000000"/>
          <w:szCs w:val="20"/>
          <w:lang w:val="it-IT"/>
        </w:rPr>
        <w:t>Dynamics AX 2012 R2 (Utente e Dispositivo)</w:t>
      </w:r>
    </w:p>
    <w:p w:rsidR="00662A44" w:rsidRPr="007B74B7" w:rsidRDefault="00662A44" w:rsidP="00662A44">
      <w:pPr>
        <w:rPr>
          <w:lang w:val="it-IT"/>
        </w:rPr>
      </w:pPr>
      <w:r w:rsidRPr="007B74B7">
        <w:rPr>
          <w:rFonts w:cs="Tahoma"/>
          <w:color w:val="000000"/>
          <w:szCs w:val="18"/>
          <w:lang w:val="it-IT"/>
        </w:rPr>
        <w:t xml:space="preserve">Microsoft </w:t>
      </w:r>
      <w:r w:rsidRPr="007B74B7">
        <w:rPr>
          <w:rFonts w:cs="Tahoma"/>
          <w:color w:val="000000"/>
          <w:szCs w:val="20"/>
          <w:lang w:val="it-IT"/>
        </w:rPr>
        <w:t>Dynamics AX 2012 R2 Server</w:t>
      </w:r>
    </w:p>
    <w:p w:rsidR="00662A44" w:rsidRPr="007B74B7" w:rsidRDefault="00662A44" w:rsidP="00662A44">
      <w:pPr>
        <w:rPr>
          <w:lang w:val="it-IT"/>
        </w:rPr>
      </w:pPr>
      <w:r w:rsidRPr="007B74B7">
        <w:rPr>
          <w:rFonts w:cs="Tahoma"/>
          <w:color w:val="000000"/>
          <w:szCs w:val="18"/>
          <w:lang w:val="it-IT"/>
        </w:rPr>
        <w:t xml:space="preserve">Task Additive CAL per Microsoft </w:t>
      </w:r>
      <w:r w:rsidRPr="007B74B7">
        <w:rPr>
          <w:rFonts w:cs="Tahoma"/>
          <w:color w:val="000000"/>
          <w:szCs w:val="20"/>
          <w:lang w:val="it-IT"/>
        </w:rPr>
        <w:t>Dynamics AX 2012 R2 (Utente e Dispositivo)</w:t>
      </w:r>
    </w:p>
    <w:p w:rsidR="00662A44" w:rsidRPr="007B74B7" w:rsidRDefault="00662A44" w:rsidP="00662A44">
      <w:pPr>
        <w:keepNext/>
        <w:tabs>
          <w:tab w:val="num" w:pos="720"/>
        </w:tabs>
        <w:outlineLvl w:val="3"/>
        <w:rPr>
          <w:lang w:val="it-IT"/>
        </w:rPr>
      </w:pPr>
      <w:r w:rsidRPr="007B74B7">
        <w:rPr>
          <w:rFonts w:cs="Tahoma"/>
          <w:color w:val="000000"/>
          <w:szCs w:val="18"/>
          <w:lang w:val="it-IT"/>
        </w:rPr>
        <w:t xml:space="preserve">Task CAL per Microsoft </w:t>
      </w:r>
      <w:r w:rsidRPr="007B74B7">
        <w:rPr>
          <w:rFonts w:cs="Tahoma"/>
          <w:color w:val="000000"/>
          <w:szCs w:val="20"/>
          <w:lang w:val="it-IT"/>
        </w:rPr>
        <w:t>Dynamics AX 2012 R2 (Utente e Dispositivo)</w:t>
      </w:r>
    </w:p>
    <w:p w:rsidR="00662A44" w:rsidRPr="007B74B7" w:rsidRDefault="00662A44" w:rsidP="00662A44">
      <w:pPr>
        <w:keepNext/>
        <w:tabs>
          <w:tab w:val="num" w:pos="720"/>
        </w:tabs>
        <w:outlineLvl w:val="3"/>
        <w:rPr>
          <w:lang w:val="it-IT"/>
        </w:rPr>
      </w:pPr>
    </w:p>
    <w:p w:rsidR="00662A44" w:rsidRPr="007B74B7" w:rsidRDefault="00662A44" w:rsidP="00662A44">
      <w:pPr>
        <w:spacing w:after="60"/>
        <w:rPr>
          <w:lang w:val="it-IT"/>
        </w:rPr>
      </w:pPr>
      <w:r w:rsidRPr="007B74B7">
        <w:rPr>
          <w:b/>
          <w:lang w:val="it-IT"/>
        </w:rPr>
        <w:t>Modifiche</w:t>
      </w:r>
    </w:p>
    <w:p w:rsidR="00662A44" w:rsidRPr="007B74B7" w:rsidRDefault="00662A44" w:rsidP="00095F5D">
      <w:pPr>
        <w:tabs>
          <w:tab w:val="num" w:pos="720"/>
        </w:tabs>
        <w:outlineLvl w:val="3"/>
        <w:rPr>
          <w:lang w:val="it-IT"/>
        </w:rPr>
      </w:pPr>
      <w:r w:rsidRPr="007B74B7">
        <w:rPr>
          <w:rFonts w:cs="Tahoma"/>
          <w:color w:val="000000"/>
          <w:szCs w:val="20"/>
          <w:lang w:val="it-IT"/>
        </w:rPr>
        <w:t>Visio 2013 Professional</w:t>
      </w:r>
    </w:p>
    <w:p w:rsidR="00662A44" w:rsidRPr="007B74B7" w:rsidRDefault="00662A44" w:rsidP="00095F5D">
      <w:pPr>
        <w:tabs>
          <w:tab w:val="num" w:pos="720"/>
        </w:tabs>
        <w:outlineLvl w:val="3"/>
        <w:rPr>
          <w:lang w:val="it-IT"/>
        </w:rPr>
      </w:pPr>
    </w:p>
    <w:p w:rsidR="00095F5D" w:rsidRPr="007B74B7" w:rsidRDefault="00095F5D" w:rsidP="00095F5D">
      <w:pPr>
        <w:tabs>
          <w:tab w:val="num" w:pos="720"/>
        </w:tabs>
        <w:outlineLvl w:val="3"/>
        <w:rPr>
          <w:lang w:val="it-IT"/>
        </w:rPr>
      </w:pPr>
    </w:p>
    <w:p w:rsidR="00095F5D" w:rsidRPr="007B74B7" w:rsidRDefault="00095F5D" w:rsidP="00095F5D">
      <w:pPr>
        <w:tabs>
          <w:tab w:val="num" w:pos="720"/>
        </w:tabs>
        <w:outlineLvl w:val="3"/>
        <w:rPr>
          <w:lang w:val="it-IT"/>
        </w:rPr>
      </w:pPr>
    </w:p>
    <w:p w:rsidR="00095F5D" w:rsidRPr="007B74B7" w:rsidRDefault="00095F5D" w:rsidP="00095F5D">
      <w:pPr>
        <w:tabs>
          <w:tab w:val="num" w:pos="720"/>
        </w:tabs>
        <w:outlineLvl w:val="3"/>
        <w:rPr>
          <w:lang w:val="it-IT"/>
        </w:rPr>
      </w:pPr>
    </w:p>
    <w:p w:rsidR="00662A44" w:rsidRPr="007B74B7" w:rsidRDefault="00662A44" w:rsidP="0064651F">
      <w:pPr>
        <w:keepNext/>
        <w:tabs>
          <w:tab w:val="num" w:pos="720"/>
        </w:tabs>
        <w:spacing w:after="60"/>
        <w:outlineLvl w:val="3"/>
        <w:rPr>
          <w:lang w:val="it-IT"/>
        </w:rPr>
      </w:pPr>
      <w:r w:rsidRPr="007B74B7">
        <w:rPr>
          <w:b/>
          <w:lang w:val="it-IT"/>
        </w:rPr>
        <w:lastRenderedPageBreak/>
        <w:t>Prodotti Eliminati</w:t>
      </w:r>
    </w:p>
    <w:p w:rsidR="00662A44" w:rsidRPr="007B74B7" w:rsidRDefault="00662A44" w:rsidP="00662A44">
      <w:pPr>
        <w:rPr>
          <w:lang w:val="it-IT"/>
        </w:rPr>
      </w:pPr>
      <w:r w:rsidRPr="007B74B7">
        <w:rPr>
          <w:rFonts w:cs="Tahoma"/>
          <w:color w:val="000000"/>
          <w:szCs w:val="18"/>
          <w:lang w:val="it-IT"/>
        </w:rPr>
        <w:t xml:space="preserve">Enterprise Additive CAL per Microsoft </w:t>
      </w:r>
      <w:r w:rsidRPr="007B74B7">
        <w:rPr>
          <w:rFonts w:cs="Tahoma"/>
          <w:color w:val="000000"/>
          <w:szCs w:val="20"/>
          <w:lang w:val="it-IT"/>
        </w:rPr>
        <w:t>Dynamics AX 2012 (Utente e Dispositivo)</w:t>
      </w:r>
    </w:p>
    <w:p w:rsidR="00662A44" w:rsidRPr="007B74B7" w:rsidRDefault="00662A44" w:rsidP="00662A44">
      <w:pPr>
        <w:rPr>
          <w:lang w:val="it-IT"/>
        </w:rPr>
      </w:pPr>
      <w:r w:rsidRPr="007B74B7">
        <w:rPr>
          <w:rFonts w:cs="Tahoma"/>
          <w:color w:val="000000"/>
          <w:szCs w:val="18"/>
          <w:lang w:val="it-IT"/>
        </w:rPr>
        <w:t xml:space="preserve">Enterprise CAL per Microsoft </w:t>
      </w:r>
      <w:r w:rsidRPr="007B74B7">
        <w:rPr>
          <w:rFonts w:cs="Tahoma"/>
          <w:color w:val="000000"/>
          <w:szCs w:val="20"/>
          <w:lang w:val="it-IT"/>
        </w:rPr>
        <w:t>Dynamics AX 2012 (Utente e Dispositivo)</w:t>
      </w:r>
    </w:p>
    <w:p w:rsidR="00662A44" w:rsidRPr="007B74B7" w:rsidRDefault="00662A44" w:rsidP="00662A44">
      <w:pPr>
        <w:rPr>
          <w:lang w:val="it-IT"/>
        </w:rPr>
      </w:pPr>
      <w:r w:rsidRPr="007B74B7">
        <w:rPr>
          <w:rFonts w:cs="Tahoma"/>
          <w:color w:val="000000"/>
          <w:szCs w:val="18"/>
          <w:lang w:val="it-IT"/>
        </w:rPr>
        <w:t xml:space="preserve">Functional Additive CAL per Microsoft </w:t>
      </w:r>
      <w:r w:rsidRPr="007B74B7">
        <w:rPr>
          <w:rFonts w:cs="Tahoma"/>
          <w:color w:val="000000"/>
          <w:szCs w:val="20"/>
          <w:lang w:val="it-IT"/>
        </w:rPr>
        <w:t>Dynamics AX 2012 (Utente e Dispositivo)</w:t>
      </w:r>
    </w:p>
    <w:p w:rsidR="00662A44" w:rsidRPr="007B74B7" w:rsidRDefault="00662A44" w:rsidP="00662A44">
      <w:pPr>
        <w:rPr>
          <w:lang w:val="it-IT"/>
        </w:rPr>
      </w:pPr>
      <w:r w:rsidRPr="007B74B7">
        <w:rPr>
          <w:rFonts w:cs="Tahoma"/>
          <w:color w:val="000000"/>
          <w:szCs w:val="18"/>
          <w:lang w:val="it-IT"/>
        </w:rPr>
        <w:t xml:space="preserve">Functional CAL per Microsoft </w:t>
      </w:r>
      <w:r w:rsidRPr="007B74B7">
        <w:rPr>
          <w:rFonts w:cs="Tahoma"/>
          <w:color w:val="000000"/>
          <w:szCs w:val="20"/>
          <w:lang w:val="it-IT"/>
        </w:rPr>
        <w:t>Dynamics AX 2012 (Utente e Dispositivo)</w:t>
      </w:r>
    </w:p>
    <w:p w:rsidR="00662A44" w:rsidRPr="007B74B7" w:rsidRDefault="00662A44" w:rsidP="00662A44">
      <w:pPr>
        <w:rPr>
          <w:lang w:val="it-IT"/>
        </w:rPr>
      </w:pPr>
      <w:r w:rsidRPr="007B74B7">
        <w:rPr>
          <w:rFonts w:cs="Tahoma"/>
          <w:color w:val="000000"/>
          <w:szCs w:val="18"/>
          <w:lang w:val="it-IT"/>
        </w:rPr>
        <w:t xml:space="preserve">Self Serve CAL per Microsoft </w:t>
      </w:r>
      <w:r w:rsidRPr="007B74B7">
        <w:rPr>
          <w:rFonts w:cs="Tahoma"/>
          <w:color w:val="000000"/>
          <w:szCs w:val="20"/>
          <w:lang w:val="it-IT"/>
        </w:rPr>
        <w:t>Dynamics AX 2012 (Utente e Dispositivo)</w:t>
      </w:r>
    </w:p>
    <w:p w:rsidR="00662A44" w:rsidRPr="007B74B7" w:rsidRDefault="00662A44" w:rsidP="00662A44">
      <w:pPr>
        <w:rPr>
          <w:lang w:val="it-IT"/>
        </w:rPr>
      </w:pPr>
      <w:r w:rsidRPr="007B74B7">
        <w:rPr>
          <w:rFonts w:cs="Tahoma"/>
          <w:color w:val="000000"/>
          <w:szCs w:val="18"/>
          <w:lang w:val="it-IT"/>
        </w:rPr>
        <w:t xml:space="preserve">Microsoft </w:t>
      </w:r>
      <w:r w:rsidRPr="007B74B7">
        <w:rPr>
          <w:rFonts w:cs="Tahoma"/>
          <w:color w:val="000000"/>
          <w:szCs w:val="20"/>
          <w:lang w:val="it-IT"/>
        </w:rPr>
        <w:t>Dynamics AX 2012 Server</w:t>
      </w:r>
    </w:p>
    <w:p w:rsidR="00662A44" w:rsidRPr="007B74B7" w:rsidRDefault="00662A44" w:rsidP="00662A44">
      <w:pPr>
        <w:rPr>
          <w:lang w:val="it-IT"/>
        </w:rPr>
      </w:pPr>
      <w:r w:rsidRPr="007B74B7">
        <w:rPr>
          <w:rFonts w:cs="Tahoma"/>
          <w:color w:val="000000"/>
          <w:szCs w:val="18"/>
          <w:lang w:val="it-IT"/>
        </w:rPr>
        <w:t xml:space="preserve">Task Additive CAL per Microsoft </w:t>
      </w:r>
      <w:r w:rsidRPr="007B74B7">
        <w:rPr>
          <w:rFonts w:cs="Tahoma"/>
          <w:color w:val="000000"/>
          <w:szCs w:val="20"/>
          <w:lang w:val="it-IT"/>
        </w:rPr>
        <w:t>Dynamics AX 2012 (Utente e Dispositivo)</w:t>
      </w:r>
    </w:p>
    <w:p w:rsidR="00662A44" w:rsidRPr="007B74B7" w:rsidRDefault="00662A44" w:rsidP="00662A44">
      <w:pPr>
        <w:rPr>
          <w:lang w:val="it-IT"/>
        </w:rPr>
      </w:pPr>
      <w:r w:rsidRPr="007B74B7">
        <w:rPr>
          <w:rFonts w:cs="Tahoma"/>
          <w:color w:val="000000"/>
          <w:szCs w:val="18"/>
          <w:lang w:val="it-IT"/>
        </w:rPr>
        <w:t xml:space="preserve">Task CAL per Microsoft </w:t>
      </w:r>
      <w:r w:rsidRPr="007B74B7">
        <w:rPr>
          <w:rFonts w:cs="Tahoma"/>
          <w:color w:val="000000"/>
          <w:szCs w:val="20"/>
          <w:lang w:val="it-IT"/>
        </w:rPr>
        <w:t>Dynamics AX 2012 (Utente e Dispositivo)</w:t>
      </w:r>
    </w:p>
    <w:p w:rsidR="00243B33" w:rsidRPr="007B74B7" w:rsidRDefault="00243B33" w:rsidP="00B50A5B">
      <w:pPr>
        <w:rPr>
          <w:lang w:val="it-IT"/>
        </w:rPr>
      </w:pPr>
    </w:p>
    <w:p w:rsidR="001C1727" w:rsidRPr="007B74B7" w:rsidRDefault="001C1727" w:rsidP="00292088">
      <w:pPr>
        <w:rPr>
          <w:lang w:val="it-IT"/>
        </w:rPr>
      </w:pPr>
    </w:p>
    <w:p w:rsidR="00E06050" w:rsidRPr="007B74B7" w:rsidRDefault="00E06050" w:rsidP="00E06050">
      <w:pPr>
        <w:pStyle w:val="Heading2"/>
        <w:ind w:left="0"/>
        <w:jc w:val="both"/>
        <w:rPr>
          <w:lang w:val="it-IT"/>
        </w:rPr>
      </w:pPr>
      <w:bookmarkStart w:id="625" w:name="_Toc353375951"/>
      <w:r w:rsidRPr="007B74B7">
        <w:rPr>
          <w:rFonts w:ascii="Tahoma" w:hAnsi="Tahoma" w:cs="Tahoma"/>
          <w:color w:val="FF6600"/>
          <w:lang w:val="it-IT"/>
        </w:rPr>
        <w:t>MODIFICHE APPORTATE NEL MESE DI GENNAIO 2013</w:t>
      </w:r>
      <w:bookmarkEnd w:id="625"/>
    </w:p>
    <w:p w:rsidR="00E06050" w:rsidRPr="007B74B7" w:rsidRDefault="00E06050" w:rsidP="00E06050">
      <w:pPr>
        <w:rPr>
          <w:lang w:val="it-IT"/>
        </w:rPr>
      </w:pPr>
    </w:p>
    <w:p w:rsidR="00E06050" w:rsidRPr="00BD7CEA" w:rsidRDefault="00E06050" w:rsidP="003E606C">
      <w:pPr>
        <w:spacing w:after="60"/>
      </w:pPr>
      <w:r w:rsidRPr="00BD7CEA">
        <w:rPr>
          <w:b/>
        </w:rPr>
        <w:t>Prodotti Aggiunti</w:t>
      </w:r>
    </w:p>
    <w:p w:rsidR="00CC66A0" w:rsidRPr="00BD7CEA" w:rsidRDefault="00CC66A0" w:rsidP="00737831">
      <w:pPr>
        <w:keepNext/>
        <w:tabs>
          <w:tab w:val="num" w:pos="720"/>
        </w:tabs>
        <w:outlineLvl w:val="3"/>
      </w:pPr>
      <w:r w:rsidRPr="00BD7CEA">
        <w:rPr>
          <w:rFonts w:cs="Tahoma"/>
          <w:color w:val="000000"/>
          <w:szCs w:val="20"/>
        </w:rPr>
        <w:t>Windows MultiPoint Server 2012 Premium con Windows MultiPoint Server 2012 (CAL) (5 Client)</w:t>
      </w:r>
    </w:p>
    <w:p w:rsidR="00CC66A0" w:rsidRPr="00BD7CEA" w:rsidRDefault="00CC66A0" w:rsidP="00737831">
      <w:pPr>
        <w:keepNext/>
        <w:tabs>
          <w:tab w:val="num" w:pos="720"/>
        </w:tabs>
        <w:outlineLvl w:val="3"/>
      </w:pPr>
      <w:r w:rsidRPr="00BD7CEA">
        <w:rPr>
          <w:rFonts w:cs="Tahoma"/>
          <w:color w:val="000000"/>
          <w:szCs w:val="20"/>
        </w:rPr>
        <w:t>Windows MultiPoint Server 2012 Premium con Windows MultiPoint Server 2012 (CAL) (5 Client) con Windows</w:t>
      </w:r>
    </w:p>
    <w:p w:rsidR="00E06050" w:rsidRPr="00BD7CEA" w:rsidRDefault="00E06050" w:rsidP="00E06050"/>
    <w:p w:rsidR="00140B67" w:rsidRPr="00BD7CEA" w:rsidRDefault="00140B67" w:rsidP="003E606C">
      <w:pPr>
        <w:spacing w:after="60"/>
      </w:pPr>
    </w:p>
    <w:p w:rsidR="001D63C2" w:rsidRPr="007B74B7" w:rsidRDefault="001D63C2" w:rsidP="003E606C">
      <w:pPr>
        <w:spacing w:after="60"/>
        <w:rPr>
          <w:lang w:val="it-IT"/>
        </w:rPr>
      </w:pPr>
      <w:r w:rsidRPr="007B74B7">
        <w:rPr>
          <w:b/>
          <w:lang w:val="it-IT"/>
        </w:rPr>
        <w:t>Modifiche</w:t>
      </w:r>
    </w:p>
    <w:p w:rsidR="001D63C2" w:rsidRPr="007B74B7" w:rsidRDefault="001D63C2" w:rsidP="00E06050">
      <w:pPr>
        <w:rPr>
          <w:lang w:val="it-IT"/>
        </w:rPr>
      </w:pPr>
      <w:r w:rsidRPr="007B74B7">
        <w:rPr>
          <w:color w:val="000000"/>
          <w:lang w:val="it-IT"/>
        </w:rPr>
        <w:t>CAL Suite per Windows Small Business Server 2008 per Utenti o Dispositivi Premium</w:t>
      </w:r>
    </w:p>
    <w:p w:rsidR="001D63C2" w:rsidRPr="007B74B7" w:rsidRDefault="001D63C2" w:rsidP="00E06050">
      <w:pPr>
        <w:rPr>
          <w:lang w:val="it-IT"/>
        </w:rPr>
      </w:pPr>
      <w:r w:rsidRPr="007B74B7">
        <w:rPr>
          <w:color w:val="000000"/>
          <w:lang w:val="it-IT"/>
        </w:rPr>
        <w:t>CAL Suite per Windows Small Business Server 2008 per Utenti o Dispositivi Premium (5 Client)</w:t>
      </w:r>
    </w:p>
    <w:p w:rsidR="001D63C2" w:rsidRPr="007B74B7" w:rsidRDefault="001D63C2" w:rsidP="00E06050">
      <w:pPr>
        <w:rPr>
          <w:lang w:val="it-IT"/>
        </w:rPr>
      </w:pPr>
      <w:r w:rsidRPr="007B74B7">
        <w:rPr>
          <w:color w:val="000000"/>
          <w:lang w:val="it-IT"/>
        </w:rPr>
        <w:t>CAL Suite per Windows Small Business Server 2008 per Utenti o Dispositivi Premium (20 Client)</w:t>
      </w:r>
    </w:p>
    <w:p w:rsidR="001D63C2" w:rsidRPr="00BD7CEA" w:rsidRDefault="001D63C2" w:rsidP="00E06050">
      <w:r w:rsidRPr="00BD7CEA">
        <w:rPr>
          <w:color w:val="000000"/>
        </w:rPr>
        <w:t>CAL Suite per Windows Small Business Server 2011 (1 Client)</w:t>
      </w:r>
    </w:p>
    <w:p w:rsidR="001D63C2" w:rsidRPr="00BD7CEA" w:rsidRDefault="001D63C2" w:rsidP="001D63C2">
      <w:r w:rsidRPr="00BD7CEA">
        <w:rPr>
          <w:color w:val="000000"/>
        </w:rPr>
        <w:t>CAL Suite per Windows Small Business Server 2011 (5 Client)</w:t>
      </w:r>
    </w:p>
    <w:p w:rsidR="001D63C2" w:rsidRPr="00BD7CEA" w:rsidRDefault="001D63C2" w:rsidP="00E06050">
      <w:r w:rsidRPr="00BD7CEA">
        <w:rPr>
          <w:color w:val="000000"/>
        </w:rPr>
        <w:t>CAL Suite per Windows Small Business Server 2011 (20 Client)</w:t>
      </w:r>
    </w:p>
    <w:p w:rsidR="001D63C2" w:rsidRPr="00BD7CEA" w:rsidRDefault="001D63C2" w:rsidP="001D63C2">
      <w:r w:rsidRPr="00BD7CEA">
        <w:rPr>
          <w:color w:val="000000"/>
        </w:rPr>
        <w:t>Windows Small Business Server 2011 Standard (5 Client)</w:t>
      </w:r>
    </w:p>
    <w:p w:rsidR="001D63C2" w:rsidRPr="00BD7CEA" w:rsidRDefault="001D63C2" w:rsidP="00E06050">
      <w:r w:rsidRPr="00BD7CEA">
        <w:rPr>
          <w:color w:val="000000"/>
        </w:rPr>
        <w:t>Premium Add-On per Windows Small Business Server 2011 (5 Client)</w:t>
      </w:r>
    </w:p>
    <w:p w:rsidR="001D63C2" w:rsidRPr="00BD7CEA" w:rsidRDefault="001D63C2" w:rsidP="00E06050"/>
    <w:p w:rsidR="00E06050" w:rsidRPr="007B74B7" w:rsidRDefault="00E06050" w:rsidP="003E606C">
      <w:pPr>
        <w:spacing w:after="60"/>
        <w:rPr>
          <w:lang w:val="it-IT"/>
        </w:rPr>
      </w:pPr>
      <w:r w:rsidRPr="007B74B7">
        <w:rPr>
          <w:b/>
          <w:lang w:val="it-IT"/>
        </w:rPr>
        <w:t>Prodotti Eliminati</w:t>
      </w:r>
    </w:p>
    <w:p w:rsidR="00E06050" w:rsidRPr="007B74B7" w:rsidRDefault="00E06050" w:rsidP="00E06050">
      <w:pPr>
        <w:rPr>
          <w:lang w:val="it-IT"/>
        </w:rPr>
      </w:pPr>
      <w:r w:rsidRPr="007B74B7">
        <w:rPr>
          <w:color w:val="000000"/>
          <w:lang w:val="it-IT"/>
        </w:rPr>
        <w:t>Licenza di Gestione Client per OSE per Windows Embedded Device Manager 2011</w:t>
      </w:r>
    </w:p>
    <w:p w:rsidR="00E06050" w:rsidRPr="007B74B7" w:rsidRDefault="00E06050" w:rsidP="00E06050">
      <w:pPr>
        <w:rPr>
          <w:lang w:val="it-IT"/>
        </w:rPr>
      </w:pPr>
      <w:r w:rsidRPr="007B74B7">
        <w:rPr>
          <w:color w:val="000000"/>
          <w:lang w:val="it-IT"/>
        </w:rPr>
        <w:t>Licenza di Gestione Client per Utente per Windows Embedded Device Manager 2011</w:t>
      </w:r>
    </w:p>
    <w:p w:rsidR="00844BAF" w:rsidRPr="007B74B7" w:rsidRDefault="00844BAF" w:rsidP="00E06050">
      <w:pPr>
        <w:rPr>
          <w:lang w:val="it-IT"/>
        </w:rPr>
      </w:pPr>
      <w:r w:rsidRPr="007B74B7">
        <w:rPr>
          <w:rFonts w:cs="Tahoma"/>
          <w:color w:val="000000"/>
          <w:szCs w:val="20"/>
          <w:lang w:val="it-IT"/>
        </w:rPr>
        <w:t>Licenza CAL per Dispositivo per Windows Server 2008 per Windows Essential Server Solutions (5 Client)</w:t>
      </w:r>
    </w:p>
    <w:p w:rsidR="00844BAF" w:rsidRPr="007B74B7" w:rsidRDefault="00844BAF" w:rsidP="00E06050">
      <w:pPr>
        <w:rPr>
          <w:lang w:val="it-IT"/>
        </w:rPr>
      </w:pPr>
      <w:r w:rsidRPr="007B74B7">
        <w:rPr>
          <w:rFonts w:cs="Tahoma"/>
          <w:color w:val="000000"/>
          <w:szCs w:val="20"/>
          <w:lang w:val="it-IT"/>
        </w:rPr>
        <w:t>User CAL per Windows Server 2008 per Windows Essential Server Solutions (5 Client)</w:t>
      </w:r>
    </w:p>
    <w:p w:rsidR="00844BAF" w:rsidRPr="00BD7CEA" w:rsidRDefault="00844BAF" w:rsidP="00844BAF">
      <w:pPr>
        <w:keepNext/>
        <w:tabs>
          <w:tab w:val="num" w:pos="720"/>
        </w:tabs>
        <w:outlineLvl w:val="3"/>
      </w:pPr>
      <w:r w:rsidRPr="00BD7CEA">
        <w:rPr>
          <w:rFonts w:cs="Tahoma"/>
          <w:color w:val="000000"/>
          <w:szCs w:val="20"/>
        </w:rPr>
        <w:t>Windows MultiPoint Server 2011 Premium con Windows MultiPoint Server 2011 (CAL) (5 Client)</w:t>
      </w:r>
    </w:p>
    <w:p w:rsidR="00E06050" w:rsidRPr="00BD7CEA" w:rsidRDefault="00844BAF" w:rsidP="00E06050">
      <w:r w:rsidRPr="00BD7CEA">
        <w:rPr>
          <w:rFonts w:cs="Tahoma"/>
          <w:color w:val="000000"/>
          <w:szCs w:val="20"/>
        </w:rPr>
        <w:t>Windows MultiPoint Server 2011 Premium con Windows MultiPoint Server 2011 (CAL) (5 Client) con Windows</w:t>
      </w:r>
    </w:p>
    <w:p w:rsidR="00A12176" w:rsidRPr="00BD7CEA" w:rsidRDefault="00A12176" w:rsidP="00BA756F">
      <w:pPr>
        <w:pStyle w:val="Heading2"/>
        <w:ind w:left="0"/>
        <w:jc w:val="both"/>
      </w:pPr>
    </w:p>
    <w:p w:rsidR="001C1727" w:rsidRPr="00BD7CEA" w:rsidRDefault="001C1727"/>
    <w:p w:rsidR="00173A20" w:rsidRPr="007B74B7" w:rsidRDefault="00173A20" w:rsidP="00BA756F">
      <w:pPr>
        <w:pStyle w:val="Heading2"/>
        <w:ind w:left="0"/>
        <w:jc w:val="both"/>
        <w:rPr>
          <w:lang w:val="it-IT"/>
        </w:rPr>
      </w:pPr>
      <w:bookmarkStart w:id="626" w:name="_Toc353375952"/>
      <w:r w:rsidRPr="007B74B7">
        <w:rPr>
          <w:rFonts w:ascii="Tahoma" w:hAnsi="Tahoma" w:cs="Tahoma"/>
          <w:color w:val="FF6600"/>
          <w:lang w:val="it-IT"/>
        </w:rPr>
        <w:t>MODIFICHE APPORTATE NEL MESE DI DICEMBRE 2012</w:t>
      </w:r>
      <w:bookmarkEnd w:id="620"/>
      <w:bookmarkEnd w:id="626"/>
    </w:p>
    <w:p w:rsidR="00173A20" w:rsidRPr="007B74B7" w:rsidRDefault="00173A20" w:rsidP="00173A20">
      <w:pPr>
        <w:jc w:val="both"/>
        <w:outlineLvl w:val="1"/>
        <w:rPr>
          <w:lang w:val="it-IT"/>
        </w:rPr>
      </w:pPr>
    </w:p>
    <w:p w:rsidR="00173A20" w:rsidRPr="007B74B7" w:rsidRDefault="00173A20" w:rsidP="003E606C">
      <w:pPr>
        <w:spacing w:after="60"/>
        <w:rPr>
          <w:lang w:val="it-IT"/>
        </w:rPr>
      </w:pPr>
      <w:r w:rsidRPr="007B74B7">
        <w:rPr>
          <w:b/>
          <w:lang w:val="it-IT"/>
        </w:rPr>
        <w:t>Prodotti Aggiunti</w:t>
      </w:r>
    </w:p>
    <w:p w:rsidR="00173A20" w:rsidRPr="007B74B7" w:rsidRDefault="00BA756F" w:rsidP="00173A20">
      <w:pPr>
        <w:rPr>
          <w:lang w:val="it-IT"/>
        </w:rPr>
      </w:pPr>
      <w:r w:rsidRPr="007B74B7">
        <w:rPr>
          <w:color w:val="000000"/>
          <w:lang w:val="it-IT"/>
        </w:rPr>
        <w:t>Access 2013</w:t>
      </w:r>
    </w:p>
    <w:p w:rsidR="00BA756F" w:rsidRPr="007B74B7" w:rsidRDefault="00BA756F" w:rsidP="00173A20">
      <w:pPr>
        <w:rPr>
          <w:lang w:val="it-IT"/>
        </w:rPr>
      </w:pPr>
      <w:r w:rsidRPr="007B74B7">
        <w:rPr>
          <w:color w:val="000000"/>
          <w:lang w:val="it-IT"/>
        </w:rPr>
        <w:t>Excel 2013</w:t>
      </w:r>
    </w:p>
    <w:p w:rsidR="00BA756F" w:rsidRPr="007B74B7" w:rsidRDefault="00BA756F" w:rsidP="00173A20">
      <w:pPr>
        <w:rPr>
          <w:lang w:val="it-IT"/>
        </w:rPr>
      </w:pPr>
      <w:r w:rsidRPr="007B74B7">
        <w:rPr>
          <w:color w:val="000000"/>
          <w:lang w:val="it-IT"/>
        </w:rPr>
        <w:t>Enterprise CAL per Exchange 2013 con Servizi</w:t>
      </w:r>
    </w:p>
    <w:p w:rsidR="00BA756F" w:rsidRPr="007B74B7" w:rsidRDefault="00BA756F" w:rsidP="00173A20">
      <w:pPr>
        <w:rPr>
          <w:lang w:val="it-IT"/>
        </w:rPr>
      </w:pPr>
      <w:r w:rsidRPr="007B74B7">
        <w:rPr>
          <w:color w:val="000000"/>
          <w:lang w:val="it-IT"/>
        </w:rPr>
        <w:t>Enterprise CAL per Exchange 2013 senza Servizi</w:t>
      </w:r>
    </w:p>
    <w:p w:rsidR="00BA756F" w:rsidRPr="007B74B7" w:rsidRDefault="00BA756F" w:rsidP="00173A20">
      <w:pPr>
        <w:rPr>
          <w:lang w:val="it-IT"/>
        </w:rPr>
      </w:pPr>
      <w:r w:rsidRPr="007B74B7">
        <w:rPr>
          <w:color w:val="000000"/>
          <w:lang w:val="it-IT"/>
        </w:rPr>
        <w:t>Exchange Server Enterprise 2013</w:t>
      </w:r>
    </w:p>
    <w:p w:rsidR="00BA756F" w:rsidRPr="007B74B7" w:rsidRDefault="00BA756F" w:rsidP="00173A20">
      <w:pPr>
        <w:rPr>
          <w:lang w:val="it-IT"/>
        </w:rPr>
      </w:pPr>
      <w:r w:rsidRPr="007B74B7">
        <w:rPr>
          <w:color w:val="000000"/>
          <w:lang w:val="it-IT"/>
        </w:rPr>
        <w:t>Exchange Server Standard 2013</w:t>
      </w:r>
    </w:p>
    <w:p w:rsidR="00BA756F" w:rsidRPr="007B74B7" w:rsidRDefault="00BA756F" w:rsidP="00173A20">
      <w:pPr>
        <w:rPr>
          <w:lang w:val="it-IT"/>
        </w:rPr>
      </w:pPr>
      <w:r w:rsidRPr="007B74B7">
        <w:rPr>
          <w:color w:val="000000"/>
          <w:lang w:val="it-IT"/>
        </w:rPr>
        <w:t>Standard CAL per Exchange 2013</w:t>
      </w:r>
    </w:p>
    <w:p w:rsidR="00BA756F" w:rsidRPr="007B74B7" w:rsidRDefault="00BA756F" w:rsidP="00173A20">
      <w:pPr>
        <w:rPr>
          <w:lang w:val="it-IT"/>
        </w:rPr>
      </w:pPr>
      <w:r w:rsidRPr="007B74B7">
        <w:rPr>
          <w:color w:val="000000"/>
          <w:lang w:val="it-IT"/>
        </w:rPr>
        <w:t>InfoPath 2013</w:t>
      </w:r>
    </w:p>
    <w:p w:rsidR="00BA756F" w:rsidRPr="007B74B7" w:rsidRDefault="00BA756F" w:rsidP="00173A20">
      <w:pPr>
        <w:rPr>
          <w:lang w:val="it-IT"/>
        </w:rPr>
      </w:pPr>
      <w:r w:rsidRPr="007B74B7">
        <w:rPr>
          <w:color w:val="000000"/>
          <w:lang w:val="it-IT"/>
        </w:rPr>
        <w:t>Lync 2013</w:t>
      </w:r>
    </w:p>
    <w:p w:rsidR="00BA756F" w:rsidRPr="007B74B7" w:rsidRDefault="00BA756F" w:rsidP="00173A20">
      <w:pPr>
        <w:rPr>
          <w:lang w:val="it-IT"/>
        </w:rPr>
      </w:pPr>
      <w:r w:rsidRPr="007B74B7">
        <w:rPr>
          <w:color w:val="000000"/>
          <w:lang w:val="it-IT"/>
        </w:rPr>
        <w:t>Lync Server 2013</w:t>
      </w:r>
    </w:p>
    <w:p w:rsidR="00BA756F" w:rsidRPr="007B74B7" w:rsidRDefault="00BA756F" w:rsidP="00173A20">
      <w:pPr>
        <w:rPr>
          <w:lang w:val="it-IT"/>
        </w:rPr>
      </w:pPr>
      <w:r w:rsidRPr="007B74B7">
        <w:rPr>
          <w:color w:val="000000"/>
          <w:lang w:val="it-IT"/>
        </w:rPr>
        <w:t>Enterprise CAL per Lync Server 2013</w:t>
      </w:r>
    </w:p>
    <w:p w:rsidR="00BA756F" w:rsidRPr="007B74B7" w:rsidRDefault="00BA756F" w:rsidP="00173A20">
      <w:pPr>
        <w:rPr>
          <w:lang w:val="it-IT"/>
        </w:rPr>
      </w:pPr>
      <w:r w:rsidRPr="007B74B7">
        <w:rPr>
          <w:color w:val="000000"/>
          <w:lang w:val="it-IT"/>
        </w:rPr>
        <w:t>Plus CAL per Lync Server 2013</w:t>
      </w:r>
    </w:p>
    <w:p w:rsidR="00BA756F" w:rsidRPr="00BD7CEA" w:rsidRDefault="00BA756F" w:rsidP="00173A20">
      <w:r w:rsidRPr="00BD7CEA">
        <w:rPr>
          <w:color w:val="000000"/>
        </w:rPr>
        <w:t>Standard CAL per Lync Server 2013</w:t>
      </w:r>
    </w:p>
    <w:p w:rsidR="00BA756F" w:rsidRPr="00BD7CEA" w:rsidRDefault="00BA756F" w:rsidP="00173A20">
      <w:r w:rsidRPr="00BD7CEA">
        <w:rPr>
          <w:color w:val="000000"/>
        </w:rPr>
        <w:t>Office Home and Student RT 2013</w:t>
      </w:r>
    </w:p>
    <w:p w:rsidR="00BA756F" w:rsidRPr="00BD7CEA" w:rsidRDefault="00BA756F" w:rsidP="00173A20">
      <w:r w:rsidRPr="00BD7CEA">
        <w:rPr>
          <w:color w:val="000000"/>
        </w:rPr>
        <w:t>Office Multi Language Pack 2013</w:t>
      </w:r>
    </w:p>
    <w:p w:rsidR="00BA756F" w:rsidRPr="00BD7CEA" w:rsidRDefault="00BA756F" w:rsidP="00173A20">
      <w:r w:rsidRPr="00BD7CEA">
        <w:rPr>
          <w:color w:val="000000"/>
        </w:rPr>
        <w:t>Office Professional Plus 2013</w:t>
      </w:r>
    </w:p>
    <w:p w:rsidR="00BA756F" w:rsidRPr="00BD7CEA" w:rsidRDefault="00BA756F" w:rsidP="00173A20">
      <w:r w:rsidRPr="00BD7CEA">
        <w:rPr>
          <w:color w:val="000000"/>
        </w:rPr>
        <w:lastRenderedPageBreak/>
        <w:t>Office Standard 2013</w:t>
      </w:r>
    </w:p>
    <w:p w:rsidR="00BA756F" w:rsidRPr="00BD7CEA" w:rsidRDefault="00BA756F" w:rsidP="00173A20">
      <w:r w:rsidRPr="00BD7CEA">
        <w:rPr>
          <w:color w:val="000000"/>
        </w:rPr>
        <w:t>OneNote 2013</w:t>
      </w:r>
    </w:p>
    <w:p w:rsidR="00BA756F" w:rsidRPr="00BD7CEA" w:rsidRDefault="00BA756F" w:rsidP="00173A20">
      <w:r w:rsidRPr="00BD7CEA">
        <w:rPr>
          <w:color w:val="000000"/>
        </w:rPr>
        <w:t>Outlook 2013</w:t>
      </w:r>
    </w:p>
    <w:p w:rsidR="00BA756F" w:rsidRPr="00BD7CEA" w:rsidRDefault="00BA756F" w:rsidP="00173A20">
      <w:r w:rsidRPr="00BD7CEA">
        <w:rPr>
          <w:color w:val="000000"/>
        </w:rPr>
        <w:t>PowerPoint 2013</w:t>
      </w:r>
    </w:p>
    <w:p w:rsidR="00BA756F" w:rsidRPr="00BD7CEA" w:rsidRDefault="00BA756F" w:rsidP="00173A20">
      <w:r w:rsidRPr="00BD7CEA">
        <w:rPr>
          <w:color w:val="000000"/>
        </w:rPr>
        <w:t>Project Standard 2013</w:t>
      </w:r>
    </w:p>
    <w:p w:rsidR="00BA756F" w:rsidRPr="00BD7CEA" w:rsidRDefault="00BA756F" w:rsidP="00173A20">
      <w:r w:rsidRPr="00BD7CEA">
        <w:rPr>
          <w:color w:val="000000"/>
        </w:rPr>
        <w:t>Project Professional 2013</w:t>
      </w:r>
    </w:p>
    <w:p w:rsidR="00BA756F" w:rsidRPr="00BD7CEA" w:rsidRDefault="00BA756F" w:rsidP="00173A20">
      <w:r w:rsidRPr="00BD7CEA">
        <w:rPr>
          <w:color w:val="000000"/>
        </w:rPr>
        <w:t>Project Server 2013</w:t>
      </w:r>
    </w:p>
    <w:p w:rsidR="00BA756F" w:rsidRPr="00BD7CEA" w:rsidRDefault="00BA756F" w:rsidP="00173A20">
      <w:r w:rsidRPr="00BD7CEA">
        <w:rPr>
          <w:color w:val="000000"/>
        </w:rPr>
        <w:t>CAL per Project Server 2013</w:t>
      </w:r>
    </w:p>
    <w:p w:rsidR="00BA756F" w:rsidRPr="00BD7CEA" w:rsidRDefault="00FE3510" w:rsidP="00173A20">
      <w:r w:rsidRPr="00BD7CEA">
        <w:rPr>
          <w:color w:val="000000"/>
        </w:rPr>
        <w:t>Publisher 2013</w:t>
      </w:r>
    </w:p>
    <w:p w:rsidR="00FE3510" w:rsidRPr="00BD7CEA" w:rsidRDefault="00FE3510" w:rsidP="00173A20">
      <w:r w:rsidRPr="00BD7CEA">
        <w:rPr>
          <w:color w:val="000000"/>
        </w:rPr>
        <w:t>Enterprise CAL per SharePoint 2013</w:t>
      </w:r>
    </w:p>
    <w:p w:rsidR="00FE3510" w:rsidRPr="00BD7CEA" w:rsidRDefault="00FE3510" w:rsidP="00173A20">
      <w:r w:rsidRPr="00BD7CEA">
        <w:rPr>
          <w:color w:val="000000"/>
        </w:rPr>
        <w:t>SharePoint Server 2013</w:t>
      </w:r>
    </w:p>
    <w:p w:rsidR="00FE3510" w:rsidRPr="00BD7CEA" w:rsidRDefault="00FE3510" w:rsidP="00173A20">
      <w:r w:rsidRPr="00BD7CEA">
        <w:rPr>
          <w:color w:val="000000"/>
        </w:rPr>
        <w:t>Standard CAL per SharePoint 2013</w:t>
      </w:r>
    </w:p>
    <w:p w:rsidR="00FE3510" w:rsidRPr="00BD7CEA" w:rsidRDefault="00FE3510" w:rsidP="00173A20">
      <w:r w:rsidRPr="00BD7CEA">
        <w:rPr>
          <w:color w:val="000000"/>
        </w:rPr>
        <w:t>Visio Professional 2013</w:t>
      </w:r>
    </w:p>
    <w:p w:rsidR="00FE3510" w:rsidRPr="00BD7CEA" w:rsidRDefault="00FE3510" w:rsidP="00173A20">
      <w:r w:rsidRPr="00BD7CEA">
        <w:rPr>
          <w:color w:val="000000"/>
        </w:rPr>
        <w:t>Visio Standard 2013</w:t>
      </w:r>
    </w:p>
    <w:p w:rsidR="00FE3510" w:rsidRPr="00BD7CEA" w:rsidRDefault="00FE3510" w:rsidP="00173A20">
      <w:r w:rsidRPr="00BD7CEA">
        <w:rPr>
          <w:color w:val="000000"/>
        </w:rPr>
        <w:t>Word 2013</w:t>
      </w:r>
    </w:p>
    <w:p w:rsidR="00FE3510" w:rsidRPr="00BD7CEA" w:rsidRDefault="00FE3510" w:rsidP="00173A20">
      <w:r w:rsidRPr="00BD7CEA">
        <w:rPr>
          <w:color w:val="000000"/>
        </w:rPr>
        <w:t>Windows MultiPoint Server Standard 2012</w:t>
      </w:r>
    </w:p>
    <w:p w:rsidR="00FE3510" w:rsidRPr="00BD7CEA" w:rsidRDefault="00FE3510" w:rsidP="00173A20">
      <w:r w:rsidRPr="00BD7CEA">
        <w:rPr>
          <w:color w:val="000000"/>
        </w:rPr>
        <w:t>Windows MultiPoint Server Premium 2012</w:t>
      </w:r>
    </w:p>
    <w:p w:rsidR="00FE3510" w:rsidRPr="00BD7CEA" w:rsidRDefault="00FE3510" w:rsidP="00173A20">
      <w:r w:rsidRPr="00BD7CEA">
        <w:rPr>
          <w:color w:val="000000"/>
        </w:rPr>
        <w:t>Licenza CAL per Windows MultiPoint Server 2012</w:t>
      </w:r>
    </w:p>
    <w:p w:rsidR="00FE3510" w:rsidRPr="007B74B7" w:rsidRDefault="00FE3510" w:rsidP="00173A20">
      <w:pPr>
        <w:rPr>
          <w:lang w:val="it-IT"/>
        </w:rPr>
      </w:pPr>
      <w:r w:rsidRPr="007B74B7">
        <w:rPr>
          <w:color w:val="000000"/>
          <w:lang w:val="it-IT"/>
        </w:rPr>
        <w:t>Licenza CAL per Windows MultiPoint Server con Licenza CAL per Windows Server 2012</w:t>
      </w:r>
    </w:p>
    <w:p w:rsidR="006F741C" w:rsidRPr="007B74B7" w:rsidRDefault="006F741C" w:rsidP="006F741C">
      <w:pPr>
        <w:rPr>
          <w:lang w:val="it-IT"/>
        </w:rPr>
      </w:pPr>
      <w:r w:rsidRPr="007B74B7">
        <w:rPr>
          <w:color w:val="000000"/>
          <w:lang w:val="it-IT"/>
        </w:rPr>
        <w:t>Windows Intune (Per Utente)</w:t>
      </w:r>
    </w:p>
    <w:p w:rsidR="006F741C" w:rsidRPr="007B74B7" w:rsidRDefault="006F741C" w:rsidP="006F741C">
      <w:pPr>
        <w:rPr>
          <w:lang w:val="it-IT"/>
        </w:rPr>
      </w:pPr>
      <w:r w:rsidRPr="007B74B7">
        <w:rPr>
          <w:color w:val="000000"/>
          <w:lang w:val="it-IT"/>
        </w:rPr>
        <w:t>Componente Aggiuntivo per Windows Intune per System Center Configuration Manager e System Center EndPoint Protection (Per Utente)</w:t>
      </w:r>
    </w:p>
    <w:p w:rsidR="00FE3510" w:rsidRPr="00BD7CEA" w:rsidRDefault="00FE3510" w:rsidP="00173A20">
      <w:r w:rsidRPr="00BD7CEA">
        <w:rPr>
          <w:color w:val="000000"/>
        </w:rPr>
        <w:t>Windows Intune USL</w:t>
      </w:r>
    </w:p>
    <w:p w:rsidR="00FE3510" w:rsidRPr="00BD7CEA" w:rsidRDefault="00FE3510" w:rsidP="00173A20">
      <w:r w:rsidRPr="00BD7CEA">
        <w:rPr>
          <w:color w:val="000000"/>
        </w:rPr>
        <w:t>USL Add-On per Windows Intune</w:t>
      </w:r>
    </w:p>
    <w:p w:rsidR="00FE3510" w:rsidRPr="00BD7CEA" w:rsidRDefault="00FE3510" w:rsidP="00173A20">
      <w:r w:rsidRPr="00BD7CEA">
        <w:rPr>
          <w:color w:val="000000"/>
        </w:rPr>
        <w:t>USL Add-On per Windows Intune Extra Storage 1 GB</w:t>
      </w:r>
    </w:p>
    <w:p w:rsidR="00FE3510" w:rsidRPr="007B74B7" w:rsidRDefault="00FE3510" w:rsidP="00173A20">
      <w:pPr>
        <w:rPr>
          <w:lang w:val="it-IT"/>
        </w:rPr>
      </w:pPr>
      <w:r w:rsidRPr="007B74B7">
        <w:rPr>
          <w:color w:val="000000"/>
          <w:lang w:val="it-IT"/>
        </w:rPr>
        <w:t>Win Pro con MDOP 8</w:t>
      </w:r>
    </w:p>
    <w:p w:rsidR="00173A20" w:rsidRPr="007B74B7" w:rsidRDefault="00173A20" w:rsidP="00173A20">
      <w:pPr>
        <w:keepNext/>
        <w:tabs>
          <w:tab w:val="num" w:pos="720"/>
        </w:tabs>
        <w:spacing w:before="60"/>
        <w:outlineLvl w:val="3"/>
        <w:rPr>
          <w:lang w:val="it-IT"/>
        </w:rPr>
      </w:pPr>
    </w:p>
    <w:p w:rsidR="00173A20" w:rsidRPr="007B74B7" w:rsidRDefault="00173A20" w:rsidP="003E606C">
      <w:pPr>
        <w:spacing w:after="60"/>
        <w:rPr>
          <w:lang w:val="it-IT"/>
        </w:rPr>
      </w:pPr>
      <w:r w:rsidRPr="007B74B7">
        <w:rPr>
          <w:b/>
          <w:lang w:val="it-IT"/>
        </w:rPr>
        <w:t xml:space="preserve">Promozioni </w:t>
      </w:r>
    </w:p>
    <w:p w:rsidR="00173A20" w:rsidRPr="007B74B7" w:rsidRDefault="00FE3510" w:rsidP="00173A20">
      <w:pPr>
        <w:outlineLvl w:val="1"/>
        <w:rPr>
          <w:lang w:val="it-IT"/>
        </w:rPr>
      </w:pPr>
      <w:r w:rsidRPr="007B74B7">
        <w:rPr>
          <w:rFonts w:cs="Tahoma"/>
          <w:color w:val="000000"/>
          <w:szCs w:val="18"/>
          <w:lang w:val="it-IT"/>
        </w:rPr>
        <w:t>Sono state aggiunte le seguenti promozioni:</w:t>
      </w:r>
    </w:p>
    <w:p w:rsidR="00FE3510" w:rsidRPr="007B74B7" w:rsidRDefault="00A4121E" w:rsidP="00173A20">
      <w:pPr>
        <w:outlineLvl w:val="1"/>
        <w:rPr>
          <w:lang w:val="it-IT"/>
        </w:rPr>
      </w:pPr>
      <w:r w:rsidRPr="007B74B7">
        <w:rPr>
          <w:rFonts w:cs="Tahoma"/>
          <w:color w:val="000000"/>
          <w:szCs w:val="18"/>
          <w:lang w:val="it-IT"/>
        </w:rPr>
        <w:t>Microsoft Dynamics AX 2012 R2</w:t>
      </w:r>
      <w:r w:rsidR="00FD7C0D" w:rsidRPr="007B74B7">
        <w:rPr>
          <w:rFonts w:cs="Tahoma"/>
          <w:color w:val="000000"/>
          <w:szCs w:val="18"/>
          <w:lang w:val="it-IT"/>
        </w:rPr>
        <w:t xml:space="preserve"> – </w:t>
      </w:r>
      <w:r w:rsidRPr="007B74B7">
        <w:rPr>
          <w:rFonts w:cs="Tahoma"/>
          <w:color w:val="000000"/>
          <w:szCs w:val="18"/>
          <w:lang w:val="it-IT"/>
        </w:rPr>
        <w:t>Promozione: Acquista Una Enterprise CAL e Ricevi Una Functional CAL</w:t>
      </w:r>
    </w:p>
    <w:p w:rsidR="00A4121E" w:rsidRPr="007B74B7" w:rsidRDefault="00A4121E" w:rsidP="00173A20">
      <w:pPr>
        <w:outlineLvl w:val="1"/>
        <w:rPr>
          <w:lang w:val="it-IT"/>
        </w:rPr>
      </w:pPr>
      <w:r w:rsidRPr="007B74B7">
        <w:rPr>
          <w:rFonts w:cs="Tahoma"/>
          <w:color w:val="000000"/>
          <w:szCs w:val="18"/>
          <w:lang w:val="it-IT"/>
        </w:rPr>
        <w:t>Microsoft Dynamics AX 2012 R2</w:t>
      </w:r>
      <w:r w:rsidR="00FD7C0D" w:rsidRPr="007B74B7">
        <w:rPr>
          <w:rFonts w:cs="Tahoma"/>
          <w:color w:val="000000"/>
          <w:szCs w:val="18"/>
          <w:lang w:val="it-IT"/>
        </w:rPr>
        <w:t xml:space="preserve"> – </w:t>
      </w:r>
      <w:r w:rsidRPr="007B74B7">
        <w:rPr>
          <w:rFonts w:cs="Tahoma"/>
          <w:color w:val="000000"/>
          <w:szCs w:val="18"/>
          <w:lang w:val="it-IT"/>
        </w:rPr>
        <w:t>Promozione EA Starter</w:t>
      </w:r>
    </w:p>
    <w:p w:rsidR="00A4121E" w:rsidRPr="007B74B7" w:rsidRDefault="00A4121E" w:rsidP="00173A20">
      <w:pPr>
        <w:outlineLvl w:val="1"/>
        <w:rPr>
          <w:lang w:val="it-IT"/>
        </w:rPr>
      </w:pPr>
      <w:r w:rsidRPr="007B74B7">
        <w:rPr>
          <w:rFonts w:cs="Tahoma"/>
          <w:color w:val="000000"/>
          <w:szCs w:val="18"/>
          <w:lang w:val="it-IT"/>
        </w:rPr>
        <w:t>Sconto Promozionale del 20% per PC Nuovi con Windows Intune</w:t>
      </w:r>
    </w:p>
    <w:p w:rsidR="00FE3510" w:rsidRPr="007B74B7" w:rsidRDefault="00FE3510" w:rsidP="00173A20">
      <w:pPr>
        <w:outlineLvl w:val="1"/>
        <w:rPr>
          <w:lang w:val="it-IT"/>
        </w:rPr>
      </w:pPr>
    </w:p>
    <w:p w:rsidR="00FE3510" w:rsidRPr="007B74B7" w:rsidRDefault="00FE3510" w:rsidP="00173A20">
      <w:pPr>
        <w:outlineLvl w:val="1"/>
        <w:rPr>
          <w:lang w:val="it-IT"/>
        </w:rPr>
      </w:pPr>
      <w:r w:rsidRPr="007B74B7">
        <w:rPr>
          <w:rFonts w:cs="Tahoma"/>
          <w:color w:val="000000"/>
          <w:szCs w:val="18"/>
          <w:lang w:val="it-IT"/>
        </w:rPr>
        <w:t>Sono state eliminate le seguenti promozioni:</w:t>
      </w:r>
    </w:p>
    <w:p w:rsidR="00FE3510" w:rsidRPr="007B74B7" w:rsidRDefault="00FE3510" w:rsidP="00173A20">
      <w:pPr>
        <w:outlineLvl w:val="1"/>
        <w:rPr>
          <w:lang w:val="it-IT"/>
        </w:rPr>
      </w:pPr>
      <w:r w:rsidRPr="007B74B7">
        <w:rPr>
          <w:lang w:val="it-IT"/>
        </w:rPr>
        <w:t>Sconto Promozionale del 20% per PC Nuovi con Windows Intune</w:t>
      </w:r>
    </w:p>
    <w:p w:rsidR="00173A20" w:rsidRPr="007B74B7" w:rsidRDefault="00173A20" w:rsidP="00173A20">
      <w:pPr>
        <w:outlineLvl w:val="1"/>
        <w:rPr>
          <w:lang w:val="it-IT"/>
        </w:rPr>
      </w:pPr>
    </w:p>
    <w:p w:rsidR="00CD7EA6" w:rsidRPr="007B74B7" w:rsidRDefault="00173A20" w:rsidP="003E606C">
      <w:pPr>
        <w:spacing w:after="60"/>
        <w:rPr>
          <w:lang w:val="it-IT"/>
        </w:rPr>
      </w:pPr>
      <w:r w:rsidRPr="007B74B7">
        <w:rPr>
          <w:b/>
          <w:lang w:val="it-IT"/>
        </w:rPr>
        <w:t>Prodotti Eliminati</w:t>
      </w:r>
    </w:p>
    <w:p w:rsidR="00685009" w:rsidRPr="007B74B7" w:rsidRDefault="00685009" w:rsidP="00685009">
      <w:pPr>
        <w:rPr>
          <w:lang w:val="it-IT"/>
        </w:rPr>
      </w:pPr>
      <w:r w:rsidRPr="007B74B7">
        <w:rPr>
          <w:color w:val="000000"/>
          <w:lang w:val="it-IT"/>
        </w:rPr>
        <w:t>Access 2010</w:t>
      </w:r>
    </w:p>
    <w:p w:rsidR="00685009" w:rsidRPr="007B74B7" w:rsidRDefault="00685009" w:rsidP="00685009">
      <w:pPr>
        <w:rPr>
          <w:lang w:val="it-IT"/>
        </w:rPr>
      </w:pPr>
      <w:r w:rsidRPr="007B74B7">
        <w:rPr>
          <w:color w:val="000000"/>
          <w:lang w:val="it-IT"/>
        </w:rPr>
        <w:t>Duet Enterprise per Microsoft SharePoint e SAP 1.0</w:t>
      </w:r>
    </w:p>
    <w:p w:rsidR="00685009" w:rsidRPr="007B74B7" w:rsidRDefault="00685009" w:rsidP="00685009">
      <w:pPr>
        <w:rPr>
          <w:lang w:val="it-IT"/>
        </w:rPr>
      </w:pPr>
      <w:r w:rsidRPr="007B74B7">
        <w:rPr>
          <w:color w:val="000000"/>
          <w:lang w:val="it-IT"/>
        </w:rPr>
        <w:t>Dynamics CRM Onprem Mobile</w:t>
      </w:r>
    </w:p>
    <w:p w:rsidR="00685009" w:rsidRPr="007B74B7" w:rsidRDefault="00685009" w:rsidP="00685009">
      <w:pPr>
        <w:rPr>
          <w:lang w:val="it-IT"/>
        </w:rPr>
      </w:pPr>
      <w:r w:rsidRPr="007B74B7">
        <w:rPr>
          <w:color w:val="000000"/>
          <w:lang w:val="it-IT"/>
        </w:rPr>
        <w:t>Dynamics CRM Mobile</w:t>
      </w:r>
    </w:p>
    <w:p w:rsidR="00685009" w:rsidRPr="00BD7CEA" w:rsidRDefault="00685009" w:rsidP="00685009">
      <w:r w:rsidRPr="00BD7CEA">
        <w:rPr>
          <w:color w:val="000000"/>
        </w:rPr>
        <w:t>Excel 2010</w:t>
      </w:r>
    </w:p>
    <w:p w:rsidR="00685009" w:rsidRPr="00BD7CEA" w:rsidRDefault="00685009" w:rsidP="00685009">
      <w:r w:rsidRPr="00BD7CEA">
        <w:rPr>
          <w:color w:val="000000"/>
        </w:rPr>
        <w:t>Exchange Server 2010 External Connector</w:t>
      </w:r>
    </w:p>
    <w:p w:rsidR="00685009" w:rsidRPr="00BD7CEA" w:rsidRDefault="00685009" w:rsidP="00685009">
      <w:r w:rsidRPr="00BD7CEA">
        <w:rPr>
          <w:color w:val="000000"/>
        </w:rPr>
        <w:t>FAST SearchServer per SharePoint</w:t>
      </w:r>
    </w:p>
    <w:p w:rsidR="00685009" w:rsidRPr="00BD7CEA" w:rsidRDefault="00685009" w:rsidP="00685009">
      <w:r w:rsidRPr="00BD7CEA">
        <w:rPr>
          <w:color w:val="000000"/>
        </w:rPr>
        <w:t>Forefront Protection Suite</w:t>
      </w:r>
    </w:p>
    <w:p w:rsidR="00685009" w:rsidRPr="00BD7CEA" w:rsidRDefault="00685009" w:rsidP="00685009">
      <w:r w:rsidRPr="00BD7CEA">
        <w:rPr>
          <w:color w:val="000000"/>
        </w:rPr>
        <w:t>Forefront Security Exchange Server</w:t>
      </w:r>
    </w:p>
    <w:p w:rsidR="00685009" w:rsidRPr="00BD7CEA" w:rsidRDefault="00685009" w:rsidP="00685009">
      <w:r w:rsidRPr="00BD7CEA">
        <w:rPr>
          <w:color w:val="000000"/>
        </w:rPr>
        <w:t>Forefront Security for Office Communications Server</w:t>
      </w:r>
    </w:p>
    <w:p w:rsidR="00685009" w:rsidRPr="00BD7CEA" w:rsidRDefault="00685009" w:rsidP="00685009">
      <w:r w:rsidRPr="00BD7CEA">
        <w:rPr>
          <w:color w:val="000000"/>
        </w:rPr>
        <w:t>Forefront Security per SharePoint</w:t>
      </w:r>
    </w:p>
    <w:p w:rsidR="00685009" w:rsidRPr="00BD7CEA" w:rsidRDefault="00685009" w:rsidP="00685009">
      <w:r w:rsidRPr="00BD7CEA">
        <w:rPr>
          <w:color w:val="000000"/>
        </w:rPr>
        <w:t>Forefront Security Server Management Console</w:t>
      </w:r>
    </w:p>
    <w:p w:rsidR="00685009" w:rsidRPr="00BD7CEA" w:rsidRDefault="00685009" w:rsidP="00685009">
      <w:r w:rsidRPr="00BD7CEA">
        <w:rPr>
          <w:color w:val="000000"/>
        </w:rPr>
        <w:t>Forefront Security Web</w:t>
      </w:r>
    </w:p>
    <w:p w:rsidR="00685009" w:rsidRPr="00BD7CEA" w:rsidRDefault="00685009" w:rsidP="00685009">
      <w:r w:rsidRPr="00BD7CEA">
        <w:rPr>
          <w:color w:val="000000"/>
        </w:rPr>
        <w:t>Forefront Threat Management Gateway Enterprise</w:t>
      </w:r>
    </w:p>
    <w:p w:rsidR="00685009" w:rsidRPr="00BD7CEA" w:rsidRDefault="00685009" w:rsidP="00685009">
      <w:r w:rsidRPr="00BD7CEA">
        <w:rPr>
          <w:color w:val="000000"/>
        </w:rPr>
        <w:t>Forefront Threat Management Gateway Medium Business</w:t>
      </w:r>
    </w:p>
    <w:p w:rsidR="00685009" w:rsidRPr="00BD7CEA" w:rsidRDefault="00685009" w:rsidP="00685009">
      <w:r w:rsidRPr="00BD7CEA">
        <w:rPr>
          <w:color w:val="000000"/>
        </w:rPr>
        <w:t>Forefront Threat Management Gateway Standard</w:t>
      </w:r>
    </w:p>
    <w:p w:rsidR="00685009" w:rsidRPr="00BD7CEA" w:rsidRDefault="00685009" w:rsidP="00685009">
      <w:r w:rsidRPr="00BD7CEA">
        <w:rPr>
          <w:color w:val="000000"/>
        </w:rPr>
        <w:t>Forefront Threat Management Gateway Web Protection Service</w:t>
      </w:r>
    </w:p>
    <w:p w:rsidR="00685009" w:rsidRPr="00BD7CEA" w:rsidRDefault="00685009" w:rsidP="00685009">
      <w:r w:rsidRPr="00BD7CEA">
        <w:rPr>
          <w:color w:val="000000"/>
        </w:rPr>
        <w:t>Forefront Protection 2010 for Exchange Server</w:t>
      </w:r>
    </w:p>
    <w:p w:rsidR="00685009" w:rsidRPr="00BD7CEA" w:rsidRDefault="00685009" w:rsidP="00685009">
      <w:r w:rsidRPr="00BD7CEA">
        <w:rPr>
          <w:color w:val="000000"/>
        </w:rPr>
        <w:t>External Connector per Forefront Protection 2010 for Exchange Server</w:t>
      </w:r>
    </w:p>
    <w:p w:rsidR="00685009" w:rsidRPr="00BD7CEA" w:rsidRDefault="00685009" w:rsidP="00685009">
      <w:r w:rsidRPr="00BD7CEA">
        <w:rPr>
          <w:color w:val="000000"/>
        </w:rPr>
        <w:t>Forefront Protection for SharePoint</w:t>
      </w:r>
    </w:p>
    <w:p w:rsidR="00685009" w:rsidRPr="00BD7CEA" w:rsidRDefault="00685009" w:rsidP="00685009">
      <w:r w:rsidRPr="00BD7CEA">
        <w:rPr>
          <w:color w:val="000000"/>
        </w:rPr>
        <w:t>Groove Enterprise Services</w:t>
      </w:r>
    </w:p>
    <w:p w:rsidR="00685009" w:rsidRPr="00BD7CEA" w:rsidRDefault="00685009" w:rsidP="00685009">
      <w:r w:rsidRPr="00BD7CEA">
        <w:rPr>
          <w:color w:val="000000"/>
        </w:rPr>
        <w:lastRenderedPageBreak/>
        <w:t>Groove Server</w:t>
      </w:r>
    </w:p>
    <w:p w:rsidR="00685009" w:rsidRPr="00BD7CEA" w:rsidRDefault="00685009" w:rsidP="00685009">
      <w:r w:rsidRPr="00BD7CEA">
        <w:rPr>
          <w:color w:val="000000"/>
        </w:rPr>
        <w:t>InfoPath 2010</w:t>
      </w:r>
    </w:p>
    <w:p w:rsidR="00685009" w:rsidRPr="00BD7CEA" w:rsidRDefault="00685009" w:rsidP="00685009">
      <w:r w:rsidRPr="00BD7CEA">
        <w:rPr>
          <w:color w:val="000000"/>
        </w:rPr>
        <w:t>Lync 2010</w:t>
      </w:r>
    </w:p>
    <w:p w:rsidR="00685009" w:rsidRPr="00BD7CEA" w:rsidRDefault="00685009" w:rsidP="00685009">
      <w:r w:rsidRPr="00BD7CEA">
        <w:rPr>
          <w:color w:val="000000"/>
        </w:rPr>
        <w:t>Lync Server 2010 Enterprise Edition</w:t>
      </w:r>
    </w:p>
    <w:p w:rsidR="00685009" w:rsidRPr="00BD7CEA" w:rsidRDefault="00685009" w:rsidP="00685009">
      <w:r w:rsidRPr="00BD7CEA">
        <w:rPr>
          <w:color w:val="000000"/>
        </w:rPr>
        <w:t>Enterprise External Connector per Lync Server 2010</w:t>
      </w:r>
    </w:p>
    <w:p w:rsidR="00685009" w:rsidRPr="00BD7CEA" w:rsidRDefault="00685009" w:rsidP="00685009">
      <w:r w:rsidRPr="00BD7CEA">
        <w:rPr>
          <w:color w:val="000000"/>
        </w:rPr>
        <w:t>Plus External Connector per Lync Server 2010</w:t>
      </w:r>
    </w:p>
    <w:p w:rsidR="00685009" w:rsidRPr="00BD7CEA" w:rsidRDefault="00685009" w:rsidP="00685009">
      <w:r w:rsidRPr="00BD7CEA">
        <w:rPr>
          <w:color w:val="000000"/>
        </w:rPr>
        <w:t>Standard External Connector per Lync Server 2010</w:t>
      </w:r>
    </w:p>
    <w:p w:rsidR="00685009" w:rsidRPr="00BD7CEA" w:rsidRDefault="00685009" w:rsidP="00685009">
      <w:r w:rsidRPr="00BD7CEA">
        <w:rPr>
          <w:color w:val="000000"/>
        </w:rPr>
        <w:t>Lync Server 2010 Standard Edition</w:t>
      </w:r>
    </w:p>
    <w:p w:rsidR="00685009" w:rsidRPr="00BD7CEA" w:rsidRDefault="00685009" w:rsidP="00685009">
      <w:r w:rsidRPr="00BD7CEA">
        <w:rPr>
          <w:color w:val="000000"/>
        </w:rPr>
        <w:t>Office Groove Enterprise Services</w:t>
      </w:r>
    </w:p>
    <w:p w:rsidR="00685009" w:rsidRPr="00BD7CEA" w:rsidRDefault="00685009" w:rsidP="00685009">
      <w:r w:rsidRPr="00BD7CEA">
        <w:rPr>
          <w:color w:val="000000"/>
        </w:rPr>
        <w:t>Office Multi-Language Pack 2010</w:t>
      </w:r>
    </w:p>
    <w:p w:rsidR="00685009" w:rsidRPr="00BD7CEA" w:rsidRDefault="00685009" w:rsidP="00685009">
      <w:r w:rsidRPr="00BD7CEA">
        <w:rPr>
          <w:color w:val="000000"/>
        </w:rPr>
        <w:t>Office Professional Plus 2010</w:t>
      </w:r>
    </w:p>
    <w:p w:rsidR="00685009" w:rsidRPr="00BD7CEA" w:rsidRDefault="00685009" w:rsidP="00685009">
      <w:r w:rsidRPr="00BD7CEA">
        <w:rPr>
          <w:color w:val="000000"/>
        </w:rPr>
        <w:t>Office Standard 2010</w:t>
      </w:r>
    </w:p>
    <w:p w:rsidR="00685009" w:rsidRPr="00BD7CEA" w:rsidRDefault="00685009" w:rsidP="00685009">
      <w:r w:rsidRPr="00BD7CEA">
        <w:rPr>
          <w:color w:val="000000"/>
        </w:rPr>
        <w:t>Office Small Business Get Genuine</w:t>
      </w:r>
    </w:p>
    <w:p w:rsidR="00685009" w:rsidRPr="00BD7CEA" w:rsidRDefault="00685009" w:rsidP="00685009">
      <w:r w:rsidRPr="00BD7CEA">
        <w:rPr>
          <w:color w:val="000000"/>
        </w:rPr>
        <w:t>OneNote 2010</w:t>
      </w:r>
    </w:p>
    <w:p w:rsidR="00685009" w:rsidRPr="00BD7CEA" w:rsidRDefault="00685009" w:rsidP="00685009">
      <w:r w:rsidRPr="00BD7CEA">
        <w:rPr>
          <w:color w:val="000000"/>
        </w:rPr>
        <w:t>Outlook 2010</w:t>
      </w:r>
    </w:p>
    <w:p w:rsidR="00685009" w:rsidRPr="00BD7CEA" w:rsidRDefault="00685009" w:rsidP="00685009">
      <w:r w:rsidRPr="00BD7CEA">
        <w:rPr>
          <w:color w:val="000000"/>
        </w:rPr>
        <w:t>Outlook con Business Contact Manager</w:t>
      </w:r>
    </w:p>
    <w:p w:rsidR="00685009" w:rsidRPr="00BD7CEA" w:rsidRDefault="00685009" w:rsidP="00685009">
      <w:r w:rsidRPr="00BD7CEA">
        <w:rPr>
          <w:color w:val="000000"/>
        </w:rPr>
        <w:t>PowerPoint 2010</w:t>
      </w:r>
    </w:p>
    <w:p w:rsidR="00685009" w:rsidRPr="00BD7CEA" w:rsidRDefault="00685009" w:rsidP="00685009">
      <w:r w:rsidRPr="00BD7CEA">
        <w:rPr>
          <w:color w:val="000000"/>
        </w:rPr>
        <w:t>Project 2010 Standard</w:t>
      </w:r>
    </w:p>
    <w:p w:rsidR="00685009" w:rsidRPr="00BD7CEA" w:rsidRDefault="00685009" w:rsidP="00685009">
      <w:r w:rsidRPr="00BD7CEA">
        <w:rPr>
          <w:color w:val="000000"/>
        </w:rPr>
        <w:t>Project 2010 Professional</w:t>
      </w:r>
    </w:p>
    <w:p w:rsidR="00685009" w:rsidRPr="00BD7CEA" w:rsidRDefault="00685009" w:rsidP="00685009">
      <w:r w:rsidRPr="00BD7CEA">
        <w:rPr>
          <w:color w:val="000000"/>
        </w:rPr>
        <w:t>Search Server 2010</w:t>
      </w:r>
    </w:p>
    <w:p w:rsidR="00685009" w:rsidRPr="00BD7CEA" w:rsidRDefault="00685009" w:rsidP="00685009">
      <w:r w:rsidRPr="00BD7CEA">
        <w:rPr>
          <w:color w:val="000000"/>
        </w:rPr>
        <w:t>SharePoint Server 2010 for Internet Sites Enterprise</w:t>
      </w:r>
    </w:p>
    <w:p w:rsidR="00685009" w:rsidRPr="00BD7CEA" w:rsidRDefault="00685009" w:rsidP="00685009">
      <w:r w:rsidRPr="00BD7CEA">
        <w:rPr>
          <w:color w:val="000000"/>
        </w:rPr>
        <w:t>SharePoint Server 2010 for Internet Sites Standard</w:t>
      </w:r>
    </w:p>
    <w:p w:rsidR="00685009" w:rsidRPr="00BD7CEA" w:rsidRDefault="00685009" w:rsidP="00685009">
      <w:r w:rsidRPr="00BD7CEA">
        <w:rPr>
          <w:color w:val="000000"/>
        </w:rPr>
        <w:t>SharePoint Workspace 2010</w:t>
      </w:r>
    </w:p>
    <w:p w:rsidR="00685009" w:rsidRPr="007B74B7" w:rsidRDefault="00685009" w:rsidP="00685009">
      <w:pPr>
        <w:rPr>
          <w:lang w:val="it-IT"/>
        </w:rPr>
      </w:pPr>
      <w:r w:rsidRPr="007B74B7">
        <w:rPr>
          <w:color w:val="000000"/>
          <w:lang w:val="it-IT"/>
        </w:rPr>
        <w:t>Visio 2010 Premium</w:t>
      </w:r>
    </w:p>
    <w:p w:rsidR="00685009" w:rsidRPr="007B74B7" w:rsidRDefault="00685009" w:rsidP="00685009">
      <w:pPr>
        <w:rPr>
          <w:lang w:val="it-IT"/>
        </w:rPr>
      </w:pPr>
      <w:r w:rsidRPr="007B74B7">
        <w:rPr>
          <w:color w:val="000000"/>
          <w:lang w:val="it-IT"/>
        </w:rPr>
        <w:t>Visio 2010 Standard</w:t>
      </w:r>
    </w:p>
    <w:p w:rsidR="00685009" w:rsidRPr="007B74B7" w:rsidRDefault="00685009" w:rsidP="00685009">
      <w:pPr>
        <w:rPr>
          <w:lang w:val="it-IT"/>
        </w:rPr>
      </w:pPr>
      <w:r w:rsidRPr="007B74B7">
        <w:rPr>
          <w:color w:val="000000"/>
          <w:lang w:val="it-IT"/>
        </w:rPr>
        <w:t>Windows Intune (Per Dispositivo)</w:t>
      </w:r>
    </w:p>
    <w:p w:rsidR="00685009" w:rsidRPr="007B74B7" w:rsidRDefault="00685009" w:rsidP="00685009">
      <w:pPr>
        <w:rPr>
          <w:lang w:val="it-IT"/>
        </w:rPr>
      </w:pPr>
      <w:r w:rsidRPr="007B74B7">
        <w:rPr>
          <w:color w:val="000000"/>
          <w:lang w:val="it-IT"/>
        </w:rPr>
        <w:t>Componente Aggiuntivo per Windows Intune (Per Dispositivo)</w:t>
      </w:r>
    </w:p>
    <w:p w:rsidR="00685009" w:rsidRPr="00BD7CEA" w:rsidRDefault="00685009" w:rsidP="00685009">
      <w:r w:rsidRPr="00BD7CEA">
        <w:rPr>
          <w:color w:val="000000"/>
        </w:rPr>
        <w:t>Windows MultiPoint Server 2011 Standard</w:t>
      </w:r>
    </w:p>
    <w:p w:rsidR="00685009" w:rsidRPr="00BD7CEA" w:rsidRDefault="00685009" w:rsidP="00685009">
      <w:r w:rsidRPr="00BD7CEA">
        <w:rPr>
          <w:color w:val="000000"/>
        </w:rPr>
        <w:t>Windows MultiPoint Server 2011 Premium</w:t>
      </w:r>
    </w:p>
    <w:p w:rsidR="00685009" w:rsidRPr="00BD7CEA" w:rsidRDefault="00685009" w:rsidP="00685009">
      <w:r w:rsidRPr="00BD7CEA">
        <w:rPr>
          <w:color w:val="000000"/>
        </w:rPr>
        <w:t>CAL per Windows MultiPoint Server 2011</w:t>
      </w:r>
    </w:p>
    <w:p w:rsidR="00685009" w:rsidRPr="00BD7CEA" w:rsidRDefault="00685009" w:rsidP="00685009">
      <w:r w:rsidRPr="00BD7CEA">
        <w:rPr>
          <w:color w:val="000000"/>
        </w:rPr>
        <w:t>CAL per Windows MultiPoint Server 2011 con CAL per Windows Server 2008</w:t>
      </w:r>
    </w:p>
    <w:p w:rsidR="00685009" w:rsidRPr="00BD7CEA" w:rsidRDefault="00685009" w:rsidP="00685009">
      <w:r w:rsidRPr="00BD7CEA">
        <w:rPr>
          <w:color w:val="000000"/>
        </w:rPr>
        <w:t>Licenza CAL per Windows MultiPoint Server 2011 Premium con Windows MultiPoint Server 2011 (5 Client)</w:t>
      </w:r>
    </w:p>
    <w:p w:rsidR="00685009" w:rsidRPr="00BD7CEA" w:rsidRDefault="00685009" w:rsidP="00685009">
      <w:r w:rsidRPr="00BD7CEA">
        <w:rPr>
          <w:color w:val="000000"/>
        </w:rPr>
        <w:t>Licenza CAL per Windows MultiPoint Server 2011 Premium con Windows MultiPoint Server 2011 (5 Client) con</w:t>
      </w:r>
      <w:r w:rsidR="009A0519" w:rsidRPr="00BD7CEA">
        <w:rPr>
          <w:color w:val="000000"/>
        </w:rPr>
        <w:t> </w:t>
      </w:r>
      <w:r w:rsidRPr="00BD7CEA">
        <w:rPr>
          <w:color w:val="000000"/>
        </w:rPr>
        <w:t>Licenza CAL per Windows Server 2008 (5 Client)</w:t>
      </w:r>
    </w:p>
    <w:p w:rsidR="00685009" w:rsidRPr="007B74B7" w:rsidRDefault="00685009" w:rsidP="00685009">
      <w:pPr>
        <w:rPr>
          <w:lang w:val="it-IT"/>
        </w:rPr>
      </w:pPr>
      <w:r w:rsidRPr="007B74B7">
        <w:rPr>
          <w:color w:val="000000"/>
          <w:lang w:val="it-IT"/>
        </w:rPr>
        <w:t>Word 2010</w:t>
      </w:r>
    </w:p>
    <w:p w:rsidR="00173A20" w:rsidRPr="007B74B7" w:rsidRDefault="00173A20" w:rsidP="00173A20">
      <w:pPr>
        <w:rPr>
          <w:lang w:val="it-IT"/>
        </w:rPr>
      </w:pPr>
    </w:p>
    <w:p w:rsidR="00A33CF7" w:rsidRPr="007B74B7" w:rsidRDefault="00A33CF7" w:rsidP="00173A20">
      <w:pPr>
        <w:rPr>
          <w:lang w:val="it-IT"/>
        </w:rPr>
      </w:pPr>
    </w:p>
    <w:p w:rsidR="00E64830" w:rsidRPr="007B74B7" w:rsidRDefault="00E64830" w:rsidP="00E64830">
      <w:pPr>
        <w:pStyle w:val="Heading2"/>
        <w:ind w:left="0"/>
        <w:jc w:val="both"/>
        <w:rPr>
          <w:lang w:val="it-IT"/>
        </w:rPr>
      </w:pPr>
      <w:bookmarkStart w:id="627" w:name="_Toc353375953"/>
      <w:r w:rsidRPr="007B74B7">
        <w:rPr>
          <w:rFonts w:ascii="Tahoma" w:hAnsi="Tahoma" w:cs="Tahoma"/>
          <w:color w:val="FF6600"/>
          <w:lang w:val="it-IT"/>
        </w:rPr>
        <w:t>MODIFICHE APPORTATE NEL MESE DI NOVEMBRE 2012</w:t>
      </w:r>
      <w:bookmarkEnd w:id="627"/>
    </w:p>
    <w:p w:rsidR="00E64830" w:rsidRPr="007B74B7" w:rsidRDefault="00E64830" w:rsidP="007B0DDA">
      <w:pPr>
        <w:pStyle w:val="Heading2"/>
        <w:ind w:left="0"/>
        <w:jc w:val="both"/>
        <w:rPr>
          <w:lang w:val="it-IT"/>
        </w:rPr>
      </w:pPr>
    </w:p>
    <w:p w:rsidR="00E64830" w:rsidRPr="007B74B7" w:rsidRDefault="00E64830" w:rsidP="003E606C">
      <w:pPr>
        <w:spacing w:after="60"/>
        <w:rPr>
          <w:lang w:val="it-IT"/>
        </w:rPr>
      </w:pPr>
      <w:r w:rsidRPr="007B74B7">
        <w:rPr>
          <w:b/>
          <w:lang w:val="it-IT"/>
        </w:rPr>
        <w:t>Prodotti Aggiunti</w:t>
      </w:r>
    </w:p>
    <w:p w:rsidR="00E64830" w:rsidRPr="007B74B7" w:rsidRDefault="00E64830" w:rsidP="00C530A9">
      <w:pPr>
        <w:rPr>
          <w:lang w:val="it-IT"/>
        </w:rPr>
      </w:pPr>
      <w:r w:rsidRPr="007B74B7">
        <w:rPr>
          <w:lang w:val="it-IT"/>
        </w:rPr>
        <w:t>Microsoft Windows Server Essentials 2012</w:t>
      </w:r>
    </w:p>
    <w:p w:rsidR="00E64830" w:rsidRPr="007B74B7" w:rsidRDefault="00E64830" w:rsidP="00C530A9">
      <w:pPr>
        <w:rPr>
          <w:lang w:val="it-IT"/>
        </w:rPr>
      </w:pPr>
      <w:r w:rsidRPr="007B74B7">
        <w:rPr>
          <w:lang w:val="it-IT"/>
        </w:rPr>
        <w:t>Microsoft AutoRoute Euro 2013</w:t>
      </w:r>
    </w:p>
    <w:p w:rsidR="00E64830" w:rsidRPr="007B74B7" w:rsidRDefault="00E64830" w:rsidP="00C530A9">
      <w:pPr>
        <w:rPr>
          <w:lang w:val="it-IT"/>
        </w:rPr>
      </w:pPr>
      <w:r w:rsidRPr="007B74B7">
        <w:rPr>
          <w:lang w:val="it-IT"/>
        </w:rPr>
        <w:t>Microsoft Desktop Organization Pack 2012 per Software Assurance</w:t>
      </w:r>
    </w:p>
    <w:p w:rsidR="00E64830" w:rsidRPr="007B74B7" w:rsidRDefault="00E64830" w:rsidP="00C530A9">
      <w:pPr>
        <w:rPr>
          <w:lang w:val="it-IT"/>
        </w:rPr>
      </w:pPr>
    </w:p>
    <w:p w:rsidR="00D24E3C" w:rsidRPr="007B74B7" w:rsidRDefault="00D24E3C" w:rsidP="003E606C">
      <w:pPr>
        <w:spacing w:after="60"/>
        <w:rPr>
          <w:lang w:val="it-IT"/>
        </w:rPr>
      </w:pPr>
      <w:r w:rsidRPr="007B74B7">
        <w:rPr>
          <w:b/>
          <w:lang w:val="it-IT"/>
        </w:rPr>
        <w:t>Promozioni</w:t>
      </w:r>
    </w:p>
    <w:p w:rsidR="00D24E3C" w:rsidRPr="007B74B7" w:rsidRDefault="00D24E3C" w:rsidP="00E64830">
      <w:pPr>
        <w:rPr>
          <w:lang w:val="it-IT"/>
        </w:rPr>
      </w:pPr>
      <w:r w:rsidRPr="007B74B7">
        <w:rPr>
          <w:color w:val="000000"/>
          <w:lang w:val="it-IT"/>
        </w:rPr>
        <w:t>Sono state aggiunte le seguenti promozioni:</w:t>
      </w:r>
    </w:p>
    <w:p w:rsidR="00D24E3C" w:rsidRPr="007B74B7" w:rsidRDefault="00D24E3C" w:rsidP="00E64830">
      <w:pPr>
        <w:rPr>
          <w:lang w:val="it-IT"/>
        </w:rPr>
      </w:pPr>
      <w:r w:rsidRPr="007B74B7">
        <w:rPr>
          <w:color w:val="000000"/>
          <w:lang w:val="it-IT"/>
        </w:rPr>
        <w:t>Sconto del 30% per l</w:t>
      </w:r>
      <w:r w:rsidR="007A1415" w:rsidRPr="007B74B7">
        <w:rPr>
          <w:color w:val="000000"/>
          <w:lang w:val="it-IT"/>
        </w:rPr>
        <w:t>’</w:t>
      </w:r>
      <w:r w:rsidRPr="007B74B7">
        <w:rPr>
          <w:color w:val="000000"/>
          <w:lang w:val="it-IT"/>
        </w:rPr>
        <w:t>Aggiornamento a Visual Studio Premium con MSDN</w:t>
      </w:r>
    </w:p>
    <w:p w:rsidR="00D24E3C" w:rsidRPr="00BD7CEA" w:rsidRDefault="00D24E3C" w:rsidP="00ED2410">
      <w:r w:rsidRPr="00BD7CEA">
        <w:t>Step-Up a Windows 8 con SA</w:t>
      </w:r>
    </w:p>
    <w:p w:rsidR="00D24E3C" w:rsidRPr="007B74B7" w:rsidRDefault="00D24E3C" w:rsidP="00ED2410">
      <w:pPr>
        <w:rPr>
          <w:lang w:val="it-IT"/>
        </w:rPr>
      </w:pPr>
      <w:r w:rsidRPr="007B74B7">
        <w:rPr>
          <w:lang w:val="it-IT"/>
        </w:rPr>
        <w:t>Sconto Promozionale del 20% per PC Nuovi con Windows Intune</w:t>
      </w:r>
    </w:p>
    <w:p w:rsidR="00D24E3C" w:rsidRPr="007B74B7" w:rsidRDefault="00D24E3C" w:rsidP="00E64830">
      <w:pPr>
        <w:rPr>
          <w:lang w:val="it-IT"/>
        </w:rPr>
      </w:pPr>
    </w:p>
    <w:p w:rsidR="00E64830" w:rsidRPr="007B74B7" w:rsidRDefault="00E64830" w:rsidP="003E606C">
      <w:pPr>
        <w:spacing w:after="60"/>
        <w:rPr>
          <w:lang w:val="it-IT"/>
        </w:rPr>
      </w:pPr>
      <w:r w:rsidRPr="007B74B7">
        <w:rPr>
          <w:b/>
          <w:lang w:val="it-IT"/>
        </w:rPr>
        <w:t>Modifiche</w:t>
      </w:r>
    </w:p>
    <w:p w:rsidR="00D24E3C" w:rsidRPr="007B74B7" w:rsidRDefault="00D8428A" w:rsidP="00E64830">
      <w:pPr>
        <w:rPr>
          <w:lang w:val="it-IT"/>
        </w:rPr>
      </w:pPr>
      <w:r w:rsidRPr="007B74B7">
        <w:rPr>
          <w:color w:val="000000"/>
          <w:lang w:val="it-IT"/>
        </w:rPr>
        <w:t>Sono stati apportati aggiornamenti ai seguenti prodotti:</w:t>
      </w:r>
    </w:p>
    <w:p w:rsidR="003A5ABA" w:rsidRPr="007B74B7" w:rsidRDefault="00D8428A" w:rsidP="00E64830">
      <w:pPr>
        <w:rPr>
          <w:lang w:val="it-IT"/>
        </w:rPr>
      </w:pPr>
      <w:r w:rsidRPr="007B74B7">
        <w:rPr>
          <w:color w:val="000000"/>
          <w:lang w:val="it-IT"/>
        </w:rPr>
        <w:t>Microsoft Desktop Optimization Pack</w:t>
      </w:r>
    </w:p>
    <w:p w:rsidR="000225E7" w:rsidRPr="007B74B7" w:rsidRDefault="000225E7" w:rsidP="00C530A9">
      <w:pPr>
        <w:rPr>
          <w:lang w:val="it-IT"/>
        </w:rPr>
      </w:pPr>
    </w:p>
    <w:p w:rsidR="00095F5D" w:rsidRPr="007B74B7" w:rsidRDefault="00095F5D" w:rsidP="00C530A9">
      <w:pPr>
        <w:rPr>
          <w:lang w:val="it-IT"/>
        </w:rPr>
      </w:pPr>
    </w:p>
    <w:p w:rsidR="00095F5D" w:rsidRPr="007B74B7" w:rsidRDefault="00095F5D" w:rsidP="00C530A9">
      <w:pPr>
        <w:rPr>
          <w:lang w:val="it-IT"/>
        </w:rPr>
      </w:pPr>
    </w:p>
    <w:p w:rsidR="00095F5D" w:rsidRPr="007B74B7" w:rsidRDefault="00095F5D" w:rsidP="00C530A9">
      <w:pPr>
        <w:rPr>
          <w:lang w:val="it-IT"/>
        </w:rPr>
      </w:pPr>
    </w:p>
    <w:p w:rsidR="00095F5D" w:rsidRPr="007B74B7" w:rsidRDefault="00095F5D" w:rsidP="00C530A9">
      <w:pPr>
        <w:rPr>
          <w:lang w:val="it-IT"/>
        </w:rPr>
      </w:pPr>
    </w:p>
    <w:p w:rsidR="00E64830" w:rsidRPr="007B74B7" w:rsidRDefault="00E64830" w:rsidP="003E606C">
      <w:pPr>
        <w:spacing w:after="60"/>
        <w:rPr>
          <w:lang w:val="it-IT"/>
        </w:rPr>
      </w:pPr>
      <w:r w:rsidRPr="007B74B7">
        <w:rPr>
          <w:b/>
          <w:lang w:val="it-IT"/>
        </w:rPr>
        <w:lastRenderedPageBreak/>
        <w:t>Prodotti Eliminati</w:t>
      </w:r>
    </w:p>
    <w:p w:rsidR="00E64830" w:rsidRPr="00BD7CEA" w:rsidRDefault="00E64830" w:rsidP="00C530A9">
      <w:r w:rsidRPr="00BD7CEA">
        <w:t>Windows Small Business Server Essentials 2011</w:t>
      </w:r>
    </w:p>
    <w:p w:rsidR="00E64830" w:rsidRPr="00BD7CEA" w:rsidRDefault="00E64830" w:rsidP="00C530A9">
      <w:r w:rsidRPr="00BD7CEA">
        <w:t>AutoRoute 2011</w:t>
      </w:r>
    </w:p>
    <w:p w:rsidR="00E64830" w:rsidRPr="00BD7CEA" w:rsidRDefault="00E64830" w:rsidP="00C530A9">
      <w:r w:rsidRPr="00BD7CEA">
        <w:t>Microsoft Desktop Optimization Pack 2011 R2 per Software Assurance.</w:t>
      </w:r>
    </w:p>
    <w:p w:rsidR="00E64830" w:rsidRPr="00BD7CEA" w:rsidRDefault="00E64830" w:rsidP="007B0DDA">
      <w:pPr>
        <w:pStyle w:val="Heading2"/>
        <w:ind w:left="0"/>
        <w:jc w:val="both"/>
      </w:pPr>
    </w:p>
    <w:p w:rsidR="0021637C" w:rsidRPr="00BD7CEA" w:rsidRDefault="0021637C" w:rsidP="007B0DDA">
      <w:pPr>
        <w:pStyle w:val="Heading2"/>
        <w:ind w:left="0"/>
        <w:jc w:val="both"/>
      </w:pPr>
    </w:p>
    <w:p w:rsidR="007B0DDA" w:rsidRPr="007B74B7" w:rsidRDefault="007B0DDA" w:rsidP="007B0DDA">
      <w:pPr>
        <w:pStyle w:val="Heading2"/>
        <w:ind w:left="0"/>
        <w:jc w:val="both"/>
        <w:rPr>
          <w:lang w:val="it-IT"/>
        </w:rPr>
      </w:pPr>
      <w:bookmarkStart w:id="628" w:name="_Toc336338169"/>
      <w:bookmarkStart w:id="629" w:name="_Toc353375954"/>
      <w:r w:rsidRPr="007B74B7">
        <w:rPr>
          <w:rFonts w:ascii="Tahoma" w:hAnsi="Tahoma" w:cs="Tahoma"/>
          <w:color w:val="FF6600"/>
          <w:lang w:val="it-IT"/>
        </w:rPr>
        <w:t>MODIFICHE APPORTATE NEL MESE DI OTTOBRE 2012</w:t>
      </w:r>
      <w:bookmarkEnd w:id="628"/>
      <w:bookmarkEnd w:id="629"/>
    </w:p>
    <w:p w:rsidR="007B0DDA" w:rsidRPr="007B74B7" w:rsidRDefault="007B0DDA" w:rsidP="007B0DDA">
      <w:pPr>
        <w:rPr>
          <w:lang w:val="it-IT"/>
        </w:rPr>
      </w:pPr>
    </w:p>
    <w:p w:rsidR="007B0DDA" w:rsidRPr="007B74B7" w:rsidRDefault="007B0DDA" w:rsidP="003E606C">
      <w:pPr>
        <w:spacing w:after="60"/>
        <w:rPr>
          <w:lang w:val="it-IT"/>
        </w:rPr>
      </w:pPr>
      <w:r w:rsidRPr="007B74B7">
        <w:rPr>
          <w:b/>
          <w:lang w:val="it-IT"/>
        </w:rPr>
        <w:t>Prodotti Aggiunti</w:t>
      </w:r>
    </w:p>
    <w:p w:rsidR="007B0DDA" w:rsidRPr="007B74B7" w:rsidRDefault="00AD19DE" w:rsidP="007B0DDA">
      <w:pPr>
        <w:rPr>
          <w:lang w:val="it-IT"/>
        </w:rPr>
      </w:pPr>
      <w:r w:rsidRPr="007B74B7">
        <w:rPr>
          <w:rFonts w:cs="Tahoma"/>
          <w:color w:val="000000"/>
          <w:szCs w:val="20"/>
          <w:lang w:val="it-IT"/>
        </w:rPr>
        <w:t>Licenza “Subscription” per Windows Companion</w:t>
      </w:r>
    </w:p>
    <w:p w:rsidR="007B0DDA" w:rsidRPr="007B74B7" w:rsidRDefault="007B0DDA" w:rsidP="007B0DDA">
      <w:pPr>
        <w:rPr>
          <w:lang w:val="it-IT"/>
        </w:rPr>
      </w:pPr>
    </w:p>
    <w:p w:rsidR="007B0DDA" w:rsidRPr="007B74B7" w:rsidRDefault="007B0DDA" w:rsidP="003E606C">
      <w:pPr>
        <w:spacing w:after="60"/>
        <w:rPr>
          <w:lang w:val="it-IT"/>
        </w:rPr>
      </w:pPr>
      <w:r w:rsidRPr="007B74B7">
        <w:rPr>
          <w:b/>
          <w:lang w:val="it-IT"/>
        </w:rPr>
        <w:t>Modifiche</w:t>
      </w:r>
    </w:p>
    <w:p w:rsidR="007B0DDA" w:rsidRPr="007B74B7" w:rsidRDefault="007B0DDA" w:rsidP="007B0DDA">
      <w:pPr>
        <w:rPr>
          <w:lang w:val="it-IT"/>
        </w:rPr>
      </w:pPr>
      <w:r w:rsidRPr="007B74B7">
        <w:rPr>
          <w:rFonts w:cs="Tahoma"/>
          <w:color w:val="000000"/>
          <w:szCs w:val="20"/>
          <w:lang w:val="it-IT"/>
        </w:rPr>
        <w:t>Il valore di punti è cambiato per i seguenti prodotti:</w:t>
      </w:r>
    </w:p>
    <w:p w:rsidR="007B0DDA" w:rsidRPr="007B74B7" w:rsidRDefault="007B0DDA" w:rsidP="007B0DDA">
      <w:pPr>
        <w:rPr>
          <w:lang w:val="fr-FR"/>
        </w:rPr>
      </w:pPr>
      <w:r w:rsidRPr="007B74B7">
        <w:rPr>
          <w:rFonts w:cs="Tahoma"/>
          <w:color w:val="000000"/>
          <w:szCs w:val="20"/>
          <w:lang w:val="fr-FR"/>
        </w:rPr>
        <w:t>Core Infrastructure Server Suite Datacenter</w:t>
      </w:r>
    </w:p>
    <w:p w:rsidR="007B0DDA" w:rsidRPr="007B74B7" w:rsidRDefault="007B0DDA" w:rsidP="007B0DDA">
      <w:pPr>
        <w:rPr>
          <w:lang w:val="fr-FR"/>
        </w:rPr>
      </w:pPr>
      <w:r w:rsidRPr="007B74B7">
        <w:rPr>
          <w:rFonts w:cs="Tahoma"/>
          <w:color w:val="000000"/>
          <w:szCs w:val="20"/>
          <w:lang w:val="fr-FR"/>
        </w:rPr>
        <w:t>Core Infrastructure Server Suite Standard</w:t>
      </w:r>
    </w:p>
    <w:p w:rsidR="007B0DDA" w:rsidRPr="007B74B7" w:rsidRDefault="007B0DDA" w:rsidP="007B0DDA">
      <w:pPr>
        <w:rPr>
          <w:lang w:val="it-IT"/>
        </w:rPr>
      </w:pPr>
      <w:r w:rsidRPr="007B74B7">
        <w:rPr>
          <w:rFonts w:cs="Tahoma"/>
          <w:color w:val="000000"/>
          <w:szCs w:val="20"/>
          <w:lang w:val="it-IT"/>
        </w:rPr>
        <w:t>Licenza di Gestione Server Standard per System Center 2012 (2 processori)</w:t>
      </w:r>
    </w:p>
    <w:p w:rsidR="007B0DDA" w:rsidRPr="007B74B7" w:rsidRDefault="007B0DDA" w:rsidP="007B0DDA">
      <w:pPr>
        <w:rPr>
          <w:lang w:val="it-IT"/>
        </w:rPr>
      </w:pPr>
      <w:r w:rsidRPr="007B74B7">
        <w:rPr>
          <w:rFonts w:cs="Tahoma"/>
          <w:color w:val="000000"/>
          <w:szCs w:val="20"/>
          <w:lang w:val="it-IT"/>
        </w:rPr>
        <w:t>Licenza di Gestione Server per System Center 2012 Datacenter (2 processori)</w:t>
      </w:r>
    </w:p>
    <w:p w:rsidR="007B0DDA" w:rsidRPr="007B74B7" w:rsidRDefault="007B0DDA" w:rsidP="007B0DDA">
      <w:pPr>
        <w:rPr>
          <w:lang w:val="it-IT"/>
        </w:rPr>
      </w:pPr>
      <w:r w:rsidRPr="007B74B7">
        <w:rPr>
          <w:rFonts w:cs="Tahoma"/>
          <w:color w:val="000000"/>
          <w:szCs w:val="20"/>
          <w:lang w:val="it-IT"/>
        </w:rPr>
        <w:t>System Center Configuration Manager 2007 R3</w:t>
      </w:r>
    </w:p>
    <w:p w:rsidR="007B0DDA" w:rsidRPr="007B74B7" w:rsidRDefault="007B0DDA" w:rsidP="007B0DDA">
      <w:pPr>
        <w:rPr>
          <w:lang w:val="it-IT"/>
        </w:rPr>
      </w:pPr>
      <w:r w:rsidRPr="007B74B7">
        <w:rPr>
          <w:rFonts w:cs="Tahoma"/>
          <w:color w:val="000000"/>
          <w:szCs w:val="20"/>
          <w:lang w:val="it-IT"/>
        </w:rPr>
        <w:t xml:space="preserve">Licenza di Gestione Server Enterprise per System Center Configuration Manager 2007 R3 </w:t>
      </w:r>
    </w:p>
    <w:p w:rsidR="007B0DDA" w:rsidRPr="007B74B7" w:rsidRDefault="007B0DDA" w:rsidP="007B0DDA">
      <w:pPr>
        <w:rPr>
          <w:lang w:val="it-IT"/>
        </w:rPr>
      </w:pPr>
      <w:r w:rsidRPr="007B74B7">
        <w:rPr>
          <w:rFonts w:cs="Tahoma"/>
          <w:color w:val="000000"/>
          <w:szCs w:val="20"/>
          <w:lang w:val="it-IT"/>
        </w:rPr>
        <w:t>Licenza di Gestione Server Standard (Standard Server ML) per System Center Configuration Manager 2007 R3</w:t>
      </w:r>
    </w:p>
    <w:p w:rsidR="007B0DDA" w:rsidRPr="007B74B7" w:rsidRDefault="007B0DDA" w:rsidP="007B0DDA">
      <w:pPr>
        <w:rPr>
          <w:lang w:val="it-IT"/>
        </w:rPr>
      </w:pPr>
      <w:r w:rsidRPr="007B74B7">
        <w:rPr>
          <w:rFonts w:cs="Tahoma"/>
          <w:color w:val="000000"/>
          <w:szCs w:val="20"/>
          <w:lang w:val="it-IT"/>
        </w:rPr>
        <w:t>System Center Configuration Manager 2007 R3 con Tecnologia SQL Server 2008</w:t>
      </w:r>
    </w:p>
    <w:p w:rsidR="007B0DDA" w:rsidRPr="007B74B7" w:rsidRDefault="007B0DDA" w:rsidP="007B0DDA">
      <w:pPr>
        <w:rPr>
          <w:lang w:val="it-IT"/>
        </w:rPr>
      </w:pPr>
      <w:r w:rsidRPr="007B74B7">
        <w:rPr>
          <w:rFonts w:cs="Tahoma"/>
          <w:color w:val="000000"/>
          <w:szCs w:val="20"/>
          <w:lang w:val="it-IT"/>
        </w:rPr>
        <w:t>Licenza di Gestione Client per Utente per System Center Data Protection Manager 2010</w:t>
      </w:r>
    </w:p>
    <w:p w:rsidR="007B0DDA" w:rsidRPr="007B74B7" w:rsidRDefault="007B0DDA" w:rsidP="007B0DDA">
      <w:pPr>
        <w:rPr>
          <w:lang w:val="it-IT"/>
        </w:rPr>
      </w:pPr>
      <w:r w:rsidRPr="007B74B7">
        <w:rPr>
          <w:rFonts w:cs="Tahoma"/>
          <w:color w:val="000000"/>
          <w:szCs w:val="20"/>
          <w:lang w:val="it-IT"/>
        </w:rPr>
        <w:t>Licenza di Gestione Client per OSE per System Center Data Protection Manager 2010</w:t>
      </w:r>
    </w:p>
    <w:p w:rsidR="007B0DDA" w:rsidRPr="007B74B7" w:rsidRDefault="007B0DDA" w:rsidP="007B0DDA">
      <w:pPr>
        <w:rPr>
          <w:lang w:val="it-IT"/>
        </w:rPr>
      </w:pPr>
      <w:r w:rsidRPr="007B74B7">
        <w:rPr>
          <w:rFonts w:cs="Tahoma"/>
          <w:color w:val="000000"/>
          <w:szCs w:val="20"/>
          <w:lang w:val="it-IT"/>
        </w:rPr>
        <w:t xml:space="preserve">Licenza di Gestione Server Enterprise per System Center Data Protection Manager 2010 </w:t>
      </w:r>
    </w:p>
    <w:p w:rsidR="007B0DDA" w:rsidRPr="007B74B7" w:rsidRDefault="007B0DDA" w:rsidP="007B0DDA">
      <w:pPr>
        <w:rPr>
          <w:lang w:val="it-IT"/>
        </w:rPr>
      </w:pPr>
      <w:r w:rsidRPr="007B74B7">
        <w:rPr>
          <w:rFonts w:cs="Tahoma"/>
          <w:color w:val="000000"/>
          <w:szCs w:val="20"/>
          <w:lang w:val="it-IT"/>
        </w:rPr>
        <w:t xml:space="preserve">Licenza di Gestione Server Standard per System Center Data Protection Manager 2010 </w:t>
      </w:r>
    </w:p>
    <w:p w:rsidR="007B0DDA" w:rsidRPr="007B74B7" w:rsidRDefault="007B0DDA" w:rsidP="007B0DDA">
      <w:pPr>
        <w:rPr>
          <w:lang w:val="it-IT"/>
        </w:rPr>
      </w:pPr>
      <w:r w:rsidRPr="007B74B7">
        <w:rPr>
          <w:rFonts w:cs="Tahoma"/>
          <w:color w:val="000000"/>
          <w:szCs w:val="20"/>
          <w:lang w:val="it-IT"/>
        </w:rPr>
        <w:t>System Center Operations Manager 2007 R2</w:t>
      </w:r>
    </w:p>
    <w:p w:rsidR="007B0DDA" w:rsidRPr="007B74B7" w:rsidRDefault="007B0DDA" w:rsidP="007B0DDA">
      <w:pPr>
        <w:rPr>
          <w:lang w:val="it-IT"/>
        </w:rPr>
      </w:pPr>
      <w:r w:rsidRPr="007B74B7">
        <w:rPr>
          <w:rFonts w:cs="Tahoma"/>
          <w:color w:val="000000"/>
          <w:szCs w:val="20"/>
          <w:lang w:val="it-IT"/>
        </w:rPr>
        <w:t>System Center Operations Manager 2007 R2 con Tecnologia SQL Server 2008</w:t>
      </w:r>
    </w:p>
    <w:p w:rsidR="007B0DDA" w:rsidRPr="007B74B7" w:rsidRDefault="007B0DDA" w:rsidP="007B0DDA">
      <w:pPr>
        <w:rPr>
          <w:lang w:val="it-IT"/>
        </w:rPr>
      </w:pPr>
      <w:r w:rsidRPr="007B74B7">
        <w:rPr>
          <w:rFonts w:cs="Tahoma"/>
          <w:color w:val="000000"/>
          <w:szCs w:val="20"/>
          <w:lang w:val="it-IT"/>
        </w:rPr>
        <w:t xml:space="preserve">Licenza di Gestione Server Standard per System Center Operations Manager 2007 R2 </w:t>
      </w:r>
    </w:p>
    <w:p w:rsidR="007B0DDA" w:rsidRPr="007B74B7" w:rsidRDefault="007B0DDA" w:rsidP="007B0DDA">
      <w:pPr>
        <w:rPr>
          <w:lang w:val="it-IT"/>
        </w:rPr>
      </w:pPr>
      <w:r w:rsidRPr="007B74B7">
        <w:rPr>
          <w:rFonts w:cs="Tahoma"/>
          <w:color w:val="000000"/>
          <w:szCs w:val="20"/>
          <w:lang w:val="it-IT"/>
        </w:rPr>
        <w:t xml:space="preserve">Licenza di Gestione Server Enterprise per System Center Operations Manager 2007 R2 </w:t>
      </w:r>
    </w:p>
    <w:p w:rsidR="007B0DDA" w:rsidRPr="007B74B7" w:rsidRDefault="007B0DDA" w:rsidP="007B0DDA">
      <w:pPr>
        <w:rPr>
          <w:lang w:val="it-IT"/>
        </w:rPr>
      </w:pPr>
      <w:r w:rsidRPr="007B74B7">
        <w:rPr>
          <w:rFonts w:cs="Tahoma"/>
          <w:color w:val="000000"/>
          <w:szCs w:val="20"/>
          <w:lang w:val="it-IT"/>
        </w:rPr>
        <w:t>Licenza di Gestione Client per OSE per System Center Operations Manager 2007 R2</w:t>
      </w:r>
    </w:p>
    <w:p w:rsidR="007B0DDA" w:rsidRPr="007B74B7" w:rsidRDefault="007B0DDA" w:rsidP="007B0DDA">
      <w:pPr>
        <w:rPr>
          <w:lang w:val="it-IT"/>
        </w:rPr>
      </w:pPr>
      <w:r w:rsidRPr="007B74B7">
        <w:rPr>
          <w:rFonts w:cs="Tahoma"/>
          <w:color w:val="000000"/>
          <w:szCs w:val="20"/>
          <w:lang w:val="it-IT"/>
        </w:rPr>
        <w:t>Licenza di Gestione Client per Utente per System Center Operations Manager 2007 R2</w:t>
      </w:r>
    </w:p>
    <w:p w:rsidR="007B0DDA" w:rsidRPr="007B74B7" w:rsidRDefault="007B0DDA" w:rsidP="007B0DDA">
      <w:pPr>
        <w:rPr>
          <w:lang w:val="it-IT"/>
        </w:rPr>
      </w:pPr>
      <w:r w:rsidRPr="007B74B7">
        <w:rPr>
          <w:rFonts w:cs="Tahoma"/>
          <w:color w:val="000000"/>
          <w:szCs w:val="20"/>
          <w:lang w:val="it-IT"/>
        </w:rPr>
        <w:t xml:space="preserve">System Center Server Management Suite Enterprise </w:t>
      </w:r>
    </w:p>
    <w:p w:rsidR="007B0DDA" w:rsidRPr="007B74B7" w:rsidRDefault="007B0DDA" w:rsidP="007B0DDA">
      <w:pPr>
        <w:rPr>
          <w:lang w:val="it-IT"/>
        </w:rPr>
      </w:pPr>
      <w:r w:rsidRPr="007B74B7">
        <w:rPr>
          <w:rFonts w:cs="Tahoma"/>
          <w:color w:val="000000"/>
          <w:szCs w:val="20"/>
          <w:lang w:val="it-IT"/>
        </w:rPr>
        <w:t>System Center Server Management Suite Datacenter</w:t>
      </w:r>
    </w:p>
    <w:p w:rsidR="007B0DDA" w:rsidRPr="007B74B7" w:rsidRDefault="007B0DDA" w:rsidP="007B0DDA">
      <w:pPr>
        <w:rPr>
          <w:lang w:val="it-IT"/>
        </w:rPr>
      </w:pPr>
      <w:r w:rsidRPr="007B74B7">
        <w:rPr>
          <w:rFonts w:cs="Tahoma"/>
          <w:color w:val="000000"/>
          <w:szCs w:val="20"/>
          <w:lang w:val="it-IT"/>
        </w:rPr>
        <w:t>System Center Service Manager 2010</w:t>
      </w:r>
    </w:p>
    <w:p w:rsidR="007B0DDA" w:rsidRPr="007B74B7" w:rsidRDefault="007B0DDA" w:rsidP="007B0DDA">
      <w:pPr>
        <w:rPr>
          <w:lang w:val="it-IT"/>
        </w:rPr>
      </w:pPr>
      <w:r w:rsidRPr="007B74B7">
        <w:rPr>
          <w:rFonts w:cs="Tahoma"/>
          <w:color w:val="000000"/>
          <w:szCs w:val="20"/>
          <w:lang w:val="it-IT"/>
        </w:rPr>
        <w:t>System Center Service Manager 2010 con Tecnologia SQL Server 2008</w:t>
      </w:r>
    </w:p>
    <w:p w:rsidR="007B0DDA" w:rsidRPr="007B74B7" w:rsidRDefault="007B0DDA" w:rsidP="007B0DDA">
      <w:pPr>
        <w:rPr>
          <w:lang w:val="it-IT"/>
        </w:rPr>
      </w:pPr>
      <w:r w:rsidRPr="007B74B7">
        <w:rPr>
          <w:rFonts w:cs="Tahoma"/>
          <w:color w:val="000000"/>
          <w:szCs w:val="20"/>
          <w:lang w:val="it-IT"/>
        </w:rPr>
        <w:t>Licenza di Gestione Client (Client ML) per OSE per System Center Service Manager 2010</w:t>
      </w:r>
    </w:p>
    <w:p w:rsidR="007B0DDA" w:rsidRPr="007B74B7" w:rsidRDefault="007B0DDA" w:rsidP="007B0DDA">
      <w:pPr>
        <w:rPr>
          <w:lang w:val="it-IT"/>
        </w:rPr>
      </w:pPr>
      <w:r w:rsidRPr="007B74B7">
        <w:rPr>
          <w:rFonts w:cs="Tahoma"/>
          <w:color w:val="000000"/>
          <w:szCs w:val="20"/>
          <w:lang w:val="it-IT"/>
        </w:rPr>
        <w:t>Licenza di Gestione Client (Client ML) per Utente per System Center Service Manager 2010</w:t>
      </w:r>
    </w:p>
    <w:p w:rsidR="007B0DDA" w:rsidRPr="007B74B7" w:rsidRDefault="007B0DDA" w:rsidP="007B0DDA">
      <w:pPr>
        <w:rPr>
          <w:lang w:val="it-IT"/>
        </w:rPr>
      </w:pPr>
      <w:r w:rsidRPr="007B74B7">
        <w:rPr>
          <w:rFonts w:cs="Tahoma"/>
          <w:color w:val="000000"/>
          <w:szCs w:val="20"/>
          <w:lang w:val="it-IT"/>
        </w:rPr>
        <w:t>Licenza di Gestione Server (Server ML) per OSE per System Center Service Manager 2010</w:t>
      </w:r>
    </w:p>
    <w:p w:rsidR="007B0DDA" w:rsidRPr="007B74B7" w:rsidRDefault="007B0DDA" w:rsidP="007B0DDA">
      <w:pPr>
        <w:rPr>
          <w:lang w:val="it-IT"/>
        </w:rPr>
      </w:pPr>
      <w:r w:rsidRPr="007B74B7">
        <w:rPr>
          <w:rFonts w:cs="Tahoma"/>
          <w:color w:val="000000"/>
          <w:szCs w:val="20"/>
          <w:lang w:val="it-IT"/>
        </w:rPr>
        <w:t>Licenza di Gestione Client per OSE per System Center Virtual Machine Manager 2008 R2</w:t>
      </w:r>
    </w:p>
    <w:p w:rsidR="007B0DDA" w:rsidRPr="007B74B7" w:rsidRDefault="007B0DDA" w:rsidP="007B0DDA">
      <w:pPr>
        <w:rPr>
          <w:lang w:val="it-IT"/>
        </w:rPr>
      </w:pPr>
      <w:r w:rsidRPr="007B74B7">
        <w:rPr>
          <w:rFonts w:cs="Tahoma"/>
          <w:color w:val="000000"/>
          <w:szCs w:val="20"/>
          <w:lang w:val="it-IT"/>
        </w:rPr>
        <w:t>Licenza di Gestione Client per Utente per System Center Virtual Machine Manager 2008 R2</w:t>
      </w:r>
    </w:p>
    <w:p w:rsidR="007B0DDA" w:rsidRPr="007B74B7" w:rsidRDefault="007B0DDA" w:rsidP="007B0DDA">
      <w:pPr>
        <w:rPr>
          <w:lang w:val="it-IT"/>
        </w:rPr>
      </w:pPr>
      <w:r w:rsidRPr="007B74B7">
        <w:rPr>
          <w:rFonts w:cs="Tahoma"/>
          <w:color w:val="000000"/>
          <w:szCs w:val="20"/>
          <w:lang w:val="it-IT"/>
        </w:rPr>
        <w:t>Licenza di Gestione Server per System Center Virtual Machine Manager 2008 R2 Enterprise</w:t>
      </w:r>
    </w:p>
    <w:p w:rsidR="007B0DDA" w:rsidRPr="007B74B7" w:rsidRDefault="007B0DDA" w:rsidP="007B0DDA">
      <w:pPr>
        <w:rPr>
          <w:lang w:val="it-IT"/>
        </w:rPr>
      </w:pPr>
    </w:p>
    <w:p w:rsidR="007B0DDA" w:rsidRPr="007B74B7" w:rsidRDefault="007B0DDA" w:rsidP="003E606C">
      <w:pPr>
        <w:spacing w:after="60"/>
        <w:rPr>
          <w:lang w:val="it-IT"/>
        </w:rPr>
      </w:pPr>
      <w:r w:rsidRPr="007B74B7">
        <w:rPr>
          <w:b/>
          <w:lang w:val="it-IT"/>
        </w:rPr>
        <w:t>Prodotti Eliminati</w:t>
      </w:r>
    </w:p>
    <w:p w:rsidR="007B0DDA" w:rsidRPr="007B74B7" w:rsidRDefault="007B0DDA" w:rsidP="007B0DDA">
      <w:pPr>
        <w:rPr>
          <w:lang w:val="it-IT"/>
        </w:rPr>
      </w:pPr>
      <w:r w:rsidRPr="007B74B7">
        <w:rPr>
          <w:color w:val="000000"/>
          <w:lang w:val="it-IT"/>
        </w:rPr>
        <w:t>System Center Mobile Device Manager 2008</w:t>
      </w:r>
    </w:p>
    <w:p w:rsidR="00B20EAC" w:rsidRPr="007B74B7" w:rsidRDefault="00B20EAC" w:rsidP="007B0DDA">
      <w:pPr>
        <w:rPr>
          <w:lang w:val="it-IT"/>
        </w:rPr>
      </w:pPr>
      <w:r w:rsidRPr="007B74B7">
        <w:rPr>
          <w:color w:val="000000"/>
          <w:lang w:val="it-IT"/>
        </w:rPr>
        <w:t>Database Consolidation Appliance 2012</w:t>
      </w:r>
    </w:p>
    <w:p w:rsidR="00593FBD" w:rsidRPr="007B74B7" w:rsidRDefault="00593FBD" w:rsidP="00593FBD">
      <w:pPr>
        <w:ind w:right="720"/>
        <w:rPr>
          <w:lang w:val="it-IT"/>
        </w:rPr>
      </w:pPr>
    </w:p>
    <w:p w:rsidR="00A31A6D" w:rsidRPr="007B74B7" w:rsidRDefault="00A31A6D" w:rsidP="00593FBD">
      <w:pPr>
        <w:ind w:right="720"/>
        <w:rPr>
          <w:lang w:val="it-IT"/>
        </w:rPr>
      </w:pPr>
    </w:p>
    <w:p w:rsidR="00593FBD" w:rsidRPr="007B74B7" w:rsidRDefault="003D1247" w:rsidP="00593FBD">
      <w:pPr>
        <w:pStyle w:val="Heading2"/>
        <w:ind w:left="0"/>
        <w:jc w:val="both"/>
        <w:rPr>
          <w:lang w:val="it-IT"/>
        </w:rPr>
      </w:pPr>
      <w:bookmarkStart w:id="630" w:name="_Toc336338170"/>
      <w:bookmarkStart w:id="631" w:name="_Toc353375955"/>
      <w:r w:rsidRPr="007B74B7">
        <w:rPr>
          <w:rFonts w:ascii="Tahoma" w:hAnsi="Tahoma" w:cs="Tahoma"/>
          <w:color w:val="FF6600"/>
          <w:lang w:val="it-IT"/>
        </w:rPr>
        <w:t>MODIFICHE APPORTATE NEL MESE DI SETTEMBRE 2012</w:t>
      </w:r>
      <w:bookmarkEnd w:id="630"/>
      <w:bookmarkEnd w:id="631"/>
    </w:p>
    <w:p w:rsidR="007B0DDA" w:rsidRPr="007B74B7" w:rsidRDefault="007B0DDA">
      <w:pPr>
        <w:ind w:right="720"/>
        <w:rPr>
          <w:lang w:val="it-IT"/>
        </w:rPr>
      </w:pPr>
    </w:p>
    <w:p w:rsidR="00593FBD" w:rsidRPr="007B74B7" w:rsidRDefault="00593FBD" w:rsidP="003E606C">
      <w:pPr>
        <w:spacing w:after="60"/>
        <w:rPr>
          <w:lang w:val="it-IT"/>
        </w:rPr>
      </w:pPr>
      <w:r w:rsidRPr="007B74B7">
        <w:rPr>
          <w:b/>
          <w:lang w:val="it-IT"/>
        </w:rPr>
        <w:t>Prodotti Aggiunti</w:t>
      </w:r>
    </w:p>
    <w:p w:rsidR="00593FBD" w:rsidRPr="007B74B7" w:rsidRDefault="00593FBD" w:rsidP="00EF4590">
      <w:pPr>
        <w:rPr>
          <w:lang w:val="it-IT"/>
        </w:rPr>
      </w:pPr>
      <w:r w:rsidRPr="007B74B7">
        <w:rPr>
          <w:rFonts w:cs="Tahoma"/>
          <w:color w:val="000000"/>
          <w:szCs w:val="20"/>
          <w:lang w:val="it-IT"/>
        </w:rPr>
        <w:t>Visual Studio</w:t>
      </w:r>
      <w:r w:rsidR="00700C4B" w:rsidRPr="007B74B7">
        <w:rPr>
          <w:rFonts w:cs="Tahoma"/>
          <w:color w:val="000000"/>
          <w:szCs w:val="20"/>
          <w:vertAlign w:val="superscript"/>
          <w:lang w:val="it-IT"/>
        </w:rPr>
        <w:t>®</w:t>
      </w:r>
      <w:r w:rsidRPr="007B74B7">
        <w:rPr>
          <w:rFonts w:cs="Tahoma"/>
          <w:color w:val="000000"/>
          <w:szCs w:val="20"/>
          <w:lang w:val="it-IT"/>
        </w:rPr>
        <w:t xml:space="preserve"> Professional 2012</w:t>
      </w:r>
    </w:p>
    <w:p w:rsidR="00593FBD" w:rsidRPr="007B74B7" w:rsidRDefault="00593FBD" w:rsidP="00EF4590">
      <w:pPr>
        <w:rPr>
          <w:lang w:val="it-IT"/>
        </w:rPr>
      </w:pPr>
      <w:r w:rsidRPr="007B74B7">
        <w:rPr>
          <w:rFonts w:cs="Tahoma"/>
          <w:color w:val="000000"/>
          <w:szCs w:val="20"/>
          <w:lang w:val="it-IT"/>
        </w:rPr>
        <w:t>Visual Studio</w:t>
      </w:r>
      <w:r w:rsidR="00700C4B" w:rsidRPr="007B74B7">
        <w:rPr>
          <w:rFonts w:cs="Tahoma"/>
          <w:color w:val="000000"/>
          <w:szCs w:val="20"/>
          <w:vertAlign w:val="superscript"/>
          <w:lang w:val="it-IT"/>
        </w:rPr>
        <w:t>®</w:t>
      </w:r>
      <w:r w:rsidRPr="007B74B7">
        <w:rPr>
          <w:rFonts w:cs="Tahoma"/>
          <w:color w:val="000000"/>
          <w:szCs w:val="20"/>
          <w:lang w:val="it-IT"/>
        </w:rPr>
        <w:t xml:space="preserve"> Professional 2012 con MSDN</w:t>
      </w:r>
    </w:p>
    <w:p w:rsidR="00593FBD" w:rsidRPr="007B74B7" w:rsidRDefault="00CB0262" w:rsidP="00EF4590">
      <w:pPr>
        <w:rPr>
          <w:lang w:val="it-IT"/>
        </w:rPr>
      </w:pPr>
      <w:r w:rsidRPr="007B74B7">
        <w:rPr>
          <w:rFonts w:cs="Tahoma"/>
          <w:color w:val="000000"/>
          <w:szCs w:val="20"/>
          <w:lang w:val="it-IT"/>
        </w:rPr>
        <w:t>Visual Studio</w:t>
      </w:r>
      <w:r w:rsidR="00700C4B" w:rsidRPr="007B74B7">
        <w:rPr>
          <w:rFonts w:cs="Tahoma"/>
          <w:color w:val="000000"/>
          <w:szCs w:val="20"/>
          <w:vertAlign w:val="superscript"/>
          <w:lang w:val="it-IT"/>
        </w:rPr>
        <w:t>®</w:t>
      </w:r>
      <w:r w:rsidRPr="007B74B7">
        <w:rPr>
          <w:rFonts w:cs="Tahoma"/>
          <w:color w:val="000000"/>
          <w:szCs w:val="20"/>
          <w:lang w:val="it-IT"/>
        </w:rPr>
        <w:t xml:space="preserve"> Premium 2012 con MSDN</w:t>
      </w:r>
    </w:p>
    <w:p w:rsidR="00CB0262" w:rsidRPr="007B74B7" w:rsidRDefault="00CB0262" w:rsidP="00EF4590">
      <w:pPr>
        <w:rPr>
          <w:lang w:val="it-IT"/>
        </w:rPr>
      </w:pPr>
      <w:r w:rsidRPr="007B74B7">
        <w:rPr>
          <w:rFonts w:cs="Tahoma"/>
          <w:color w:val="000000"/>
          <w:szCs w:val="20"/>
          <w:lang w:val="it-IT"/>
        </w:rPr>
        <w:t>Visual Studio</w:t>
      </w:r>
      <w:r w:rsidR="00700C4B" w:rsidRPr="007B74B7">
        <w:rPr>
          <w:rFonts w:cs="Tahoma"/>
          <w:color w:val="000000"/>
          <w:szCs w:val="20"/>
          <w:vertAlign w:val="superscript"/>
          <w:lang w:val="it-IT"/>
        </w:rPr>
        <w:t>®</w:t>
      </w:r>
      <w:r w:rsidRPr="007B74B7">
        <w:rPr>
          <w:rFonts w:cs="Tahoma"/>
          <w:color w:val="000000"/>
          <w:szCs w:val="20"/>
          <w:lang w:val="it-IT"/>
        </w:rPr>
        <w:t xml:space="preserve"> Ultimate 2012 con MSDN</w:t>
      </w:r>
    </w:p>
    <w:p w:rsidR="00593FBD" w:rsidRPr="007B74B7" w:rsidRDefault="00CB0262" w:rsidP="00EF4590">
      <w:pPr>
        <w:rPr>
          <w:lang w:val="it-IT"/>
        </w:rPr>
      </w:pPr>
      <w:r w:rsidRPr="007B74B7">
        <w:rPr>
          <w:rFonts w:cs="Tahoma"/>
          <w:color w:val="000000"/>
          <w:szCs w:val="20"/>
          <w:lang w:val="it-IT"/>
        </w:rPr>
        <w:t>Visual Studio</w:t>
      </w:r>
      <w:r w:rsidR="00700C4B" w:rsidRPr="007B74B7">
        <w:rPr>
          <w:rFonts w:cs="Tahoma"/>
          <w:color w:val="000000"/>
          <w:szCs w:val="20"/>
          <w:vertAlign w:val="superscript"/>
          <w:lang w:val="it-IT"/>
        </w:rPr>
        <w:t>®</w:t>
      </w:r>
      <w:r w:rsidRPr="007B74B7">
        <w:rPr>
          <w:rFonts w:cs="Tahoma"/>
          <w:color w:val="000000"/>
          <w:szCs w:val="20"/>
          <w:lang w:val="it-IT"/>
        </w:rPr>
        <w:t xml:space="preserve"> Test Professional 2012 con MSDN</w:t>
      </w:r>
    </w:p>
    <w:p w:rsidR="00593FBD" w:rsidRPr="007B74B7" w:rsidRDefault="00CB0262" w:rsidP="00EF4590">
      <w:pPr>
        <w:rPr>
          <w:lang w:val="it-IT"/>
        </w:rPr>
      </w:pPr>
      <w:r w:rsidRPr="007B74B7">
        <w:rPr>
          <w:rFonts w:cs="Tahoma"/>
          <w:color w:val="000000"/>
          <w:szCs w:val="20"/>
          <w:lang w:val="it-IT"/>
        </w:rPr>
        <w:t>Visual Studio</w:t>
      </w:r>
      <w:r w:rsidR="00700C4B" w:rsidRPr="007B74B7">
        <w:rPr>
          <w:rFonts w:cs="Tahoma"/>
          <w:color w:val="000000"/>
          <w:szCs w:val="20"/>
          <w:vertAlign w:val="superscript"/>
          <w:lang w:val="it-IT"/>
        </w:rPr>
        <w:t>®</w:t>
      </w:r>
      <w:r w:rsidRPr="007B74B7">
        <w:rPr>
          <w:rFonts w:cs="Tahoma"/>
          <w:color w:val="000000"/>
          <w:szCs w:val="20"/>
          <w:lang w:val="it-IT"/>
        </w:rPr>
        <w:t xml:space="preserve"> Team Foundation Server 2012 con Tecnologia SQL Server 2012</w:t>
      </w:r>
    </w:p>
    <w:p w:rsidR="00CB0262" w:rsidRPr="007B74B7" w:rsidRDefault="00CB0262" w:rsidP="00EF4590">
      <w:pPr>
        <w:rPr>
          <w:lang w:val="it-IT"/>
        </w:rPr>
      </w:pPr>
      <w:r w:rsidRPr="007B74B7">
        <w:rPr>
          <w:rFonts w:cs="Tahoma"/>
          <w:color w:val="000000"/>
          <w:szCs w:val="20"/>
          <w:lang w:val="it-IT"/>
        </w:rPr>
        <w:lastRenderedPageBreak/>
        <w:t>CAL per Dispositivo per Visual Studio</w:t>
      </w:r>
      <w:r w:rsidR="00700C4B" w:rsidRPr="007B74B7">
        <w:rPr>
          <w:rFonts w:cs="Tahoma"/>
          <w:color w:val="000000"/>
          <w:szCs w:val="20"/>
          <w:vertAlign w:val="superscript"/>
          <w:lang w:val="it-IT"/>
        </w:rPr>
        <w:t>®</w:t>
      </w:r>
      <w:r w:rsidRPr="007B74B7">
        <w:rPr>
          <w:rFonts w:cs="Tahoma"/>
          <w:color w:val="000000"/>
          <w:szCs w:val="20"/>
          <w:lang w:val="it-IT"/>
        </w:rPr>
        <w:t xml:space="preserve"> Team Foundation Server 2012</w:t>
      </w:r>
    </w:p>
    <w:p w:rsidR="00CB0262" w:rsidRPr="00BD7CEA" w:rsidRDefault="00CB0262" w:rsidP="00EF4590">
      <w:r w:rsidRPr="00BD7CEA">
        <w:rPr>
          <w:rFonts w:cs="Tahoma"/>
          <w:color w:val="000000"/>
          <w:szCs w:val="20"/>
        </w:rPr>
        <w:t>User CAL per Visual Studio</w:t>
      </w:r>
      <w:r w:rsidR="00700C4B" w:rsidRPr="00BD7CEA">
        <w:rPr>
          <w:rFonts w:cs="Tahoma"/>
          <w:color w:val="000000"/>
          <w:szCs w:val="20"/>
          <w:vertAlign w:val="superscript"/>
        </w:rPr>
        <w:t>®</w:t>
      </w:r>
      <w:r w:rsidRPr="00BD7CEA">
        <w:rPr>
          <w:rFonts w:cs="Tahoma"/>
          <w:color w:val="000000"/>
          <w:szCs w:val="20"/>
        </w:rPr>
        <w:t xml:space="preserve"> Team Foundation Server 2012</w:t>
      </w:r>
    </w:p>
    <w:p w:rsidR="00CB0262" w:rsidRPr="00BD7CEA" w:rsidRDefault="00CB0262" w:rsidP="00EF4590">
      <w:r w:rsidRPr="00BD7CEA">
        <w:rPr>
          <w:rFonts w:cs="Tahoma"/>
          <w:color w:val="000000"/>
          <w:szCs w:val="20"/>
        </w:rPr>
        <w:t>External Connector per Visual Studio</w:t>
      </w:r>
      <w:r w:rsidR="00700C4B" w:rsidRPr="00BD7CEA">
        <w:rPr>
          <w:rFonts w:cs="Tahoma"/>
          <w:color w:val="000000"/>
          <w:szCs w:val="20"/>
          <w:vertAlign w:val="superscript"/>
        </w:rPr>
        <w:t>®</w:t>
      </w:r>
      <w:r w:rsidRPr="00BD7CEA">
        <w:rPr>
          <w:rFonts w:cs="Tahoma"/>
          <w:color w:val="000000"/>
          <w:szCs w:val="20"/>
        </w:rPr>
        <w:t xml:space="preserve"> Team Foundation Server 2012</w:t>
      </w:r>
    </w:p>
    <w:p w:rsidR="00CB0262" w:rsidRPr="00BD7CEA" w:rsidRDefault="00CB0262" w:rsidP="00EF4590">
      <w:r w:rsidRPr="00BD7CEA">
        <w:rPr>
          <w:rFonts w:cs="Tahoma"/>
          <w:color w:val="000000"/>
          <w:szCs w:val="20"/>
        </w:rPr>
        <w:t>CAL per Windows Server™ 2012 (Dispositivo e Utente)</w:t>
      </w:r>
    </w:p>
    <w:p w:rsidR="00CB0262" w:rsidRPr="00BD7CEA" w:rsidRDefault="00CB0262" w:rsidP="00EF4590">
      <w:r w:rsidRPr="00BD7CEA">
        <w:rPr>
          <w:rFonts w:cs="Tahoma"/>
          <w:color w:val="000000"/>
          <w:szCs w:val="20"/>
        </w:rPr>
        <w:t>Windows Server™ 2012 Datacenter</w:t>
      </w:r>
    </w:p>
    <w:p w:rsidR="00CB0262" w:rsidRPr="00BD7CEA" w:rsidRDefault="00CB0262" w:rsidP="00EF4590">
      <w:r w:rsidRPr="00BD7CEA">
        <w:rPr>
          <w:rFonts w:cs="Tahoma"/>
          <w:color w:val="000000"/>
          <w:szCs w:val="20"/>
        </w:rPr>
        <w:t>Windows Server™ 2012 Standard</w:t>
      </w:r>
    </w:p>
    <w:p w:rsidR="00CB0262" w:rsidRPr="00BD7CEA" w:rsidRDefault="00CB0262" w:rsidP="00EF4590">
      <w:r w:rsidRPr="00BD7CEA">
        <w:rPr>
          <w:rFonts w:cs="Tahoma"/>
          <w:color w:val="000000"/>
          <w:szCs w:val="20"/>
        </w:rPr>
        <w:t>External Connector per Windows Server™ 2012</w:t>
      </w:r>
    </w:p>
    <w:p w:rsidR="00CB0262" w:rsidRPr="007B74B7" w:rsidRDefault="00CB0262" w:rsidP="00EF4590">
      <w:pPr>
        <w:rPr>
          <w:lang w:val="it-IT"/>
        </w:rPr>
      </w:pPr>
      <w:r w:rsidRPr="007B74B7">
        <w:rPr>
          <w:rFonts w:cs="Tahoma"/>
          <w:color w:val="000000"/>
          <w:szCs w:val="20"/>
          <w:lang w:val="it-IT"/>
        </w:rPr>
        <w:t>CAL per Servizi Desktop Remoto Windows Server™ 2012</w:t>
      </w:r>
    </w:p>
    <w:p w:rsidR="00CB0262" w:rsidRPr="00BD7CEA" w:rsidRDefault="00CB0262" w:rsidP="00EF4590">
      <w:r w:rsidRPr="00BD7CEA">
        <w:rPr>
          <w:rFonts w:cs="Tahoma"/>
          <w:color w:val="000000"/>
          <w:szCs w:val="20"/>
        </w:rPr>
        <w:t>External Connector per Servizi Desktop Remoto Windows Server™ 2012</w:t>
      </w:r>
    </w:p>
    <w:p w:rsidR="00CB0262" w:rsidRPr="00BD7CEA" w:rsidRDefault="00CB0262" w:rsidP="00EF4590">
      <w:r w:rsidRPr="00BD7CEA">
        <w:rPr>
          <w:rFonts w:cs="Tahoma"/>
          <w:color w:val="000000"/>
          <w:szCs w:val="20"/>
        </w:rPr>
        <w:t>CAL per Windows Server™ 2012 Rights Management Services</w:t>
      </w:r>
    </w:p>
    <w:p w:rsidR="00CB0262" w:rsidRPr="00BD7CEA" w:rsidRDefault="00CB0262" w:rsidP="00EF4590">
      <w:r w:rsidRPr="00BD7CEA">
        <w:rPr>
          <w:rFonts w:cs="Tahoma"/>
          <w:color w:val="000000"/>
          <w:szCs w:val="20"/>
        </w:rPr>
        <w:t>External Connector per Windows Server™ 2012 Rights Management Services</w:t>
      </w:r>
    </w:p>
    <w:p w:rsidR="00CB0262" w:rsidRPr="007B74B7" w:rsidRDefault="0095607F" w:rsidP="00EF4590">
      <w:pPr>
        <w:rPr>
          <w:lang w:val="it-IT"/>
        </w:rPr>
      </w:pPr>
      <w:r w:rsidRPr="007B74B7">
        <w:rPr>
          <w:rFonts w:cs="Tahoma"/>
          <w:color w:val="000000"/>
          <w:szCs w:val="18"/>
          <w:lang w:val="it-IT"/>
        </w:rPr>
        <w:t xml:space="preserve">Enterprise Additive CAL per Microsoft </w:t>
      </w:r>
      <w:r w:rsidRPr="007B74B7">
        <w:rPr>
          <w:rFonts w:cs="Tahoma"/>
          <w:color w:val="000000"/>
          <w:szCs w:val="20"/>
          <w:lang w:val="it-IT"/>
        </w:rPr>
        <w:t>Dynamics AX 2012 (Utente e Dispositivo)</w:t>
      </w:r>
    </w:p>
    <w:p w:rsidR="00CB0262" w:rsidRPr="007B74B7" w:rsidRDefault="0095607F" w:rsidP="00EF4590">
      <w:pPr>
        <w:rPr>
          <w:lang w:val="it-IT"/>
        </w:rPr>
      </w:pPr>
      <w:r w:rsidRPr="007B74B7">
        <w:rPr>
          <w:rFonts w:cs="Tahoma"/>
          <w:color w:val="000000"/>
          <w:szCs w:val="18"/>
          <w:lang w:val="it-IT"/>
        </w:rPr>
        <w:t xml:space="preserve">Enterprise CAL per Microsoft </w:t>
      </w:r>
      <w:r w:rsidRPr="007B74B7">
        <w:rPr>
          <w:rFonts w:cs="Tahoma"/>
          <w:color w:val="000000"/>
          <w:szCs w:val="20"/>
          <w:lang w:val="it-IT"/>
        </w:rPr>
        <w:t>Dynamics AX 2012 (Utente e Dispositivo)</w:t>
      </w:r>
    </w:p>
    <w:p w:rsidR="00CB0262" w:rsidRPr="007B74B7" w:rsidRDefault="0095607F" w:rsidP="00EF4590">
      <w:pPr>
        <w:rPr>
          <w:lang w:val="it-IT"/>
        </w:rPr>
      </w:pPr>
      <w:r w:rsidRPr="007B74B7">
        <w:rPr>
          <w:rFonts w:cs="Tahoma"/>
          <w:color w:val="000000"/>
          <w:szCs w:val="18"/>
          <w:lang w:val="it-IT"/>
        </w:rPr>
        <w:t xml:space="preserve">Functional Additive CAL per Microsoft </w:t>
      </w:r>
      <w:r w:rsidRPr="007B74B7">
        <w:rPr>
          <w:rFonts w:cs="Tahoma"/>
          <w:color w:val="000000"/>
          <w:szCs w:val="20"/>
          <w:lang w:val="it-IT"/>
        </w:rPr>
        <w:t>Dynamics AX 2012 (Utente e Dispositivo)</w:t>
      </w:r>
    </w:p>
    <w:p w:rsidR="00CB0262" w:rsidRPr="007B74B7" w:rsidRDefault="0095607F" w:rsidP="00EF4590">
      <w:pPr>
        <w:rPr>
          <w:lang w:val="it-IT"/>
        </w:rPr>
      </w:pPr>
      <w:r w:rsidRPr="007B74B7">
        <w:rPr>
          <w:rFonts w:cs="Tahoma"/>
          <w:color w:val="000000"/>
          <w:szCs w:val="18"/>
          <w:lang w:val="it-IT"/>
        </w:rPr>
        <w:t xml:space="preserve">Functional CAL per Microsoft </w:t>
      </w:r>
      <w:r w:rsidRPr="007B74B7">
        <w:rPr>
          <w:rFonts w:cs="Tahoma"/>
          <w:color w:val="000000"/>
          <w:szCs w:val="20"/>
          <w:lang w:val="it-IT"/>
        </w:rPr>
        <w:t>Dynamics AX 2012 (Utente e Dispositivo)</w:t>
      </w:r>
    </w:p>
    <w:p w:rsidR="00CB0262" w:rsidRPr="007B74B7" w:rsidRDefault="0095607F" w:rsidP="00EF4590">
      <w:pPr>
        <w:rPr>
          <w:lang w:val="it-IT"/>
        </w:rPr>
      </w:pPr>
      <w:r w:rsidRPr="007B74B7">
        <w:rPr>
          <w:rFonts w:cs="Tahoma"/>
          <w:color w:val="000000"/>
          <w:szCs w:val="18"/>
          <w:lang w:val="it-IT"/>
        </w:rPr>
        <w:t xml:space="preserve">Self Serve CAL per Microsoft </w:t>
      </w:r>
      <w:r w:rsidRPr="007B74B7">
        <w:rPr>
          <w:rFonts w:cs="Tahoma"/>
          <w:color w:val="000000"/>
          <w:szCs w:val="20"/>
          <w:lang w:val="it-IT"/>
        </w:rPr>
        <w:t>Dynamics AX 2012 (Utente e Dispositivo)</w:t>
      </w:r>
    </w:p>
    <w:p w:rsidR="00CB0262" w:rsidRPr="007B74B7" w:rsidRDefault="0095607F" w:rsidP="00EF4590">
      <w:pPr>
        <w:rPr>
          <w:lang w:val="it-IT"/>
        </w:rPr>
      </w:pPr>
      <w:r w:rsidRPr="007B74B7">
        <w:rPr>
          <w:rFonts w:cs="Tahoma"/>
          <w:color w:val="000000"/>
          <w:szCs w:val="18"/>
          <w:lang w:val="it-IT"/>
        </w:rPr>
        <w:t xml:space="preserve">Microsoft </w:t>
      </w:r>
      <w:r w:rsidRPr="007B74B7">
        <w:rPr>
          <w:rFonts w:cs="Tahoma"/>
          <w:color w:val="000000"/>
          <w:szCs w:val="20"/>
          <w:lang w:val="it-IT"/>
        </w:rPr>
        <w:t>Dynamics AX 2012 Server</w:t>
      </w:r>
    </w:p>
    <w:p w:rsidR="00CB0262" w:rsidRPr="007B74B7" w:rsidRDefault="0095607F" w:rsidP="00EF4590">
      <w:pPr>
        <w:rPr>
          <w:lang w:val="it-IT"/>
        </w:rPr>
      </w:pPr>
      <w:r w:rsidRPr="007B74B7">
        <w:rPr>
          <w:rFonts w:cs="Tahoma"/>
          <w:color w:val="000000"/>
          <w:szCs w:val="18"/>
          <w:lang w:val="it-IT"/>
        </w:rPr>
        <w:t xml:space="preserve">Task Additive CAL per Microsoft </w:t>
      </w:r>
      <w:r w:rsidRPr="007B74B7">
        <w:rPr>
          <w:rFonts w:cs="Tahoma"/>
          <w:color w:val="000000"/>
          <w:szCs w:val="20"/>
          <w:lang w:val="it-IT"/>
        </w:rPr>
        <w:t>Dynamics AX 2012 (Utente e Dispositivo)</w:t>
      </w:r>
    </w:p>
    <w:p w:rsidR="00CB0262" w:rsidRPr="007B74B7" w:rsidRDefault="0095607F" w:rsidP="00EF4590">
      <w:pPr>
        <w:rPr>
          <w:lang w:val="it-IT"/>
        </w:rPr>
      </w:pPr>
      <w:r w:rsidRPr="007B74B7">
        <w:rPr>
          <w:rFonts w:cs="Tahoma"/>
          <w:color w:val="000000"/>
          <w:szCs w:val="18"/>
          <w:lang w:val="it-IT"/>
        </w:rPr>
        <w:t xml:space="preserve">Task CAL per Microsoft </w:t>
      </w:r>
      <w:r w:rsidRPr="007B74B7">
        <w:rPr>
          <w:rFonts w:cs="Tahoma"/>
          <w:color w:val="000000"/>
          <w:szCs w:val="20"/>
          <w:lang w:val="it-IT"/>
        </w:rPr>
        <w:t>Dynamics AX 2012 (Utente e Dispositivo)</w:t>
      </w:r>
    </w:p>
    <w:p w:rsidR="00CB0262" w:rsidRPr="00BD7CEA" w:rsidRDefault="00CB0262" w:rsidP="00EF4590">
      <w:r w:rsidRPr="00BD7CEA">
        <w:rPr>
          <w:rFonts w:cs="Tahoma"/>
          <w:color w:val="000000"/>
          <w:szCs w:val="20"/>
        </w:rPr>
        <w:t>Windows 8 Enterprise Sideloading</w:t>
      </w:r>
    </w:p>
    <w:p w:rsidR="00CB0262" w:rsidRPr="00BD7CEA" w:rsidRDefault="00CB0262" w:rsidP="00EF4590">
      <w:r w:rsidRPr="00BD7CEA">
        <w:rPr>
          <w:rFonts w:cs="Tahoma"/>
          <w:color w:val="000000"/>
          <w:szCs w:val="20"/>
        </w:rPr>
        <w:t>Aggiornamento per Windows 8 Pro</w:t>
      </w:r>
    </w:p>
    <w:p w:rsidR="00394D71" w:rsidRPr="007B74B7" w:rsidRDefault="00394D71" w:rsidP="00EF4590">
      <w:pPr>
        <w:rPr>
          <w:lang w:val="it-IT"/>
        </w:rPr>
      </w:pPr>
      <w:r w:rsidRPr="007B74B7">
        <w:rPr>
          <w:rFonts w:cs="Tahoma"/>
          <w:color w:val="000000"/>
          <w:szCs w:val="18"/>
          <w:lang w:val="it-IT"/>
        </w:rPr>
        <w:t>Windows 8 Pro con MDOP</w:t>
      </w:r>
    </w:p>
    <w:p w:rsidR="00CB0262" w:rsidRPr="007B74B7" w:rsidRDefault="00CB0262" w:rsidP="00EF4590">
      <w:pPr>
        <w:rPr>
          <w:lang w:val="it-IT"/>
        </w:rPr>
      </w:pPr>
      <w:r w:rsidRPr="007B74B7">
        <w:rPr>
          <w:rFonts w:cs="Tahoma"/>
          <w:color w:val="000000"/>
          <w:szCs w:val="20"/>
          <w:lang w:val="it-IT"/>
        </w:rPr>
        <w:t>Diritti di Noleggio per Windows</w:t>
      </w:r>
    </w:p>
    <w:p w:rsidR="00593FBD" w:rsidRPr="007B74B7" w:rsidRDefault="00593FBD" w:rsidP="00EF4590">
      <w:pPr>
        <w:rPr>
          <w:lang w:val="it-IT"/>
        </w:rPr>
      </w:pPr>
    </w:p>
    <w:p w:rsidR="00593FBD" w:rsidRPr="007B74B7" w:rsidRDefault="00593FBD" w:rsidP="003E606C">
      <w:pPr>
        <w:spacing w:after="60"/>
        <w:rPr>
          <w:lang w:val="it-IT"/>
        </w:rPr>
      </w:pPr>
      <w:r w:rsidRPr="007B74B7">
        <w:rPr>
          <w:b/>
          <w:lang w:val="it-IT"/>
        </w:rPr>
        <w:t>Promozioni</w:t>
      </w:r>
    </w:p>
    <w:p w:rsidR="00F84628" w:rsidRPr="007B74B7" w:rsidRDefault="00F84628" w:rsidP="00F84628">
      <w:pPr>
        <w:rPr>
          <w:lang w:val="it-IT"/>
        </w:rPr>
      </w:pPr>
      <w:r w:rsidRPr="007B74B7">
        <w:rPr>
          <w:color w:val="000000"/>
          <w:lang w:val="it-IT"/>
        </w:rPr>
        <w:t>Sono state aggiunte le seguenti promozioni:</w:t>
      </w:r>
    </w:p>
    <w:p w:rsidR="00F84628" w:rsidRPr="00BD7CEA" w:rsidRDefault="00F84628" w:rsidP="00F84628">
      <w:r w:rsidRPr="00BD7CEA">
        <w:rPr>
          <w:rFonts w:eastAsia="Times New Roman" w:cs="Tahoma"/>
          <w:color w:val="000000"/>
          <w:szCs w:val="18"/>
        </w:rPr>
        <w:t>Promozione Step-Up per Windows Server Datacenter</w:t>
      </w:r>
    </w:p>
    <w:p w:rsidR="00F84628" w:rsidRPr="007B74B7" w:rsidRDefault="00F84628" w:rsidP="00F84628">
      <w:pPr>
        <w:rPr>
          <w:lang w:val="it-IT"/>
        </w:rPr>
      </w:pPr>
      <w:r w:rsidRPr="007B74B7">
        <w:rPr>
          <w:rFonts w:eastAsia="Times New Roman" w:cs="Tahoma"/>
          <w:color w:val="000000"/>
          <w:szCs w:val="18"/>
          <w:lang w:val="it-IT"/>
        </w:rPr>
        <w:t xml:space="preserve">Forefront Online Protection for Exchange </w:t>
      </w:r>
    </w:p>
    <w:p w:rsidR="00F84628" w:rsidRPr="007B74B7" w:rsidRDefault="00F84628" w:rsidP="00F84628">
      <w:pPr>
        <w:rPr>
          <w:lang w:val="it-IT"/>
        </w:rPr>
      </w:pPr>
    </w:p>
    <w:p w:rsidR="00F84628" w:rsidRPr="007B74B7" w:rsidRDefault="00F84628" w:rsidP="00F84628">
      <w:pPr>
        <w:outlineLvl w:val="1"/>
        <w:rPr>
          <w:lang w:val="it-IT"/>
        </w:rPr>
      </w:pPr>
      <w:r w:rsidRPr="007B74B7">
        <w:rPr>
          <w:rFonts w:cs="Tahoma"/>
          <w:color w:val="000000"/>
          <w:szCs w:val="18"/>
          <w:lang w:val="it-IT"/>
        </w:rPr>
        <w:t>Sono state eliminate le seguenti promozioni</w:t>
      </w:r>
    </w:p>
    <w:p w:rsidR="00F84628" w:rsidRPr="007B74B7" w:rsidRDefault="00F84628" w:rsidP="00F84628">
      <w:pPr>
        <w:rPr>
          <w:lang w:val="it-IT"/>
        </w:rPr>
      </w:pPr>
      <w:r w:rsidRPr="007B74B7">
        <w:rPr>
          <w:color w:val="000000"/>
          <w:lang w:val="it-IT"/>
        </w:rPr>
        <w:t>Promozione di Enrollment for Core Infrastructure Standard Suite</w:t>
      </w:r>
    </w:p>
    <w:p w:rsidR="00F84628" w:rsidRPr="007B74B7" w:rsidRDefault="00F84628" w:rsidP="00F84628">
      <w:pPr>
        <w:outlineLvl w:val="1"/>
        <w:rPr>
          <w:lang w:val="it-IT"/>
        </w:rPr>
      </w:pPr>
    </w:p>
    <w:p w:rsidR="00593FBD" w:rsidRPr="007B74B7" w:rsidRDefault="00593FBD" w:rsidP="003E606C">
      <w:pPr>
        <w:spacing w:after="60"/>
        <w:rPr>
          <w:lang w:val="it-IT"/>
        </w:rPr>
      </w:pPr>
      <w:r w:rsidRPr="007B74B7">
        <w:rPr>
          <w:b/>
          <w:lang w:val="it-IT"/>
        </w:rPr>
        <w:t>Prodotti Eliminati</w:t>
      </w:r>
    </w:p>
    <w:p w:rsidR="00B07E07" w:rsidRPr="007B74B7" w:rsidRDefault="00B07E07" w:rsidP="00EF4590">
      <w:pPr>
        <w:rPr>
          <w:lang w:val="it-IT"/>
        </w:rPr>
      </w:pPr>
      <w:r w:rsidRPr="007B74B7">
        <w:rPr>
          <w:rFonts w:cs="Tahoma"/>
          <w:color w:val="000000"/>
          <w:szCs w:val="20"/>
          <w:lang w:val="it-IT"/>
        </w:rPr>
        <w:t>Tellme Basic (A pagamento)</w:t>
      </w:r>
    </w:p>
    <w:p w:rsidR="00B07E07" w:rsidRPr="007B74B7" w:rsidRDefault="00B07E07" w:rsidP="00EF4590">
      <w:pPr>
        <w:rPr>
          <w:lang w:val="it-IT"/>
        </w:rPr>
      </w:pPr>
      <w:r w:rsidRPr="007B74B7">
        <w:rPr>
          <w:rFonts w:cs="Tahoma"/>
          <w:color w:val="000000"/>
          <w:szCs w:val="20"/>
          <w:lang w:val="it-IT"/>
        </w:rPr>
        <w:t>Tellme Standard (A pagamento)</w:t>
      </w:r>
    </w:p>
    <w:p w:rsidR="00B07E07" w:rsidRPr="007B74B7" w:rsidRDefault="00B07E07" w:rsidP="00EF4590">
      <w:pPr>
        <w:rPr>
          <w:lang w:val="it-IT"/>
        </w:rPr>
      </w:pPr>
      <w:r w:rsidRPr="007B74B7">
        <w:rPr>
          <w:rFonts w:cs="Tahoma"/>
          <w:color w:val="000000"/>
          <w:szCs w:val="20"/>
          <w:lang w:val="it-IT"/>
        </w:rPr>
        <w:t>Tellme Premium (A pagamento)</w:t>
      </w:r>
    </w:p>
    <w:p w:rsidR="00B07E07" w:rsidRPr="007B74B7" w:rsidRDefault="00B07E07" w:rsidP="00EF4590">
      <w:pPr>
        <w:rPr>
          <w:lang w:val="it-IT"/>
        </w:rPr>
      </w:pPr>
      <w:r w:rsidRPr="007B74B7">
        <w:rPr>
          <w:rFonts w:cs="Tahoma"/>
          <w:color w:val="000000"/>
          <w:szCs w:val="20"/>
          <w:lang w:val="it-IT"/>
        </w:rPr>
        <w:t>Tellme Basic (SL Servizi)</w:t>
      </w:r>
    </w:p>
    <w:p w:rsidR="00B07E07" w:rsidRPr="007B74B7" w:rsidRDefault="00B07E07" w:rsidP="00EF4590">
      <w:pPr>
        <w:rPr>
          <w:lang w:val="it-IT"/>
        </w:rPr>
      </w:pPr>
      <w:r w:rsidRPr="007B74B7">
        <w:rPr>
          <w:rFonts w:cs="Tahoma"/>
          <w:color w:val="000000"/>
          <w:szCs w:val="20"/>
          <w:lang w:val="it-IT"/>
        </w:rPr>
        <w:t>Tellme Standard (SL Servizi)</w:t>
      </w:r>
    </w:p>
    <w:p w:rsidR="00B07E07" w:rsidRPr="007B74B7" w:rsidRDefault="00B07E07" w:rsidP="00EF4590">
      <w:pPr>
        <w:rPr>
          <w:lang w:val="it-IT"/>
        </w:rPr>
      </w:pPr>
      <w:r w:rsidRPr="007B74B7">
        <w:rPr>
          <w:rFonts w:cs="Tahoma"/>
          <w:color w:val="000000"/>
          <w:szCs w:val="20"/>
          <w:lang w:val="it-IT"/>
        </w:rPr>
        <w:t>Tellme Premium (SL Servizi)</w:t>
      </w:r>
    </w:p>
    <w:p w:rsidR="003F704E" w:rsidRPr="007B74B7" w:rsidRDefault="003F704E" w:rsidP="00EF4590">
      <w:pPr>
        <w:rPr>
          <w:lang w:val="pt-BR"/>
        </w:rPr>
      </w:pPr>
      <w:r w:rsidRPr="007B74B7">
        <w:rPr>
          <w:rFonts w:cs="Tahoma"/>
          <w:color w:val="000000"/>
          <w:szCs w:val="20"/>
          <w:lang w:val="pt-BR"/>
        </w:rPr>
        <w:t>Tellme Overage Minutes (A pagamento)</w:t>
      </w:r>
    </w:p>
    <w:p w:rsidR="00593FBD" w:rsidRPr="007B74B7" w:rsidRDefault="00CB0262" w:rsidP="00EF4590">
      <w:pPr>
        <w:rPr>
          <w:lang w:val="it-IT"/>
        </w:rPr>
      </w:pPr>
      <w:r w:rsidRPr="007B74B7">
        <w:rPr>
          <w:rFonts w:cs="Tahoma"/>
          <w:color w:val="000000"/>
          <w:szCs w:val="20"/>
          <w:lang w:val="it-IT"/>
        </w:rPr>
        <w:t>Visual Studio</w:t>
      </w:r>
      <w:r w:rsidR="00700C4B" w:rsidRPr="007B74B7">
        <w:rPr>
          <w:rFonts w:cs="Tahoma"/>
          <w:color w:val="000000"/>
          <w:szCs w:val="20"/>
          <w:vertAlign w:val="superscript"/>
          <w:lang w:val="it-IT"/>
        </w:rPr>
        <w:t>®</w:t>
      </w:r>
      <w:r w:rsidRPr="007B74B7">
        <w:rPr>
          <w:rFonts w:cs="Tahoma"/>
          <w:color w:val="000000"/>
          <w:szCs w:val="20"/>
          <w:lang w:val="it-IT"/>
        </w:rPr>
        <w:t xml:space="preserve"> 2010 Professional</w:t>
      </w:r>
    </w:p>
    <w:p w:rsidR="00593FBD" w:rsidRPr="007B74B7" w:rsidRDefault="00CB0262" w:rsidP="00EF4590">
      <w:pPr>
        <w:rPr>
          <w:lang w:val="it-IT"/>
        </w:rPr>
      </w:pPr>
      <w:r w:rsidRPr="007B74B7">
        <w:rPr>
          <w:rFonts w:cs="Tahoma"/>
          <w:color w:val="000000"/>
          <w:szCs w:val="20"/>
          <w:lang w:val="it-IT"/>
        </w:rPr>
        <w:t>Visual Studio</w:t>
      </w:r>
      <w:r w:rsidR="00700C4B" w:rsidRPr="007B74B7">
        <w:rPr>
          <w:rFonts w:cs="Tahoma"/>
          <w:color w:val="000000"/>
          <w:szCs w:val="20"/>
          <w:vertAlign w:val="superscript"/>
          <w:lang w:val="it-IT"/>
        </w:rPr>
        <w:t>®</w:t>
      </w:r>
      <w:r w:rsidRPr="007B74B7">
        <w:rPr>
          <w:rFonts w:cs="Tahoma"/>
          <w:color w:val="000000"/>
          <w:szCs w:val="20"/>
          <w:lang w:val="it-IT"/>
        </w:rPr>
        <w:t xml:space="preserve"> 2010 Professional con MSDN</w:t>
      </w:r>
    </w:p>
    <w:p w:rsidR="00CB0262" w:rsidRPr="007B74B7" w:rsidRDefault="00CB0262" w:rsidP="00EF4590">
      <w:pPr>
        <w:rPr>
          <w:lang w:val="it-IT"/>
        </w:rPr>
      </w:pPr>
      <w:r w:rsidRPr="007B74B7">
        <w:rPr>
          <w:rFonts w:cs="Tahoma"/>
          <w:color w:val="000000"/>
          <w:szCs w:val="20"/>
          <w:lang w:val="it-IT"/>
        </w:rPr>
        <w:t>Visual Studio</w:t>
      </w:r>
      <w:r w:rsidR="00700C4B" w:rsidRPr="007B74B7">
        <w:rPr>
          <w:rFonts w:cs="Tahoma"/>
          <w:color w:val="000000"/>
          <w:szCs w:val="20"/>
          <w:vertAlign w:val="superscript"/>
          <w:lang w:val="it-IT"/>
        </w:rPr>
        <w:t>®</w:t>
      </w:r>
      <w:r w:rsidRPr="007B74B7">
        <w:rPr>
          <w:rFonts w:cs="Tahoma"/>
          <w:color w:val="000000"/>
          <w:szCs w:val="20"/>
          <w:lang w:val="it-IT"/>
        </w:rPr>
        <w:t xml:space="preserve"> 2010 Professional con MSDN Integrato</w:t>
      </w:r>
    </w:p>
    <w:p w:rsidR="00CB0262" w:rsidRPr="007B74B7" w:rsidRDefault="00CB0262" w:rsidP="00EF4590">
      <w:pPr>
        <w:rPr>
          <w:lang w:val="it-IT"/>
        </w:rPr>
      </w:pPr>
      <w:r w:rsidRPr="007B74B7">
        <w:rPr>
          <w:rFonts w:cs="Tahoma"/>
          <w:color w:val="000000"/>
          <w:szCs w:val="20"/>
          <w:lang w:val="it-IT"/>
        </w:rPr>
        <w:t>Visual Studio</w:t>
      </w:r>
      <w:r w:rsidR="00700C4B" w:rsidRPr="007B74B7">
        <w:rPr>
          <w:rFonts w:cs="Tahoma"/>
          <w:color w:val="000000"/>
          <w:szCs w:val="20"/>
          <w:vertAlign w:val="superscript"/>
          <w:lang w:val="it-IT"/>
        </w:rPr>
        <w:t>®</w:t>
      </w:r>
      <w:r w:rsidRPr="007B74B7">
        <w:rPr>
          <w:rFonts w:cs="Tahoma"/>
          <w:color w:val="000000"/>
          <w:szCs w:val="20"/>
          <w:lang w:val="it-IT"/>
        </w:rPr>
        <w:t xml:space="preserve"> 2010 Premium</w:t>
      </w:r>
    </w:p>
    <w:p w:rsidR="00CB0262" w:rsidRPr="007B74B7" w:rsidRDefault="00CB0262" w:rsidP="00EF4590">
      <w:pPr>
        <w:rPr>
          <w:lang w:val="it-IT"/>
        </w:rPr>
      </w:pPr>
      <w:r w:rsidRPr="007B74B7">
        <w:rPr>
          <w:rFonts w:cs="Tahoma"/>
          <w:color w:val="000000"/>
          <w:szCs w:val="20"/>
          <w:lang w:val="it-IT"/>
        </w:rPr>
        <w:t>Visual Studio</w:t>
      </w:r>
      <w:r w:rsidR="00700C4B" w:rsidRPr="007B74B7">
        <w:rPr>
          <w:rFonts w:cs="Tahoma"/>
          <w:color w:val="000000"/>
          <w:szCs w:val="20"/>
          <w:vertAlign w:val="superscript"/>
          <w:lang w:val="it-IT"/>
        </w:rPr>
        <w:t>®</w:t>
      </w:r>
      <w:r w:rsidRPr="007B74B7">
        <w:rPr>
          <w:rFonts w:cs="Tahoma"/>
          <w:color w:val="000000"/>
          <w:szCs w:val="20"/>
          <w:lang w:val="it-IT"/>
        </w:rPr>
        <w:t xml:space="preserve"> 2010 Premium con MSDN</w:t>
      </w:r>
    </w:p>
    <w:p w:rsidR="00CB0262" w:rsidRPr="007B74B7" w:rsidRDefault="00CB0262" w:rsidP="00EF4590">
      <w:pPr>
        <w:rPr>
          <w:lang w:val="it-IT"/>
        </w:rPr>
      </w:pPr>
      <w:r w:rsidRPr="007B74B7">
        <w:rPr>
          <w:rFonts w:cs="Tahoma"/>
          <w:color w:val="000000"/>
          <w:szCs w:val="20"/>
          <w:lang w:val="it-IT"/>
        </w:rPr>
        <w:t>Visual Studio</w:t>
      </w:r>
      <w:r w:rsidR="00700C4B" w:rsidRPr="007B74B7">
        <w:rPr>
          <w:rFonts w:cs="Tahoma"/>
          <w:color w:val="000000"/>
          <w:szCs w:val="20"/>
          <w:vertAlign w:val="superscript"/>
          <w:lang w:val="it-IT"/>
        </w:rPr>
        <w:t>®</w:t>
      </w:r>
      <w:r w:rsidRPr="007B74B7">
        <w:rPr>
          <w:rFonts w:cs="Tahoma"/>
          <w:color w:val="000000"/>
          <w:szCs w:val="20"/>
          <w:lang w:val="it-IT"/>
        </w:rPr>
        <w:t xml:space="preserve"> 2010 Ultimate</w:t>
      </w:r>
    </w:p>
    <w:p w:rsidR="00CB0262" w:rsidRPr="007B74B7" w:rsidRDefault="00CB0262" w:rsidP="00EF4590">
      <w:pPr>
        <w:rPr>
          <w:lang w:val="it-IT"/>
        </w:rPr>
      </w:pPr>
      <w:r w:rsidRPr="007B74B7">
        <w:rPr>
          <w:rFonts w:cs="Tahoma"/>
          <w:color w:val="000000"/>
          <w:szCs w:val="20"/>
          <w:lang w:val="it-IT"/>
        </w:rPr>
        <w:t>Visual Studio</w:t>
      </w:r>
      <w:r w:rsidR="00700C4B" w:rsidRPr="007B74B7">
        <w:rPr>
          <w:rFonts w:cs="Tahoma"/>
          <w:color w:val="000000"/>
          <w:szCs w:val="20"/>
          <w:vertAlign w:val="superscript"/>
          <w:lang w:val="it-IT"/>
        </w:rPr>
        <w:t>®</w:t>
      </w:r>
      <w:r w:rsidRPr="007B74B7">
        <w:rPr>
          <w:rFonts w:cs="Tahoma"/>
          <w:color w:val="000000"/>
          <w:szCs w:val="20"/>
          <w:lang w:val="it-IT"/>
        </w:rPr>
        <w:t xml:space="preserve"> 2010 Ultimate con MSDN</w:t>
      </w:r>
    </w:p>
    <w:p w:rsidR="00CB0262" w:rsidRPr="007B74B7" w:rsidRDefault="00CB0262" w:rsidP="00EF4590">
      <w:pPr>
        <w:rPr>
          <w:lang w:val="it-IT"/>
        </w:rPr>
      </w:pPr>
      <w:r w:rsidRPr="007B74B7">
        <w:rPr>
          <w:rFonts w:cs="Tahoma"/>
          <w:color w:val="000000"/>
          <w:szCs w:val="20"/>
          <w:lang w:val="it-IT"/>
        </w:rPr>
        <w:t>Visual Studio</w:t>
      </w:r>
      <w:r w:rsidR="00700C4B" w:rsidRPr="007B74B7">
        <w:rPr>
          <w:rFonts w:cs="Tahoma"/>
          <w:color w:val="000000"/>
          <w:szCs w:val="20"/>
          <w:vertAlign w:val="superscript"/>
          <w:lang w:val="it-IT"/>
        </w:rPr>
        <w:t>®</w:t>
      </w:r>
      <w:r w:rsidRPr="007B74B7">
        <w:rPr>
          <w:rFonts w:cs="Tahoma"/>
          <w:color w:val="000000"/>
          <w:szCs w:val="20"/>
          <w:lang w:val="it-IT"/>
        </w:rPr>
        <w:t xml:space="preserve"> Test Professional 2010</w:t>
      </w:r>
    </w:p>
    <w:p w:rsidR="00CB0262" w:rsidRPr="00BD7CEA" w:rsidRDefault="00101CDD" w:rsidP="00EF4590">
      <w:r w:rsidRPr="00BD7CEA">
        <w:rPr>
          <w:rFonts w:cs="Tahoma"/>
          <w:color w:val="000000"/>
          <w:szCs w:val="20"/>
        </w:rPr>
        <w:t>Visual Studio</w:t>
      </w:r>
      <w:r w:rsidR="00700C4B" w:rsidRPr="00BD7CEA">
        <w:rPr>
          <w:rFonts w:cs="Tahoma"/>
          <w:color w:val="000000"/>
          <w:szCs w:val="20"/>
          <w:vertAlign w:val="superscript"/>
        </w:rPr>
        <w:t>®</w:t>
      </w:r>
      <w:r w:rsidRPr="00BD7CEA">
        <w:rPr>
          <w:rFonts w:cs="Tahoma"/>
          <w:color w:val="000000"/>
          <w:szCs w:val="20"/>
        </w:rPr>
        <w:t xml:space="preserve"> Test Professional 2010 con MSDN</w:t>
      </w:r>
    </w:p>
    <w:p w:rsidR="00CB0262" w:rsidRPr="00BD7CEA" w:rsidRDefault="00101CDD" w:rsidP="00EF4590">
      <w:r w:rsidRPr="00BD7CEA">
        <w:rPr>
          <w:rFonts w:cs="Tahoma"/>
          <w:color w:val="000000"/>
          <w:szCs w:val="20"/>
        </w:rPr>
        <w:t>Visual Studio</w:t>
      </w:r>
      <w:r w:rsidR="00700C4B" w:rsidRPr="00BD7CEA">
        <w:rPr>
          <w:rFonts w:cs="Tahoma"/>
          <w:color w:val="000000"/>
          <w:szCs w:val="20"/>
          <w:vertAlign w:val="superscript"/>
        </w:rPr>
        <w:t>®</w:t>
      </w:r>
      <w:r w:rsidRPr="00BD7CEA">
        <w:rPr>
          <w:rFonts w:cs="Tahoma"/>
          <w:color w:val="000000"/>
          <w:szCs w:val="20"/>
        </w:rPr>
        <w:t xml:space="preserve"> LightSwitch 2011</w:t>
      </w:r>
    </w:p>
    <w:p w:rsidR="00CB0262" w:rsidRPr="00BD7CEA" w:rsidRDefault="00101CDD" w:rsidP="00EF4590">
      <w:r w:rsidRPr="00BD7CEA">
        <w:rPr>
          <w:rFonts w:cs="Tahoma"/>
          <w:color w:val="000000"/>
          <w:szCs w:val="20"/>
        </w:rPr>
        <w:t>Visual Studio</w:t>
      </w:r>
      <w:r w:rsidR="00700C4B" w:rsidRPr="00BD7CEA">
        <w:rPr>
          <w:rFonts w:cs="Tahoma"/>
          <w:color w:val="000000"/>
          <w:szCs w:val="20"/>
          <w:vertAlign w:val="superscript"/>
        </w:rPr>
        <w:t>®</w:t>
      </w:r>
      <w:r w:rsidRPr="00BD7CEA">
        <w:rPr>
          <w:rFonts w:cs="Tahoma"/>
          <w:color w:val="000000"/>
          <w:szCs w:val="20"/>
        </w:rPr>
        <w:t xml:space="preserve"> Load Test Virtual User Pack 2010</w:t>
      </w:r>
    </w:p>
    <w:p w:rsidR="00CB0262" w:rsidRPr="007B74B7" w:rsidRDefault="00101CDD" w:rsidP="00EF4590">
      <w:pPr>
        <w:rPr>
          <w:lang w:val="it-IT"/>
        </w:rPr>
      </w:pPr>
      <w:r w:rsidRPr="007B74B7">
        <w:rPr>
          <w:rFonts w:cs="Tahoma"/>
          <w:color w:val="000000"/>
          <w:szCs w:val="20"/>
          <w:lang w:val="it-IT"/>
        </w:rPr>
        <w:t>Visual Studio</w:t>
      </w:r>
      <w:r w:rsidR="00700C4B" w:rsidRPr="007B74B7">
        <w:rPr>
          <w:rFonts w:cs="Tahoma"/>
          <w:color w:val="000000"/>
          <w:szCs w:val="20"/>
          <w:vertAlign w:val="superscript"/>
          <w:lang w:val="it-IT"/>
        </w:rPr>
        <w:t>®</w:t>
      </w:r>
      <w:r w:rsidRPr="007B74B7">
        <w:rPr>
          <w:rFonts w:cs="Tahoma"/>
          <w:color w:val="000000"/>
          <w:szCs w:val="20"/>
          <w:lang w:val="it-IT"/>
        </w:rPr>
        <w:t xml:space="preserve"> Team Foundation Server 2010 con Tecnologia SQL Server 2008</w:t>
      </w:r>
    </w:p>
    <w:p w:rsidR="00CB0262" w:rsidRPr="007B74B7" w:rsidRDefault="00101CDD" w:rsidP="00EF4590">
      <w:pPr>
        <w:rPr>
          <w:lang w:val="it-IT"/>
        </w:rPr>
      </w:pPr>
      <w:r w:rsidRPr="007B74B7">
        <w:rPr>
          <w:rFonts w:cs="Tahoma"/>
          <w:color w:val="000000"/>
          <w:szCs w:val="20"/>
          <w:lang w:val="it-IT"/>
        </w:rPr>
        <w:t>CAL per Dispositivo per Visual Studio</w:t>
      </w:r>
      <w:r w:rsidR="00700C4B" w:rsidRPr="007B74B7">
        <w:rPr>
          <w:rFonts w:cs="Tahoma"/>
          <w:color w:val="000000"/>
          <w:szCs w:val="20"/>
          <w:vertAlign w:val="superscript"/>
          <w:lang w:val="it-IT"/>
        </w:rPr>
        <w:t>®</w:t>
      </w:r>
      <w:r w:rsidRPr="007B74B7">
        <w:rPr>
          <w:rFonts w:cs="Tahoma"/>
          <w:color w:val="000000"/>
          <w:szCs w:val="20"/>
          <w:lang w:val="it-IT"/>
        </w:rPr>
        <w:t xml:space="preserve"> Team Foundation Server 2010</w:t>
      </w:r>
    </w:p>
    <w:p w:rsidR="00CB0262" w:rsidRPr="00BD7CEA" w:rsidRDefault="00101CDD" w:rsidP="00EF4590">
      <w:r w:rsidRPr="00BD7CEA">
        <w:rPr>
          <w:rFonts w:cs="Tahoma"/>
          <w:color w:val="000000"/>
          <w:szCs w:val="20"/>
        </w:rPr>
        <w:t>User CAL per Visual Studio</w:t>
      </w:r>
      <w:r w:rsidR="00700C4B" w:rsidRPr="00BD7CEA">
        <w:rPr>
          <w:rFonts w:cs="Tahoma"/>
          <w:color w:val="000000"/>
          <w:szCs w:val="20"/>
          <w:vertAlign w:val="superscript"/>
        </w:rPr>
        <w:t>®</w:t>
      </w:r>
      <w:r w:rsidRPr="00BD7CEA">
        <w:rPr>
          <w:rFonts w:cs="Tahoma"/>
          <w:color w:val="000000"/>
          <w:szCs w:val="20"/>
        </w:rPr>
        <w:t xml:space="preserve"> Team Foundation Server 2010</w:t>
      </w:r>
    </w:p>
    <w:p w:rsidR="00CB0262" w:rsidRPr="00BD7CEA" w:rsidRDefault="00101CDD" w:rsidP="00EF4590">
      <w:r w:rsidRPr="00BD7CEA">
        <w:rPr>
          <w:rFonts w:cs="Tahoma"/>
          <w:color w:val="000000"/>
          <w:szCs w:val="20"/>
        </w:rPr>
        <w:t>External Connector per Visual Studio</w:t>
      </w:r>
      <w:r w:rsidR="00700C4B" w:rsidRPr="00BD7CEA">
        <w:rPr>
          <w:rFonts w:cs="Tahoma"/>
          <w:color w:val="000000"/>
          <w:szCs w:val="20"/>
          <w:vertAlign w:val="superscript"/>
        </w:rPr>
        <w:t>®</w:t>
      </w:r>
      <w:r w:rsidRPr="00BD7CEA">
        <w:rPr>
          <w:rFonts w:cs="Tahoma"/>
          <w:color w:val="000000"/>
          <w:szCs w:val="20"/>
        </w:rPr>
        <w:t xml:space="preserve"> Team Foundation Server 2010</w:t>
      </w:r>
    </w:p>
    <w:p w:rsidR="00101CDD" w:rsidRPr="00BD7CEA" w:rsidRDefault="00101CDD" w:rsidP="00EF4590">
      <w:r w:rsidRPr="00BD7CEA">
        <w:rPr>
          <w:rFonts w:cs="Tahoma"/>
          <w:color w:val="000000"/>
          <w:szCs w:val="20"/>
        </w:rPr>
        <w:t>CAL per Windows Server™ 2008 (Dispositivo e Utente)</w:t>
      </w:r>
    </w:p>
    <w:p w:rsidR="00CB0262" w:rsidRPr="00BD7CEA" w:rsidRDefault="00101CDD" w:rsidP="00EF4590">
      <w:r w:rsidRPr="00BD7CEA">
        <w:rPr>
          <w:rFonts w:cs="Tahoma"/>
          <w:color w:val="000000"/>
          <w:szCs w:val="20"/>
        </w:rPr>
        <w:t>Windows Server™ 2008 R2 HPC Edition</w:t>
      </w:r>
    </w:p>
    <w:p w:rsidR="00101CDD" w:rsidRPr="00BD7CEA" w:rsidRDefault="00101CDD" w:rsidP="00EF4590">
      <w:r w:rsidRPr="00BD7CEA">
        <w:rPr>
          <w:rFonts w:cs="Tahoma"/>
          <w:color w:val="000000"/>
          <w:szCs w:val="20"/>
        </w:rPr>
        <w:t>Windows Server™ 2008 R2 Datacenter</w:t>
      </w:r>
    </w:p>
    <w:p w:rsidR="00CB0262" w:rsidRPr="00BD7CEA" w:rsidRDefault="00101CDD" w:rsidP="00EF4590">
      <w:r w:rsidRPr="00BD7CEA">
        <w:rPr>
          <w:rFonts w:cs="Tahoma"/>
          <w:color w:val="000000"/>
          <w:szCs w:val="20"/>
        </w:rPr>
        <w:lastRenderedPageBreak/>
        <w:t>Windows Server™ 2008 R2 Enterprise</w:t>
      </w:r>
    </w:p>
    <w:p w:rsidR="00101CDD" w:rsidRPr="00BD7CEA" w:rsidRDefault="00101CDD" w:rsidP="00EF4590">
      <w:r w:rsidRPr="00BD7CEA">
        <w:rPr>
          <w:rFonts w:cs="Tahoma"/>
          <w:color w:val="000000"/>
          <w:szCs w:val="20"/>
        </w:rPr>
        <w:t>Windows Server™ 2008 R2 per Sistemi Basati su Itanium</w:t>
      </w:r>
    </w:p>
    <w:p w:rsidR="00101CDD" w:rsidRPr="00BD7CEA" w:rsidRDefault="00101CDD" w:rsidP="00EF4590">
      <w:r w:rsidRPr="00BD7CEA">
        <w:rPr>
          <w:rFonts w:cs="Tahoma"/>
          <w:color w:val="000000"/>
          <w:szCs w:val="20"/>
        </w:rPr>
        <w:t>Windows Server™ 2008 R2 Standard</w:t>
      </w:r>
    </w:p>
    <w:p w:rsidR="00CB0262" w:rsidRPr="00BD7CEA" w:rsidRDefault="00101CDD" w:rsidP="00EF4590">
      <w:r w:rsidRPr="00BD7CEA">
        <w:rPr>
          <w:rFonts w:cs="Tahoma"/>
          <w:color w:val="000000"/>
          <w:szCs w:val="20"/>
        </w:rPr>
        <w:t>External Connector per Windows Server™ 2008</w:t>
      </w:r>
    </w:p>
    <w:p w:rsidR="00CB0262" w:rsidRPr="007B74B7" w:rsidRDefault="00101CDD" w:rsidP="00EF4590">
      <w:pPr>
        <w:rPr>
          <w:lang w:val="it-IT"/>
        </w:rPr>
      </w:pPr>
      <w:r w:rsidRPr="007B74B7">
        <w:rPr>
          <w:rFonts w:cs="Tahoma"/>
          <w:color w:val="000000"/>
          <w:szCs w:val="20"/>
          <w:lang w:val="it-IT"/>
        </w:rPr>
        <w:t>CAL per Servizi Desktop Remoto Windows Server™ 2008</w:t>
      </w:r>
    </w:p>
    <w:p w:rsidR="00101CDD" w:rsidRPr="00BD7CEA" w:rsidRDefault="00101CDD" w:rsidP="00EF4590">
      <w:r w:rsidRPr="00BD7CEA">
        <w:rPr>
          <w:rFonts w:cs="Tahoma"/>
          <w:color w:val="000000"/>
          <w:szCs w:val="20"/>
        </w:rPr>
        <w:t>External Connector per Servizi Desktop Remoto Windows Server™ 2008</w:t>
      </w:r>
    </w:p>
    <w:p w:rsidR="00101CDD" w:rsidRPr="00BD7CEA" w:rsidRDefault="00101CDD" w:rsidP="00EF4590">
      <w:r w:rsidRPr="00BD7CEA">
        <w:rPr>
          <w:rFonts w:cs="Tahoma"/>
          <w:color w:val="000000"/>
          <w:szCs w:val="20"/>
        </w:rPr>
        <w:t>CAL per Windows Server™ 2008 Rights Management Services</w:t>
      </w:r>
    </w:p>
    <w:p w:rsidR="00101CDD" w:rsidRPr="00BD7CEA" w:rsidRDefault="00101CDD" w:rsidP="00EF4590">
      <w:r w:rsidRPr="00BD7CEA">
        <w:rPr>
          <w:rFonts w:cs="Tahoma"/>
          <w:color w:val="000000"/>
          <w:szCs w:val="20"/>
        </w:rPr>
        <w:t>External Connector per Windows Server™ 2008 Rights Management Services</w:t>
      </w:r>
    </w:p>
    <w:p w:rsidR="00101CDD" w:rsidRPr="00BD7CEA" w:rsidRDefault="00101CDD" w:rsidP="00EF4590">
      <w:r w:rsidRPr="00BD7CEA">
        <w:rPr>
          <w:rFonts w:cs="Tahoma"/>
          <w:color w:val="000000"/>
          <w:szCs w:val="20"/>
        </w:rPr>
        <w:t>Windows Web Server 2008 R2</w:t>
      </w:r>
    </w:p>
    <w:p w:rsidR="00101CDD" w:rsidRPr="00BD7CEA" w:rsidRDefault="00101CDD" w:rsidP="00EF4590">
      <w:r w:rsidRPr="00BD7CEA">
        <w:rPr>
          <w:rFonts w:cs="Tahoma"/>
          <w:color w:val="000000"/>
          <w:szCs w:val="20"/>
        </w:rPr>
        <w:t>HPC Pack 2008 R2 Enterprise</w:t>
      </w:r>
    </w:p>
    <w:p w:rsidR="00101CDD" w:rsidRPr="00BD7CEA" w:rsidRDefault="00101CDD" w:rsidP="00EF4590">
      <w:r w:rsidRPr="00BD7CEA">
        <w:rPr>
          <w:rFonts w:cs="Tahoma"/>
          <w:color w:val="000000"/>
          <w:szCs w:val="20"/>
        </w:rPr>
        <w:t>HPC Pack 2008 R2 per Workstation</w:t>
      </w:r>
    </w:p>
    <w:p w:rsidR="00101CDD" w:rsidRPr="00BD7CEA" w:rsidRDefault="00101CDD" w:rsidP="00EF4590">
      <w:r w:rsidRPr="00BD7CEA">
        <w:rPr>
          <w:rFonts w:cs="Tahoma"/>
          <w:color w:val="000000"/>
          <w:szCs w:val="20"/>
        </w:rPr>
        <w:t>Windows HPC Server 2008 R2 Suite</w:t>
      </w:r>
    </w:p>
    <w:p w:rsidR="00101CDD" w:rsidRPr="00BD7CEA" w:rsidRDefault="00101CDD" w:rsidP="00EF4590">
      <w:r w:rsidRPr="00BD7CEA">
        <w:rPr>
          <w:rFonts w:cs="Tahoma"/>
          <w:color w:val="000000"/>
          <w:szCs w:val="20"/>
        </w:rPr>
        <w:t>Win Starter 7</w:t>
      </w:r>
    </w:p>
    <w:p w:rsidR="00101CDD" w:rsidRPr="007B74B7" w:rsidRDefault="00101CDD" w:rsidP="00EF4590">
      <w:pPr>
        <w:rPr>
          <w:lang w:val="it-IT"/>
        </w:rPr>
      </w:pPr>
      <w:r w:rsidRPr="007B74B7">
        <w:rPr>
          <w:rFonts w:cs="Tahoma"/>
          <w:color w:val="000000"/>
          <w:szCs w:val="20"/>
          <w:lang w:val="it-IT"/>
        </w:rPr>
        <w:t>Win 7 Professional (aggiornamento)</w:t>
      </w:r>
    </w:p>
    <w:p w:rsidR="001253FF" w:rsidRPr="007B74B7" w:rsidRDefault="001253FF" w:rsidP="00EF4590">
      <w:pPr>
        <w:rPr>
          <w:lang w:val="it-IT"/>
        </w:rPr>
      </w:pPr>
      <w:r w:rsidRPr="007B74B7">
        <w:rPr>
          <w:rFonts w:cs="Tahoma"/>
          <w:color w:val="000000"/>
          <w:szCs w:val="18"/>
          <w:lang w:val="it-IT"/>
        </w:rPr>
        <w:t>Windows 7 Professional con MDOP</w:t>
      </w:r>
    </w:p>
    <w:p w:rsidR="00CB0262" w:rsidRPr="007B74B7" w:rsidRDefault="00CB0262" w:rsidP="00EF4590">
      <w:pPr>
        <w:rPr>
          <w:lang w:val="it-IT"/>
        </w:rPr>
      </w:pPr>
    </w:p>
    <w:p w:rsidR="00593FBD" w:rsidRPr="007B74B7" w:rsidRDefault="00593FBD">
      <w:pPr>
        <w:ind w:right="720"/>
        <w:rPr>
          <w:lang w:val="it-IT"/>
        </w:rPr>
      </w:pPr>
    </w:p>
    <w:p w:rsidR="00EB4DA8" w:rsidRPr="007B74B7" w:rsidRDefault="00EB4DA8" w:rsidP="00EB4DA8">
      <w:pPr>
        <w:pStyle w:val="Heading2"/>
        <w:ind w:left="0"/>
        <w:jc w:val="both"/>
        <w:rPr>
          <w:lang w:val="it-IT"/>
        </w:rPr>
      </w:pPr>
      <w:bookmarkStart w:id="632" w:name="_Toc336338171"/>
      <w:bookmarkStart w:id="633" w:name="_Toc353375956"/>
      <w:r w:rsidRPr="007B74B7">
        <w:rPr>
          <w:rFonts w:ascii="Tahoma" w:hAnsi="Tahoma" w:cs="Tahoma"/>
          <w:color w:val="FF6600"/>
          <w:lang w:val="it-IT"/>
        </w:rPr>
        <w:t>MODIFICHE APPORTATE NEL MESE DI AGOSTO 2012</w:t>
      </w:r>
      <w:bookmarkEnd w:id="632"/>
      <w:bookmarkEnd w:id="633"/>
    </w:p>
    <w:p w:rsidR="00EB4DA8" w:rsidRPr="007B74B7" w:rsidRDefault="00EB4DA8" w:rsidP="00EB4DA8">
      <w:pPr>
        <w:rPr>
          <w:lang w:val="it-IT"/>
        </w:rPr>
      </w:pPr>
    </w:p>
    <w:p w:rsidR="00EB4DA8" w:rsidRPr="007B74B7" w:rsidRDefault="00EB4DA8" w:rsidP="003E606C">
      <w:pPr>
        <w:spacing w:after="60"/>
        <w:rPr>
          <w:lang w:val="it-IT"/>
        </w:rPr>
      </w:pPr>
      <w:r w:rsidRPr="007B74B7">
        <w:rPr>
          <w:b/>
          <w:lang w:val="it-IT"/>
        </w:rPr>
        <w:t>Prodotti Aggiunti</w:t>
      </w:r>
    </w:p>
    <w:p w:rsidR="00EB4DA8" w:rsidRPr="007B74B7" w:rsidRDefault="00EB4DA8" w:rsidP="00EB4DA8">
      <w:pPr>
        <w:rPr>
          <w:lang w:val="it-IT"/>
        </w:rPr>
      </w:pPr>
      <w:r w:rsidRPr="007B74B7">
        <w:rPr>
          <w:rFonts w:cs="Tahoma"/>
          <w:szCs w:val="18"/>
          <w:lang w:val="it-IT"/>
        </w:rPr>
        <w:t>MapPoint</w:t>
      </w:r>
      <w:r w:rsidR="00700C4B" w:rsidRPr="007B74B7">
        <w:rPr>
          <w:rFonts w:cs="Tahoma"/>
          <w:szCs w:val="18"/>
          <w:vertAlign w:val="superscript"/>
          <w:lang w:val="it-IT"/>
        </w:rPr>
        <w:t>®</w:t>
      </w:r>
      <w:r w:rsidRPr="007B74B7">
        <w:rPr>
          <w:rFonts w:cs="Tahoma"/>
          <w:szCs w:val="18"/>
          <w:lang w:val="it-IT"/>
        </w:rPr>
        <w:t xml:space="preserve"> Fleet Edition 2013</w:t>
      </w:r>
    </w:p>
    <w:p w:rsidR="00EB4DA8" w:rsidRPr="00BD7CEA" w:rsidRDefault="00EB4DA8" w:rsidP="00EB4DA8">
      <w:r w:rsidRPr="00BD7CEA">
        <w:rPr>
          <w:rFonts w:cs="Tahoma"/>
          <w:szCs w:val="18"/>
        </w:rPr>
        <w:t>MapPoint</w:t>
      </w:r>
      <w:r w:rsidR="00700C4B" w:rsidRPr="00BD7CEA">
        <w:rPr>
          <w:rFonts w:cs="Tahoma"/>
          <w:szCs w:val="18"/>
          <w:vertAlign w:val="superscript"/>
        </w:rPr>
        <w:t>®</w:t>
      </w:r>
      <w:r w:rsidRPr="00BD7CEA">
        <w:rPr>
          <w:rFonts w:cs="Tahoma"/>
          <w:szCs w:val="18"/>
        </w:rPr>
        <w:t xml:space="preserve"> 2013 per Windows </w:t>
      </w:r>
    </w:p>
    <w:p w:rsidR="00DA364B" w:rsidRPr="00BD7CEA" w:rsidRDefault="00DA364B" w:rsidP="00EB4DA8">
      <w:r w:rsidRPr="00BD7CEA">
        <w:rPr>
          <w:rFonts w:cs="Tahoma"/>
          <w:szCs w:val="18"/>
        </w:rPr>
        <w:t>Microsoft Translator API</w:t>
      </w:r>
    </w:p>
    <w:p w:rsidR="009E224B" w:rsidRPr="00BD7CEA" w:rsidRDefault="009E224B" w:rsidP="00EB4DA8">
      <w:r w:rsidRPr="00BD7CEA">
        <w:rPr>
          <w:rFonts w:cs="Tahoma"/>
          <w:szCs w:val="18"/>
        </w:rPr>
        <w:t>Office 365 Piano G1-G4</w:t>
      </w:r>
    </w:p>
    <w:p w:rsidR="00EB4DA8" w:rsidRPr="00BD7CEA" w:rsidRDefault="00EB4DA8" w:rsidP="00EB4DA8">
      <w:r w:rsidRPr="00BD7CEA">
        <w:rPr>
          <w:rFonts w:cs="Tahoma"/>
          <w:szCs w:val="18"/>
        </w:rPr>
        <w:t>Streets and Trips 2013</w:t>
      </w:r>
      <w:r w:rsidRPr="00BD7CEA">
        <w:rPr>
          <w:rFonts w:cs="Tahoma"/>
          <w:szCs w:val="18"/>
        </w:rPr>
        <w:tab/>
      </w:r>
    </w:p>
    <w:p w:rsidR="00EB4DA8" w:rsidRPr="00BD7CEA" w:rsidRDefault="00EB4DA8" w:rsidP="00EB4DA8"/>
    <w:p w:rsidR="00EB4DA8" w:rsidRPr="007B74B7" w:rsidRDefault="00EB4DA8" w:rsidP="003E606C">
      <w:pPr>
        <w:spacing w:after="60"/>
        <w:rPr>
          <w:lang w:val="it-IT"/>
        </w:rPr>
      </w:pPr>
      <w:r w:rsidRPr="007B74B7">
        <w:rPr>
          <w:b/>
          <w:lang w:val="it-IT"/>
        </w:rPr>
        <w:t>Promozioni</w:t>
      </w:r>
    </w:p>
    <w:p w:rsidR="00EB4DA8" w:rsidRPr="007B74B7" w:rsidRDefault="00EB4DA8" w:rsidP="00EB4DA8">
      <w:pPr>
        <w:rPr>
          <w:lang w:val="it-IT"/>
        </w:rPr>
      </w:pPr>
      <w:r w:rsidRPr="007B74B7">
        <w:rPr>
          <w:rFonts w:cs="Tahoma"/>
          <w:color w:val="000000"/>
          <w:szCs w:val="18"/>
          <w:lang w:val="it-IT"/>
        </w:rPr>
        <w:t>Non sono state aggiunte, eliminate né sono scadute promozioni.</w:t>
      </w:r>
    </w:p>
    <w:p w:rsidR="00EB4DA8" w:rsidRPr="00BD7CEA" w:rsidRDefault="00EB4DA8" w:rsidP="003E606C">
      <w:pPr>
        <w:spacing w:after="60"/>
      </w:pPr>
      <w:r w:rsidRPr="007B74B7">
        <w:rPr>
          <w:rFonts w:cs="Tahoma"/>
          <w:szCs w:val="18"/>
        </w:rPr>
        <w:br/>
      </w:r>
      <w:r w:rsidRPr="00BD7CEA">
        <w:rPr>
          <w:b/>
        </w:rPr>
        <w:t>Prodotti Eliminati</w:t>
      </w:r>
    </w:p>
    <w:p w:rsidR="00EB4DA8" w:rsidRPr="00BD7CEA" w:rsidRDefault="00EB4DA8" w:rsidP="00EB4DA8">
      <w:r w:rsidRPr="00BD7CEA">
        <w:rPr>
          <w:rFonts w:cs="Tahoma"/>
          <w:szCs w:val="18"/>
        </w:rPr>
        <w:t>MapPoint</w:t>
      </w:r>
      <w:r w:rsidR="00700C4B" w:rsidRPr="00BD7CEA">
        <w:rPr>
          <w:rFonts w:cs="Tahoma"/>
          <w:szCs w:val="18"/>
          <w:vertAlign w:val="superscript"/>
        </w:rPr>
        <w:t>®</w:t>
      </w:r>
      <w:r w:rsidRPr="00BD7CEA">
        <w:rPr>
          <w:rFonts w:cs="Tahoma"/>
          <w:szCs w:val="18"/>
        </w:rPr>
        <w:t xml:space="preserve"> Fleet Edition 2011</w:t>
      </w:r>
    </w:p>
    <w:p w:rsidR="00EB4DA8" w:rsidRPr="00BD7CEA" w:rsidRDefault="00EB4DA8" w:rsidP="00EB4DA8">
      <w:r w:rsidRPr="00BD7CEA">
        <w:rPr>
          <w:rFonts w:cs="Tahoma"/>
          <w:szCs w:val="18"/>
        </w:rPr>
        <w:t>MapPoint</w:t>
      </w:r>
      <w:r w:rsidR="00700C4B" w:rsidRPr="00BD7CEA">
        <w:rPr>
          <w:rFonts w:cs="Tahoma"/>
          <w:szCs w:val="18"/>
          <w:vertAlign w:val="superscript"/>
        </w:rPr>
        <w:t>®</w:t>
      </w:r>
      <w:r w:rsidRPr="00BD7CEA">
        <w:rPr>
          <w:rFonts w:cs="Tahoma"/>
          <w:szCs w:val="18"/>
        </w:rPr>
        <w:t xml:space="preserve"> 2011 per Windows </w:t>
      </w:r>
    </w:p>
    <w:p w:rsidR="00EB4DA8" w:rsidRPr="00BD7CEA" w:rsidRDefault="00EB4DA8" w:rsidP="00EB4DA8">
      <w:r w:rsidRPr="00BD7CEA">
        <w:rPr>
          <w:rFonts w:cs="Tahoma"/>
          <w:szCs w:val="18"/>
        </w:rPr>
        <w:t>Streets and Trips 2011</w:t>
      </w:r>
      <w:r w:rsidRPr="00BD7CEA">
        <w:rPr>
          <w:rFonts w:cs="Tahoma"/>
          <w:szCs w:val="18"/>
        </w:rPr>
        <w:tab/>
      </w:r>
    </w:p>
    <w:p w:rsidR="00EB4DA8" w:rsidRPr="00BD7CEA" w:rsidRDefault="00EB4DA8" w:rsidP="00EB4DA8"/>
    <w:p w:rsidR="00EB4DA8" w:rsidRPr="00BD7CEA" w:rsidRDefault="00EB4DA8" w:rsidP="005A23F4">
      <w:pPr>
        <w:pStyle w:val="Heading2"/>
        <w:ind w:left="0"/>
        <w:jc w:val="both"/>
      </w:pPr>
    </w:p>
    <w:p w:rsidR="005A23F4" w:rsidRPr="007B74B7" w:rsidRDefault="005A23F4" w:rsidP="005A23F4">
      <w:pPr>
        <w:pStyle w:val="Heading2"/>
        <w:ind w:left="0"/>
        <w:jc w:val="both"/>
        <w:rPr>
          <w:lang w:val="it-IT"/>
        </w:rPr>
      </w:pPr>
      <w:bookmarkStart w:id="634" w:name="_Toc336338172"/>
      <w:bookmarkStart w:id="635" w:name="_Toc353375957"/>
      <w:r w:rsidRPr="007B74B7">
        <w:rPr>
          <w:rFonts w:ascii="Tahoma" w:hAnsi="Tahoma" w:cs="Tahoma"/>
          <w:color w:val="FF6600"/>
          <w:lang w:val="it-IT"/>
        </w:rPr>
        <w:t>MODIFICHE APPORTATE NEL MESE DI LUGLIO 2012</w:t>
      </w:r>
      <w:bookmarkEnd w:id="634"/>
      <w:bookmarkEnd w:id="635"/>
    </w:p>
    <w:p w:rsidR="005A23F4" w:rsidRPr="007B74B7" w:rsidRDefault="005A23F4" w:rsidP="005A23F4">
      <w:pPr>
        <w:rPr>
          <w:lang w:val="it-IT"/>
        </w:rPr>
      </w:pPr>
    </w:p>
    <w:p w:rsidR="00172CBA" w:rsidRPr="007B74B7" w:rsidRDefault="00172CBA" w:rsidP="003E606C">
      <w:pPr>
        <w:spacing w:after="60"/>
        <w:rPr>
          <w:lang w:val="it-IT"/>
        </w:rPr>
      </w:pPr>
      <w:r w:rsidRPr="007B74B7">
        <w:rPr>
          <w:b/>
          <w:lang w:val="it-IT"/>
        </w:rPr>
        <w:t>Prodotti Aggiunti</w:t>
      </w:r>
    </w:p>
    <w:p w:rsidR="00856858" w:rsidRPr="007B74B7" w:rsidRDefault="00856858" w:rsidP="00FF73C5">
      <w:pPr>
        <w:rPr>
          <w:lang w:val="it-IT"/>
        </w:rPr>
      </w:pPr>
      <w:r w:rsidRPr="007B74B7">
        <w:rPr>
          <w:rFonts w:cs="Tahoma"/>
          <w:szCs w:val="18"/>
          <w:lang w:val="it-IT"/>
        </w:rPr>
        <w:t>Lync Online Piano 3</w:t>
      </w:r>
    </w:p>
    <w:p w:rsidR="00B1779F" w:rsidRPr="00BD7CEA" w:rsidRDefault="00B1779F" w:rsidP="00492E6C">
      <w:r w:rsidRPr="00BD7CEA">
        <w:rPr>
          <w:rFonts w:cs="Tahoma"/>
          <w:szCs w:val="18"/>
        </w:rPr>
        <w:t>Lync Online Piano 3A</w:t>
      </w:r>
    </w:p>
    <w:p w:rsidR="00856858" w:rsidRPr="00BD7CEA" w:rsidRDefault="00856858" w:rsidP="00DA364B">
      <w:r w:rsidRPr="00BD7CEA">
        <w:rPr>
          <w:rFonts w:cs="Tahoma"/>
          <w:szCs w:val="18"/>
        </w:rPr>
        <w:t>Office Web Applications con SharePoint Piano 2A</w:t>
      </w:r>
    </w:p>
    <w:p w:rsidR="00172CBA" w:rsidRPr="00BD7CEA" w:rsidRDefault="00856858" w:rsidP="00543693">
      <w:r w:rsidRPr="00BD7CEA">
        <w:rPr>
          <w:rFonts w:cs="Tahoma"/>
          <w:szCs w:val="18"/>
        </w:rPr>
        <w:t xml:space="preserve">Learning Solutions IT Academy (SL per Utente) </w:t>
      </w:r>
    </w:p>
    <w:p w:rsidR="00172CBA" w:rsidRPr="00BD7CEA" w:rsidRDefault="00172CBA" w:rsidP="00546475"/>
    <w:p w:rsidR="00172CBA" w:rsidRPr="007B74B7" w:rsidRDefault="00172CBA" w:rsidP="003E606C">
      <w:pPr>
        <w:spacing w:after="60"/>
        <w:rPr>
          <w:lang w:val="it-IT"/>
        </w:rPr>
      </w:pPr>
      <w:r w:rsidRPr="007B74B7">
        <w:rPr>
          <w:b/>
          <w:lang w:val="it-IT"/>
        </w:rPr>
        <w:t>Promozioni</w:t>
      </w:r>
    </w:p>
    <w:p w:rsidR="00172CBA" w:rsidRPr="007B74B7" w:rsidRDefault="00172CBA" w:rsidP="002765CF">
      <w:pPr>
        <w:rPr>
          <w:lang w:val="it-IT"/>
        </w:rPr>
      </w:pPr>
      <w:bookmarkStart w:id="636" w:name="_Toc325609137"/>
      <w:r w:rsidRPr="007B74B7">
        <w:rPr>
          <w:rFonts w:cs="Tahoma"/>
          <w:color w:val="000000"/>
          <w:szCs w:val="18"/>
          <w:lang w:val="it-IT"/>
        </w:rPr>
        <w:t>Non sono state aggiunte, eliminate né sono scadute promozioni.</w:t>
      </w:r>
      <w:bookmarkEnd w:id="636"/>
    </w:p>
    <w:p w:rsidR="00172CBA" w:rsidRPr="007B74B7" w:rsidRDefault="00172CBA" w:rsidP="003E606C">
      <w:pPr>
        <w:spacing w:after="60"/>
        <w:rPr>
          <w:lang w:val="it-IT"/>
        </w:rPr>
      </w:pPr>
      <w:r w:rsidRPr="007B74B7">
        <w:rPr>
          <w:rFonts w:cs="Tahoma"/>
          <w:szCs w:val="18"/>
          <w:lang w:val="it-IT"/>
        </w:rPr>
        <w:br/>
      </w:r>
      <w:r w:rsidRPr="007B74B7">
        <w:rPr>
          <w:b/>
          <w:lang w:val="it-IT"/>
        </w:rPr>
        <w:t>Prodotti Eliminati</w:t>
      </w:r>
    </w:p>
    <w:p w:rsidR="00172CBA" w:rsidRPr="007B74B7" w:rsidRDefault="00172CBA" w:rsidP="00EB4DA8">
      <w:pPr>
        <w:rPr>
          <w:lang w:val="it-IT"/>
        </w:rPr>
      </w:pPr>
      <w:r w:rsidRPr="007B74B7">
        <w:rPr>
          <w:rFonts w:cs="Tahoma"/>
          <w:color w:val="000000"/>
          <w:szCs w:val="20"/>
          <w:lang w:val="it-IT"/>
        </w:rPr>
        <w:t>Non sono stati eliminati prodotti.</w:t>
      </w:r>
    </w:p>
    <w:p w:rsidR="00B1779F" w:rsidRPr="007B74B7" w:rsidRDefault="00B1779F" w:rsidP="00EB4DA8">
      <w:pPr>
        <w:rPr>
          <w:lang w:val="it-IT"/>
        </w:rPr>
      </w:pPr>
    </w:p>
    <w:p w:rsidR="00B1779F" w:rsidRPr="007B74B7" w:rsidRDefault="00B1779F" w:rsidP="003E606C">
      <w:pPr>
        <w:spacing w:after="60"/>
        <w:rPr>
          <w:lang w:val="it-IT"/>
        </w:rPr>
      </w:pPr>
      <w:r w:rsidRPr="007B74B7">
        <w:rPr>
          <w:b/>
          <w:lang w:val="it-IT"/>
        </w:rPr>
        <w:t>Altre Modifiche</w:t>
      </w:r>
    </w:p>
    <w:p w:rsidR="00B1779F" w:rsidRPr="007B74B7" w:rsidRDefault="00B1779F" w:rsidP="00EB4DA8">
      <w:pPr>
        <w:rPr>
          <w:lang w:val="it-IT"/>
        </w:rPr>
      </w:pPr>
      <w:r w:rsidRPr="007B74B7">
        <w:rPr>
          <w:rFonts w:cs="Tahoma"/>
          <w:color w:val="000000"/>
          <w:szCs w:val="20"/>
          <w:lang w:val="it-IT"/>
        </w:rPr>
        <w:t>Gli Articoli da 3 a 5 sono stati riorganizzati negli Articoli da 3 a 9 per miglioramenti dell</w:t>
      </w:r>
      <w:r w:rsidR="007A1415" w:rsidRPr="007B74B7">
        <w:rPr>
          <w:rFonts w:cs="Tahoma"/>
          <w:color w:val="000000"/>
          <w:szCs w:val="20"/>
          <w:lang w:val="it-IT"/>
        </w:rPr>
        <w:t>’</w:t>
      </w:r>
      <w:r w:rsidRPr="007B74B7">
        <w:rPr>
          <w:rFonts w:cs="Tahoma"/>
          <w:color w:val="000000"/>
          <w:szCs w:val="20"/>
          <w:lang w:val="it-IT"/>
        </w:rPr>
        <w:t xml:space="preserve">usabilità. </w:t>
      </w:r>
    </w:p>
    <w:p w:rsidR="00B1779F" w:rsidRPr="007B74B7" w:rsidRDefault="00B1779F" w:rsidP="00172CBA">
      <w:pPr>
        <w:ind w:right="720"/>
        <w:rPr>
          <w:lang w:val="it-IT"/>
        </w:rPr>
      </w:pPr>
    </w:p>
    <w:p w:rsidR="005A23F4" w:rsidRPr="007B74B7" w:rsidRDefault="005A23F4" w:rsidP="00BB6A1F">
      <w:pPr>
        <w:pStyle w:val="Heading2"/>
        <w:ind w:left="0"/>
        <w:jc w:val="both"/>
        <w:rPr>
          <w:lang w:val="it-IT"/>
        </w:rPr>
      </w:pPr>
    </w:p>
    <w:p w:rsidR="00095F5D" w:rsidRPr="007B74B7" w:rsidRDefault="00095F5D" w:rsidP="00095F5D">
      <w:pPr>
        <w:rPr>
          <w:lang w:val="it-IT"/>
        </w:rPr>
      </w:pPr>
    </w:p>
    <w:p w:rsidR="00095F5D" w:rsidRPr="007B74B7" w:rsidRDefault="00095F5D" w:rsidP="00095F5D">
      <w:pPr>
        <w:rPr>
          <w:lang w:val="it-IT"/>
        </w:rPr>
      </w:pPr>
    </w:p>
    <w:p w:rsidR="00095F5D" w:rsidRPr="007B74B7" w:rsidRDefault="00095F5D" w:rsidP="00095F5D">
      <w:pPr>
        <w:rPr>
          <w:lang w:val="it-IT"/>
        </w:rPr>
      </w:pPr>
    </w:p>
    <w:p w:rsidR="00BB6A1F" w:rsidRPr="007B74B7" w:rsidRDefault="00E702AC" w:rsidP="00BB6A1F">
      <w:pPr>
        <w:pStyle w:val="Heading2"/>
        <w:ind w:left="0"/>
        <w:jc w:val="both"/>
        <w:rPr>
          <w:lang w:val="it-IT"/>
        </w:rPr>
      </w:pPr>
      <w:bookmarkStart w:id="637" w:name="_Toc336338173"/>
      <w:bookmarkStart w:id="638" w:name="_Toc353375958"/>
      <w:r w:rsidRPr="007B74B7">
        <w:rPr>
          <w:rFonts w:ascii="Tahoma" w:hAnsi="Tahoma" w:cs="Tahoma"/>
          <w:color w:val="FF6600"/>
          <w:lang w:val="it-IT"/>
        </w:rPr>
        <w:lastRenderedPageBreak/>
        <w:t>MODIFICHE APPORTATE NEL MESE DI GIUGNO 2012</w:t>
      </w:r>
      <w:bookmarkEnd w:id="637"/>
      <w:bookmarkEnd w:id="638"/>
    </w:p>
    <w:p w:rsidR="00BB6A1F" w:rsidRPr="007B74B7" w:rsidRDefault="00BB6A1F" w:rsidP="00BB6A1F">
      <w:pPr>
        <w:rPr>
          <w:lang w:val="it-IT"/>
        </w:rPr>
      </w:pPr>
    </w:p>
    <w:p w:rsidR="00BB6A1F" w:rsidRPr="007B74B7" w:rsidRDefault="00BB6A1F" w:rsidP="003E606C">
      <w:pPr>
        <w:spacing w:after="60"/>
        <w:rPr>
          <w:lang w:val="it-IT"/>
        </w:rPr>
      </w:pPr>
      <w:r w:rsidRPr="007B74B7">
        <w:rPr>
          <w:b/>
          <w:lang w:val="it-IT"/>
        </w:rPr>
        <w:t>Prodotti Aggiunti</w:t>
      </w:r>
    </w:p>
    <w:p w:rsidR="00B435C3" w:rsidRPr="007B74B7" w:rsidRDefault="00B435C3" w:rsidP="00BA3004">
      <w:pPr>
        <w:rPr>
          <w:lang w:val="it-IT"/>
        </w:rPr>
      </w:pPr>
      <w:r w:rsidRPr="007B74B7">
        <w:rPr>
          <w:rFonts w:cs="Tahoma"/>
          <w:szCs w:val="18"/>
          <w:lang w:val="it-IT"/>
        </w:rPr>
        <w:t>Dynamics CRM Mobile (Online; Per Utente)</w:t>
      </w:r>
    </w:p>
    <w:p w:rsidR="00B435C3" w:rsidRPr="007B74B7" w:rsidRDefault="00B435C3" w:rsidP="00BA3004">
      <w:pPr>
        <w:rPr>
          <w:lang w:val="it-IT"/>
        </w:rPr>
      </w:pPr>
      <w:r w:rsidRPr="007B74B7">
        <w:rPr>
          <w:rFonts w:cs="Tahoma"/>
          <w:szCs w:val="18"/>
          <w:lang w:val="it-IT"/>
        </w:rPr>
        <w:t>Dynamics CRM Onprem Mobile</w:t>
      </w:r>
    </w:p>
    <w:p w:rsidR="004945FA" w:rsidRPr="007B74B7" w:rsidRDefault="004945FA" w:rsidP="00BA3004">
      <w:pPr>
        <w:rPr>
          <w:lang w:val="it-IT"/>
        </w:rPr>
      </w:pPr>
      <w:r w:rsidRPr="007B74B7">
        <w:rPr>
          <w:rFonts w:eastAsia="Calibri" w:cs="Tahoma"/>
          <w:color w:val="000000"/>
          <w:szCs w:val="18"/>
          <w:lang w:val="it-IT"/>
        </w:rPr>
        <w:t>Archiviazione Exchange Online per Exchange Server A (SL per Utente)</w:t>
      </w:r>
    </w:p>
    <w:p w:rsidR="00AD5DCD" w:rsidRPr="007B74B7" w:rsidRDefault="00AD5DCD" w:rsidP="00BA3004">
      <w:pPr>
        <w:rPr>
          <w:lang w:val="it-IT"/>
        </w:rPr>
      </w:pPr>
      <w:r w:rsidRPr="007B74B7">
        <w:rPr>
          <w:rFonts w:cs="Tahoma"/>
          <w:color w:val="000000"/>
          <w:szCs w:val="18"/>
          <w:lang w:val="it-IT"/>
        </w:rPr>
        <w:t>Exchange Online Piano 1A per Ex Allievi</w:t>
      </w:r>
    </w:p>
    <w:p w:rsidR="00AD5DCD" w:rsidRPr="007B74B7" w:rsidRDefault="00AD5DCD" w:rsidP="00BA3004">
      <w:pPr>
        <w:rPr>
          <w:lang w:val="it-IT"/>
        </w:rPr>
      </w:pPr>
      <w:r w:rsidRPr="007B74B7">
        <w:rPr>
          <w:rFonts w:cs="Tahoma"/>
          <w:color w:val="000000"/>
          <w:szCs w:val="18"/>
          <w:lang w:val="it-IT"/>
        </w:rPr>
        <w:t>Exchange Online Piano 2A</w:t>
      </w:r>
    </w:p>
    <w:p w:rsidR="007B4641" w:rsidRPr="007B74B7" w:rsidRDefault="007B4641" w:rsidP="00BA3004">
      <w:pPr>
        <w:rPr>
          <w:lang w:val="it-IT"/>
        </w:rPr>
      </w:pPr>
      <w:r w:rsidRPr="007B74B7">
        <w:rPr>
          <w:rFonts w:cs="Tahoma"/>
          <w:color w:val="000000"/>
          <w:szCs w:val="20"/>
          <w:lang w:val="it-IT"/>
        </w:rPr>
        <w:t>CAL per Forefront Identity Manager 2010 R2 (solo Utente)</w:t>
      </w:r>
    </w:p>
    <w:p w:rsidR="004945FA" w:rsidRPr="00BD7CEA" w:rsidRDefault="004945FA" w:rsidP="00BA3004">
      <w:r w:rsidRPr="00BD7CEA">
        <w:rPr>
          <w:rFonts w:cs="Tahoma"/>
          <w:color w:val="000000"/>
          <w:szCs w:val="20"/>
        </w:rPr>
        <w:t>External Connector per Forefront Identity Manager 2010 R2</w:t>
      </w:r>
    </w:p>
    <w:p w:rsidR="004945FA" w:rsidRPr="00BD7CEA" w:rsidRDefault="004945FA" w:rsidP="00BA3004">
      <w:r w:rsidRPr="00BD7CEA">
        <w:rPr>
          <w:rFonts w:cs="Tahoma"/>
          <w:color w:val="000000"/>
          <w:szCs w:val="20"/>
        </w:rPr>
        <w:t>Forefront Identity Manager 2010 R2 Server</w:t>
      </w:r>
    </w:p>
    <w:p w:rsidR="004945FA" w:rsidRPr="00BD7CEA" w:rsidRDefault="004945FA" w:rsidP="00BA3004">
      <w:r w:rsidRPr="00BD7CEA">
        <w:rPr>
          <w:rFonts w:cs="Tahoma"/>
          <w:color w:val="000000"/>
          <w:szCs w:val="20"/>
        </w:rPr>
        <w:t>Forefront Identity Manager 2010 R2</w:t>
      </w:r>
      <w:r w:rsidR="00FD7C0D">
        <w:rPr>
          <w:rFonts w:cs="Tahoma"/>
          <w:color w:val="000000"/>
          <w:szCs w:val="20"/>
        </w:rPr>
        <w:t xml:space="preserve"> – </w:t>
      </w:r>
      <w:r w:rsidRPr="00BD7CEA">
        <w:rPr>
          <w:rFonts w:cs="Tahoma"/>
          <w:color w:val="000000"/>
          <w:szCs w:val="20"/>
        </w:rPr>
        <w:t>Windows Live Edition</w:t>
      </w:r>
    </w:p>
    <w:p w:rsidR="00834000" w:rsidRPr="007B74B7" w:rsidRDefault="00834000" w:rsidP="00BA3004">
      <w:pPr>
        <w:rPr>
          <w:lang w:val="it-IT"/>
        </w:rPr>
      </w:pPr>
      <w:r w:rsidRPr="007B74B7">
        <w:rPr>
          <w:rFonts w:cs="Tahoma"/>
          <w:color w:val="000000"/>
          <w:szCs w:val="20"/>
          <w:lang w:val="it-IT"/>
        </w:rPr>
        <w:t>Office 365 A2-A4 (SL per Utente)</w:t>
      </w:r>
    </w:p>
    <w:p w:rsidR="00834000" w:rsidRPr="007B74B7" w:rsidRDefault="00834000" w:rsidP="00BA3004">
      <w:pPr>
        <w:rPr>
          <w:lang w:val="it-IT"/>
        </w:rPr>
      </w:pPr>
      <w:r w:rsidRPr="007B74B7">
        <w:rPr>
          <w:rFonts w:cs="Tahoma"/>
          <w:color w:val="000000"/>
          <w:szCs w:val="20"/>
          <w:lang w:val="it-IT"/>
        </w:rPr>
        <w:t xml:space="preserve">Sottoscrizione Office Professional Plus </w:t>
      </w:r>
      <w:r w:rsidRPr="007B74B7">
        <w:rPr>
          <w:rFonts w:cs="Tahoma"/>
          <w:color w:val="000000"/>
          <w:szCs w:val="18"/>
          <w:lang w:val="it-IT"/>
        </w:rPr>
        <w:t>A (SL per Utente)</w:t>
      </w:r>
    </w:p>
    <w:p w:rsidR="00834000" w:rsidRPr="00BD7CEA" w:rsidRDefault="00834000" w:rsidP="00BA3004">
      <w:r w:rsidRPr="00BD7CEA">
        <w:rPr>
          <w:rFonts w:cs="Tahoma"/>
          <w:color w:val="000000"/>
          <w:szCs w:val="18"/>
        </w:rPr>
        <w:t>Office Web Applications A (SL per Utente)</w:t>
      </w:r>
    </w:p>
    <w:p w:rsidR="00D82FA6" w:rsidRPr="00BD7CEA" w:rsidRDefault="00A862BA" w:rsidP="00BA3004">
      <w:r w:rsidRPr="00BD7CEA">
        <w:rPr>
          <w:rFonts w:cs="Tahoma"/>
          <w:color w:val="000000"/>
          <w:szCs w:val="18"/>
        </w:rPr>
        <w:t>SharePoint™ Online Extra Storage 1 GB A (SL Add-on)</w:t>
      </w:r>
    </w:p>
    <w:p w:rsidR="00A862BA" w:rsidRPr="00BD7CEA" w:rsidRDefault="00A862BA" w:rsidP="00BA3004"/>
    <w:p w:rsidR="00BB6A1F" w:rsidRPr="007B74B7" w:rsidRDefault="00BB6A1F" w:rsidP="003E606C">
      <w:pPr>
        <w:spacing w:after="60"/>
        <w:rPr>
          <w:lang w:val="it-IT"/>
        </w:rPr>
      </w:pPr>
      <w:r w:rsidRPr="007B74B7">
        <w:rPr>
          <w:b/>
          <w:lang w:val="it-IT"/>
        </w:rPr>
        <w:t>Promozioni</w:t>
      </w:r>
    </w:p>
    <w:p w:rsidR="00BB6A1F" w:rsidRPr="007B74B7" w:rsidRDefault="00751573" w:rsidP="00BA3004">
      <w:pPr>
        <w:rPr>
          <w:lang w:val="it-IT"/>
        </w:rPr>
      </w:pPr>
      <w:bookmarkStart w:id="639" w:name="_Toc323034103"/>
      <w:bookmarkStart w:id="640" w:name="_Toc325609139"/>
      <w:bookmarkStart w:id="641" w:name="_Toc328145933"/>
      <w:r w:rsidRPr="007B74B7">
        <w:rPr>
          <w:rFonts w:cs="Tahoma"/>
          <w:color w:val="000000"/>
          <w:szCs w:val="18"/>
          <w:lang w:val="it-IT"/>
        </w:rPr>
        <w:t>Non sono state aggiunte, eliminate né sono scadute promozioni.</w:t>
      </w:r>
      <w:bookmarkEnd w:id="639"/>
      <w:bookmarkEnd w:id="640"/>
      <w:bookmarkEnd w:id="641"/>
    </w:p>
    <w:p w:rsidR="00BB6A1F" w:rsidRPr="007B74B7" w:rsidRDefault="00BB6A1F" w:rsidP="003E606C">
      <w:pPr>
        <w:spacing w:after="60"/>
        <w:rPr>
          <w:lang w:val="it-IT"/>
        </w:rPr>
      </w:pPr>
      <w:r w:rsidRPr="007B74B7">
        <w:rPr>
          <w:rFonts w:cs="Tahoma"/>
          <w:szCs w:val="18"/>
          <w:lang w:val="it-IT"/>
        </w:rPr>
        <w:br/>
      </w:r>
      <w:r w:rsidRPr="007B74B7">
        <w:rPr>
          <w:b/>
          <w:lang w:val="it-IT"/>
        </w:rPr>
        <w:t>Prodotti Eliminati</w:t>
      </w:r>
    </w:p>
    <w:p w:rsidR="00BB6A1F" w:rsidRPr="007B74B7" w:rsidRDefault="007B4641" w:rsidP="00BA3004">
      <w:pPr>
        <w:rPr>
          <w:lang w:val="it-IT"/>
        </w:rPr>
      </w:pPr>
      <w:r w:rsidRPr="007B74B7">
        <w:rPr>
          <w:rFonts w:cs="Tahoma"/>
          <w:color w:val="000000"/>
          <w:szCs w:val="20"/>
          <w:lang w:val="it-IT"/>
        </w:rPr>
        <w:t>CAL per Forefront Identity Manager 2010 (solo Utente)</w:t>
      </w:r>
    </w:p>
    <w:p w:rsidR="004945FA" w:rsidRPr="00BD7CEA" w:rsidRDefault="004945FA" w:rsidP="00BA3004">
      <w:r w:rsidRPr="00BD7CEA">
        <w:rPr>
          <w:rFonts w:cs="Tahoma"/>
          <w:color w:val="000000"/>
          <w:szCs w:val="20"/>
        </w:rPr>
        <w:t>External Connector per Forefront Identity Manager 2010</w:t>
      </w:r>
    </w:p>
    <w:p w:rsidR="004945FA" w:rsidRPr="00BD7CEA" w:rsidRDefault="004945FA" w:rsidP="00BA3004">
      <w:r w:rsidRPr="00BD7CEA">
        <w:rPr>
          <w:rFonts w:cs="Tahoma"/>
          <w:color w:val="000000"/>
          <w:szCs w:val="20"/>
        </w:rPr>
        <w:t>Forefront Identity Manager 2010 Server</w:t>
      </w:r>
    </w:p>
    <w:p w:rsidR="00E9432A" w:rsidRPr="00BD7CEA" w:rsidRDefault="004945FA" w:rsidP="00D57D2B">
      <w:r w:rsidRPr="00BD7CEA">
        <w:rPr>
          <w:rFonts w:cs="Tahoma"/>
          <w:color w:val="000000"/>
          <w:szCs w:val="20"/>
        </w:rPr>
        <w:t>Forefront Identity Manager 2010</w:t>
      </w:r>
      <w:r w:rsidR="00FD7C0D">
        <w:rPr>
          <w:rFonts w:cs="Tahoma"/>
          <w:color w:val="000000"/>
          <w:szCs w:val="20"/>
        </w:rPr>
        <w:t xml:space="preserve"> – </w:t>
      </w:r>
      <w:r w:rsidRPr="00BD7CEA">
        <w:rPr>
          <w:rFonts w:cs="Tahoma"/>
          <w:color w:val="000000"/>
          <w:szCs w:val="20"/>
        </w:rPr>
        <w:t>Windows Live Edition</w:t>
      </w:r>
    </w:p>
    <w:p w:rsidR="00023FE7" w:rsidRPr="007B74B7" w:rsidRDefault="00EF4590" w:rsidP="003B23CC">
      <w:pPr>
        <w:spacing w:after="120"/>
        <w:rPr>
          <w:sz w:val="36"/>
          <w:szCs w:val="36"/>
          <w:lang w:val="it-IT"/>
        </w:rPr>
      </w:pPr>
      <w:r w:rsidRPr="007B74B7">
        <w:rPr>
          <w:sz w:val="36"/>
          <w:szCs w:val="36"/>
          <w:lang w:val="it-IT"/>
        </w:rPr>
        <w:br w:type="page"/>
      </w:r>
      <w:bookmarkStart w:id="642" w:name="_Toc336338180"/>
      <w:bookmarkStart w:id="643" w:name="_Toc353375959"/>
      <w:r w:rsidRPr="007B74B7">
        <w:rPr>
          <w:rStyle w:val="Heading1Char"/>
          <w:lang w:val="it-IT"/>
        </w:rPr>
        <w:lastRenderedPageBreak/>
        <w:t xml:space="preserve">ARTICOLO 2 </w:t>
      </w:r>
      <w:r w:rsidR="00FD7C0D" w:rsidRPr="007B74B7">
        <w:rPr>
          <w:rStyle w:val="Heading1Char"/>
          <w:lang w:val="it-IT"/>
        </w:rPr>
        <w:t xml:space="preserve">– </w:t>
      </w:r>
      <w:r w:rsidRPr="007B74B7">
        <w:rPr>
          <w:rStyle w:val="Heading1Char"/>
          <w:lang w:val="it-IT"/>
        </w:rPr>
        <w:t>PROMOZIONI DI PRODOTTI</w:t>
      </w:r>
      <w:bookmarkEnd w:id="642"/>
      <w:bookmarkEnd w:id="643"/>
    </w:p>
    <w:p w:rsidR="00023FE7" w:rsidRPr="007B74B7" w:rsidRDefault="00023FE7" w:rsidP="00510F6B">
      <w:pPr>
        <w:ind w:right="720"/>
        <w:rPr>
          <w:lang w:val="it-IT"/>
        </w:rPr>
      </w:pPr>
    </w:p>
    <w:p w:rsidR="00187499" w:rsidRPr="007B74B7" w:rsidRDefault="00187499" w:rsidP="00187499">
      <w:pPr>
        <w:pStyle w:val="Heading2"/>
        <w:ind w:left="0"/>
        <w:rPr>
          <w:lang w:val="it-IT"/>
        </w:rPr>
      </w:pPr>
      <w:bookmarkStart w:id="644" w:name="_Toc353375960"/>
      <w:bookmarkStart w:id="645" w:name="_Toc336338181"/>
      <w:r w:rsidRPr="007B74B7">
        <w:rPr>
          <w:rFonts w:ascii="Tahoma" w:hAnsi="Tahoma" w:cs="Tahoma"/>
          <w:color w:val="FF9429"/>
          <w:lang w:val="it-IT"/>
        </w:rPr>
        <w:t>Microsoft Dynamics AX 2012 R2</w:t>
      </w:r>
      <w:r w:rsidR="00FD7C0D" w:rsidRPr="007B74B7">
        <w:rPr>
          <w:rFonts w:ascii="Tahoma" w:hAnsi="Tahoma" w:cs="Tahoma"/>
          <w:color w:val="FF9429"/>
          <w:lang w:val="it-IT"/>
        </w:rPr>
        <w:t xml:space="preserve"> – </w:t>
      </w:r>
      <w:r w:rsidRPr="007B74B7">
        <w:rPr>
          <w:rFonts w:ascii="Tahoma" w:hAnsi="Tahoma" w:cs="Tahoma"/>
          <w:color w:val="FF9429"/>
          <w:lang w:val="it-IT"/>
        </w:rPr>
        <w:t>Promozione: Acquista Una Enterprise CAL e</w:t>
      </w:r>
      <w:r w:rsidR="009A0519" w:rsidRPr="007B74B7">
        <w:rPr>
          <w:rFonts w:ascii="Tahoma" w:hAnsi="Tahoma" w:cs="Tahoma"/>
          <w:color w:val="FF9429"/>
          <w:lang w:val="it-IT"/>
        </w:rPr>
        <w:t> </w:t>
      </w:r>
      <w:r w:rsidRPr="007B74B7">
        <w:rPr>
          <w:rFonts w:ascii="Tahoma" w:hAnsi="Tahoma" w:cs="Tahoma"/>
          <w:color w:val="FF9429"/>
          <w:lang w:val="it-IT"/>
        </w:rPr>
        <w:t>Ricevi Una Functional CAL</w:t>
      </w:r>
      <w:bookmarkEnd w:id="644"/>
    </w:p>
    <w:p w:rsidR="00B33F0B" w:rsidRPr="007B74B7" w:rsidRDefault="00B33F0B" w:rsidP="00B33F0B">
      <w:pPr>
        <w:rPr>
          <w:lang w:val="it-IT"/>
        </w:rPr>
      </w:pPr>
    </w:p>
    <w:bookmarkEnd w:id="645"/>
    <w:p w:rsidR="00187499" w:rsidRPr="007B74B7" w:rsidRDefault="007177A5" w:rsidP="0064651F">
      <w:pPr>
        <w:spacing w:after="200" w:line="276" w:lineRule="auto"/>
        <w:rPr>
          <w:lang w:val="it-IT"/>
        </w:rPr>
      </w:pPr>
      <w:r w:rsidRPr="007B74B7">
        <w:rPr>
          <w:lang w:val="it-IT"/>
        </w:rPr>
        <w:t>Grazie a un</w:t>
      </w:r>
      <w:r w:rsidR="007A1415" w:rsidRPr="007B74B7">
        <w:rPr>
          <w:lang w:val="it-IT"/>
        </w:rPr>
        <w:t>’</w:t>
      </w:r>
      <w:r w:rsidRPr="007B74B7">
        <w:rPr>
          <w:lang w:val="it-IT"/>
        </w:rPr>
        <w:t>offerta di durata limitata, che va dal 1 marzo 2013 al 28 giugno 2013, Microsoft offre una (1) Functional CAL per ogni Enterprise CAL acquistata durante il periodo promozionale. Questa promozione è disponibile ai sensi dei</w:t>
      </w:r>
      <w:r w:rsidR="009A0519" w:rsidRPr="007B74B7">
        <w:rPr>
          <w:lang w:val="it-IT"/>
        </w:rPr>
        <w:t> </w:t>
      </w:r>
      <w:r w:rsidRPr="007B74B7">
        <w:rPr>
          <w:lang w:val="it-IT"/>
        </w:rPr>
        <w:t>seguenti programmi di licenza indicati nel listino prezzi: Contratto Enterprise, Contratto Microsoft Enterprise Subscription, Contratto Campus ed Enti Pubblici degli Stati Uniti e Contratto School per Enterprise Education Solutions. È richiesto un ordine minimo di 30 Enterprise CAL il cui acquisto deve essere effettuato tramite la SKU promozionale pubblicata. Tutte le licenze concesse ai sensi della presente offerta includeranno la copertura Software Assurance o la copertura Subscription. Tale copertura cesserà alla scadenza della copertura per le licenze qualificanti. Alla scadenza di tale copertura, le società potranno rinnovare l</w:t>
      </w:r>
      <w:r w:rsidR="007A1415" w:rsidRPr="007B74B7">
        <w:rPr>
          <w:lang w:val="it-IT"/>
        </w:rPr>
        <w:t>’</w:t>
      </w:r>
      <w:r w:rsidRPr="007B74B7">
        <w:rPr>
          <w:lang w:val="it-IT"/>
        </w:rPr>
        <w:t>una o l</w:t>
      </w:r>
      <w:r w:rsidR="007A1415" w:rsidRPr="007B74B7">
        <w:rPr>
          <w:lang w:val="it-IT"/>
        </w:rPr>
        <w:t>’</w:t>
      </w:r>
      <w:r w:rsidRPr="007B74B7">
        <w:rPr>
          <w:lang w:val="it-IT"/>
        </w:rPr>
        <w:t xml:space="preserve">altra. </w:t>
      </w:r>
      <w:bookmarkStart w:id="646" w:name="_Toc336338182"/>
    </w:p>
    <w:p w:rsidR="00187499" w:rsidRPr="007B74B7" w:rsidRDefault="00187499" w:rsidP="00187499">
      <w:pPr>
        <w:pStyle w:val="Heading2"/>
        <w:ind w:left="0"/>
        <w:rPr>
          <w:lang w:val="it-IT"/>
        </w:rPr>
      </w:pPr>
      <w:bookmarkStart w:id="647" w:name="_Toc353375961"/>
      <w:r w:rsidRPr="007B74B7">
        <w:rPr>
          <w:rFonts w:ascii="Tahoma" w:hAnsi="Tahoma" w:cs="Tahoma"/>
          <w:color w:val="FF9429"/>
          <w:lang w:val="it-IT"/>
        </w:rPr>
        <w:t>Microsoft Dynamics AX 2012 R2</w:t>
      </w:r>
      <w:r w:rsidR="00FD7C0D" w:rsidRPr="007B74B7">
        <w:rPr>
          <w:rFonts w:ascii="Tahoma" w:hAnsi="Tahoma" w:cs="Tahoma"/>
          <w:color w:val="FF9429"/>
          <w:lang w:val="it-IT"/>
        </w:rPr>
        <w:t xml:space="preserve"> – </w:t>
      </w:r>
      <w:r w:rsidRPr="007B74B7">
        <w:rPr>
          <w:rFonts w:ascii="Tahoma" w:hAnsi="Tahoma" w:cs="Tahoma"/>
          <w:color w:val="FF9429"/>
          <w:lang w:val="it-IT"/>
        </w:rPr>
        <w:t>Promozione EA Starter</w:t>
      </w:r>
      <w:bookmarkEnd w:id="647"/>
    </w:p>
    <w:p w:rsidR="00B33F0B" w:rsidRPr="007B74B7" w:rsidRDefault="00B33F0B" w:rsidP="00B33F0B">
      <w:pPr>
        <w:rPr>
          <w:lang w:val="it-IT"/>
        </w:rPr>
      </w:pPr>
    </w:p>
    <w:bookmarkEnd w:id="646"/>
    <w:p w:rsidR="001D214E" w:rsidRPr="007B74B7" w:rsidRDefault="001D214E" w:rsidP="001D214E">
      <w:pPr>
        <w:spacing w:after="200" w:line="276" w:lineRule="auto"/>
        <w:rPr>
          <w:lang w:val="it-IT"/>
        </w:rPr>
      </w:pPr>
      <w:r w:rsidRPr="007B74B7">
        <w:rPr>
          <w:lang w:val="it-IT"/>
        </w:rPr>
        <w:t>Grazie a un</w:t>
      </w:r>
      <w:r w:rsidR="007A1415" w:rsidRPr="007B74B7">
        <w:rPr>
          <w:lang w:val="it-IT"/>
        </w:rPr>
        <w:t>’</w:t>
      </w:r>
      <w:r w:rsidRPr="007B74B7">
        <w:rPr>
          <w:lang w:val="it-IT"/>
        </w:rPr>
        <w:t xml:space="preserve">offerta di durata limitata, che va dal </w:t>
      </w:r>
      <w:r w:rsidRPr="007B74B7">
        <w:rPr>
          <w:rFonts w:eastAsia="Calibri" w:cs="Tahoma"/>
          <w:szCs w:val="18"/>
          <w:lang w:val="it-IT"/>
        </w:rPr>
        <w:t>1 marzo 2013 al 28 giugno 2013, Microsoft offre 3 (tre) Enterprise CAL e 50 (cinquanta) Self Serve CAL con l</w:t>
      </w:r>
      <w:r w:rsidR="007A1415" w:rsidRPr="007B74B7">
        <w:rPr>
          <w:rFonts w:eastAsia="Calibri" w:cs="Tahoma"/>
          <w:szCs w:val="18"/>
          <w:lang w:val="it-IT"/>
        </w:rPr>
        <w:t>’</w:t>
      </w:r>
      <w:r w:rsidRPr="007B74B7">
        <w:rPr>
          <w:rFonts w:eastAsia="Calibri" w:cs="Tahoma"/>
          <w:szCs w:val="18"/>
          <w:lang w:val="it-IT"/>
        </w:rPr>
        <w:t>acquisto della prima licenza Server per Microsoft Dynamics AX</w:t>
      </w:r>
      <w:r w:rsidRPr="007B74B7">
        <w:rPr>
          <w:lang w:val="it-IT"/>
        </w:rPr>
        <w:t xml:space="preserve"> 2012 </w:t>
      </w:r>
      <w:r w:rsidRPr="007B74B7">
        <w:rPr>
          <w:rFonts w:eastAsia="Calibri" w:cs="Tahoma"/>
          <w:szCs w:val="18"/>
          <w:lang w:val="it-IT"/>
        </w:rPr>
        <w:t>R2.</w:t>
      </w:r>
      <w:r w:rsidRPr="007B74B7">
        <w:rPr>
          <w:lang w:val="it-IT"/>
        </w:rPr>
        <w:t xml:space="preserve"> Questa promozione è disponibile </w:t>
      </w:r>
      <w:r w:rsidRPr="007B74B7">
        <w:rPr>
          <w:rFonts w:eastAsia="Calibri" w:cs="Tahoma"/>
          <w:szCs w:val="18"/>
          <w:lang w:val="it-IT"/>
        </w:rPr>
        <w:t xml:space="preserve">solo </w:t>
      </w:r>
      <w:r w:rsidRPr="007B74B7">
        <w:rPr>
          <w:lang w:val="it-IT"/>
        </w:rPr>
        <w:t>ai sensi del programma di licenze Contratto Microsoft Enterprise</w:t>
      </w:r>
      <w:r w:rsidRPr="007B74B7">
        <w:rPr>
          <w:rFonts w:eastAsia="Calibri" w:cs="Tahoma"/>
          <w:szCs w:val="18"/>
          <w:lang w:val="it-IT"/>
        </w:rPr>
        <w:t xml:space="preserve">. </w:t>
      </w:r>
    </w:p>
    <w:p w:rsidR="00187499" w:rsidRPr="007B74B7" w:rsidRDefault="00187499" w:rsidP="00B33F0B">
      <w:pPr>
        <w:spacing w:after="200" w:line="276" w:lineRule="auto"/>
        <w:rPr>
          <w:lang w:val="it-IT"/>
        </w:rPr>
      </w:pPr>
      <w:r w:rsidRPr="007B74B7">
        <w:rPr>
          <w:rFonts w:eastAsia="Calibri" w:cs="Tahoma"/>
          <w:szCs w:val="18"/>
          <w:lang w:val="it-IT"/>
        </w:rPr>
        <w:t xml:space="preserve">Tutte le licenze concesse ai sensi della presente offerta includeranno la copertura Software Assurance. Tale copertura cesserà alla scadenza della copertura per le licenze qualificanti. Alla scadenza della copertura, le società potranno rinnovare Software Assurance sulle licenze concesse. </w:t>
      </w:r>
      <w:bookmarkStart w:id="648" w:name="_Toc336338183"/>
      <w:r w:rsidRPr="007B74B7">
        <w:rPr>
          <w:rFonts w:eastAsia="Calibri" w:cs="Tahoma"/>
          <w:szCs w:val="18"/>
          <w:lang w:val="it-IT"/>
        </w:rPr>
        <w:t>Il diritto di utilizzo del software in concessione scadrà alla scadenza del diritto di utilizzo del software ai sensi della licenza Server qualificante per Microsoft Dynamics AX 2012 R2. Questa Nota relativa al Prodotto insieme alla prova della licenza Server qualificante attesteranno il diritto della società di utilizzare le licenze per Microsoft Dynamics AX 2012 R2 ai sensi delle condizioni della presente offerta. Le</w:t>
      </w:r>
      <w:r w:rsidR="009A0519" w:rsidRPr="007B74B7">
        <w:rPr>
          <w:rFonts w:eastAsia="Calibri" w:cs="Tahoma"/>
          <w:szCs w:val="18"/>
          <w:lang w:val="it-IT"/>
        </w:rPr>
        <w:t> </w:t>
      </w:r>
      <w:r w:rsidRPr="007B74B7">
        <w:rPr>
          <w:rFonts w:eastAsia="Calibri" w:cs="Tahoma"/>
          <w:szCs w:val="18"/>
          <w:lang w:val="it-IT"/>
        </w:rPr>
        <w:t>società non potranno trasferire le licenze concesse in virtù della presente offerta separatamente dalle licenze qualificanti corrispondenti.</w:t>
      </w:r>
    </w:p>
    <w:p w:rsidR="005D1BAF" w:rsidRPr="00BD7CEA" w:rsidRDefault="005D1BAF" w:rsidP="005D1BAF">
      <w:pPr>
        <w:pStyle w:val="Heading2"/>
        <w:ind w:left="0"/>
      </w:pPr>
      <w:bookmarkStart w:id="649" w:name="_Toc353375962"/>
      <w:r w:rsidRPr="00BD7CEA">
        <w:rPr>
          <w:rFonts w:ascii="Tahoma" w:eastAsia="Times New Roman" w:hAnsi="Tahoma" w:cs="Tahoma"/>
          <w:color w:val="FF9429"/>
        </w:rPr>
        <w:t>Promozione Step-Up per Windows Server Datacenter</w:t>
      </w:r>
      <w:bookmarkEnd w:id="648"/>
      <w:bookmarkEnd w:id="649"/>
    </w:p>
    <w:p w:rsidR="00EF4590" w:rsidRPr="00BD7CEA" w:rsidRDefault="00EF4590" w:rsidP="00EF4590">
      <w:pPr>
        <w:spacing w:line="276" w:lineRule="auto"/>
      </w:pPr>
    </w:p>
    <w:p w:rsidR="005D1BAF" w:rsidRPr="007B74B7" w:rsidRDefault="005D1BAF" w:rsidP="005D1BAF">
      <w:pPr>
        <w:spacing w:after="200" w:line="276" w:lineRule="auto"/>
        <w:rPr>
          <w:lang w:val="it-IT"/>
        </w:rPr>
      </w:pPr>
      <w:r w:rsidRPr="007B74B7">
        <w:rPr>
          <w:color w:val="000000"/>
          <w:lang w:val="it-IT"/>
        </w:rPr>
        <w:t>Grazie a un</w:t>
      </w:r>
      <w:r w:rsidR="007A1415" w:rsidRPr="007B74B7">
        <w:rPr>
          <w:color w:val="000000"/>
          <w:lang w:val="it-IT"/>
        </w:rPr>
        <w:t>’</w:t>
      </w:r>
      <w:r w:rsidRPr="007B74B7">
        <w:rPr>
          <w:color w:val="000000"/>
          <w:lang w:val="it-IT"/>
        </w:rPr>
        <w:t>offerta di durata limitata, che va dal 1 settembre 2012 al 31 marzo 2013, Microsoft offre fino al 20%</w:t>
      </w:r>
      <w:r w:rsidR="00DE2A23" w:rsidRPr="007B74B7">
        <w:rPr>
          <w:color w:val="000000"/>
          <w:lang w:val="it-IT"/>
        </w:rPr>
        <w:t> </w:t>
      </w:r>
      <w:r w:rsidRPr="007B74B7">
        <w:rPr>
          <w:color w:val="000000"/>
          <w:lang w:val="it-IT"/>
        </w:rPr>
        <w:t>di</w:t>
      </w:r>
      <w:r w:rsidR="00DE2A23" w:rsidRPr="007B74B7">
        <w:rPr>
          <w:color w:val="000000"/>
          <w:lang w:val="it-IT"/>
        </w:rPr>
        <w:t> </w:t>
      </w:r>
      <w:r w:rsidRPr="007B74B7">
        <w:rPr>
          <w:color w:val="000000"/>
          <w:lang w:val="it-IT"/>
        </w:rPr>
        <w:t>sconto sul prezzo di Licenza e Software Assurance (L&amp;SA) per Windows Server DC Edition. Questa promozione è</w:t>
      </w:r>
      <w:r w:rsidR="009A0519" w:rsidRPr="007B74B7">
        <w:rPr>
          <w:color w:val="000000"/>
          <w:lang w:val="it-IT"/>
        </w:rPr>
        <w:t> </w:t>
      </w:r>
      <w:r w:rsidRPr="007B74B7">
        <w:rPr>
          <w:color w:val="000000"/>
          <w:lang w:val="it-IT"/>
        </w:rPr>
        <w:t>disponibile ai sensi dei Contratti Microsoft Enterprise, Enrollment for Application Platform, Enrollment for Core</w:t>
      </w:r>
      <w:r w:rsidR="009A0519" w:rsidRPr="007B74B7">
        <w:rPr>
          <w:color w:val="000000"/>
          <w:lang w:val="it-IT"/>
        </w:rPr>
        <w:t> </w:t>
      </w:r>
      <w:r w:rsidRPr="007B74B7">
        <w:rPr>
          <w:color w:val="000000"/>
          <w:lang w:val="it-IT"/>
        </w:rPr>
        <w:t>Infrastructure, Microsoft Select Plus e Microsoft Open Value (tutti verticali).</w:t>
      </w:r>
    </w:p>
    <w:p w:rsidR="005D1BAF" w:rsidRPr="007B74B7" w:rsidRDefault="005D1BAF" w:rsidP="005D1BAF">
      <w:pPr>
        <w:pStyle w:val="Heading2"/>
        <w:ind w:left="0"/>
        <w:rPr>
          <w:lang w:val="it-IT"/>
        </w:rPr>
      </w:pPr>
      <w:bookmarkStart w:id="650" w:name="_Toc336338184"/>
      <w:bookmarkStart w:id="651" w:name="_Toc353375963"/>
      <w:r w:rsidRPr="007B74B7">
        <w:rPr>
          <w:rFonts w:ascii="Tahoma" w:eastAsia="Times New Roman" w:hAnsi="Tahoma" w:cs="Tahoma"/>
          <w:color w:val="FF9429"/>
          <w:lang w:val="it-IT"/>
        </w:rPr>
        <w:t>Forefront Online Protection for Exchange</w:t>
      </w:r>
      <w:bookmarkEnd w:id="650"/>
      <w:bookmarkEnd w:id="651"/>
      <w:r w:rsidRPr="007B74B7">
        <w:rPr>
          <w:rFonts w:ascii="Tahoma" w:eastAsia="Times New Roman" w:hAnsi="Tahoma" w:cs="Tahoma"/>
          <w:color w:val="FF9429"/>
          <w:lang w:val="it-IT"/>
        </w:rPr>
        <w:t xml:space="preserve"> </w:t>
      </w:r>
    </w:p>
    <w:p w:rsidR="00EF4590" w:rsidRPr="007B74B7" w:rsidRDefault="00EF4590" w:rsidP="005D1BAF">
      <w:pPr>
        <w:rPr>
          <w:lang w:val="it-IT"/>
        </w:rPr>
      </w:pPr>
    </w:p>
    <w:p w:rsidR="00BC10BD" w:rsidRPr="007B74B7" w:rsidRDefault="005D1BAF" w:rsidP="000C2842">
      <w:pPr>
        <w:spacing w:after="200" w:line="276" w:lineRule="auto"/>
        <w:rPr>
          <w:lang w:val="it-IT"/>
        </w:rPr>
      </w:pPr>
      <w:r w:rsidRPr="007B74B7">
        <w:rPr>
          <w:color w:val="000000"/>
          <w:lang w:val="it-IT"/>
        </w:rPr>
        <w:t>Grazie a un</w:t>
      </w:r>
      <w:r w:rsidR="007A1415" w:rsidRPr="007B74B7">
        <w:rPr>
          <w:color w:val="000000"/>
          <w:lang w:val="it-IT"/>
        </w:rPr>
        <w:t>’</w:t>
      </w:r>
      <w:r w:rsidRPr="007B74B7">
        <w:rPr>
          <w:color w:val="000000"/>
          <w:lang w:val="it-IT"/>
        </w:rPr>
        <w:t>offerta di durata limitata, che va dal 1 settembre 2011 al 31 dicembre 2012, Microsoft offre fino al 40%</w:t>
      </w:r>
      <w:r w:rsidR="00DE2A23" w:rsidRPr="007B74B7">
        <w:rPr>
          <w:color w:val="000000"/>
          <w:lang w:val="it-IT"/>
        </w:rPr>
        <w:t> </w:t>
      </w:r>
      <w:r w:rsidRPr="007B74B7">
        <w:rPr>
          <w:color w:val="000000"/>
          <w:lang w:val="it-IT"/>
        </w:rPr>
        <w:t>di sconto sul prezzo della “subscription” mensile per Forefront Online Protection for Exchange. Questa promozione è</w:t>
      </w:r>
      <w:r w:rsidR="009A0519" w:rsidRPr="007B74B7">
        <w:rPr>
          <w:color w:val="000000"/>
          <w:lang w:val="it-IT"/>
        </w:rPr>
        <w:t> </w:t>
      </w:r>
      <w:r w:rsidRPr="007B74B7">
        <w:rPr>
          <w:color w:val="000000"/>
          <w:lang w:val="it-IT"/>
        </w:rPr>
        <w:t>disponibile ai sensi dei Contratti Microsoft Select Plus, Open Value, Open Value Subscription e</w:t>
      </w:r>
      <w:r w:rsidR="00DE2A23" w:rsidRPr="007B74B7">
        <w:rPr>
          <w:color w:val="000000"/>
          <w:lang w:val="it-IT"/>
        </w:rPr>
        <w:t> </w:t>
      </w:r>
      <w:r w:rsidRPr="007B74B7">
        <w:rPr>
          <w:color w:val="000000"/>
          <w:lang w:val="it-IT"/>
        </w:rPr>
        <w:t>dei</w:t>
      </w:r>
      <w:r w:rsidR="00DE2A23" w:rsidRPr="007B74B7">
        <w:rPr>
          <w:color w:val="000000"/>
          <w:lang w:val="it-IT"/>
        </w:rPr>
        <w:t> </w:t>
      </w:r>
      <w:r w:rsidRPr="007B74B7">
        <w:rPr>
          <w:color w:val="000000"/>
          <w:lang w:val="it-IT"/>
        </w:rPr>
        <w:t>programmi di</w:t>
      </w:r>
      <w:r w:rsidR="009A0519" w:rsidRPr="007B74B7">
        <w:rPr>
          <w:color w:val="000000"/>
          <w:lang w:val="it-IT"/>
        </w:rPr>
        <w:t> </w:t>
      </w:r>
      <w:r w:rsidRPr="007B74B7">
        <w:rPr>
          <w:color w:val="000000"/>
          <w:lang w:val="it-IT"/>
        </w:rPr>
        <w:t>Contratti Multilicenza per Government Partner a livello mondiale. </w:t>
      </w:r>
    </w:p>
    <w:p w:rsidR="00D24E3C" w:rsidRPr="007B74B7" w:rsidRDefault="00D24E3C" w:rsidP="00D24E3C">
      <w:pPr>
        <w:pStyle w:val="Heading2"/>
        <w:ind w:left="0"/>
        <w:rPr>
          <w:lang w:val="it-IT"/>
        </w:rPr>
      </w:pPr>
      <w:bookmarkStart w:id="652" w:name="_SECTION_3_–"/>
      <w:bookmarkStart w:id="653" w:name="_Toc336338185"/>
      <w:bookmarkStart w:id="654" w:name="_Toc353375964"/>
      <w:bookmarkEnd w:id="652"/>
      <w:r w:rsidRPr="007B74B7">
        <w:rPr>
          <w:rFonts w:ascii="Tahoma" w:eastAsia="Times New Roman" w:hAnsi="Tahoma" w:cs="Tahoma"/>
          <w:color w:val="FF9429"/>
          <w:lang w:val="it-IT"/>
        </w:rPr>
        <w:t>Sconto del 30% per l</w:t>
      </w:r>
      <w:r w:rsidR="007A1415" w:rsidRPr="007B74B7">
        <w:rPr>
          <w:rFonts w:ascii="Tahoma" w:eastAsia="Times New Roman" w:hAnsi="Tahoma" w:cs="Tahoma"/>
          <w:color w:val="FF9429"/>
          <w:lang w:val="it-IT"/>
        </w:rPr>
        <w:t>’</w:t>
      </w:r>
      <w:r w:rsidRPr="007B74B7">
        <w:rPr>
          <w:rFonts w:ascii="Tahoma" w:eastAsia="Times New Roman" w:hAnsi="Tahoma" w:cs="Tahoma"/>
          <w:color w:val="FF9429"/>
          <w:lang w:val="it-IT"/>
        </w:rPr>
        <w:t>Aggiornamento a Visual Studio Premium con MSDN</w:t>
      </w:r>
      <w:bookmarkEnd w:id="653"/>
      <w:bookmarkEnd w:id="654"/>
      <w:r w:rsidRPr="007B74B7">
        <w:rPr>
          <w:rFonts w:ascii="Tahoma" w:eastAsia="Times New Roman" w:hAnsi="Tahoma" w:cs="Tahoma"/>
          <w:color w:val="FF9429"/>
          <w:lang w:val="it-IT"/>
        </w:rPr>
        <w:t xml:space="preserve"> </w:t>
      </w:r>
    </w:p>
    <w:p w:rsidR="00D24E3C" w:rsidRPr="007B74B7" w:rsidRDefault="00D24E3C" w:rsidP="00D24E3C">
      <w:pPr>
        <w:rPr>
          <w:lang w:val="it-IT"/>
        </w:rPr>
      </w:pPr>
    </w:p>
    <w:p w:rsidR="000C2842" w:rsidRPr="007B74B7" w:rsidRDefault="00D24E3C" w:rsidP="000C2842">
      <w:pPr>
        <w:spacing w:after="200" w:line="276" w:lineRule="auto"/>
        <w:rPr>
          <w:lang w:val="it-IT"/>
        </w:rPr>
      </w:pPr>
      <w:r w:rsidRPr="007B74B7">
        <w:rPr>
          <w:color w:val="000000"/>
          <w:lang w:val="it-IT"/>
        </w:rPr>
        <w:t>Grazie a un</w:t>
      </w:r>
      <w:r w:rsidR="007A1415" w:rsidRPr="007B74B7">
        <w:rPr>
          <w:color w:val="000000"/>
          <w:lang w:val="it-IT"/>
        </w:rPr>
        <w:t>’</w:t>
      </w:r>
      <w:r w:rsidRPr="007B74B7">
        <w:rPr>
          <w:color w:val="000000"/>
          <w:lang w:val="it-IT"/>
        </w:rPr>
        <w:t>offerta di durata limitata che va dal 1 ottobre 2012 al 31 marzo 2013, Microsoft offre un 30% di sconto sul prezzo di Visual Studio Premium con MSDN per le società che dispongono di una copertura Software Assurance attiva per Visual Studio Professional con MSDN. Questa promozione è disponibile ai sensi dei programmi Microsoft Enterprise, USG, EAP, Select Plus e Open Value. </w:t>
      </w:r>
    </w:p>
    <w:p w:rsidR="0064651F" w:rsidRPr="007B74B7" w:rsidRDefault="0064651F">
      <w:pPr>
        <w:rPr>
          <w:lang w:val="it-IT"/>
        </w:rPr>
      </w:pPr>
      <w:bookmarkStart w:id="655" w:name="_Toc336338186"/>
      <w:r w:rsidRPr="007B74B7">
        <w:rPr>
          <w:rFonts w:eastAsia="Times New Roman" w:cs="Tahoma"/>
          <w:color w:val="FF9429"/>
          <w:lang w:val="it-IT"/>
        </w:rPr>
        <w:br w:type="page"/>
      </w:r>
    </w:p>
    <w:p w:rsidR="00D24E3C" w:rsidRPr="00BD7CEA" w:rsidRDefault="00D24E3C" w:rsidP="00D24E3C">
      <w:pPr>
        <w:pStyle w:val="Heading2"/>
        <w:ind w:left="0"/>
      </w:pPr>
      <w:bookmarkStart w:id="656" w:name="_Toc353375965"/>
      <w:r w:rsidRPr="00BD7CEA">
        <w:rPr>
          <w:rFonts w:ascii="Tahoma" w:eastAsia="Times New Roman" w:hAnsi="Tahoma" w:cs="Tahoma"/>
          <w:color w:val="FF9429"/>
        </w:rPr>
        <w:lastRenderedPageBreak/>
        <w:t>Step-Up a Windows 8 con SA</w:t>
      </w:r>
      <w:bookmarkEnd w:id="655"/>
      <w:bookmarkEnd w:id="656"/>
    </w:p>
    <w:p w:rsidR="00D24E3C" w:rsidRPr="00BD7CEA" w:rsidRDefault="00D24E3C" w:rsidP="00D24E3C"/>
    <w:p w:rsidR="00D24E3C" w:rsidRPr="007B74B7" w:rsidRDefault="00D24E3C" w:rsidP="00D24E3C">
      <w:pPr>
        <w:spacing w:after="200" w:line="276" w:lineRule="auto"/>
        <w:rPr>
          <w:lang w:val="it-IT"/>
        </w:rPr>
      </w:pPr>
      <w:r w:rsidRPr="007B74B7">
        <w:rPr>
          <w:color w:val="000000"/>
          <w:lang w:val="it-IT"/>
        </w:rPr>
        <w:t>Tra il 1 novembre 2012 e il 31 gennaio 2013 Microsoft offre un 40% di sconto sulle licenze di aggiornamento Open</w:t>
      </w:r>
      <w:r w:rsidR="00095F5D" w:rsidRPr="007B74B7">
        <w:rPr>
          <w:color w:val="000000"/>
          <w:lang w:val="it-IT"/>
        </w:rPr>
        <w:t> </w:t>
      </w:r>
      <w:r w:rsidRPr="007B74B7">
        <w:rPr>
          <w:color w:val="000000"/>
          <w:lang w:val="it-IT"/>
        </w:rPr>
        <w:t>con Software Assurance (Programmi Open License o Open Value) e un 15% di sconto sulle licenze di</w:t>
      </w:r>
      <w:r w:rsidR="00095F5D" w:rsidRPr="007B74B7">
        <w:rPr>
          <w:color w:val="000000"/>
          <w:lang w:val="it-IT"/>
        </w:rPr>
        <w:t> </w:t>
      </w:r>
      <w:r w:rsidRPr="007B74B7">
        <w:rPr>
          <w:color w:val="000000"/>
          <w:lang w:val="it-IT"/>
        </w:rPr>
        <w:t>aggiornamento Open. I prezzi promozionali sono validi per acquisti di un massimo di 150 licenze.</w:t>
      </w:r>
    </w:p>
    <w:p w:rsidR="00491DAC" w:rsidRPr="007B74B7" w:rsidRDefault="00491DAC" w:rsidP="007B1734">
      <w:pPr>
        <w:pStyle w:val="Heading2"/>
        <w:ind w:left="0"/>
        <w:rPr>
          <w:lang w:val="it-IT"/>
        </w:rPr>
      </w:pPr>
      <w:bookmarkStart w:id="657" w:name="_Toc353375966"/>
      <w:r w:rsidRPr="007B74B7">
        <w:rPr>
          <w:rFonts w:ascii="Tahoma" w:eastAsia="Times New Roman" w:hAnsi="Tahoma" w:cs="Tahoma"/>
          <w:color w:val="FF9429"/>
          <w:lang w:val="it-IT"/>
        </w:rPr>
        <w:t>15% di sconto sulle Licenze Step-up per Project/Visio</w:t>
      </w:r>
      <w:bookmarkEnd w:id="657"/>
      <w:r w:rsidRPr="007B74B7">
        <w:rPr>
          <w:rFonts w:ascii="Tahoma" w:eastAsia="Times New Roman" w:hAnsi="Tahoma" w:cs="Tahoma"/>
          <w:color w:val="FF9429"/>
          <w:lang w:val="it-IT"/>
        </w:rPr>
        <w:t xml:space="preserve"> </w:t>
      </w:r>
    </w:p>
    <w:p w:rsidR="00491DAC" w:rsidRPr="007B74B7" w:rsidRDefault="00491DAC" w:rsidP="00FE3510">
      <w:pPr>
        <w:tabs>
          <w:tab w:val="left" w:pos="2385"/>
        </w:tabs>
        <w:rPr>
          <w:lang w:val="it-IT"/>
        </w:rPr>
      </w:pPr>
    </w:p>
    <w:p w:rsidR="00491DAC" w:rsidRPr="007B74B7" w:rsidRDefault="00491DAC" w:rsidP="00491DAC">
      <w:pPr>
        <w:spacing w:after="200" w:line="276" w:lineRule="auto"/>
        <w:rPr>
          <w:lang w:val="it-IT"/>
        </w:rPr>
      </w:pPr>
      <w:r w:rsidRPr="007B74B7">
        <w:rPr>
          <w:color w:val="000000"/>
          <w:lang w:val="it-IT"/>
        </w:rPr>
        <w:t>Grazie a un</w:t>
      </w:r>
      <w:r w:rsidR="007A1415" w:rsidRPr="007B74B7">
        <w:rPr>
          <w:color w:val="000000"/>
          <w:lang w:val="it-IT"/>
        </w:rPr>
        <w:t>’</w:t>
      </w:r>
      <w:r w:rsidRPr="007B74B7">
        <w:rPr>
          <w:color w:val="000000"/>
          <w:lang w:val="it-IT"/>
        </w:rPr>
        <w:t>offerta di durata limitata che va dal 1 dicembre 2012 al 30 giugno 2013, Microsoft offre uno sconto del</w:t>
      </w:r>
      <w:r w:rsidR="00095F5D" w:rsidRPr="007B74B7">
        <w:rPr>
          <w:color w:val="000000"/>
          <w:lang w:val="it-IT"/>
        </w:rPr>
        <w:t> </w:t>
      </w:r>
      <w:r w:rsidRPr="007B74B7">
        <w:rPr>
          <w:color w:val="000000"/>
          <w:lang w:val="it-IT"/>
        </w:rPr>
        <w:t>15% sul prezzo delle licenze Step-up per il passaggio da Project Standard a Project Professional ai sensi della copertura Software Assurance e uno sconto del 15% sul prezzo delle licenze Step-up per il passaggio da Visio Standard a Visio Professional ai sensi della copertura Software Assurance. Questa promozione è disponibile ai</w:t>
      </w:r>
      <w:r w:rsidR="00AE073B" w:rsidRPr="007B74B7">
        <w:rPr>
          <w:color w:val="000000"/>
          <w:lang w:val="it-IT"/>
        </w:rPr>
        <w:t> </w:t>
      </w:r>
      <w:r w:rsidRPr="007B74B7">
        <w:rPr>
          <w:color w:val="000000"/>
          <w:lang w:val="it-IT"/>
        </w:rPr>
        <w:t>sensi</w:t>
      </w:r>
      <w:r w:rsidR="00AE073B" w:rsidRPr="007B74B7">
        <w:rPr>
          <w:color w:val="000000"/>
          <w:lang w:val="it-IT"/>
        </w:rPr>
        <w:t> </w:t>
      </w:r>
      <w:r w:rsidRPr="007B74B7">
        <w:rPr>
          <w:color w:val="000000"/>
          <w:lang w:val="it-IT"/>
        </w:rPr>
        <w:t>dei programmi Microsoft Enterprise, Enterprise Subscription, Select Plus, EAP, ECI e Open Value.</w:t>
      </w:r>
    </w:p>
    <w:p w:rsidR="00B7048F" w:rsidRPr="007B74B7" w:rsidRDefault="00B7048F" w:rsidP="007B1734">
      <w:pPr>
        <w:pStyle w:val="Heading2"/>
        <w:ind w:left="0"/>
        <w:rPr>
          <w:lang w:val="it-IT"/>
        </w:rPr>
      </w:pPr>
      <w:bookmarkStart w:id="658" w:name="_Toc353375967"/>
      <w:r w:rsidRPr="007B74B7">
        <w:rPr>
          <w:rFonts w:ascii="Tahoma" w:eastAsia="Times New Roman" w:hAnsi="Tahoma" w:cs="Tahoma"/>
          <w:color w:val="FF9429"/>
          <w:lang w:val="it-IT"/>
        </w:rPr>
        <w:t>55% di sconto sulle CAL per Project Server Acquistate a Livello Aziendale</w:t>
      </w:r>
      <w:bookmarkEnd w:id="658"/>
    </w:p>
    <w:p w:rsidR="00B7048F" w:rsidRPr="007B74B7" w:rsidRDefault="00B7048F" w:rsidP="007B1734">
      <w:pPr>
        <w:rPr>
          <w:lang w:val="it-IT"/>
        </w:rPr>
      </w:pPr>
    </w:p>
    <w:p w:rsidR="00676723" w:rsidRPr="007B74B7" w:rsidRDefault="00B7048F" w:rsidP="00D24E3C">
      <w:pPr>
        <w:spacing w:after="200" w:line="276" w:lineRule="auto"/>
        <w:rPr>
          <w:lang w:val="it-IT"/>
        </w:rPr>
      </w:pPr>
      <w:r w:rsidRPr="007B74B7">
        <w:rPr>
          <w:color w:val="000000"/>
          <w:lang w:val="it-IT"/>
        </w:rPr>
        <w:t>Grazie a un</w:t>
      </w:r>
      <w:r w:rsidR="007A1415" w:rsidRPr="007B74B7">
        <w:rPr>
          <w:color w:val="000000"/>
          <w:lang w:val="it-IT"/>
        </w:rPr>
        <w:t>’</w:t>
      </w:r>
      <w:r w:rsidRPr="007B74B7">
        <w:rPr>
          <w:color w:val="000000"/>
          <w:lang w:val="it-IT"/>
        </w:rPr>
        <w:t>offerta di durata limitata che va dal 1 dicembre 2012 al 30 giugno 2013, Microsoft offre uno sconto del</w:t>
      </w:r>
      <w:r w:rsidR="00AE073B" w:rsidRPr="007B74B7">
        <w:rPr>
          <w:color w:val="000000"/>
          <w:lang w:val="it-IT"/>
        </w:rPr>
        <w:t> </w:t>
      </w:r>
      <w:r w:rsidRPr="007B74B7">
        <w:rPr>
          <w:color w:val="000000"/>
          <w:lang w:val="it-IT"/>
        </w:rPr>
        <w:t>55% sul prezzo delle licenze CAL acquistate a livello aziendale. Questa promozione è disponibile ai sensi dei programmi Microsoft Enterprise, Enterprise Subscription ed EAP. </w:t>
      </w:r>
    </w:p>
    <w:p w:rsidR="00676723" w:rsidRPr="007B74B7" w:rsidRDefault="00676723">
      <w:pPr>
        <w:rPr>
          <w:lang w:val="it-IT"/>
        </w:rPr>
      </w:pPr>
      <w:r w:rsidRPr="007B74B7">
        <w:rPr>
          <w:color w:val="000000"/>
          <w:lang w:val="it-IT"/>
        </w:rPr>
        <w:br w:type="page"/>
      </w:r>
    </w:p>
    <w:p w:rsidR="00023FE7" w:rsidRPr="007B74B7" w:rsidRDefault="00714962" w:rsidP="003B23CC">
      <w:pPr>
        <w:pStyle w:val="Heading1"/>
        <w:rPr>
          <w:lang w:val="it-IT"/>
        </w:rPr>
      </w:pPr>
      <w:bookmarkStart w:id="659" w:name="_Toc336338188"/>
      <w:bookmarkStart w:id="660" w:name="_Toc353375968"/>
      <w:r w:rsidRPr="007B74B7">
        <w:rPr>
          <w:lang w:val="it-IT"/>
        </w:rPr>
        <w:lastRenderedPageBreak/>
        <w:t>ARTICOLO 3</w:t>
      </w:r>
      <w:r w:rsidR="00FD7C0D" w:rsidRPr="007B74B7">
        <w:rPr>
          <w:lang w:val="it-IT"/>
        </w:rPr>
        <w:t xml:space="preserve"> – </w:t>
      </w:r>
      <w:r w:rsidRPr="007B74B7">
        <w:rPr>
          <w:lang w:val="it-IT"/>
        </w:rPr>
        <w:t>CONDIZIONI Dei Programmi Multilicenza</w:t>
      </w:r>
      <w:bookmarkEnd w:id="659"/>
      <w:bookmarkEnd w:id="660"/>
    </w:p>
    <w:p w:rsidR="00E64551" w:rsidRPr="007B74B7" w:rsidRDefault="00E64551" w:rsidP="00456002">
      <w:pPr>
        <w:pStyle w:val="Heading3"/>
        <w:ind w:right="720"/>
        <w:rPr>
          <w:lang w:val="it-IT"/>
        </w:rPr>
      </w:pPr>
      <w:bookmarkStart w:id="661" w:name="_Toc323159724"/>
    </w:p>
    <w:p w:rsidR="00456002" w:rsidRPr="007B74B7" w:rsidRDefault="00456002" w:rsidP="003E606C">
      <w:pPr>
        <w:pStyle w:val="Heading3"/>
        <w:ind w:right="720"/>
        <w:rPr>
          <w:lang w:val="it-IT"/>
        </w:rPr>
      </w:pPr>
      <w:bookmarkStart w:id="662" w:name="_Toc336338189"/>
      <w:bookmarkStart w:id="663" w:name="_Toc353375969"/>
      <w:r w:rsidRPr="007B74B7">
        <w:rPr>
          <w:rFonts w:ascii="Tahoma" w:hAnsi="Tahoma" w:cs="Tahoma"/>
          <w:sz w:val="24"/>
          <w:szCs w:val="22"/>
          <w:lang w:val="it-IT"/>
        </w:rPr>
        <w:t>Programmi di Contratti Multilicenza Applicabili</w:t>
      </w:r>
      <w:bookmarkEnd w:id="662"/>
      <w:bookmarkEnd w:id="663"/>
      <w:r w:rsidRPr="007B74B7">
        <w:rPr>
          <w:sz w:val="22"/>
          <w:lang w:val="it-IT"/>
        </w:rPr>
        <w:t xml:space="preserve"> </w:t>
      </w:r>
      <w:bookmarkEnd w:id="661"/>
    </w:p>
    <w:p w:rsidR="00E64551" w:rsidRPr="007B74B7" w:rsidRDefault="00E64551" w:rsidP="003E606C">
      <w:pPr>
        <w:rPr>
          <w:lang w:val="it-IT"/>
        </w:rPr>
      </w:pPr>
    </w:p>
    <w:p w:rsidR="00456002" w:rsidRPr="007B74B7" w:rsidRDefault="00456002" w:rsidP="00456002">
      <w:pPr>
        <w:rPr>
          <w:lang w:val="it-IT"/>
        </w:rPr>
      </w:pPr>
      <w:r w:rsidRPr="007B74B7">
        <w:rPr>
          <w:rFonts w:cs="Tahoma"/>
          <w:lang w:val="it-IT"/>
        </w:rPr>
        <w:t>Il presente Articolo si applica ai seguenti programmi Multilicenza, incluse le versioni Academic, Charity e Government, ove applicabile.</w:t>
      </w:r>
    </w:p>
    <w:p w:rsidR="00510F6B" w:rsidRPr="007B74B7" w:rsidRDefault="00510F6B" w:rsidP="00456002">
      <w:pPr>
        <w:rPr>
          <w:lang w:val="it-IT"/>
        </w:rPr>
      </w:pPr>
    </w:p>
    <w:p w:rsidR="00456002" w:rsidRPr="00BD7CEA" w:rsidRDefault="00456002" w:rsidP="00822871">
      <w:pPr>
        <w:numPr>
          <w:ilvl w:val="0"/>
          <w:numId w:val="19"/>
        </w:numPr>
        <w:spacing w:after="60"/>
      </w:pPr>
      <w:r w:rsidRPr="00BD7CEA">
        <w:rPr>
          <w:rFonts w:cs="Tahoma"/>
        </w:rPr>
        <w:t>Licenza Open</w:t>
      </w:r>
    </w:p>
    <w:p w:rsidR="00456002" w:rsidRPr="00BD7CEA" w:rsidRDefault="00456002" w:rsidP="00822871">
      <w:pPr>
        <w:numPr>
          <w:ilvl w:val="0"/>
          <w:numId w:val="19"/>
        </w:numPr>
        <w:spacing w:after="60"/>
      </w:pPr>
      <w:r w:rsidRPr="00BD7CEA">
        <w:rPr>
          <w:rFonts w:cs="Tahoma"/>
        </w:rPr>
        <w:t xml:space="preserve">Open Value </w:t>
      </w:r>
    </w:p>
    <w:p w:rsidR="00456002" w:rsidRPr="00BD7CEA" w:rsidRDefault="00456002" w:rsidP="00822871">
      <w:pPr>
        <w:numPr>
          <w:ilvl w:val="0"/>
          <w:numId w:val="19"/>
        </w:numPr>
        <w:spacing w:after="60"/>
      </w:pPr>
      <w:r w:rsidRPr="00BD7CEA">
        <w:rPr>
          <w:rFonts w:cs="Tahoma"/>
        </w:rPr>
        <w:t xml:space="preserve">Open Value Subscription </w:t>
      </w:r>
    </w:p>
    <w:p w:rsidR="00456002" w:rsidRPr="00BD7CEA" w:rsidRDefault="00456002" w:rsidP="00822871">
      <w:pPr>
        <w:numPr>
          <w:ilvl w:val="0"/>
          <w:numId w:val="19"/>
        </w:numPr>
        <w:spacing w:after="60"/>
      </w:pPr>
      <w:r w:rsidRPr="00BD7CEA">
        <w:rPr>
          <w:rFonts w:cs="Tahoma"/>
        </w:rPr>
        <w:t xml:space="preserve">Select </w:t>
      </w:r>
    </w:p>
    <w:p w:rsidR="00456002" w:rsidRPr="00BD7CEA" w:rsidRDefault="00456002" w:rsidP="00822871">
      <w:pPr>
        <w:numPr>
          <w:ilvl w:val="0"/>
          <w:numId w:val="19"/>
        </w:numPr>
        <w:spacing w:after="60"/>
      </w:pPr>
      <w:r w:rsidRPr="00BD7CEA">
        <w:rPr>
          <w:rFonts w:cs="Tahoma"/>
        </w:rPr>
        <w:t xml:space="preserve">Select Plus </w:t>
      </w:r>
    </w:p>
    <w:p w:rsidR="0091793D" w:rsidRPr="00BD7CEA" w:rsidRDefault="00F84FA6" w:rsidP="00822871">
      <w:pPr>
        <w:numPr>
          <w:ilvl w:val="0"/>
          <w:numId w:val="19"/>
        </w:numPr>
        <w:spacing w:after="60"/>
      </w:pPr>
      <w:r w:rsidRPr="00BD7CEA">
        <w:rPr>
          <w:rFonts w:cs="Tahoma"/>
          <w:szCs w:val="18"/>
        </w:rPr>
        <w:t xml:space="preserve">Contratto Enterprise </w:t>
      </w:r>
    </w:p>
    <w:p w:rsidR="0091793D" w:rsidRPr="00BD7CEA" w:rsidRDefault="00F84FA6" w:rsidP="00822871">
      <w:pPr>
        <w:numPr>
          <w:ilvl w:val="0"/>
          <w:numId w:val="19"/>
        </w:numPr>
        <w:spacing w:after="60"/>
      </w:pPr>
      <w:r w:rsidRPr="00BD7CEA">
        <w:rPr>
          <w:rFonts w:cs="Tahoma"/>
          <w:szCs w:val="18"/>
        </w:rPr>
        <w:t>Contratto Enterprise Subscription</w:t>
      </w:r>
      <w:r w:rsidRPr="00BD7CEA">
        <w:rPr>
          <w:rFonts w:cs="Tahoma"/>
          <w:color w:val="000000"/>
          <w:szCs w:val="18"/>
        </w:rPr>
        <w:t xml:space="preserve"> </w:t>
      </w:r>
    </w:p>
    <w:p w:rsidR="0091793D" w:rsidRPr="00BD7CEA" w:rsidRDefault="0091793D" w:rsidP="0091793D">
      <w:pPr>
        <w:pStyle w:val="Heading3"/>
        <w:ind w:right="720"/>
      </w:pPr>
    </w:p>
    <w:p w:rsidR="0091793D" w:rsidRPr="007B74B7" w:rsidRDefault="0091793D" w:rsidP="003E606C">
      <w:pPr>
        <w:pStyle w:val="Heading3"/>
        <w:ind w:right="720"/>
        <w:rPr>
          <w:lang w:val="it-IT"/>
        </w:rPr>
      </w:pPr>
      <w:bookmarkStart w:id="664" w:name="_Toc336338190"/>
      <w:bookmarkStart w:id="665" w:name="_Toc353375970"/>
      <w:r w:rsidRPr="007B74B7">
        <w:rPr>
          <w:rFonts w:ascii="Tahoma" w:hAnsi="Tahoma" w:cs="Tahoma"/>
          <w:sz w:val="24"/>
          <w:szCs w:val="22"/>
          <w:lang w:val="it-IT"/>
        </w:rPr>
        <w:t>Punti e Requisiti Minimi per gli Ordini</w:t>
      </w:r>
      <w:bookmarkEnd w:id="664"/>
      <w:bookmarkEnd w:id="665"/>
    </w:p>
    <w:p w:rsidR="00BA4C27" w:rsidRPr="007B74B7" w:rsidRDefault="00BA4C27" w:rsidP="003E606C">
      <w:pPr>
        <w:rPr>
          <w:lang w:val="it-IT"/>
        </w:rPr>
      </w:pPr>
    </w:p>
    <w:p w:rsidR="00BA4C27" w:rsidRPr="00BD7CEA" w:rsidRDefault="00BA4C27" w:rsidP="00BA4C27">
      <w:pPr>
        <w:pStyle w:val="AppendixBodyText"/>
        <w:ind w:right="720"/>
      </w:pPr>
      <w:r w:rsidRPr="007B74B7">
        <w:rPr>
          <w:rFonts w:ascii="Tahoma" w:hAnsi="Tahoma" w:cs="Tahoma"/>
          <w:sz w:val="18"/>
          <w:lang w:val="it-IT"/>
        </w:rPr>
        <w:t>Select, Select Plus e Open License sono accompagnati da un numero o “Punto” che indica il valore di punti assegnato da Microsoft per ogni licenza. I punti consentono di calcolare il livello di prezzo per volume applicabile al contratto di una società. Quando a un determinato prodotto viene assegnato un punto “0”, ciò significa che il prodotto è offerto nel programma specificato, ma ha un valore di punti pari a zero.</w:t>
      </w:r>
      <w:r w:rsidR="008D782D" w:rsidRPr="007B74B7">
        <w:rPr>
          <w:rFonts w:ascii="Tahoma" w:hAnsi="Tahoma" w:cs="Tahoma"/>
          <w:sz w:val="18"/>
          <w:lang w:val="it-IT"/>
        </w:rPr>
        <w:t xml:space="preserve"> </w:t>
      </w:r>
      <w:r w:rsidRPr="00BD7CEA">
        <w:rPr>
          <w:rFonts w:ascii="Tahoma" w:hAnsi="Tahoma" w:cs="Tahoma"/>
          <w:sz w:val="18"/>
        </w:rPr>
        <w:t>Di seguito è riportata l</w:t>
      </w:r>
      <w:r w:rsidR="007A1415" w:rsidRPr="00BD7CEA">
        <w:rPr>
          <w:rFonts w:ascii="Tahoma" w:hAnsi="Tahoma" w:cs="Tahoma"/>
          <w:sz w:val="18"/>
        </w:rPr>
        <w:t>’</w:t>
      </w:r>
      <w:r w:rsidRPr="00BD7CEA">
        <w:rPr>
          <w:rFonts w:ascii="Tahoma" w:hAnsi="Tahoma" w:cs="Tahoma"/>
          <w:sz w:val="18"/>
        </w:rPr>
        <w:t>assegnazione delle unità alle licenze:</w:t>
      </w:r>
    </w:p>
    <w:p w:rsidR="00E64551" w:rsidRPr="00BD7CEA" w:rsidRDefault="00E64551" w:rsidP="00E64551">
      <w:pPr>
        <w:pStyle w:val="AppendixBodyText"/>
        <w:ind w:right="720"/>
        <w:rPr>
          <w:highlight w:val="yellow"/>
        </w:rPr>
      </w:pPr>
    </w:p>
    <w:p w:rsidR="00456002" w:rsidRPr="00BD7CEA" w:rsidRDefault="00456002" w:rsidP="00822871">
      <w:pPr>
        <w:numPr>
          <w:ilvl w:val="0"/>
          <w:numId w:val="19"/>
        </w:numPr>
        <w:spacing w:after="60"/>
      </w:pPr>
      <w:r w:rsidRPr="00BD7CEA">
        <w:rPr>
          <w:rFonts w:cs="Tahoma"/>
        </w:rPr>
        <w:t xml:space="preserve">Licenza Standard: 1 licenza </w:t>
      </w:r>
    </w:p>
    <w:p w:rsidR="00456002" w:rsidRPr="00BD7CEA" w:rsidRDefault="00456002" w:rsidP="00822871">
      <w:pPr>
        <w:numPr>
          <w:ilvl w:val="0"/>
          <w:numId w:val="19"/>
        </w:numPr>
        <w:spacing w:after="60"/>
      </w:pPr>
      <w:r w:rsidRPr="00BD7CEA">
        <w:rPr>
          <w:rFonts w:cs="Tahoma"/>
        </w:rPr>
        <w:t xml:space="preserve">Aggiornamento: 1 licenza </w:t>
      </w:r>
    </w:p>
    <w:p w:rsidR="00456002" w:rsidRPr="00BD7CEA" w:rsidRDefault="00456002" w:rsidP="00822871">
      <w:pPr>
        <w:numPr>
          <w:ilvl w:val="0"/>
          <w:numId w:val="19"/>
        </w:numPr>
        <w:spacing w:after="60"/>
      </w:pPr>
      <w:r w:rsidRPr="00BD7CEA">
        <w:rPr>
          <w:rFonts w:cs="Tahoma"/>
        </w:rPr>
        <w:t xml:space="preserve">Software Assurance: 1 licenza </w:t>
      </w:r>
    </w:p>
    <w:p w:rsidR="00456002" w:rsidRPr="00BD7CEA" w:rsidRDefault="00456002" w:rsidP="00822871">
      <w:pPr>
        <w:numPr>
          <w:ilvl w:val="0"/>
          <w:numId w:val="19"/>
        </w:numPr>
        <w:spacing w:after="60"/>
      </w:pPr>
      <w:r w:rsidRPr="00BD7CEA">
        <w:rPr>
          <w:rFonts w:cs="Tahoma"/>
        </w:rPr>
        <w:t xml:space="preserve">Licenza e Software Assurance: 2 licenze </w:t>
      </w:r>
    </w:p>
    <w:p w:rsidR="00456002" w:rsidRPr="00BD7CEA" w:rsidRDefault="00456002" w:rsidP="00822871">
      <w:pPr>
        <w:numPr>
          <w:ilvl w:val="0"/>
          <w:numId w:val="19"/>
        </w:numPr>
        <w:spacing w:after="60"/>
      </w:pPr>
      <w:r w:rsidRPr="00BD7CEA">
        <w:rPr>
          <w:rFonts w:cs="Tahoma"/>
        </w:rPr>
        <w:t>Aggiornamento e Software Assurance: 2 licenze</w:t>
      </w:r>
    </w:p>
    <w:p w:rsidR="00456002" w:rsidRPr="00BD7CEA" w:rsidRDefault="00456002" w:rsidP="00822871">
      <w:pPr>
        <w:numPr>
          <w:ilvl w:val="0"/>
          <w:numId w:val="19"/>
        </w:numPr>
        <w:spacing w:after="60"/>
      </w:pPr>
      <w:r w:rsidRPr="00BD7CEA">
        <w:rPr>
          <w:rFonts w:cs="Tahoma"/>
        </w:rPr>
        <w:t xml:space="preserve">Licenza Work at Home: 1 licenza </w:t>
      </w:r>
    </w:p>
    <w:p w:rsidR="00456002" w:rsidRPr="00BD7CEA" w:rsidRDefault="00456002" w:rsidP="00822871">
      <w:pPr>
        <w:numPr>
          <w:ilvl w:val="0"/>
          <w:numId w:val="19"/>
        </w:numPr>
        <w:spacing w:after="60"/>
      </w:pPr>
      <w:r w:rsidRPr="00BD7CEA">
        <w:rPr>
          <w:rFonts w:cs="Tahoma"/>
        </w:rPr>
        <w:t>Licenza Step-Up: 1 licenza</w:t>
      </w:r>
    </w:p>
    <w:p w:rsidR="00456002" w:rsidRPr="00BD7CEA" w:rsidRDefault="00456002" w:rsidP="00822871">
      <w:pPr>
        <w:numPr>
          <w:ilvl w:val="0"/>
          <w:numId w:val="19"/>
        </w:numPr>
        <w:spacing w:after="60"/>
      </w:pPr>
      <w:r w:rsidRPr="00BD7CEA">
        <w:rPr>
          <w:rFonts w:cs="Tahoma"/>
        </w:rPr>
        <w:t xml:space="preserve">Licenza: 1 licenza </w:t>
      </w:r>
    </w:p>
    <w:p w:rsidR="00456002" w:rsidRPr="00BD7CEA" w:rsidRDefault="00456002" w:rsidP="00822871">
      <w:pPr>
        <w:numPr>
          <w:ilvl w:val="0"/>
          <w:numId w:val="19"/>
        </w:numPr>
        <w:spacing w:after="60"/>
      </w:pPr>
      <w:r w:rsidRPr="00BD7CEA">
        <w:rPr>
          <w:rFonts w:cs="Tahoma"/>
        </w:rPr>
        <w:t>Licenza “Subscription”: 1 licenza</w:t>
      </w:r>
    </w:p>
    <w:p w:rsidR="00456002" w:rsidRPr="00BD7CEA" w:rsidRDefault="00456002" w:rsidP="00E64551">
      <w:pPr>
        <w:pStyle w:val="Heading2"/>
        <w:ind w:left="0"/>
      </w:pPr>
    </w:p>
    <w:p w:rsidR="00E64551" w:rsidRPr="00BD7CEA" w:rsidRDefault="00456002" w:rsidP="009C0DC9">
      <w:pPr>
        <w:pStyle w:val="Heading2"/>
        <w:ind w:left="0"/>
      </w:pPr>
      <w:bookmarkStart w:id="666" w:name="_Toc336338191"/>
      <w:bookmarkStart w:id="667" w:name="_Toc353375971"/>
      <w:bookmarkStart w:id="668" w:name="_Toc323159726"/>
      <w:r w:rsidRPr="00BD7CEA">
        <w:rPr>
          <w:rFonts w:ascii="Tahoma" w:hAnsi="Tahoma" w:cs="Tahoma"/>
        </w:rPr>
        <w:t>Requisiti Minimi dell</w:t>
      </w:r>
      <w:r w:rsidR="007A1415" w:rsidRPr="00BD7CEA">
        <w:rPr>
          <w:rFonts w:ascii="Tahoma" w:hAnsi="Tahoma" w:cs="Tahoma"/>
        </w:rPr>
        <w:t>’</w:t>
      </w:r>
      <w:r w:rsidRPr="00BD7CEA">
        <w:rPr>
          <w:rFonts w:ascii="Tahoma" w:hAnsi="Tahoma" w:cs="Tahoma"/>
        </w:rPr>
        <w:t>Ordine</w:t>
      </w:r>
      <w:bookmarkEnd w:id="666"/>
      <w:bookmarkEnd w:id="667"/>
    </w:p>
    <w:bookmarkEnd w:id="668"/>
    <w:p w:rsidR="00456002" w:rsidRPr="00BD7CEA" w:rsidRDefault="00456002" w:rsidP="00456002"/>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70"/>
        <w:gridCol w:w="6946"/>
      </w:tblGrid>
      <w:tr w:rsidR="00456002" w:rsidRPr="00BD7CEA" w:rsidTr="00AE073B">
        <w:trPr>
          <w:tblHeader/>
        </w:trPr>
        <w:tc>
          <w:tcPr>
            <w:tcW w:w="2270" w:type="dxa"/>
            <w:shd w:val="clear" w:color="auto" w:fill="FABF8F"/>
          </w:tcPr>
          <w:p w:rsidR="00456002" w:rsidRPr="00BD7CEA" w:rsidRDefault="00456002" w:rsidP="005C647E">
            <w:pPr>
              <w:pStyle w:val="AppendixBodyText"/>
              <w:ind w:right="720"/>
              <w:jc w:val="center"/>
              <w:rPr>
                <w:rFonts w:ascii="Tahoma" w:hAnsi="Tahoma" w:cs="Tahoma"/>
                <w:b/>
                <w:color w:val="000000"/>
                <w:sz w:val="22"/>
                <w:szCs w:val="18"/>
                <w:lang w:eastAsia="ja-JP"/>
              </w:rPr>
            </w:pPr>
            <w:r w:rsidRPr="00BD7CEA">
              <w:rPr>
                <w:rFonts w:ascii="Tahoma" w:hAnsi="Tahoma" w:cs="Tahoma"/>
                <w:b/>
                <w:color w:val="000000"/>
                <w:sz w:val="22"/>
                <w:szCs w:val="18"/>
              </w:rPr>
              <w:t>Programmi</w:t>
            </w:r>
          </w:p>
        </w:tc>
        <w:tc>
          <w:tcPr>
            <w:tcW w:w="6946" w:type="dxa"/>
            <w:shd w:val="clear" w:color="auto" w:fill="FABF8F"/>
          </w:tcPr>
          <w:p w:rsidR="00456002" w:rsidRPr="00BD7CEA" w:rsidRDefault="00456002" w:rsidP="005C647E">
            <w:pPr>
              <w:pStyle w:val="AppendixBodyText"/>
              <w:ind w:right="720"/>
              <w:jc w:val="center"/>
              <w:rPr>
                <w:rFonts w:ascii="Tahoma" w:hAnsi="Tahoma" w:cs="Tahoma"/>
                <w:b/>
                <w:color w:val="000000"/>
                <w:sz w:val="22"/>
                <w:szCs w:val="18"/>
                <w:lang w:eastAsia="ja-JP"/>
              </w:rPr>
            </w:pPr>
            <w:r w:rsidRPr="00BD7CEA">
              <w:rPr>
                <w:rFonts w:ascii="Tahoma" w:hAnsi="Tahoma" w:cs="Tahoma"/>
                <w:b/>
                <w:color w:val="000000"/>
                <w:sz w:val="22"/>
                <w:szCs w:val="18"/>
              </w:rPr>
              <w:t>Requisiti Minimi dell</w:t>
            </w:r>
            <w:r w:rsidR="007A1415" w:rsidRPr="00BD7CEA">
              <w:rPr>
                <w:rFonts w:ascii="Tahoma" w:hAnsi="Tahoma" w:cs="Tahoma"/>
                <w:b/>
                <w:color w:val="000000"/>
                <w:sz w:val="22"/>
                <w:szCs w:val="18"/>
              </w:rPr>
              <w:t>’</w:t>
            </w:r>
            <w:r w:rsidRPr="00BD7CEA">
              <w:rPr>
                <w:rFonts w:ascii="Tahoma" w:hAnsi="Tahoma" w:cs="Tahoma"/>
                <w:b/>
                <w:color w:val="000000"/>
                <w:sz w:val="22"/>
                <w:szCs w:val="18"/>
              </w:rPr>
              <w:t>Ordine</w:t>
            </w:r>
          </w:p>
        </w:tc>
      </w:tr>
      <w:tr w:rsidR="00456002" w:rsidRPr="007B74B7" w:rsidTr="00E72B9D">
        <w:tc>
          <w:tcPr>
            <w:tcW w:w="2270" w:type="dxa"/>
            <w:shd w:val="clear" w:color="auto" w:fill="auto"/>
          </w:tcPr>
          <w:p w:rsidR="00456002" w:rsidRPr="007B74B7" w:rsidRDefault="00456002" w:rsidP="001323B9">
            <w:pPr>
              <w:pStyle w:val="AppendixBodyText"/>
              <w:spacing w:before="60"/>
              <w:ind w:right="720"/>
              <w:rPr>
                <w:rFonts w:ascii="Tahoma" w:hAnsi="Tahoma" w:cs="Tahoma"/>
                <w:b/>
                <w:color w:val="000000"/>
                <w:sz w:val="18"/>
                <w:szCs w:val="18"/>
                <w:lang w:val="it-IT" w:eastAsia="ja-JP"/>
              </w:rPr>
            </w:pPr>
            <w:r w:rsidRPr="007B74B7">
              <w:rPr>
                <w:rFonts w:ascii="Tahoma" w:hAnsi="Tahoma" w:cs="Tahoma"/>
                <w:b/>
                <w:color w:val="000000"/>
                <w:szCs w:val="18"/>
                <w:lang w:val="it-IT"/>
              </w:rPr>
              <w:t>Open License, Open Value, e Open Value Subscription (per Società Commerciali ed Enti Pubblici)</w:t>
            </w:r>
          </w:p>
        </w:tc>
        <w:tc>
          <w:tcPr>
            <w:tcW w:w="6946" w:type="dxa"/>
            <w:shd w:val="clear" w:color="auto" w:fill="auto"/>
          </w:tcPr>
          <w:p w:rsidR="00456002" w:rsidRPr="007B74B7" w:rsidRDefault="004B6D8C" w:rsidP="00A70464">
            <w:pPr>
              <w:pStyle w:val="AppendixBodyText"/>
              <w:spacing w:before="60"/>
              <w:ind w:right="720"/>
              <w:rPr>
                <w:lang w:val="it-IT"/>
              </w:rPr>
            </w:pPr>
            <w:r w:rsidRPr="007B74B7">
              <w:rPr>
                <w:rFonts w:ascii="Tahoma" w:hAnsi="Tahoma" w:cs="Tahoma"/>
                <w:b/>
                <w:sz w:val="18"/>
                <w:lang w:val="it-IT"/>
              </w:rPr>
              <w:t>Licenza Open</w:t>
            </w:r>
          </w:p>
          <w:p w:rsidR="00456002" w:rsidRPr="007B74B7" w:rsidRDefault="00456002" w:rsidP="005C647E">
            <w:pPr>
              <w:pStyle w:val="AppendixBodyText"/>
              <w:ind w:right="720"/>
              <w:rPr>
                <w:lang w:val="it-IT"/>
              </w:rPr>
            </w:pPr>
            <w:r w:rsidRPr="007B74B7">
              <w:rPr>
                <w:rFonts w:ascii="Tahoma" w:hAnsi="Tahoma" w:cs="Tahoma"/>
                <w:sz w:val="18"/>
                <w:lang w:val="it-IT"/>
              </w:rPr>
              <w:t>Open License richiede un ordine minimo di 5 licenze, 5 SA o di qualsiasi combinazione per stabilire un Numero di Autorizzazione.</w:t>
            </w:r>
            <w:r w:rsidR="008D782D" w:rsidRPr="007B74B7">
              <w:rPr>
                <w:rFonts w:ascii="Tahoma" w:hAnsi="Tahoma" w:cs="Tahoma"/>
                <w:sz w:val="18"/>
                <w:lang w:val="it-IT"/>
              </w:rPr>
              <w:t xml:space="preserve"> </w:t>
            </w:r>
            <w:r w:rsidRPr="007B74B7">
              <w:rPr>
                <w:rFonts w:ascii="Tahoma" w:hAnsi="Tahoma" w:cs="Tahoma"/>
                <w:sz w:val="18"/>
                <w:lang w:val="it-IT"/>
              </w:rPr>
              <w:t>Ad esempio, 2</w:t>
            </w:r>
            <w:r w:rsidR="00AE073B" w:rsidRPr="007B74B7">
              <w:rPr>
                <w:rFonts w:ascii="Tahoma" w:hAnsi="Tahoma" w:cs="Tahoma"/>
                <w:sz w:val="18"/>
                <w:lang w:val="it-IT"/>
              </w:rPr>
              <w:t> </w:t>
            </w:r>
            <w:r w:rsidRPr="007B74B7">
              <w:rPr>
                <w:rFonts w:ascii="Tahoma" w:hAnsi="Tahoma" w:cs="Tahoma"/>
                <w:sz w:val="18"/>
                <w:lang w:val="it-IT"/>
              </w:rPr>
              <w:t>Licenza e Software Assurance e 1 Licenza Standard soddisferebbero l</w:t>
            </w:r>
            <w:r w:rsidR="007A1415" w:rsidRPr="007B74B7">
              <w:rPr>
                <w:rFonts w:ascii="Tahoma" w:hAnsi="Tahoma" w:cs="Tahoma"/>
                <w:sz w:val="18"/>
                <w:lang w:val="it-IT"/>
              </w:rPr>
              <w:t>’</w:t>
            </w:r>
            <w:r w:rsidRPr="007B74B7">
              <w:rPr>
                <w:rFonts w:ascii="Tahoma" w:hAnsi="Tahoma" w:cs="Tahoma"/>
                <w:sz w:val="18"/>
                <w:lang w:val="it-IT"/>
              </w:rPr>
              <w:t>acquisto minimo di 5 licenze richiesto per partecipare a uno o all</w:t>
            </w:r>
            <w:r w:rsidR="007A1415" w:rsidRPr="007B74B7">
              <w:rPr>
                <w:rFonts w:ascii="Tahoma" w:hAnsi="Tahoma" w:cs="Tahoma"/>
                <w:sz w:val="18"/>
                <w:lang w:val="it-IT"/>
              </w:rPr>
              <w:t>’</w:t>
            </w:r>
            <w:r w:rsidRPr="007B74B7">
              <w:rPr>
                <w:rFonts w:ascii="Tahoma" w:hAnsi="Tahoma" w:cs="Tahoma"/>
                <w:sz w:val="18"/>
                <w:lang w:val="it-IT"/>
              </w:rPr>
              <w:t xml:space="preserve">altro programma. </w:t>
            </w:r>
          </w:p>
          <w:p w:rsidR="00456002" w:rsidRPr="007B74B7" w:rsidRDefault="00456002" w:rsidP="003E606C">
            <w:pPr>
              <w:pStyle w:val="AppendixBodyText"/>
              <w:spacing w:after="0"/>
              <w:ind w:right="720"/>
              <w:rPr>
                <w:lang w:val="it-IT"/>
              </w:rPr>
            </w:pPr>
          </w:p>
          <w:p w:rsidR="004B6D8C" w:rsidRPr="00BD7CEA" w:rsidRDefault="00456002" w:rsidP="005C647E">
            <w:pPr>
              <w:pStyle w:val="AppendixBodyText"/>
              <w:ind w:right="720"/>
            </w:pPr>
            <w:r w:rsidRPr="00BD7CEA">
              <w:rPr>
                <w:rFonts w:ascii="Tahoma" w:hAnsi="Tahoma" w:cs="Tahoma"/>
                <w:b/>
                <w:sz w:val="18"/>
              </w:rPr>
              <w:t>Open Value e Open Value Subscription</w:t>
            </w:r>
          </w:p>
          <w:p w:rsidR="00456002" w:rsidRPr="007B74B7" w:rsidRDefault="00456002" w:rsidP="005C647E">
            <w:pPr>
              <w:pStyle w:val="AppendixBodyText"/>
              <w:ind w:right="720"/>
              <w:rPr>
                <w:lang w:val="it-IT"/>
              </w:rPr>
            </w:pPr>
            <w:r w:rsidRPr="007B74B7">
              <w:rPr>
                <w:rFonts w:ascii="Tahoma" w:hAnsi="Tahoma" w:cs="Tahoma"/>
                <w:sz w:val="18"/>
                <w:lang w:val="it-IT"/>
              </w:rPr>
              <w:t xml:space="preserve">Open Value richiede un ordine minimo di 5 U&amp;SA, 5 L&amp;SA, 5 SA, 5 Licenze “Subscription” o di qualsiasi combinazione per stipulare un contratto. </w:t>
            </w:r>
          </w:p>
          <w:p w:rsidR="00456002" w:rsidRPr="007B74B7" w:rsidRDefault="00456002" w:rsidP="00A51838">
            <w:pPr>
              <w:pStyle w:val="AppendixBodyText"/>
              <w:spacing w:after="0"/>
              <w:ind w:right="720"/>
              <w:rPr>
                <w:lang w:val="it-IT"/>
              </w:rPr>
            </w:pPr>
            <w:r w:rsidRPr="007B74B7">
              <w:rPr>
                <w:rFonts w:ascii="Tahoma" w:hAnsi="Tahoma" w:cs="Tahoma"/>
                <w:b/>
                <w:sz w:val="18"/>
                <w:lang w:val="it-IT"/>
              </w:rPr>
              <w:lastRenderedPageBreak/>
              <w:t>Nota:</w:t>
            </w:r>
            <w:r w:rsidRPr="007B74B7">
              <w:rPr>
                <w:rFonts w:ascii="Tahoma" w:hAnsi="Tahoma" w:cs="Tahoma"/>
                <w:sz w:val="18"/>
                <w:lang w:val="it-IT"/>
              </w:rPr>
              <w:t xml:space="preserve"> una licenza singola per alcuni prodotti dei programmi Open e Open Value soddisfa il requisito minimo di 5 licenze.</w:t>
            </w:r>
            <w:r w:rsidR="008D782D" w:rsidRPr="007B74B7">
              <w:rPr>
                <w:rFonts w:ascii="Tahoma" w:hAnsi="Tahoma" w:cs="Tahoma"/>
                <w:sz w:val="18"/>
                <w:lang w:val="it-IT"/>
              </w:rPr>
              <w:t xml:space="preserve"> </w:t>
            </w:r>
            <w:r w:rsidRPr="007B74B7">
              <w:rPr>
                <w:rFonts w:ascii="Tahoma" w:hAnsi="Tahoma" w:cs="Tahoma"/>
                <w:sz w:val="18"/>
                <w:lang w:val="it-IT"/>
              </w:rPr>
              <w:t>Fare riferimento alle singole note del prodotto per determinare quali prodotti si qualificano per questa eccezione.</w:t>
            </w:r>
          </w:p>
          <w:p w:rsidR="00A51838" w:rsidRPr="007B74B7" w:rsidRDefault="00A51838" w:rsidP="00A51838">
            <w:pPr>
              <w:pStyle w:val="AppendixBodyText"/>
              <w:spacing w:after="0"/>
              <w:ind w:right="720"/>
              <w:rPr>
                <w:rFonts w:ascii="Tahoma" w:hAnsi="Tahoma" w:cs="Tahoma"/>
                <w:sz w:val="18"/>
                <w:lang w:val="it-IT" w:eastAsia="ja-JP"/>
              </w:rPr>
            </w:pPr>
          </w:p>
        </w:tc>
      </w:tr>
      <w:tr w:rsidR="00456002" w:rsidRPr="007B74B7" w:rsidTr="00E72B9D">
        <w:tc>
          <w:tcPr>
            <w:tcW w:w="2270" w:type="dxa"/>
            <w:shd w:val="clear" w:color="auto" w:fill="auto"/>
          </w:tcPr>
          <w:p w:rsidR="00456002" w:rsidRPr="00BD7CEA" w:rsidRDefault="00456002" w:rsidP="00FD7C0D">
            <w:pPr>
              <w:pStyle w:val="AppendixBodyText"/>
              <w:spacing w:before="60"/>
              <w:ind w:right="92"/>
              <w:rPr>
                <w:rFonts w:ascii="Tahoma" w:hAnsi="Tahoma" w:cs="Tahoma"/>
                <w:b/>
                <w:color w:val="000000"/>
                <w:szCs w:val="18"/>
                <w:lang w:eastAsia="ja-JP"/>
              </w:rPr>
            </w:pPr>
            <w:r w:rsidRPr="00BD7CEA">
              <w:rPr>
                <w:rFonts w:ascii="Tahoma" w:hAnsi="Tahoma" w:cs="Tahoma"/>
                <w:b/>
                <w:color w:val="000000"/>
                <w:szCs w:val="18"/>
              </w:rPr>
              <w:lastRenderedPageBreak/>
              <w:t>Open Value Subscription</w:t>
            </w:r>
            <w:r w:rsidR="00FD7C0D">
              <w:rPr>
                <w:rFonts w:ascii="Tahoma" w:hAnsi="Tahoma" w:cs="Tahoma"/>
                <w:b/>
                <w:color w:val="000000"/>
                <w:szCs w:val="18"/>
              </w:rPr>
              <w:t xml:space="preserve"> – </w:t>
            </w:r>
            <w:r w:rsidRPr="00BD7CEA">
              <w:rPr>
                <w:rFonts w:ascii="Tahoma" w:hAnsi="Tahoma" w:cs="Tahoma"/>
                <w:b/>
                <w:color w:val="000000"/>
                <w:szCs w:val="18"/>
              </w:rPr>
              <w:t>ES</w:t>
            </w:r>
          </w:p>
        </w:tc>
        <w:tc>
          <w:tcPr>
            <w:tcW w:w="6946" w:type="dxa"/>
            <w:shd w:val="clear" w:color="auto" w:fill="auto"/>
          </w:tcPr>
          <w:p w:rsidR="00456002" w:rsidRPr="007B74B7" w:rsidRDefault="00456002" w:rsidP="00230E01">
            <w:pPr>
              <w:spacing w:before="60"/>
              <w:rPr>
                <w:lang w:val="it-IT"/>
              </w:rPr>
            </w:pPr>
            <w:r w:rsidRPr="007B74B7">
              <w:rPr>
                <w:rFonts w:cs="Tahoma"/>
                <w:szCs w:val="18"/>
                <w:lang w:val="it-IT"/>
              </w:rPr>
              <w:t>Open Value Subscription</w:t>
            </w:r>
            <w:r w:rsidR="00FD7C0D" w:rsidRPr="007B74B7">
              <w:rPr>
                <w:rFonts w:cs="Tahoma"/>
                <w:szCs w:val="18"/>
                <w:lang w:val="it-IT"/>
              </w:rPr>
              <w:t xml:space="preserve"> – </w:t>
            </w:r>
            <w:r w:rsidRPr="007B74B7">
              <w:rPr>
                <w:rFonts w:cs="Tahoma"/>
                <w:szCs w:val="18"/>
                <w:lang w:val="it-IT"/>
              </w:rPr>
              <w:t>ES richiede che vi sia almeno un Prodotto della Piattaforma Desktop ogni 5 dell</w:t>
            </w:r>
            <w:r w:rsidR="007A1415" w:rsidRPr="007B74B7">
              <w:rPr>
                <w:rFonts w:cs="Tahoma"/>
                <w:szCs w:val="18"/>
                <w:lang w:val="it-IT"/>
              </w:rPr>
              <w:t>’</w:t>
            </w:r>
            <w:r w:rsidRPr="007B74B7">
              <w:rPr>
                <w:rFonts w:cs="Tahoma"/>
                <w:szCs w:val="18"/>
                <w:lang w:val="it-IT"/>
              </w:rPr>
              <w:t>intera organizzazione OPPURE almeno un Prodotto</w:t>
            </w:r>
            <w:r w:rsidR="0057389D" w:rsidRPr="007B74B7">
              <w:rPr>
                <w:rFonts w:cs="Tahoma"/>
                <w:szCs w:val="18"/>
                <w:lang w:val="it-IT"/>
              </w:rPr>
              <w:t> </w:t>
            </w:r>
            <w:r w:rsidRPr="007B74B7">
              <w:rPr>
                <w:rFonts w:cs="Tahoma"/>
                <w:szCs w:val="18"/>
                <w:lang w:val="it-IT"/>
              </w:rPr>
              <w:t>della Piattaforma Desktop ogni 5 Studenti.</w:t>
            </w:r>
          </w:p>
          <w:p w:rsidR="00230E01" w:rsidRPr="007B74B7" w:rsidRDefault="00230E01" w:rsidP="00230E01">
            <w:pPr>
              <w:rPr>
                <w:rFonts w:cs="Tahoma"/>
                <w:szCs w:val="18"/>
                <w:lang w:val="it-IT"/>
              </w:rPr>
            </w:pPr>
          </w:p>
        </w:tc>
      </w:tr>
      <w:tr w:rsidR="00456002" w:rsidRPr="007B74B7" w:rsidTr="00E72B9D">
        <w:tc>
          <w:tcPr>
            <w:tcW w:w="2270" w:type="dxa"/>
            <w:shd w:val="clear" w:color="auto" w:fill="auto"/>
          </w:tcPr>
          <w:p w:rsidR="00456002" w:rsidRPr="00BD7CEA" w:rsidRDefault="00456002" w:rsidP="00A70464">
            <w:pPr>
              <w:pStyle w:val="AppendixBodyText"/>
              <w:spacing w:before="60"/>
              <w:ind w:right="720"/>
              <w:rPr>
                <w:rFonts w:ascii="Tahoma" w:hAnsi="Tahoma" w:cs="Tahoma"/>
                <w:b/>
                <w:color w:val="000000"/>
                <w:szCs w:val="18"/>
                <w:lang w:eastAsia="ja-JP"/>
              </w:rPr>
            </w:pPr>
            <w:r w:rsidRPr="00BD7CEA">
              <w:rPr>
                <w:rFonts w:ascii="Tahoma" w:hAnsi="Tahoma" w:cs="Tahoma"/>
                <w:b/>
                <w:color w:val="000000"/>
                <w:szCs w:val="18"/>
              </w:rPr>
              <w:t>Select</w:t>
            </w:r>
          </w:p>
        </w:tc>
        <w:tc>
          <w:tcPr>
            <w:tcW w:w="6946" w:type="dxa"/>
            <w:shd w:val="clear" w:color="auto" w:fill="auto"/>
          </w:tcPr>
          <w:p w:rsidR="00456002" w:rsidRPr="007B74B7" w:rsidRDefault="00456002" w:rsidP="00230E01">
            <w:pPr>
              <w:pStyle w:val="AppendixBodyText"/>
              <w:spacing w:before="60" w:after="0"/>
              <w:ind w:right="720"/>
              <w:rPr>
                <w:lang w:val="it-IT"/>
              </w:rPr>
            </w:pPr>
            <w:r w:rsidRPr="007B74B7">
              <w:rPr>
                <w:rFonts w:ascii="Tahoma" w:hAnsi="Tahoma" w:cs="Tahoma"/>
                <w:color w:val="000000"/>
                <w:sz w:val="18"/>
                <w:szCs w:val="18"/>
                <w:lang w:val="it-IT"/>
              </w:rPr>
              <w:t>Select richiede un ordine minimo di 1.500 punti per gruppo per il periodo di validità del contratto.</w:t>
            </w:r>
            <w:r w:rsidR="008D782D" w:rsidRPr="007B74B7">
              <w:rPr>
                <w:rFonts w:ascii="Tahoma" w:hAnsi="Tahoma" w:cs="Tahoma"/>
                <w:color w:val="000000"/>
                <w:sz w:val="18"/>
                <w:szCs w:val="18"/>
                <w:lang w:val="it-IT"/>
              </w:rPr>
              <w:t xml:space="preserve"> </w:t>
            </w:r>
            <w:r w:rsidRPr="007B74B7">
              <w:rPr>
                <w:rFonts w:ascii="Tahoma" w:hAnsi="Tahoma" w:cs="Tahoma"/>
                <w:color w:val="000000"/>
                <w:sz w:val="18"/>
                <w:szCs w:val="18"/>
                <w:lang w:val="it-IT"/>
              </w:rPr>
              <w:t>È possibile ignorare i requisiti di quantità minima per l</w:t>
            </w:r>
            <w:r w:rsidR="007A1415" w:rsidRPr="007B74B7">
              <w:rPr>
                <w:rFonts w:ascii="Tahoma" w:hAnsi="Tahoma" w:cs="Tahoma"/>
                <w:color w:val="000000"/>
                <w:sz w:val="18"/>
                <w:szCs w:val="18"/>
                <w:lang w:val="it-IT"/>
              </w:rPr>
              <w:t>’</w:t>
            </w:r>
            <w:r w:rsidRPr="007B74B7">
              <w:rPr>
                <w:rFonts w:ascii="Tahoma" w:hAnsi="Tahoma" w:cs="Tahoma"/>
                <w:color w:val="000000"/>
                <w:sz w:val="18"/>
                <w:szCs w:val="18"/>
                <w:lang w:val="it-IT"/>
              </w:rPr>
              <w:t>ordine nel caso in cui venga fornito un contratto qualificante.</w:t>
            </w:r>
          </w:p>
          <w:p w:rsidR="00230E01" w:rsidRPr="007B74B7" w:rsidRDefault="00230E01" w:rsidP="00230E01">
            <w:pPr>
              <w:pStyle w:val="AppendixBodyText"/>
              <w:spacing w:after="0"/>
              <w:ind w:right="720"/>
              <w:rPr>
                <w:rFonts w:ascii="Tahoma" w:hAnsi="Tahoma" w:cs="Tahoma"/>
                <w:color w:val="000000"/>
                <w:sz w:val="18"/>
                <w:szCs w:val="18"/>
                <w:lang w:val="it-IT" w:eastAsia="ja-JP"/>
              </w:rPr>
            </w:pPr>
          </w:p>
        </w:tc>
      </w:tr>
      <w:tr w:rsidR="00456002" w:rsidRPr="007B74B7" w:rsidTr="00E72B9D">
        <w:tc>
          <w:tcPr>
            <w:tcW w:w="2270" w:type="dxa"/>
            <w:shd w:val="clear" w:color="auto" w:fill="auto"/>
          </w:tcPr>
          <w:p w:rsidR="00456002" w:rsidRPr="00BD7CEA" w:rsidRDefault="00456002" w:rsidP="00A70464">
            <w:pPr>
              <w:pStyle w:val="AppendixBodyText"/>
              <w:spacing w:before="60"/>
              <w:ind w:right="720"/>
              <w:rPr>
                <w:rFonts w:ascii="Tahoma" w:hAnsi="Tahoma" w:cs="Tahoma"/>
                <w:b/>
                <w:color w:val="000000"/>
                <w:szCs w:val="18"/>
                <w:lang w:eastAsia="ja-JP"/>
              </w:rPr>
            </w:pPr>
            <w:r w:rsidRPr="00BD7CEA">
              <w:rPr>
                <w:rFonts w:ascii="Tahoma" w:hAnsi="Tahoma" w:cs="Tahoma"/>
                <w:b/>
                <w:color w:val="000000"/>
                <w:szCs w:val="18"/>
              </w:rPr>
              <w:t>Select Plus</w:t>
            </w:r>
          </w:p>
        </w:tc>
        <w:tc>
          <w:tcPr>
            <w:tcW w:w="6946" w:type="dxa"/>
            <w:shd w:val="clear" w:color="auto" w:fill="auto"/>
          </w:tcPr>
          <w:p w:rsidR="00456002" w:rsidRPr="007B74B7" w:rsidRDefault="00456002" w:rsidP="00A70464">
            <w:pPr>
              <w:pStyle w:val="AppendixBodyText"/>
              <w:spacing w:before="60"/>
              <w:ind w:right="720"/>
              <w:rPr>
                <w:lang w:val="it-IT"/>
              </w:rPr>
            </w:pPr>
            <w:r w:rsidRPr="007B74B7">
              <w:rPr>
                <w:rFonts w:ascii="Tahoma" w:hAnsi="Tahoma" w:cs="Tahoma"/>
                <w:color w:val="000000"/>
                <w:sz w:val="18"/>
                <w:szCs w:val="18"/>
                <w:lang w:val="it-IT"/>
              </w:rPr>
              <w:t>Select Plus richiede un ordine minimo di 500 punti per gruppo nel corso del primo anno.</w:t>
            </w:r>
            <w:r w:rsidR="008D782D" w:rsidRPr="007B74B7">
              <w:rPr>
                <w:rFonts w:ascii="Tahoma" w:hAnsi="Tahoma" w:cs="Tahoma"/>
                <w:color w:val="000000"/>
                <w:sz w:val="18"/>
                <w:szCs w:val="18"/>
                <w:lang w:val="it-IT"/>
              </w:rPr>
              <w:t xml:space="preserve"> </w:t>
            </w:r>
            <w:r w:rsidRPr="007B74B7">
              <w:rPr>
                <w:rFonts w:ascii="Tahoma" w:hAnsi="Tahoma" w:cs="Tahoma"/>
                <w:color w:val="000000"/>
                <w:sz w:val="18"/>
                <w:szCs w:val="18"/>
                <w:lang w:val="it-IT"/>
              </w:rPr>
              <w:t>È possibile ignorare il requisito di quantità per l</w:t>
            </w:r>
            <w:r w:rsidR="007A1415" w:rsidRPr="007B74B7">
              <w:rPr>
                <w:rFonts w:ascii="Tahoma" w:hAnsi="Tahoma" w:cs="Tahoma"/>
                <w:color w:val="000000"/>
                <w:sz w:val="18"/>
                <w:szCs w:val="18"/>
                <w:lang w:val="it-IT"/>
              </w:rPr>
              <w:t>’</w:t>
            </w:r>
            <w:r w:rsidRPr="007B74B7">
              <w:rPr>
                <w:rFonts w:ascii="Tahoma" w:hAnsi="Tahoma" w:cs="Tahoma"/>
                <w:color w:val="000000"/>
                <w:sz w:val="18"/>
                <w:szCs w:val="18"/>
                <w:lang w:val="it-IT"/>
              </w:rPr>
              <w:t>ordine nel caso in cui venga fornito un contratto qualificante.</w:t>
            </w:r>
          </w:p>
          <w:p w:rsidR="00456002" w:rsidRPr="007B74B7" w:rsidRDefault="00456002" w:rsidP="00A70464">
            <w:pPr>
              <w:pStyle w:val="AppendixBodyText"/>
              <w:spacing w:after="0"/>
              <w:ind w:right="720"/>
              <w:rPr>
                <w:lang w:val="it-IT"/>
              </w:rPr>
            </w:pPr>
          </w:p>
          <w:p w:rsidR="00456002" w:rsidRPr="007B74B7" w:rsidRDefault="00456002" w:rsidP="004B6D8C">
            <w:pPr>
              <w:spacing w:after="60"/>
              <w:rPr>
                <w:lang w:val="it-IT"/>
              </w:rPr>
            </w:pPr>
            <w:bookmarkStart w:id="669" w:name="_Toc323159727"/>
            <w:r w:rsidRPr="007B74B7">
              <w:rPr>
                <w:b/>
                <w:lang w:val="it-IT"/>
              </w:rPr>
              <w:t>Livelli di Prezzo in Select Plus</w:t>
            </w:r>
            <w:bookmarkEnd w:id="669"/>
          </w:p>
          <w:p w:rsidR="00456002" w:rsidRPr="007B74B7" w:rsidRDefault="00456002" w:rsidP="005C647E">
            <w:pPr>
              <w:rPr>
                <w:lang w:val="it-IT"/>
              </w:rPr>
            </w:pPr>
            <w:r w:rsidRPr="007B74B7">
              <w:rPr>
                <w:rFonts w:cs="Tahoma"/>
                <w:szCs w:val="18"/>
                <w:lang w:val="it-IT"/>
              </w:rPr>
              <w:t>La società si qualifica per il Programma Select Plus se soddisfa uno dei tre seguenti</w:t>
            </w:r>
            <w:r w:rsidR="0057389D" w:rsidRPr="007B74B7">
              <w:rPr>
                <w:rFonts w:cs="Tahoma"/>
                <w:szCs w:val="18"/>
                <w:lang w:val="it-IT"/>
              </w:rPr>
              <w:t> </w:t>
            </w:r>
            <w:r w:rsidRPr="007B74B7">
              <w:rPr>
                <w:rFonts w:cs="Tahoma"/>
                <w:szCs w:val="18"/>
                <w:lang w:val="it-IT"/>
              </w:rPr>
              <w:t xml:space="preserve">criteri: </w:t>
            </w:r>
          </w:p>
          <w:p w:rsidR="00406CB0" w:rsidRPr="007B74B7" w:rsidRDefault="00406CB0" w:rsidP="00A70464">
            <w:pPr>
              <w:rPr>
                <w:lang w:val="it-IT"/>
              </w:rPr>
            </w:pPr>
          </w:p>
          <w:p w:rsidR="00456002" w:rsidRPr="007B74B7" w:rsidRDefault="00456002" w:rsidP="007358C5">
            <w:pPr>
              <w:numPr>
                <w:ilvl w:val="0"/>
                <w:numId w:val="63"/>
              </w:numPr>
              <w:spacing w:after="60"/>
              <w:rPr>
                <w:lang w:val="it-IT"/>
              </w:rPr>
            </w:pPr>
            <w:r w:rsidRPr="007B74B7">
              <w:rPr>
                <w:lang w:val="it-IT"/>
              </w:rPr>
              <w:t>Dispone di un</w:t>
            </w:r>
            <w:r w:rsidR="007A1415" w:rsidRPr="007B74B7">
              <w:rPr>
                <w:lang w:val="it-IT"/>
              </w:rPr>
              <w:t>’</w:t>
            </w:r>
            <w:r w:rsidRPr="007B74B7">
              <w:rPr>
                <w:lang w:val="it-IT"/>
              </w:rPr>
              <w:t>Iscrizione Enterprise attiva ai sensi di un Contratto Enterprise separato o di un</w:t>
            </w:r>
            <w:r w:rsidR="007A1415" w:rsidRPr="007B74B7">
              <w:rPr>
                <w:lang w:val="it-IT"/>
              </w:rPr>
              <w:t>’</w:t>
            </w:r>
            <w:r w:rsidRPr="007B74B7">
              <w:rPr>
                <w:lang w:val="it-IT"/>
              </w:rPr>
              <w:t>Iscrizione Enterprise Subscription ai sensi di un contratto Enterprise Subscription (gli istituti didattici possono utilizzare un Contratto Campus o School attivo oppure un Enrollment for Education Solutions attivo quale contratto qualificante);</w:t>
            </w:r>
          </w:p>
          <w:p w:rsidR="00456002" w:rsidRPr="007B74B7" w:rsidRDefault="00456002" w:rsidP="007358C5">
            <w:pPr>
              <w:numPr>
                <w:ilvl w:val="0"/>
                <w:numId w:val="63"/>
              </w:numPr>
              <w:spacing w:after="60"/>
              <w:rPr>
                <w:lang w:val="it-IT"/>
              </w:rPr>
            </w:pPr>
            <w:r w:rsidRPr="007B74B7">
              <w:rPr>
                <w:lang w:val="it-IT"/>
              </w:rPr>
              <w:t xml:space="preserve">Effettua un ordine iniziale che raggiunge un minimo di 500 punti per ogni pool di prodotti che la Società seleziona durante il primo anno; </w:t>
            </w:r>
          </w:p>
          <w:p w:rsidR="00456002" w:rsidRPr="007B74B7" w:rsidRDefault="00456002" w:rsidP="007358C5">
            <w:pPr>
              <w:numPr>
                <w:ilvl w:val="0"/>
                <w:numId w:val="63"/>
              </w:numPr>
              <w:spacing w:after="60"/>
              <w:rPr>
                <w:lang w:val="it-IT"/>
              </w:rPr>
            </w:pPr>
            <w:r w:rsidRPr="007B74B7">
              <w:rPr>
                <w:lang w:val="it-IT"/>
              </w:rPr>
              <w:t>Identifica un contratto in cui l</w:t>
            </w:r>
            <w:r w:rsidR="007A1415" w:rsidRPr="007B74B7">
              <w:rPr>
                <w:lang w:val="it-IT"/>
              </w:rPr>
              <w:t>’</w:t>
            </w:r>
            <w:r w:rsidRPr="007B74B7">
              <w:rPr>
                <w:lang w:val="it-IT"/>
              </w:rPr>
              <w:t xml:space="preserve">ordine minimo è stato acquistato nei 12 mesi precedenti alla data di entrata in vigore del Contratto Select Plus della Società e </w:t>
            </w:r>
          </w:p>
          <w:p w:rsidR="00456002" w:rsidRPr="007B74B7" w:rsidRDefault="00456002" w:rsidP="00A70464">
            <w:pPr>
              <w:rPr>
                <w:lang w:val="it-IT"/>
              </w:rPr>
            </w:pPr>
          </w:p>
          <w:p w:rsidR="00456002" w:rsidRPr="007B74B7" w:rsidRDefault="00456002" w:rsidP="005C647E">
            <w:pPr>
              <w:rPr>
                <w:lang w:val="it-IT"/>
              </w:rPr>
            </w:pPr>
            <w:r w:rsidRPr="007B74B7">
              <w:rPr>
                <w:rFonts w:cs="Tahoma"/>
                <w:szCs w:val="18"/>
                <w:lang w:val="it-IT"/>
              </w:rPr>
              <w:t>Per le precedenti opzioni 2 e 3, la Società deve mantenere un minimo di 500 punti in ciascun pool di prodotti scelto dalla Società all</w:t>
            </w:r>
            <w:r w:rsidR="007A1415" w:rsidRPr="007B74B7">
              <w:rPr>
                <w:rFonts w:cs="Tahoma"/>
                <w:szCs w:val="18"/>
                <w:lang w:val="it-IT"/>
              </w:rPr>
              <w:t>’</w:t>
            </w:r>
            <w:r w:rsidRPr="007B74B7">
              <w:rPr>
                <w:rFonts w:cs="Tahoma"/>
                <w:szCs w:val="18"/>
                <w:lang w:val="it-IT"/>
              </w:rPr>
              <w:t xml:space="preserve">epoca della revisione. </w:t>
            </w:r>
          </w:p>
          <w:p w:rsidR="00456002" w:rsidRPr="007B74B7" w:rsidRDefault="00456002" w:rsidP="005C647E">
            <w:pPr>
              <w:rPr>
                <w:lang w:val="it-IT"/>
              </w:rPr>
            </w:pPr>
          </w:p>
          <w:p w:rsidR="00456002" w:rsidRPr="007B74B7" w:rsidRDefault="00456002" w:rsidP="005C647E">
            <w:pPr>
              <w:rPr>
                <w:lang w:val="it-IT"/>
              </w:rPr>
            </w:pPr>
            <w:r w:rsidRPr="007B74B7">
              <w:rPr>
                <w:rFonts w:cs="Tahoma"/>
                <w:szCs w:val="18"/>
                <w:lang w:val="it-IT"/>
              </w:rPr>
              <w:t>I prezzi della Società sono basati su un contratto concluso tra la Società e il suo rivenditore. Tuttavia Microsoft fornisce al rivenditore i seguenti criteri relativi ai</w:t>
            </w:r>
            <w:r w:rsidR="00AE073B" w:rsidRPr="007B74B7">
              <w:rPr>
                <w:rFonts w:cs="Tahoma"/>
                <w:szCs w:val="18"/>
                <w:lang w:val="it-IT"/>
              </w:rPr>
              <w:t> </w:t>
            </w:r>
            <w:r w:rsidRPr="007B74B7">
              <w:rPr>
                <w:rFonts w:cs="Tahoma"/>
                <w:szCs w:val="18"/>
                <w:lang w:val="it-IT"/>
              </w:rPr>
              <w:t>prezzi e ai punti per aiutarlo a definire i prezzi per il cliente finale:</w:t>
            </w:r>
            <w:r w:rsidR="008D782D" w:rsidRPr="007B74B7">
              <w:rPr>
                <w:rFonts w:cs="Tahoma"/>
                <w:szCs w:val="18"/>
                <w:lang w:val="it-IT"/>
              </w:rPr>
              <w:t xml:space="preserve"> </w:t>
            </w:r>
          </w:p>
          <w:p w:rsidR="00456002" w:rsidRPr="007B74B7" w:rsidRDefault="00456002" w:rsidP="005C647E">
            <w:pPr>
              <w:rPr>
                <w:lang w:val="it-IT"/>
              </w:rPr>
            </w:pPr>
          </w:p>
          <w:tbl>
            <w:tblPr>
              <w:tblW w:w="0" w:type="auto"/>
              <w:jc w:val="center"/>
              <w:tblCellMar>
                <w:left w:w="0" w:type="dxa"/>
                <w:right w:w="0" w:type="dxa"/>
              </w:tblCellMar>
              <w:tblLook w:val="04A0" w:firstRow="1" w:lastRow="0" w:firstColumn="1" w:lastColumn="0" w:noHBand="0" w:noVBand="1"/>
            </w:tblPr>
            <w:tblGrid>
              <w:gridCol w:w="2710"/>
              <w:gridCol w:w="2817"/>
            </w:tblGrid>
            <w:tr w:rsidR="00AE073B" w:rsidRPr="007B74B7" w:rsidTr="00DE2A23">
              <w:trPr>
                <w:trHeight w:hRule="exact" w:val="848"/>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rsidR="00AE073B" w:rsidRPr="007B74B7" w:rsidRDefault="00AE073B" w:rsidP="00AE073B">
                  <w:pPr>
                    <w:jc w:val="center"/>
                    <w:rPr>
                      <w:rFonts w:cs="Tahoma"/>
                      <w:b/>
                      <w:sz w:val="20"/>
                      <w:szCs w:val="18"/>
                      <w:lang w:val="it-IT"/>
                    </w:rPr>
                  </w:pPr>
                  <w:r w:rsidRPr="007B74B7">
                    <w:rPr>
                      <w:rFonts w:cs="Tahoma"/>
                      <w:b/>
                      <w:sz w:val="20"/>
                      <w:szCs w:val="18"/>
                      <w:lang w:val="it-IT"/>
                    </w:rPr>
                    <w:t>Livello di Prezzo in Select Plus</w:t>
                  </w:r>
                  <w:r w:rsidR="00FD7C0D" w:rsidRPr="007B74B7">
                    <w:rPr>
                      <w:rFonts w:cs="Tahoma"/>
                      <w:b/>
                      <w:sz w:val="20"/>
                      <w:szCs w:val="18"/>
                      <w:lang w:val="it-IT"/>
                    </w:rPr>
                    <w:t xml:space="preserve"> – </w:t>
                  </w:r>
                  <w:r w:rsidRPr="007B74B7">
                    <w:rPr>
                      <w:rFonts w:cs="Tahoma"/>
                      <w:b/>
                      <w:sz w:val="20"/>
                      <w:szCs w:val="18"/>
                      <w:lang w:val="it-IT"/>
                    </w:rPr>
                    <w:t>Commerciale</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AE073B" w:rsidRPr="007B74B7" w:rsidRDefault="00AE073B" w:rsidP="00AE073B">
                  <w:pPr>
                    <w:jc w:val="center"/>
                    <w:rPr>
                      <w:rFonts w:cs="Tahoma"/>
                      <w:b/>
                      <w:sz w:val="20"/>
                      <w:szCs w:val="18"/>
                      <w:lang w:val="it-IT"/>
                    </w:rPr>
                  </w:pPr>
                  <w:r w:rsidRPr="007B74B7">
                    <w:rPr>
                      <w:rFonts w:cs="Tahoma"/>
                      <w:b/>
                      <w:sz w:val="20"/>
                      <w:szCs w:val="18"/>
                      <w:lang w:val="it-IT"/>
                    </w:rPr>
                    <w:t>Minimo Punti Annuali per Pool</w:t>
                  </w:r>
                </w:p>
              </w:tc>
            </w:tr>
            <w:tr w:rsidR="00AE073B" w:rsidRPr="007B74B7" w:rsidTr="00A772FD">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E073B" w:rsidRPr="007B74B7" w:rsidRDefault="00AE073B" w:rsidP="00A772FD">
                  <w:pPr>
                    <w:jc w:val="center"/>
                    <w:rPr>
                      <w:rFonts w:cs="Tahoma"/>
                      <w:szCs w:val="18"/>
                      <w:lang w:val="it-IT"/>
                    </w:rPr>
                  </w:pPr>
                  <w:r w:rsidRPr="007B74B7">
                    <w:rPr>
                      <w:rFonts w:cs="Tahoma"/>
                      <w:szCs w:val="18"/>
                      <w:lang w:val="it-IT"/>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E073B" w:rsidRPr="007B74B7" w:rsidRDefault="00AE073B" w:rsidP="00A772FD">
                  <w:pPr>
                    <w:jc w:val="center"/>
                    <w:rPr>
                      <w:rFonts w:cs="Tahoma"/>
                      <w:szCs w:val="18"/>
                      <w:lang w:val="it-IT"/>
                    </w:rPr>
                  </w:pPr>
                  <w:r w:rsidRPr="007B74B7">
                    <w:rPr>
                      <w:rFonts w:cs="Tahoma"/>
                      <w:szCs w:val="18"/>
                      <w:lang w:val="it-IT"/>
                    </w:rPr>
                    <w:t>500</w:t>
                  </w:r>
                </w:p>
              </w:tc>
            </w:tr>
            <w:tr w:rsidR="00AE073B" w:rsidRPr="007B74B7" w:rsidTr="00A772FD">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E073B" w:rsidRPr="007B74B7" w:rsidRDefault="00AE073B" w:rsidP="00A772FD">
                  <w:pPr>
                    <w:jc w:val="center"/>
                    <w:rPr>
                      <w:rFonts w:cs="Tahoma"/>
                      <w:szCs w:val="18"/>
                      <w:lang w:val="it-IT"/>
                    </w:rPr>
                  </w:pPr>
                  <w:r w:rsidRPr="007B74B7">
                    <w:rPr>
                      <w:rFonts w:cs="Tahoma"/>
                      <w:szCs w:val="18"/>
                      <w:lang w:val="it-IT"/>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E073B" w:rsidRPr="007B74B7" w:rsidRDefault="00AE073B" w:rsidP="00DE2A23">
                  <w:pPr>
                    <w:jc w:val="center"/>
                    <w:rPr>
                      <w:rFonts w:cs="Tahoma"/>
                      <w:szCs w:val="18"/>
                      <w:lang w:val="it-IT"/>
                    </w:rPr>
                  </w:pPr>
                  <w:r w:rsidRPr="007B74B7">
                    <w:rPr>
                      <w:rFonts w:cs="Tahoma"/>
                      <w:szCs w:val="18"/>
                      <w:lang w:val="it-IT"/>
                    </w:rPr>
                    <w:t>4</w:t>
                  </w:r>
                  <w:r w:rsidR="00DE2A23" w:rsidRPr="007B74B7">
                    <w:rPr>
                      <w:rFonts w:cs="Tahoma"/>
                      <w:szCs w:val="18"/>
                      <w:lang w:val="it-IT"/>
                    </w:rPr>
                    <w:t>.</w:t>
                  </w:r>
                  <w:r w:rsidRPr="007B74B7">
                    <w:rPr>
                      <w:rFonts w:cs="Tahoma"/>
                      <w:szCs w:val="18"/>
                      <w:lang w:val="it-IT"/>
                    </w:rPr>
                    <w:t>000</w:t>
                  </w:r>
                </w:p>
              </w:tc>
            </w:tr>
            <w:tr w:rsidR="00AE073B" w:rsidRPr="007B74B7" w:rsidTr="00A772FD">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E073B" w:rsidRPr="007B74B7" w:rsidRDefault="00AE073B" w:rsidP="00A772FD">
                  <w:pPr>
                    <w:jc w:val="center"/>
                    <w:rPr>
                      <w:rFonts w:cs="Tahoma"/>
                      <w:szCs w:val="18"/>
                      <w:lang w:val="it-IT"/>
                    </w:rPr>
                  </w:pPr>
                  <w:r w:rsidRPr="007B74B7">
                    <w:rPr>
                      <w:rFonts w:cs="Tahoma"/>
                      <w:szCs w:val="18"/>
                      <w:lang w:val="it-IT"/>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E073B" w:rsidRPr="007B74B7" w:rsidRDefault="00AE073B" w:rsidP="00DE2A23">
                  <w:pPr>
                    <w:jc w:val="center"/>
                    <w:rPr>
                      <w:rFonts w:cs="Tahoma"/>
                      <w:szCs w:val="18"/>
                      <w:lang w:val="it-IT"/>
                    </w:rPr>
                  </w:pPr>
                  <w:r w:rsidRPr="007B74B7">
                    <w:rPr>
                      <w:rFonts w:cs="Tahoma"/>
                      <w:szCs w:val="18"/>
                      <w:lang w:val="it-IT"/>
                    </w:rPr>
                    <w:t>10</w:t>
                  </w:r>
                  <w:r w:rsidR="00DE2A23" w:rsidRPr="007B74B7">
                    <w:rPr>
                      <w:rFonts w:cs="Tahoma"/>
                      <w:szCs w:val="18"/>
                      <w:lang w:val="it-IT"/>
                    </w:rPr>
                    <w:t>.</w:t>
                  </w:r>
                  <w:r w:rsidRPr="007B74B7">
                    <w:rPr>
                      <w:rFonts w:cs="Tahoma"/>
                      <w:szCs w:val="18"/>
                      <w:lang w:val="it-IT"/>
                    </w:rPr>
                    <w:t>000</w:t>
                  </w:r>
                </w:p>
              </w:tc>
            </w:tr>
            <w:tr w:rsidR="00AE073B" w:rsidRPr="007B74B7" w:rsidTr="00A772FD">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E073B" w:rsidRPr="007B74B7" w:rsidRDefault="00AE073B" w:rsidP="00A772FD">
                  <w:pPr>
                    <w:jc w:val="center"/>
                    <w:rPr>
                      <w:rFonts w:cs="Tahoma"/>
                      <w:szCs w:val="18"/>
                      <w:lang w:val="it-IT"/>
                    </w:rPr>
                  </w:pPr>
                  <w:r w:rsidRPr="007B74B7">
                    <w:rPr>
                      <w:rFonts w:cs="Tahoma"/>
                      <w:szCs w:val="18"/>
                      <w:lang w:val="it-IT"/>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E073B" w:rsidRPr="007B74B7" w:rsidRDefault="00AE073B" w:rsidP="00DE2A23">
                  <w:pPr>
                    <w:jc w:val="center"/>
                    <w:rPr>
                      <w:rFonts w:cs="Tahoma"/>
                      <w:szCs w:val="18"/>
                      <w:lang w:val="it-IT"/>
                    </w:rPr>
                  </w:pPr>
                  <w:r w:rsidRPr="007B74B7">
                    <w:rPr>
                      <w:rFonts w:cs="Tahoma"/>
                      <w:szCs w:val="18"/>
                      <w:lang w:val="it-IT"/>
                    </w:rPr>
                    <w:t>25</w:t>
                  </w:r>
                  <w:r w:rsidR="00DE2A23" w:rsidRPr="007B74B7">
                    <w:rPr>
                      <w:rFonts w:cs="Tahoma"/>
                      <w:szCs w:val="18"/>
                      <w:lang w:val="it-IT"/>
                    </w:rPr>
                    <w:t>.</w:t>
                  </w:r>
                  <w:r w:rsidRPr="007B74B7">
                    <w:rPr>
                      <w:rFonts w:cs="Tahoma"/>
                      <w:szCs w:val="18"/>
                      <w:lang w:val="it-IT"/>
                    </w:rPr>
                    <w:t>000</w:t>
                  </w:r>
                </w:p>
              </w:tc>
            </w:tr>
          </w:tbl>
          <w:p w:rsidR="00230E01" w:rsidRPr="007B74B7" w:rsidRDefault="005B6712" w:rsidP="00DE2A23">
            <w:pPr>
              <w:pStyle w:val="AppendixBodyText"/>
              <w:spacing w:after="0"/>
              <w:ind w:left="605" w:right="720"/>
              <w:rPr>
                <w:rFonts w:ascii="Tahoma" w:hAnsi="Tahoma" w:cs="Tahoma"/>
                <w:color w:val="000000"/>
                <w:sz w:val="18"/>
                <w:szCs w:val="18"/>
                <w:lang w:val="it-IT" w:eastAsia="ja-JP"/>
              </w:rPr>
            </w:pPr>
            <w:r w:rsidRPr="007B74B7">
              <w:rPr>
                <w:rFonts w:ascii="Tahoma" w:hAnsi="Tahoma" w:cs="Times New Roman"/>
                <w:i/>
                <w:sz w:val="16"/>
                <w:lang w:val="it-IT"/>
              </w:rPr>
              <w:t>Nota: qualsiasi punto che la società ha in eccesso rispetto al livello minimo di prezzo verrà riportato all</w:t>
            </w:r>
            <w:r w:rsidR="007A1415" w:rsidRPr="007B74B7">
              <w:rPr>
                <w:rFonts w:ascii="Tahoma" w:hAnsi="Tahoma" w:cs="Times New Roman"/>
                <w:i/>
                <w:sz w:val="16"/>
                <w:lang w:val="it-IT"/>
              </w:rPr>
              <w:t>’</w:t>
            </w:r>
            <w:r w:rsidRPr="007B74B7">
              <w:rPr>
                <w:rFonts w:ascii="Tahoma" w:hAnsi="Tahoma" w:cs="Times New Roman"/>
                <w:i/>
                <w:sz w:val="16"/>
                <w:lang w:val="it-IT"/>
              </w:rPr>
              <w:t>anno successivo per il controllo della conformità di tale anno. Ad esempio, qualora la società abbia 4.500 punti al momento del controllo annuale della conformità, 500 punti verranno riportati all</w:t>
            </w:r>
            <w:r w:rsidR="007A1415" w:rsidRPr="007B74B7">
              <w:rPr>
                <w:rFonts w:ascii="Tahoma" w:hAnsi="Tahoma" w:cs="Times New Roman"/>
                <w:i/>
                <w:sz w:val="16"/>
                <w:lang w:val="it-IT"/>
              </w:rPr>
              <w:t>’</w:t>
            </w:r>
            <w:r w:rsidRPr="007B74B7">
              <w:rPr>
                <w:rFonts w:ascii="Tahoma" w:hAnsi="Tahoma" w:cs="Times New Roman"/>
                <w:i/>
                <w:sz w:val="16"/>
                <w:lang w:val="it-IT"/>
              </w:rPr>
              <w:t>anno successivo per essere utilizzati per la conformità di quell</w:t>
            </w:r>
            <w:r w:rsidR="007A1415" w:rsidRPr="007B74B7">
              <w:rPr>
                <w:rFonts w:ascii="Tahoma" w:hAnsi="Tahoma" w:cs="Times New Roman"/>
                <w:i/>
                <w:sz w:val="16"/>
                <w:lang w:val="it-IT"/>
              </w:rPr>
              <w:t>’</w:t>
            </w:r>
            <w:r w:rsidRPr="007B74B7">
              <w:rPr>
                <w:rFonts w:ascii="Tahoma" w:hAnsi="Tahoma" w:cs="Times New Roman"/>
                <w:i/>
                <w:sz w:val="16"/>
                <w:lang w:val="it-IT"/>
              </w:rPr>
              <w:t>anno.</w:t>
            </w:r>
          </w:p>
        </w:tc>
      </w:tr>
      <w:tr w:rsidR="00456002" w:rsidRPr="007B74B7" w:rsidTr="00E72B9D">
        <w:tc>
          <w:tcPr>
            <w:tcW w:w="2270" w:type="dxa"/>
            <w:shd w:val="clear" w:color="auto" w:fill="auto"/>
          </w:tcPr>
          <w:p w:rsidR="00456002" w:rsidRPr="00BD7CEA" w:rsidRDefault="00456002" w:rsidP="00A70464">
            <w:pPr>
              <w:pStyle w:val="AppendixBodyText"/>
              <w:spacing w:before="60"/>
              <w:ind w:right="720"/>
              <w:rPr>
                <w:rFonts w:ascii="Tahoma" w:hAnsi="Tahoma" w:cs="Tahoma"/>
                <w:b/>
                <w:color w:val="000000"/>
                <w:szCs w:val="18"/>
                <w:lang w:eastAsia="ja-JP"/>
              </w:rPr>
            </w:pPr>
            <w:r w:rsidRPr="00BD7CEA">
              <w:rPr>
                <w:rFonts w:ascii="Tahoma" w:hAnsi="Tahoma" w:cs="Tahoma"/>
                <w:b/>
                <w:color w:val="000000"/>
                <w:szCs w:val="18"/>
              </w:rPr>
              <w:lastRenderedPageBreak/>
              <w:t>School</w:t>
            </w:r>
          </w:p>
        </w:tc>
        <w:tc>
          <w:tcPr>
            <w:tcW w:w="6946" w:type="dxa"/>
            <w:shd w:val="clear" w:color="auto" w:fill="auto"/>
          </w:tcPr>
          <w:p w:rsidR="00456002" w:rsidRPr="007B74B7" w:rsidRDefault="00456002" w:rsidP="00A70464">
            <w:pPr>
              <w:pStyle w:val="AppendixBodyText"/>
              <w:spacing w:before="60"/>
              <w:ind w:right="720"/>
              <w:rPr>
                <w:spacing w:val="-2"/>
                <w:lang w:val="it-IT"/>
              </w:rPr>
            </w:pPr>
            <w:r w:rsidRPr="007B74B7">
              <w:rPr>
                <w:rFonts w:ascii="Tahoma" w:hAnsi="Tahoma" w:cs="Tahoma"/>
                <w:spacing w:val="-2"/>
                <w:sz w:val="18"/>
                <w:lang w:val="it-IT"/>
              </w:rPr>
              <w:t>Il Contratto School</w:t>
            </w:r>
            <w:r w:rsidRPr="007B74B7">
              <w:rPr>
                <w:rFonts w:ascii="Tahoma" w:hAnsi="Tahoma" w:cs="Tahoma"/>
                <w:b/>
                <w:spacing w:val="-2"/>
                <w:sz w:val="18"/>
                <w:lang w:val="it-IT"/>
              </w:rPr>
              <w:t xml:space="preserve"> </w:t>
            </w:r>
            <w:r w:rsidRPr="007B74B7">
              <w:rPr>
                <w:rFonts w:ascii="Tahoma" w:hAnsi="Tahoma" w:cs="Tahoma"/>
                <w:spacing w:val="-2"/>
                <w:sz w:val="18"/>
                <w:lang w:val="it-IT"/>
              </w:rPr>
              <w:t>richiede un ordine minimo di 300 unità.</w:t>
            </w:r>
            <w:r w:rsidR="008D782D" w:rsidRPr="007B74B7">
              <w:rPr>
                <w:rFonts w:ascii="Tahoma" w:hAnsi="Tahoma" w:cs="Tahoma"/>
                <w:spacing w:val="-2"/>
                <w:sz w:val="18"/>
                <w:lang w:val="it-IT"/>
              </w:rPr>
              <w:t xml:space="preserve"> </w:t>
            </w:r>
            <w:r w:rsidRPr="007B74B7">
              <w:rPr>
                <w:rFonts w:ascii="Tahoma" w:hAnsi="Tahoma" w:cs="Tahoma"/>
                <w:spacing w:val="-2"/>
                <w:sz w:val="18"/>
                <w:lang w:val="it-IT"/>
              </w:rPr>
              <w:t>Le unità sono</w:t>
            </w:r>
            <w:r w:rsidR="0057389D" w:rsidRPr="007B74B7">
              <w:rPr>
                <w:rFonts w:ascii="Tahoma" w:hAnsi="Tahoma" w:cs="Tahoma"/>
                <w:spacing w:val="-2"/>
                <w:sz w:val="18"/>
                <w:lang w:val="it-IT"/>
              </w:rPr>
              <w:t> </w:t>
            </w:r>
            <w:r w:rsidRPr="007B74B7">
              <w:rPr>
                <w:rFonts w:ascii="Tahoma" w:hAnsi="Tahoma" w:cs="Tahoma"/>
                <w:spacing w:val="-2"/>
                <w:sz w:val="18"/>
                <w:lang w:val="it-IT"/>
              </w:rPr>
              <w:t>determinate moltiplicando il numero totale di applicazioni, sistemi e</w:t>
            </w:r>
            <w:r w:rsidR="0057389D" w:rsidRPr="007B74B7">
              <w:rPr>
                <w:rFonts w:ascii="Tahoma" w:hAnsi="Tahoma" w:cs="Tahoma"/>
                <w:spacing w:val="-2"/>
                <w:sz w:val="18"/>
                <w:lang w:val="it-IT"/>
              </w:rPr>
              <w:t> </w:t>
            </w:r>
            <w:r w:rsidRPr="007B74B7">
              <w:rPr>
                <w:rFonts w:ascii="Tahoma" w:hAnsi="Tahoma" w:cs="Tahoma"/>
                <w:spacing w:val="-2"/>
                <w:sz w:val="18"/>
                <w:lang w:val="it-IT"/>
              </w:rPr>
              <w:t>CAL selezionati per il numero totale di PC idonei o di Personale non docente/FTE idoneo. Il requisito minimo di ordine potrà variare in base all</w:t>
            </w:r>
            <w:r w:rsidR="007A1415" w:rsidRPr="007B74B7">
              <w:rPr>
                <w:rFonts w:ascii="Tahoma" w:hAnsi="Tahoma" w:cs="Tahoma"/>
                <w:spacing w:val="-2"/>
                <w:sz w:val="18"/>
                <w:lang w:val="it-IT"/>
              </w:rPr>
              <w:t>’</w:t>
            </w:r>
            <w:r w:rsidRPr="007B74B7">
              <w:rPr>
                <w:rFonts w:ascii="Tahoma" w:hAnsi="Tahoma" w:cs="Tahoma"/>
                <w:spacing w:val="-2"/>
                <w:sz w:val="18"/>
                <w:lang w:val="it-IT"/>
              </w:rPr>
              <w:t>area geografica.</w:t>
            </w:r>
          </w:p>
          <w:p w:rsidR="00406CB0" w:rsidRPr="007B74B7" w:rsidRDefault="00406CB0" w:rsidP="00A70464">
            <w:pPr>
              <w:pStyle w:val="AppendixBodyText"/>
              <w:spacing w:after="0"/>
              <w:ind w:right="720"/>
              <w:rPr>
                <w:rFonts w:ascii="Tahoma" w:hAnsi="Tahoma" w:cs="Tahoma"/>
                <w:sz w:val="18"/>
                <w:szCs w:val="18"/>
                <w:lang w:val="it-IT"/>
              </w:rPr>
            </w:pPr>
          </w:p>
          <w:p w:rsidR="00456002" w:rsidRPr="007B74B7" w:rsidRDefault="00456002" w:rsidP="00230E01">
            <w:pPr>
              <w:tabs>
                <w:tab w:val="left" w:pos="8640"/>
              </w:tabs>
              <w:ind w:right="720"/>
              <w:rPr>
                <w:lang w:val="it-IT"/>
              </w:rPr>
            </w:pPr>
            <w:r w:rsidRPr="007B74B7">
              <w:rPr>
                <w:rFonts w:cs="Tahoma"/>
                <w:b/>
                <w:bCs/>
                <w:color w:val="000000"/>
                <w:szCs w:val="20"/>
                <w:lang w:val="it-IT"/>
              </w:rPr>
              <w:t>Nota:</w:t>
            </w:r>
            <w:r w:rsidRPr="007B74B7">
              <w:rPr>
                <w:rFonts w:cs="Tahoma"/>
                <w:color w:val="000000"/>
                <w:szCs w:val="20"/>
                <w:lang w:val="it-IT"/>
              </w:rPr>
              <w:t xml:space="preserve"> Le società in possesso del Contratto School non sono idonee a</w:t>
            </w:r>
            <w:r w:rsidR="0057389D" w:rsidRPr="007B74B7">
              <w:rPr>
                <w:rFonts w:cs="Tahoma"/>
                <w:color w:val="000000"/>
                <w:szCs w:val="20"/>
                <w:lang w:val="it-IT"/>
              </w:rPr>
              <w:t> </w:t>
            </w:r>
            <w:r w:rsidRPr="007B74B7">
              <w:rPr>
                <w:rFonts w:cs="Tahoma"/>
                <w:color w:val="000000"/>
                <w:szCs w:val="20"/>
                <w:lang w:val="it-IT"/>
              </w:rPr>
              <w:t xml:space="preserve">scegliere prodotti applicativi, di sistema, con Licenza “Subscription” (utente/dispositivo) e CAL solo per una parte dei PC inclusi nella sottoscrizione, </w:t>
            </w:r>
            <w:r w:rsidRPr="007B74B7">
              <w:rPr>
                <w:rFonts w:cs="Tahoma"/>
                <w:color w:val="000000"/>
                <w:szCs w:val="18"/>
                <w:lang w:val="it-IT"/>
              </w:rPr>
              <w:t>se non dichiarato espressamente nelle Note relative alle Condizioni del Prodotto contenute nella Lista dei Prodotti</w:t>
            </w:r>
            <w:r w:rsidRPr="007B74B7">
              <w:rPr>
                <w:rFonts w:cs="Tahoma"/>
                <w:color w:val="000000"/>
                <w:szCs w:val="20"/>
                <w:lang w:val="it-IT"/>
              </w:rPr>
              <w:t>. Ad esempio, qualora la sottoscrizione comprenda la totalità dei PC, i prodotti applicativi, di sistema, con Licenza “Subscription” (utente/dispositivo) e CAL selezionati riguarderanno tutti i PC, anche nel caso in cui un particolare prodotto venga eseguito su un solo componente di tali PC.</w:t>
            </w:r>
          </w:p>
          <w:p w:rsidR="00230E01" w:rsidRPr="007B74B7" w:rsidRDefault="00230E01" w:rsidP="00230E01">
            <w:pPr>
              <w:tabs>
                <w:tab w:val="left" w:pos="8640"/>
              </w:tabs>
              <w:ind w:right="720"/>
              <w:rPr>
                <w:rFonts w:cs="Tahoma"/>
                <w:color w:val="000000"/>
                <w:szCs w:val="20"/>
                <w:lang w:val="it-IT" w:eastAsia="ja-JP"/>
              </w:rPr>
            </w:pPr>
          </w:p>
        </w:tc>
      </w:tr>
      <w:tr w:rsidR="00456002" w:rsidRPr="007B74B7" w:rsidTr="00E72B9D">
        <w:tc>
          <w:tcPr>
            <w:tcW w:w="2270" w:type="dxa"/>
            <w:shd w:val="clear" w:color="auto" w:fill="auto"/>
          </w:tcPr>
          <w:p w:rsidR="00456002" w:rsidRPr="007B74B7" w:rsidRDefault="00456002" w:rsidP="0057389D">
            <w:pPr>
              <w:pStyle w:val="AppendixBodyText"/>
              <w:spacing w:before="60"/>
              <w:ind w:right="720"/>
              <w:rPr>
                <w:rFonts w:ascii="Tahoma" w:hAnsi="Tahoma" w:cs="Tahoma"/>
                <w:b/>
                <w:color w:val="000000"/>
                <w:sz w:val="18"/>
                <w:szCs w:val="18"/>
                <w:lang w:val="it-IT" w:eastAsia="ja-JP"/>
              </w:rPr>
            </w:pPr>
            <w:r w:rsidRPr="007B74B7">
              <w:rPr>
                <w:rFonts w:ascii="Tahoma" w:hAnsi="Tahoma" w:cs="Tahoma"/>
                <w:b/>
                <w:lang w:val="it-IT"/>
              </w:rPr>
              <w:t>Contratto Enterprise e</w:t>
            </w:r>
            <w:r w:rsidR="0057389D" w:rsidRPr="007B74B7">
              <w:rPr>
                <w:rFonts w:ascii="Tahoma" w:hAnsi="Tahoma" w:cs="Tahoma"/>
                <w:b/>
                <w:lang w:val="it-IT"/>
              </w:rPr>
              <w:t> </w:t>
            </w:r>
            <w:r w:rsidRPr="007B74B7">
              <w:rPr>
                <w:rFonts w:ascii="Tahoma" w:hAnsi="Tahoma" w:cs="Tahoma"/>
                <w:b/>
                <w:lang w:val="it-IT"/>
              </w:rPr>
              <w:t>Contratto Enterprise Subscription</w:t>
            </w:r>
          </w:p>
        </w:tc>
        <w:tc>
          <w:tcPr>
            <w:tcW w:w="6946" w:type="dxa"/>
            <w:shd w:val="clear" w:color="auto" w:fill="auto"/>
          </w:tcPr>
          <w:p w:rsidR="00456002" w:rsidRPr="007B74B7" w:rsidRDefault="00456002" w:rsidP="00A70464">
            <w:pPr>
              <w:spacing w:before="60"/>
              <w:rPr>
                <w:lang w:val="it-IT"/>
              </w:rPr>
            </w:pPr>
            <w:r w:rsidRPr="007B74B7">
              <w:rPr>
                <w:lang w:val="it-IT"/>
              </w:rPr>
              <w:t>Il Contratto Enterprise (EA) e il Contratto Enterprise Subscription (ESA) richiedono almeno 250 Dispositivi/Desktop Qualificati o Utenti Qualificati.</w:t>
            </w:r>
          </w:p>
          <w:p w:rsidR="00456002" w:rsidRPr="007B74B7" w:rsidRDefault="00456002" w:rsidP="00A70464">
            <w:pPr>
              <w:rPr>
                <w:szCs w:val="18"/>
                <w:lang w:val="it-IT"/>
              </w:rPr>
            </w:pPr>
          </w:p>
          <w:p w:rsidR="0091793D" w:rsidRPr="007B74B7" w:rsidRDefault="0091793D" w:rsidP="004B6D8C">
            <w:pPr>
              <w:spacing w:after="60"/>
              <w:rPr>
                <w:lang w:val="it-IT"/>
              </w:rPr>
            </w:pPr>
            <w:r w:rsidRPr="007B74B7">
              <w:rPr>
                <w:b/>
                <w:lang w:val="it-IT"/>
              </w:rPr>
              <w:t>Dispositivi/Desktop Qualificati</w:t>
            </w:r>
          </w:p>
          <w:p w:rsidR="0091793D" w:rsidRPr="007B74B7" w:rsidRDefault="0091793D" w:rsidP="00003D41">
            <w:pPr>
              <w:rPr>
                <w:lang w:val="it-IT"/>
              </w:rPr>
            </w:pPr>
            <w:bookmarkStart w:id="670" w:name="_Toc323159729"/>
            <w:bookmarkStart w:id="671" w:name="_Toc325313134"/>
            <w:bookmarkStart w:id="672" w:name="_Toc325609169"/>
            <w:r w:rsidRPr="007B74B7">
              <w:rPr>
                <w:lang w:val="it-IT"/>
              </w:rPr>
              <w:t xml:space="preserve">Nonostante quanto diversamente stabilito nel Contratto Multilicenza, </w:t>
            </w:r>
            <w:r w:rsidR="0057389D" w:rsidRPr="007B74B7">
              <w:rPr>
                <w:lang w:val="it-IT"/>
              </w:rPr>
              <w:t>I </w:t>
            </w:r>
            <w:r w:rsidRPr="007B74B7">
              <w:rPr>
                <w:lang w:val="it-IT"/>
              </w:rPr>
              <w:t xml:space="preserve">Dispositivi/Desktop Qualificati non includono </w:t>
            </w:r>
            <w:r w:rsidRPr="007B74B7">
              <w:rPr>
                <w:iCs/>
                <w:lang w:val="it-IT"/>
              </w:rPr>
              <w:t>dispositivi di terzi qualificanti</w:t>
            </w:r>
            <w:r w:rsidRPr="007B74B7">
              <w:rPr>
                <w:lang w:val="it-IT"/>
              </w:rPr>
              <w:t xml:space="preserve"> tramite </w:t>
            </w:r>
            <w:r w:rsidR="0057389D" w:rsidRPr="007B74B7">
              <w:rPr>
                <w:lang w:val="it-IT"/>
              </w:rPr>
              <w:t>I </w:t>
            </w:r>
            <w:r w:rsidRPr="007B74B7">
              <w:rPr>
                <w:lang w:val="it-IT"/>
              </w:rPr>
              <w:t>quali gli utenti possono accedere e utilizzare il software esclusivamente ai sensi dei Diritti di Utilizzo del Roaming applicabili a:</w:t>
            </w:r>
            <w:bookmarkEnd w:id="670"/>
            <w:bookmarkEnd w:id="671"/>
            <w:bookmarkEnd w:id="672"/>
          </w:p>
          <w:p w:rsidR="00456002" w:rsidRPr="007B74B7" w:rsidRDefault="00456002" w:rsidP="00A70464">
            <w:pPr>
              <w:rPr>
                <w:sz w:val="16"/>
                <w:szCs w:val="16"/>
                <w:lang w:val="it-IT"/>
              </w:rPr>
            </w:pPr>
          </w:p>
          <w:p w:rsidR="00406CB0" w:rsidRPr="00BD7CEA" w:rsidRDefault="00456002" w:rsidP="007358C5">
            <w:pPr>
              <w:numPr>
                <w:ilvl w:val="0"/>
                <w:numId w:val="63"/>
              </w:numPr>
              <w:spacing w:after="60"/>
            </w:pPr>
            <w:r w:rsidRPr="00BD7CEA">
              <w:t xml:space="preserve">Windows Software Assurance, </w:t>
            </w:r>
          </w:p>
          <w:p w:rsidR="00456002" w:rsidRPr="00BD7CEA" w:rsidRDefault="00456002" w:rsidP="007358C5">
            <w:pPr>
              <w:numPr>
                <w:ilvl w:val="0"/>
                <w:numId w:val="63"/>
              </w:numPr>
              <w:spacing w:after="60"/>
            </w:pPr>
            <w:r w:rsidRPr="00BD7CEA">
              <w:t xml:space="preserve">Windows Virtual Desktop Access, </w:t>
            </w:r>
          </w:p>
          <w:p w:rsidR="00456002" w:rsidRPr="00BD7CEA" w:rsidRDefault="00456002" w:rsidP="007358C5">
            <w:pPr>
              <w:numPr>
                <w:ilvl w:val="0"/>
                <w:numId w:val="63"/>
              </w:numPr>
              <w:spacing w:after="60"/>
            </w:pPr>
            <w:r w:rsidRPr="00BD7CEA">
              <w:t xml:space="preserve">Virtual Desktop Infrastructure Suite, </w:t>
            </w:r>
          </w:p>
          <w:p w:rsidR="00456002" w:rsidRPr="00BD7CEA" w:rsidRDefault="00456002" w:rsidP="007358C5">
            <w:pPr>
              <w:numPr>
                <w:ilvl w:val="0"/>
                <w:numId w:val="63"/>
              </w:numPr>
              <w:spacing w:after="60"/>
            </w:pPr>
            <w:r w:rsidRPr="00BD7CEA">
              <w:t xml:space="preserve">MDOP per Software Assurance e </w:t>
            </w:r>
          </w:p>
          <w:p w:rsidR="00456002" w:rsidRPr="007B74B7" w:rsidRDefault="00456002" w:rsidP="007358C5">
            <w:pPr>
              <w:numPr>
                <w:ilvl w:val="0"/>
                <w:numId w:val="63"/>
              </w:numPr>
              <w:spacing w:after="60"/>
              <w:rPr>
                <w:lang w:val="it-IT"/>
              </w:rPr>
            </w:pPr>
            <w:r w:rsidRPr="007B74B7">
              <w:rPr>
                <w:lang w:val="it-IT"/>
              </w:rPr>
              <w:t>Software Assurance per tutte le versioni di Office, Project e Visio che includono i Diritti di Utilizzo Roaming.</w:t>
            </w:r>
            <w:r w:rsidR="008D782D" w:rsidRPr="007B74B7">
              <w:rPr>
                <w:lang w:val="it-IT"/>
              </w:rPr>
              <w:t xml:space="preserve"> </w:t>
            </w:r>
          </w:p>
          <w:p w:rsidR="00456002" w:rsidRPr="007B74B7" w:rsidRDefault="00456002" w:rsidP="00A70464">
            <w:pPr>
              <w:rPr>
                <w:sz w:val="16"/>
                <w:szCs w:val="16"/>
                <w:lang w:val="it-IT"/>
              </w:rPr>
            </w:pPr>
          </w:p>
          <w:p w:rsidR="00456002" w:rsidRPr="007B74B7" w:rsidRDefault="00456002" w:rsidP="00003D41">
            <w:pPr>
              <w:rPr>
                <w:lang w:val="it-IT"/>
              </w:rPr>
            </w:pPr>
            <w:bookmarkStart w:id="673" w:name="_Toc323159730"/>
            <w:bookmarkStart w:id="674" w:name="_Toc325313135"/>
            <w:bookmarkStart w:id="675" w:name="_Toc325609170"/>
            <w:r w:rsidRPr="007B74B7">
              <w:rPr>
                <w:lang w:val="it-IT"/>
              </w:rPr>
              <w:t>Un “dispositivo di terzi qualificante” è un dispositivo non controllato, direttamente o</w:t>
            </w:r>
            <w:r w:rsidR="0057389D" w:rsidRPr="007B74B7">
              <w:rPr>
                <w:lang w:val="it-IT"/>
              </w:rPr>
              <w:t> </w:t>
            </w:r>
            <w:r w:rsidRPr="007B74B7">
              <w:rPr>
                <w:lang w:val="it-IT"/>
              </w:rPr>
              <w:t>indirettamente, dal licenziatario o dalle sue consociate (ad esempio un chiosco pubblico di terzi). Per ulteriori informazioni, vedere i Diritti di Utilizzo del Prodotto.</w:t>
            </w:r>
            <w:bookmarkEnd w:id="673"/>
            <w:bookmarkEnd w:id="674"/>
            <w:bookmarkEnd w:id="675"/>
          </w:p>
          <w:p w:rsidR="00456002" w:rsidRPr="007B74B7" w:rsidRDefault="00456002" w:rsidP="00E64551">
            <w:pPr>
              <w:pStyle w:val="Heading3"/>
              <w:ind w:left="70"/>
              <w:rPr>
                <w:sz w:val="16"/>
                <w:szCs w:val="16"/>
                <w:lang w:val="it-IT"/>
              </w:rPr>
            </w:pPr>
          </w:p>
          <w:p w:rsidR="0091793D" w:rsidRPr="007B74B7" w:rsidRDefault="0091793D" w:rsidP="004B6D8C">
            <w:pPr>
              <w:spacing w:after="60"/>
              <w:rPr>
                <w:lang w:val="it-IT"/>
              </w:rPr>
            </w:pPr>
            <w:r w:rsidRPr="007B74B7">
              <w:rPr>
                <w:b/>
                <w:lang w:val="it-IT"/>
              </w:rPr>
              <w:t xml:space="preserve">Esenzioni degli Utenti Qualificati </w:t>
            </w:r>
          </w:p>
          <w:p w:rsidR="00456002" w:rsidRPr="007B74B7" w:rsidRDefault="00456002" w:rsidP="004B6D8C">
            <w:pPr>
              <w:pStyle w:val="AppendixBodyText"/>
              <w:ind w:right="720"/>
              <w:rPr>
                <w:lang w:val="it-IT"/>
              </w:rPr>
            </w:pPr>
            <w:r w:rsidRPr="007B74B7">
              <w:rPr>
                <w:rFonts w:ascii="Tahoma" w:hAnsi="Tahoma" w:cs="Tahoma"/>
                <w:sz w:val="18"/>
                <w:lang w:val="it-IT"/>
              </w:rPr>
              <w:t>Una persona che accede al software server o ai servizi online unicamente con le licenze identificate nel seguente elenco viene esentata dall</w:t>
            </w:r>
            <w:r w:rsidR="007A1415" w:rsidRPr="007B74B7">
              <w:rPr>
                <w:rFonts w:ascii="Tahoma" w:hAnsi="Tahoma" w:cs="Tahoma"/>
                <w:sz w:val="18"/>
                <w:lang w:val="it-IT"/>
              </w:rPr>
              <w:t>’</w:t>
            </w:r>
            <w:r w:rsidRPr="007B74B7">
              <w:rPr>
                <w:rFonts w:ascii="Tahoma" w:hAnsi="Tahoma" w:cs="Tahoma"/>
                <w:sz w:val="18"/>
                <w:lang w:val="it-IT"/>
              </w:rPr>
              <w:t>essere conteggiata come Utente Qualificato:</w:t>
            </w:r>
          </w:p>
          <w:p w:rsidR="00456002" w:rsidRPr="007B74B7" w:rsidRDefault="00456002" w:rsidP="00A70464">
            <w:pPr>
              <w:pStyle w:val="AppendixBodyText"/>
              <w:spacing w:after="0"/>
              <w:ind w:right="720"/>
              <w:rPr>
                <w:sz w:val="16"/>
                <w:szCs w:val="16"/>
                <w:lang w:val="it-IT"/>
              </w:rPr>
            </w:pPr>
          </w:p>
          <w:p w:rsidR="00456002" w:rsidRPr="007B74B7" w:rsidRDefault="00456002" w:rsidP="007358C5">
            <w:pPr>
              <w:numPr>
                <w:ilvl w:val="0"/>
                <w:numId w:val="63"/>
              </w:numPr>
              <w:spacing w:after="60"/>
              <w:rPr>
                <w:lang w:val="it-IT"/>
              </w:rPr>
            </w:pPr>
            <w:r w:rsidRPr="007B74B7">
              <w:rPr>
                <w:lang w:val="it-IT"/>
              </w:rPr>
              <w:t>Licenza “Subscription” Utente (USL) per Office 365 Enterprise K1 o K2</w:t>
            </w:r>
          </w:p>
          <w:p w:rsidR="00456002" w:rsidRPr="00BD7CEA" w:rsidRDefault="00456002" w:rsidP="007358C5">
            <w:pPr>
              <w:numPr>
                <w:ilvl w:val="0"/>
                <w:numId w:val="63"/>
              </w:numPr>
              <w:spacing w:after="60"/>
            </w:pPr>
            <w:r w:rsidRPr="00BD7CEA">
              <w:t>USL Chiosco SharePoint</w:t>
            </w:r>
          </w:p>
          <w:p w:rsidR="00456002" w:rsidRPr="00BD7CEA" w:rsidRDefault="00456002" w:rsidP="007358C5">
            <w:pPr>
              <w:numPr>
                <w:ilvl w:val="0"/>
                <w:numId w:val="63"/>
              </w:numPr>
              <w:spacing w:after="60"/>
            </w:pPr>
            <w:r w:rsidRPr="00BD7CEA">
              <w:t>USL Chiosco Exchange Online</w:t>
            </w:r>
          </w:p>
          <w:p w:rsidR="00456002" w:rsidRPr="007B74B7" w:rsidRDefault="00456002" w:rsidP="007358C5">
            <w:pPr>
              <w:numPr>
                <w:ilvl w:val="0"/>
                <w:numId w:val="63"/>
              </w:numPr>
              <w:spacing w:after="60"/>
              <w:rPr>
                <w:lang w:val="it-IT"/>
              </w:rPr>
            </w:pPr>
            <w:r w:rsidRPr="007B74B7">
              <w:rPr>
                <w:lang w:val="it-IT"/>
              </w:rPr>
              <w:t xml:space="preserve">Le licenze per i prodotti software server o i servizi online che non richiedono licenze individuali per gli utenti o i dispositivi che accedono </w:t>
            </w:r>
            <w:r w:rsidR="0057389D" w:rsidRPr="007B74B7">
              <w:rPr>
                <w:lang w:val="it-IT"/>
              </w:rPr>
              <w:br/>
            </w:r>
            <w:r w:rsidRPr="007B74B7">
              <w:rPr>
                <w:lang w:val="it-IT"/>
              </w:rPr>
              <w:t>a tali prodotti o servizi online (come le Client Access License, le Licenze di</w:t>
            </w:r>
            <w:r w:rsidR="0057389D" w:rsidRPr="007B74B7">
              <w:rPr>
                <w:lang w:val="it-IT"/>
              </w:rPr>
              <w:t> </w:t>
            </w:r>
            <w:r w:rsidRPr="007B74B7">
              <w:rPr>
                <w:lang w:val="it-IT"/>
              </w:rPr>
              <w:t>Gestione Client, nonché le licenze USL e DSL).</w:t>
            </w:r>
          </w:p>
          <w:p w:rsidR="00456002" w:rsidRPr="00BD7CEA" w:rsidRDefault="00456002" w:rsidP="007358C5">
            <w:pPr>
              <w:numPr>
                <w:ilvl w:val="0"/>
                <w:numId w:val="63"/>
              </w:numPr>
              <w:spacing w:after="60"/>
            </w:pPr>
            <w:r w:rsidRPr="00BD7CEA">
              <w:t>Qualunque Licenza External Connector</w:t>
            </w:r>
          </w:p>
          <w:p w:rsidR="00456002" w:rsidRPr="00BD7CEA" w:rsidRDefault="00456002" w:rsidP="00A70464">
            <w:pPr>
              <w:pStyle w:val="AppendixBodyText"/>
              <w:spacing w:after="0"/>
              <w:ind w:right="720"/>
              <w:rPr>
                <w:sz w:val="16"/>
                <w:szCs w:val="16"/>
              </w:rPr>
            </w:pPr>
          </w:p>
          <w:p w:rsidR="00230E01" w:rsidRPr="007B74B7" w:rsidRDefault="00456002" w:rsidP="007D0849">
            <w:pPr>
              <w:pStyle w:val="AppendixBodyText"/>
              <w:spacing w:after="0"/>
              <w:ind w:right="720"/>
              <w:rPr>
                <w:rFonts w:ascii="Tahoma" w:hAnsi="Tahoma" w:cs="Tahoma"/>
                <w:sz w:val="18"/>
                <w:lang w:val="it-IT" w:eastAsia="ja-JP"/>
              </w:rPr>
            </w:pPr>
            <w:r w:rsidRPr="007B74B7">
              <w:rPr>
                <w:rFonts w:ascii="Tahoma" w:hAnsi="Tahoma" w:cs="Tahoma"/>
                <w:sz w:val="18"/>
                <w:lang w:val="it-IT"/>
              </w:rPr>
              <w:t>Queste esenzioni per gli Utenti Qualificati si applicano a tutte le società che abbiano stipulato contratti EA ed ESA, indipendentemente dal fatto che le</w:t>
            </w:r>
            <w:r w:rsidR="0057389D" w:rsidRPr="007B74B7">
              <w:rPr>
                <w:rFonts w:ascii="Tahoma" w:hAnsi="Tahoma" w:cs="Tahoma"/>
                <w:sz w:val="18"/>
                <w:lang w:val="it-IT"/>
              </w:rPr>
              <w:t> </w:t>
            </w:r>
            <w:r w:rsidRPr="007B74B7">
              <w:rPr>
                <w:rFonts w:ascii="Tahoma" w:hAnsi="Tahoma" w:cs="Tahoma"/>
                <w:sz w:val="18"/>
                <w:lang w:val="it-IT"/>
              </w:rPr>
              <w:t>esenzioni per gli Utenti Qualificati siano contemplate o meno nelle condizioni dei contratti delle società.</w:t>
            </w:r>
            <w:r w:rsidR="007D0849" w:rsidRPr="007B74B7">
              <w:rPr>
                <w:rFonts w:ascii="Tahoma" w:hAnsi="Tahoma" w:cs="Tahoma"/>
                <w:sz w:val="18"/>
                <w:lang w:val="it-IT" w:eastAsia="ja-JP"/>
              </w:rPr>
              <w:t xml:space="preserve"> </w:t>
            </w:r>
          </w:p>
        </w:tc>
      </w:tr>
      <w:tr w:rsidR="00456002" w:rsidRPr="007B74B7" w:rsidTr="00E72B9D">
        <w:tc>
          <w:tcPr>
            <w:tcW w:w="2270" w:type="dxa"/>
            <w:shd w:val="clear" w:color="auto" w:fill="auto"/>
          </w:tcPr>
          <w:p w:rsidR="00456002" w:rsidRPr="00BD7CEA" w:rsidRDefault="00456002" w:rsidP="00A70464">
            <w:pPr>
              <w:pStyle w:val="AppendixBodyText"/>
              <w:spacing w:before="60"/>
              <w:ind w:right="720"/>
              <w:rPr>
                <w:rFonts w:ascii="Tahoma" w:hAnsi="Tahoma" w:cs="Tahoma"/>
                <w:b/>
                <w:lang w:eastAsia="ja-JP"/>
              </w:rPr>
            </w:pPr>
            <w:r w:rsidRPr="00BD7CEA">
              <w:rPr>
                <w:rFonts w:ascii="Tahoma" w:hAnsi="Tahoma" w:cs="Tahoma"/>
                <w:b/>
                <w:color w:val="000000"/>
                <w:szCs w:val="18"/>
              </w:rPr>
              <w:lastRenderedPageBreak/>
              <w:t>EES</w:t>
            </w:r>
          </w:p>
        </w:tc>
        <w:tc>
          <w:tcPr>
            <w:tcW w:w="6946" w:type="dxa"/>
            <w:shd w:val="clear" w:color="auto" w:fill="auto"/>
          </w:tcPr>
          <w:p w:rsidR="00456002" w:rsidRPr="007B74B7" w:rsidRDefault="00456002" w:rsidP="00A70464">
            <w:pPr>
              <w:pStyle w:val="ListParagraph"/>
              <w:spacing w:before="60"/>
              <w:ind w:left="0"/>
              <w:contextualSpacing w:val="0"/>
              <w:rPr>
                <w:lang w:val="it-IT"/>
              </w:rPr>
            </w:pPr>
            <w:r w:rsidRPr="007B74B7">
              <w:rPr>
                <w:rFonts w:ascii="Tahoma" w:hAnsi="Tahoma" w:cs="Tahoma"/>
                <w:sz w:val="18"/>
                <w:szCs w:val="18"/>
                <w:lang w:val="it-IT"/>
              </w:rPr>
              <w:t>EES richiede un ordine minimo, come specificato di seguito:</w:t>
            </w:r>
            <w:r w:rsidR="008D782D" w:rsidRPr="007B74B7">
              <w:rPr>
                <w:rFonts w:ascii="Tahoma" w:hAnsi="Tahoma" w:cs="Tahoma"/>
                <w:sz w:val="18"/>
                <w:szCs w:val="18"/>
                <w:lang w:val="it-IT"/>
              </w:rPr>
              <w:t xml:space="preserve"> </w:t>
            </w:r>
          </w:p>
          <w:p w:rsidR="00406CB0" w:rsidRPr="007B74B7" w:rsidRDefault="00406CB0" w:rsidP="00A70464">
            <w:pPr>
              <w:pStyle w:val="ListParagraph"/>
              <w:ind w:left="0"/>
              <w:contextualSpacing w:val="0"/>
              <w:rPr>
                <w:lang w:val="it-IT"/>
              </w:rPr>
            </w:pPr>
          </w:p>
          <w:p w:rsidR="00456002" w:rsidRPr="007B74B7" w:rsidRDefault="00456002" w:rsidP="007358C5">
            <w:pPr>
              <w:numPr>
                <w:ilvl w:val="0"/>
                <w:numId w:val="63"/>
              </w:numPr>
              <w:spacing w:after="60"/>
              <w:rPr>
                <w:lang w:val="it-IT"/>
              </w:rPr>
            </w:pPr>
            <w:r w:rsidRPr="007B74B7">
              <w:rPr>
                <w:lang w:val="it-IT"/>
              </w:rPr>
              <w:t>almeno un Prodotto della Piattaforma Desktop per un Numero dell</w:t>
            </w:r>
            <w:r w:rsidR="007A1415" w:rsidRPr="007B74B7">
              <w:rPr>
                <w:lang w:val="it-IT"/>
              </w:rPr>
              <w:t>’</w:t>
            </w:r>
            <w:r w:rsidRPr="007B74B7">
              <w:rPr>
                <w:lang w:val="it-IT"/>
              </w:rPr>
              <w:t>intera organizzazione di almeno 1000 O</w:t>
            </w:r>
          </w:p>
          <w:p w:rsidR="00456002" w:rsidRPr="007B74B7" w:rsidRDefault="00456002" w:rsidP="007358C5">
            <w:pPr>
              <w:numPr>
                <w:ilvl w:val="0"/>
                <w:numId w:val="63"/>
              </w:numPr>
              <w:spacing w:after="60"/>
              <w:rPr>
                <w:lang w:val="it-IT"/>
              </w:rPr>
            </w:pPr>
            <w:r w:rsidRPr="007B74B7">
              <w:rPr>
                <w:lang w:val="it-IT"/>
              </w:rPr>
              <w:t>almeno un Servizio Online della Piattaforma per il Personale Docente/Non Docente su una quantità di 1000 O</w:t>
            </w:r>
          </w:p>
          <w:p w:rsidR="00456002" w:rsidRPr="007B74B7" w:rsidRDefault="00456002" w:rsidP="007358C5">
            <w:pPr>
              <w:numPr>
                <w:ilvl w:val="0"/>
                <w:numId w:val="63"/>
              </w:numPr>
              <w:spacing w:after="60"/>
              <w:rPr>
                <w:lang w:val="it-IT"/>
              </w:rPr>
            </w:pPr>
            <w:r w:rsidRPr="007B74B7">
              <w:rPr>
                <w:lang w:val="it-IT"/>
              </w:rPr>
              <w:t>almeno un Prodotto della Piattaforma Desktop per un Numero degli Studenti di almeno 1000 O</w:t>
            </w:r>
          </w:p>
          <w:p w:rsidR="00456002" w:rsidRPr="007B74B7" w:rsidRDefault="00456002" w:rsidP="007358C5">
            <w:pPr>
              <w:numPr>
                <w:ilvl w:val="0"/>
                <w:numId w:val="63"/>
              </w:numPr>
              <w:spacing w:after="60"/>
              <w:rPr>
                <w:lang w:val="it-IT"/>
              </w:rPr>
            </w:pPr>
            <w:r w:rsidRPr="007B74B7">
              <w:rPr>
                <w:lang w:val="it-IT"/>
              </w:rPr>
              <w:t xml:space="preserve">almeno un Servizio Online della Piattaforma per gli Studenti su una quantità di 1000 O </w:t>
            </w:r>
          </w:p>
          <w:p w:rsidR="00456002" w:rsidRPr="007B74B7" w:rsidRDefault="00456002" w:rsidP="00A70464">
            <w:pPr>
              <w:rPr>
                <w:lang w:val="it-IT"/>
              </w:rPr>
            </w:pPr>
            <w:r w:rsidRPr="007B74B7">
              <w:rPr>
                <w:rFonts w:cs="Tahoma"/>
                <w:bCs/>
                <w:color w:val="000000"/>
                <w:szCs w:val="18"/>
                <w:lang w:val="it-IT"/>
              </w:rPr>
              <w:t xml:space="preserve"> </w:t>
            </w:r>
          </w:p>
          <w:p w:rsidR="00A9013C" w:rsidRPr="007B74B7" w:rsidRDefault="00456002" w:rsidP="005C647E">
            <w:pPr>
              <w:rPr>
                <w:lang w:val="it-IT"/>
              </w:rPr>
            </w:pPr>
            <w:r w:rsidRPr="007B74B7">
              <w:rPr>
                <w:rFonts w:cs="Tahoma"/>
                <w:b/>
                <w:color w:val="000000"/>
                <w:szCs w:val="18"/>
                <w:lang w:val="it-IT"/>
              </w:rPr>
              <w:t>Nota:</w:t>
            </w:r>
            <w:r w:rsidRPr="007B74B7">
              <w:rPr>
                <w:rFonts w:cs="Tahoma"/>
                <w:color w:val="000000"/>
                <w:szCs w:val="18"/>
                <w:lang w:val="it-IT"/>
              </w:rPr>
              <w:t xml:space="preserve"> è possibile ignorare il requisito di quantità per l</w:t>
            </w:r>
            <w:r w:rsidR="007A1415" w:rsidRPr="007B74B7">
              <w:rPr>
                <w:rFonts w:cs="Tahoma"/>
                <w:color w:val="000000"/>
                <w:szCs w:val="18"/>
                <w:lang w:val="it-IT"/>
              </w:rPr>
              <w:t>’</w:t>
            </w:r>
            <w:r w:rsidRPr="007B74B7">
              <w:rPr>
                <w:rFonts w:cs="Tahoma"/>
                <w:color w:val="000000"/>
                <w:szCs w:val="18"/>
                <w:lang w:val="it-IT"/>
              </w:rPr>
              <w:t>ordine nel caso in cui venga fornita un</w:t>
            </w:r>
            <w:r w:rsidR="007A1415" w:rsidRPr="007B74B7">
              <w:rPr>
                <w:rFonts w:cs="Tahoma"/>
                <w:color w:val="000000"/>
                <w:szCs w:val="18"/>
                <w:lang w:val="it-IT"/>
              </w:rPr>
              <w:t>’</w:t>
            </w:r>
            <w:r w:rsidRPr="007B74B7">
              <w:rPr>
                <w:rFonts w:cs="Tahoma"/>
                <w:color w:val="000000"/>
                <w:szCs w:val="18"/>
                <w:lang w:val="it-IT"/>
              </w:rPr>
              <w:t>iscrizione qualificante.</w:t>
            </w:r>
          </w:p>
          <w:p w:rsidR="00406CB0" w:rsidRPr="007B74B7" w:rsidRDefault="00406CB0" w:rsidP="005C647E">
            <w:pPr>
              <w:rPr>
                <w:lang w:val="it-IT"/>
              </w:rPr>
            </w:pPr>
          </w:p>
          <w:p w:rsidR="00822871" w:rsidRPr="007B74B7" w:rsidRDefault="00A9013C" w:rsidP="00230E01">
            <w:pPr>
              <w:rPr>
                <w:spacing w:val="-2"/>
                <w:lang w:val="it-IT"/>
              </w:rPr>
            </w:pPr>
            <w:r w:rsidRPr="007B74B7">
              <w:rPr>
                <w:rFonts w:cs="Tahoma"/>
                <w:b/>
                <w:color w:val="000000"/>
                <w:spacing w:val="-2"/>
                <w:szCs w:val="18"/>
                <w:lang w:val="it-IT"/>
              </w:rPr>
              <w:t xml:space="preserve">Nota: </w:t>
            </w:r>
            <w:r w:rsidRPr="007B74B7">
              <w:rPr>
                <w:rFonts w:cs="Tahoma"/>
                <w:color w:val="000000"/>
                <w:spacing w:val="-2"/>
                <w:szCs w:val="18"/>
                <w:lang w:val="it-IT"/>
              </w:rPr>
              <w:t>le licenze CAL (Client Access License) acquistate ai sensi del contratto Enrollment for Education Solutions (EES) nell</w:t>
            </w:r>
            <w:r w:rsidR="007A1415" w:rsidRPr="007B74B7">
              <w:rPr>
                <w:rFonts w:cs="Tahoma"/>
                <w:color w:val="000000"/>
                <w:spacing w:val="-2"/>
                <w:szCs w:val="18"/>
                <w:lang w:val="it-IT"/>
              </w:rPr>
              <w:t>’</w:t>
            </w:r>
            <w:r w:rsidRPr="007B74B7">
              <w:rPr>
                <w:rFonts w:cs="Tahoma"/>
                <w:color w:val="000000"/>
                <w:spacing w:val="-2"/>
                <w:szCs w:val="18"/>
                <w:lang w:val="it-IT"/>
              </w:rPr>
              <w:t>opzione non per l</w:t>
            </w:r>
            <w:r w:rsidR="007A1415" w:rsidRPr="007B74B7">
              <w:rPr>
                <w:rFonts w:cs="Tahoma"/>
                <w:color w:val="000000"/>
                <w:spacing w:val="-2"/>
                <w:szCs w:val="18"/>
                <w:lang w:val="it-IT"/>
              </w:rPr>
              <w:t>’</w:t>
            </w:r>
            <w:r w:rsidRPr="007B74B7">
              <w:rPr>
                <w:rFonts w:cs="Tahoma"/>
                <w:color w:val="000000"/>
                <w:spacing w:val="-2"/>
                <w:szCs w:val="18"/>
                <w:lang w:val="it-IT"/>
              </w:rPr>
              <w:t>intera Organizzazione potranno essere cedute e utilizzate come licenze CAL per dispositivo o user CAL, a</w:t>
            </w:r>
            <w:r w:rsidR="007D0849" w:rsidRPr="007B74B7">
              <w:rPr>
                <w:rFonts w:cs="Tahoma"/>
                <w:color w:val="000000"/>
                <w:spacing w:val="-2"/>
                <w:szCs w:val="18"/>
                <w:lang w:val="it-IT"/>
              </w:rPr>
              <w:t> </w:t>
            </w:r>
            <w:r w:rsidRPr="007B74B7">
              <w:rPr>
                <w:rFonts w:cs="Tahoma"/>
                <w:color w:val="000000"/>
                <w:spacing w:val="-2"/>
                <w:szCs w:val="18"/>
                <w:lang w:val="it-IT"/>
              </w:rPr>
              <w:t>discrezione dell</w:t>
            </w:r>
            <w:r w:rsidR="007A1415" w:rsidRPr="007B74B7">
              <w:rPr>
                <w:rFonts w:cs="Tahoma"/>
                <w:color w:val="000000"/>
                <w:spacing w:val="-2"/>
                <w:szCs w:val="18"/>
                <w:lang w:val="it-IT"/>
              </w:rPr>
              <w:t>’</w:t>
            </w:r>
            <w:r w:rsidRPr="007B74B7">
              <w:rPr>
                <w:rFonts w:cs="Tahoma"/>
                <w:color w:val="000000"/>
                <w:spacing w:val="-2"/>
                <w:szCs w:val="18"/>
                <w:lang w:val="it-IT"/>
              </w:rPr>
              <w:t>Istituto. Le user CAL non potranno essere cedute di nuovo come licenze CAL per dispositivo e le licenze CAL per dispositivo non potranno essere cedute di nuovo come user CAL, tranne nel caso di seguito indicato. Qualsiasi licenza CAL ordinata in base all</w:t>
            </w:r>
            <w:r w:rsidR="007A1415" w:rsidRPr="007B74B7">
              <w:rPr>
                <w:rFonts w:cs="Tahoma"/>
                <w:color w:val="000000"/>
                <w:spacing w:val="-2"/>
                <w:szCs w:val="18"/>
                <w:lang w:val="it-IT"/>
              </w:rPr>
              <w:t>’</w:t>
            </w:r>
            <w:r w:rsidRPr="007B74B7">
              <w:rPr>
                <w:rFonts w:cs="Tahoma"/>
                <w:color w:val="000000"/>
                <w:spacing w:val="-2"/>
                <w:szCs w:val="18"/>
                <w:lang w:val="it-IT"/>
              </w:rPr>
              <w:t>opzione non per l</w:t>
            </w:r>
            <w:r w:rsidR="007A1415" w:rsidRPr="007B74B7">
              <w:rPr>
                <w:rFonts w:cs="Tahoma"/>
                <w:color w:val="000000"/>
                <w:spacing w:val="-2"/>
                <w:szCs w:val="18"/>
                <w:lang w:val="it-IT"/>
              </w:rPr>
              <w:t>’</w:t>
            </w:r>
            <w:r w:rsidRPr="007B74B7">
              <w:rPr>
                <w:rFonts w:cs="Tahoma"/>
                <w:color w:val="000000"/>
                <w:spacing w:val="-2"/>
                <w:szCs w:val="18"/>
                <w:lang w:val="it-IT"/>
              </w:rPr>
              <w:t>intera Organizzazione potrà essere ceduta di nuovo e utilizzata come licenza CAL per dispositivo o user CAL in fase di rinnovo della sottoscrizione attraverso un nuovo Contratto.</w:t>
            </w:r>
          </w:p>
          <w:p w:rsidR="00230E01" w:rsidRPr="007B74B7" w:rsidRDefault="00230E01" w:rsidP="00230E01">
            <w:pPr>
              <w:rPr>
                <w:rFonts w:cs="Tahoma"/>
                <w:color w:val="000000"/>
                <w:szCs w:val="18"/>
                <w:lang w:val="it-IT"/>
              </w:rPr>
            </w:pPr>
          </w:p>
        </w:tc>
      </w:tr>
    </w:tbl>
    <w:p w:rsidR="00366502" w:rsidRPr="007B74B7" w:rsidRDefault="00366502" w:rsidP="00456002">
      <w:pPr>
        <w:pStyle w:val="Heading3"/>
        <w:ind w:right="720"/>
        <w:rPr>
          <w:lang w:val="it-IT"/>
        </w:rPr>
      </w:pPr>
      <w:bookmarkStart w:id="676" w:name="_Toc323159731"/>
      <w:bookmarkStart w:id="677" w:name="_Toc325609171"/>
      <w:bookmarkStart w:id="678" w:name="_Toc336338192"/>
    </w:p>
    <w:p w:rsidR="00456002" w:rsidRPr="00BD7CEA" w:rsidRDefault="00456002" w:rsidP="00456002">
      <w:pPr>
        <w:pStyle w:val="Heading3"/>
        <w:ind w:right="720"/>
      </w:pPr>
      <w:bookmarkStart w:id="679" w:name="_Toc353375972"/>
      <w:r w:rsidRPr="00BD7CEA">
        <w:rPr>
          <w:rFonts w:ascii="Tahoma" w:hAnsi="Tahoma" w:cs="Tahoma"/>
          <w:sz w:val="24"/>
          <w:szCs w:val="22"/>
        </w:rPr>
        <w:t>Piattaforme</w:t>
      </w:r>
      <w:bookmarkEnd w:id="676"/>
      <w:bookmarkEnd w:id="677"/>
      <w:bookmarkEnd w:id="678"/>
      <w:bookmarkEnd w:id="679"/>
    </w:p>
    <w:p w:rsidR="00456002" w:rsidRPr="00BD7CEA" w:rsidRDefault="00456002" w:rsidP="00456002"/>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BD7CEA" w:rsidTr="00E82ECE">
        <w:trPr>
          <w:tblHeader/>
        </w:trPr>
        <w:tc>
          <w:tcPr>
            <w:tcW w:w="1890" w:type="dxa"/>
            <w:shd w:val="clear" w:color="auto" w:fill="FABF8F"/>
          </w:tcPr>
          <w:p w:rsidR="00456002" w:rsidRPr="00BD7CEA" w:rsidRDefault="00456002" w:rsidP="00E64551">
            <w:pPr>
              <w:rPr>
                <w:b/>
                <w:sz w:val="22"/>
                <w:lang w:eastAsia="ja-JP"/>
              </w:rPr>
            </w:pPr>
            <w:r w:rsidRPr="00BD7CEA">
              <w:rPr>
                <w:b/>
                <w:sz w:val="22"/>
              </w:rPr>
              <w:t>Programmi</w:t>
            </w:r>
          </w:p>
        </w:tc>
        <w:tc>
          <w:tcPr>
            <w:tcW w:w="7308" w:type="dxa"/>
            <w:shd w:val="clear" w:color="auto" w:fill="FABF8F"/>
          </w:tcPr>
          <w:p w:rsidR="00456002" w:rsidRPr="00BD7CEA" w:rsidRDefault="00456002" w:rsidP="005C647E">
            <w:pPr>
              <w:jc w:val="center"/>
              <w:rPr>
                <w:b/>
                <w:sz w:val="22"/>
                <w:lang w:eastAsia="ja-JP"/>
              </w:rPr>
            </w:pPr>
            <w:r w:rsidRPr="00BD7CEA">
              <w:rPr>
                <w:b/>
                <w:sz w:val="22"/>
              </w:rPr>
              <w:t>Piattaforme</w:t>
            </w:r>
          </w:p>
        </w:tc>
      </w:tr>
      <w:tr w:rsidR="00456002" w:rsidRPr="007B74B7" w:rsidTr="00E72B9D">
        <w:tc>
          <w:tcPr>
            <w:tcW w:w="1890" w:type="dxa"/>
            <w:shd w:val="clear" w:color="auto" w:fill="auto"/>
          </w:tcPr>
          <w:p w:rsidR="00456002" w:rsidRPr="007B74B7" w:rsidRDefault="00DD367D" w:rsidP="00E82ECE">
            <w:pPr>
              <w:spacing w:before="60"/>
              <w:rPr>
                <w:b/>
                <w:lang w:val="it-IT" w:eastAsia="ja-JP"/>
              </w:rPr>
            </w:pPr>
            <w:r w:rsidRPr="007B74B7">
              <w:rPr>
                <w:rFonts w:cs="Tahoma"/>
                <w:b/>
                <w:lang w:val="it-IT"/>
              </w:rPr>
              <w:t>Contratto Enterprise e</w:t>
            </w:r>
            <w:r w:rsidR="00E82ECE" w:rsidRPr="007B74B7">
              <w:rPr>
                <w:rFonts w:cs="Tahoma"/>
                <w:b/>
                <w:lang w:val="it-IT"/>
              </w:rPr>
              <w:t> </w:t>
            </w:r>
            <w:r w:rsidRPr="007B74B7">
              <w:rPr>
                <w:rFonts w:cs="Tahoma"/>
                <w:b/>
                <w:lang w:val="it-IT"/>
              </w:rPr>
              <w:t>Contratto Enterprise Subscription</w:t>
            </w:r>
          </w:p>
        </w:tc>
        <w:tc>
          <w:tcPr>
            <w:tcW w:w="7308" w:type="dxa"/>
            <w:shd w:val="clear" w:color="auto" w:fill="auto"/>
          </w:tcPr>
          <w:p w:rsidR="00456002" w:rsidRPr="00BD7CEA" w:rsidRDefault="00456002" w:rsidP="007358C5">
            <w:pPr>
              <w:pStyle w:val="ListParagraph"/>
              <w:numPr>
                <w:ilvl w:val="0"/>
                <w:numId w:val="122"/>
              </w:numPr>
              <w:spacing w:before="60" w:after="60"/>
              <w:ind w:left="245"/>
            </w:pPr>
            <w:r w:rsidRPr="00BD7CEA">
              <w:rPr>
                <w:rFonts w:ascii="Tahoma" w:hAnsi="Tahoma" w:cs="Tahoma"/>
                <w:b/>
                <w:sz w:val="18"/>
              </w:rPr>
              <w:t>Prodotti della Piattaforma Enterprise Desktop</w:t>
            </w:r>
          </w:p>
          <w:p w:rsidR="00456002" w:rsidRPr="007B74B7" w:rsidRDefault="00456002" w:rsidP="004B6D8C">
            <w:pPr>
              <w:rPr>
                <w:lang w:val="it-IT"/>
              </w:rPr>
            </w:pPr>
            <w:r w:rsidRPr="007B74B7">
              <w:rPr>
                <w:rFonts w:cs="Tahoma"/>
                <w:color w:val="000000"/>
                <w:szCs w:val="18"/>
                <w:lang w:val="it-IT"/>
              </w:rPr>
              <w:t>I prodotti della piattaforma Enterprise Desktop sono disponibili per le società con un</w:t>
            </w:r>
            <w:r w:rsidR="00E82ECE" w:rsidRPr="007B74B7">
              <w:rPr>
                <w:rFonts w:cs="Tahoma"/>
                <w:color w:val="000000"/>
                <w:szCs w:val="18"/>
                <w:lang w:val="it-IT"/>
              </w:rPr>
              <w:t> </w:t>
            </w:r>
            <w:r w:rsidRPr="007B74B7">
              <w:rPr>
                <w:rFonts w:cs="Tahoma"/>
                <w:color w:val="000000"/>
                <w:szCs w:val="18"/>
                <w:lang w:val="it-IT"/>
              </w:rPr>
              <w:t xml:space="preserve">Contratto Enterprise. La Piattaforma Enterprise Desktop include la versione più aggiornata di Office </w:t>
            </w:r>
            <w:r w:rsidRPr="007B74B7">
              <w:rPr>
                <w:rFonts w:cs="Tahoma"/>
                <w:szCs w:val="18"/>
                <w:lang w:val="it-IT"/>
              </w:rPr>
              <w:t>Professional Plus</w:t>
            </w:r>
            <w:r w:rsidRPr="007B74B7">
              <w:rPr>
                <w:rFonts w:cs="Tahoma"/>
                <w:color w:val="000000"/>
                <w:szCs w:val="18"/>
                <w:lang w:val="it-IT"/>
              </w:rPr>
              <w:t>, dell</w:t>
            </w:r>
            <w:r w:rsidR="007A1415" w:rsidRPr="007B74B7">
              <w:rPr>
                <w:rFonts w:cs="Tahoma"/>
                <w:color w:val="000000"/>
                <w:szCs w:val="18"/>
                <w:lang w:val="it-IT"/>
              </w:rPr>
              <w:t>’</w:t>
            </w:r>
            <w:r w:rsidRPr="007B74B7">
              <w:rPr>
                <w:rFonts w:cs="Tahoma"/>
                <w:color w:val="000000"/>
                <w:szCs w:val="18"/>
                <w:lang w:val="it-IT"/>
              </w:rPr>
              <w:t>Aggiornamento per il Sistema Operativo Windows 8 Pro o Windows Virtual Desktop Access (VDA) e la licenza Enterprise CAL Suite. I Prodotti della Piattaforma Enterprise Desktop sono indicati da una “E” nelle colonne del Contratto Enterprise.</w:t>
            </w:r>
            <w:r w:rsidR="008D782D" w:rsidRPr="007B74B7">
              <w:rPr>
                <w:rFonts w:cs="Tahoma"/>
                <w:color w:val="000000"/>
                <w:szCs w:val="18"/>
                <w:lang w:val="it-IT"/>
              </w:rPr>
              <w:t xml:space="preserve"> </w:t>
            </w:r>
            <w:r w:rsidRPr="007B74B7">
              <w:rPr>
                <w:rFonts w:cs="Tahoma"/>
                <w:color w:val="000000"/>
                <w:szCs w:val="18"/>
                <w:lang w:val="it-IT"/>
              </w:rPr>
              <w:t>Le società che hanno sottoscritto un Contratto Enterprise ed Enterprise Subscription possono anch</w:t>
            </w:r>
            <w:r w:rsidR="007A1415" w:rsidRPr="007B74B7">
              <w:rPr>
                <w:rFonts w:cs="Tahoma"/>
                <w:color w:val="000000"/>
                <w:szCs w:val="18"/>
                <w:lang w:val="it-IT"/>
              </w:rPr>
              <w:t>’</w:t>
            </w:r>
            <w:r w:rsidRPr="007B74B7">
              <w:rPr>
                <w:rFonts w:cs="Tahoma"/>
                <w:color w:val="000000"/>
                <w:szCs w:val="18"/>
                <w:lang w:val="it-IT"/>
              </w:rPr>
              <w:t>esse acquistare la piattaforma Enterprise Desktop con MDOP.</w:t>
            </w:r>
          </w:p>
          <w:p w:rsidR="00456002" w:rsidRPr="007B74B7" w:rsidRDefault="00456002" w:rsidP="005C647E">
            <w:pPr>
              <w:rPr>
                <w:lang w:val="it-IT"/>
              </w:rPr>
            </w:pPr>
          </w:p>
          <w:p w:rsidR="00456002" w:rsidRPr="00BD7CEA" w:rsidRDefault="00456002" w:rsidP="007358C5">
            <w:pPr>
              <w:pStyle w:val="ListParagraph"/>
              <w:numPr>
                <w:ilvl w:val="0"/>
                <w:numId w:val="122"/>
              </w:numPr>
              <w:spacing w:after="60"/>
              <w:ind w:left="252"/>
            </w:pPr>
            <w:r w:rsidRPr="00BD7CEA">
              <w:rPr>
                <w:rFonts w:ascii="Tahoma" w:hAnsi="Tahoma" w:cs="Tahoma"/>
                <w:b/>
                <w:sz w:val="18"/>
              </w:rPr>
              <w:t>Prodotti della Piattaforma Professional Desktop</w:t>
            </w:r>
          </w:p>
          <w:p w:rsidR="00456002" w:rsidRPr="007B74B7" w:rsidRDefault="00456002" w:rsidP="004B6D8C">
            <w:pPr>
              <w:rPr>
                <w:lang w:val="it-IT"/>
              </w:rPr>
            </w:pPr>
            <w:r w:rsidRPr="007B74B7">
              <w:rPr>
                <w:rFonts w:cs="Tahoma"/>
                <w:color w:val="000000"/>
                <w:szCs w:val="18"/>
                <w:lang w:val="it-IT"/>
              </w:rPr>
              <w:t>I prodotti della piattaforma Professional Desktop sono disponibili per le società che hanno sottoscritto un Contratto Enterprise. La Piattaforma Professional Desktop include la versione più aggiornata di Office Professional Plus, l</w:t>
            </w:r>
            <w:r w:rsidR="007A1415" w:rsidRPr="007B74B7">
              <w:rPr>
                <w:rFonts w:cs="Tahoma"/>
                <w:color w:val="000000"/>
                <w:szCs w:val="18"/>
                <w:lang w:val="it-IT"/>
              </w:rPr>
              <w:t>’</w:t>
            </w:r>
            <w:r w:rsidRPr="007B74B7">
              <w:rPr>
                <w:rFonts w:cs="Tahoma"/>
                <w:color w:val="000000"/>
                <w:szCs w:val="18"/>
                <w:lang w:val="it-IT"/>
              </w:rPr>
              <w:t>Aggiornamento per il Sistema Operativo Windows 8 Pro o Windows Virtual Enterprise Desktop Access (VDA) (solo per</w:t>
            </w:r>
            <w:r w:rsidR="00E82ECE" w:rsidRPr="007B74B7">
              <w:rPr>
                <w:rFonts w:cs="Tahoma"/>
                <w:color w:val="000000"/>
                <w:szCs w:val="18"/>
                <w:lang w:val="it-IT"/>
              </w:rPr>
              <w:t> I </w:t>
            </w:r>
            <w:r w:rsidRPr="007B74B7">
              <w:rPr>
                <w:rFonts w:cs="Tahoma"/>
                <w:color w:val="000000"/>
                <w:szCs w:val="18"/>
                <w:lang w:val="it-IT"/>
              </w:rPr>
              <w:t>Contratti EA) e la licenza Core CAL Suite. I prodotti della piattaforma Professional Desktop sono indicati da una “E” nelle colonne del Contratto Enterprise. Le società che hanno sottoscritto un Contratto Enterprise ed Enterprise Subscription possono anch</w:t>
            </w:r>
            <w:r w:rsidR="007A1415" w:rsidRPr="007B74B7">
              <w:rPr>
                <w:rFonts w:cs="Tahoma"/>
                <w:color w:val="000000"/>
                <w:szCs w:val="18"/>
                <w:lang w:val="it-IT"/>
              </w:rPr>
              <w:t>’</w:t>
            </w:r>
            <w:r w:rsidRPr="007B74B7">
              <w:rPr>
                <w:rFonts w:cs="Tahoma"/>
                <w:color w:val="000000"/>
                <w:szCs w:val="18"/>
                <w:lang w:val="it-IT"/>
              </w:rPr>
              <w:t>esse acquistare la piattaforma Professional Desktop con MDOP.</w:t>
            </w:r>
          </w:p>
          <w:p w:rsidR="00456002" w:rsidRPr="007B74B7" w:rsidRDefault="00456002" w:rsidP="005C647E">
            <w:pPr>
              <w:rPr>
                <w:rFonts w:cs="Tahoma"/>
                <w:szCs w:val="18"/>
                <w:lang w:val="it-IT" w:eastAsia="ja-JP"/>
              </w:rPr>
            </w:pPr>
          </w:p>
        </w:tc>
      </w:tr>
      <w:tr w:rsidR="00456002" w:rsidRPr="007B74B7" w:rsidTr="00E82ECE">
        <w:trPr>
          <w:cantSplit/>
          <w:trHeight w:val="278"/>
        </w:trPr>
        <w:tc>
          <w:tcPr>
            <w:tcW w:w="1890" w:type="dxa"/>
            <w:shd w:val="clear" w:color="auto" w:fill="auto"/>
          </w:tcPr>
          <w:p w:rsidR="00456002" w:rsidRPr="007B74B7" w:rsidRDefault="00456002" w:rsidP="00E82ECE">
            <w:pPr>
              <w:spacing w:before="60"/>
              <w:rPr>
                <w:b/>
                <w:lang w:val="it-IT" w:eastAsia="ja-JP"/>
              </w:rPr>
            </w:pPr>
            <w:r w:rsidRPr="007B74B7">
              <w:rPr>
                <w:b/>
                <w:sz w:val="20"/>
                <w:lang w:val="it-IT"/>
              </w:rPr>
              <w:lastRenderedPageBreak/>
              <w:t>Open Value e</w:t>
            </w:r>
            <w:r w:rsidR="00E82ECE" w:rsidRPr="007B74B7">
              <w:rPr>
                <w:b/>
                <w:sz w:val="20"/>
                <w:lang w:val="it-IT"/>
              </w:rPr>
              <w:t> </w:t>
            </w:r>
            <w:r w:rsidRPr="007B74B7">
              <w:rPr>
                <w:b/>
                <w:sz w:val="20"/>
                <w:lang w:val="it-IT"/>
              </w:rPr>
              <w:t>Open Value Subscription (per Società Commerciali ed Enti Pubblici)</w:t>
            </w:r>
          </w:p>
        </w:tc>
        <w:tc>
          <w:tcPr>
            <w:tcW w:w="7308" w:type="dxa"/>
            <w:shd w:val="clear" w:color="auto" w:fill="auto"/>
          </w:tcPr>
          <w:p w:rsidR="00456002" w:rsidRPr="00BD7CEA" w:rsidRDefault="00456002" w:rsidP="007358C5">
            <w:pPr>
              <w:pStyle w:val="ListParagraph"/>
              <w:numPr>
                <w:ilvl w:val="0"/>
                <w:numId w:val="122"/>
              </w:numPr>
              <w:spacing w:before="60" w:after="60"/>
              <w:ind w:left="245"/>
            </w:pPr>
            <w:r w:rsidRPr="00BD7CEA">
              <w:rPr>
                <w:rFonts w:ascii="Tahoma" w:hAnsi="Tahoma" w:cs="Tahoma"/>
                <w:b/>
                <w:sz w:val="18"/>
              </w:rPr>
              <w:t>Prodotti della Piattaforma Desktop Personalizzati</w:t>
            </w:r>
          </w:p>
          <w:p w:rsidR="00456002" w:rsidRPr="007B74B7" w:rsidRDefault="00456002" w:rsidP="004B6D8C">
            <w:pPr>
              <w:rPr>
                <w:lang w:val="it-IT"/>
              </w:rPr>
            </w:pPr>
            <w:r w:rsidRPr="007B74B7">
              <w:rPr>
                <w:rFonts w:cs="Tahoma"/>
                <w:color w:val="000000"/>
                <w:szCs w:val="18"/>
                <w:lang w:val="it-IT"/>
              </w:rPr>
              <w:t>I Prodotti della Piattaforma Desktop Personalizzati sono disponibili per le società Open Value e Open Value Subscription quando scelgono l</w:t>
            </w:r>
            <w:r w:rsidR="007A1415" w:rsidRPr="007B74B7">
              <w:rPr>
                <w:rFonts w:cs="Tahoma"/>
                <w:color w:val="000000"/>
                <w:szCs w:val="18"/>
                <w:lang w:val="it-IT"/>
              </w:rPr>
              <w:t>’</w:t>
            </w:r>
            <w:r w:rsidRPr="007B74B7">
              <w:rPr>
                <w:rFonts w:cs="Tahoma"/>
                <w:color w:val="000000"/>
                <w:szCs w:val="18"/>
                <w:lang w:val="it-IT"/>
              </w:rPr>
              <w:t>opzione per l</w:t>
            </w:r>
            <w:r w:rsidR="007A1415" w:rsidRPr="007B74B7">
              <w:rPr>
                <w:rFonts w:cs="Tahoma"/>
                <w:color w:val="000000"/>
                <w:szCs w:val="18"/>
                <w:lang w:val="it-IT"/>
              </w:rPr>
              <w:t>’</w:t>
            </w:r>
            <w:r w:rsidRPr="007B74B7">
              <w:rPr>
                <w:rFonts w:cs="Tahoma"/>
                <w:szCs w:val="18"/>
                <w:lang w:val="it-IT"/>
              </w:rPr>
              <w:t>intera organizzazione/a livello aziendale</w:t>
            </w:r>
            <w:r w:rsidRPr="007B74B7">
              <w:rPr>
                <w:rFonts w:cs="Tahoma"/>
                <w:color w:val="000000"/>
                <w:szCs w:val="18"/>
                <w:lang w:val="it-IT"/>
              </w:rPr>
              <w:t>. La Piattaforma Desktop Personalizzata include le versioni correnti di Office Professional Plus, l</w:t>
            </w:r>
            <w:r w:rsidR="007A1415" w:rsidRPr="007B74B7">
              <w:rPr>
                <w:rFonts w:cs="Tahoma"/>
                <w:color w:val="000000"/>
                <w:szCs w:val="18"/>
                <w:lang w:val="it-IT"/>
              </w:rPr>
              <w:t>’</w:t>
            </w:r>
            <w:r w:rsidRPr="007B74B7">
              <w:rPr>
                <w:rFonts w:cs="Tahoma"/>
                <w:color w:val="000000"/>
                <w:szCs w:val="18"/>
                <w:lang w:val="it-IT"/>
              </w:rPr>
              <w:t>Aggiornamento per il Sistema Operativo Windows 8 Pro*, la licenza di accesso client per Enterprise CAL Suite, Core CAL Suite, Essential Business Server CAL Suite o Small Business Server CAL Suite. I Prodotti della Piattaforma Desktop</w:t>
            </w:r>
            <w:r w:rsidR="00E82ECE" w:rsidRPr="007B74B7">
              <w:rPr>
                <w:rFonts w:cs="Tahoma"/>
                <w:color w:val="000000"/>
                <w:szCs w:val="18"/>
                <w:lang w:val="it-IT"/>
              </w:rPr>
              <w:t> </w:t>
            </w:r>
            <w:r w:rsidRPr="007B74B7">
              <w:rPr>
                <w:rFonts w:cs="Tahoma"/>
                <w:color w:val="000000"/>
                <w:szCs w:val="18"/>
                <w:lang w:val="it-IT"/>
              </w:rPr>
              <w:t>Personalizzati sono indicati da una “E” nelle colonne Open Value.</w:t>
            </w:r>
            <w:r w:rsidR="008D782D" w:rsidRPr="007B74B7">
              <w:rPr>
                <w:rFonts w:cs="Tahoma"/>
                <w:color w:val="000000"/>
                <w:szCs w:val="18"/>
                <w:lang w:val="it-IT"/>
              </w:rPr>
              <w:t xml:space="preserve"> </w:t>
            </w:r>
          </w:p>
          <w:p w:rsidR="00456002" w:rsidRPr="007B74B7" w:rsidRDefault="00456002" w:rsidP="005C647E">
            <w:pPr>
              <w:rPr>
                <w:rFonts w:cs="Tahoma"/>
                <w:szCs w:val="18"/>
                <w:lang w:val="it-IT" w:eastAsia="ja-JP"/>
              </w:rPr>
            </w:pPr>
          </w:p>
        </w:tc>
      </w:tr>
      <w:tr w:rsidR="00456002" w:rsidRPr="007B74B7" w:rsidTr="00E72B9D">
        <w:trPr>
          <w:trHeight w:val="278"/>
        </w:trPr>
        <w:tc>
          <w:tcPr>
            <w:tcW w:w="1890" w:type="dxa"/>
            <w:shd w:val="clear" w:color="auto" w:fill="auto"/>
          </w:tcPr>
          <w:p w:rsidR="00456002" w:rsidRPr="007B74B7" w:rsidRDefault="00456002" w:rsidP="00230E01">
            <w:pPr>
              <w:spacing w:before="60"/>
              <w:rPr>
                <w:b/>
                <w:lang w:val="it-IT" w:eastAsia="ja-JP"/>
              </w:rPr>
            </w:pPr>
            <w:r w:rsidRPr="007B74B7">
              <w:rPr>
                <w:b/>
                <w:sz w:val="20"/>
                <w:lang w:val="it-IT"/>
              </w:rPr>
              <w:t>Piattaforme Academic (EES, OVS-ES e Contratto School)</w:t>
            </w:r>
          </w:p>
        </w:tc>
        <w:tc>
          <w:tcPr>
            <w:tcW w:w="7308" w:type="dxa"/>
            <w:shd w:val="clear" w:color="auto" w:fill="auto"/>
          </w:tcPr>
          <w:p w:rsidR="00821966" w:rsidRPr="007B74B7" w:rsidRDefault="00456002" w:rsidP="007358C5">
            <w:pPr>
              <w:pStyle w:val="ListParagraph"/>
              <w:numPr>
                <w:ilvl w:val="0"/>
                <w:numId w:val="122"/>
              </w:numPr>
              <w:spacing w:before="60" w:after="60"/>
              <w:ind w:left="245"/>
              <w:contextualSpacing w:val="0"/>
              <w:rPr>
                <w:lang w:val="it-IT"/>
              </w:rPr>
            </w:pPr>
            <w:r w:rsidRPr="007B74B7">
              <w:rPr>
                <w:rFonts w:ascii="Tahoma" w:hAnsi="Tahoma" w:cs="Tahoma"/>
                <w:b/>
                <w:sz w:val="18"/>
                <w:lang w:val="it-IT"/>
              </w:rPr>
              <w:t>Prodotti della Piattaforma Desktop Education e Piattaforma Desktop School con Enterprise CAL Suite</w:t>
            </w:r>
          </w:p>
          <w:p w:rsidR="00456002" w:rsidRPr="007B74B7" w:rsidRDefault="00456002" w:rsidP="007358C5">
            <w:pPr>
              <w:pStyle w:val="ListParagraph"/>
              <w:numPr>
                <w:ilvl w:val="0"/>
                <w:numId w:val="122"/>
              </w:numPr>
              <w:spacing w:after="60"/>
              <w:ind w:left="252"/>
              <w:rPr>
                <w:lang w:val="it-IT"/>
              </w:rPr>
            </w:pPr>
            <w:r w:rsidRPr="007B74B7">
              <w:rPr>
                <w:rFonts w:ascii="Tahoma" w:hAnsi="Tahoma" w:cs="Tahoma"/>
                <w:b/>
                <w:sz w:val="18"/>
                <w:lang w:val="it-IT"/>
              </w:rPr>
              <w:t>Prodotti della Piattaforma Desktop Education e Piattaforma Desktop School con Core CAL Suite</w:t>
            </w:r>
          </w:p>
          <w:p w:rsidR="00456002" w:rsidRPr="007B74B7" w:rsidRDefault="00456002" w:rsidP="00821966">
            <w:pPr>
              <w:rPr>
                <w:lang w:val="it-IT"/>
              </w:rPr>
            </w:pPr>
            <w:r w:rsidRPr="007B74B7">
              <w:rPr>
                <w:rFonts w:cs="Tahoma"/>
                <w:szCs w:val="18"/>
                <w:lang w:val="it-IT"/>
              </w:rPr>
              <w:t>I Prodotti della Piattaforma Desktop Education sono disponibili per le società Enrollment for Education Solutions (EES) e Open Value Subscription</w:t>
            </w:r>
            <w:r w:rsidR="00FD7C0D" w:rsidRPr="007B74B7">
              <w:rPr>
                <w:rFonts w:cs="Tahoma"/>
                <w:szCs w:val="18"/>
                <w:lang w:val="it-IT"/>
              </w:rPr>
              <w:t xml:space="preserve"> – </w:t>
            </w:r>
            <w:r w:rsidRPr="007B74B7">
              <w:rPr>
                <w:rFonts w:cs="Tahoma"/>
                <w:szCs w:val="18"/>
                <w:lang w:val="it-IT"/>
              </w:rPr>
              <w:t>Education Solutions (OVS-ES). I Prodotti della Piattaforma Desktop School sono disponibili per le società che hanno sottoscritto un Contratto School. La Piattaforma Desktop Education con Enterprise CAL Suite e la Piattaforma Desktop School con Enterprise CAL Suite includono la versione più aggiornata di Office Professional Plus o Office per Mac, l</w:t>
            </w:r>
            <w:r w:rsidR="007A1415" w:rsidRPr="007B74B7">
              <w:rPr>
                <w:rFonts w:cs="Tahoma"/>
                <w:szCs w:val="18"/>
                <w:lang w:val="it-IT"/>
              </w:rPr>
              <w:t>’</w:t>
            </w:r>
            <w:r w:rsidRPr="007B74B7">
              <w:rPr>
                <w:rFonts w:cs="Tahoma"/>
                <w:szCs w:val="18"/>
                <w:lang w:val="it-IT"/>
              </w:rPr>
              <w:t xml:space="preserve">Aggiornamento per il Sistema Operativo Windows 8 Pro e la licenza Enterprise CAL Suite. </w:t>
            </w:r>
          </w:p>
          <w:p w:rsidR="00456002" w:rsidRPr="007B74B7" w:rsidRDefault="00456002" w:rsidP="00E64551">
            <w:pPr>
              <w:ind w:left="360"/>
              <w:rPr>
                <w:lang w:val="it-IT"/>
              </w:rPr>
            </w:pPr>
          </w:p>
          <w:p w:rsidR="00456002" w:rsidRPr="007B74B7" w:rsidRDefault="00456002" w:rsidP="00821966">
            <w:pPr>
              <w:rPr>
                <w:lang w:val="it-IT"/>
              </w:rPr>
            </w:pPr>
            <w:r w:rsidRPr="007B74B7">
              <w:rPr>
                <w:rFonts w:cs="Tahoma"/>
                <w:iCs/>
                <w:szCs w:val="18"/>
                <w:lang w:val="it-IT"/>
              </w:rPr>
              <w:t>Il Prodotto della Piattaforma Desktop School nel listino prezzi conta come 3 unità.</w:t>
            </w:r>
          </w:p>
          <w:p w:rsidR="00456002" w:rsidRPr="007B74B7" w:rsidRDefault="00456002" w:rsidP="00821966">
            <w:pPr>
              <w:rPr>
                <w:lang w:val="it-IT"/>
              </w:rPr>
            </w:pPr>
          </w:p>
          <w:p w:rsidR="00456002" w:rsidRPr="007B74B7" w:rsidRDefault="00456002" w:rsidP="00821966">
            <w:pPr>
              <w:tabs>
                <w:tab w:val="left" w:pos="8640"/>
              </w:tabs>
              <w:ind w:right="720"/>
              <w:rPr>
                <w:spacing w:val="-2"/>
                <w:lang w:val="it-IT"/>
              </w:rPr>
            </w:pPr>
            <w:r w:rsidRPr="007B74B7">
              <w:rPr>
                <w:rFonts w:cs="Tahoma"/>
                <w:b/>
                <w:bCs/>
                <w:color w:val="000000"/>
                <w:spacing w:val="-2"/>
                <w:szCs w:val="18"/>
                <w:lang w:val="it-IT"/>
              </w:rPr>
              <w:t xml:space="preserve">Nota: </w:t>
            </w:r>
            <w:r w:rsidRPr="007B74B7">
              <w:rPr>
                <w:rFonts w:cs="Tahoma"/>
                <w:bCs/>
                <w:color w:val="000000"/>
                <w:spacing w:val="-2"/>
                <w:szCs w:val="18"/>
                <w:lang w:val="it-IT"/>
              </w:rPr>
              <w:t>le società con contratti EES e OVS-ES non sono idonee a scegliere Prodotti della Piattaforma Desktop e singoli prodotti con CAL inclusi nella Core CAL Suite o</w:t>
            </w:r>
            <w:r w:rsidR="00E82ECE" w:rsidRPr="007B74B7">
              <w:rPr>
                <w:rFonts w:cs="Tahoma"/>
                <w:bCs/>
                <w:color w:val="000000"/>
                <w:spacing w:val="-2"/>
                <w:szCs w:val="18"/>
                <w:lang w:val="it-IT"/>
              </w:rPr>
              <w:t> </w:t>
            </w:r>
            <w:r w:rsidRPr="007B74B7">
              <w:rPr>
                <w:rFonts w:cs="Tahoma"/>
                <w:bCs/>
                <w:color w:val="000000"/>
                <w:spacing w:val="-2"/>
                <w:szCs w:val="18"/>
                <w:lang w:val="it-IT"/>
              </w:rPr>
              <w:t>nell</w:t>
            </w:r>
            <w:r w:rsidR="007A1415" w:rsidRPr="007B74B7">
              <w:rPr>
                <w:rFonts w:cs="Tahoma"/>
                <w:bCs/>
                <w:color w:val="000000"/>
                <w:spacing w:val="-2"/>
                <w:szCs w:val="18"/>
                <w:lang w:val="it-IT"/>
              </w:rPr>
              <w:t>’</w:t>
            </w:r>
            <w:r w:rsidRPr="007B74B7">
              <w:rPr>
                <w:rFonts w:cs="Tahoma"/>
                <w:bCs/>
                <w:color w:val="000000"/>
                <w:spacing w:val="-2"/>
                <w:szCs w:val="18"/>
                <w:lang w:val="it-IT"/>
              </w:rPr>
              <w:t>Enterprise CAL Suite per un solo componente del Numero dell</w:t>
            </w:r>
            <w:r w:rsidR="007A1415" w:rsidRPr="007B74B7">
              <w:rPr>
                <w:rFonts w:cs="Tahoma"/>
                <w:bCs/>
                <w:color w:val="000000"/>
                <w:spacing w:val="-2"/>
                <w:szCs w:val="18"/>
                <w:lang w:val="it-IT"/>
              </w:rPr>
              <w:t>’</w:t>
            </w:r>
            <w:r w:rsidRPr="007B74B7">
              <w:rPr>
                <w:rFonts w:cs="Tahoma"/>
                <w:bCs/>
                <w:color w:val="000000"/>
                <w:spacing w:val="-2"/>
                <w:szCs w:val="18"/>
                <w:lang w:val="it-IT"/>
              </w:rPr>
              <w:t>intera organizzazione e/o degli Studenti. Ad esempio, qualora la sottoscrizione sia applicabile a 1.200 dipendenti full time dell</w:t>
            </w:r>
            <w:r w:rsidR="007A1415" w:rsidRPr="007B74B7">
              <w:rPr>
                <w:rFonts w:cs="Tahoma"/>
                <w:bCs/>
                <w:color w:val="000000"/>
                <w:spacing w:val="-2"/>
                <w:szCs w:val="18"/>
                <w:lang w:val="it-IT"/>
              </w:rPr>
              <w:t>’</w:t>
            </w:r>
            <w:r w:rsidRPr="007B74B7">
              <w:rPr>
                <w:rFonts w:cs="Tahoma"/>
                <w:bCs/>
                <w:color w:val="000000"/>
                <w:spacing w:val="-2"/>
                <w:szCs w:val="18"/>
                <w:lang w:val="it-IT"/>
              </w:rPr>
              <w:t>intera organizzazione, i Prodotti della Piattaforma Desktop e i prodotti dei componenti di CAL Suite selezionati saranno applicabili a 1.000 dipendenti dell</w:t>
            </w:r>
            <w:r w:rsidR="007A1415" w:rsidRPr="007B74B7">
              <w:rPr>
                <w:rFonts w:cs="Tahoma"/>
                <w:bCs/>
                <w:color w:val="000000"/>
                <w:spacing w:val="-2"/>
                <w:szCs w:val="18"/>
                <w:lang w:val="it-IT"/>
              </w:rPr>
              <w:t>’</w:t>
            </w:r>
            <w:r w:rsidRPr="007B74B7">
              <w:rPr>
                <w:rFonts w:cs="Tahoma"/>
                <w:bCs/>
                <w:color w:val="000000"/>
                <w:spacing w:val="-2"/>
                <w:szCs w:val="18"/>
                <w:lang w:val="it-IT"/>
              </w:rPr>
              <w:t>intera organizzazione, anche nel caso in cui su un componente di tali PC venga eseguito un particolare prodotto della Piattaforma Desktop o un prodotto con CAL del componente.</w:t>
            </w:r>
          </w:p>
          <w:p w:rsidR="00456002" w:rsidRPr="007B74B7" w:rsidRDefault="00456002" w:rsidP="005C647E">
            <w:pPr>
              <w:rPr>
                <w:rFonts w:cs="Tahoma"/>
                <w:szCs w:val="18"/>
                <w:lang w:val="it-IT" w:eastAsia="ja-JP"/>
              </w:rPr>
            </w:pPr>
          </w:p>
        </w:tc>
      </w:tr>
    </w:tbl>
    <w:p w:rsidR="00456002" w:rsidRPr="007B74B7" w:rsidRDefault="00456002" w:rsidP="00456002">
      <w:pPr>
        <w:pStyle w:val="Heading4"/>
        <w:tabs>
          <w:tab w:val="clear" w:pos="720"/>
          <w:tab w:val="num" w:pos="0"/>
        </w:tabs>
        <w:ind w:left="0" w:right="720" w:firstLine="0"/>
        <w:rPr>
          <w:lang w:val="it-IT"/>
        </w:rPr>
      </w:pPr>
    </w:p>
    <w:p w:rsidR="00406CB0" w:rsidRPr="007B74B7" w:rsidRDefault="00406CB0" w:rsidP="00406CB0">
      <w:pPr>
        <w:rPr>
          <w:lang w:val="it-IT"/>
        </w:rPr>
      </w:pPr>
      <w:bookmarkStart w:id="680" w:name="_Toc336338193"/>
    </w:p>
    <w:p w:rsidR="004641FD" w:rsidRPr="007B74B7" w:rsidRDefault="00755633" w:rsidP="004641FD">
      <w:pPr>
        <w:pStyle w:val="Heading3"/>
        <w:ind w:right="720"/>
        <w:rPr>
          <w:lang w:val="it-IT"/>
        </w:rPr>
      </w:pPr>
      <w:bookmarkStart w:id="681" w:name="_Toc353375973"/>
      <w:r w:rsidRPr="007B74B7">
        <w:rPr>
          <w:rFonts w:ascii="Tahoma" w:hAnsi="Tahoma" w:cs="Tahoma"/>
          <w:sz w:val="24"/>
          <w:szCs w:val="22"/>
          <w:lang w:val="it-IT"/>
        </w:rPr>
        <w:t>Definizione di Gestione per i Dispositivi Qualificanti</w:t>
      </w:r>
      <w:bookmarkEnd w:id="680"/>
      <w:bookmarkEnd w:id="681"/>
    </w:p>
    <w:p w:rsidR="00406CB0" w:rsidRPr="007B74B7" w:rsidRDefault="00406CB0" w:rsidP="00406CB0">
      <w:pPr>
        <w:rPr>
          <w:lang w:val="it-IT"/>
        </w:rPr>
      </w:pPr>
    </w:p>
    <w:p w:rsidR="004641FD" w:rsidRPr="007B74B7" w:rsidRDefault="004641FD" w:rsidP="004641FD">
      <w:pPr>
        <w:rPr>
          <w:lang w:val="it-IT"/>
        </w:rPr>
      </w:pPr>
      <w:r w:rsidRPr="007B74B7">
        <w:rPr>
          <w:rFonts w:cs="Tahoma"/>
          <w:lang w:val="it-IT"/>
        </w:rPr>
        <w:t>Una società titolare di Contratti Multilicenza “gestisce” qualsiasi dispositivo su cui controlla direttamente o indirettamente uno o più ambienti del sistema operativo.</w:t>
      </w:r>
      <w:r w:rsidR="008D782D" w:rsidRPr="007B74B7">
        <w:rPr>
          <w:rFonts w:cs="Tahoma"/>
          <w:lang w:val="it-IT"/>
        </w:rPr>
        <w:t xml:space="preserve"> </w:t>
      </w:r>
      <w:r w:rsidRPr="007B74B7">
        <w:rPr>
          <w:rFonts w:cs="Tahoma"/>
          <w:lang w:val="it-IT"/>
        </w:rPr>
        <w:t>Ad esempio, una società titolare di Contratti Multilicenza gestisce qualsiasi dispositivo</w:t>
      </w:r>
    </w:p>
    <w:p w:rsidR="00406CB0" w:rsidRPr="007B74B7" w:rsidRDefault="00406CB0" w:rsidP="00822871">
      <w:pPr>
        <w:spacing w:after="60"/>
        <w:rPr>
          <w:lang w:val="it-IT"/>
        </w:rPr>
      </w:pPr>
    </w:p>
    <w:p w:rsidR="004641FD" w:rsidRPr="007B74B7" w:rsidRDefault="004641FD" w:rsidP="00822871">
      <w:pPr>
        <w:numPr>
          <w:ilvl w:val="0"/>
          <w:numId w:val="19"/>
        </w:numPr>
        <w:spacing w:after="60"/>
        <w:rPr>
          <w:lang w:val="it-IT"/>
        </w:rPr>
      </w:pPr>
      <w:r w:rsidRPr="007B74B7">
        <w:rPr>
          <w:rFonts w:cs="Tahoma"/>
          <w:lang w:val="it-IT"/>
        </w:rPr>
        <w:t>che autorizza a unirsi al suo dominio OPPURE</w:t>
      </w:r>
    </w:p>
    <w:p w:rsidR="004641FD" w:rsidRPr="007B74B7" w:rsidRDefault="004641FD" w:rsidP="00822871">
      <w:pPr>
        <w:numPr>
          <w:ilvl w:val="0"/>
          <w:numId w:val="19"/>
        </w:numPr>
        <w:spacing w:after="60"/>
        <w:rPr>
          <w:lang w:val="it-IT"/>
        </w:rPr>
      </w:pPr>
      <w:r w:rsidRPr="007B74B7">
        <w:rPr>
          <w:rFonts w:cs="Tahoma"/>
          <w:lang w:val="it-IT"/>
        </w:rPr>
        <w:t>che autentica come requisito per utilizzare le applicazioni mentre si trova in sede OPPURE</w:t>
      </w:r>
    </w:p>
    <w:p w:rsidR="004641FD" w:rsidRPr="007B74B7" w:rsidRDefault="004641FD" w:rsidP="00822871">
      <w:pPr>
        <w:numPr>
          <w:ilvl w:val="0"/>
          <w:numId w:val="19"/>
        </w:numPr>
        <w:spacing w:after="60"/>
        <w:rPr>
          <w:lang w:val="it-IT"/>
        </w:rPr>
      </w:pPr>
      <w:r w:rsidRPr="007B74B7">
        <w:rPr>
          <w:rFonts w:cs="Tahoma"/>
          <w:lang w:val="it-IT"/>
        </w:rPr>
        <w:t>su cui installa agenti (ad esempio, antivirus, antimalware o altri agenti imposti dai criteri della società) OPPURE</w:t>
      </w:r>
    </w:p>
    <w:p w:rsidR="004641FD" w:rsidRPr="007B74B7" w:rsidRDefault="004641FD" w:rsidP="00822871">
      <w:pPr>
        <w:numPr>
          <w:ilvl w:val="0"/>
          <w:numId w:val="19"/>
        </w:numPr>
        <w:spacing w:after="60"/>
        <w:rPr>
          <w:lang w:val="it-IT"/>
        </w:rPr>
      </w:pPr>
      <w:r w:rsidRPr="007B74B7">
        <w:rPr>
          <w:rFonts w:cs="Tahoma"/>
          <w:lang w:val="it-IT"/>
        </w:rPr>
        <w:t>al quale applica e per il quale rende attuabili* direttamente o indirettamente i criteri di gruppo OPPURE</w:t>
      </w:r>
    </w:p>
    <w:p w:rsidR="004641FD" w:rsidRPr="007B74B7" w:rsidRDefault="004641FD" w:rsidP="00822871">
      <w:pPr>
        <w:numPr>
          <w:ilvl w:val="0"/>
          <w:numId w:val="19"/>
        </w:numPr>
        <w:spacing w:after="60"/>
        <w:rPr>
          <w:lang w:val="it-IT"/>
        </w:rPr>
      </w:pPr>
      <w:r w:rsidRPr="007B74B7">
        <w:rPr>
          <w:rFonts w:cs="Tahoma"/>
          <w:lang w:val="it-IT"/>
        </w:rPr>
        <w:t>tramite il quale richiede o riceve dati e configura o fornisce istruzioni all</w:t>
      </w:r>
      <w:r w:rsidR="007A1415" w:rsidRPr="007B74B7">
        <w:rPr>
          <w:rFonts w:cs="Tahoma"/>
          <w:lang w:val="it-IT"/>
        </w:rPr>
        <w:t>’</w:t>
      </w:r>
      <w:r w:rsidRPr="007B74B7">
        <w:rPr>
          <w:rFonts w:cs="Tahoma"/>
          <w:lang w:val="it-IT"/>
        </w:rPr>
        <w:t>hardware o al software associato direttamente o indirettamente a un ambiente del sistema operativo OPPURE</w:t>
      </w:r>
    </w:p>
    <w:p w:rsidR="004641FD" w:rsidRPr="007B74B7" w:rsidRDefault="004641FD" w:rsidP="00822871">
      <w:pPr>
        <w:numPr>
          <w:ilvl w:val="0"/>
          <w:numId w:val="19"/>
        </w:numPr>
        <w:spacing w:after="60"/>
        <w:rPr>
          <w:lang w:val="it-IT"/>
        </w:rPr>
      </w:pPr>
      <w:r w:rsidRPr="007B74B7">
        <w:rPr>
          <w:rFonts w:cs="Tahoma"/>
          <w:lang w:val="it-IT"/>
        </w:rPr>
        <w:t>che autorizza ad accedere a un</w:t>
      </w:r>
      <w:r w:rsidR="007A1415" w:rsidRPr="007B74B7">
        <w:rPr>
          <w:rFonts w:cs="Tahoma"/>
          <w:lang w:val="it-IT"/>
        </w:rPr>
        <w:t>’</w:t>
      </w:r>
      <w:r w:rsidRPr="007B74B7">
        <w:rPr>
          <w:rFonts w:cs="Tahoma"/>
          <w:lang w:val="it-IT"/>
        </w:rPr>
        <w:t>infrastruttura desktop virtuale (Virtual Desktop Infrastructure o</w:t>
      </w:r>
      <w:r w:rsidR="00BB7555" w:rsidRPr="007B74B7">
        <w:rPr>
          <w:rFonts w:cs="Tahoma"/>
          <w:lang w:val="it-IT"/>
        </w:rPr>
        <w:t> </w:t>
      </w:r>
      <w:r w:rsidRPr="007B74B7">
        <w:rPr>
          <w:rFonts w:cs="Tahoma"/>
          <w:lang w:val="it-IT"/>
        </w:rPr>
        <w:t>VDI) esterna a Windows Software Assurance, Windows Intune (Per Dispositivo) o ai Diritti di</w:t>
      </w:r>
      <w:r w:rsidR="00BB7555" w:rsidRPr="007B74B7">
        <w:rPr>
          <w:rFonts w:cs="Tahoma"/>
          <w:lang w:val="it-IT"/>
        </w:rPr>
        <w:t> </w:t>
      </w:r>
      <w:r w:rsidRPr="007B74B7">
        <w:rPr>
          <w:rFonts w:cs="Tahoma"/>
          <w:lang w:val="it-IT"/>
        </w:rPr>
        <w:t>Roaming per Windows Virtual Desktop Access.</w:t>
      </w:r>
    </w:p>
    <w:p w:rsidR="00755633" w:rsidRPr="007B74B7" w:rsidRDefault="00755633" w:rsidP="00755633">
      <w:pPr>
        <w:ind w:left="1440"/>
        <w:rPr>
          <w:lang w:val="it-IT"/>
        </w:rPr>
      </w:pPr>
    </w:p>
    <w:p w:rsidR="004641FD" w:rsidRPr="007B74B7" w:rsidRDefault="004641FD" w:rsidP="004641FD">
      <w:pPr>
        <w:rPr>
          <w:lang w:val="it-IT"/>
        </w:rPr>
      </w:pPr>
      <w:r w:rsidRPr="007B74B7">
        <w:rPr>
          <w:rFonts w:cs="Tahoma"/>
          <w:lang w:val="it-IT"/>
        </w:rPr>
        <w:lastRenderedPageBreak/>
        <w:t>Un dispositivo che accede solo a un</w:t>
      </w:r>
      <w:r w:rsidR="007A1415" w:rsidRPr="007B74B7">
        <w:rPr>
          <w:rFonts w:cs="Tahoma"/>
          <w:lang w:val="it-IT"/>
        </w:rPr>
        <w:t>’</w:t>
      </w:r>
      <w:r w:rsidRPr="007B74B7">
        <w:rPr>
          <w:rFonts w:cs="Tahoma"/>
          <w:lang w:val="it-IT"/>
        </w:rPr>
        <w:t>infrastruttura VDI ai sensi dei Diritti di Roaming o utilizza Windows To Go su un Dispositivo di Terzi Qualificante solo all</w:t>
      </w:r>
      <w:r w:rsidR="007A1415" w:rsidRPr="007B74B7">
        <w:rPr>
          <w:rFonts w:cs="Tahoma"/>
          <w:lang w:val="it-IT"/>
        </w:rPr>
        <w:t>’</w:t>
      </w:r>
      <w:r w:rsidRPr="007B74B7">
        <w:rPr>
          <w:rFonts w:cs="Tahoma"/>
          <w:lang w:val="it-IT"/>
        </w:rPr>
        <w:t>esterno dei locali della società, e non viene gestito per altri scopi nella modalità ivi descritta, non è considerato “gestito” ai fini dell</w:t>
      </w:r>
      <w:r w:rsidR="007A1415" w:rsidRPr="007B74B7">
        <w:rPr>
          <w:rFonts w:cs="Tahoma"/>
          <w:lang w:val="it-IT"/>
        </w:rPr>
        <w:t>’</w:t>
      </w:r>
      <w:r w:rsidRPr="007B74B7">
        <w:rPr>
          <w:rFonts w:cs="Tahoma"/>
          <w:lang w:val="it-IT"/>
        </w:rPr>
        <w:t>interpretazione della presente definizione.</w:t>
      </w:r>
    </w:p>
    <w:p w:rsidR="00755633" w:rsidRPr="007B74B7" w:rsidRDefault="00755633" w:rsidP="004641FD">
      <w:pPr>
        <w:rPr>
          <w:lang w:val="it-IT"/>
        </w:rPr>
      </w:pPr>
    </w:p>
    <w:p w:rsidR="00371299" w:rsidRPr="007B74B7" w:rsidRDefault="004641FD" w:rsidP="00510F6B">
      <w:pPr>
        <w:rPr>
          <w:lang w:val="it-IT"/>
        </w:rPr>
      </w:pPr>
      <w:r w:rsidRPr="007B74B7">
        <w:rPr>
          <w:rFonts w:cs="Tahoma"/>
          <w:lang w:val="it-IT"/>
        </w:rPr>
        <w:t>*Una società titolare di Contratti Multilicenza che controlla la disponibilità di nuovi aggiornamenti per il software del sistema operativo o la protezione/i virus, e che informa l</w:t>
      </w:r>
      <w:r w:rsidR="007A1415" w:rsidRPr="007B74B7">
        <w:rPr>
          <w:rFonts w:cs="Tahoma"/>
          <w:lang w:val="it-IT"/>
        </w:rPr>
        <w:t>’</w:t>
      </w:r>
      <w:r w:rsidRPr="007B74B7">
        <w:rPr>
          <w:rFonts w:cs="Tahoma"/>
          <w:lang w:val="it-IT"/>
        </w:rPr>
        <w:t>utente solo nel caso in cui non siano aggiornati, non sta “attuando i criteri di gruppo” per gli scopi previsti dal presente esempio.</w:t>
      </w:r>
      <w:r w:rsidR="008D782D" w:rsidRPr="007B74B7">
        <w:rPr>
          <w:rFonts w:cs="Tahoma"/>
          <w:lang w:val="it-IT"/>
        </w:rPr>
        <w:t xml:space="preserve"> </w:t>
      </w:r>
    </w:p>
    <w:p w:rsidR="00991DD4" w:rsidRPr="007B74B7" w:rsidRDefault="00991DD4" w:rsidP="00510F6B">
      <w:pPr>
        <w:rPr>
          <w:lang w:val="it-IT"/>
        </w:rPr>
      </w:pPr>
    </w:p>
    <w:p w:rsidR="00406CB0" w:rsidRPr="007B74B7" w:rsidRDefault="00023FE7" w:rsidP="00406CB0">
      <w:pPr>
        <w:pStyle w:val="Heading3"/>
        <w:rPr>
          <w:lang w:val="it-IT"/>
        </w:rPr>
      </w:pPr>
      <w:bookmarkStart w:id="682" w:name="_Toc243157227"/>
      <w:bookmarkStart w:id="683" w:name="_Toc336338194"/>
      <w:bookmarkStart w:id="684" w:name="_Toc353375974"/>
      <w:r w:rsidRPr="007B74B7">
        <w:rPr>
          <w:rFonts w:ascii="Tahoma" w:hAnsi="Tahoma"/>
          <w:sz w:val="24"/>
          <w:lang w:val="it-IT"/>
        </w:rPr>
        <w:t>Prodotti Qualificati per lo Sconto Up-to-Date (UTD)</w:t>
      </w:r>
      <w:bookmarkEnd w:id="682"/>
      <w:bookmarkEnd w:id="683"/>
      <w:bookmarkEnd w:id="684"/>
    </w:p>
    <w:p w:rsidR="00406CB0" w:rsidRPr="007B74B7" w:rsidRDefault="00406CB0" w:rsidP="00406CB0">
      <w:pPr>
        <w:pStyle w:val="Heading3"/>
        <w:rPr>
          <w:lang w:val="it-IT"/>
        </w:rPr>
      </w:pPr>
    </w:p>
    <w:p w:rsidR="00023FE7" w:rsidRPr="007B74B7" w:rsidRDefault="00023FE7" w:rsidP="00477B4D">
      <w:pPr>
        <w:rPr>
          <w:lang w:val="it-IT"/>
        </w:rPr>
      </w:pPr>
      <w:r w:rsidRPr="007B74B7">
        <w:rPr>
          <w:lang w:val="it-IT"/>
        </w:rPr>
        <w:t xml:space="preserve">Le società Open Value Subscription sono idonee allo Sconto UTD durante il primo anno del contratto “subscription”. Le società qualificanti potranno acquistare le Licenze UTD indicate di seguito, qualora siano in possesso della licenza per una delle versioni qualificanti corrispondenti precedenti o correnti tramite OEM, FPP o Contratti Multilicenza. </w:t>
      </w:r>
      <w:r w:rsidRPr="007B74B7">
        <w:rPr>
          <w:color w:val="000000"/>
          <w:lang w:val="it-IT"/>
        </w:rPr>
        <w:t>A livello generale, lo sconto viene concesso solo alla versione corrente del prodotto o alla versione immediatamente precedente. Lo Sconto UTD è indipendente dalla piattaforma, pertanto anche Mac avrà diritto allo sconto.</w:t>
      </w:r>
    </w:p>
    <w:p w:rsidR="00C353DE" w:rsidRPr="007B74B7" w:rsidRDefault="00C353DE">
      <w:pPr>
        <w:pStyle w:val="FootnoteBulletLevel1"/>
        <w:ind w:left="360" w:right="720" w:firstLine="0"/>
        <w:rPr>
          <w:lang w:val="it-IT"/>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BD7CEA"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023FE7" w:rsidRPr="00BD7CEA" w:rsidRDefault="00023FE7">
            <w:pPr>
              <w:ind w:right="720"/>
              <w:jc w:val="center"/>
              <w:rPr>
                <w:rFonts w:eastAsia="Calibri" w:cs="Tahoma"/>
                <w:b/>
                <w:bCs/>
                <w:color w:val="404040"/>
              </w:rPr>
            </w:pPr>
            <w:r w:rsidRPr="00BD7CEA">
              <w:rPr>
                <w:rFonts w:cs="Tahoma"/>
                <w:b/>
                <w:bCs/>
              </w:rPr>
              <w:t>Licenza UTD</w:t>
            </w:r>
          </w:p>
        </w:tc>
        <w:tc>
          <w:tcPr>
            <w:tcW w:w="4298" w:type="dxa"/>
            <w:tcBorders>
              <w:top w:val="single" w:sz="8" w:space="0" w:color="auto"/>
              <w:left w:val="nil"/>
              <w:bottom w:val="single" w:sz="8" w:space="0" w:color="auto"/>
              <w:right w:val="single" w:sz="8" w:space="0" w:color="auto"/>
            </w:tcBorders>
            <w:shd w:val="clear" w:color="auto" w:fill="FFCC99"/>
          </w:tcPr>
          <w:p w:rsidR="00023FE7" w:rsidRPr="00BD7CEA" w:rsidRDefault="00023FE7">
            <w:pPr>
              <w:ind w:right="720"/>
              <w:jc w:val="center"/>
              <w:rPr>
                <w:rFonts w:eastAsia="Calibri" w:cs="Tahoma"/>
                <w:b/>
                <w:bCs/>
                <w:color w:val="404040"/>
              </w:rPr>
            </w:pPr>
            <w:r w:rsidRPr="00BD7CEA">
              <w:rPr>
                <w:rFonts w:cs="Tahoma"/>
                <w:b/>
                <w:bCs/>
              </w:rPr>
              <w:t>Versione Qualificante</w:t>
            </w:r>
          </w:p>
        </w:tc>
      </w:tr>
      <w:tr w:rsidR="00023FE7" w:rsidRPr="00BD7CEA" w:rsidTr="0044720D">
        <w:trPr>
          <w:trHeight w:val="576"/>
        </w:trPr>
        <w:tc>
          <w:tcPr>
            <w:tcW w:w="3809" w:type="dxa"/>
            <w:tcBorders>
              <w:top w:val="nil"/>
              <w:left w:val="single" w:sz="8" w:space="0" w:color="auto"/>
              <w:bottom w:val="single" w:sz="8" w:space="0" w:color="auto"/>
              <w:right w:val="single" w:sz="8" w:space="0" w:color="auto"/>
            </w:tcBorders>
          </w:tcPr>
          <w:p w:rsidR="00023FE7" w:rsidRPr="00BD7CEA" w:rsidRDefault="00023FE7" w:rsidP="00230E01">
            <w:pPr>
              <w:spacing w:before="60"/>
              <w:ind w:left="360" w:right="720"/>
              <w:jc w:val="center"/>
              <w:rPr>
                <w:rFonts w:eastAsia="Calibri" w:cs="Tahoma"/>
                <w:szCs w:val="18"/>
              </w:rPr>
            </w:pPr>
            <w:r w:rsidRPr="00BD7CEA">
              <w:rPr>
                <w:rFonts w:cs="Tahoma"/>
                <w:szCs w:val="18"/>
              </w:rPr>
              <w:t>Core CAL (Dispositivo o Utente)</w:t>
            </w:r>
          </w:p>
        </w:tc>
        <w:tc>
          <w:tcPr>
            <w:tcW w:w="4298" w:type="dxa"/>
            <w:tcBorders>
              <w:top w:val="nil"/>
              <w:left w:val="nil"/>
              <w:bottom w:val="single" w:sz="8" w:space="0" w:color="auto"/>
              <w:right w:val="single" w:sz="8" w:space="0" w:color="auto"/>
            </w:tcBorders>
          </w:tcPr>
          <w:p w:rsidR="00023FE7" w:rsidRPr="00BD7CEA" w:rsidRDefault="00023FE7" w:rsidP="00230E01">
            <w:pPr>
              <w:pStyle w:val="Bulletedlistflush"/>
              <w:spacing w:before="60"/>
              <w:ind w:left="576" w:right="720" w:firstLine="0"/>
              <w:jc w:val="center"/>
            </w:pPr>
            <w:r w:rsidRPr="00BD7CEA">
              <w:rPr>
                <w:rFonts w:ascii="Tahoma" w:hAnsi="Tahoma" w:cs="Tahoma"/>
                <w:sz w:val="18"/>
                <w:szCs w:val="18"/>
              </w:rPr>
              <w:t>Qualsiasi Core CAL</w:t>
            </w:r>
          </w:p>
          <w:p w:rsidR="00023FE7" w:rsidRPr="00BD7CEA" w:rsidRDefault="00023FE7" w:rsidP="00230E01">
            <w:pPr>
              <w:pStyle w:val="Bulletedlistflush"/>
              <w:ind w:left="576" w:right="720" w:firstLine="0"/>
              <w:jc w:val="center"/>
              <w:rPr>
                <w:rFonts w:ascii="Tahoma" w:hAnsi="Tahoma" w:cs="Tahoma"/>
                <w:sz w:val="18"/>
                <w:szCs w:val="18"/>
              </w:rPr>
            </w:pPr>
          </w:p>
        </w:tc>
      </w:tr>
      <w:tr w:rsidR="00023FE7" w:rsidRPr="00BD7CEA" w:rsidTr="0044720D">
        <w:trPr>
          <w:trHeight w:val="576"/>
        </w:trPr>
        <w:tc>
          <w:tcPr>
            <w:tcW w:w="3809" w:type="dxa"/>
            <w:tcBorders>
              <w:top w:val="nil"/>
              <w:left w:val="single" w:sz="8" w:space="0" w:color="auto"/>
              <w:bottom w:val="single" w:sz="8" w:space="0" w:color="auto"/>
              <w:right w:val="single" w:sz="8" w:space="0" w:color="auto"/>
            </w:tcBorders>
          </w:tcPr>
          <w:p w:rsidR="00023FE7" w:rsidRPr="00BD7CEA" w:rsidRDefault="00023FE7" w:rsidP="00BB7555">
            <w:pPr>
              <w:spacing w:before="60"/>
              <w:ind w:left="360" w:right="720"/>
              <w:jc w:val="center"/>
              <w:rPr>
                <w:rFonts w:eastAsia="Calibri" w:cs="Tahoma"/>
                <w:szCs w:val="18"/>
              </w:rPr>
            </w:pPr>
            <w:r w:rsidRPr="00BD7CEA">
              <w:rPr>
                <w:rFonts w:cs="Tahoma"/>
                <w:szCs w:val="18"/>
              </w:rPr>
              <w:t>Enterprise CAL (Dispositivo o</w:t>
            </w:r>
            <w:r w:rsidR="00BB7555" w:rsidRPr="00BD7CEA">
              <w:rPr>
                <w:rFonts w:cs="Tahoma"/>
                <w:szCs w:val="18"/>
              </w:rPr>
              <w:t> </w:t>
            </w:r>
            <w:r w:rsidRPr="00BD7CEA">
              <w:rPr>
                <w:rFonts w:cs="Tahoma"/>
                <w:szCs w:val="18"/>
              </w:rPr>
              <w:t>Utente)</w:t>
            </w:r>
          </w:p>
        </w:tc>
        <w:tc>
          <w:tcPr>
            <w:tcW w:w="4298" w:type="dxa"/>
            <w:tcBorders>
              <w:top w:val="nil"/>
              <w:left w:val="nil"/>
              <w:bottom w:val="single" w:sz="8" w:space="0" w:color="auto"/>
              <w:right w:val="single" w:sz="8" w:space="0" w:color="auto"/>
            </w:tcBorders>
          </w:tcPr>
          <w:p w:rsidR="00023FE7" w:rsidRPr="00BD7CEA" w:rsidRDefault="00023FE7" w:rsidP="00230E01">
            <w:pPr>
              <w:pStyle w:val="Bulletedlistflush"/>
              <w:spacing w:before="60"/>
              <w:ind w:left="576" w:right="720" w:firstLine="0"/>
              <w:jc w:val="center"/>
              <w:rPr>
                <w:rFonts w:ascii="Tahoma" w:hAnsi="Tahoma" w:cs="Tahoma"/>
                <w:sz w:val="18"/>
                <w:szCs w:val="18"/>
              </w:rPr>
            </w:pPr>
            <w:r w:rsidRPr="00BD7CEA">
              <w:rPr>
                <w:rFonts w:ascii="Tahoma" w:hAnsi="Tahoma" w:cs="Tahoma"/>
                <w:sz w:val="18"/>
                <w:szCs w:val="18"/>
              </w:rPr>
              <w:t>Qualsiasi Enterprise CAL</w:t>
            </w:r>
          </w:p>
        </w:tc>
      </w:tr>
      <w:tr w:rsidR="0000615E" w:rsidRPr="00BD7CEA" w:rsidTr="0044720D">
        <w:trPr>
          <w:trHeight w:val="576"/>
        </w:trPr>
        <w:tc>
          <w:tcPr>
            <w:tcW w:w="3809" w:type="dxa"/>
            <w:tcBorders>
              <w:top w:val="nil"/>
              <w:left w:val="single" w:sz="8" w:space="0" w:color="auto"/>
              <w:bottom w:val="single" w:sz="8" w:space="0" w:color="auto"/>
              <w:right w:val="single" w:sz="8" w:space="0" w:color="auto"/>
            </w:tcBorders>
          </w:tcPr>
          <w:p w:rsidR="0000615E" w:rsidRPr="00BD7CEA" w:rsidRDefault="0000615E" w:rsidP="00230E01">
            <w:pPr>
              <w:spacing w:before="60"/>
              <w:ind w:left="360" w:right="720"/>
              <w:jc w:val="center"/>
              <w:rPr>
                <w:rFonts w:eastAsia="Calibri" w:cs="Tahoma"/>
                <w:szCs w:val="18"/>
              </w:rPr>
            </w:pPr>
            <w:r w:rsidRPr="00BD7CEA">
              <w:rPr>
                <w:rFonts w:cs="Tahoma"/>
                <w:szCs w:val="18"/>
              </w:rPr>
              <w:t>Office Professional Plus 2013</w:t>
            </w:r>
          </w:p>
        </w:tc>
        <w:tc>
          <w:tcPr>
            <w:tcW w:w="4298" w:type="dxa"/>
            <w:tcBorders>
              <w:top w:val="nil"/>
              <w:left w:val="nil"/>
              <w:bottom w:val="single" w:sz="8" w:space="0" w:color="auto"/>
              <w:right w:val="single" w:sz="8" w:space="0" w:color="auto"/>
            </w:tcBorders>
          </w:tcPr>
          <w:p w:rsidR="008B2AA7" w:rsidRPr="007B74B7" w:rsidRDefault="008B2AA7" w:rsidP="00230E01">
            <w:pPr>
              <w:pStyle w:val="Bulletedlistflush"/>
              <w:spacing w:before="60"/>
              <w:ind w:left="576" w:right="720" w:firstLine="0"/>
              <w:jc w:val="center"/>
              <w:rPr>
                <w:sz w:val="18"/>
                <w:szCs w:val="18"/>
                <w:lang w:val="fr-FR"/>
              </w:rPr>
            </w:pPr>
            <w:r w:rsidRPr="007B74B7">
              <w:rPr>
                <w:rFonts w:ascii="Tahoma" w:hAnsi="Tahoma" w:cs="Tahoma"/>
                <w:sz w:val="18"/>
                <w:szCs w:val="18"/>
                <w:lang w:val="fr-FR"/>
              </w:rPr>
              <w:t>Office Professional Plus 2013</w:t>
            </w:r>
          </w:p>
          <w:p w:rsidR="0000615E" w:rsidRPr="007B74B7" w:rsidRDefault="0000615E" w:rsidP="00230E01">
            <w:pPr>
              <w:pStyle w:val="Bulletedlistflush"/>
              <w:ind w:left="576" w:right="720" w:firstLine="0"/>
              <w:jc w:val="center"/>
              <w:rPr>
                <w:sz w:val="18"/>
                <w:szCs w:val="18"/>
                <w:lang w:val="fr-FR"/>
              </w:rPr>
            </w:pPr>
            <w:r w:rsidRPr="007B74B7">
              <w:rPr>
                <w:rFonts w:ascii="Tahoma" w:hAnsi="Tahoma" w:cs="Tahoma"/>
                <w:sz w:val="18"/>
                <w:szCs w:val="18"/>
                <w:lang w:val="fr-FR"/>
              </w:rPr>
              <w:t>Office Professional Plus 2010</w:t>
            </w:r>
          </w:p>
          <w:p w:rsidR="002D0FAC" w:rsidRPr="00BD7CEA" w:rsidRDefault="002D0FAC" w:rsidP="00230E01">
            <w:pPr>
              <w:pStyle w:val="Bulletedlistflush"/>
              <w:ind w:left="576" w:right="720" w:firstLine="0"/>
              <w:jc w:val="center"/>
              <w:rPr>
                <w:sz w:val="18"/>
                <w:szCs w:val="18"/>
              </w:rPr>
            </w:pPr>
            <w:r w:rsidRPr="00BD7CEA">
              <w:rPr>
                <w:rFonts w:ascii="Tahoma" w:hAnsi="Tahoma" w:cs="Tahoma"/>
                <w:sz w:val="18"/>
                <w:szCs w:val="18"/>
              </w:rPr>
              <w:t>Office 2013 Professional</w:t>
            </w:r>
          </w:p>
          <w:p w:rsidR="0000615E" w:rsidRPr="00BD7CEA" w:rsidRDefault="0000615E" w:rsidP="00230E01">
            <w:pPr>
              <w:pStyle w:val="Bulletedlistflush"/>
              <w:ind w:left="576" w:right="720" w:firstLine="0"/>
              <w:jc w:val="center"/>
              <w:rPr>
                <w:sz w:val="18"/>
                <w:szCs w:val="18"/>
              </w:rPr>
            </w:pPr>
            <w:r w:rsidRPr="00BD7CEA">
              <w:rPr>
                <w:rFonts w:ascii="Tahoma" w:hAnsi="Tahoma" w:cs="Tahoma"/>
                <w:sz w:val="18"/>
                <w:szCs w:val="18"/>
              </w:rPr>
              <w:t>Office 2010 Professional</w:t>
            </w:r>
          </w:p>
          <w:p w:rsidR="0000615E" w:rsidRPr="00BD7CEA" w:rsidRDefault="0000615E" w:rsidP="008B2AA7">
            <w:pPr>
              <w:pStyle w:val="Bulletedlistflush"/>
              <w:ind w:left="576" w:right="720" w:firstLine="0"/>
              <w:jc w:val="center"/>
              <w:rPr>
                <w:rFonts w:ascii="Tahoma" w:hAnsi="Tahoma" w:cs="Tahoma"/>
                <w:sz w:val="18"/>
                <w:szCs w:val="18"/>
              </w:rPr>
            </w:pPr>
          </w:p>
        </w:tc>
      </w:tr>
      <w:tr w:rsidR="00023FE7" w:rsidRPr="00BD7CEA" w:rsidTr="0044720D">
        <w:trPr>
          <w:trHeight w:val="576"/>
        </w:trPr>
        <w:tc>
          <w:tcPr>
            <w:tcW w:w="3809" w:type="dxa"/>
            <w:tcBorders>
              <w:top w:val="nil"/>
              <w:left w:val="single" w:sz="8" w:space="0" w:color="auto"/>
              <w:bottom w:val="single" w:sz="8" w:space="0" w:color="auto"/>
              <w:right w:val="single" w:sz="8" w:space="0" w:color="auto"/>
            </w:tcBorders>
          </w:tcPr>
          <w:p w:rsidR="00023FE7" w:rsidRPr="00BD7CEA" w:rsidRDefault="00023FE7" w:rsidP="00BB7555">
            <w:pPr>
              <w:spacing w:before="60"/>
              <w:ind w:left="360" w:right="720"/>
              <w:jc w:val="center"/>
              <w:rPr>
                <w:rFonts w:eastAsia="Calibri" w:cs="Tahoma"/>
                <w:color w:val="000000"/>
                <w:szCs w:val="18"/>
              </w:rPr>
            </w:pPr>
            <w:r w:rsidRPr="00BD7CEA">
              <w:rPr>
                <w:rFonts w:cs="Tahoma"/>
                <w:color w:val="000000"/>
                <w:szCs w:val="18"/>
              </w:rPr>
              <w:t>CAL per Small Business Server Standard 2011 (Dispositivo o</w:t>
            </w:r>
            <w:r w:rsidR="00BB7555" w:rsidRPr="00BD7CEA">
              <w:rPr>
                <w:rFonts w:cs="Tahoma"/>
                <w:color w:val="000000"/>
                <w:szCs w:val="18"/>
              </w:rPr>
              <w:t> </w:t>
            </w:r>
            <w:r w:rsidRPr="00BD7CEA">
              <w:rPr>
                <w:rFonts w:cs="Tahoma"/>
                <w:color w:val="000000"/>
                <w:szCs w:val="18"/>
              </w:rPr>
              <w:t>Utente)</w:t>
            </w:r>
          </w:p>
        </w:tc>
        <w:tc>
          <w:tcPr>
            <w:tcW w:w="4298" w:type="dxa"/>
            <w:tcBorders>
              <w:top w:val="nil"/>
              <w:left w:val="nil"/>
              <w:bottom w:val="single" w:sz="8" w:space="0" w:color="auto"/>
              <w:right w:val="single" w:sz="8" w:space="0" w:color="auto"/>
            </w:tcBorders>
          </w:tcPr>
          <w:p w:rsidR="00684C4D" w:rsidRPr="00BD7CEA" w:rsidRDefault="00684C4D" w:rsidP="00230E01">
            <w:pPr>
              <w:spacing w:before="60"/>
              <w:ind w:left="576" w:right="720"/>
              <w:jc w:val="center"/>
              <w:rPr>
                <w:szCs w:val="18"/>
              </w:rPr>
            </w:pPr>
            <w:r w:rsidRPr="00BD7CEA">
              <w:rPr>
                <w:rFonts w:eastAsia="Calibri" w:cs="Tahoma"/>
                <w:color w:val="000000"/>
                <w:szCs w:val="18"/>
              </w:rPr>
              <w:t>CAL per Windows Small Business Server 2011</w:t>
            </w:r>
          </w:p>
          <w:p w:rsidR="00023FE7" w:rsidRPr="00BD7CEA" w:rsidRDefault="00023FE7">
            <w:pPr>
              <w:pStyle w:val="Bulletedlistflush"/>
              <w:ind w:left="576" w:right="720" w:firstLine="0"/>
              <w:jc w:val="center"/>
              <w:rPr>
                <w:sz w:val="18"/>
                <w:szCs w:val="18"/>
              </w:rPr>
            </w:pPr>
            <w:r w:rsidRPr="00BD7CEA">
              <w:rPr>
                <w:rFonts w:ascii="Tahoma" w:hAnsi="Tahoma" w:cs="Tahoma"/>
                <w:color w:val="000000"/>
                <w:sz w:val="18"/>
                <w:szCs w:val="18"/>
              </w:rPr>
              <w:t>CAL per Windows Small Business Server Standard 2008</w:t>
            </w:r>
          </w:p>
          <w:p w:rsidR="00023FE7" w:rsidRPr="00BD7CEA" w:rsidRDefault="00023FE7" w:rsidP="00230E01">
            <w:pPr>
              <w:pStyle w:val="Bulletedlistflush"/>
              <w:ind w:left="576" w:right="720" w:firstLine="0"/>
              <w:jc w:val="center"/>
              <w:rPr>
                <w:rFonts w:ascii="Tahoma" w:hAnsi="Tahoma" w:cs="Tahoma"/>
                <w:color w:val="000000"/>
                <w:sz w:val="18"/>
                <w:szCs w:val="18"/>
              </w:rPr>
            </w:pPr>
          </w:p>
        </w:tc>
      </w:tr>
      <w:tr w:rsidR="00023FE7" w:rsidRPr="00BD7CEA" w:rsidTr="0044720D">
        <w:trPr>
          <w:trHeight w:val="576"/>
        </w:trPr>
        <w:tc>
          <w:tcPr>
            <w:tcW w:w="3809" w:type="dxa"/>
            <w:tcBorders>
              <w:top w:val="nil"/>
              <w:left w:val="single" w:sz="8" w:space="0" w:color="auto"/>
              <w:bottom w:val="single" w:sz="8" w:space="0" w:color="auto"/>
              <w:right w:val="single" w:sz="8" w:space="0" w:color="auto"/>
            </w:tcBorders>
          </w:tcPr>
          <w:p w:rsidR="00023FE7" w:rsidRPr="00BD7CEA" w:rsidRDefault="00023FE7" w:rsidP="00230E01">
            <w:pPr>
              <w:spacing w:before="60"/>
              <w:ind w:left="360" w:right="720"/>
              <w:jc w:val="center"/>
              <w:rPr>
                <w:rFonts w:eastAsia="Calibri" w:cs="Tahoma"/>
                <w:szCs w:val="18"/>
              </w:rPr>
            </w:pPr>
            <w:r w:rsidRPr="00BD7CEA">
              <w:rPr>
                <w:rFonts w:cs="Tahoma"/>
                <w:szCs w:val="18"/>
              </w:rPr>
              <w:t>CAL per Small Business Server Premium 2011 (Dispositivo o Utente)</w:t>
            </w:r>
          </w:p>
        </w:tc>
        <w:tc>
          <w:tcPr>
            <w:tcW w:w="4298" w:type="dxa"/>
            <w:tcBorders>
              <w:top w:val="nil"/>
              <w:left w:val="nil"/>
              <w:bottom w:val="single" w:sz="8" w:space="0" w:color="auto"/>
              <w:right w:val="single" w:sz="8" w:space="0" w:color="auto"/>
            </w:tcBorders>
          </w:tcPr>
          <w:p w:rsidR="00684C4D" w:rsidRPr="00BD7CEA" w:rsidRDefault="00684C4D" w:rsidP="00230E01">
            <w:pPr>
              <w:spacing w:before="60"/>
              <w:ind w:left="576" w:right="720"/>
              <w:jc w:val="center"/>
              <w:rPr>
                <w:szCs w:val="18"/>
              </w:rPr>
            </w:pPr>
            <w:r w:rsidRPr="00BD7CEA">
              <w:rPr>
                <w:rFonts w:eastAsia="Calibri" w:cs="Tahoma"/>
                <w:color w:val="000000"/>
                <w:szCs w:val="18"/>
              </w:rPr>
              <w:t>CAL per Windows Small Business Server Premium 2011</w:t>
            </w:r>
          </w:p>
          <w:p w:rsidR="00023FE7" w:rsidRPr="00BD7CEA" w:rsidRDefault="00023FE7">
            <w:pPr>
              <w:pStyle w:val="Bulletedlistflush"/>
              <w:ind w:left="576" w:right="720" w:firstLine="0"/>
              <w:jc w:val="center"/>
              <w:rPr>
                <w:sz w:val="18"/>
                <w:szCs w:val="18"/>
              </w:rPr>
            </w:pPr>
            <w:r w:rsidRPr="00BD7CEA">
              <w:rPr>
                <w:rFonts w:ascii="Tahoma" w:hAnsi="Tahoma" w:cs="Tahoma"/>
                <w:color w:val="000000"/>
                <w:sz w:val="18"/>
                <w:szCs w:val="18"/>
              </w:rPr>
              <w:t>CAL per Windows Small Business Server Premium 2008</w:t>
            </w:r>
          </w:p>
          <w:p w:rsidR="00023FE7" w:rsidRPr="00BD7CEA" w:rsidRDefault="00023FE7" w:rsidP="00230E01">
            <w:pPr>
              <w:pStyle w:val="Bulletedlistflush"/>
              <w:ind w:left="576" w:right="720" w:firstLine="0"/>
              <w:jc w:val="center"/>
              <w:rPr>
                <w:rFonts w:ascii="Tahoma" w:hAnsi="Tahoma" w:cs="Tahoma"/>
                <w:sz w:val="18"/>
                <w:szCs w:val="18"/>
              </w:rPr>
            </w:pPr>
          </w:p>
        </w:tc>
      </w:tr>
      <w:tr w:rsidR="00023FE7" w:rsidRPr="00BD7CEA" w:rsidTr="0044720D">
        <w:trPr>
          <w:trHeight w:val="576"/>
        </w:trPr>
        <w:tc>
          <w:tcPr>
            <w:tcW w:w="3809" w:type="dxa"/>
            <w:tcBorders>
              <w:top w:val="nil"/>
              <w:left w:val="single" w:sz="8" w:space="0" w:color="auto"/>
              <w:bottom w:val="single" w:sz="8" w:space="0" w:color="auto"/>
              <w:right w:val="single" w:sz="8" w:space="0" w:color="auto"/>
            </w:tcBorders>
          </w:tcPr>
          <w:p w:rsidR="00023FE7" w:rsidRPr="00BD7CEA" w:rsidRDefault="00023FE7" w:rsidP="00230E01">
            <w:pPr>
              <w:spacing w:before="60"/>
              <w:ind w:left="360" w:right="720"/>
              <w:jc w:val="center"/>
              <w:rPr>
                <w:szCs w:val="18"/>
              </w:rPr>
            </w:pPr>
            <w:r w:rsidRPr="00BD7CEA">
              <w:rPr>
                <w:rFonts w:cs="Tahoma"/>
                <w:szCs w:val="18"/>
              </w:rPr>
              <w:t>CAL per Essential Business Server Standard 2008 (Dispositivo o</w:t>
            </w:r>
            <w:r w:rsidR="00BB7555" w:rsidRPr="00BD7CEA">
              <w:rPr>
                <w:rFonts w:cs="Tahoma"/>
                <w:color w:val="000000"/>
                <w:szCs w:val="18"/>
              </w:rPr>
              <w:t> </w:t>
            </w:r>
            <w:r w:rsidRPr="00BD7CEA">
              <w:rPr>
                <w:rFonts w:cs="Tahoma"/>
                <w:szCs w:val="18"/>
              </w:rPr>
              <w:t>Utente)</w:t>
            </w:r>
          </w:p>
          <w:p w:rsidR="00230E01" w:rsidRPr="00BD7CEA" w:rsidRDefault="00230E01" w:rsidP="00230E01">
            <w:pPr>
              <w:ind w:left="360" w:right="720"/>
              <w:jc w:val="center"/>
              <w:rPr>
                <w:rFonts w:eastAsia="Calibri" w:cs="Tahoma"/>
                <w:szCs w:val="18"/>
              </w:rPr>
            </w:pPr>
          </w:p>
        </w:tc>
        <w:tc>
          <w:tcPr>
            <w:tcW w:w="4298" w:type="dxa"/>
            <w:tcBorders>
              <w:top w:val="nil"/>
              <w:left w:val="nil"/>
              <w:bottom w:val="single" w:sz="8" w:space="0" w:color="auto"/>
              <w:right w:val="single" w:sz="8" w:space="0" w:color="auto"/>
            </w:tcBorders>
          </w:tcPr>
          <w:p w:rsidR="00023FE7" w:rsidRPr="00BD7CEA" w:rsidRDefault="00023FE7" w:rsidP="00230E01">
            <w:pPr>
              <w:pStyle w:val="Bulletedlistflush"/>
              <w:spacing w:before="60"/>
              <w:ind w:left="576" w:right="720" w:firstLine="0"/>
              <w:jc w:val="center"/>
              <w:rPr>
                <w:rFonts w:ascii="Tahoma" w:hAnsi="Tahoma" w:cs="Tahoma"/>
                <w:sz w:val="18"/>
                <w:szCs w:val="18"/>
              </w:rPr>
            </w:pPr>
            <w:r w:rsidRPr="00BD7CEA">
              <w:rPr>
                <w:rFonts w:ascii="Tahoma" w:hAnsi="Tahoma" w:cs="Tahoma"/>
                <w:sz w:val="18"/>
                <w:szCs w:val="18"/>
              </w:rPr>
              <w:t>CAL per Windows Essential Business Server Standard 2008</w:t>
            </w:r>
          </w:p>
        </w:tc>
      </w:tr>
      <w:tr w:rsidR="00023FE7" w:rsidRPr="00BD7CEA" w:rsidTr="0044720D">
        <w:trPr>
          <w:trHeight w:val="576"/>
        </w:trPr>
        <w:tc>
          <w:tcPr>
            <w:tcW w:w="3809" w:type="dxa"/>
            <w:tcBorders>
              <w:top w:val="nil"/>
              <w:left w:val="single" w:sz="8" w:space="0" w:color="auto"/>
              <w:bottom w:val="single" w:sz="8" w:space="0" w:color="auto"/>
              <w:right w:val="single" w:sz="8" w:space="0" w:color="auto"/>
            </w:tcBorders>
          </w:tcPr>
          <w:p w:rsidR="00023FE7" w:rsidRPr="00BD7CEA" w:rsidRDefault="00023FE7" w:rsidP="00230E01">
            <w:pPr>
              <w:spacing w:before="60"/>
              <w:ind w:left="360" w:right="720"/>
              <w:jc w:val="center"/>
              <w:rPr>
                <w:szCs w:val="18"/>
              </w:rPr>
            </w:pPr>
            <w:r w:rsidRPr="00BD7CEA">
              <w:rPr>
                <w:rFonts w:cs="Tahoma"/>
                <w:szCs w:val="18"/>
              </w:rPr>
              <w:t>CAL per Essential Business Server Premium 2008 (Dispositivo o</w:t>
            </w:r>
            <w:r w:rsidR="00BB7555" w:rsidRPr="00BD7CEA">
              <w:rPr>
                <w:rFonts w:cs="Tahoma"/>
                <w:color w:val="000000"/>
                <w:szCs w:val="18"/>
              </w:rPr>
              <w:t> </w:t>
            </w:r>
            <w:r w:rsidRPr="00BD7CEA">
              <w:rPr>
                <w:rFonts w:cs="Tahoma"/>
                <w:szCs w:val="18"/>
              </w:rPr>
              <w:t>Utente)</w:t>
            </w:r>
          </w:p>
          <w:p w:rsidR="00230E01" w:rsidRPr="00BD7CEA" w:rsidRDefault="00230E01" w:rsidP="00230E01">
            <w:pPr>
              <w:ind w:left="360" w:right="720"/>
              <w:jc w:val="center"/>
              <w:rPr>
                <w:rFonts w:eastAsia="Calibri" w:cs="Tahoma"/>
                <w:szCs w:val="18"/>
              </w:rPr>
            </w:pPr>
          </w:p>
        </w:tc>
        <w:tc>
          <w:tcPr>
            <w:tcW w:w="4298" w:type="dxa"/>
            <w:tcBorders>
              <w:top w:val="nil"/>
              <w:left w:val="nil"/>
              <w:bottom w:val="single" w:sz="8" w:space="0" w:color="auto"/>
              <w:right w:val="single" w:sz="8" w:space="0" w:color="auto"/>
            </w:tcBorders>
          </w:tcPr>
          <w:p w:rsidR="00023FE7" w:rsidRPr="00BD7CEA" w:rsidRDefault="00023FE7" w:rsidP="00230E01">
            <w:pPr>
              <w:pStyle w:val="Bulletedlistflush"/>
              <w:spacing w:before="60"/>
              <w:ind w:left="576" w:right="720" w:firstLine="0"/>
              <w:jc w:val="center"/>
              <w:rPr>
                <w:rFonts w:ascii="Tahoma" w:hAnsi="Tahoma" w:cs="Tahoma"/>
                <w:sz w:val="18"/>
                <w:szCs w:val="18"/>
              </w:rPr>
            </w:pPr>
            <w:r w:rsidRPr="00BD7CEA">
              <w:rPr>
                <w:rFonts w:ascii="Tahoma" w:hAnsi="Tahoma" w:cs="Tahoma"/>
                <w:sz w:val="18"/>
                <w:szCs w:val="18"/>
              </w:rPr>
              <w:t>CAL per Windows Essential Business Server Premium 2008</w:t>
            </w:r>
          </w:p>
        </w:tc>
      </w:tr>
      <w:tr w:rsidR="00023FE7" w:rsidRPr="00BD7CEA" w:rsidTr="0044720D">
        <w:trPr>
          <w:trHeight w:val="576"/>
        </w:trPr>
        <w:tc>
          <w:tcPr>
            <w:tcW w:w="3809" w:type="dxa"/>
            <w:tcBorders>
              <w:top w:val="nil"/>
              <w:left w:val="single" w:sz="8" w:space="0" w:color="auto"/>
              <w:bottom w:val="single" w:sz="8" w:space="0" w:color="auto"/>
              <w:right w:val="single" w:sz="8" w:space="0" w:color="auto"/>
            </w:tcBorders>
          </w:tcPr>
          <w:p w:rsidR="00023FE7" w:rsidRPr="00BD7CEA" w:rsidRDefault="00023FE7" w:rsidP="00230E01">
            <w:pPr>
              <w:spacing w:before="60"/>
              <w:ind w:left="360" w:right="720"/>
              <w:jc w:val="center"/>
              <w:rPr>
                <w:rFonts w:eastAsia="Calibri" w:cs="Tahoma"/>
                <w:szCs w:val="18"/>
              </w:rPr>
            </w:pPr>
            <w:r w:rsidRPr="00BD7CEA">
              <w:rPr>
                <w:rFonts w:cs="Tahoma"/>
                <w:szCs w:val="18"/>
              </w:rPr>
              <w:t xml:space="preserve">Aggiornamento per </w:t>
            </w:r>
            <w:r w:rsidR="00BB7555" w:rsidRPr="00BD7CEA">
              <w:rPr>
                <w:rFonts w:cs="Tahoma"/>
                <w:szCs w:val="18"/>
              </w:rPr>
              <w:br/>
            </w:r>
            <w:r w:rsidRPr="00BD7CEA">
              <w:rPr>
                <w:rFonts w:cs="Tahoma"/>
                <w:szCs w:val="18"/>
              </w:rPr>
              <w:t>Windows 8 Pro</w:t>
            </w:r>
          </w:p>
        </w:tc>
        <w:tc>
          <w:tcPr>
            <w:tcW w:w="4298" w:type="dxa"/>
            <w:tcBorders>
              <w:top w:val="nil"/>
              <w:left w:val="nil"/>
              <w:bottom w:val="single" w:sz="8" w:space="0" w:color="auto"/>
              <w:right w:val="single" w:sz="8" w:space="0" w:color="auto"/>
            </w:tcBorders>
          </w:tcPr>
          <w:p w:rsidR="008B6EDD" w:rsidRPr="00BD7CEA" w:rsidRDefault="008B6EDD" w:rsidP="00230E01">
            <w:pPr>
              <w:pStyle w:val="Bulletedlistflush"/>
              <w:spacing w:before="60"/>
              <w:ind w:left="576" w:right="720" w:firstLine="0"/>
              <w:jc w:val="center"/>
            </w:pPr>
            <w:r w:rsidRPr="00BD7CEA">
              <w:rPr>
                <w:rFonts w:ascii="Tahoma" w:hAnsi="Tahoma" w:cs="Tahoma"/>
                <w:sz w:val="18"/>
                <w:szCs w:val="18"/>
              </w:rPr>
              <w:t>Windows 8 Pro</w:t>
            </w:r>
          </w:p>
          <w:p w:rsidR="00023FE7" w:rsidRPr="00BD7CEA" w:rsidRDefault="00023FE7" w:rsidP="008B6EDD">
            <w:pPr>
              <w:pStyle w:val="Bulletedlistflush"/>
              <w:ind w:left="576" w:right="720" w:firstLine="0"/>
              <w:jc w:val="center"/>
              <w:rPr>
                <w:rFonts w:ascii="Tahoma" w:hAnsi="Tahoma" w:cs="Tahoma"/>
                <w:sz w:val="18"/>
                <w:szCs w:val="18"/>
              </w:rPr>
            </w:pPr>
            <w:r w:rsidRPr="00BD7CEA">
              <w:rPr>
                <w:rFonts w:ascii="Tahoma" w:hAnsi="Tahoma" w:cs="Tahoma"/>
                <w:sz w:val="18"/>
                <w:szCs w:val="18"/>
              </w:rPr>
              <w:t>Windows 7 Professional</w:t>
            </w:r>
          </w:p>
        </w:tc>
      </w:tr>
    </w:tbl>
    <w:p w:rsidR="00991DD4" w:rsidRPr="00BD7CEA" w:rsidRDefault="00991DD4"/>
    <w:p w:rsidR="00BB7555" w:rsidRPr="00BD7CEA" w:rsidRDefault="00BB7555"/>
    <w:p w:rsidR="00BB7555" w:rsidRPr="00BD7CEA" w:rsidRDefault="00BB7555"/>
    <w:p w:rsidR="00BB7555" w:rsidRPr="00BD7CEA" w:rsidRDefault="00BB7555"/>
    <w:p w:rsidR="00BB7555" w:rsidRPr="00BD7CEA" w:rsidRDefault="00BB7555"/>
    <w:p w:rsidR="00BB7555" w:rsidRPr="00BD7CEA" w:rsidRDefault="00BB7555"/>
    <w:p w:rsidR="00456002" w:rsidRPr="007B74B7" w:rsidRDefault="00456002" w:rsidP="00456002">
      <w:pPr>
        <w:pStyle w:val="Heading2"/>
        <w:ind w:left="0"/>
        <w:rPr>
          <w:lang w:val="it-IT"/>
        </w:rPr>
      </w:pPr>
      <w:bookmarkStart w:id="685" w:name="_Toc336338195"/>
      <w:bookmarkStart w:id="686" w:name="_Toc353375975"/>
      <w:r w:rsidRPr="007B74B7">
        <w:rPr>
          <w:rFonts w:ascii="Tahoma" w:hAnsi="Tahoma" w:cs="Tahoma"/>
          <w:lang w:val="it-IT"/>
        </w:rPr>
        <w:lastRenderedPageBreak/>
        <w:t>Condizioni Aggiornate per i Programmi Contratto Enterprise e Contratto</w:t>
      </w:r>
      <w:r w:rsidR="00095F5D" w:rsidRPr="007B74B7">
        <w:rPr>
          <w:rFonts w:ascii="Tahoma" w:hAnsi="Tahoma" w:cs="Tahoma"/>
          <w:lang w:val="it-IT"/>
        </w:rPr>
        <w:t> </w:t>
      </w:r>
      <w:r w:rsidRPr="007B74B7">
        <w:rPr>
          <w:rFonts w:ascii="Tahoma" w:hAnsi="Tahoma" w:cs="Tahoma"/>
          <w:lang w:val="it-IT"/>
        </w:rPr>
        <w:t>Subscription</w:t>
      </w:r>
      <w:bookmarkEnd w:id="685"/>
      <w:bookmarkEnd w:id="686"/>
    </w:p>
    <w:p w:rsidR="00456002" w:rsidRPr="007B74B7" w:rsidRDefault="00456002" w:rsidP="00456002">
      <w:pPr>
        <w:tabs>
          <w:tab w:val="left" w:pos="360"/>
        </w:tabs>
        <w:rPr>
          <w:lang w:val="it-IT"/>
        </w:rPr>
      </w:pPr>
    </w:p>
    <w:p w:rsidR="00456002" w:rsidRPr="007B74B7" w:rsidRDefault="00456002" w:rsidP="00F06EC5">
      <w:pPr>
        <w:keepNext/>
        <w:spacing w:after="60"/>
        <w:outlineLvl w:val="3"/>
        <w:rPr>
          <w:lang w:val="it-IT"/>
        </w:rPr>
      </w:pPr>
      <w:r w:rsidRPr="007B74B7">
        <w:rPr>
          <w:rFonts w:cs="Tahoma"/>
          <w:b/>
          <w:szCs w:val="20"/>
          <w:lang w:val="it-IT"/>
        </w:rPr>
        <w:t>Servizi Online Enterprise che soddisfano i requisiti dei Prodotti Enterprise</w:t>
      </w:r>
    </w:p>
    <w:p w:rsidR="00456002" w:rsidRPr="007B74B7" w:rsidRDefault="00456002" w:rsidP="00366502">
      <w:pPr>
        <w:tabs>
          <w:tab w:val="left" w:pos="360"/>
        </w:tabs>
        <w:rPr>
          <w:lang w:val="it-IT"/>
        </w:rPr>
      </w:pPr>
      <w:r w:rsidRPr="007B74B7">
        <w:rPr>
          <w:rFonts w:cs="Tahoma"/>
          <w:b/>
          <w:szCs w:val="20"/>
          <w:lang w:val="it-IT"/>
        </w:rPr>
        <w:t>Nota:</w:t>
      </w:r>
      <w:r w:rsidRPr="007B74B7">
        <w:rPr>
          <w:rFonts w:cs="Tahoma"/>
          <w:szCs w:val="20"/>
          <w:lang w:val="it-IT"/>
        </w:rPr>
        <w:t xml:space="preserve"> quanto segue si applica alle società in possesso delle Iscrizioni Enterprise ed Enterprise Subscription che</w:t>
      </w:r>
      <w:r w:rsidR="00095F5D" w:rsidRPr="007B74B7">
        <w:rPr>
          <w:rFonts w:cs="Tahoma"/>
          <w:szCs w:val="20"/>
          <w:lang w:val="it-IT"/>
        </w:rPr>
        <w:t> </w:t>
      </w:r>
      <w:r w:rsidRPr="007B74B7">
        <w:rPr>
          <w:rFonts w:cs="Tahoma"/>
          <w:szCs w:val="20"/>
          <w:lang w:val="it-IT"/>
        </w:rPr>
        <w:t>sono</w:t>
      </w:r>
      <w:r w:rsidR="00BB7555" w:rsidRPr="007B74B7">
        <w:rPr>
          <w:rFonts w:cs="Tahoma"/>
          <w:szCs w:val="20"/>
          <w:lang w:val="it-IT"/>
        </w:rPr>
        <w:t> </w:t>
      </w:r>
      <w:r w:rsidRPr="007B74B7">
        <w:rPr>
          <w:rFonts w:cs="Tahoma"/>
          <w:szCs w:val="20"/>
          <w:lang w:val="it-IT"/>
        </w:rPr>
        <w:t>idonee ad acquistare i Servizi Online Enterprise. Le società che non sono certe della loro idoneità ad</w:t>
      </w:r>
      <w:r w:rsidR="00095F5D" w:rsidRPr="007B74B7">
        <w:rPr>
          <w:rFonts w:cs="Tahoma"/>
          <w:szCs w:val="20"/>
          <w:lang w:val="it-IT"/>
        </w:rPr>
        <w:t> </w:t>
      </w:r>
      <w:r w:rsidRPr="007B74B7">
        <w:rPr>
          <w:rFonts w:cs="Tahoma"/>
          <w:szCs w:val="20"/>
          <w:lang w:val="it-IT"/>
        </w:rPr>
        <w:t xml:space="preserve">acquistare </w:t>
      </w:r>
      <w:r w:rsidR="00BB7555" w:rsidRPr="007B74B7">
        <w:rPr>
          <w:rFonts w:cs="Tahoma"/>
          <w:szCs w:val="20"/>
          <w:lang w:val="it-IT"/>
        </w:rPr>
        <w:t>I </w:t>
      </w:r>
      <w:r w:rsidRPr="007B74B7">
        <w:rPr>
          <w:rFonts w:cs="Tahoma"/>
          <w:szCs w:val="20"/>
          <w:lang w:val="it-IT"/>
        </w:rPr>
        <w:t xml:space="preserve">Servizi Online Enterprise dovranno contattare il loro Software Advisor, Rivenditore o </w:t>
      </w:r>
      <w:r w:rsidR="00095F5D" w:rsidRPr="007B74B7">
        <w:rPr>
          <w:rFonts w:cs="Tahoma"/>
          <w:szCs w:val="20"/>
          <w:lang w:val="it-IT"/>
        </w:rPr>
        <w:br/>
      </w:r>
      <w:r w:rsidRPr="007B74B7">
        <w:rPr>
          <w:rFonts w:cs="Tahoma"/>
          <w:szCs w:val="20"/>
          <w:lang w:val="it-IT"/>
        </w:rPr>
        <w:t>Account Manager designato da Microsoft per ulteriori informazioni.</w:t>
      </w:r>
      <w:r w:rsidR="008D782D" w:rsidRPr="007B74B7">
        <w:rPr>
          <w:rFonts w:cs="Tahoma"/>
          <w:szCs w:val="20"/>
          <w:lang w:val="it-IT"/>
        </w:rPr>
        <w:t xml:space="preserve"> </w:t>
      </w:r>
    </w:p>
    <w:p w:rsidR="00456002" w:rsidRPr="007B74B7" w:rsidRDefault="00456002" w:rsidP="00366502">
      <w:pPr>
        <w:tabs>
          <w:tab w:val="left" w:pos="360"/>
        </w:tabs>
        <w:rPr>
          <w:lang w:val="it-IT"/>
        </w:rPr>
      </w:pPr>
    </w:p>
    <w:p w:rsidR="00456002" w:rsidRPr="007B74B7" w:rsidRDefault="00456002" w:rsidP="00366502">
      <w:pPr>
        <w:tabs>
          <w:tab w:val="left" w:pos="360"/>
        </w:tabs>
        <w:rPr>
          <w:lang w:val="it-IT"/>
        </w:rPr>
      </w:pPr>
      <w:r w:rsidRPr="007B74B7">
        <w:rPr>
          <w:rFonts w:cs="Tahoma"/>
          <w:szCs w:val="20"/>
          <w:lang w:val="it-IT"/>
        </w:rPr>
        <w:t xml:space="preserve">Una combinazione di Prodotti Enterprise e di Servizi Online Enterprise potrà essere utilizzata per soddisfare </w:t>
      </w:r>
      <w:r w:rsidR="00095F5D" w:rsidRPr="007B74B7">
        <w:rPr>
          <w:rFonts w:cs="Tahoma"/>
          <w:szCs w:val="20"/>
          <w:lang w:val="it-IT"/>
        </w:rPr>
        <w:br/>
      </w:r>
      <w:r w:rsidRPr="007B74B7">
        <w:rPr>
          <w:rFonts w:cs="Tahoma"/>
          <w:szCs w:val="20"/>
          <w:lang w:val="it-IT"/>
        </w:rPr>
        <w:t>i requisiti dell</w:t>
      </w:r>
      <w:r w:rsidR="007A1415" w:rsidRPr="007B74B7">
        <w:rPr>
          <w:rFonts w:cs="Tahoma"/>
          <w:szCs w:val="20"/>
          <w:lang w:val="it-IT"/>
        </w:rPr>
        <w:t>’</w:t>
      </w:r>
      <w:r w:rsidRPr="007B74B7">
        <w:rPr>
          <w:rFonts w:cs="Tahoma"/>
          <w:szCs w:val="20"/>
          <w:lang w:val="it-IT"/>
        </w:rPr>
        <w:t>intera Organizzazione in un</w:t>
      </w:r>
      <w:r w:rsidR="007A1415" w:rsidRPr="007B74B7">
        <w:rPr>
          <w:rFonts w:cs="Tahoma"/>
          <w:szCs w:val="20"/>
          <w:lang w:val="it-IT"/>
        </w:rPr>
        <w:t>’</w:t>
      </w:r>
      <w:r w:rsidRPr="007B74B7">
        <w:rPr>
          <w:rFonts w:cs="Tahoma"/>
          <w:szCs w:val="20"/>
          <w:lang w:val="it-IT"/>
        </w:rPr>
        <w:t>Iscrizione Enterprise o Enterprise Subscription.</w:t>
      </w:r>
    </w:p>
    <w:p w:rsidR="00456002" w:rsidRPr="007B74B7" w:rsidRDefault="00456002" w:rsidP="00366502">
      <w:pPr>
        <w:tabs>
          <w:tab w:val="left" w:pos="360"/>
        </w:tabs>
        <w:rPr>
          <w:lang w:val="it-IT"/>
        </w:rPr>
      </w:pPr>
    </w:p>
    <w:p w:rsidR="00456002" w:rsidRPr="007B74B7" w:rsidRDefault="00456002" w:rsidP="00366502">
      <w:pPr>
        <w:tabs>
          <w:tab w:val="left" w:pos="360"/>
        </w:tabs>
        <w:rPr>
          <w:lang w:val="it-IT"/>
        </w:rPr>
      </w:pPr>
      <w:r w:rsidRPr="007B74B7">
        <w:rPr>
          <w:rFonts w:cs="Tahoma"/>
          <w:szCs w:val="20"/>
          <w:lang w:val="it-IT"/>
        </w:rPr>
        <w:t xml:space="preserve">Nella tabella che segue sono identificati i Servizi Online Enterprise e le eventuali CAL necessarie in grado </w:t>
      </w:r>
      <w:r w:rsidR="00095F5D" w:rsidRPr="007B74B7">
        <w:rPr>
          <w:rFonts w:cs="Tahoma"/>
          <w:szCs w:val="20"/>
          <w:lang w:val="it-IT"/>
        </w:rPr>
        <w:br/>
      </w:r>
      <w:r w:rsidRPr="007B74B7">
        <w:rPr>
          <w:rFonts w:cs="Tahoma"/>
          <w:szCs w:val="20"/>
          <w:lang w:val="it-IT"/>
        </w:rPr>
        <w:t>di soddisfare il requisito per l</w:t>
      </w:r>
      <w:r w:rsidR="007A1415" w:rsidRPr="007B74B7">
        <w:rPr>
          <w:rFonts w:cs="Tahoma"/>
          <w:szCs w:val="20"/>
          <w:lang w:val="it-IT"/>
        </w:rPr>
        <w:t>’</w:t>
      </w:r>
      <w:r w:rsidRPr="007B74B7">
        <w:rPr>
          <w:rFonts w:cs="Tahoma"/>
          <w:szCs w:val="20"/>
          <w:lang w:val="it-IT"/>
        </w:rPr>
        <w:t>intera Organizzazione per i Prodotti Enterprise.</w:t>
      </w:r>
      <w:r w:rsidR="008D782D" w:rsidRPr="007B74B7">
        <w:rPr>
          <w:rFonts w:cs="Tahoma"/>
          <w:szCs w:val="20"/>
          <w:lang w:val="it-IT"/>
        </w:rPr>
        <w:t xml:space="preserve"> </w:t>
      </w:r>
    </w:p>
    <w:p w:rsidR="00456002" w:rsidRPr="007B74B7" w:rsidRDefault="00456002" w:rsidP="0055442E">
      <w:pPr>
        <w:ind w:left="720"/>
        <w:rPr>
          <w:lang w:val="it-IT"/>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BD7CEA"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BD7CEA" w:rsidRDefault="00456002" w:rsidP="005C647E">
            <w:pPr>
              <w:keepNext/>
              <w:jc w:val="center"/>
              <w:rPr>
                <w:rFonts w:cs="Tahoma"/>
                <w:b/>
              </w:rPr>
            </w:pPr>
            <w:r w:rsidRPr="00BD7CEA">
              <w:rPr>
                <w:rFonts w:cs="Tahoma"/>
                <w:b/>
              </w:rPr>
              <w:t>Prodotto Enterprise</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rsidR="00456002" w:rsidRPr="00BD7CEA" w:rsidRDefault="00456002" w:rsidP="005C647E">
            <w:pPr>
              <w:keepNext/>
              <w:jc w:val="center"/>
              <w:rPr>
                <w:rFonts w:cs="Tahoma"/>
                <w:b/>
              </w:rPr>
            </w:pPr>
            <w:r w:rsidRPr="00BD7CEA">
              <w:rPr>
                <w:rFonts w:cs="Tahoma"/>
                <w:b/>
                <w:bCs/>
              </w:rPr>
              <w:t>Servizi Online Enterprise***</w:t>
            </w:r>
          </w:p>
        </w:tc>
      </w:tr>
      <w:tr w:rsidR="00E71EB9" w:rsidRPr="00BD7CEA"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rsidR="00E71EB9" w:rsidRPr="00BD7CEA" w:rsidRDefault="00E71EB9" w:rsidP="005C647E">
            <w:pPr>
              <w:ind w:left="144"/>
              <w:rPr>
                <w:rFonts w:cs="Tahoma"/>
                <w:szCs w:val="18"/>
              </w:rPr>
            </w:pPr>
            <w:r w:rsidRPr="00BD7CEA">
              <w:rPr>
                <w:rFonts w:cs="Tahoma"/>
                <w:szCs w:val="18"/>
              </w:rPr>
              <w:t>Office Professional Plus**</w:t>
            </w:r>
          </w:p>
        </w:tc>
        <w:tc>
          <w:tcPr>
            <w:tcW w:w="4157" w:type="dxa"/>
            <w:tcBorders>
              <w:top w:val="nil"/>
              <w:left w:val="nil"/>
              <w:bottom w:val="single" w:sz="4" w:space="0" w:color="auto"/>
              <w:right w:val="single" w:sz="8" w:space="0" w:color="auto"/>
            </w:tcBorders>
            <w:vAlign w:val="center"/>
          </w:tcPr>
          <w:p w:rsidR="00E71EB9" w:rsidRPr="00BD7CEA" w:rsidRDefault="00E71EB9" w:rsidP="007358C5">
            <w:pPr>
              <w:numPr>
                <w:ilvl w:val="0"/>
                <w:numId w:val="35"/>
              </w:numPr>
              <w:spacing w:before="60" w:after="60"/>
              <w:ind w:left="907"/>
            </w:pPr>
            <w:r w:rsidRPr="00BD7CEA">
              <w:rPr>
                <w:rFonts w:cs="Tahoma"/>
                <w:color w:val="000000"/>
                <w:szCs w:val="18"/>
              </w:rPr>
              <w:t>Office 365 (Enterprise E2)</w:t>
            </w:r>
          </w:p>
          <w:p w:rsidR="00E71EB9" w:rsidRPr="00BD7CEA" w:rsidRDefault="00E71EB9" w:rsidP="007358C5">
            <w:pPr>
              <w:numPr>
                <w:ilvl w:val="0"/>
                <w:numId w:val="35"/>
              </w:numPr>
              <w:spacing w:after="60"/>
              <w:ind w:left="907"/>
            </w:pPr>
            <w:r w:rsidRPr="00BD7CEA">
              <w:rPr>
                <w:rFonts w:cs="Tahoma"/>
                <w:color w:val="000000"/>
                <w:szCs w:val="18"/>
              </w:rPr>
              <w:t>Office 365 (Enterprise E3)</w:t>
            </w:r>
          </w:p>
          <w:p w:rsidR="00E71EB9" w:rsidRPr="00BD7CEA" w:rsidRDefault="00E71EB9" w:rsidP="007358C5">
            <w:pPr>
              <w:numPr>
                <w:ilvl w:val="0"/>
                <w:numId w:val="35"/>
              </w:numPr>
              <w:spacing w:after="60"/>
              <w:ind w:left="907"/>
            </w:pPr>
            <w:r w:rsidRPr="00BD7CEA">
              <w:rPr>
                <w:rFonts w:cs="Tahoma"/>
                <w:color w:val="000000"/>
                <w:szCs w:val="18"/>
              </w:rPr>
              <w:t xml:space="preserve">Office 365 (Enterprise E4) </w:t>
            </w:r>
          </w:p>
          <w:p w:rsidR="00E71EB9" w:rsidRPr="00BD7CEA" w:rsidRDefault="00E71EB9" w:rsidP="007358C5">
            <w:pPr>
              <w:numPr>
                <w:ilvl w:val="0"/>
                <w:numId w:val="35"/>
              </w:numPr>
              <w:spacing w:after="60"/>
              <w:ind w:left="907"/>
            </w:pPr>
            <w:r w:rsidRPr="00BD7CEA">
              <w:rPr>
                <w:rFonts w:cs="Tahoma"/>
                <w:color w:val="000000"/>
                <w:szCs w:val="18"/>
              </w:rPr>
              <w:t>Office 365 (Government G2)</w:t>
            </w:r>
          </w:p>
          <w:p w:rsidR="00E71EB9" w:rsidRPr="00BD7CEA" w:rsidRDefault="00E71EB9" w:rsidP="007358C5">
            <w:pPr>
              <w:numPr>
                <w:ilvl w:val="0"/>
                <w:numId w:val="35"/>
              </w:numPr>
              <w:spacing w:after="60"/>
              <w:ind w:left="907"/>
            </w:pPr>
            <w:r w:rsidRPr="00BD7CEA">
              <w:rPr>
                <w:rFonts w:cs="Tahoma"/>
                <w:color w:val="000000"/>
                <w:szCs w:val="18"/>
              </w:rPr>
              <w:t>Office 365 (Government G3)</w:t>
            </w:r>
          </w:p>
          <w:p w:rsidR="00E71EB9" w:rsidRPr="00BD7CEA" w:rsidRDefault="00E71EB9" w:rsidP="007358C5">
            <w:pPr>
              <w:numPr>
                <w:ilvl w:val="0"/>
                <w:numId w:val="35"/>
              </w:numPr>
              <w:spacing w:after="60"/>
              <w:ind w:left="907"/>
            </w:pPr>
            <w:r w:rsidRPr="00BD7CEA">
              <w:rPr>
                <w:rFonts w:cs="Tahoma"/>
                <w:color w:val="000000"/>
                <w:szCs w:val="18"/>
              </w:rPr>
              <w:t>Office 365 (Government G4)</w:t>
            </w:r>
          </w:p>
          <w:p w:rsidR="00C571BD" w:rsidRPr="00BD7CEA" w:rsidRDefault="00C571BD" w:rsidP="00F06EC5">
            <w:pPr>
              <w:ind w:left="907"/>
              <w:rPr>
                <w:rFonts w:cs="Tahoma"/>
                <w:color w:val="000000"/>
                <w:szCs w:val="18"/>
              </w:rPr>
            </w:pPr>
          </w:p>
        </w:tc>
      </w:tr>
      <w:tr w:rsidR="00E71EB9" w:rsidRPr="00BD7CEA"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rsidR="00E71EB9" w:rsidRPr="00BD7CEA" w:rsidRDefault="00E71EB9" w:rsidP="005C647E">
            <w:pPr>
              <w:ind w:left="144"/>
              <w:rPr>
                <w:rFonts w:cs="Tahoma"/>
                <w:szCs w:val="18"/>
              </w:rPr>
            </w:pPr>
            <w:r w:rsidRPr="00BD7CEA">
              <w:rPr>
                <w:rFonts w:cs="Tahoma"/>
                <w:szCs w:val="18"/>
              </w:rPr>
              <w:t>Core CAL Suite</w:t>
            </w:r>
          </w:p>
        </w:tc>
        <w:tc>
          <w:tcPr>
            <w:tcW w:w="4157" w:type="dxa"/>
            <w:tcBorders>
              <w:top w:val="nil"/>
              <w:left w:val="nil"/>
              <w:bottom w:val="single" w:sz="4" w:space="0" w:color="auto"/>
              <w:right w:val="single" w:sz="8" w:space="0" w:color="auto"/>
            </w:tcBorders>
            <w:vAlign w:val="center"/>
          </w:tcPr>
          <w:p w:rsidR="008368B4" w:rsidRPr="00BD7CEA" w:rsidRDefault="008368B4" w:rsidP="007358C5">
            <w:pPr>
              <w:numPr>
                <w:ilvl w:val="0"/>
                <w:numId w:val="35"/>
              </w:numPr>
              <w:spacing w:before="60" w:after="60"/>
              <w:ind w:left="907"/>
            </w:pPr>
            <w:r w:rsidRPr="00BD7CEA">
              <w:rPr>
                <w:rFonts w:cs="Tahoma"/>
                <w:color w:val="000000"/>
                <w:szCs w:val="18"/>
              </w:rPr>
              <w:t>Office 365 (Enterprise E1)*</w:t>
            </w:r>
          </w:p>
          <w:p w:rsidR="008368B4" w:rsidRPr="00BD7CEA" w:rsidRDefault="008368B4" w:rsidP="007358C5">
            <w:pPr>
              <w:numPr>
                <w:ilvl w:val="0"/>
                <w:numId w:val="35"/>
              </w:numPr>
              <w:spacing w:after="60"/>
            </w:pPr>
            <w:r w:rsidRPr="00BD7CEA">
              <w:rPr>
                <w:rFonts w:cs="Tahoma"/>
                <w:color w:val="000000"/>
                <w:szCs w:val="18"/>
              </w:rPr>
              <w:t>Office 365 (Enterprise E2)*</w:t>
            </w:r>
          </w:p>
          <w:p w:rsidR="008368B4" w:rsidRPr="00BD7CEA" w:rsidRDefault="008368B4" w:rsidP="007358C5">
            <w:pPr>
              <w:numPr>
                <w:ilvl w:val="0"/>
                <w:numId w:val="35"/>
              </w:numPr>
              <w:spacing w:after="60"/>
            </w:pPr>
            <w:r w:rsidRPr="00BD7CEA">
              <w:rPr>
                <w:rFonts w:cs="Tahoma"/>
                <w:color w:val="000000"/>
                <w:szCs w:val="18"/>
              </w:rPr>
              <w:t>Office 365 (Enterprise E3)*</w:t>
            </w:r>
          </w:p>
          <w:p w:rsidR="008368B4" w:rsidRPr="00BD7CEA" w:rsidRDefault="008368B4" w:rsidP="007358C5">
            <w:pPr>
              <w:numPr>
                <w:ilvl w:val="0"/>
                <w:numId w:val="35"/>
              </w:numPr>
              <w:spacing w:after="60"/>
            </w:pPr>
            <w:r w:rsidRPr="00BD7CEA">
              <w:rPr>
                <w:rFonts w:cs="Tahoma"/>
                <w:color w:val="000000"/>
                <w:szCs w:val="18"/>
              </w:rPr>
              <w:t>Office 365 (Enterprise E4)*</w:t>
            </w:r>
          </w:p>
          <w:p w:rsidR="008368B4" w:rsidRPr="00BD7CEA" w:rsidRDefault="008368B4" w:rsidP="007358C5">
            <w:pPr>
              <w:numPr>
                <w:ilvl w:val="0"/>
                <w:numId w:val="35"/>
              </w:numPr>
              <w:spacing w:after="60"/>
            </w:pPr>
            <w:r w:rsidRPr="00BD7CEA">
              <w:rPr>
                <w:rFonts w:cs="Tahoma"/>
                <w:color w:val="000000"/>
                <w:szCs w:val="18"/>
              </w:rPr>
              <w:t>Office 365 (Government G1)*</w:t>
            </w:r>
          </w:p>
          <w:p w:rsidR="008368B4" w:rsidRPr="00BD7CEA" w:rsidRDefault="008368B4" w:rsidP="007358C5">
            <w:pPr>
              <w:numPr>
                <w:ilvl w:val="0"/>
                <w:numId w:val="35"/>
              </w:numPr>
              <w:spacing w:after="60"/>
            </w:pPr>
            <w:r w:rsidRPr="00BD7CEA">
              <w:rPr>
                <w:rFonts w:cs="Tahoma"/>
                <w:color w:val="000000"/>
                <w:szCs w:val="18"/>
              </w:rPr>
              <w:t>Office 365 (Government G2)*</w:t>
            </w:r>
          </w:p>
          <w:p w:rsidR="008368B4" w:rsidRPr="00BD7CEA" w:rsidRDefault="004D2744" w:rsidP="007358C5">
            <w:pPr>
              <w:numPr>
                <w:ilvl w:val="0"/>
                <w:numId w:val="35"/>
              </w:numPr>
              <w:spacing w:after="60"/>
            </w:pPr>
            <w:r w:rsidRPr="00BD7CEA">
              <w:rPr>
                <w:rFonts w:cs="Tahoma"/>
                <w:color w:val="000000"/>
                <w:szCs w:val="18"/>
              </w:rPr>
              <w:t>Office 365(Government G3)*</w:t>
            </w:r>
          </w:p>
          <w:p w:rsidR="008368B4" w:rsidRPr="00BD7CEA" w:rsidRDefault="008368B4" w:rsidP="007358C5">
            <w:pPr>
              <w:numPr>
                <w:ilvl w:val="0"/>
                <w:numId w:val="35"/>
              </w:numPr>
              <w:spacing w:after="60"/>
            </w:pPr>
            <w:r w:rsidRPr="00BD7CEA">
              <w:rPr>
                <w:rFonts w:cs="Tahoma"/>
                <w:color w:val="000000"/>
                <w:szCs w:val="18"/>
              </w:rPr>
              <w:t>Office 365 (Government G4)*</w:t>
            </w:r>
          </w:p>
          <w:p w:rsidR="00822871" w:rsidRPr="00BD7CEA" w:rsidRDefault="00E71EB9" w:rsidP="007358C5">
            <w:pPr>
              <w:numPr>
                <w:ilvl w:val="0"/>
                <w:numId w:val="35"/>
              </w:numPr>
              <w:spacing w:after="60"/>
            </w:pPr>
            <w:r w:rsidRPr="00BD7CEA">
              <w:rPr>
                <w:rFonts w:cs="Tahoma"/>
                <w:color w:val="000000"/>
                <w:szCs w:val="18"/>
              </w:rPr>
              <w:t xml:space="preserve">Windows Intune* </w:t>
            </w:r>
          </w:p>
          <w:p w:rsidR="00822871" w:rsidRPr="00BD7CEA" w:rsidRDefault="00822871" w:rsidP="00F06EC5">
            <w:pPr>
              <w:ind w:left="907"/>
              <w:rPr>
                <w:rFonts w:cs="Tahoma"/>
                <w:color w:val="000000"/>
                <w:szCs w:val="18"/>
              </w:rPr>
            </w:pPr>
          </w:p>
        </w:tc>
      </w:tr>
      <w:tr w:rsidR="00E71EB9" w:rsidRPr="00BD7CEA"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E71EB9" w:rsidRPr="00BD7CEA" w:rsidRDefault="00E71EB9" w:rsidP="005C647E">
            <w:pPr>
              <w:ind w:left="144"/>
              <w:rPr>
                <w:rFonts w:cs="Tahoma"/>
                <w:szCs w:val="18"/>
              </w:rPr>
            </w:pPr>
            <w:r w:rsidRPr="00BD7CEA">
              <w:rPr>
                <w:rFonts w:cs="Tahoma"/>
                <w:szCs w:val="18"/>
              </w:rPr>
              <w:t>Enterprise CAL Suite</w:t>
            </w:r>
          </w:p>
        </w:tc>
        <w:tc>
          <w:tcPr>
            <w:tcW w:w="4157" w:type="dxa"/>
            <w:tcBorders>
              <w:top w:val="single" w:sz="4" w:space="0" w:color="auto"/>
              <w:left w:val="nil"/>
              <w:bottom w:val="single" w:sz="4" w:space="0" w:color="auto"/>
              <w:right w:val="single" w:sz="8" w:space="0" w:color="auto"/>
            </w:tcBorders>
            <w:vAlign w:val="center"/>
          </w:tcPr>
          <w:p w:rsidR="008368B4" w:rsidRPr="00BD7CEA" w:rsidRDefault="008368B4" w:rsidP="007358C5">
            <w:pPr>
              <w:numPr>
                <w:ilvl w:val="0"/>
                <w:numId w:val="36"/>
              </w:numPr>
              <w:spacing w:before="60" w:after="60"/>
              <w:ind w:left="907"/>
            </w:pPr>
            <w:r w:rsidRPr="00BD7CEA">
              <w:rPr>
                <w:rFonts w:eastAsia="Calibri" w:cs="Tahoma"/>
                <w:color w:val="000000"/>
                <w:szCs w:val="18"/>
              </w:rPr>
              <w:t xml:space="preserve">Office 365 </w:t>
            </w:r>
            <w:r w:rsidRPr="00BD7CEA">
              <w:rPr>
                <w:rFonts w:cs="Tahoma"/>
                <w:color w:val="000000"/>
                <w:szCs w:val="18"/>
              </w:rPr>
              <w:t>(Enterprise E3)*</w:t>
            </w:r>
          </w:p>
          <w:p w:rsidR="008368B4" w:rsidRPr="00BD7CEA" w:rsidRDefault="008368B4" w:rsidP="007358C5">
            <w:pPr>
              <w:numPr>
                <w:ilvl w:val="0"/>
                <w:numId w:val="36"/>
              </w:numPr>
              <w:spacing w:after="60"/>
            </w:pPr>
            <w:r w:rsidRPr="00BD7CEA">
              <w:rPr>
                <w:rFonts w:eastAsia="Calibri" w:cs="Tahoma"/>
                <w:color w:val="000000"/>
                <w:szCs w:val="18"/>
              </w:rPr>
              <w:t xml:space="preserve">Office 365 </w:t>
            </w:r>
            <w:r w:rsidRPr="00BD7CEA">
              <w:rPr>
                <w:rFonts w:cs="Tahoma"/>
                <w:color w:val="000000"/>
                <w:szCs w:val="18"/>
              </w:rPr>
              <w:t>(Enterprise E4)*</w:t>
            </w:r>
          </w:p>
          <w:p w:rsidR="008368B4" w:rsidRPr="00BD7CEA" w:rsidRDefault="008368B4" w:rsidP="007358C5">
            <w:pPr>
              <w:numPr>
                <w:ilvl w:val="0"/>
                <w:numId w:val="36"/>
              </w:numPr>
              <w:spacing w:after="60"/>
            </w:pPr>
            <w:r w:rsidRPr="00BD7CEA">
              <w:rPr>
                <w:rFonts w:eastAsia="Calibri" w:cs="Tahoma"/>
                <w:color w:val="000000"/>
                <w:szCs w:val="18"/>
              </w:rPr>
              <w:t xml:space="preserve">Office 365 </w:t>
            </w:r>
            <w:r w:rsidRPr="00BD7CEA">
              <w:rPr>
                <w:rFonts w:cs="Tahoma"/>
                <w:color w:val="000000"/>
                <w:szCs w:val="18"/>
              </w:rPr>
              <w:t>(Government G3)*</w:t>
            </w:r>
          </w:p>
          <w:p w:rsidR="008368B4" w:rsidRPr="00BD7CEA" w:rsidRDefault="008368B4" w:rsidP="007358C5">
            <w:pPr>
              <w:numPr>
                <w:ilvl w:val="0"/>
                <w:numId w:val="36"/>
              </w:numPr>
              <w:spacing w:after="60"/>
            </w:pPr>
            <w:r w:rsidRPr="00BD7CEA">
              <w:rPr>
                <w:rFonts w:eastAsia="Calibri" w:cs="Tahoma"/>
                <w:color w:val="000000"/>
                <w:szCs w:val="18"/>
              </w:rPr>
              <w:t xml:space="preserve">Office 365 </w:t>
            </w:r>
            <w:r w:rsidRPr="00BD7CEA">
              <w:rPr>
                <w:rFonts w:cs="Tahoma"/>
                <w:color w:val="000000"/>
                <w:szCs w:val="18"/>
              </w:rPr>
              <w:t>(Government G4)*</w:t>
            </w:r>
          </w:p>
          <w:p w:rsidR="00822871" w:rsidRPr="00BD7CEA" w:rsidRDefault="00E71EB9" w:rsidP="007358C5">
            <w:pPr>
              <w:numPr>
                <w:ilvl w:val="0"/>
                <w:numId w:val="36"/>
              </w:numPr>
              <w:spacing w:after="60"/>
            </w:pPr>
            <w:r w:rsidRPr="00BD7CEA">
              <w:rPr>
                <w:rFonts w:cs="Tahoma"/>
                <w:color w:val="000000"/>
                <w:szCs w:val="18"/>
              </w:rPr>
              <w:t>Windows Intune*</w:t>
            </w:r>
          </w:p>
          <w:p w:rsidR="00E71EB9" w:rsidRPr="00BD7CEA" w:rsidRDefault="00E71EB9" w:rsidP="0038120B">
            <w:pPr>
              <w:ind w:left="907"/>
              <w:rPr>
                <w:rFonts w:cs="Tahoma"/>
                <w:color w:val="000000"/>
                <w:szCs w:val="18"/>
              </w:rPr>
            </w:pPr>
            <w:r w:rsidRPr="00BD7CEA">
              <w:rPr>
                <w:rFonts w:cs="Tahoma"/>
                <w:color w:val="000000"/>
                <w:szCs w:val="18"/>
              </w:rPr>
              <w:t xml:space="preserve"> </w:t>
            </w:r>
          </w:p>
        </w:tc>
      </w:tr>
    </w:tbl>
    <w:p w:rsidR="00456002" w:rsidRPr="007B74B7" w:rsidRDefault="00456002" w:rsidP="00456002">
      <w:pPr>
        <w:tabs>
          <w:tab w:val="left" w:pos="360"/>
        </w:tabs>
        <w:ind w:left="720"/>
        <w:rPr>
          <w:lang w:val="it-IT"/>
        </w:rPr>
      </w:pPr>
      <w:r w:rsidRPr="007B74B7">
        <w:rPr>
          <w:rFonts w:cs="Tahoma"/>
          <w:i/>
          <w:sz w:val="16"/>
          <w:szCs w:val="20"/>
          <w:lang w:val="it-IT"/>
        </w:rPr>
        <w:t>* Richiede la CAL Suite Bridge appropriata. Per ulteriori informazioni sulla CAL Suite Bridge, fare riferimento all</w:t>
      </w:r>
      <w:r w:rsidR="007A1415" w:rsidRPr="007B74B7">
        <w:rPr>
          <w:rFonts w:cs="Tahoma"/>
          <w:i/>
          <w:sz w:val="16"/>
          <w:szCs w:val="20"/>
          <w:lang w:val="it-IT"/>
        </w:rPr>
        <w:t>’</w:t>
      </w:r>
      <w:r w:rsidRPr="007B74B7">
        <w:rPr>
          <w:rFonts w:cs="Tahoma"/>
          <w:i/>
          <w:sz w:val="16"/>
          <w:szCs w:val="20"/>
          <w:lang w:val="it-IT"/>
        </w:rPr>
        <w:t>articolo relativo alle note del prodotto nel presente documento.</w:t>
      </w:r>
    </w:p>
    <w:p w:rsidR="00456002" w:rsidRPr="007B74B7" w:rsidRDefault="00456002" w:rsidP="00456002">
      <w:pPr>
        <w:tabs>
          <w:tab w:val="left" w:pos="360"/>
        </w:tabs>
        <w:ind w:left="720"/>
        <w:rPr>
          <w:lang w:val="it-IT"/>
        </w:rPr>
      </w:pPr>
      <w:r w:rsidRPr="007B74B7">
        <w:rPr>
          <w:rFonts w:cs="Tahoma"/>
          <w:i/>
          <w:sz w:val="16"/>
          <w:szCs w:val="20"/>
          <w:lang w:val="it-IT"/>
        </w:rPr>
        <w:t>**Office Professional Plus in Office 365 e Windows VDA sono Prodotti Enterprise e possono soddisfare i requisiti per l</w:t>
      </w:r>
      <w:r w:rsidR="007A1415" w:rsidRPr="007B74B7">
        <w:rPr>
          <w:rFonts w:cs="Tahoma"/>
          <w:i/>
          <w:sz w:val="16"/>
          <w:szCs w:val="20"/>
          <w:lang w:val="it-IT"/>
        </w:rPr>
        <w:t>’</w:t>
      </w:r>
      <w:r w:rsidRPr="007B74B7">
        <w:rPr>
          <w:rFonts w:cs="Tahoma"/>
          <w:i/>
          <w:sz w:val="16"/>
          <w:szCs w:val="20"/>
          <w:lang w:val="it-IT"/>
        </w:rPr>
        <w:t>intera Organizzazione di Prodotti Enterprise.</w:t>
      </w:r>
    </w:p>
    <w:p w:rsidR="00456002" w:rsidRPr="007B74B7" w:rsidRDefault="00456002" w:rsidP="00366502">
      <w:pPr>
        <w:tabs>
          <w:tab w:val="left" w:pos="360"/>
        </w:tabs>
        <w:ind w:left="720"/>
        <w:rPr>
          <w:lang w:val="it-IT"/>
        </w:rPr>
      </w:pPr>
      <w:r w:rsidRPr="007B74B7">
        <w:rPr>
          <w:rFonts w:cs="Tahoma"/>
          <w:i/>
          <w:sz w:val="16"/>
          <w:szCs w:val="20"/>
          <w:lang w:val="it-IT"/>
        </w:rPr>
        <w:t>***</w:t>
      </w:r>
      <w:r w:rsidR="00BB7555" w:rsidRPr="007B74B7">
        <w:rPr>
          <w:rFonts w:cs="Tahoma"/>
          <w:i/>
          <w:sz w:val="16"/>
          <w:szCs w:val="20"/>
          <w:lang w:val="it-IT"/>
        </w:rPr>
        <w:t xml:space="preserve"> </w:t>
      </w:r>
      <w:r w:rsidRPr="007B74B7">
        <w:rPr>
          <w:rFonts w:cs="Tahoma"/>
          <w:i/>
          <w:sz w:val="16"/>
          <w:szCs w:val="20"/>
          <w:lang w:val="it-IT"/>
        </w:rPr>
        <w:t>I Servizi Online Enterprise includono solo USL complete.</w:t>
      </w:r>
      <w:r w:rsidR="008D782D" w:rsidRPr="007B74B7">
        <w:rPr>
          <w:rFonts w:cs="Tahoma"/>
          <w:i/>
          <w:sz w:val="16"/>
          <w:szCs w:val="20"/>
          <w:lang w:val="it-IT"/>
        </w:rPr>
        <w:t xml:space="preserve"> </w:t>
      </w:r>
      <w:r w:rsidRPr="007B74B7">
        <w:rPr>
          <w:rFonts w:cs="Tahoma"/>
          <w:i/>
          <w:sz w:val="16"/>
          <w:szCs w:val="20"/>
          <w:lang w:val="it-IT"/>
        </w:rPr>
        <w:t>Le USL per Software Assurance, il cui acquisto è subordinato a Core CAL o Enterprise CAL, non costituiscono Servizi Online Enterprise.</w:t>
      </w:r>
    </w:p>
    <w:p w:rsidR="00366502" w:rsidRPr="007B74B7" w:rsidRDefault="00366502" w:rsidP="00456002">
      <w:pPr>
        <w:tabs>
          <w:tab w:val="left" w:pos="360"/>
        </w:tabs>
        <w:ind w:left="720"/>
        <w:rPr>
          <w:lang w:val="it-IT"/>
        </w:rPr>
      </w:pPr>
    </w:p>
    <w:p w:rsidR="00456002" w:rsidRPr="007B74B7" w:rsidRDefault="00456002" w:rsidP="0055442E">
      <w:pPr>
        <w:tabs>
          <w:tab w:val="left" w:pos="360"/>
        </w:tabs>
        <w:spacing w:after="60"/>
        <w:rPr>
          <w:lang w:val="it-IT"/>
        </w:rPr>
      </w:pPr>
      <w:r w:rsidRPr="007B74B7">
        <w:rPr>
          <w:rFonts w:cs="Tahoma"/>
          <w:b/>
          <w:szCs w:val="18"/>
          <w:lang w:val="it-IT"/>
        </w:rPr>
        <w:t>Transizioni Autorizzate</w:t>
      </w:r>
    </w:p>
    <w:p w:rsidR="00456002" w:rsidRPr="007B74B7" w:rsidRDefault="0014632E" w:rsidP="00366502">
      <w:pPr>
        <w:tabs>
          <w:tab w:val="left" w:pos="360"/>
        </w:tabs>
        <w:rPr>
          <w:lang w:val="it-IT"/>
        </w:rPr>
      </w:pPr>
      <w:r w:rsidRPr="007B74B7">
        <w:rPr>
          <w:rFonts w:cs="Tahoma"/>
          <w:b/>
          <w:szCs w:val="20"/>
          <w:lang w:val="it-IT"/>
        </w:rPr>
        <w:t xml:space="preserve">Nota: </w:t>
      </w:r>
      <w:r w:rsidRPr="007B74B7">
        <w:rPr>
          <w:rFonts w:cs="Tahoma"/>
          <w:szCs w:val="20"/>
          <w:lang w:val="it-IT"/>
        </w:rPr>
        <w:t>quanto segue si applica alle società in possesso delle Iscrizioni Enterprise ed Enterprise Subscription che hanno i diritti di Transizione. Le società che non sono certe di disporre dei diritti di Transizione ai sensi della loro iscrizione dovranno contattare il loro Software Advisor, Rivenditore o Account Manager designato da Microsoft per ulteriori informazioni.</w:t>
      </w:r>
      <w:r w:rsidR="008D782D" w:rsidRPr="007B74B7">
        <w:rPr>
          <w:rFonts w:cs="Tahoma"/>
          <w:szCs w:val="20"/>
          <w:lang w:val="it-IT"/>
        </w:rPr>
        <w:t xml:space="preserve"> </w:t>
      </w:r>
    </w:p>
    <w:p w:rsidR="00456002" w:rsidRPr="007B74B7" w:rsidRDefault="00456002" w:rsidP="00366502">
      <w:pPr>
        <w:tabs>
          <w:tab w:val="left" w:pos="360"/>
        </w:tabs>
        <w:rPr>
          <w:lang w:val="it-IT"/>
        </w:rPr>
      </w:pPr>
      <w:r w:rsidRPr="007B74B7">
        <w:rPr>
          <w:rFonts w:cs="Tahoma"/>
          <w:szCs w:val="20"/>
          <w:lang w:val="it-IT"/>
        </w:rPr>
        <w:lastRenderedPageBreak/>
        <w:t>Nella tabella che segue sono identificati i prodotti idonei per la Transizione e le Transizioni autorizzate.</w:t>
      </w:r>
      <w:r w:rsidR="008D782D" w:rsidRPr="007B74B7">
        <w:rPr>
          <w:rFonts w:cs="Tahoma"/>
          <w:szCs w:val="20"/>
          <w:lang w:val="it-IT"/>
        </w:rPr>
        <w:t xml:space="preserve"> </w:t>
      </w:r>
      <w:r w:rsidRPr="007B74B7">
        <w:rPr>
          <w:rFonts w:cs="Tahoma"/>
          <w:szCs w:val="20"/>
          <w:lang w:val="it-IT"/>
        </w:rPr>
        <w:t>Sono inclusi prodotti soggetti alla transizione al momento dell</w:t>
      </w:r>
      <w:r w:rsidR="007A1415" w:rsidRPr="007B74B7">
        <w:rPr>
          <w:rFonts w:cs="Tahoma"/>
          <w:szCs w:val="20"/>
          <w:lang w:val="it-IT"/>
        </w:rPr>
        <w:t>’</w:t>
      </w:r>
      <w:r w:rsidRPr="007B74B7">
        <w:rPr>
          <w:rFonts w:cs="Tahoma"/>
          <w:szCs w:val="20"/>
          <w:lang w:val="it-IT"/>
        </w:rPr>
        <w:t>acquisto come parte di una desktop platform.</w:t>
      </w:r>
    </w:p>
    <w:p w:rsidR="00456002" w:rsidRPr="007B74B7" w:rsidRDefault="00456002" w:rsidP="00456002">
      <w:pPr>
        <w:tabs>
          <w:tab w:val="left" w:pos="360"/>
        </w:tabs>
        <w:ind w:left="720"/>
        <w:rPr>
          <w:lang w:val="it-IT"/>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BD7CEA" w:rsidTr="00BB7555">
        <w:trPr>
          <w:cantSplit/>
          <w:trHeight w:val="189"/>
          <w:tblHeader/>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7B74B7" w:rsidRDefault="00456002" w:rsidP="005C647E">
            <w:pPr>
              <w:keepNext/>
              <w:jc w:val="center"/>
              <w:rPr>
                <w:rFonts w:cs="Tahoma"/>
                <w:b/>
                <w:lang w:val="it-IT"/>
              </w:rPr>
            </w:pPr>
            <w:r w:rsidRPr="007B74B7">
              <w:rPr>
                <w:rFonts w:cs="Tahoma"/>
                <w:b/>
                <w:lang w:val="it-IT"/>
              </w:rPr>
              <w:t>Prodotti Enterprise Soggetti alla Transizione</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rsidR="00456002" w:rsidRPr="00BD7CEA" w:rsidRDefault="00456002" w:rsidP="005C647E">
            <w:pPr>
              <w:keepNext/>
              <w:jc w:val="center"/>
              <w:rPr>
                <w:rFonts w:cs="Tahoma"/>
                <w:b/>
              </w:rPr>
            </w:pPr>
            <w:r w:rsidRPr="00BD7CEA">
              <w:rPr>
                <w:rFonts w:cs="Tahoma"/>
                <w:b/>
              </w:rPr>
              <w:t>Transizioni Autorizzate</w:t>
            </w:r>
          </w:p>
        </w:tc>
      </w:tr>
      <w:tr w:rsidR="00A32052" w:rsidRPr="00BD7CEA"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BD7CEA" w:rsidRDefault="00A32052" w:rsidP="005C647E">
            <w:pPr>
              <w:spacing w:before="60" w:after="60"/>
              <w:ind w:left="144"/>
              <w:rPr>
                <w:rFonts w:cs="Tahoma"/>
              </w:rPr>
            </w:pPr>
            <w:r w:rsidRPr="00BD7CEA">
              <w:rPr>
                <w:rFonts w:cs="Tahoma"/>
              </w:rPr>
              <w:t xml:space="preserve">Core CAL Suite </w:t>
            </w:r>
          </w:p>
        </w:tc>
        <w:tc>
          <w:tcPr>
            <w:tcW w:w="4334" w:type="dxa"/>
            <w:tcBorders>
              <w:top w:val="nil"/>
              <w:left w:val="nil"/>
              <w:bottom w:val="single" w:sz="8" w:space="0" w:color="auto"/>
              <w:right w:val="single" w:sz="8" w:space="0" w:color="auto"/>
            </w:tcBorders>
            <w:vAlign w:val="center"/>
          </w:tcPr>
          <w:p w:rsidR="008368B4" w:rsidRPr="00BD7CEA" w:rsidRDefault="008368B4" w:rsidP="007358C5">
            <w:pPr>
              <w:numPr>
                <w:ilvl w:val="0"/>
                <w:numId w:val="37"/>
              </w:numPr>
              <w:spacing w:before="60" w:after="60"/>
            </w:pPr>
            <w:r w:rsidRPr="00BD7CEA">
              <w:rPr>
                <w:rFonts w:cs="Tahoma"/>
                <w:color w:val="000000"/>
                <w:szCs w:val="18"/>
              </w:rPr>
              <w:t>Office 365 (Enterprise E1)*</w:t>
            </w:r>
          </w:p>
          <w:p w:rsidR="008368B4" w:rsidRPr="00BD7CEA" w:rsidRDefault="008368B4" w:rsidP="007358C5">
            <w:pPr>
              <w:numPr>
                <w:ilvl w:val="0"/>
                <w:numId w:val="37"/>
              </w:numPr>
              <w:spacing w:after="60"/>
            </w:pPr>
            <w:r w:rsidRPr="00BD7CEA">
              <w:rPr>
                <w:rFonts w:cs="Tahoma"/>
                <w:color w:val="000000"/>
                <w:szCs w:val="18"/>
              </w:rPr>
              <w:t>Office 365 (Enterprise E2)*</w:t>
            </w:r>
          </w:p>
          <w:p w:rsidR="008368B4" w:rsidRPr="00BD7CEA" w:rsidRDefault="008368B4" w:rsidP="007358C5">
            <w:pPr>
              <w:numPr>
                <w:ilvl w:val="0"/>
                <w:numId w:val="37"/>
              </w:numPr>
              <w:spacing w:after="60"/>
            </w:pPr>
            <w:r w:rsidRPr="00BD7CEA">
              <w:rPr>
                <w:rFonts w:cs="Tahoma"/>
                <w:color w:val="000000"/>
                <w:szCs w:val="18"/>
              </w:rPr>
              <w:t>Office 365 (Enterprise E3)*</w:t>
            </w:r>
          </w:p>
          <w:p w:rsidR="008368B4" w:rsidRPr="00BD7CEA" w:rsidRDefault="008368B4" w:rsidP="007358C5">
            <w:pPr>
              <w:numPr>
                <w:ilvl w:val="0"/>
                <w:numId w:val="37"/>
              </w:numPr>
              <w:spacing w:after="60"/>
            </w:pPr>
            <w:r w:rsidRPr="00BD7CEA">
              <w:rPr>
                <w:rFonts w:cs="Tahoma"/>
                <w:color w:val="000000"/>
                <w:szCs w:val="18"/>
              </w:rPr>
              <w:t>Office 365 (Enterprise E4)*</w:t>
            </w:r>
          </w:p>
          <w:p w:rsidR="008368B4" w:rsidRPr="00BD7CEA" w:rsidRDefault="008368B4" w:rsidP="007358C5">
            <w:pPr>
              <w:numPr>
                <w:ilvl w:val="0"/>
                <w:numId w:val="37"/>
              </w:numPr>
              <w:spacing w:after="60"/>
            </w:pPr>
            <w:r w:rsidRPr="00BD7CEA">
              <w:rPr>
                <w:rFonts w:cs="Tahoma"/>
                <w:color w:val="000000"/>
                <w:szCs w:val="18"/>
              </w:rPr>
              <w:t>Office 365 (Government G1)*</w:t>
            </w:r>
          </w:p>
          <w:p w:rsidR="008368B4" w:rsidRPr="00BD7CEA" w:rsidRDefault="008368B4" w:rsidP="007358C5">
            <w:pPr>
              <w:numPr>
                <w:ilvl w:val="0"/>
                <w:numId w:val="37"/>
              </w:numPr>
              <w:spacing w:after="60"/>
            </w:pPr>
            <w:r w:rsidRPr="00BD7CEA">
              <w:rPr>
                <w:rFonts w:cs="Tahoma"/>
                <w:color w:val="000000"/>
                <w:szCs w:val="18"/>
              </w:rPr>
              <w:t>Office 365 (Government G2)*</w:t>
            </w:r>
          </w:p>
          <w:p w:rsidR="008368B4" w:rsidRPr="00BD7CEA" w:rsidRDefault="008368B4" w:rsidP="007358C5">
            <w:pPr>
              <w:numPr>
                <w:ilvl w:val="0"/>
                <w:numId w:val="37"/>
              </w:numPr>
              <w:spacing w:after="60"/>
            </w:pPr>
            <w:r w:rsidRPr="00BD7CEA">
              <w:rPr>
                <w:rFonts w:cs="Tahoma"/>
                <w:color w:val="000000"/>
                <w:szCs w:val="18"/>
              </w:rPr>
              <w:t>Office 365 (Government G3)*</w:t>
            </w:r>
          </w:p>
          <w:p w:rsidR="008368B4" w:rsidRPr="00BD7CEA" w:rsidRDefault="008368B4" w:rsidP="007358C5">
            <w:pPr>
              <w:numPr>
                <w:ilvl w:val="0"/>
                <w:numId w:val="37"/>
              </w:numPr>
              <w:spacing w:after="60"/>
            </w:pPr>
            <w:r w:rsidRPr="00BD7CEA">
              <w:rPr>
                <w:rFonts w:cs="Tahoma"/>
                <w:color w:val="000000"/>
                <w:szCs w:val="18"/>
              </w:rPr>
              <w:t>Office 365 (Government G4)*</w:t>
            </w:r>
          </w:p>
          <w:p w:rsidR="00A32052" w:rsidRPr="00BD7CEA" w:rsidRDefault="00A32052" w:rsidP="007358C5">
            <w:pPr>
              <w:numPr>
                <w:ilvl w:val="0"/>
                <w:numId w:val="37"/>
              </w:numPr>
              <w:ind w:right="144"/>
            </w:pPr>
            <w:r w:rsidRPr="00BD7CEA">
              <w:rPr>
                <w:rFonts w:cs="Tahoma"/>
                <w:color w:val="000000"/>
              </w:rPr>
              <w:t>Windows Intune*</w:t>
            </w:r>
          </w:p>
          <w:p w:rsidR="00A32052" w:rsidRPr="00BD7CEA" w:rsidRDefault="00A32052" w:rsidP="0055442E">
            <w:pPr>
              <w:ind w:left="720" w:right="144"/>
              <w:rPr>
                <w:rFonts w:cs="Tahoma"/>
                <w:color w:val="000000"/>
              </w:rPr>
            </w:pPr>
          </w:p>
        </w:tc>
      </w:tr>
      <w:tr w:rsidR="00A32052" w:rsidRPr="00BD7CEA"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BD7CEA" w:rsidRDefault="00A32052" w:rsidP="005C647E">
            <w:pPr>
              <w:spacing w:before="60" w:after="60"/>
              <w:ind w:left="144"/>
              <w:rPr>
                <w:rFonts w:cs="Tahoma"/>
              </w:rPr>
            </w:pPr>
            <w:r w:rsidRPr="00BD7CEA">
              <w:rPr>
                <w:rFonts w:cs="Tahoma"/>
              </w:rPr>
              <w:t>Enterprise CAL Suite</w:t>
            </w:r>
          </w:p>
        </w:tc>
        <w:tc>
          <w:tcPr>
            <w:tcW w:w="4334" w:type="dxa"/>
            <w:tcBorders>
              <w:top w:val="nil"/>
              <w:left w:val="nil"/>
              <w:bottom w:val="single" w:sz="8" w:space="0" w:color="auto"/>
              <w:right w:val="single" w:sz="8" w:space="0" w:color="auto"/>
            </w:tcBorders>
            <w:vAlign w:val="center"/>
          </w:tcPr>
          <w:p w:rsidR="00A32052" w:rsidRPr="00BD7CEA" w:rsidRDefault="00A32052" w:rsidP="007358C5">
            <w:pPr>
              <w:numPr>
                <w:ilvl w:val="0"/>
                <w:numId w:val="37"/>
              </w:numPr>
              <w:spacing w:before="60" w:after="60"/>
            </w:pPr>
            <w:r w:rsidRPr="00BD7CEA">
              <w:rPr>
                <w:rFonts w:cs="Tahoma"/>
                <w:color w:val="000000"/>
                <w:szCs w:val="18"/>
              </w:rPr>
              <w:t>Office 365 (Enterprise E3)*</w:t>
            </w:r>
          </w:p>
          <w:p w:rsidR="00A32052" w:rsidRPr="00BD7CEA" w:rsidRDefault="00A32052" w:rsidP="007358C5">
            <w:pPr>
              <w:numPr>
                <w:ilvl w:val="0"/>
                <w:numId w:val="37"/>
              </w:numPr>
              <w:spacing w:after="60"/>
            </w:pPr>
            <w:r w:rsidRPr="00BD7CEA">
              <w:rPr>
                <w:rFonts w:cs="Tahoma"/>
                <w:color w:val="000000"/>
                <w:szCs w:val="18"/>
              </w:rPr>
              <w:t>Office 365 (Enterprise E4)*</w:t>
            </w:r>
          </w:p>
          <w:p w:rsidR="004D2744" w:rsidRPr="00BD7CEA" w:rsidRDefault="004D2744" w:rsidP="007358C5">
            <w:pPr>
              <w:numPr>
                <w:ilvl w:val="0"/>
                <w:numId w:val="37"/>
              </w:numPr>
              <w:spacing w:after="60"/>
            </w:pPr>
            <w:r w:rsidRPr="00BD7CEA">
              <w:rPr>
                <w:rFonts w:cs="Tahoma"/>
                <w:color w:val="000000"/>
                <w:szCs w:val="18"/>
              </w:rPr>
              <w:t>Office 365 (Enterprise G3)*</w:t>
            </w:r>
          </w:p>
          <w:p w:rsidR="004D2744" w:rsidRPr="00BD7CEA" w:rsidRDefault="004D2744" w:rsidP="007358C5">
            <w:pPr>
              <w:numPr>
                <w:ilvl w:val="0"/>
                <w:numId w:val="37"/>
              </w:numPr>
              <w:spacing w:after="60"/>
            </w:pPr>
            <w:r w:rsidRPr="00BD7CEA">
              <w:rPr>
                <w:rFonts w:cs="Tahoma"/>
                <w:color w:val="000000"/>
                <w:szCs w:val="18"/>
              </w:rPr>
              <w:t>Office 365 (Enterprise G4)*</w:t>
            </w:r>
          </w:p>
          <w:p w:rsidR="00A32052" w:rsidRPr="00BD7CEA" w:rsidRDefault="00A32052" w:rsidP="007358C5">
            <w:pPr>
              <w:numPr>
                <w:ilvl w:val="0"/>
                <w:numId w:val="37"/>
              </w:numPr>
              <w:ind w:right="144"/>
            </w:pPr>
            <w:r w:rsidRPr="00BD7CEA">
              <w:rPr>
                <w:rFonts w:cs="Tahoma"/>
                <w:color w:val="000000"/>
              </w:rPr>
              <w:t>Windows</w:t>
            </w:r>
            <w:r w:rsidR="00700C4B" w:rsidRPr="00BD7CEA">
              <w:rPr>
                <w:rFonts w:cs="Tahoma"/>
                <w:color w:val="000000"/>
                <w:vertAlign w:val="superscript"/>
              </w:rPr>
              <w:t>®</w:t>
            </w:r>
            <w:r w:rsidRPr="00BD7CEA">
              <w:rPr>
                <w:rFonts w:cs="Tahoma"/>
                <w:color w:val="000000"/>
              </w:rPr>
              <w:t xml:space="preserve"> Intune*</w:t>
            </w:r>
          </w:p>
          <w:p w:rsidR="00A32052" w:rsidRPr="00BD7CEA" w:rsidRDefault="00A32052" w:rsidP="00BD6C2C">
            <w:pPr>
              <w:ind w:right="144"/>
              <w:rPr>
                <w:rFonts w:cs="Tahoma"/>
                <w:color w:val="000000"/>
              </w:rPr>
            </w:pPr>
          </w:p>
        </w:tc>
      </w:tr>
      <w:tr w:rsidR="00A32052" w:rsidRPr="00BD7CEA" w:rsidTr="005C647E">
        <w:trPr>
          <w:cantSplit/>
          <w:trHeight w:val="354"/>
        </w:trPr>
        <w:tc>
          <w:tcPr>
            <w:tcW w:w="3687" w:type="dxa"/>
            <w:tcBorders>
              <w:top w:val="single" w:sz="8" w:space="0" w:color="auto"/>
              <w:left w:val="single" w:sz="8" w:space="0" w:color="auto"/>
              <w:bottom w:val="nil"/>
              <w:right w:val="single" w:sz="8" w:space="0" w:color="auto"/>
            </w:tcBorders>
            <w:vAlign w:val="center"/>
          </w:tcPr>
          <w:p w:rsidR="00A32052" w:rsidRPr="00BD7CEA" w:rsidRDefault="00A32052" w:rsidP="005C647E">
            <w:pPr>
              <w:spacing w:before="60" w:after="60"/>
              <w:ind w:left="144"/>
              <w:rPr>
                <w:rFonts w:cs="Tahoma"/>
              </w:rPr>
            </w:pPr>
            <w:r w:rsidRPr="00BD7CEA">
              <w:rPr>
                <w:rFonts w:cs="Tahoma"/>
              </w:rPr>
              <w:t>Office Professional Plus</w:t>
            </w:r>
          </w:p>
        </w:tc>
        <w:tc>
          <w:tcPr>
            <w:tcW w:w="4334" w:type="dxa"/>
            <w:tcBorders>
              <w:top w:val="single" w:sz="8" w:space="0" w:color="auto"/>
              <w:left w:val="nil"/>
              <w:bottom w:val="nil"/>
              <w:right w:val="single" w:sz="8" w:space="0" w:color="auto"/>
            </w:tcBorders>
            <w:vAlign w:val="center"/>
          </w:tcPr>
          <w:p w:rsidR="004D2744" w:rsidRPr="00BD7CEA" w:rsidRDefault="00A32052" w:rsidP="007358C5">
            <w:pPr>
              <w:numPr>
                <w:ilvl w:val="0"/>
                <w:numId w:val="37"/>
              </w:numPr>
              <w:spacing w:after="60"/>
            </w:pPr>
            <w:r w:rsidRPr="00BD7CEA">
              <w:rPr>
                <w:rFonts w:cs="Tahoma"/>
                <w:color w:val="000000"/>
                <w:szCs w:val="18"/>
              </w:rPr>
              <w:t>Office 365 (Enterprise E2)*</w:t>
            </w:r>
          </w:p>
          <w:p w:rsidR="00A32052" w:rsidRPr="00BD7CEA" w:rsidRDefault="00A32052" w:rsidP="007358C5">
            <w:pPr>
              <w:numPr>
                <w:ilvl w:val="0"/>
                <w:numId w:val="37"/>
              </w:numPr>
              <w:spacing w:after="60"/>
            </w:pPr>
            <w:r w:rsidRPr="00BD7CEA">
              <w:rPr>
                <w:rFonts w:cs="Tahoma"/>
                <w:color w:val="000000"/>
                <w:szCs w:val="18"/>
              </w:rPr>
              <w:t>Office 365 (Enterprise E3)*</w:t>
            </w:r>
          </w:p>
          <w:p w:rsidR="00A32052" w:rsidRPr="00BD7CEA" w:rsidRDefault="00A32052" w:rsidP="007358C5">
            <w:pPr>
              <w:numPr>
                <w:ilvl w:val="0"/>
                <w:numId w:val="37"/>
              </w:numPr>
              <w:spacing w:after="60"/>
            </w:pPr>
            <w:r w:rsidRPr="00BD7CEA">
              <w:rPr>
                <w:rFonts w:cs="Tahoma"/>
                <w:color w:val="000000"/>
                <w:szCs w:val="18"/>
              </w:rPr>
              <w:t>Office 365 (Enterprise E4)*</w:t>
            </w:r>
          </w:p>
          <w:p w:rsidR="00A32052" w:rsidRPr="00BD7CEA" w:rsidRDefault="00A32052" w:rsidP="007358C5">
            <w:pPr>
              <w:numPr>
                <w:ilvl w:val="0"/>
                <w:numId w:val="37"/>
              </w:numPr>
              <w:spacing w:after="60"/>
            </w:pPr>
            <w:r w:rsidRPr="00BD7CEA">
              <w:rPr>
                <w:rFonts w:cs="Tahoma"/>
                <w:color w:val="000000"/>
                <w:szCs w:val="18"/>
              </w:rPr>
              <w:t xml:space="preserve">Office 365 (Government G2) </w:t>
            </w:r>
          </w:p>
          <w:p w:rsidR="00A32052" w:rsidRPr="00BD7CEA" w:rsidRDefault="00A32052" w:rsidP="007358C5">
            <w:pPr>
              <w:numPr>
                <w:ilvl w:val="0"/>
                <w:numId w:val="37"/>
              </w:numPr>
              <w:spacing w:after="60"/>
            </w:pPr>
            <w:r w:rsidRPr="00BD7CEA">
              <w:rPr>
                <w:rFonts w:cs="Tahoma"/>
                <w:color w:val="000000"/>
                <w:szCs w:val="18"/>
              </w:rPr>
              <w:t>Office 365 (Government G3)</w:t>
            </w:r>
          </w:p>
          <w:p w:rsidR="00A32052" w:rsidRPr="00BD7CEA" w:rsidRDefault="00A32052" w:rsidP="007358C5">
            <w:pPr>
              <w:numPr>
                <w:ilvl w:val="0"/>
                <w:numId w:val="37"/>
              </w:numPr>
              <w:spacing w:after="60"/>
            </w:pPr>
            <w:r w:rsidRPr="00BD7CEA">
              <w:rPr>
                <w:rFonts w:cs="Tahoma"/>
                <w:color w:val="000000"/>
                <w:szCs w:val="18"/>
              </w:rPr>
              <w:t>Office 365 (Government G4)</w:t>
            </w:r>
          </w:p>
          <w:p w:rsidR="00A32052" w:rsidRPr="00BD7CEA" w:rsidRDefault="00A32052" w:rsidP="007358C5">
            <w:pPr>
              <w:numPr>
                <w:ilvl w:val="0"/>
                <w:numId w:val="37"/>
              </w:numPr>
              <w:spacing w:after="60"/>
            </w:pPr>
            <w:r w:rsidRPr="00BD7CEA">
              <w:rPr>
                <w:rFonts w:cs="Tahoma"/>
                <w:color w:val="000000"/>
                <w:szCs w:val="18"/>
              </w:rPr>
              <w:t>Office Professional Plus per Office 365</w:t>
            </w:r>
          </w:p>
          <w:p w:rsidR="002D25C8" w:rsidRPr="00BD7CEA" w:rsidRDefault="002D25C8" w:rsidP="0055442E">
            <w:pPr>
              <w:ind w:left="720"/>
              <w:rPr>
                <w:rFonts w:cs="Tahoma"/>
                <w:color w:val="000000"/>
              </w:rPr>
            </w:pPr>
          </w:p>
        </w:tc>
      </w:tr>
      <w:tr w:rsidR="00A32052" w:rsidRPr="00BD7CEA" w:rsidTr="005C647E">
        <w:trPr>
          <w:cantSplit/>
          <w:trHeight w:val="354"/>
        </w:trPr>
        <w:tc>
          <w:tcPr>
            <w:tcW w:w="3687" w:type="dxa"/>
            <w:tcBorders>
              <w:top w:val="single" w:sz="8" w:space="0" w:color="auto"/>
              <w:left w:val="single" w:sz="8" w:space="0" w:color="auto"/>
              <w:bottom w:val="nil"/>
              <w:right w:val="single" w:sz="8" w:space="0" w:color="auto"/>
            </w:tcBorders>
            <w:vAlign w:val="center"/>
          </w:tcPr>
          <w:p w:rsidR="00A32052" w:rsidRPr="007B74B7" w:rsidRDefault="00A32052" w:rsidP="005C647E">
            <w:pPr>
              <w:spacing w:before="60" w:after="60"/>
              <w:ind w:left="144"/>
              <w:rPr>
                <w:rFonts w:cs="Tahoma"/>
                <w:lang w:val="fr-FR"/>
              </w:rPr>
            </w:pPr>
            <w:r w:rsidRPr="007B74B7">
              <w:rPr>
                <w:rFonts w:cs="Tahoma"/>
                <w:lang w:val="fr-FR"/>
              </w:rPr>
              <w:t>Office Professional Plus e Core CAL Suite</w:t>
            </w:r>
          </w:p>
        </w:tc>
        <w:tc>
          <w:tcPr>
            <w:tcW w:w="4334" w:type="dxa"/>
            <w:tcBorders>
              <w:top w:val="single" w:sz="8" w:space="0" w:color="auto"/>
              <w:left w:val="nil"/>
              <w:bottom w:val="nil"/>
              <w:right w:val="single" w:sz="8" w:space="0" w:color="auto"/>
            </w:tcBorders>
            <w:vAlign w:val="center"/>
          </w:tcPr>
          <w:p w:rsidR="008368B4" w:rsidRPr="00BD7CEA" w:rsidRDefault="008368B4" w:rsidP="007358C5">
            <w:pPr>
              <w:numPr>
                <w:ilvl w:val="0"/>
                <w:numId w:val="37"/>
              </w:numPr>
              <w:spacing w:before="60" w:after="60"/>
            </w:pPr>
            <w:r w:rsidRPr="00BD7CEA">
              <w:rPr>
                <w:rFonts w:cs="Tahoma"/>
                <w:color w:val="000000"/>
                <w:szCs w:val="18"/>
              </w:rPr>
              <w:t>Office 365 (Enterprise E2)*</w:t>
            </w:r>
          </w:p>
          <w:p w:rsidR="008368B4" w:rsidRPr="00BD7CEA" w:rsidRDefault="008368B4" w:rsidP="007358C5">
            <w:pPr>
              <w:numPr>
                <w:ilvl w:val="0"/>
                <w:numId w:val="37"/>
              </w:numPr>
              <w:spacing w:after="60"/>
            </w:pPr>
            <w:r w:rsidRPr="00BD7CEA">
              <w:rPr>
                <w:rFonts w:cs="Tahoma"/>
                <w:color w:val="000000"/>
                <w:szCs w:val="18"/>
              </w:rPr>
              <w:t>Office 365 (Enterprise E3)*</w:t>
            </w:r>
          </w:p>
          <w:p w:rsidR="008368B4" w:rsidRPr="00BD7CEA" w:rsidRDefault="008368B4" w:rsidP="007358C5">
            <w:pPr>
              <w:numPr>
                <w:ilvl w:val="0"/>
                <w:numId w:val="37"/>
              </w:numPr>
              <w:spacing w:after="60"/>
            </w:pPr>
            <w:r w:rsidRPr="00BD7CEA">
              <w:rPr>
                <w:rFonts w:cs="Tahoma"/>
                <w:color w:val="000000"/>
                <w:szCs w:val="18"/>
              </w:rPr>
              <w:t>Office 365 (Enterprise E4)*</w:t>
            </w:r>
          </w:p>
          <w:p w:rsidR="008368B4" w:rsidRPr="00BD7CEA" w:rsidRDefault="008368B4" w:rsidP="007358C5">
            <w:pPr>
              <w:numPr>
                <w:ilvl w:val="0"/>
                <w:numId w:val="37"/>
              </w:numPr>
              <w:spacing w:after="60"/>
            </w:pPr>
            <w:r w:rsidRPr="00BD7CEA">
              <w:rPr>
                <w:rFonts w:cs="Tahoma"/>
                <w:color w:val="000000"/>
                <w:szCs w:val="18"/>
              </w:rPr>
              <w:t>Office 365 (Government G2)*</w:t>
            </w:r>
          </w:p>
          <w:p w:rsidR="008368B4" w:rsidRPr="00BD7CEA" w:rsidRDefault="008368B4" w:rsidP="007358C5">
            <w:pPr>
              <w:numPr>
                <w:ilvl w:val="0"/>
                <w:numId w:val="37"/>
              </w:numPr>
              <w:spacing w:after="60"/>
            </w:pPr>
            <w:r w:rsidRPr="00BD7CEA">
              <w:rPr>
                <w:rFonts w:cs="Tahoma"/>
                <w:color w:val="000000"/>
                <w:szCs w:val="18"/>
              </w:rPr>
              <w:t>Office 365 (Government G3)*</w:t>
            </w:r>
          </w:p>
          <w:p w:rsidR="008368B4" w:rsidRPr="00BD7CEA" w:rsidRDefault="008368B4" w:rsidP="007358C5">
            <w:pPr>
              <w:numPr>
                <w:ilvl w:val="0"/>
                <w:numId w:val="37"/>
              </w:numPr>
              <w:spacing w:after="60"/>
            </w:pPr>
            <w:r w:rsidRPr="00BD7CEA">
              <w:rPr>
                <w:rFonts w:cs="Tahoma"/>
                <w:color w:val="000000"/>
                <w:szCs w:val="18"/>
              </w:rPr>
              <w:t>Office 365 (Government G4)*</w:t>
            </w:r>
          </w:p>
          <w:p w:rsidR="002D25C8" w:rsidRPr="00BD7CEA" w:rsidRDefault="002D25C8" w:rsidP="0055442E">
            <w:pPr>
              <w:ind w:left="720"/>
              <w:rPr>
                <w:rFonts w:cs="Tahoma"/>
                <w:color w:val="000000"/>
              </w:rPr>
            </w:pPr>
          </w:p>
        </w:tc>
      </w:tr>
      <w:tr w:rsidR="00A32052" w:rsidRPr="00BD7CEA"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A32052" w:rsidRPr="007B74B7" w:rsidRDefault="00A32052" w:rsidP="00BB7555">
            <w:pPr>
              <w:spacing w:before="60" w:after="60"/>
              <w:ind w:left="144"/>
              <w:rPr>
                <w:rFonts w:cs="Tahoma"/>
                <w:lang w:val="fr-FR"/>
              </w:rPr>
            </w:pPr>
            <w:r w:rsidRPr="007B74B7">
              <w:rPr>
                <w:rFonts w:cs="Tahoma"/>
                <w:lang w:val="fr-FR"/>
              </w:rPr>
              <w:t>Office Professional Plus ed Enterprise CAL</w:t>
            </w:r>
            <w:r w:rsidR="00BB7555" w:rsidRPr="007B74B7">
              <w:rPr>
                <w:rFonts w:cs="Tahoma"/>
                <w:lang w:val="fr-FR"/>
              </w:rPr>
              <w:t> </w:t>
            </w:r>
            <w:r w:rsidRPr="007B74B7">
              <w:rPr>
                <w:rFonts w:cs="Tahoma"/>
                <w:lang w:val="fr-FR"/>
              </w:rPr>
              <w:t>Suite</w:t>
            </w:r>
          </w:p>
        </w:tc>
        <w:tc>
          <w:tcPr>
            <w:tcW w:w="4334" w:type="dxa"/>
            <w:tcBorders>
              <w:top w:val="single" w:sz="8" w:space="0" w:color="auto"/>
              <w:left w:val="nil"/>
              <w:bottom w:val="single" w:sz="8" w:space="0" w:color="auto"/>
              <w:right w:val="single" w:sz="8" w:space="0" w:color="auto"/>
            </w:tcBorders>
            <w:vAlign w:val="center"/>
          </w:tcPr>
          <w:p w:rsidR="008368B4" w:rsidRPr="00BD7CEA" w:rsidRDefault="008368B4" w:rsidP="007358C5">
            <w:pPr>
              <w:numPr>
                <w:ilvl w:val="0"/>
                <w:numId w:val="37"/>
              </w:numPr>
              <w:spacing w:before="60" w:after="60"/>
            </w:pPr>
            <w:r w:rsidRPr="00BD7CEA">
              <w:rPr>
                <w:rFonts w:cs="Tahoma"/>
                <w:color w:val="000000"/>
                <w:szCs w:val="18"/>
              </w:rPr>
              <w:t>Office 365 (Enterprise E3)*</w:t>
            </w:r>
          </w:p>
          <w:p w:rsidR="008368B4" w:rsidRPr="00BD7CEA" w:rsidRDefault="008368B4" w:rsidP="007358C5">
            <w:pPr>
              <w:numPr>
                <w:ilvl w:val="0"/>
                <w:numId w:val="37"/>
              </w:numPr>
              <w:spacing w:after="60"/>
            </w:pPr>
            <w:r w:rsidRPr="00BD7CEA">
              <w:rPr>
                <w:rFonts w:cs="Tahoma"/>
                <w:color w:val="000000"/>
                <w:szCs w:val="18"/>
              </w:rPr>
              <w:t>Office 365 (Enterprise E4)*</w:t>
            </w:r>
          </w:p>
          <w:p w:rsidR="008368B4" w:rsidRPr="00BD7CEA" w:rsidRDefault="008368B4" w:rsidP="007358C5">
            <w:pPr>
              <w:numPr>
                <w:ilvl w:val="0"/>
                <w:numId w:val="37"/>
              </w:numPr>
              <w:spacing w:after="60"/>
            </w:pPr>
            <w:r w:rsidRPr="00BD7CEA">
              <w:rPr>
                <w:rFonts w:cs="Tahoma"/>
                <w:color w:val="000000"/>
                <w:szCs w:val="18"/>
              </w:rPr>
              <w:t>Office 365 (Government G3)*</w:t>
            </w:r>
          </w:p>
          <w:p w:rsidR="008368B4" w:rsidRPr="00BD7CEA" w:rsidRDefault="008368B4" w:rsidP="007358C5">
            <w:pPr>
              <w:numPr>
                <w:ilvl w:val="0"/>
                <w:numId w:val="37"/>
              </w:numPr>
              <w:spacing w:after="60"/>
            </w:pPr>
            <w:r w:rsidRPr="00BD7CEA">
              <w:rPr>
                <w:rFonts w:cs="Tahoma"/>
                <w:color w:val="000000"/>
                <w:szCs w:val="18"/>
              </w:rPr>
              <w:t>Office 365 (Government G4)*</w:t>
            </w:r>
          </w:p>
          <w:p w:rsidR="002D25C8" w:rsidRPr="00BD7CEA" w:rsidRDefault="002D25C8" w:rsidP="0055442E">
            <w:pPr>
              <w:ind w:left="720"/>
              <w:rPr>
                <w:rFonts w:cs="Tahoma"/>
                <w:color w:val="000000"/>
              </w:rPr>
            </w:pPr>
          </w:p>
        </w:tc>
      </w:tr>
      <w:tr w:rsidR="00B1054F" w:rsidRPr="00BD7CEA"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BD7CEA" w:rsidRDefault="00B1054F" w:rsidP="00B1054F">
            <w:pPr>
              <w:spacing w:before="60" w:after="60"/>
              <w:ind w:left="144"/>
              <w:rPr>
                <w:rFonts w:cs="Tahoma"/>
              </w:rPr>
            </w:pPr>
            <w:r w:rsidRPr="00BD7CEA">
              <w:rPr>
                <w:rFonts w:cs="Tahoma"/>
              </w:rPr>
              <w:t xml:space="preserve">Aggiornamento per Windows Pro </w:t>
            </w:r>
          </w:p>
        </w:tc>
        <w:tc>
          <w:tcPr>
            <w:tcW w:w="4334" w:type="dxa"/>
            <w:tcBorders>
              <w:top w:val="single" w:sz="8" w:space="0" w:color="auto"/>
              <w:left w:val="nil"/>
              <w:bottom w:val="single" w:sz="8" w:space="0" w:color="auto"/>
              <w:right w:val="single" w:sz="8" w:space="0" w:color="auto"/>
            </w:tcBorders>
            <w:vAlign w:val="center"/>
          </w:tcPr>
          <w:p w:rsidR="00B1054F" w:rsidRPr="00BD7CEA" w:rsidRDefault="00B1054F" w:rsidP="007358C5">
            <w:pPr>
              <w:numPr>
                <w:ilvl w:val="0"/>
                <w:numId w:val="37"/>
              </w:numPr>
              <w:spacing w:before="60" w:after="60"/>
              <w:rPr>
                <w:rFonts w:cs="Tahoma"/>
                <w:color w:val="000000"/>
                <w:szCs w:val="18"/>
              </w:rPr>
            </w:pPr>
            <w:r w:rsidRPr="00BD7CEA">
              <w:rPr>
                <w:rFonts w:cs="Tahoma"/>
                <w:color w:val="000000" w:themeColor="text1"/>
              </w:rPr>
              <w:t>Windows Virtual Desktop Access</w:t>
            </w:r>
          </w:p>
        </w:tc>
      </w:tr>
      <w:tr w:rsidR="00B1054F" w:rsidRPr="00BD7CEA"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BD7CEA" w:rsidRDefault="00B1054F" w:rsidP="00894F24">
            <w:pPr>
              <w:keepNext/>
              <w:spacing w:before="60" w:after="60"/>
              <w:ind w:left="144"/>
              <w:rPr>
                <w:rFonts w:cs="Tahoma"/>
              </w:rPr>
            </w:pPr>
            <w:r w:rsidRPr="00BD7CEA">
              <w:rPr>
                <w:rFonts w:cs="Tahoma"/>
                <w:color w:val="000000" w:themeColor="text1"/>
              </w:rPr>
              <w:lastRenderedPageBreak/>
              <w:t>Windows Virtual Desktop Access</w:t>
            </w:r>
          </w:p>
        </w:tc>
        <w:tc>
          <w:tcPr>
            <w:tcW w:w="4334" w:type="dxa"/>
            <w:tcBorders>
              <w:top w:val="single" w:sz="8" w:space="0" w:color="auto"/>
              <w:left w:val="nil"/>
              <w:bottom w:val="single" w:sz="8" w:space="0" w:color="auto"/>
              <w:right w:val="single" w:sz="8" w:space="0" w:color="auto"/>
            </w:tcBorders>
            <w:vAlign w:val="center"/>
          </w:tcPr>
          <w:p w:rsidR="00B1054F" w:rsidRPr="00BD7CEA" w:rsidRDefault="00B1054F" w:rsidP="007358C5">
            <w:pPr>
              <w:keepNext/>
              <w:numPr>
                <w:ilvl w:val="0"/>
                <w:numId w:val="37"/>
              </w:numPr>
              <w:spacing w:before="60" w:after="60"/>
              <w:rPr>
                <w:rFonts w:cs="Tahoma"/>
                <w:color w:val="000000"/>
                <w:szCs w:val="18"/>
              </w:rPr>
            </w:pPr>
            <w:r w:rsidRPr="00BD7CEA">
              <w:rPr>
                <w:rFonts w:cs="Tahoma"/>
                <w:color w:val="000000" w:themeColor="text1"/>
              </w:rPr>
              <w:t>Licenza “Subscription” per Windows Companion</w:t>
            </w:r>
          </w:p>
        </w:tc>
      </w:tr>
      <w:tr w:rsidR="00B1054F" w:rsidRPr="00BD7CEA"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BD7CEA" w:rsidRDefault="00B1054F" w:rsidP="00B1054F">
            <w:pPr>
              <w:spacing w:before="60" w:after="60"/>
              <w:ind w:left="144"/>
              <w:rPr>
                <w:rFonts w:cs="Tahoma"/>
              </w:rPr>
            </w:pPr>
            <w:r w:rsidRPr="00BD7CEA">
              <w:rPr>
                <w:rFonts w:cs="Tahoma"/>
              </w:rPr>
              <w:t>Aggiornamento per Windows Pro</w:t>
            </w:r>
          </w:p>
        </w:tc>
        <w:tc>
          <w:tcPr>
            <w:tcW w:w="4334" w:type="dxa"/>
            <w:tcBorders>
              <w:top w:val="single" w:sz="8" w:space="0" w:color="auto"/>
              <w:left w:val="nil"/>
              <w:bottom w:val="single" w:sz="8" w:space="0" w:color="auto"/>
              <w:right w:val="single" w:sz="8" w:space="0" w:color="auto"/>
            </w:tcBorders>
            <w:vAlign w:val="center"/>
          </w:tcPr>
          <w:p w:rsidR="00B1054F" w:rsidRPr="00BD7CEA" w:rsidRDefault="00B1054F" w:rsidP="007358C5">
            <w:pPr>
              <w:numPr>
                <w:ilvl w:val="0"/>
                <w:numId w:val="37"/>
              </w:numPr>
              <w:spacing w:before="60" w:after="60"/>
              <w:rPr>
                <w:rFonts w:cs="Tahoma"/>
                <w:color w:val="000000"/>
                <w:szCs w:val="18"/>
              </w:rPr>
            </w:pPr>
            <w:r w:rsidRPr="00BD7CEA">
              <w:rPr>
                <w:rFonts w:cs="Tahoma"/>
                <w:color w:val="000000" w:themeColor="text1"/>
              </w:rPr>
              <w:t>Licenza “Subscription” per Windows Companion</w:t>
            </w:r>
          </w:p>
        </w:tc>
      </w:tr>
    </w:tbl>
    <w:p w:rsidR="00456002" w:rsidRPr="007B74B7" w:rsidRDefault="00456002" w:rsidP="00456002">
      <w:pPr>
        <w:tabs>
          <w:tab w:val="left" w:pos="360"/>
        </w:tabs>
        <w:ind w:left="720"/>
        <w:rPr>
          <w:lang w:val="it-IT"/>
        </w:rPr>
      </w:pPr>
      <w:r w:rsidRPr="007B74B7">
        <w:rPr>
          <w:rFonts w:cs="Tahoma"/>
          <w:i/>
          <w:sz w:val="16"/>
          <w:szCs w:val="20"/>
          <w:lang w:val="it-IT"/>
        </w:rPr>
        <w:t>* Richiede la CAL Suite Bridge appropriata. Per ulteriori informazioni sulla CAL Suite Bridge, fare riferimento all</w:t>
      </w:r>
      <w:r w:rsidR="007A1415" w:rsidRPr="007B74B7">
        <w:rPr>
          <w:rFonts w:cs="Tahoma"/>
          <w:i/>
          <w:sz w:val="16"/>
          <w:szCs w:val="20"/>
          <w:lang w:val="it-IT"/>
        </w:rPr>
        <w:t>’</w:t>
      </w:r>
      <w:r w:rsidRPr="007B74B7">
        <w:rPr>
          <w:rFonts w:cs="Tahoma"/>
          <w:i/>
          <w:sz w:val="16"/>
          <w:szCs w:val="20"/>
          <w:lang w:val="it-IT"/>
        </w:rPr>
        <w:t>articolo relativo alle note del prodotto nel presente documento.</w:t>
      </w:r>
    </w:p>
    <w:p w:rsidR="00456002" w:rsidRPr="007B74B7" w:rsidRDefault="00456002" w:rsidP="00456002">
      <w:pPr>
        <w:tabs>
          <w:tab w:val="left" w:pos="360"/>
        </w:tabs>
        <w:ind w:left="720"/>
        <w:rPr>
          <w:lang w:val="it-IT"/>
        </w:rPr>
      </w:pPr>
    </w:p>
    <w:p w:rsidR="00456002" w:rsidRPr="007B74B7" w:rsidRDefault="00456002" w:rsidP="00366502">
      <w:pPr>
        <w:rPr>
          <w:lang w:val="it-IT"/>
        </w:rPr>
      </w:pPr>
      <w:r w:rsidRPr="007B74B7">
        <w:rPr>
          <w:rFonts w:cs="Tahoma"/>
          <w:szCs w:val="20"/>
          <w:lang w:val="it-IT"/>
        </w:rPr>
        <w:t>Altre Transizioni potranno essere aggiunte a discrezione di Microsoft.</w:t>
      </w:r>
      <w:r w:rsidR="008D782D" w:rsidRPr="007B74B7">
        <w:rPr>
          <w:rFonts w:cs="Tahoma"/>
          <w:szCs w:val="20"/>
          <w:lang w:val="it-IT"/>
        </w:rPr>
        <w:t xml:space="preserve"> </w:t>
      </w:r>
      <w:r w:rsidRPr="007B74B7">
        <w:rPr>
          <w:rFonts w:cs="Tahoma"/>
          <w:szCs w:val="20"/>
          <w:lang w:val="it-IT"/>
        </w:rPr>
        <w:t>Potranno applicarsi requisiti relativi alla licenza e corrispettivi aggiuntivi.</w:t>
      </w:r>
      <w:r w:rsidR="008D782D" w:rsidRPr="007B74B7">
        <w:rPr>
          <w:rFonts w:cs="Tahoma"/>
          <w:szCs w:val="20"/>
          <w:lang w:val="it-IT"/>
        </w:rPr>
        <w:t xml:space="preserve"> </w:t>
      </w:r>
    </w:p>
    <w:p w:rsidR="00456002" w:rsidRPr="007B74B7" w:rsidRDefault="00456002" w:rsidP="00366502">
      <w:pPr>
        <w:outlineLvl w:val="2"/>
        <w:rPr>
          <w:lang w:val="it-IT"/>
        </w:rPr>
      </w:pPr>
    </w:p>
    <w:p w:rsidR="00456002" w:rsidRPr="007B74B7" w:rsidRDefault="00456002" w:rsidP="0055442E">
      <w:pPr>
        <w:keepNext/>
        <w:tabs>
          <w:tab w:val="num" w:pos="720"/>
        </w:tabs>
        <w:spacing w:after="60"/>
        <w:outlineLvl w:val="3"/>
        <w:rPr>
          <w:lang w:val="it-IT"/>
        </w:rPr>
      </w:pPr>
      <w:r w:rsidRPr="007B74B7">
        <w:rPr>
          <w:rFonts w:cs="Tahoma"/>
          <w:b/>
          <w:szCs w:val="20"/>
          <w:lang w:val="it-IT"/>
        </w:rPr>
        <w:t>Ordini annuali o true-up di Servizi Online</w:t>
      </w:r>
      <w:r w:rsidRPr="007B74B7">
        <w:rPr>
          <w:rFonts w:eastAsia="Times New Roman" w:cs="Tahoma"/>
          <w:b/>
          <w:sz w:val="22"/>
          <w:szCs w:val="20"/>
          <w:lang w:val="it-IT"/>
        </w:rPr>
        <w:t xml:space="preserve"> </w:t>
      </w:r>
    </w:p>
    <w:p w:rsidR="00456002" w:rsidRPr="007B74B7" w:rsidRDefault="00456002" w:rsidP="00366502">
      <w:pPr>
        <w:rPr>
          <w:lang w:val="it-IT"/>
        </w:rPr>
      </w:pPr>
      <w:r w:rsidRPr="007B74B7">
        <w:rPr>
          <w:rFonts w:cs="Tahoma"/>
          <w:b/>
          <w:szCs w:val="20"/>
          <w:lang w:val="it-IT"/>
        </w:rPr>
        <w:t>Nota:</w:t>
      </w:r>
      <w:r w:rsidRPr="007B74B7">
        <w:rPr>
          <w:rFonts w:cs="Tahoma"/>
          <w:szCs w:val="20"/>
          <w:lang w:val="it-IT"/>
        </w:rPr>
        <w:t xml:space="preserve"> quanto segue si applica alle società in possesso delle Iscrizioni Enterprise ed Enterprise Subscription che sono</w:t>
      </w:r>
      <w:r w:rsidR="00894F24" w:rsidRPr="007B74B7">
        <w:rPr>
          <w:rFonts w:cs="Tahoma"/>
          <w:szCs w:val="20"/>
          <w:lang w:val="it-IT"/>
        </w:rPr>
        <w:t> </w:t>
      </w:r>
      <w:r w:rsidRPr="007B74B7">
        <w:rPr>
          <w:rFonts w:cs="Tahoma"/>
          <w:szCs w:val="20"/>
          <w:lang w:val="it-IT"/>
        </w:rPr>
        <w:t>idonee a effettuare ordini annuali o true-up di servizi online. Le società che non sono certe della loro idoneità a</w:t>
      </w:r>
      <w:r w:rsidR="00BB7555" w:rsidRPr="007B74B7">
        <w:rPr>
          <w:rFonts w:cs="Tahoma"/>
          <w:szCs w:val="20"/>
          <w:lang w:val="it-IT"/>
        </w:rPr>
        <w:t> </w:t>
      </w:r>
      <w:r w:rsidRPr="007B74B7">
        <w:rPr>
          <w:rFonts w:cs="Tahoma"/>
          <w:szCs w:val="20"/>
          <w:lang w:val="it-IT"/>
        </w:rPr>
        <w:t>effettuare ordini annuali o true-up di servizi online dovranno contattare il loro Software Advisor, Rivenditore o</w:t>
      </w:r>
      <w:r w:rsidR="00BB7555" w:rsidRPr="007B74B7">
        <w:rPr>
          <w:rFonts w:cs="Tahoma"/>
          <w:szCs w:val="20"/>
          <w:lang w:val="it-IT"/>
        </w:rPr>
        <w:t> </w:t>
      </w:r>
      <w:r w:rsidRPr="007B74B7">
        <w:rPr>
          <w:rFonts w:cs="Tahoma"/>
          <w:szCs w:val="20"/>
          <w:lang w:val="it-IT"/>
        </w:rPr>
        <w:t>Account Manager designato da Microsoft per ulteriori informazioni.</w:t>
      </w:r>
    </w:p>
    <w:p w:rsidR="00456002" w:rsidRPr="007B74B7" w:rsidRDefault="00456002" w:rsidP="00366502">
      <w:pPr>
        <w:rPr>
          <w:lang w:val="it-IT"/>
        </w:rPr>
      </w:pPr>
    </w:p>
    <w:p w:rsidR="00456002" w:rsidRPr="007B74B7" w:rsidRDefault="00456002" w:rsidP="00366502">
      <w:pPr>
        <w:rPr>
          <w:lang w:val="it-IT"/>
        </w:rPr>
      </w:pPr>
      <w:r w:rsidRPr="007B74B7">
        <w:rPr>
          <w:rFonts w:cs="Tahoma"/>
          <w:szCs w:val="20"/>
          <w:lang w:val="it-IT"/>
        </w:rPr>
        <w:t>I seguenti Servizi Online sono idonei per l</w:t>
      </w:r>
      <w:r w:rsidR="007A1415" w:rsidRPr="007B74B7">
        <w:rPr>
          <w:rFonts w:cs="Tahoma"/>
          <w:szCs w:val="20"/>
          <w:lang w:val="it-IT"/>
        </w:rPr>
        <w:t>’</w:t>
      </w:r>
      <w:r w:rsidRPr="007B74B7">
        <w:rPr>
          <w:rFonts w:cs="Tahoma"/>
          <w:szCs w:val="20"/>
          <w:lang w:val="it-IT"/>
        </w:rPr>
        <w:t xml:space="preserve">ordine annuale o true-up di Servizi Online: </w:t>
      </w:r>
    </w:p>
    <w:p w:rsidR="00456002" w:rsidRPr="007B74B7" w:rsidRDefault="00456002" w:rsidP="0055442E">
      <w:pPr>
        <w:ind w:left="720"/>
        <w:rPr>
          <w:lang w:val="it-IT"/>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BD7CEA" w:rsidTr="005C647E">
        <w:trPr>
          <w:trHeight w:val="80"/>
          <w:tblHeader/>
        </w:trPr>
        <w:tc>
          <w:tcPr>
            <w:tcW w:w="5000" w:type="pct"/>
            <w:gridSpan w:val="2"/>
            <w:shd w:val="clear" w:color="auto" w:fill="FABF8F"/>
          </w:tcPr>
          <w:p w:rsidR="00456002" w:rsidRPr="00BD7CEA" w:rsidRDefault="00456002" w:rsidP="005C647E">
            <w:pPr>
              <w:jc w:val="center"/>
              <w:rPr>
                <w:rFonts w:cs="Tahoma"/>
                <w:b/>
              </w:rPr>
            </w:pPr>
            <w:r w:rsidRPr="00BD7CEA">
              <w:rPr>
                <w:rFonts w:cs="Tahoma"/>
                <w:b/>
              </w:rPr>
              <w:t>Servizi Online</w:t>
            </w:r>
          </w:p>
        </w:tc>
      </w:tr>
      <w:tr w:rsidR="00456002" w:rsidRPr="00BD7CEA" w:rsidTr="005C647E">
        <w:trPr>
          <w:trHeight w:val="219"/>
        </w:trPr>
        <w:tc>
          <w:tcPr>
            <w:tcW w:w="2603" w:type="pct"/>
          </w:tcPr>
          <w:p w:rsidR="00456002" w:rsidRPr="008F03DA" w:rsidRDefault="00456002" w:rsidP="007358C5">
            <w:pPr>
              <w:numPr>
                <w:ilvl w:val="0"/>
                <w:numId w:val="38"/>
              </w:numPr>
              <w:spacing w:before="80"/>
              <w:ind w:left="1265" w:hanging="985"/>
              <w:jc w:val="both"/>
              <w:rPr>
                <w:rFonts w:cs="Tahoma"/>
                <w:color w:val="000000" w:themeColor="text1"/>
              </w:rPr>
            </w:pPr>
            <w:r w:rsidRPr="008F03DA">
              <w:rPr>
                <w:rFonts w:cs="Tahoma"/>
                <w:color w:val="000000" w:themeColor="text1"/>
              </w:rPr>
              <w:t>Chiosco Exchange Online*</w:t>
            </w:r>
          </w:p>
          <w:p w:rsidR="00456002" w:rsidRPr="008F03DA" w:rsidRDefault="00456002" w:rsidP="007358C5">
            <w:pPr>
              <w:numPr>
                <w:ilvl w:val="0"/>
                <w:numId w:val="38"/>
              </w:numPr>
              <w:spacing w:before="80"/>
              <w:ind w:left="1265" w:hanging="985"/>
              <w:jc w:val="both"/>
              <w:rPr>
                <w:rFonts w:cs="Tahoma"/>
                <w:color w:val="000000" w:themeColor="text1"/>
              </w:rPr>
            </w:pPr>
            <w:r w:rsidRPr="008F03DA">
              <w:rPr>
                <w:rFonts w:cs="Tahoma"/>
                <w:color w:val="000000" w:themeColor="text1"/>
              </w:rPr>
              <w:t>Exchange Online Piano 1*</w:t>
            </w:r>
          </w:p>
          <w:p w:rsidR="00456002" w:rsidRPr="008F03DA" w:rsidRDefault="00456002" w:rsidP="007358C5">
            <w:pPr>
              <w:numPr>
                <w:ilvl w:val="0"/>
                <w:numId w:val="38"/>
              </w:numPr>
              <w:spacing w:before="80"/>
              <w:ind w:left="1265" w:hanging="985"/>
              <w:jc w:val="both"/>
              <w:rPr>
                <w:rFonts w:cs="Tahoma"/>
                <w:color w:val="000000" w:themeColor="text1"/>
              </w:rPr>
            </w:pPr>
            <w:r w:rsidRPr="008F03DA">
              <w:rPr>
                <w:rFonts w:cs="Tahoma"/>
                <w:color w:val="000000" w:themeColor="text1"/>
              </w:rPr>
              <w:t>Exchange Online Piano 2*</w:t>
            </w:r>
          </w:p>
          <w:p w:rsidR="00456002" w:rsidRPr="008F03DA" w:rsidRDefault="00456002" w:rsidP="007358C5">
            <w:pPr>
              <w:numPr>
                <w:ilvl w:val="0"/>
                <w:numId w:val="38"/>
              </w:numPr>
              <w:spacing w:before="80"/>
              <w:ind w:left="1265" w:hanging="985"/>
              <w:jc w:val="both"/>
              <w:rPr>
                <w:rFonts w:cs="Tahoma"/>
                <w:color w:val="000000" w:themeColor="text1"/>
              </w:rPr>
            </w:pPr>
            <w:r w:rsidRPr="008F03DA">
              <w:rPr>
                <w:rFonts w:cs="Tahoma"/>
                <w:color w:val="000000" w:themeColor="text1"/>
              </w:rPr>
              <w:t>Lync Online Piano 1*</w:t>
            </w:r>
          </w:p>
          <w:p w:rsidR="00456002" w:rsidRPr="008F03DA" w:rsidRDefault="00456002" w:rsidP="007358C5">
            <w:pPr>
              <w:numPr>
                <w:ilvl w:val="0"/>
                <w:numId w:val="38"/>
              </w:numPr>
              <w:spacing w:before="80"/>
              <w:ind w:left="1265" w:hanging="985"/>
              <w:jc w:val="both"/>
              <w:rPr>
                <w:rFonts w:cs="Tahoma"/>
                <w:color w:val="000000" w:themeColor="text1"/>
              </w:rPr>
            </w:pPr>
            <w:r w:rsidRPr="008F03DA">
              <w:rPr>
                <w:rFonts w:cs="Tahoma"/>
                <w:color w:val="000000" w:themeColor="text1"/>
              </w:rPr>
              <w:t>Lync Online Piano 2*</w:t>
            </w:r>
          </w:p>
          <w:p w:rsidR="00E77288" w:rsidRPr="008F03DA" w:rsidRDefault="00E77288" w:rsidP="007358C5">
            <w:pPr>
              <w:numPr>
                <w:ilvl w:val="0"/>
                <w:numId w:val="38"/>
              </w:numPr>
              <w:spacing w:before="80"/>
              <w:ind w:left="1265" w:hanging="985"/>
              <w:jc w:val="both"/>
              <w:rPr>
                <w:rFonts w:cs="Tahoma"/>
                <w:color w:val="000000" w:themeColor="text1"/>
              </w:rPr>
            </w:pPr>
            <w:r w:rsidRPr="008F03DA">
              <w:rPr>
                <w:rFonts w:cs="Tahoma"/>
                <w:color w:val="000000" w:themeColor="text1"/>
              </w:rPr>
              <w:t>Lync Online Piano 3*</w:t>
            </w:r>
          </w:p>
          <w:p w:rsidR="00456002" w:rsidRPr="008F03DA" w:rsidRDefault="00456002" w:rsidP="007358C5">
            <w:pPr>
              <w:numPr>
                <w:ilvl w:val="0"/>
                <w:numId w:val="38"/>
              </w:numPr>
              <w:spacing w:before="80"/>
              <w:ind w:left="1265" w:hanging="985"/>
              <w:jc w:val="both"/>
              <w:rPr>
                <w:rFonts w:cs="Tahoma"/>
                <w:color w:val="000000" w:themeColor="text1"/>
              </w:rPr>
            </w:pPr>
            <w:r w:rsidRPr="008F03DA">
              <w:rPr>
                <w:rFonts w:cs="Tahoma"/>
                <w:color w:val="000000" w:themeColor="text1"/>
              </w:rPr>
              <w:t>Office 365 (Enterprise K1)*</w:t>
            </w:r>
          </w:p>
          <w:p w:rsidR="00456002" w:rsidRPr="008F03DA" w:rsidRDefault="00456002" w:rsidP="007358C5">
            <w:pPr>
              <w:numPr>
                <w:ilvl w:val="0"/>
                <w:numId w:val="38"/>
              </w:numPr>
              <w:spacing w:before="80"/>
              <w:ind w:left="1265" w:hanging="985"/>
              <w:jc w:val="both"/>
              <w:rPr>
                <w:rFonts w:cs="Tahoma"/>
                <w:color w:val="000000" w:themeColor="text1"/>
              </w:rPr>
            </w:pPr>
            <w:r w:rsidRPr="008F03DA">
              <w:rPr>
                <w:rFonts w:cs="Tahoma"/>
                <w:color w:val="000000" w:themeColor="text1"/>
              </w:rPr>
              <w:t>Office 365 (Enterprise K2)*</w:t>
            </w:r>
          </w:p>
          <w:p w:rsidR="00456002" w:rsidRPr="008F03DA" w:rsidRDefault="00456002" w:rsidP="007358C5">
            <w:pPr>
              <w:numPr>
                <w:ilvl w:val="0"/>
                <w:numId w:val="38"/>
              </w:numPr>
              <w:spacing w:before="80"/>
              <w:ind w:left="1265" w:hanging="985"/>
              <w:jc w:val="both"/>
              <w:rPr>
                <w:rFonts w:cs="Tahoma"/>
                <w:color w:val="000000" w:themeColor="text1"/>
              </w:rPr>
            </w:pPr>
            <w:r w:rsidRPr="008F03DA">
              <w:rPr>
                <w:rFonts w:cs="Tahoma"/>
                <w:color w:val="000000" w:themeColor="text1"/>
              </w:rPr>
              <w:t>Office 365 (Enterprise E1)</w:t>
            </w:r>
          </w:p>
          <w:p w:rsidR="00456002" w:rsidRPr="008F03DA" w:rsidRDefault="00456002" w:rsidP="007358C5">
            <w:pPr>
              <w:numPr>
                <w:ilvl w:val="0"/>
                <w:numId w:val="38"/>
              </w:numPr>
              <w:spacing w:before="80"/>
              <w:ind w:left="1265" w:hanging="985"/>
              <w:jc w:val="both"/>
              <w:rPr>
                <w:rFonts w:cs="Tahoma"/>
                <w:color w:val="000000" w:themeColor="text1"/>
              </w:rPr>
            </w:pPr>
            <w:r w:rsidRPr="008F03DA">
              <w:rPr>
                <w:rFonts w:cs="Tahoma"/>
                <w:color w:val="000000" w:themeColor="text1"/>
              </w:rPr>
              <w:t>Office 365 (Enterprise E2)</w:t>
            </w:r>
          </w:p>
          <w:p w:rsidR="00456002" w:rsidRPr="008F03DA" w:rsidRDefault="00456002" w:rsidP="007358C5">
            <w:pPr>
              <w:numPr>
                <w:ilvl w:val="0"/>
                <w:numId w:val="38"/>
              </w:numPr>
              <w:spacing w:before="80"/>
              <w:ind w:left="1265" w:hanging="985"/>
              <w:jc w:val="both"/>
              <w:rPr>
                <w:rFonts w:cs="Tahoma"/>
                <w:color w:val="000000" w:themeColor="text1"/>
              </w:rPr>
            </w:pPr>
            <w:r w:rsidRPr="008F03DA">
              <w:rPr>
                <w:rFonts w:cs="Tahoma"/>
                <w:color w:val="000000" w:themeColor="text1"/>
              </w:rPr>
              <w:t>Office 365 (Enterprise E3)</w:t>
            </w:r>
          </w:p>
          <w:p w:rsidR="00456002" w:rsidRPr="00BD7CEA" w:rsidRDefault="00456002" w:rsidP="007358C5">
            <w:pPr>
              <w:numPr>
                <w:ilvl w:val="0"/>
                <w:numId w:val="38"/>
              </w:numPr>
              <w:spacing w:before="80"/>
              <w:ind w:left="1265" w:hanging="985"/>
              <w:jc w:val="both"/>
              <w:rPr>
                <w:rFonts w:cs="Tahoma"/>
              </w:rPr>
            </w:pPr>
            <w:r w:rsidRPr="008F03DA">
              <w:rPr>
                <w:rFonts w:cs="Tahoma"/>
                <w:color w:val="000000" w:themeColor="text1"/>
              </w:rPr>
              <w:t>Office 365 (Enterprise E4)</w:t>
            </w:r>
          </w:p>
        </w:tc>
        <w:tc>
          <w:tcPr>
            <w:tcW w:w="2397" w:type="pct"/>
          </w:tcPr>
          <w:p w:rsidR="00A32052" w:rsidRPr="00BD7CEA" w:rsidRDefault="00A32052" w:rsidP="007358C5">
            <w:pPr>
              <w:numPr>
                <w:ilvl w:val="0"/>
                <w:numId w:val="38"/>
              </w:numPr>
              <w:spacing w:before="80"/>
              <w:ind w:left="692"/>
              <w:jc w:val="both"/>
            </w:pPr>
            <w:r w:rsidRPr="00BD7CEA">
              <w:rPr>
                <w:rFonts w:cs="Tahoma"/>
                <w:color w:val="000000"/>
              </w:rPr>
              <w:t>Office 365 (Government G1)</w:t>
            </w:r>
          </w:p>
          <w:p w:rsidR="00A32052" w:rsidRPr="00BD7CEA" w:rsidRDefault="00A32052" w:rsidP="007358C5">
            <w:pPr>
              <w:numPr>
                <w:ilvl w:val="0"/>
                <w:numId w:val="38"/>
              </w:numPr>
              <w:spacing w:before="80"/>
              <w:ind w:left="692"/>
              <w:jc w:val="both"/>
            </w:pPr>
            <w:r w:rsidRPr="00BD7CEA">
              <w:rPr>
                <w:rFonts w:cs="Tahoma"/>
                <w:color w:val="000000"/>
              </w:rPr>
              <w:t>Office 365 (Government G2)</w:t>
            </w:r>
          </w:p>
          <w:p w:rsidR="00A32052" w:rsidRPr="00BD7CEA" w:rsidRDefault="00A32052" w:rsidP="007358C5">
            <w:pPr>
              <w:numPr>
                <w:ilvl w:val="0"/>
                <w:numId w:val="38"/>
              </w:numPr>
              <w:spacing w:before="80"/>
              <w:ind w:left="692"/>
              <w:jc w:val="both"/>
            </w:pPr>
            <w:r w:rsidRPr="00BD7CEA">
              <w:rPr>
                <w:rFonts w:cs="Tahoma"/>
                <w:color w:val="000000"/>
              </w:rPr>
              <w:t>Office 365 (Government G3)</w:t>
            </w:r>
          </w:p>
          <w:p w:rsidR="00A32052" w:rsidRPr="00BD7CEA" w:rsidRDefault="00A32052" w:rsidP="007358C5">
            <w:pPr>
              <w:numPr>
                <w:ilvl w:val="0"/>
                <w:numId w:val="38"/>
              </w:numPr>
              <w:spacing w:before="80"/>
              <w:ind w:left="692"/>
              <w:jc w:val="both"/>
            </w:pPr>
            <w:r w:rsidRPr="00BD7CEA">
              <w:rPr>
                <w:rFonts w:cs="Tahoma"/>
                <w:color w:val="000000"/>
              </w:rPr>
              <w:t>Office 365 (Government G4)</w:t>
            </w:r>
          </w:p>
          <w:p w:rsidR="00456002" w:rsidRPr="00BD7CEA" w:rsidRDefault="00456002" w:rsidP="007358C5">
            <w:pPr>
              <w:numPr>
                <w:ilvl w:val="0"/>
                <w:numId w:val="38"/>
              </w:numPr>
              <w:spacing w:before="80"/>
              <w:ind w:left="692"/>
              <w:jc w:val="both"/>
            </w:pPr>
            <w:r w:rsidRPr="00BD7CEA">
              <w:rPr>
                <w:rFonts w:cs="Tahoma"/>
                <w:color w:val="000000"/>
              </w:rPr>
              <w:t>Office Web Applications*</w:t>
            </w:r>
          </w:p>
          <w:p w:rsidR="00456002" w:rsidRPr="00BD7CEA" w:rsidRDefault="00456002" w:rsidP="007358C5">
            <w:pPr>
              <w:numPr>
                <w:ilvl w:val="0"/>
                <w:numId w:val="38"/>
              </w:numPr>
              <w:spacing w:before="80"/>
              <w:ind w:left="692"/>
              <w:jc w:val="both"/>
            </w:pPr>
            <w:r w:rsidRPr="00BD7CEA">
              <w:rPr>
                <w:rFonts w:cs="Tahoma"/>
                <w:color w:val="000000"/>
              </w:rPr>
              <w:t>SharePoint Online Piano 1*</w:t>
            </w:r>
          </w:p>
          <w:p w:rsidR="00456002" w:rsidRPr="00BD7CEA" w:rsidRDefault="00456002" w:rsidP="007358C5">
            <w:pPr>
              <w:numPr>
                <w:ilvl w:val="0"/>
                <w:numId w:val="38"/>
              </w:numPr>
              <w:spacing w:before="80"/>
              <w:ind w:left="692"/>
              <w:jc w:val="both"/>
            </w:pPr>
            <w:r w:rsidRPr="00BD7CEA">
              <w:rPr>
                <w:rFonts w:cs="Tahoma"/>
                <w:color w:val="000000"/>
              </w:rPr>
              <w:t>SharePoint Online Piano 2*</w:t>
            </w:r>
          </w:p>
          <w:p w:rsidR="00456002" w:rsidRPr="00BD7CEA" w:rsidRDefault="00456002" w:rsidP="007358C5">
            <w:pPr>
              <w:numPr>
                <w:ilvl w:val="0"/>
                <w:numId w:val="38"/>
              </w:numPr>
              <w:spacing w:before="80"/>
              <w:ind w:left="692"/>
              <w:jc w:val="both"/>
            </w:pPr>
            <w:r w:rsidRPr="00BD7CEA">
              <w:rPr>
                <w:rFonts w:cs="Tahoma"/>
                <w:color w:val="000000"/>
              </w:rPr>
              <w:t>Accesso partner SharePoint Online*</w:t>
            </w:r>
          </w:p>
          <w:p w:rsidR="00456002" w:rsidRPr="00BD7CEA" w:rsidRDefault="00456002" w:rsidP="007358C5">
            <w:pPr>
              <w:numPr>
                <w:ilvl w:val="0"/>
                <w:numId w:val="38"/>
              </w:numPr>
              <w:spacing w:before="80"/>
              <w:ind w:left="692"/>
              <w:jc w:val="both"/>
            </w:pPr>
            <w:r w:rsidRPr="00BD7CEA">
              <w:rPr>
                <w:rFonts w:cs="Tahoma"/>
                <w:color w:val="000000"/>
              </w:rPr>
              <w:t>Windows Intune</w:t>
            </w:r>
          </w:p>
          <w:p w:rsidR="00456002" w:rsidRPr="007B74B7" w:rsidRDefault="00BD6C2C" w:rsidP="00487D97">
            <w:pPr>
              <w:numPr>
                <w:ilvl w:val="0"/>
                <w:numId w:val="38"/>
              </w:numPr>
              <w:spacing w:before="80"/>
              <w:ind w:left="692"/>
              <w:rPr>
                <w:lang w:val="it-IT"/>
              </w:rPr>
            </w:pPr>
            <w:r w:rsidRPr="007B74B7">
              <w:rPr>
                <w:rFonts w:cs="Tahoma"/>
                <w:color w:val="000000"/>
                <w:lang w:val="it-IT"/>
              </w:rPr>
              <w:t xml:space="preserve">Componente Aggiuntivo di </w:t>
            </w:r>
            <w:r w:rsidR="00487D97" w:rsidRPr="007B74B7">
              <w:rPr>
                <w:rFonts w:cs="Tahoma"/>
                <w:color w:val="000000"/>
                <w:lang w:val="it-IT"/>
              </w:rPr>
              <w:br/>
            </w:r>
            <w:r w:rsidRPr="007B74B7">
              <w:rPr>
                <w:rFonts w:cs="Tahoma"/>
                <w:color w:val="000000"/>
                <w:lang w:val="it-IT"/>
              </w:rPr>
              <w:t>Windows Intune*, **</w:t>
            </w:r>
          </w:p>
          <w:p w:rsidR="00F27B29" w:rsidRPr="00BD7CEA" w:rsidRDefault="00F27B29" w:rsidP="007358C5">
            <w:pPr>
              <w:numPr>
                <w:ilvl w:val="0"/>
                <w:numId w:val="38"/>
              </w:numPr>
              <w:spacing w:before="80"/>
              <w:ind w:left="692"/>
              <w:jc w:val="both"/>
              <w:rPr>
                <w:rFonts w:cs="Tahoma"/>
              </w:rPr>
            </w:pPr>
            <w:r w:rsidRPr="00BD7CEA">
              <w:rPr>
                <w:rFonts w:cs="Tahoma"/>
                <w:color w:val="000000"/>
              </w:rPr>
              <w:t>Yammer Enterprise*</w:t>
            </w:r>
          </w:p>
        </w:tc>
      </w:tr>
    </w:tbl>
    <w:p w:rsidR="00456002" w:rsidRPr="00BD7CEA" w:rsidRDefault="00456002" w:rsidP="00456002">
      <w:pPr>
        <w:tabs>
          <w:tab w:val="left" w:pos="360"/>
        </w:tabs>
        <w:ind w:left="720"/>
      </w:pPr>
      <w:r w:rsidRPr="00BD7CEA">
        <w:rPr>
          <w:rFonts w:cs="Tahoma"/>
          <w:i/>
          <w:sz w:val="16"/>
          <w:szCs w:val="20"/>
        </w:rPr>
        <w:t>* Prodotto aggiuntivo</w:t>
      </w:r>
    </w:p>
    <w:p w:rsidR="00456002" w:rsidRPr="007B74B7" w:rsidRDefault="003929D1" w:rsidP="00456002">
      <w:pPr>
        <w:tabs>
          <w:tab w:val="left" w:pos="360"/>
        </w:tabs>
        <w:ind w:left="720"/>
        <w:rPr>
          <w:lang w:val="it-IT"/>
        </w:rPr>
      </w:pPr>
      <w:r w:rsidRPr="007B74B7">
        <w:rPr>
          <w:rFonts w:cs="Tahoma"/>
          <w:i/>
          <w:sz w:val="16"/>
          <w:szCs w:val="20"/>
          <w:lang w:val="it-IT"/>
        </w:rPr>
        <w:t>** “Componente Aggiuntivo per Windows Intune” è un</w:t>
      </w:r>
      <w:r w:rsidR="007A1415" w:rsidRPr="007B74B7">
        <w:rPr>
          <w:rFonts w:cs="Tahoma"/>
          <w:i/>
          <w:sz w:val="16"/>
          <w:szCs w:val="20"/>
          <w:lang w:val="it-IT"/>
        </w:rPr>
        <w:t>’</w:t>
      </w:r>
      <w:r w:rsidRPr="007B74B7">
        <w:rPr>
          <w:rFonts w:cs="Tahoma"/>
          <w:i/>
          <w:sz w:val="16"/>
          <w:szCs w:val="20"/>
          <w:lang w:val="it-IT"/>
        </w:rPr>
        <w:t xml:space="preserve">abbreviazione di Componente Aggiuntivo per </w:t>
      </w:r>
      <w:r w:rsidR="00487D97" w:rsidRPr="007B74B7">
        <w:rPr>
          <w:rFonts w:cs="Tahoma"/>
          <w:i/>
          <w:sz w:val="16"/>
          <w:szCs w:val="20"/>
          <w:lang w:val="it-IT"/>
        </w:rPr>
        <w:br/>
      </w:r>
      <w:r w:rsidRPr="007B74B7">
        <w:rPr>
          <w:rFonts w:cs="Tahoma"/>
          <w:i/>
          <w:sz w:val="16"/>
          <w:szCs w:val="20"/>
          <w:lang w:val="it-IT"/>
        </w:rPr>
        <w:t>Windows Intune per System Center Configuration Manager e System Center EndPoint Protection (Per Utente)</w:t>
      </w:r>
    </w:p>
    <w:p w:rsidR="003929D1" w:rsidRPr="007B74B7" w:rsidRDefault="003929D1" w:rsidP="00A12176">
      <w:pPr>
        <w:tabs>
          <w:tab w:val="left" w:pos="360"/>
        </w:tabs>
        <w:rPr>
          <w:lang w:val="it-IT"/>
        </w:rPr>
      </w:pPr>
    </w:p>
    <w:p w:rsidR="00456002" w:rsidRPr="007B74B7" w:rsidRDefault="00456002" w:rsidP="001E7C5F">
      <w:pPr>
        <w:tabs>
          <w:tab w:val="left" w:pos="360"/>
        </w:tabs>
        <w:spacing w:after="60"/>
        <w:rPr>
          <w:lang w:val="it-IT"/>
        </w:rPr>
      </w:pPr>
      <w:r w:rsidRPr="007B74B7">
        <w:rPr>
          <w:rFonts w:cs="Tahoma"/>
          <w:b/>
          <w:szCs w:val="20"/>
          <w:lang w:val="it-IT"/>
        </w:rPr>
        <w:t>Riduzioni delle Licenze “Subscription”</w:t>
      </w:r>
    </w:p>
    <w:p w:rsidR="00456002" w:rsidRPr="007B74B7" w:rsidRDefault="00456002" w:rsidP="00366502">
      <w:pPr>
        <w:tabs>
          <w:tab w:val="left" w:pos="360"/>
        </w:tabs>
        <w:rPr>
          <w:lang w:val="it-IT"/>
        </w:rPr>
      </w:pPr>
      <w:r w:rsidRPr="007B74B7">
        <w:rPr>
          <w:rFonts w:cs="Tahoma"/>
          <w:b/>
          <w:szCs w:val="20"/>
          <w:lang w:val="it-IT"/>
        </w:rPr>
        <w:t>Nota:</w:t>
      </w:r>
      <w:r w:rsidRPr="007B74B7">
        <w:rPr>
          <w:rFonts w:cs="Tahoma"/>
          <w:szCs w:val="20"/>
          <w:lang w:val="it-IT"/>
        </w:rPr>
        <w:t xml:space="preserve"> quanto segue si applica alle società Enterprise che sono idonee a riportare riduzioni alle quantità di Licenze “Subscription”. Le società che non sono certe della loro idoneità a riportare riduzioni alle quantità di Licenze “Subscription” dovranno contattare il loro Software Advisor, Rivenditore o Account Manager designato da Microsoft</w:t>
      </w:r>
      <w:r w:rsidR="00894F24" w:rsidRPr="007B74B7">
        <w:rPr>
          <w:rFonts w:cs="Tahoma"/>
          <w:szCs w:val="20"/>
          <w:lang w:val="it-IT"/>
        </w:rPr>
        <w:t> </w:t>
      </w:r>
      <w:r w:rsidRPr="007B74B7">
        <w:rPr>
          <w:rFonts w:cs="Tahoma"/>
          <w:szCs w:val="20"/>
          <w:lang w:val="it-IT"/>
        </w:rPr>
        <w:t>per ulteriori informazioni.</w:t>
      </w:r>
      <w:r w:rsidR="008D782D" w:rsidRPr="007B74B7">
        <w:rPr>
          <w:rFonts w:cs="Tahoma"/>
          <w:szCs w:val="20"/>
          <w:lang w:val="it-IT"/>
        </w:rPr>
        <w:t xml:space="preserve"> </w:t>
      </w:r>
    </w:p>
    <w:p w:rsidR="00456002" w:rsidRPr="007B74B7" w:rsidRDefault="00456002" w:rsidP="00366502">
      <w:pPr>
        <w:tabs>
          <w:tab w:val="left" w:pos="360"/>
        </w:tabs>
        <w:rPr>
          <w:lang w:val="it-IT"/>
        </w:rPr>
      </w:pPr>
    </w:p>
    <w:p w:rsidR="00456002" w:rsidRPr="007B74B7" w:rsidRDefault="00456002" w:rsidP="00366502">
      <w:pPr>
        <w:tabs>
          <w:tab w:val="left" w:pos="360"/>
        </w:tabs>
        <w:rPr>
          <w:lang w:val="it-IT"/>
        </w:rPr>
      </w:pPr>
      <w:r w:rsidRPr="007B74B7">
        <w:rPr>
          <w:rFonts w:cs="Tahoma"/>
          <w:szCs w:val="20"/>
          <w:lang w:val="it-IT"/>
        </w:rPr>
        <w:t>Le seguenti Licenze “Subscription” sono idonee a essere soggette a modifiche relative alle quantità:</w:t>
      </w:r>
    </w:p>
    <w:p w:rsidR="00456002" w:rsidRPr="007B74B7" w:rsidRDefault="00456002" w:rsidP="00456002">
      <w:pPr>
        <w:tabs>
          <w:tab w:val="left" w:pos="360"/>
        </w:tabs>
        <w:ind w:left="720"/>
        <w:rPr>
          <w:lang w:val="it-IT"/>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456002" w:rsidRPr="00BD7CEA" w:rsidTr="00894F24">
        <w:trPr>
          <w:trHeight w:val="80"/>
          <w:tblHeader/>
        </w:trPr>
        <w:tc>
          <w:tcPr>
            <w:tcW w:w="5000" w:type="pct"/>
            <w:gridSpan w:val="2"/>
            <w:shd w:val="clear" w:color="auto" w:fill="FABF8F"/>
          </w:tcPr>
          <w:p w:rsidR="00456002" w:rsidRPr="00BD7CEA" w:rsidRDefault="00456002" w:rsidP="005C647E">
            <w:pPr>
              <w:jc w:val="center"/>
              <w:rPr>
                <w:rFonts w:cs="Tahoma"/>
                <w:b/>
              </w:rPr>
            </w:pPr>
            <w:r w:rsidRPr="00BD7CEA">
              <w:rPr>
                <w:rFonts w:cs="Tahoma"/>
                <w:b/>
              </w:rPr>
              <w:t>Servizi Online</w:t>
            </w:r>
          </w:p>
        </w:tc>
      </w:tr>
      <w:tr w:rsidR="00456002" w:rsidRPr="00BD7CEA" w:rsidTr="007E466C">
        <w:trPr>
          <w:trHeight w:val="219"/>
        </w:trPr>
        <w:tc>
          <w:tcPr>
            <w:tcW w:w="2500" w:type="pct"/>
          </w:tcPr>
          <w:p w:rsidR="00456002" w:rsidRPr="00BD7CEA" w:rsidRDefault="00456002" w:rsidP="007358C5">
            <w:pPr>
              <w:numPr>
                <w:ilvl w:val="0"/>
                <w:numId w:val="38"/>
              </w:numPr>
              <w:spacing w:before="80"/>
            </w:pPr>
            <w:r w:rsidRPr="00BD7CEA">
              <w:rPr>
                <w:rFonts w:cs="Tahoma"/>
              </w:rPr>
              <w:t>Chiosco Exchange Online*</w:t>
            </w:r>
          </w:p>
          <w:p w:rsidR="00456002" w:rsidRPr="00BD7CEA" w:rsidRDefault="00456002" w:rsidP="007358C5">
            <w:pPr>
              <w:numPr>
                <w:ilvl w:val="0"/>
                <w:numId w:val="38"/>
              </w:numPr>
              <w:spacing w:before="80"/>
            </w:pPr>
            <w:r w:rsidRPr="00BD7CEA">
              <w:rPr>
                <w:rFonts w:cs="Tahoma"/>
              </w:rPr>
              <w:t>Exchange Online Piano 1*</w:t>
            </w:r>
          </w:p>
          <w:p w:rsidR="00456002" w:rsidRPr="00BD7CEA" w:rsidRDefault="00456002" w:rsidP="007358C5">
            <w:pPr>
              <w:numPr>
                <w:ilvl w:val="0"/>
                <w:numId w:val="38"/>
              </w:numPr>
              <w:spacing w:before="80"/>
            </w:pPr>
            <w:r w:rsidRPr="00BD7CEA">
              <w:rPr>
                <w:rFonts w:cs="Tahoma"/>
              </w:rPr>
              <w:t>Exchange Online Piano 2*</w:t>
            </w:r>
          </w:p>
          <w:p w:rsidR="00456002" w:rsidRPr="00BD7CEA" w:rsidRDefault="00456002" w:rsidP="007358C5">
            <w:pPr>
              <w:numPr>
                <w:ilvl w:val="0"/>
                <w:numId w:val="38"/>
              </w:numPr>
              <w:spacing w:before="80"/>
            </w:pPr>
            <w:r w:rsidRPr="00BD7CEA">
              <w:rPr>
                <w:rFonts w:cs="Tahoma"/>
              </w:rPr>
              <w:t>Lync Online Piano 1*</w:t>
            </w:r>
          </w:p>
          <w:p w:rsidR="00456002" w:rsidRPr="00BD7CEA" w:rsidRDefault="00456002" w:rsidP="007358C5">
            <w:pPr>
              <w:numPr>
                <w:ilvl w:val="0"/>
                <w:numId w:val="38"/>
              </w:numPr>
              <w:spacing w:before="80"/>
            </w:pPr>
            <w:r w:rsidRPr="00BD7CEA">
              <w:rPr>
                <w:rFonts w:cs="Tahoma"/>
              </w:rPr>
              <w:lastRenderedPageBreak/>
              <w:t>Lync Online Piano 2*</w:t>
            </w:r>
          </w:p>
          <w:p w:rsidR="00E77288" w:rsidRPr="00BD7CEA" w:rsidRDefault="00E77288" w:rsidP="007358C5">
            <w:pPr>
              <w:numPr>
                <w:ilvl w:val="0"/>
                <w:numId w:val="38"/>
              </w:numPr>
              <w:spacing w:before="80"/>
            </w:pPr>
            <w:r w:rsidRPr="00BD7CEA">
              <w:rPr>
                <w:rFonts w:cs="Tahoma"/>
              </w:rPr>
              <w:t>Lync Online Piano 3*</w:t>
            </w:r>
          </w:p>
          <w:p w:rsidR="00456002" w:rsidRPr="00BD7CEA" w:rsidRDefault="00456002" w:rsidP="007358C5">
            <w:pPr>
              <w:numPr>
                <w:ilvl w:val="0"/>
                <w:numId w:val="38"/>
              </w:numPr>
              <w:spacing w:before="80"/>
            </w:pPr>
            <w:r w:rsidRPr="00BD7CEA">
              <w:rPr>
                <w:rFonts w:cs="Tahoma"/>
              </w:rPr>
              <w:t>Office 365 (Enterprise K1)*</w:t>
            </w:r>
          </w:p>
          <w:p w:rsidR="00456002" w:rsidRPr="00BD7CEA" w:rsidRDefault="00456002" w:rsidP="007358C5">
            <w:pPr>
              <w:numPr>
                <w:ilvl w:val="0"/>
                <w:numId w:val="38"/>
              </w:numPr>
              <w:spacing w:before="80"/>
            </w:pPr>
            <w:r w:rsidRPr="00BD7CEA">
              <w:rPr>
                <w:rFonts w:cs="Tahoma"/>
              </w:rPr>
              <w:t>Office 365 (Enterprise K2)*</w:t>
            </w:r>
          </w:p>
          <w:p w:rsidR="00456002" w:rsidRPr="00BD7CEA" w:rsidRDefault="00456002" w:rsidP="007358C5">
            <w:pPr>
              <w:numPr>
                <w:ilvl w:val="0"/>
                <w:numId w:val="38"/>
              </w:numPr>
              <w:spacing w:before="80"/>
            </w:pPr>
            <w:r w:rsidRPr="00BD7CEA">
              <w:rPr>
                <w:rFonts w:cs="Tahoma"/>
              </w:rPr>
              <w:t>Office 365 (Enterprise E1)</w:t>
            </w:r>
          </w:p>
          <w:p w:rsidR="00456002" w:rsidRPr="00BD7CEA" w:rsidRDefault="00456002" w:rsidP="007358C5">
            <w:pPr>
              <w:numPr>
                <w:ilvl w:val="0"/>
                <w:numId w:val="38"/>
              </w:numPr>
              <w:spacing w:before="80"/>
            </w:pPr>
            <w:r w:rsidRPr="00BD7CEA">
              <w:rPr>
                <w:rFonts w:cs="Tahoma"/>
              </w:rPr>
              <w:t>Office 365 (Enterprise E2)</w:t>
            </w:r>
          </w:p>
          <w:p w:rsidR="00456002" w:rsidRPr="00BD7CEA" w:rsidRDefault="00456002" w:rsidP="007358C5">
            <w:pPr>
              <w:numPr>
                <w:ilvl w:val="0"/>
                <w:numId w:val="38"/>
              </w:numPr>
              <w:spacing w:before="80"/>
            </w:pPr>
            <w:r w:rsidRPr="00BD7CEA">
              <w:rPr>
                <w:rFonts w:cs="Tahoma"/>
              </w:rPr>
              <w:t>Office 365 (Enterprise E3)</w:t>
            </w:r>
          </w:p>
          <w:p w:rsidR="00456002" w:rsidRPr="00BD7CEA" w:rsidRDefault="00456002" w:rsidP="007358C5">
            <w:pPr>
              <w:numPr>
                <w:ilvl w:val="0"/>
                <w:numId w:val="38"/>
              </w:numPr>
              <w:spacing w:before="80"/>
            </w:pPr>
            <w:r w:rsidRPr="00BD7CEA">
              <w:rPr>
                <w:rFonts w:cs="Tahoma"/>
              </w:rPr>
              <w:t>Office 365 (Enterprise E4)</w:t>
            </w:r>
          </w:p>
          <w:p w:rsidR="005272FA" w:rsidRPr="00BD7CEA" w:rsidRDefault="005272FA" w:rsidP="007358C5">
            <w:pPr>
              <w:numPr>
                <w:ilvl w:val="0"/>
                <w:numId w:val="38"/>
              </w:numPr>
              <w:spacing w:before="80"/>
              <w:jc w:val="both"/>
            </w:pPr>
            <w:r w:rsidRPr="00BD7CEA">
              <w:rPr>
                <w:rFonts w:cs="Tahoma"/>
                <w:color w:val="000000"/>
              </w:rPr>
              <w:t>Office 365 (Government G1)</w:t>
            </w:r>
          </w:p>
          <w:p w:rsidR="005272FA" w:rsidRPr="00BD7CEA" w:rsidRDefault="005272FA" w:rsidP="007358C5">
            <w:pPr>
              <w:numPr>
                <w:ilvl w:val="0"/>
                <w:numId w:val="38"/>
              </w:numPr>
              <w:spacing w:before="80"/>
              <w:jc w:val="both"/>
            </w:pPr>
            <w:r w:rsidRPr="00BD7CEA">
              <w:rPr>
                <w:rFonts w:cs="Tahoma"/>
                <w:color w:val="000000"/>
              </w:rPr>
              <w:t>Office 365 (Government G2)</w:t>
            </w:r>
          </w:p>
          <w:p w:rsidR="005272FA" w:rsidRPr="00BD7CEA" w:rsidRDefault="005272FA" w:rsidP="007358C5">
            <w:pPr>
              <w:numPr>
                <w:ilvl w:val="0"/>
                <w:numId w:val="38"/>
              </w:numPr>
              <w:spacing w:before="80"/>
              <w:jc w:val="both"/>
            </w:pPr>
            <w:r w:rsidRPr="00BD7CEA">
              <w:rPr>
                <w:rFonts w:cs="Tahoma"/>
                <w:color w:val="000000"/>
              </w:rPr>
              <w:t>Office 365 (Government G3)</w:t>
            </w:r>
          </w:p>
          <w:p w:rsidR="005272FA" w:rsidRPr="00BD7CEA" w:rsidRDefault="005272FA" w:rsidP="007358C5">
            <w:pPr>
              <w:numPr>
                <w:ilvl w:val="0"/>
                <w:numId w:val="38"/>
              </w:numPr>
              <w:spacing w:before="80"/>
              <w:jc w:val="both"/>
            </w:pPr>
            <w:r w:rsidRPr="00BD7CEA">
              <w:rPr>
                <w:rFonts w:cs="Tahoma"/>
                <w:color w:val="000000"/>
              </w:rPr>
              <w:t>Office 365 (Government G4)</w:t>
            </w:r>
          </w:p>
          <w:p w:rsidR="005272FA" w:rsidRPr="00BD7CEA" w:rsidRDefault="005272FA" w:rsidP="007E466C">
            <w:pPr>
              <w:spacing w:before="80"/>
              <w:ind w:left="522"/>
              <w:rPr>
                <w:rFonts w:cs="Tahoma"/>
              </w:rPr>
            </w:pPr>
          </w:p>
        </w:tc>
        <w:tc>
          <w:tcPr>
            <w:tcW w:w="2500" w:type="pct"/>
          </w:tcPr>
          <w:p w:rsidR="00456002" w:rsidRPr="00BD7CEA" w:rsidRDefault="00456002" w:rsidP="007358C5">
            <w:pPr>
              <w:numPr>
                <w:ilvl w:val="0"/>
                <w:numId w:val="38"/>
              </w:numPr>
              <w:spacing w:before="80"/>
              <w:jc w:val="both"/>
            </w:pPr>
            <w:r w:rsidRPr="00BD7CEA">
              <w:rPr>
                <w:rFonts w:cs="Tahoma"/>
                <w:color w:val="000000"/>
              </w:rPr>
              <w:lastRenderedPageBreak/>
              <w:t>Office Web Applications*</w:t>
            </w:r>
          </w:p>
          <w:p w:rsidR="00CE1716" w:rsidRPr="00BD7CEA" w:rsidRDefault="00CE1716" w:rsidP="007358C5">
            <w:pPr>
              <w:numPr>
                <w:ilvl w:val="0"/>
                <w:numId w:val="38"/>
              </w:numPr>
              <w:spacing w:before="80"/>
              <w:jc w:val="both"/>
            </w:pPr>
            <w:r w:rsidRPr="00BD7CEA">
              <w:rPr>
                <w:rFonts w:cs="Tahoma"/>
                <w:color w:val="000000"/>
              </w:rPr>
              <w:t>Project Online</w:t>
            </w:r>
          </w:p>
          <w:p w:rsidR="005272FA" w:rsidRPr="00BD7CEA" w:rsidRDefault="005272FA" w:rsidP="007358C5">
            <w:pPr>
              <w:numPr>
                <w:ilvl w:val="0"/>
                <w:numId w:val="38"/>
              </w:numPr>
              <w:spacing w:before="80"/>
              <w:jc w:val="both"/>
            </w:pPr>
            <w:r w:rsidRPr="00BD7CEA">
              <w:rPr>
                <w:rFonts w:cs="Tahoma"/>
                <w:color w:val="000000"/>
              </w:rPr>
              <w:t>Project Pro per Office 365*</w:t>
            </w:r>
          </w:p>
          <w:p w:rsidR="00456002" w:rsidRPr="00BD7CEA" w:rsidRDefault="00456002" w:rsidP="007358C5">
            <w:pPr>
              <w:numPr>
                <w:ilvl w:val="0"/>
                <w:numId w:val="38"/>
              </w:numPr>
              <w:spacing w:before="80"/>
              <w:jc w:val="both"/>
            </w:pPr>
            <w:r w:rsidRPr="00BD7CEA">
              <w:rPr>
                <w:rFonts w:cs="Tahoma"/>
                <w:color w:val="000000"/>
              </w:rPr>
              <w:t>SharePoint Online Piano 1*</w:t>
            </w:r>
          </w:p>
          <w:p w:rsidR="00456002" w:rsidRPr="00BD7CEA" w:rsidRDefault="00456002" w:rsidP="007358C5">
            <w:pPr>
              <w:numPr>
                <w:ilvl w:val="0"/>
                <w:numId w:val="38"/>
              </w:numPr>
              <w:spacing w:before="80"/>
              <w:jc w:val="both"/>
            </w:pPr>
            <w:r w:rsidRPr="00BD7CEA">
              <w:rPr>
                <w:rFonts w:cs="Tahoma"/>
                <w:color w:val="000000"/>
              </w:rPr>
              <w:lastRenderedPageBreak/>
              <w:t>SharePoint Online Piano 2*</w:t>
            </w:r>
          </w:p>
          <w:p w:rsidR="00456002" w:rsidRPr="00BD7CEA" w:rsidRDefault="00456002" w:rsidP="007358C5">
            <w:pPr>
              <w:numPr>
                <w:ilvl w:val="0"/>
                <w:numId w:val="38"/>
              </w:numPr>
              <w:spacing w:before="80"/>
              <w:ind w:right="270"/>
              <w:jc w:val="both"/>
            </w:pPr>
            <w:r w:rsidRPr="00BD7CEA">
              <w:rPr>
                <w:rFonts w:cs="Tahoma"/>
                <w:color w:val="000000"/>
              </w:rPr>
              <w:t>Accesso partner SharePoint Online*</w:t>
            </w:r>
          </w:p>
          <w:p w:rsidR="00456002" w:rsidRPr="00BD7CEA" w:rsidRDefault="00456002" w:rsidP="007358C5">
            <w:pPr>
              <w:numPr>
                <w:ilvl w:val="0"/>
                <w:numId w:val="38"/>
              </w:numPr>
              <w:spacing w:before="80"/>
              <w:jc w:val="both"/>
            </w:pPr>
            <w:r w:rsidRPr="00BD7CEA">
              <w:rPr>
                <w:rFonts w:cs="Tahoma"/>
                <w:color w:val="000000"/>
              </w:rPr>
              <w:t>Windows Intune</w:t>
            </w:r>
          </w:p>
          <w:p w:rsidR="00456002" w:rsidRPr="007B74B7" w:rsidRDefault="00456002" w:rsidP="007358C5">
            <w:pPr>
              <w:numPr>
                <w:ilvl w:val="0"/>
                <w:numId w:val="38"/>
              </w:numPr>
              <w:spacing w:before="80"/>
              <w:jc w:val="both"/>
              <w:rPr>
                <w:lang w:val="it-IT"/>
              </w:rPr>
            </w:pPr>
            <w:r w:rsidRPr="007B74B7">
              <w:rPr>
                <w:rFonts w:cs="Tahoma"/>
                <w:color w:val="000000"/>
                <w:lang w:val="it-IT"/>
              </w:rPr>
              <w:t>Componente aggiuntivo di Windows Intune*</w:t>
            </w:r>
          </w:p>
          <w:p w:rsidR="00A2058E" w:rsidRPr="00BD7CEA" w:rsidRDefault="00A2058E" w:rsidP="007358C5">
            <w:pPr>
              <w:numPr>
                <w:ilvl w:val="0"/>
                <w:numId w:val="38"/>
              </w:numPr>
              <w:spacing w:before="80"/>
              <w:jc w:val="both"/>
            </w:pPr>
            <w:r w:rsidRPr="00BD7CEA">
              <w:rPr>
                <w:rFonts w:cs="Tahoma"/>
                <w:color w:val="000000"/>
              </w:rPr>
              <w:t>Microsoft Dynamics CRM Online*</w:t>
            </w:r>
          </w:p>
          <w:p w:rsidR="005272FA" w:rsidRPr="00BD7CEA" w:rsidRDefault="005272FA" w:rsidP="007358C5">
            <w:pPr>
              <w:numPr>
                <w:ilvl w:val="0"/>
                <w:numId w:val="38"/>
              </w:numPr>
              <w:spacing w:before="80"/>
              <w:jc w:val="both"/>
            </w:pPr>
            <w:r w:rsidRPr="00BD7CEA">
              <w:rPr>
                <w:rFonts w:cs="Tahoma"/>
                <w:color w:val="000000"/>
              </w:rPr>
              <w:t>Visio Pro per Office 365*</w:t>
            </w:r>
          </w:p>
          <w:p w:rsidR="00F27B29" w:rsidRPr="00BD7CEA" w:rsidRDefault="00F27B29" w:rsidP="007358C5">
            <w:pPr>
              <w:numPr>
                <w:ilvl w:val="0"/>
                <w:numId w:val="38"/>
              </w:numPr>
              <w:spacing w:before="80" w:after="120"/>
              <w:jc w:val="both"/>
              <w:rPr>
                <w:rFonts w:cs="Tahoma"/>
              </w:rPr>
            </w:pPr>
            <w:r w:rsidRPr="00BD7CEA">
              <w:rPr>
                <w:rFonts w:cs="Tahoma"/>
                <w:color w:val="000000"/>
              </w:rPr>
              <w:t>Yammer Enterprise</w:t>
            </w:r>
          </w:p>
        </w:tc>
      </w:tr>
    </w:tbl>
    <w:p w:rsidR="00A12176" w:rsidRPr="00BD7CEA" w:rsidRDefault="00456002" w:rsidP="001E7C5F">
      <w:pPr>
        <w:tabs>
          <w:tab w:val="left" w:pos="360"/>
        </w:tabs>
        <w:ind w:left="720"/>
      </w:pPr>
      <w:r w:rsidRPr="00BD7CEA">
        <w:rPr>
          <w:rFonts w:cs="Tahoma"/>
          <w:i/>
          <w:sz w:val="16"/>
          <w:szCs w:val="20"/>
        </w:rPr>
        <w:lastRenderedPageBreak/>
        <w:t>* Prodotto aggiuntivo</w:t>
      </w:r>
      <w:bookmarkStart w:id="687" w:name="_Toc336338196"/>
    </w:p>
    <w:p w:rsidR="00A12176" w:rsidRPr="00BD7CEA" w:rsidRDefault="00A12176" w:rsidP="00366502">
      <w:pPr>
        <w:pStyle w:val="Heading2"/>
        <w:ind w:left="0"/>
      </w:pPr>
    </w:p>
    <w:p w:rsidR="00456002" w:rsidRPr="007B74B7" w:rsidRDefault="00456002" w:rsidP="00366502">
      <w:pPr>
        <w:pStyle w:val="Heading2"/>
        <w:ind w:left="0"/>
        <w:rPr>
          <w:lang w:val="it-IT"/>
        </w:rPr>
      </w:pPr>
      <w:bookmarkStart w:id="688" w:name="_Toc353375976"/>
      <w:r w:rsidRPr="007B74B7">
        <w:rPr>
          <w:rFonts w:ascii="Tahoma" w:hAnsi="Tahoma" w:cs="Tahoma"/>
          <w:lang w:val="it-IT"/>
        </w:rPr>
        <w:t>Continuità del Servizio per Proroga del Periodo di Validità</w:t>
      </w:r>
      <w:bookmarkEnd w:id="687"/>
      <w:bookmarkEnd w:id="688"/>
      <w:r w:rsidRPr="007B74B7">
        <w:rPr>
          <w:rFonts w:ascii="Tahoma" w:eastAsia="Times New Roman" w:hAnsi="Tahoma" w:cs="Tahoma"/>
          <w:sz w:val="20"/>
          <w:lang w:val="it-IT"/>
        </w:rPr>
        <w:t xml:space="preserve"> </w:t>
      </w:r>
    </w:p>
    <w:p w:rsidR="00456002" w:rsidRPr="007B74B7" w:rsidRDefault="00456002" w:rsidP="00366502">
      <w:pPr>
        <w:tabs>
          <w:tab w:val="left" w:pos="360"/>
        </w:tabs>
        <w:rPr>
          <w:lang w:val="it-IT"/>
        </w:rPr>
      </w:pPr>
    </w:p>
    <w:p w:rsidR="00456002" w:rsidRPr="007B74B7" w:rsidRDefault="00456002" w:rsidP="00366502">
      <w:pPr>
        <w:tabs>
          <w:tab w:val="left" w:pos="360"/>
        </w:tabs>
        <w:rPr>
          <w:lang w:val="it-IT"/>
        </w:rPr>
      </w:pPr>
      <w:r w:rsidRPr="007B74B7">
        <w:rPr>
          <w:rFonts w:cs="Tahoma"/>
          <w:b/>
          <w:szCs w:val="20"/>
          <w:lang w:val="it-IT"/>
        </w:rPr>
        <w:t>Nota:</w:t>
      </w:r>
      <w:r w:rsidRPr="007B74B7">
        <w:rPr>
          <w:rFonts w:cs="Tahoma"/>
          <w:szCs w:val="20"/>
          <w:lang w:val="it-IT"/>
        </w:rPr>
        <w:t xml:space="preserve"> quanto segue si applica alle società in possesso delle Iscrizioni Enterprise ed Enterprise Subscription che sono idonee a continuare il servizio in seguito alla Proroga del Periodo di Validità. Le società che non sono certe della loro idoneità a continuare il servizio in seguito alla Proroga del Periodo di Validità dovranno contattare il loro Software Advisor, Rivenditore o Account Manager designato da Microsoft per ulteriori informazioni.</w:t>
      </w:r>
      <w:r w:rsidR="008D782D" w:rsidRPr="007B74B7">
        <w:rPr>
          <w:rFonts w:cs="Tahoma"/>
          <w:szCs w:val="20"/>
          <w:lang w:val="it-IT"/>
        </w:rPr>
        <w:t xml:space="preserve"> </w:t>
      </w:r>
    </w:p>
    <w:p w:rsidR="00456002" w:rsidRPr="007B74B7" w:rsidRDefault="00456002" w:rsidP="00366502">
      <w:pPr>
        <w:tabs>
          <w:tab w:val="left" w:pos="360"/>
        </w:tabs>
        <w:rPr>
          <w:lang w:val="it-IT"/>
        </w:rPr>
      </w:pPr>
    </w:p>
    <w:p w:rsidR="00456002" w:rsidRPr="007B74B7" w:rsidRDefault="00456002" w:rsidP="00366502">
      <w:pPr>
        <w:tabs>
          <w:tab w:val="left" w:pos="360"/>
        </w:tabs>
        <w:rPr>
          <w:lang w:val="it-IT"/>
        </w:rPr>
      </w:pPr>
      <w:r w:rsidRPr="007B74B7">
        <w:rPr>
          <w:rFonts w:cs="Tahoma"/>
          <w:szCs w:val="20"/>
          <w:lang w:val="it-IT"/>
        </w:rPr>
        <w:t>I servizi online che seguono sono idonei per la Proroga del Periodo di Validità dei Servizi Online in conformità alle condizioni dei Contratti Volume License delle società. Il periodo di validità dell</w:t>
      </w:r>
      <w:r w:rsidR="007A1415" w:rsidRPr="007B74B7">
        <w:rPr>
          <w:rFonts w:cs="Tahoma"/>
          <w:szCs w:val="20"/>
          <w:lang w:val="it-IT"/>
        </w:rPr>
        <w:t>’</w:t>
      </w:r>
      <w:r w:rsidRPr="007B74B7">
        <w:rPr>
          <w:rFonts w:cs="Tahoma"/>
          <w:szCs w:val="20"/>
          <w:lang w:val="it-IT"/>
        </w:rPr>
        <w:t>abbonamento di una società ai servizi online dovrà terminare alla data di scadenza del contratto della società (“scadenza identica”) per potersi qualificare per Continuità del Servizio per Proroga del Periodo di Validità:</w:t>
      </w:r>
    </w:p>
    <w:p w:rsidR="00456002" w:rsidRPr="007B74B7" w:rsidRDefault="00456002" w:rsidP="0014632E">
      <w:pPr>
        <w:ind w:left="720"/>
        <w:rPr>
          <w:lang w:val="it-IT"/>
        </w:rPr>
      </w:pPr>
    </w:p>
    <w:tbl>
      <w:tblPr>
        <w:tblW w:w="4421"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776"/>
        <w:gridCol w:w="4491"/>
      </w:tblGrid>
      <w:tr w:rsidR="00456002" w:rsidRPr="00BD7CEA" w:rsidTr="002B2CD8">
        <w:trPr>
          <w:trHeight w:val="80"/>
        </w:trPr>
        <w:tc>
          <w:tcPr>
            <w:tcW w:w="5000" w:type="pct"/>
            <w:gridSpan w:val="2"/>
            <w:shd w:val="clear" w:color="auto" w:fill="FABF8F"/>
          </w:tcPr>
          <w:p w:rsidR="00456002" w:rsidRPr="00BD7CEA" w:rsidRDefault="00456002" w:rsidP="005C647E">
            <w:pPr>
              <w:jc w:val="center"/>
              <w:rPr>
                <w:rFonts w:cs="Tahoma"/>
                <w:b/>
                <w:sz w:val="20"/>
              </w:rPr>
            </w:pPr>
            <w:r w:rsidRPr="00BD7CEA">
              <w:rPr>
                <w:rFonts w:cs="Tahoma"/>
                <w:b/>
                <w:sz w:val="20"/>
              </w:rPr>
              <w:t>Servizi Online</w:t>
            </w:r>
          </w:p>
        </w:tc>
      </w:tr>
      <w:tr w:rsidR="00894F24" w:rsidRPr="00BD7CEA" w:rsidTr="00894F24">
        <w:trPr>
          <w:trHeight w:val="219"/>
        </w:trPr>
        <w:tc>
          <w:tcPr>
            <w:tcW w:w="2284" w:type="pct"/>
          </w:tcPr>
          <w:p w:rsidR="00894F24" w:rsidRPr="00BD7CEA" w:rsidRDefault="00894F24" w:rsidP="007358C5">
            <w:pPr>
              <w:numPr>
                <w:ilvl w:val="0"/>
                <w:numId w:val="38"/>
              </w:numPr>
              <w:spacing w:before="80"/>
              <w:ind w:left="905" w:hanging="540"/>
              <w:jc w:val="both"/>
            </w:pPr>
            <w:r w:rsidRPr="00BD7CEA">
              <w:rPr>
                <w:rFonts w:cs="Tahoma"/>
              </w:rPr>
              <w:t>Chiosco Exchange Online*</w:t>
            </w:r>
          </w:p>
          <w:p w:rsidR="00894F24" w:rsidRPr="00BD7CEA" w:rsidRDefault="00894F24" w:rsidP="007358C5">
            <w:pPr>
              <w:numPr>
                <w:ilvl w:val="0"/>
                <w:numId w:val="38"/>
              </w:numPr>
              <w:spacing w:before="80"/>
              <w:ind w:left="905" w:hanging="540"/>
              <w:jc w:val="both"/>
            </w:pPr>
            <w:r w:rsidRPr="00BD7CEA">
              <w:rPr>
                <w:rFonts w:cs="Tahoma"/>
              </w:rPr>
              <w:t>Exchange Online Piano 1*</w:t>
            </w:r>
          </w:p>
          <w:p w:rsidR="00894F24" w:rsidRPr="00BD7CEA" w:rsidRDefault="00894F24" w:rsidP="007358C5">
            <w:pPr>
              <w:numPr>
                <w:ilvl w:val="0"/>
                <w:numId w:val="38"/>
              </w:numPr>
              <w:spacing w:before="80"/>
              <w:ind w:left="905" w:hanging="540"/>
              <w:jc w:val="both"/>
            </w:pPr>
            <w:r w:rsidRPr="00BD7CEA">
              <w:rPr>
                <w:rFonts w:cs="Tahoma"/>
              </w:rPr>
              <w:t>Exchange Online Piano 2*</w:t>
            </w:r>
          </w:p>
          <w:p w:rsidR="00894F24" w:rsidRPr="00BD7CEA" w:rsidRDefault="00894F24" w:rsidP="007358C5">
            <w:pPr>
              <w:numPr>
                <w:ilvl w:val="0"/>
                <w:numId w:val="38"/>
              </w:numPr>
              <w:spacing w:before="80"/>
              <w:ind w:left="905" w:hanging="540"/>
              <w:jc w:val="both"/>
            </w:pPr>
            <w:r w:rsidRPr="00BD7CEA">
              <w:rPr>
                <w:rFonts w:cs="Tahoma"/>
              </w:rPr>
              <w:t>Lync Online Piano 1*</w:t>
            </w:r>
          </w:p>
          <w:p w:rsidR="00894F24" w:rsidRPr="00BD7CEA" w:rsidRDefault="00894F24" w:rsidP="007358C5">
            <w:pPr>
              <w:numPr>
                <w:ilvl w:val="0"/>
                <w:numId w:val="38"/>
              </w:numPr>
              <w:spacing w:before="80"/>
              <w:ind w:left="905" w:hanging="540"/>
              <w:jc w:val="both"/>
            </w:pPr>
            <w:r w:rsidRPr="00BD7CEA">
              <w:rPr>
                <w:rFonts w:cs="Tahoma"/>
              </w:rPr>
              <w:t>Lync Online Piano 2*</w:t>
            </w:r>
          </w:p>
          <w:p w:rsidR="00894F24" w:rsidRPr="00BD7CEA" w:rsidRDefault="00894F24" w:rsidP="007358C5">
            <w:pPr>
              <w:numPr>
                <w:ilvl w:val="0"/>
                <w:numId w:val="38"/>
              </w:numPr>
              <w:spacing w:before="80"/>
              <w:ind w:left="905" w:hanging="540"/>
              <w:jc w:val="both"/>
            </w:pPr>
            <w:r w:rsidRPr="00BD7CEA">
              <w:rPr>
                <w:rFonts w:cs="Tahoma"/>
              </w:rPr>
              <w:t>Lync Online Piano 3*</w:t>
            </w:r>
          </w:p>
          <w:p w:rsidR="00894F24" w:rsidRPr="00BD7CEA" w:rsidRDefault="00894F24" w:rsidP="007358C5">
            <w:pPr>
              <w:numPr>
                <w:ilvl w:val="0"/>
                <w:numId w:val="38"/>
              </w:numPr>
              <w:spacing w:before="80"/>
              <w:ind w:left="905" w:hanging="540"/>
              <w:jc w:val="both"/>
            </w:pPr>
            <w:r w:rsidRPr="00BD7CEA">
              <w:rPr>
                <w:rFonts w:cs="Tahoma"/>
              </w:rPr>
              <w:t>Office 365 (Enterprise K1)*</w:t>
            </w:r>
          </w:p>
          <w:p w:rsidR="00894F24" w:rsidRPr="00BD7CEA" w:rsidRDefault="00894F24" w:rsidP="007358C5">
            <w:pPr>
              <w:numPr>
                <w:ilvl w:val="0"/>
                <w:numId w:val="38"/>
              </w:numPr>
              <w:spacing w:before="80"/>
              <w:ind w:left="905" w:hanging="540"/>
              <w:jc w:val="both"/>
            </w:pPr>
            <w:r w:rsidRPr="00BD7CEA">
              <w:rPr>
                <w:rFonts w:cs="Tahoma"/>
              </w:rPr>
              <w:t>Office 365 (Enterprise K2)*</w:t>
            </w:r>
          </w:p>
          <w:p w:rsidR="00894F24" w:rsidRPr="00BD7CEA" w:rsidRDefault="00894F24" w:rsidP="007358C5">
            <w:pPr>
              <w:numPr>
                <w:ilvl w:val="0"/>
                <w:numId w:val="38"/>
              </w:numPr>
              <w:spacing w:before="80"/>
              <w:ind w:left="905" w:hanging="540"/>
              <w:jc w:val="both"/>
            </w:pPr>
            <w:r w:rsidRPr="00BD7CEA">
              <w:rPr>
                <w:rFonts w:cs="Tahoma"/>
              </w:rPr>
              <w:t>Office 365 (Enterprise E1)</w:t>
            </w:r>
          </w:p>
          <w:p w:rsidR="00894F24" w:rsidRPr="00BD7CEA" w:rsidRDefault="00894F24" w:rsidP="007358C5">
            <w:pPr>
              <w:numPr>
                <w:ilvl w:val="0"/>
                <w:numId w:val="38"/>
              </w:numPr>
              <w:spacing w:before="80"/>
              <w:ind w:left="905" w:hanging="540"/>
              <w:jc w:val="both"/>
            </w:pPr>
            <w:r w:rsidRPr="00BD7CEA">
              <w:rPr>
                <w:rFonts w:cs="Tahoma"/>
              </w:rPr>
              <w:t>Office 365 (Enterprise E2)</w:t>
            </w:r>
          </w:p>
          <w:p w:rsidR="00894F24" w:rsidRPr="00BD7CEA" w:rsidRDefault="00894F24" w:rsidP="007358C5">
            <w:pPr>
              <w:numPr>
                <w:ilvl w:val="0"/>
                <w:numId w:val="38"/>
              </w:numPr>
              <w:spacing w:before="80"/>
              <w:ind w:left="895" w:hanging="530"/>
              <w:jc w:val="both"/>
            </w:pPr>
            <w:r w:rsidRPr="00BD7CEA">
              <w:rPr>
                <w:rFonts w:cs="Tahoma"/>
              </w:rPr>
              <w:t>Office 365 (Enterprise E3)</w:t>
            </w:r>
          </w:p>
          <w:p w:rsidR="00894F24" w:rsidRPr="00BD7CEA" w:rsidRDefault="00894F24" w:rsidP="007358C5">
            <w:pPr>
              <w:numPr>
                <w:ilvl w:val="0"/>
                <w:numId w:val="38"/>
              </w:numPr>
              <w:spacing w:before="80"/>
              <w:ind w:left="895" w:hanging="530"/>
              <w:jc w:val="both"/>
              <w:rPr>
                <w:rFonts w:cs="Tahoma"/>
              </w:rPr>
            </w:pPr>
            <w:r w:rsidRPr="00BD7CEA">
              <w:rPr>
                <w:rFonts w:cs="Tahoma"/>
              </w:rPr>
              <w:t>Office 365 (Enterprise E4)</w:t>
            </w:r>
          </w:p>
        </w:tc>
        <w:tc>
          <w:tcPr>
            <w:tcW w:w="2716" w:type="pct"/>
          </w:tcPr>
          <w:p w:rsidR="00894F24" w:rsidRPr="00BD7CEA" w:rsidRDefault="00894F24" w:rsidP="007358C5">
            <w:pPr>
              <w:numPr>
                <w:ilvl w:val="0"/>
                <w:numId w:val="38"/>
              </w:numPr>
              <w:spacing w:before="80"/>
              <w:ind w:left="725"/>
              <w:jc w:val="both"/>
            </w:pPr>
            <w:r w:rsidRPr="00BD7CEA">
              <w:rPr>
                <w:rFonts w:cs="Tahoma"/>
              </w:rPr>
              <w:t>Microsoft Dynamics CRM Online*</w:t>
            </w:r>
          </w:p>
          <w:p w:rsidR="00894F24" w:rsidRPr="00BD7CEA" w:rsidRDefault="00894F24" w:rsidP="007358C5">
            <w:pPr>
              <w:numPr>
                <w:ilvl w:val="0"/>
                <w:numId w:val="38"/>
              </w:numPr>
              <w:spacing w:before="80"/>
              <w:ind w:left="725"/>
              <w:jc w:val="both"/>
            </w:pPr>
            <w:r w:rsidRPr="00BD7CEA">
              <w:rPr>
                <w:rFonts w:cs="Tahoma"/>
              </w:rPr>
              <w:t>Office 365 (Government G1)</w:t>
            </w:r>
          </w:p>
          <w:p w:rsidR="00894F24" w:rsidRPr="00BD7CEA" w:rsidRDefault="00894F24" w:rsidP="007358C5">
            <w:pPr>
              <w:numPr>
                <w:ilvl w:val="0"/>
                <w:numId w:val="38"/>
              </w:numPr>
              <w:spacing w:before="80"/>
              <w:ind w:left="725"/>
              <w:jc w:val="both"/>
            </w:pPr>
            <w:r w:rsidRPr="00BD7CEA">
              <w:rPr>
                <w:rFonts w:cs="Tahoma"/>
              </w:rPr>
              <w:t>Office 365 (Government G2)</w:t>
            </w:r>
          </w:p>
          <w:p w:rsidR="00894F24" w:rsidRPr="00BD7CEA" w:rsidRDefault="00894F24" w:rsidP="007358C5">
            <w:pPr>
              <w:numPr>
                <w:ilvl w:val="0"/>
                <w:numId w:val="38"/>
              </w:numPr>
              <w:spacing w:before="80"/>
              <w:ind w:left="725"/>
              <w:jc w:val="both"/>
            </w:pPr>
            <w:r w:rsidRPr="00BD7CEA">
              <w:rPr>
                <w:rFonts w:cs="Tahoma"/>
              </w:rPr>
              <w:t>Office 365 (Government G3)</w:t>
            </w:r>
          </w:p>
          <w:p w:rsidR="00894F24" w:rsidRPr="00BD7CEA" w:rsidRDefault="00894F24" w:rsidP="007358C5">
            <w:pPr>
              <w:numPr>
                <w:ilvl w:val="0"/>
                <w:numId w:val="38"/>
              </w:numPr>
              <w:spacing w:before="80"/>
              <w:ind w:left="725"/>
              <w:jc w:val="both"/>
            </w:pPr>
            <w:r w:rsidRPr="00BD7CEA">
              <w:rPr>
                <w:rFonts w:cs="Tahoma"/>
              </w:rPr>
              <w:t>Office 365 (Government G4)</w:t>
            </w:r>
          </w:p>
          <w:p w:rsidR="00894F24" w:rsidRPr="00BD7CEA" w:rsidRDefault="00894F24" w:rsidP="007358C5">
            <w:pPr>
              <w:numPr>
                <w:ilvl w:val="0"/>
                <w:numId w:val="38"/>
              </w:numPr>
              <w:spacing w:before="80"/>
              <w:ind w:left="725"/>
              <w:jc w:val="both"/>
            </w:pPr>
            <w:r w:rsidRPr="00BD7CEA">
              <w:rPr>
                <w:rFonts w:cs="Tahoma"/>
              </w:rPr>
              <w:t>Office Web Applications*</w:t>
            </w:r>
          </w:p>
          <w:p w:rsidR="00894F24" w:rsidRPr="00BD7CEA" w:rsidRDefault="00894F24" w:rsidP="007358C5">
            <w:pPr>
              <w:numPr>
                <w:ilvl w:val="0"/>
                <w:numId w:val="38"/>
              </w:numPr>
              <w:spacing w:before="80"/>
              <w:ind w:left="725"/>
              <w:jc w:val="both"/>
            </w:pPr>
            <w:r w:rsidRPr="00BD7CEA">
              <w:rPr>
                <w:rFonts w:cs="Tahoma"/>
              </w:rPr>
              <w:t>Project Online*</w:t>
            </w:r>
          </w:p>
          <w:p w:rsidR="00894F24" w:rsidRPr="00BD7CEA" w:rsidRDefault="00894F24" w:rsidP="007358C5">
            <w:pPr>
              <w:numPr>
                <w:ilvl w:val="0"/>
                <w:numId w:val="38"/>
              </w:numPr>
              <w:spacing w:before="80"/>
              <w:ind w:left="725"/>
              <w:jc w:val="both"/>
            </w:pPr>
            <w:r w:rsidRPr="00BD7CEA">
              <w:rPr>
                <w:rFonts w:cs="Tahoma"/>
              </w:rPr>
              <w:t>Project Pro per Office 365*</w:t>
            </w:r>
          </w:p>
          <w:p w:rsidR="00894F24" w:rsidRPr="00BD7CEA" w:rsidRDefault="00894F24" w:rsidP="007358C5">
            <w:pPr>
              <w:numPr>
                <w:ilvl w:val="0"/>
                <w:numId w:val="38"/>
              </w:numPr>
              <w:spacing w:before="80"/>
              <w:ind w:left="725"/>
              <w:jc w:val="both"/>
            </w:pPr>
            <w:r w:rsidRPr="00BD7CEA">
              <w:rPr>
                <w:rFonts w:cs="Tahoma"/>
              </w:rPr>
              <w:t>SharePoint Online Piano 1*</w:t>
            </w:r>
          </w:p>
          <w:p w:rsidR="00894F24" w:rsidRPr="00BD7CEA" w:rsidRDefault="00894F24" w:rsidP="007358C5">
            <w:pPr>
              <w:numPr>
                <w:ilvl w:val="0"/>
                <w:numId w:val="38"/>
              </w:numPr>
              <w:spacing w:before="80"/>
              <w:ind w:left="725"/>
              <w:jc w:val="both"/>
            </w:pPr>
            <w:r w:rsidRPr="00BD7CEA">
              <w:rPr>
                <w:rFonts w:cs="Tahoma"/>
              </w:rPr>
              <w:t>SharePoint Online Piano 2*</w:t>
            </w:r>
          </w:p>
          <w:p w:rsidR="00894F24" w:rsidRPr="00BD7CEA" w:rsidRDefault="00894F24" w:rsidP="007358C5">
            <w:pPr>
              <w:numPr>
                <w:ilvl w:val="0"/>
                <w:numId w:val="38"/>
              </w:numPr>
              <w:spacing w:before="80"/>
              <w:ind w:left="725"/>
              <w:jc w:val="both"/>
            </w:pPr>
            <w:r w:rsidRPr="00BD7CEA">
              <w:rPr>
                <w:rFonts w:cs="Tahoma"/>
              </w:rPr>
              <w:t>Accesso partner SharePoint Online*</w:t>
            </w:r>
          </w:p>
          <w:p w:rsidR="00894F24" w:rsidRPr="00BD7CEA" w:rsidRDefault="00894F24" w:rsidP="007358C5">
            <w:pPr>
              <w:numPr>
                <w:ilvl w:val="0"/>
                <w:numId w:val="38"/>
              </w:numPr>
              <w:spacing w:before="80"/>
              <w:ind w:left="725"/>
              <w:jc w:val="both"/>
            </w:pPr>
            <w:r w:rsidRPr="00BD7CEA">
              <w:rPr>
                <w:rFonts w:cs="Tahoma"/>
              </w:rPr>
              <w:t>Visio Pro per Office 365*</w:t>
            </w:r>
          </w:p>
          <w:p w:rsidR="00894F24" w:rsidRPr="00BD7CEA" w:rsidRDefault="00894F24" w:rsidP="007358C5">
            <w:pPr>
              <w:numPr>
                <w:ilvl w:val="0"/>
                <w:numId w:val="38"/>
              </w:numPr>
              <w:spacing w:before="80"/>
              <w:ind w:left="725"/>
              <w:jc w:val="both"/>
            </w:pPr>
            <w:r w:rsidRPr="00BD7CEA">
              <w:rPr>
                <w:rFonts w:cs="Tahoma"/>
              </w:rPr>
              <w:t>Servizi di Windows Azure*</w:t>
            </w:r>
          </w:p>
          <w:p w:rsidR="00894F24" w:rsidRPr="00BD7CEA" w:rsidRDefault="00894F24" w:rsidP="007358C5">
            <w:pPr>
              <w:numPr>
                <w:ilvl w:val="0"/>
                <w:numId w:val="38"/>
              </w:numPr>
              <w:spacing w:before="80"/>
              <w:ind w:left="720"/>
              <w:jc w:val="both"/>
            </w:pPr>
            <w:r w:rsidRPr="00BD7CEA">
              <w:rPr>
                <w:rFonts w:cs="Tahoma"/>
              </w:rPr>
              <w:t>Windows Intune</w:t>
            </w:r>
          </w:p>
          <w:p w:rsidR="00894F24" w:rsidRPr="007B74B7" w:rsidRDefault="00894F24" w:rsidP="007358C5">
            <w:pPr>
              <w:numPr>
                <w:ilvl w:val="0"/>
                <w:numId w:val="38"/>
              </w:numPr>
              <w:spacing w:before="80"/>
              <w:ind w:left="725"/>
              <w:jc w:val="both"/>
              <w:rPr>
                <w:lang w:val="it-IT"/>
              </w:rPr>
            </w:pPr>
            <w:r w:rsidRPr="007B74B7">
              <w:rPr>
                <w:rFonts w:cs="Tahoma"/>
                <w:lang w:val="it-IT"/>
              </w:rPr>
              <w:t>Componente aggiuntivo di Windows Intune*</w:t>
            </w:r>
          </w:p>
          <w:p w:rsidR="00894F24" w:rsidRPr="00BD7CEA" w:rsidRDefault="00894F24" w:rsidP="007358C5">
            <w:pPr>
              <w:numPr>
                <w:ilvl w:val="0"/>
                <w:numId w:val="38"/>
              </w:numPr>
              <w:spacing w:before="80" w:after="120"/>
              <w:ind w:left="720"/>
              <w:jc w:val="both"/>
              <w:rPr>
                <w:rFonts w:cs="Tahoma"/>
              </w:rPr>
            </w:pPr>
            <w:r w:rsidRPr="00BD7CEA">
              <w:rPr>
                <w:rFonts w:cs="Tahoma"/>
              </w:rPr>
              <w:t>Yammer Enterprise*</w:t>
            </w:r>
          </w:p>
        </w:tc>
      </w:tr>
    </w:tbl>
    <w:p w:rsidR="00776E3B" w:rsidRPr="00BD7CEA" w:rsidRDefault="00776E3B" w:rsidP="00776E3B">
      <w:pPr>
        <w:tabs>
          <w:tab w:val="left" w:pos="360"/>
        </w:tabs>
        <w:ind w:left="720"/>
      </w:pPr>
      <w:r w:rsidRPr="00BD7CEA">
        <w:rPr>
          <w:rFonts w:cs="Tahoma"/>
          <w:i/>
          <w:sz w:val="16"/>
          <w:szCs w:val="20"/>
        </w:rPr>
        <w:t>* Prodotto aggiuntivo</w:t>
      </w:r>
    </w:p>
    <w:p w:rsidR="00023FE7" w:rsidRPr="007B74B7" w:rsidRDefault="00023FE7" w:rsidP="003B23CC">
      <w:pPr>
        <w:pStyle w:val="Heading1"/>
        <w:rPr>
          <w:lang w:val="it-IT"/>
        </w:rPr>
      </w:pPr>
      <w:r w:rsidRPr="007B74B7">
        <w:rPr>
          <w:lang w:val="it-IT"/>
        </w:rPr>
        <w:br w:type="page"/>
      </w:r>
      <w:bookmarkStart w:id="689" w:name="_Toc336338197"/>
      <w:bookmarkStart w:id="690" w:name="_Toc353375977"/>
      <w:r w:rsidRPr="007B74B7">
        <w:rPr>
          <w:lang w:val="it-IT"/>
        </w:rPr>
        <w:lastRenderedPageBreak/>
        <w:t>ARTICOLO 4</w:t>
      </w:r>
      <w:r w:rsidR="00FD7C0D" w:rsidRPr="007B74B7">
        <w:rPr>
          <w:lang w:val="it-IT"/>
        </w:rPr>
        <w:t xml:space="preserve"> – </w:t>
      </w:r>
      <w:r w:rsidRPr="007B74B7">
        <w:rPr>
          <w:lang w:val="it-IT"/>
        </w:rPr>
        <w:t>Tipi di Licenze e Corrispettivi</w:t>
      </w:r>
      <w:bookmarkEnd w:id="689"/>
      <w:bookmarkEnd w:id="690"/>
      <w:r w:rsidRPr="007B74B7">
        <w:rPr>
          <w:lang w:val="it-IT"/>
        </w:rPr>
        <w:t xml:space="preserve"> </w:t>
      </w:r>
    </w:p>
    <w:p w:rsidR="00023FE7" w:rsidRPr="007B74B7" w:rsidRDefault="00023FE7">
      <w:pPr>
        <w:pStyle w:val="Heading2"/>
        <w:ind w:left="0" w:right="720"/>
        <w:rPr>
          <w:lang w:val="it-IT"/>
        </w:rPr>
      </w:pPr>
    </w:p>
    <w:p w:rsidR="00456002" w:rsidRPr="007B74B7" w:rsidRDefault="00456002" w:rsidP="00456002">
      <w:pPr>
        <w:pStyle w:val="Heading2"/>
        <w:tabs>
          <w:tab w:val="left" w:pos="90"/>
        </w:tabs>
        <w:ind w:left="0" w:right="720"/>
        <w:rPr>
          <w:lang w:val="it-IT"/>
        </w:rPr>
      </w:pPr>
      <w:bookmarkStart w:id="691" w:name="_Toc336338198"/>
      <w:bookmarkStart w:id="692" w:name="_Toc353375978"/>
      <w:r w:rsidRPr="007B74B7">
        <w:rPr>
          <w:rFonts w:ascii="Tahoma" w:hAnsi="Tahoma" w:cs="Tahoma"/>
          <w:lang w:val="it-IT"/>
        </w:rPr>
        <w:t>Corrispettivi</w:t>
      </w:r>
      <w:bookmarkEnd w:id="691"/>
      <w:bookmarkEnd w:id="692"/>
      <w:r w:rsidRPr="007B74B7">
        <w:rPr>
          <w:rFonts w:ascii="Tahoma" w:hAnsi="Tahoma" w:cs="Tahoma"/>
          <w:lang w:val="it-IT"/>
        </w:rPr>
        <w:t> </w:t>
      </w:r>
    </w:p>
    <w:p w:rsidR="00456002" w:rsidRPr="007B74B7" w:rsidRDefault="00456002" w:rsidP="00ED589D">
      <w:pPr>
        <w:ind w:right="720"/>
        <w:rPr>
          <w:lang w:val="it-IT"/>
        </w:rPr>
      </w:pPr>
    </w:p>
    <w:p w:rsidR="00456002" w:rsidRPr="007B74B7" w:rsidRDefault="00456002" w:rsidP="0014632E">
      <w:pPr>
        <w:pStyle w:val="AppendixBodyText"/>
        <w:spacing w:after="0"/>
        <w:ind w:right="720"/>
        <w:rPr>
          <w:lang w:val="it-IT"/>
        </w:rPr>
      </w:pPr>
      <w:r w:rsidRPr="007B74B7">
        <w:rPr>
          <w:rFonts w:ascii="Tahoma" w:hAnsi="Tahoma" w:cs="Tahoma"/>
          <w:sz w:val="18"/>
          <w:lang w:val="it-IT"/>
        </w:rPr>
        <w:t>Questo tipo di prodotto è disponibile per alcuni Servizi Online e prodotti software.</w:t>
      </w:r>
      <w:r w:rsidR="008D782D" w:rsidRPr="007B74B7">
        <w:rPr>
          <w:rFonts w:ascii="Tahoma" w:hAnsi="Tahoma" w:cs="Tahoma"/>
          <w:sz w:val="18"/>
          <w:lang w:val="it-IT"/>
        </w:rPr>
        <w:t xml:space="preserve"> </w:t>
      </w:r>
      <w:r w:rsidRPr="007B74B7">
        <w:rPr>
          <w:rFonts w:ascii="Tahoma" w:hAnsi="Tahoma" w:cs="Tahoma"/>
          <w:sz w:val="18"/>
          <w:lang w:val="it-IT"/>
        </w:rPr>
        <w:t>Non dipende dalla versione, può essere associato a costi di configurazione o altre offerte, quali i pacchetti di attivazione.</w:t>
      </w:r>
      <w:r w:rsidR="008D782D" w:rsidRPr="007B74B7">
        <w:rPr>
          <w:rFonts w:ascii="Tahoma" w:hAnsi="Tahoma" w:cs="Tahoma"/>
          <w:sz w:val="18"/>
          <w:lang w:val="it-IT"/>
        </w:rPr>
        <w:t xml:space="preserve"> </w:t>
      </w:r>
      <w:r w:rsidRPr="007B74B7">
        <w:rPr>
          <w:rFonts w:ascii="Tahoma" w:hAnsi="Tahoma" w:cs="Tahoma"/>
          <w:sz w:val="18"/>
          <w:lang w:val="it-IT"/>
        </w:rPr>
        <w:t>A</w:t>
      </w:r>
      <w:r w:rsidR="006C2513" w:rsidRPr="007B74B7">
        <w:rPr>
          <w:rFonts w:ascii="Tahoma" w:hAnsi="Tahoma" w:cs="Tahoma"/>
          <w:sz w:val="18"/>
          <w:lang w:val="it-IT"/>
        </w:rPr>
        <w:t> </w:t>
      </w:r>
      <w:r w:rsidRPr="007B74B7">
        <w:rPr>
          <w:rFonts w:ascii="Tahoma" w:hAnsi="Tahoma" w:cs="Tahoma"/>
          <w:sz w:val="18"/>
          <w:lang w:val="it-IT"/>
        </w:rPr>
        <w:t>livello generale non concede il diritto di utilizzare un prodotto o un servizio online.</w:t>
      </w:r>
      <w:r w:rsidR="008D782D" w:rsidRPr="007B74B7">
        <w:rPr>
          <w:rFonts w:ascii="Tahoma" w:hAnsi="Tahoma" w:cs="Tahoma"/>
          <w:sz w:val="18"/>
          <w:lang w:val="it-IT"/>
        </w:rPr>
        <w:t xml:space="preserve"> </w:t>
      </w:r>
      <w:r w:rsidRPr="007B74B7">
        <w:rPr>
          <w:rFonts w:ascii="Tahoma" w:hAnsi="Tahoma" w:cs="Tahoma"/>
          <w:sz w:val="18"/>
          <w:lang w:val="it-IT"/>
        </w:rPr>
        <w:t>Analogamente, non</w:t>
      </w:r>
      <w:r w:rsidR="006C2513" w:rsidRPr="007B74B7">
        <w:rPr>
          <w:rFonts w:ascii="Tahoma" w:hAnsi="Tahoma" w:cs="Tahoma"/>
          <w:sz w:val="18"/>
          <w:lang w:val="it-IT"/>
        </w:rPr>
        <w:t> </w:t>
      </w:r>
      <w:r w:rsidRPr="007B74B7">
        <w:rPr>
          <w:rFonts w:ascii="Tahoma" w:hAnsi="Tahoma" w:cs="Tahoma"/>
          <w:sz w:val="18"/>
          <w:lang w:val="it-IT"/>
        </w:rPr>
        <w:t>offre alcun vantaggio o serve ad alcun scopo al di fuori del servizio o del software a cui corrisponde.</w:t>
      </w:r>
      <w:r w:rsidR="008D782D" w:rsidRPr="007B74B7">
        <w:rPr>
          <w:rFonts w:ascii="Tahoma" w:hAnsi="Tahoma" w:cs="Tahoma"/>
          <w:sz w:val="18"/>
          <w:lang w:val="it-IT"/>
        </w:rPr>
        <w:t xml:space="preserve"> </w:t>
      </w:r>
      <w:r w:rsidRPr="007B74B7">
        <w:rPr>
          <w:rFonts w:ascii="Tahoma" w:hAnsi="Tahoma" w:cs="Tahoma"/>
          <w:sz w:val="18"/>
          <w:lang w:val="it-IT"/>
        </w:rPr>
        <w:t>Disponibile nei seguenti programmi: Open, Open Value, Open Value Subscription, Select e Select Plus.</w:t>
      </w:r>
    </w:p>
    <w:p w:rsidR="00255158" w:rsidRPr="007B74B7" w:rsidRDefault="00255158" w:rsidP="0014632E">
      <w:pPr>
        <w:ind w:right="720"/>
        <w:rPr>
          <w:lang w:val="it-IT"/>
        </w:rPr>
      </w:pPr>
    </w:p>
    <w:p w:rsidR="00456002" w:rsidRPr="007B74B7" w:rsidRDefault="00456002" w:rsidP="00456002">
      <w:pPr>
        <w:pStyle w:val="Heading2"/>
        <w:tabs>
          <w:tab w:val="left" w:pos="90"/>
        </w:tabs>
        <w:ind w:left="0" w:right="720"/>
        <w:rPr>
          <w:lang w:val="it-IT"/>
        </w:rPr>
      </w:pPr>
      <w:bookmarkStart w:id="693" w:name="_Toc323819648"/>
      <w:bookmarkStart w:id="694" w:name="_Toc336338199"/>
      <w:bookmarkStart w:id="695" w:name="_Toc353375979"/>
      <w:r w:rsidRPr="007B74B7">
        <w:rPr>
          <w:rFonts w:ascii="Tahoma" w:hAnsi="Tahoma" w:cs="Tahoma"/>
          <w:lang w:val="it-IT"/>
        </w:rPr>
        <w:t>Licenza</w:t>
      </w:r>
      <w:bookmarkEnd w:id="693"/>
      <w:bookmarkEnd w:id="694"/>
      <w:bookmarkEnd w:id="695"/>
    </w:p>
    <w:p w:rsidR="00456002" w:rsidRPr="007B74B7" w:rsidRDefault="00456002" w:rsidP="00ED589D">
      <w:pPr>
        <w:pStyle w:val="AppendixIndent"/>
        <w:tabs>
          <w:tab w:val="left" w:pos="90"/>
        </w:tabs>
        <w:spacing w:before="0"/>
        <w:ind w:left="0" w:right="720"/>
        <w:rPr>
          <w:lang w:val="it-IT"/>
        </w:rPr>
      </w:pPr>
    </w:p>
    <w:p w:rsidR="00456002" w:rsidRPr="00BD7CEA" w:rsidRDefault="00456002" w:rsidP="0014632E">
      <w:pPr>
        <w:pStyle w:val="AppendixBodyText"/>
        <w:spacing w:after="0"/>
        <w:ind w:right="720"/>
      </w:pPr>
      <w:r w:rsidRPr="007B74B7">
        <w:rPr>
          <w:rFonts w:ascii="Tahoma" w:hAnsi="Tahoma" w:cs="Tahoma"/>
          <w:sz w:val="18"/>
          <w:lang w:val="it-IT"/>
        </w:rPr>
        <w:t xml:space="preserve">Questo tipo di prodotto dipende dalla versione e concede il diritto di eseguire il prodotto per il quale viene ordinato. </w:t>
      </w:r>
      <w:r w:rsidRPr="00BD7CEA">
        <w:rPr>
          <w:rFonts w:ascii="Tahoma" w:hAnsi="Tahoma" w:cs="Tahoma"/>
          <w:sz w:val="18"/>
        </w:rPr>
        <w:t xml:space="preserve">Disponibile nei seguenti programmi: </w:t>
      </w:r>
    </w:p>
    <w:p w:rsidR="00456002" w:rsidRPr="00BD7CEA" w:rsidRDefault="00456002" w:rsidP="0014632E">
      <w:pPr>
        <w:pStyle w:val="AppendixIndent"/>
        <w:tabs>
          <w:tab w:val="left" w:pos="90"/>
        </w:tabs>
        <w:spacing w:before="0"/>
        <w:ind w:left="0" w:right="720"/>
      </w:pPr>
    </w:p>
    <w:p w:rsidR="00456002" w:rsidRPr="00BD7CEA" w:rsidRDefault="00456002" w:rsidP="007358C5">
      <w:pPr>
        <w:pStyle w:val="AppendixBulletIndent"/>
        <w:numPr>
          <w:ilvl w:val="0"/>
          <w:numId w:val="58"/>
        </w:numPr>
        <w:tabs>
          <w:tab w:val="left" w:pos="90"/>
        </w:tabs>
        <w:spacing w:after="60"/>
        <w:ind w:left="1440" w:right="720"/>
      </w:pPr>
      <w:r w:rsidRPr="00BD7CEA">
        <w:rPr>
          <w:rFonts w:ascii="Tahoma" w:hAnsi="Tahoma" w:cs="Tahoma"/>
          <w:sz w:val="18"/>
          <w:szCs w:val="18"/>
        </w:rPr>
        <w:t>Licenza Open</w:t>
      </w:r>
    </w:p>
    <w:p w:rsidR="00456002" w:rsidRPr="00BD7CEA" w:rsidRDefault="00456002" w:rsidP="007358C5">
      <w:pPr>
        <w:pStyle w:val="AppendixBulletIndent"/>
        <w:numPr>
          <w:ilvl w:val="0"/>
          <w:numId w:val="58"/>
        </w:numPr>
        <w:tabs>
          <w:tab w:val="left" w:pos="90"/>
        </w:tabs>
        <w:spacing w:after="60"/>
        <w:ind w:left="1440" w:right="720"/>
      </w:pPr>
      <w:r w:rsidRPr="00BD7CEA">
        <w:rPr>
          <w:rFonts w:ascii="Tahoma" w:hAnsi="Tahoma" w:cs="Tahoma"/>
          <w:sz w:val="18"/>
          <w:szCs w:val="18"/>
        </w:rPr>
        <w:t xml:space="preserve">Open Value Subscription (solo per ordini buy-out) </w:t>
      </w:r>
    </w:p>
    <w:p w:rsidR="00456002" w:rsidRPr="00BD7CEA" w:rsidRDefault="00456002" w:rsidP="007358C5">
      <w:pPr>
        <w:pStyle w:val="AppendixBulletIndent"/>
        <w:numPr>
          <w:ilvl w:val="0"/>
          <w:numId w:val="58"/>
        </w:numPr>
        <w:tabs>
          <w:tab w:val="left" w:pos="90"/>
        </w:tabs>
        <w:spacing w:after="60"/>
        <w:ind w:left="1440" w:right="720"/>
      </w:pPr>
      <w:r w:rsidRPr="00BD7CEA">
        <w:rPr>
          <w:rFonts w:ascii="Tahoma" w:hAnsi="Tahoma" w:cs="Tahoma"/>
          <w:sz w:val="18"/>
          <w:szCs w:val="18"/>
        </w:rPr>
        <w:t xml:space="preserve">Select </w:t>
      </w:r>
    </w:p>
    <w:p w:rsidR="00456002" w:rsidRPr="00BD7CEA" w:rsidRDefault="00456002" w:rsidP="007358C5">
      <w:pPr>
        <w:pStyle w:val="AppendixBulletIndent"/>
        <w:numPr>
          <w:ilvl w:val="0"/>
          <w:numId w:val="58"/>
        </w:numPr>
        <w:tabs>
          <w:tab w:val="left" w:pos="90"/>
        </w:tabs>
        <w:spacing w:after="60"/>
        <w:ind w:left="1440" w:right="720"/>
      </w:pPr>
      <w:r w:rsidRPr="00BD7CEA">
        <w:rPr>
          <w:rFonts w:ascii="Tahoma" w:hAnsi="Tahoma" w:cs="Tahoma"/>
          <w:sz w:val="18"/>
          <w:szCs w:val="18"/>
        </w:rPr>
        <w:t>Select Plus</w:t>
      </w:r>
    </w:p>
    <w:p w:rsidR="00456002" w:rsidRPr="007B74B7" w:rsidRDefault="00456002" w:rsidP="007358C5">
      <w:pPr>
        <w:pStyle w:val="AppendixBulletIndent"/>
        <w:numPr>
          <w:ilvl w:val="0"/>
          <w:numId w:val="58"/>
        </w:numPr>
        <w:tabs>
          <w:tab w:val="left" w:pos="90"/>
        </w:tabs>
        <w:spacing w:after="60"/>
        <w:ind w:left="1440" w:right="720"/>
        <w:rPr>
          <w:lang w:val="it-IT"/>
        </w:rPr>
      </w:pPr>
      <w:r w:rsidRPr="007B74B7">
        <w:rPr>
          <w:rFonts w:ascii="Tahoma" w:hAnsi="Tahoma" w:cs="Tahoma"/>
          <w:sz w:val="18"/>
          <w:szCs w:val="18"/>
          <w:lang w:val="it-IT"/>
        </w:rPr>
        <w:t>Contratto School (solo per ordini buy-out)</w:t>
      </w:r>
    </w:p>
    <w:p w:rsidR="00456002" w:rsidRPr="007B74B7" w:rsidRDefault="00456002" w:rsidP="007358C5">
      <w:pPr>
        <w:pStyle w:val="AppendixBulletIndent"/>
        <w:numPr>
          <w:ilvl w:val="0"/>
          <w:numId w:val="58"/>
        </w:numPr>
        <w:tabs>
          <w:tab w:val="left" w:pos="90"/>
        </w:tabs>
        <w:spacing w:after="60"/>
        <w:ind w:left="1440" w:right="720"/>
        <w:rPr>
          <w:lang w:val="it-IT"/>
        </w:rPr>
      </w:pPr>
      <w:r w:rsidRPr="007B74B7">
        <w:rPr>
          <w:rFonts w:ascii="Tahoma" w:hAnsi="Tahoma" w:cs="Tahoma"/>
          <w:sz w:val="18"/>
          <w:szCs w:val="18"/>
          <w:lang w:val="it-IT"/>
        </w:rPr>
        <w:t>EES (solo per ordini buy-out)</w:t>
      </w:r>
    </w:p>
    <w:p w:rsidR="00456002" w:rsidRPr="007B74B7" w:rsidRDefault="00456002" w:rsidP="007358C5">
      <w:pPr>
        <w:pStyle w:val="AppendixBulletIndent"/>
        <w:numPr>
          <w:ilvl w:val="0"/>
          <w:numId w:val="58"/>
        </w:numPr>
        <w:tabs>
          <w:tab w:val="left" w:pos="90"/>
        </w:tabs>
        <w:ind w:left="1440" w:right="720"/>
        <w:rPr>
          <w:lang w:val="it-IT"/>
        </w:rPr>
      </w:pPr>
      <w:r w:rsidRPr="007B74B7">
        <w:rPr>
          <w:rFonts w:ascii="Tahoma" w:hAnsi="Tahoma" w:cs="Tahoma"/>
          <w:sz w:val="18"/>
          <w:szCs w:val="18"/>
          <w:lang w:val="it-IT"/>
        </w:rPr>
        <w:t>Contratto Enterprise Subscription (solo per ordini buy-out)</w:t>
      </w:r>
    </w:p>
    <w:p w:rsidR="00456002" w:rsidRPr="007B74B7" w:rsidRDefault="00456002" w:rsidP="0014632E">
      <w:pPr>
        <w:pStyle w:val="AppendixIndent"/>
        <w:tabs>
          <w:tab w:val="left" w:pos="90"/>
        </w:tabs>
        <w:spacing w:before="0"/>
        <w:ind w:left="0" w:right="720"/>
        <w:rPr>
          <w:lang w:val="it-IT"/>
        </w:rPr>
      </w:pPr>
    </w:p>
    <w:p w:rsidR="00456002" w:rsidRPr="007B74B7" w:rsidRDefault="00456002" w:rsidP="0014632E">
      <w:pPr>
        <w:pStyle w:val="AppendixBodyText"/>
        <w:spacing w:after="0"/>
        <w:ind w:right="720"/>
        <w:rPr>
          <w:lang w:val="it-IT"/>
        </w:rPr>
      </w:pPr>
      <w:r w:rsidRPr="007B74B7">
        <w:rPr>
          <w:rFonts w:ascii="Tahoma" w:hAnsi="Tahoma" w:cs="Tahoma"/>
          <w:sz w:val="18"/>
          <w:lang w:val="it-IT"/>
        </w:rPr>
        <w:t>Non esistono prerequisiti per una società che desidera acquistare una Licenza dei programmi Open License, Select e Select Plus.</w:t>
      </w:r>
      <w:r w:rsidR="008D782D" w:rsidRPr="007B74B7">
        <w:rPr>
          <w:rFonts w:ascii="Tahoma" w:hAnsi="Tahoma" w:cs="Tahoma"/>
          <w:sz w:val="18"/>
          <w:lang w:val="it-IT"/>
        </w:rPr>
        <w:t xml:space="preserve"> </w:t>
      </w:r>
      <w:r w:rsidRPr="007B74B7">
        <w:rPr>
          <w:rFonts w:ascii="Tahoma" w:hAnsi="Tahoma" w:cs="Tahoma"/>
          <w:sz w:val="18"/>
          <w:lang w:val="it-IT"/>
        </w:rPr>
        <w:t>Fare riferimento al contratto specifico per il programma per conoscere i criteri di idoneità per l</w:t>
      </w:r>
      <w:r w:rsidR="007A1415" w:rsidRPr="007B74B7">
        <w:rPr>
          <w:rFonts w:ascii="Tahoma" w:hAnsi="Tahoma" w:cs="Tahoma"/>
          <w:sz w:val="18"/>
          <w:lang w:val="it-IT"/>
        </w:rPr>
        <w:t>’</w:t>
      </w:r>
      <w:r w:rsidRPr="007B74B7">
        <w:rPr>
          <w:rFonts w:ascii="Tahoma" w:hAnsi="Tahoma" w:cs="Tahoma"/>
          <w:sz w:val="18"/>
          <w:lang w:val="it-IT"/>
        </w:rPr>
        <w:t>acquisto di una licenza perpetua tramite ordini buy-out.</w:t>
      </w:r>
    </w:p>
    <w:p w:rsidR="00255158" w:rsidRPr="007B74B7" w:rsidRDefault="00255158" w:rsidP="0014632E">
      <w:pPr>
        <w:pStyle w:val="AppendixIndent"/>
        <w:tabs>
          <w:tab w:val="left" w:pos="90"/>
        </w:tabs>
        <w:spacing w:before="0"/>
        <w:ind w:left="0" w:right="720"/>
        <w:rPr>
          <w:lang w:val="it-IT"/>
        </w:rPr>
      </w:pPr>
    </w:p>
    <w:p w:rsidR="00456002" w:rsidRPr="007B74B7" w:rsidRDefault="00456002" w:rsidP="00456002">
      <w:pPr>
        <w:pStyle w:val="Heading2"/>
        <w:tabs>
          <w:tab w:val="left" w:pos="90"/>
        </w:tabs>
        <w:ind w:left="0" w:right="720"/>
        <w:rPr>
          <w:lang w:val="it-IT"/>
        </w:rPr>
      </w:pPr>
      <w:bookmarkStart w:id="696" w:name="_Toc323819649"/>
      <w:bookmarkStart w:id="697" w:name="_Toc336338200"/>
      <w:bookmarkStart w:id="698" w:name="_Toc353375980"/>
      <w:r w:rsidRPr="007B74B7">
        <w:rPr>
          <w:rFonts w:ascii="Tahoma" w:hAnsi="Tahoma" w:cs="Tahoma"/>
          <w:lang w:val="it-IT"/>
        </w:rPr>
        <w:t>Licenza e Software Assurance (L&amp;SA)</w:t>
      </w:r>
      <w:bookmarkEnd w:id="696"/>
      <w:bookmarkEnd w:id="697"/>
      <w:bookmarkEnd w:id="698"/>
      <w:r w:rsidRPr="007B74B7">
        <w:rPr>
          <w:rFonts w:ascii="Tahoma" w:hAnsi="Tahoma" w:cs="Tahoma"/>
          <w:lang w:val="it-IT"/>
        </w:rPr>
        <w:t xml:space="preserve"> </w:t>
      </w:r>
    </w:p>
    <w:p w:rsidR="00456002" w:rsidRPr="007B74B7" w:rsidRDefault="00456002" w:rsidP="00ED589D">
      <w:pPr>
        <w:pStyle w:val="AppendixIndent"/>
        <w:tabs>
          <w:tab w:val="left" w:pos="90"/>
        </w:tabs>
        <w:spacing w:before="0"/>
        <w:ind w:left="0" w:right="720"/>
        <w:rPr>
          <w:lang w:val="it-IT"/>
        </w:rPr>
      </w:pPr>
    </w:p>
    <w:p w:rsidR="00456002" w:rsidRPr="00BD7CEA" w:rsidRDefault="00456002" w:rsidP="0014632E">
      <w:pPr>
        <w:pStyle w:val="AppendixBodyText"/>
        <w:spacing w:after="0"/>
        <w:ind w:right="720"/>
      </w:pPr>
      <w:r w:rsidRPr="007B74B7">
        <w:rPr>
          <w:rFonts w:ascii="Tahoma" w:hAnsi="Tahoma" w:cs="Tahoma"/>
          <w:sz w:val="18"/>
          <w:lang w:val="it-IT"/>
        </w:rPr>
        <w:t>Questo tipo di prodotto dipende dalla versione. Consente alle società di acquistare insieme la Licenza e</w:t>
      </w:r>
      <w:r w:rsidR="006C2513" w:rsidRPr="007B74B7">
        <w:rPr>
          <w:rFonts w:ascii="Tahoma" w:hAnsi="Tahoma" w:cs="Tahoma"/>
          <w:sz w:val="18"/>
          <w:lang w:val="it-IT"/>
        </w:rPr>
        <w:t> </w:t>
      </w:r>
      <w:r w:rsidRPr="007B74B7">
        <w:rPr>
          <w:rFonts w:ascii="Tahoma" w:hAnsi="Tahoma" w:cs="Tahoma"/>
          <w:sz w:val="18"/>
          <w:lang w:val="it-IT"/>
        </w:rPr>
        <w:t xml:space="preserve">Software Assurance. </w:t>
      </w:r>
      <w:r w:rsidRPr="00BD7CEA">
        <w:rPr>
          <w:rFonts w:ascii="Tahoma" w:hAnsi="Tahoma" w:cs="Tahoma"/>
          <w:sz w:val="18"/>
        </w:rPr>
        <w:t>Disponibile nei seguenti programmi:</w:t>
      </w:r>
    </w:p>
    <w:p w:rsidR="00456002" w:rsidRPr="00BD7CEA" w:rsidRDefault="00456002" w:rsidP="0014632E">
      <w:pPr>
        <w:pStyle w:val="AppendixIndent"/>
        <w:tabs>
          <w:tab w:val="left" w:pos="90"/>
        </w:tabs>
        <w:spacing w:before="0"/>
        <w:ind w:left="0" w:right="720"/>
      </w:pPr>
    </w:p>
    <w:p w:rsidR="00456002" w:rsidRPr="00BD7CEA" w:rsidRDefault="00456002" w:rsidP="007358C5">
      <w:pPr>
        <w:pStyle w:val="AppendixBulletIndent"/>
        <w:numPr>
          <w:ilvl w:val="0"/>
          <w:numId w:val="62"/>
        </w:numPr>
        <w:tabs>
          <w:tab w:val="left" w:pos="1440"/>
        </w:tabs>
        <w:spacing w:after="60"/>
        <w:ind w:left="1440" w:right="720"/>
      </w:pPr>
      <w:r w:rsidRPr="00BD7CEA">
        <w:rPr>
          <w:rFonts w:ascii="Tahoma" w:hAnsi="Tahoma" w:cs="Tahoma"/>
          <w:sz w:val="18"/>
        </w:rPr>
        <w:t xml:space="preserve">Open License </w:t>
      </w:r>
    </w:p>
    <w:p w:rsidR="00456002" w:rsidRPr="00BD7CEA" w:rsidRDefault="00456002" w:rsidP="007358C5">
      <w:pPr>
        <w:pStyle w:val="AppendixBulletIndent"/>
        <w:numPr>
          <w:ilvl w:val="0"/>
          <w:numId w:val="62"/>
        </w:numPr>
        <w:tabs>
          <w:tab w:val="left" w:pos="1440"/>
        </w:tabs>
        <w:spacing w:after="60"/>
        <w:ind w:left="1440" w:right="720"/>
      </w:pPr>
      <w:r w:rsidRPr="00BD7CEA">
        <w:rPr>
          <w:rFonts w:ascii="Tahoma" w:hAnsi="Tahoma" w:cs="Tahoma"/>
          <w:sz w:val="18"/>
        </w:rPr>
        <w:t>Open Value</w:t>
      </w:r>
    </w:p>
    <w:p w:rsidR="00456002" w:rsidRPr="00BD7CEA" w:rsidRDefault="00385C82" w:rsidP="007358C5">
      <w:pPr>
        <w:pStyle w:val="AppendixBulletIndent"/>
        <w:numPr>
          <w:ilvl w:val="0"/>
          <w:numId w:val="62"/>
        </w:numPr>
        <w:tabs>
          <w:tab w:val="left" w:pos="1440"/>
        </w:tabs>
        <w:spacing w:after="60"/>
        <w:ind w:left="1440" w:right="720"/>
      </w:pPr>
      <w:r w:rsidRPr="00BD7CEA">
        <w:rPr>
          <w:rFonts w:ascii="Tahoma" w:hAnsi="Tahoma" w:cs="Tahoma"/>
          <w:sz w:val="18"/>
        </w:rPr>
        <w:t>Open Value Subscription</w:t>
      </w:r>
    </w:p>
    <w:p w:rsidR="00456002" w:rsidRPr="00BD7CEA" w:rsidRDefault="00456002" w:rsidP="007358C5">
      <w:pPr>
        <w:pStyle w:val="AppendixBulletIndent"/>
        <w:numPr>
          <w:ilvl w:val="0"/>
          <w:numId w:val="62"/>
        </w:numPr>
        <w:tabs>
          <w:tab w:val="left" w:pos="1440"/>
        </w:tabs>
        <w:spacing w:after="60"/>
        <w:ind w:left="1440" w:right="720"/>
      </w:pPr>
      <w:r w:rsidRPr="00BD7CEA">
        <w:rPr>
          <w:rFonts w:ascii="Tahoma" w:hAnsi="Tahoma" w:cs="Tahoma"/>
          <w:sz w:val="18"/>
        </w:rPr>
        <w:t xml:space="preserve">Select </w:t>
      </w:r>
    </w:p>
    <w:p w:rsidR="00456002" w:rsidRPr="00BD7CEA" w:rsidRDefault="00456002" w:rsidP="007358C5">
      <w:pPr>
        <w:pStyle w:val="AppendixBulletIndent"/>
        <w:numPr>
          <w:ilvl w:val="0"/>
          <w:numId w:val="62"/>
        </w:numPr>
        <w:tabs>
          <w:tab w:val="left" w:pos="1440"/>
        </w:tabs>
        <w:spacing w:after="60"/>
        <w:ind w:left="1440" w:right="720"/>
      </w:pPr>
      <w:r w:rsidRPr="00BD7CEA">
        <w:rPr>
          <w:rFonts w:ascii="Tahoma" w:hAnsi="Tahoma" w:cs="Tahoma"/>
          <w:sz w:val="18"/>
        </w:rPr>
        <w:t>Select Plus</w:t>
      </w:r>
    </w:p>
    <w:p w:rsidR="00456002" w:rsidRPr="00BD7CEA" w:rsidRDefault="00456002" w:rsidP="007358C5">
      <w:pPr>
        <w:pStyle w:val="AppendixBulletIndent"/>
        <w:numPr>
          <w:ilvl w:val="0"/>
          <w:numId w:val="62"/>
        </w:numPr>
        <w:tabs>
          <w:tab w:val="left" w:pos="1440"/>
        </w:tabs>
        <w:spacing w:after="60"/>
        <w:ind w:left="1440" w:right="720"/>
      </w:pPr>
      <w:r w:rsidRPr="00BD7CEA">
        <w:rPr>
          <w:rFonts w:ascii="Tahoma" w:hAnsi="Tahoma" w:cs="Tahoma"/>
          <w:sz w:val="18"/>
        </w:rPr>
        <w:t>Contratto Enterprise</w:t>
      </w:r>
    </w:p>
    <w:p w:rsidR="00456002" w:rsidRPr="00BD7CEA" w:rsidRDefault="00456002" w:rsidP="007358C5">
      <w:pPr>
        <w:pStyle w:val="AppendixBulletIndent"/>
        <w:numPr>
          <w:ilvl w:val="0"/>
          <w:numId w:val="62"/>
        </w:numPr>
        <w:tabs>
          <w:tab w:val="left" w:pos="1440"/>
        </w:tabs>
        <w:ind w:left="1440" w:right="720"/>
      </w:pPr>
      <w:r w:rsidRPr="00BD7CEA">
        <w:rPr>
          <w:rFonts w:ascii="Tahoma" w:hAnsi="Tahoma" w:cs="Tahoma"/>
          <w:sz w:val="18"/>
        </w:rPr>
        <w:t>Contratto Enterprise Subscription</w:t>
      </w:r>
    </w:p>
    <w:p w:rsidR="00456002" w:rsidRPr="00BD7CEA" w:rsidRDefault="00456002" w:rsidP="00EF6A68">
      <w:pPr>
        <w:pStyle w:val="AppendixIndent"/>
        <w:tabs>
          <w:tab w:val="left" w:pos="90"/>
        </w:tabs>
        <w:spacing w:before="0"/>
        <w:ind w:left="0" w:right="720"/>
      </w:pPr>
    </w:p>
    <w:p w:rsidR="00456002" w:rsidRPr="007B74B7" w:rsidRDefault="00456002" w:rsidP="00EF6A68">
      <w:pPr>
        <w:pStyle w:val="AppendixBodyText"/>
        <w:spacing w:after="0"/>
        <w:ind w:right="720"/>
        <w:rPr>
          <w:lang w:val="it-IT"/>
        </w:rPr>
      </w:pPr>
      <w:r w:rsidRPr="007B74B7">
        <w:rPr>
          <w:rFonts w:ascii="Tahoma" w:hAnsi="Tahoma" w:cs="Tahoma"/>
          <w:sz w:val="18"/>
          <w:lang w:val="it-IT"/>
        </w:rPr>
        <w:t>Non esistono prerequisiti per l</w:t>
      </w:r>
      <w:r w:rsidR="007A1415" w:rsidRPr="007B74B7">
        <w:rPr>
          <w:rFonts w:ascii="Tahoma" w:hAnsi="Tahoma" w:cs="Tahoma"/>
          <w:sz w:val="18"/>
          <w:lang w:val="it-IT"/>
        </w:rPr>
        <w:t>’</w:t>
      </w:r>
      <w:r w:rsidRPr="007B74B7">
        <w:rPr>
          <w:rFonts w:ascii="Tahoma" w:hAnsi="Tahoma" w:cs="Tahoma"/>
          <w:sz w:val="18"/>
          <w:lang w:val="it-IT"/>
        </w:rPr>
        <w:t>acquisto della Licenza. Software Assurance dovrà essere acquistata al momento dell</w:t>
      </w:r>
      <w:r w:rsidR="007A1415" w:rsidRPr="007B74B7">
        <w:rPr>
          <w:rFonts w:ascii="Tahoma" w:hAnsi="Tahoma" w:cs="Tahoma"/>
          <w:sz w:val="18"/>
          <w:lang w:val="it-IT"/>
        </w:rPr>
        <w:t>’</w:t>
      </w:r>
      <w:r w:rsidRPr="007B74B7">
        <w:rPr>
          <w:rFonts w:ascii="Tahoma" w:hAnsi="Tahoma" w:cs="Tahoma"/>
          <w:sz w:val="18"/>
          <w:lang w:val="it-IT"/>
        </w:rPr>
        <w:t>acquisto della Licenza corrispondente o al rinnovo di un periodo di validità della copertura Software Assurance in essere.</w:t>
      </w:r>
      <w:r w:rsidR="008D782D" w:rsidRPr="007B74B7">
        <w:rPr>
          <w:rFonts w:ascii="Tahoma" w:hAnsi="Tahoma" w:cs="Tahoma"/>
          <w:sz w:val="18"/>
          <w:lang w:val="it-IT"/>
        </w:rPr>
        <w:t xml:space="preserve"> </w:t>
      </w:r>
      <w:r w:rsidRPr="007B74B7">
        <w:rPr>
          <w:rFonts w:ascii="Tahoma" w:hAnsi="Tahoma" w:cs="Tahoma"/>
          <w:sz w:val="18"/>
          <w:lang w:val="it-IT"/>
        </w:rPr>
        <w:t>In tutti i programmi Volume Licensing, quando la società non soddisfa i criteri di idoneità per Software Assurance e desidera acquistare la copertura, dovrà acquistare l</w:t>
      </w:r>
      <w:r w:rsidR="007A1415" w:rsidRPr="007B74B7">
        <w:rPr>
          <w:rFonts w:ascii="Tahoma" w:hAnsi="Tahoma" w:cs="Tahoma"/>
          <w:sz w:val="18"/>
          <w:lang w:val="it-IT"/>
        </w:rPr>
        <w:t>’</w:t>
      </w:r>
      <w:r w:rsidRPr="007B74B7">
        <w:rPr>
          <w:rFonts w:ascii="Tahoma" w:hAnsi="Tahoma" w:cs="Tahoma"/>
          <w:sz w:val="18"/>
          <w:lang w:val="it-IT"/>
        </w:rPr>
        <w:t>offerta Licenza e</w:t>
      </w:r>
      <w:r w:rsidR="00F746E4" w:rsidRPr="007B74B7">
        <w:rPr>
          <w:rFonts w:ascii="Tahoma" w:hAnsi="Tahoma" w:cs="Tahoma"/>
          <w:sz w:val="18"/>
          <w:lang w:val="it-IT"/>
        </w:rPr>
        <w:t> </w:t>
      </w:r>
      <w:r w:rsidRPr="007B74B7">
        <w:rPr>
          <w:rFonts w:ascii="Tahoma" w:hAnsi="Tahoma" w:cs="Tahoma"/>
          <w:sz w:val="18"/>
          <w:lang w:val="it-IT"/>
        </w:rPr>
        <w:t>Software Assurance.</w:t>
      </w:r>
    </w:p>
    <w:p w:rsidR="00255158" w:rsidRPr="007B74B7" w:rsidRDefault="00255158" w:rsidP="00EF6A68">
      <w:pPr>
        <w:rPr>
          <w:lang w:val="it-IT"/>
        </w:rPr>
      </w:pPr>
    </w:p>
    <w:p w:rsidR="00F746E4" w:rsidRPr="007B74B7" w:rsidRDefault="00F746E4" w:rsidP="00EF6A68">
      <w:pPr>
        <w:rPr>
          <w:lang w:val="it-IT"/>
        </w:rPr>
      </w:pPr>
    </w:p>
    <w:p w:rsidR="00F746E4" w:rsidRPr="007B74B7" w:rsidRDefault="00F746E4" w:rsidP="00EF6A68">
      <w:pPr>
        <w:rPr>
          <w:lang w:val="it-IT"/>
        </w:rPr>
      </w:pPr>
    </w:p>
    <w:p w:rsidR="00F746E4" w:rsidRPr="007B74B7" w:rsidRDefault="00F746E4" w:rsidP="00EF6A68">
      <w:pPr>
        <w:rPr>
          <w:lang w:val="it-IT"/>
        </w:rPr>
      </w:pPr>
    </w:p>
    <w:p w:rsidR="00F746E4" w:rsidRPr="007B74B7" w:rsidRDefault="00F746E4" w:rsidP="00EF6A68">
      <w:pPr>
        <w:rPr>
          <w:lang w:val="it-IT"/>
        </w:rPr>
      </w:pPr>
    </w:p>
    <w:p w:rsidR="00F746E4" w:rsidRPr="007B74B7" w:rsidRDefault="00F746E4" w:rsidP="00EF6A68">
      <w:pPr>
        <w:rPr>
          <w:lang w:val="it-IT"/>
        </w:rPr>
      </w:pPr>
    </w:p>
    <w:p w:rsidR="00456002" w:rsidRPr="007B74B7" w:rsidRDefault="00456002" w:rsidP="00456002">
      <w:pPr>
        <w:pStyle w:val="Heading2"/>
        <w:tabs>
          <w:tab w:val="left" w:pos="90"/>
        </w:tabs>
        <w:ind w:left="0" w:right="720"/>
        <w:rPr>
          <w:lang w:val="it-IT"/>
        </w:rPr>
      </w:pPr>
      <w:bookmarkStart w:id="699" w:name="_Toc323819650"/>
      <w:bookmarkStart w:id="700" w:name="_Toc336338201"/>
      <w:bookmarkStart w:id="701" w:name="_Toc353375981"/>
      <w:r w:rsidRPr="007B74B7">
        <w:rPr>
          <w:rFonts w:ascii="Tahoma" w:hAnsi="Tahoma" w:cs="Tahoma"/>
          <w:lang w:val="it-IT"/>
        </w:rPr>
        <w:lastRenderedPageBreak/>
        <w:t>Software Assurance</w:t>
      </w:r>
      <w:bookmarkEnd w:id="699"/>
      <w:bookmarkEnd w:id="700"/>
      <w:bookmarkEnd w:id="701"/>
    </w:p>
    <w:p w:rsidR="00456002" w:rsidRPr="007B74B7" w:rsidRDefault="00456002" w:rsidP="00EF6A68">
      <w:pPr>
        <w:pStyle w:val="AppendixBodyText"/>
        <w:tabs>
          <w:tab w:val="left" w:pos="90"/>
        </w:tabs>
        <w:spacing w:after="0"/>
        <w:ind w:right="720"/>
        <w:rPr>
          <w:lang w:val="it-IT"/>
        </w:rPr>
      </w:pPr>
    </w:p>
    <w:p w:rsidR="00456002" w:rsidRPr="007B74B7" w:rsidRDefault="00456002" w:rsidP="00EF6A68">
      <w:pPr>
        <w:pStyle w:val="AppendixBodyText"/>
        <w:spacing w:after="0"/>
        <w:ind w:right="720"/>
        <w:rPr>
          <w:lang w:val="it-IT"/>
        </w:rPr>
      </w:pPr>
      <w:r w:rsidRPr="007B74B7">
        <w:rPr>
          <w:rFonts w:ascii="Tahoma" w:hAnsi="Tahoma" w:cs="Tahoma"/>
          <w:sz w:val="18"/>
          <w:lang w:val="it-IT"/>
        </w:rPr>
        <w:t>Microsoft Software Assurance offre vantaggi che possono includere nuovi diritti sulle versioni e garantire l</w:t>
      </w:r>
      <w:r w:rsidR="007A1415" w:rsidRPr="007B74B7">
        <w:rPr>
          <w:rFonts w:ascii="Tahoma" w:hAnsi="Tahoma" w:cs="Tahoma"/>
          <w:sz w:val="18"/>
          <w:lang w:val="it-IT"/>
        </w:rPr>
        <w:t>’</w:t>
      </w:r>
      <w:r w:rsidRPr="007B74B7">
        <w:rPr>
          <w:rFonts w:ascii="Tahoma" w:hAnsi="Tahoma" w:cs="Tahoma"/>
          <w:sz w:val="18"/>
          <w:lang w:val="it-IT"/>
        </w:rPr>
        <w:t>accesso a tecnologie differenziate, nonché diritti aggiuntivi sull</w:t>
      </w:r>
      <w:r w:rsidR="007A1415" w:rsidRPr="007B74B7">
        <w:rPr>
          <w:rFonts w:ascii="Tahoma" w:hAnsi="Tahoma" w:cs="Tahoma"/>
          <w:sz w:val="18"/>
          <w:lang w:val="it-IT"/>
        </w:rPr>
        <w:t>’</w:t>
      </w:r>
      <w:r w:rsidRPr="007B74B7">
        <w:rPr>
          <w:rFonts w:ascii="Tahoma" w:hAnsi="Tahoma" w:cs="Tahoma"/>
          <w:sz w:val="18"/>
          <w:lang w:val="it-IT"/>
        </w:rPr>
        <w:t>utilizzo dei Prodotti per i quali viene acquistata. Altri vantaggi sono costituiti da pagamenti dilazionati, servizi di consulenza, formazione, supporto tecnico e accesso a offerte esclusive. Per dettagli su ciascun vantaggio e criterio, fare riferimento all</w:t>
      </w:r>
      <w:r w:rsidR="007A1415" w:rsidRPr="007B74B7">
        <w:rPr>
          <w:rFonts w:ascii="Tahoma" w:hAnsi="Tahoma" w:cs="Tahoma"/>
          <w:sz w:val="18"/>
          <w:lang w:val="it-IT"/>
        </w:rPr>
        <w:t>’</w:t>
      </w:r>
      <w:r w:rsidRPr="007B74B7">
        <w:rPr>
          <w:rFonts w:ascii="Tahoma" w:hAnsi="Tahoma" w:cs="Tahoma"/>
          <w:sz w:val="18"/>
          <w:lang w:val="it-IT"/>
        </w:rPr>
        <w:t>Articolo Vantaggi di Software Assurance (SA) più avanti nel presente documento.</w:t>
      </w:r>
    </w:p>
    <w:p w:rsidR="00456002" w:rsidRPr="007B74B7" w:rsidRDefault="00456002" w:rsidP="00EF6A68">
      <w:pPr>
        <w:pStyle w:val="AppendixIndent"/>
        <w:tabs>
          <w:tab w:val="left" w:pos="90"/>
        </w:tabs>
        <w:spacing w:before="0"/>
        <w:ind w:left="0" w:right="720"/>
        <w:rPr>
          <w:lang w:val="it-IT"/>
        </w:rPr>
      </w:pPr>
    </w:p>
    <w:p w:rsidR="00456002" w:rsidRPr="00BD7CEA" w:rsidRDefault="00456002" w:rsidP="00EF6A68">
      <w:pPr>
        <w:pStyle w:val="AppendixBodyText"/>
        <w:spacing w:after="0"/>
        <w:ind w:right="720"/>
      </w:pPr>
      <w:r w:rsidRPr="007B74B7">
        <w:rPr>
          <w:rFonts w:ascii="Tahoma" w:hAnsi="Tahoma" w:cs="Tahoma"/>
          <w:sz w:val="18"/>
          <w:lang w:val="it-IT"/>
        </w:rPr>
        <w:t>Per dettagli sui diritti sull</w:t>
      </w:r>
      <w:r w:rsidR="007A1415" w:rsidRPr="007B74B7">
        <w:rPr>
          <w:rFonts w:ascii="Tahoma" w:hAnsi="Tahoma" w:cs="Tahoma"/>
          <w:sz w:val="18"/>
          <w:lang w:val="it-IT"/>
        </w:rPr>
        <w:t>’</w:t>
      </w:r>
      <w:r w:rsidRPr="007B74B7">
        <w:rPr>
          <w:rFonts w:ascii="Tahoma" w:hAnsi="Tahoma" w:cs="Tahoma"/>
          <w:sz w:val="18"/>
          <w:lang w:val="it-IT"/>
        </w:rPr>
        <w:t xml:space="preserve">utilizzo relativi ai vantaggi, fare riferimento ai Diritti di Utilizzo del Prodotto per Volume License. </w:t>
      </w:r>
      <w:r w:rsidRPr="00BD7CEA">
        <w:rPr>
          <w:rFonts w:ascii="Tahoma" w:hAnsi="Tahoma" w:cs="Tahoma"/>
          <w:sz w:val="18"/>
        </w:rPr>
        <w:t>Software Assurance è disponibile nei seguenti programmi:</w:t>
      </w:r>
    </w:p>
    <w:p w:rsidR="00456002" w:rsidRPr="00BD7CEA" w:rsidRDefault="00456002" w:rsidP="00EF6A68">
      <w:pPr>
        <w:pStyle w:val="AppendixIndent"/>
        <w:tabs>
          <w:tab w:val="left" w:pos="90"/>
        </w:tabs>
        <w:spacing w:before="0"/>
        <w:ind w:left="0" w:right="720"/>
      </w:pPr>
    </w:p>
    <w:p w:rsidR="00456002" w:rsidRPr="00BD7CEA" w:rsidRDefault="00456002" w:rsidP="007358C5">
      <w:pPr>
        <w:pStyle w:val="AppendixBulletIndent"/>
        <w:numPr>
          <w:ilvl w:val="0"/>
          <w:numId w:val="63"/>
        </w:numPr>
        <w:tabs>
          <w:tab w:val="left" w:pos="1440"/>
        </w:tabs>
        <w:spacing w:after="60"/>
        <w:ind w:left="1440" w:right="720"/>
      </w:pPr>
      <w:r w:rsidRPr="00BD7CEA">
        <w:rPr>
          <w:rFonts w:ascii="Tahoma" w:hAnsi="Tahoma" w:cs="Tahoma"/>
          <w:sz w:val="18"/>
        </w:rPr>
        <w:t xml:space="preserve">Open License </w:t>
      </w:r>
    </w:p>
    <w:p w:rsidR="00456002" w:rsidRPr="00BD7CEA" w:rsidRDefault="00456002" w:rsidP="007358C5">
      <w:pPr>
        <w:pStyle w:val="AppendixBulletIndent"/>
        <w:numPr>
          <w:ilvl w:val="0"/>
          <w:numId w:val="63"/>
        </w:numPr>
        <w:tabs>
          <w:tab w:val="left" w:pos="1440"/>
        </w:tabs>
        <w:spacing w:after="60"/>
        <w:ind w:left="1440" w:right="720"/>
      </w:pPr>
      <w:r w:rsidRPr="00BD7CEA">
        <w:rPr>
          <w:rFonts w:ascii="Tahoma" w:hAnsi="Tahoma" w:cs="Tahoma"/>
          <w:sz w:val="18"/>
        </w:rPr>
        <w:t xml:space="preserve">Open Value </w:t>
      </w:r>
    </w:p>
    <w:p w:rsidR="00456002" w:rsidRPr="00BD7CEA" w:rsidRDefault="00456002" w:rsidP="007358C5">
      <w:pPr>
        <w:pStyle w:val="AppendixBulletIndent"/>
        <w:numPr>
          <w:ilvl w:val="0"/>
          <w:numId w:val="63"/>
        </w:numPr>
        <w:tabs>
          <w:tab w:val="left" w:pos="1440"/>
        </w:tabs>
        <w:spacing w:after="60"/>
        <w:ind w:left="1440" w:right="720"/>
      </w:pPr>
      <w:r w:rsidRPr="00BD7CEA">
        <w:rPr>
          <w:rFonts w:ascii="Tahoma" w:hAnsi="Tahoma" w:cs="Tahoma"/>
          <w:sz w:val="18"/>
        </w:rPr>
        <w:t xml:space="preserve">Select </w:t>
      </w:r>
    </w:p>
    <w:p w:rsidR="00456002" w:rsidRPr="00BD7CEA" w:rsidRDefault="00456002" w:rsidP="007358C5">
      <w:pPr>
        <w:pStyle w:val="AppendixBulletIndent"/>
        <w:numPr>
          <w:ilvl w:val="0"/>
          <w:numId w:val="63"/>
        </w:numPr>
        <w:tabs>
          <w:tab w:val="left" w:pos="1440"/>
        </w:tabs>
        <w:spacing w:after="60"/>
        <w:ind w:left="1440" w:right="720"/>
      </w:pPr>
      <w:r w:rsidRPr="00BD7CEA">
        <w:rPr>
          <w:rFonts w:ascii="Tahoma" w:hAnsi="Tahoma" w:cs="Tahoma"/>
          <w:sz w:val="18"/>
        </w:rPr>
        <w:t>Select Plus</w:t>
      </w:r>
    </w:p>
    <w:p w:rsidR="00456002" w:rsidRPr="00BD7CEA" w:rsidRDefault="00456002" w:rsidP="007358C5">
      <w:pPr>
        <w:pStyle w:val="AppendixBulletIndent"/>
        <w:numPr>
          <w:ilvl w:val="0"/>
          <w:numId w:val="63"/>
        </w:numPr>
        <w:tabs>
          <w:tab w:val="left" w:pos="1440"/>
        </w:tabs>
        <w:ind w:left="1440" w:right="720"/>
      </w:pPr>
      <w:r w:rsidRPr="00BD7CEA">
        <w:rPr>
          <w:rFonts w:ascii="Tahoma" w:hAnsi="Tahoma" w:cs="Tahoma"/>
          <w:sz w:val="18"/>
        </w:rPr>
        <w:t>Contratto Enterprise</w:t>
      </w:r>
    </w:p>
    <w:p w:rsidR="00456002" w:rsidRPr="00BD7CEA" w:rsidRDefault="00456002" w:rsidP="00B147AB">
      <w:pPr>
        <w:pStyle w:val="AppendixIndent"/>
        <w:spacing w:before="0"/>
        <w:ind w:left="0" w:right="720"/>
      </w:pPr>
    </w:p>
    <w:p w:rsidR="00456002" w:rsidRPr="00BD7CEA" w:rsidRDefault="00456002" w:rsidP="00B147AB">
      <w:pPr>
        <w:pStyle w:val="AppendixIndent"/>
        <w:spacing w:before="0"/>
        <w:ind w:left="0" w:right="720"/>
      </w:pPr>
      <w:r w:rsidRPr="007B74B7">
        <w:rPr>
          <w:rFonts w:ascii="Tahoma" w:hAnsi="Tahoma" w:cs="Tahoma"/>
          <w:sz w:val="18"/>
          <w:lang w:val="it-IT"/>
        </w:rPr>
        <w:t>Esistono tre diversi livelli di impegno per cui una società può scegliere Software Assurance.</w:t>
      </w:r>
      <w:r w:rsidR="008D782D" w:rsidRPr="007B74B7">
        <w:rPr>
          <w:rFonts w:ascii="Tahoma" w:hAnsi="Tahoma" w:cs="Tahoma"/>
          <w:sz w:val="18"/>
          <w:lang w:val="it-IT"/>
        </w:rPr>
        <w:t xml:space="preserve"> </w:t>
      </w:r>
      <w:r w:rsidRPr="007B74B7">
        <w:rPr>
          <w:rFonts w:ascii="Tahoma" w:hAnsi="Tahoma" w:cs="Tahoma"/>
          <w:sz w:val="18"/>
          <w:lang w:val="it-IT"/>
        </w:rPr>
        <w:t>I livelli disponibili variano in base al programma.</w:t>
      </w:r>
      <w:r w:rsidR="008D782D" w:rsidRPr="007B74B7">
        <w:rPr>
          <w:rFonts w:ascii="Tahoma" w:hAnsi="Tahoma" w:cs="Tahoma"/>
          <w:sz w:val="18"/>
          <w:lang w:val="it-IT"/>
        </w:rPr>
        <w:t xml:space="preserve"> </w:t>
      </w:r>
      <w:r w:rsidRPr="007B74B7">
        <w:rPr>
          <w:rFonts w:ascii="Tahoma" w:hAnsi="Tahoma" w:cs="Tahoma"/>
          <w:sz w:val="18"/>
          <w:lang w:val="it-IT"/>
        </w:rPr>
        <w:t>Il livello di impegno di una società rispetto a Software Assurance è uno dei molteplici fattori che possono determinare l</w:t>
      </w:r>
      <w:r w:rsidR="007A1415" w:rsidRPr="007B74B7">
        <w:rPr>
          <w:rFonts w:ascii="Tahoma" w:hAnsi="Tahoma" w:cs="Tahoma"/>
          <w:sz w:val="18"/>
          <w:lang w:val="it-IT"/>
        </w:rPr>
        <w:t>’</w:t>
      </w:r>
      <w:r w:rsidRPr="007B74B7">
        <w:rPr>
          <w:rFonts w:ascii="Tahoma" w:hAnsi="Tahoma" w:cs="Tahoma"/>
          <w:sz w:val="18"/>
          <w:lang w:val="it-IT"/>
        </w:rPr>
        <w:t>idoneità della società a ottenere il vantaggio.</w:t>
      </w:r>
      <w:r w:rsidR="008D782D" w:rsidRPr="007B74B7">
        <w:rPr>
          <w:rFonts w:ascii="Tahoma" w:hAnsi="Tahoma" w:cs="Tahoma"/>
          <w:sz w:val="18"/>
          <w:lang w:val="it-IT"/>
        </w:rPr>
        <w:t xml:space="preserve"> </w:t>
      </w:r>
      <w:r w:rsidRPr="00BD7CEA">
        <w:rPr>
          <w:rFonts w:ascii="Tahoma" w:hAnsi="Tahoma" w:cs="Tahoma"/>
          <w:sz w:val="18"/>
        </w:rPr>
        <w:t>Una società può</w:t>
      </w:r>
    </w:p>
    <w:p w:rsidR="004C08A3" w:rsidRPr="00BD7CEA" w:rsidRDefault="004C08A3" w:rsidP="00B147AB">
      <w:pPr>
        <w:pStyle w:val="AppendixIndent"/>
        <w:spacing w:before="0"/>
        <w:ind w:left="0" w:right="720"/>
      </w:pPr>
    </w:p>
    <w:p w:rsidR="00456002" w:rsidRPr="007B74B7" w:rsidRDefault="00456002" w:rsidP="007358C5">
      <w:pPr>
        <w:pStyle w:val="AppendixIndent"/>
        <w:numPr>
          <w:ilvl w:val="0"/>
          <w:numId w:val="64"/>
        </w:numPr>
        <w:ind w:left="1440" w:right="720"/>
        <w:rPr>
          <w:lang w:val="it-IT"/>
        </w:rPr>
      </w:pPr>
      <w:r w:rsidRPr="007B74B7">
        <w:rPr>
          <w:rFonts w:ascii="Tahoma" w:hAnsi="Tahoma" w:cs="Tahoma"/>
          <w:sz w:val="18"/>
          <w:lang w:val="it-IT"/>
        </w:rPr>
        <w:t>Impegnarsi ad assegnare Software Assurance a tutti i prodotti della piattaforma.</w:t>
      </w:r>
      <w:r w:rsidR="008D782D" w:rsidRPr="007B74B7">
        <w:rPr>
          <w:rFonts w:ascii="Tahoma" w:hAnsi="Tahoma" w:cs="Tahoma"/>
          <w:sz w:val="18"/>
          <w:lang w:val="it-IT"/>
        </w:rPr>
        <w:t xml:space="preserve"> </w:t>
      </w:r>
      <w:r w:rsidRPr="007B74B7">
        <w:rPr>
          <w:rFonts w:ascii="Tahoma" w:hAnsi="Tahoma" w:cs="Tahoma"/>
          <w:sz w:val="18"/>
          <w:lang w:val="it-IT"/>
        </w:rPr>
        <w:t>Ciò è più comune nel Contratto Enterprise e in Open Value.</w:t>
      </w:r>
    </w:p>
    <w:p w:rsidR="00456002" w:rsidRPr="007B74B7" w:rsidRDefault="00456002" w:rsidP="007358C5">
      <w:pPr>
        <w:pStyle w:val="AppendixIndent"/>
        <w:numPr>
          <w:ilvl w:val="0"/>
          <w:numId w:val="64"/>
        </w:numPr>
        <w:ind w:left="1440" w:right="720"/>
        <w:rPr>
          <w:spacing w:val="-4"/>
          <w:lang w:val="it-IT"/>
        </w:rPr>
      </w:pPr>
      <w:r w:rsidRPr="007B74B7">
        <w:rPr>
          <w:rFonts w:ascii="Tahoma" w:hAnsi="Tahoma" w:cs="Tahoma"/>
          <w:spacing w:val="-4"/>
          <w:sz w:val="18"/>
          <w:lang w:val="it-IT"/>
        </w:rPr>
        <w:t>Impegnarsi ad associare Software Assurance a tutti gli acquisti di un particolare pool di prodotti (Applicazioni, Sistemi o Server).</w:t>
      </w:r>
      <w:r w:rsidR="008D782D" w:rsidRPr="007B74B7">
        <w:rPr>
          <w:rFonts w:ascii="Tahoma" w:hAnsi="Tahoma" w:cs="Tahoma"/>
          <w:spacing w:val="-4"/>
          <w:sz w:val="18"/>
          <w:lang w:val="it-IT"/>
        </w:rPr>
        <w:t xml:space="preserve"> </w:t>
      </w:r>
      <w:r w:rsidRPr="007B74B7">
        <w:rPr>
          <w:rFonts w:ascii="Tahoma" w:hAnsi="Tahoma" w:cs="Tahoma"/>
          <w:spacing w:val="-4"/>
          <w:sz w:val="18"/>
          <w:lang w:val="it-IT"/>
        </w:rPr>
        <w:t>Questa modalità è nota come Partecipazione a Software Assurance (Software Assurance Membership o SAM) Non richiede un impegno a livello aziendale per Software Assurance, impegno che è invece necessario nel programma Select.</w:t>
      </w:r>
    </w:p>
    <w:p w:rsidR="00456002" w:rsidRPr="007B74B7" w:rsidRDefault="00456002" w:rsidP="007358C5">
      <w:pPr>
        <w:pStyle w:val="AppendixIndent"/>
        <w:numPr>
          <w:ilvl w:val="0"/>
          <w:numId w:val="64"/>
        </w:numPr>
        <w:ind w:left="1440" w:right="720"/>
        <w:rPr>
          <w:lang w:val="it-IT"/>
        </w:rPr>
      </w:pPr>
      <w:r w:rsidRPr="007B74B7">
        <w:rPr>
          <w:rFonts w:ascii="Tahoma" w:hAnsi="Tahoma" w:cs="Tahoma"/>
          <w:sz w:val="18"/>
          <w:lang w:val="it-IT"/>
        </w:rPr>
        <w:t>Acquistare Software Assurance per i singoli prodotti senza alcun impegno a estendere Software Assurance ad altri prodotti.</w:t>
      </w:r>
    </w:p>
    <w:p w:rsidR="0053106B" w:rsidRPr="007B74B7" w:rsidRDefault="0053106B" w:rsidP="00EF6A68">
      <w:pPr>
        <w:pStyle w:val="AppendixBodyText"/>
        <w:spacing w:after="0"/>
        <w:ind w:right="720"/>
        <w:rPr>
          <w:lang w:val="it-IT"/>
        </w:rPr>
      </w:pPr>
    </w:p>
    <w:p w:rsidR="00456002" w:rsidRPr="007B74B7" w:rsidRDefault="00456002" w:rsidP="00B147AB">
      <w:pPr>
        <w:pStyle w:val="AppendixBodyText"/>
        <w:spacing w:after="0"/>
        <w:ind w:right="720"/>
        <w:rPr>
          <w:lang w:val="it-IT"/>
        </w:rPr>
      </w:pPr>
      <w:r w:rsidRPr="007B74B7">
        <w:rPr>
          <w:rFonts w:ascii="Tahoma" w:hAnsi="Tahoma" w:cs="Tahoma"/>
          <w:sz w:val="18"/>
          <w:lang w:val="it-IT"/>
        </w:rPr>
        <w:t>Software Assurance dovrà essere acquistata al momento dell</w:t>
      </w:r>
      <w:r w:rsidR="007A1415" w:rsidRPr="007B74B7">
        <w:rPr>
          <w:rFonts w:ascii="Tahoma" w:hAnsi="Tahoma" w:cs="Tahoma"/>
          <w:sz w:val="18"/>
          <w:lang w:val="it-IT"/>
        </w:rPr>
        <w:t>’</w:t>
      </w:r>
      <w:r w:rsidRPr="007B74B7">
        <w:rPr>
          <w:rFonts w:ascii="Tahoma" w:hAnsi="Tahoma" w:cs="Tahoma"/>
          <w:sz w:val="18"/>
          <w:lang w:val="it-IT"/>
        </w:rPr>
        <w:t>acquisto della Licenza o al rinnovo di un periodo di validità della copertura Software Assurance in essere.</w:t>
      </w:r>
      <w:r w:rsidR="008D782D" w:rsidRPr="007B74B7">
        <w:rPr>
          <w:rFonts w:ascii="Tahoma" w:hAnsi="Tahoma" w:cs="Tahoma"/>
          <w:sz w:val="18"/>
          <w:lang w:val="it-IT"/>
        </w:rPr>
        <w:t xml:space="preserve"> </w:t>
      </w:r>
      <w:r w:rsidRPr="007B74B7">
        <w:rPr>
          <w:rFonts w:ascii="Tahoma" w:hAnsi="Tahoma" w:cs="Tahoma"/>
          <w:sz w:val="18"/>
          <w:lang w:val="it-IT"/>
        </w:rPr>
        <w:t>Diversamente, si dovrà acquistare una nuova Licenza o Licenza e Software Assurance allo scopo di aggiornare la Licenza a una data successiva (per un Sistema Operativo Desktop di Windows, le opzioni sono Aggiorna e Software Assurance).</w:t>
      </w:r>
      <w:r w:rsidR="008D782D" w:rsidRPr="007B74B7">
        <w:rPr>
          <w:rFonts w:ascii="Tahoma" w:hAnsi="Tahoma" w:cs="Tahoma"/>
          <w:sz w:val="18"/>
          <w:lang w:val="it-IT"/>
        </w:rPr>
        <w:t xml:space="preserve"> </w:t>
      </w:r>
      <w:r w:rsidRPr="007B74B7">
        <w:rPr>
          <w:rFonts w:ascii="Tahoma" w:hAnsi="Tahoma" w:cs="Tahoma"/>
          <w:sz w:val="18"/>
          <w:lang w:val="it-IT"/>
        </w:rPr>
        <w:t>Fare riferimento all</w:t>
      </w:r>
      <w:r w:rsidR="007A1415" w:rsidRPr="007B74B7">
        <w:rPr>
          <w:rFonts w:ascii="Tahoma" w:hAnsi="Tahoma" w:cs="Tahoma"/>
          <w:sz w:val="18"/>
          <w:lang w:val="it-IT"/>
        </w:rPr>
        <w:t>’</w:t>
      </w:r>
      <w:r w:rsidRPr="007B74B7">
        <w:rPr>
          <w:rFonts w:ascii="Tahoma" w:hAnsi="Tahoma" w:cs="Tahoma"/>
          <w:sz w:val="18"/>
          <w:lang w:val="it-IT"/>
        </w:rPr>
        <w:t>Articolo relativo alle regole per il rinnovo e al contratto specifico per il programma per conoscere i criteri di idoneità per l</w:t>
      </w:r>
      <w:r w:rsidR="007A1415" w:rsidRPr="007B74B7">
        <w:rPr>
          <w:rFonts w:ascii="Tahoma" w:hAnsi="Tahoma" w:cs="Tahoma"/>
          <w:sz w:val="18"/>
          <w:lang w:val="it-IT"/>
        </w:rPr>
        <w:t>’</w:t>
      </w:r>
      <w:r w:rsidRPr="007B74B7">
        <w:rPr>
          <w:rFonts w:ascii="Tahoma" w:hAnsi="Tahoma" w:cs="Tahoma"/>
          <w:sz w:val="18"/>
          <w:lang w:val="it-IT"/>
        </w:rPr>
        <w:t>acquisto di Software Assurance.</w:t>
      </w:r>
    </w:p>
    <w:p w:rsidR="004C08A3" w:rsidRPr="007B74B7" w:rsidRDefault="004C08A3" w:rsidP="00B147AB">
      <w:pPr>
        <w:pStyle w:val="AppendixBodyText"/>
        <w:spacing w:after="0"/>
        <w:ind w:right="720"/>
        <w:rPr>
          <w:lang w:val="it-IT"/>
        </w:rPr>
      </w:pPr>
    </w:p>
    <w:p w:rsidR="00456002" w:rsidRPr="007B74B7" w:rsidRDefault="00456002" w:rsidP="00B147AB">
      <w:pPr>
        <w:pStyle w:val="AppendixBodyText"/>
        <w:spacing w:after="0"/>
        <w:ind w:right="720"/>
        <w:rPr>
          <w:lang w:val="it-IT"/>
        </w:rPr>
      </w:pPr>
      <w:r w:rsidRPr="007B74B7">
        <w:rPr>
          <w:rFonts w:ascii="Tahoma" w:hAnsi="Tahoma" w:cs="Tahoma"/>
          <w:sz w:val="18"/>
          <w:lang w:val="it-IT"/>
        </w:rPr>
        <w:t>Nell</w:t>
      </w:r>
      <w:r w:rsidR="007A1415" w:rsidRPr="007B74B7">
        <w:rPr>
          <w:rFonts w:ascii="Tahoma" w:hAnsi="Tahoma" w:cs="Tahoma"/>
          <w:sz w:val="18"/>
          <w:lang w:val="it-IT"/>
        </w:rPr>
        <w:t>’</w:t>
      </w:r>
      <w:r w:rsidRPr="007B74B7">
        <w:rPr>
          <w:rFonts w:ascii="Tahoma" w:hAnsi="Tahoma" w:cs="Tahoma"/>
          <w:sz w:val="18"/>
          <w:lang w:val="it-IT"/>
        </w:rPr>
        <w:t xml:space="preserve">eventualità di un trasferimento di Licenze perpetue, il cessionario potrà acquistare Software Assurance per tali Licenze trasferite entro 30 giorni dalla data del trasferimento e a condizioni che le License trasferite abbiano una copertura Software Assurance attiva al momento del trasferimento. </w:t>
      </w:r>
    </w:p>
    <w:p w:rsidR="004C08A3" w:rsidRPr="007B74B7" w:rsidRDefault="004C08A3" w:rsidP="00B147AB">
      <w:pPr>
        <w:pStyle w:val="AppendixBodyText"/>
        <w:spacing w:after="0"/>
        <w:ind w:right="720"/>
        <w:rPr>
          <w:lang w:val="it-IT"/>
        </w:rPr>
      </w:pPr>
    </w:p>
    <w:p w:rsidR="00456002" w:rsidRPr="007B74B7" w:rsidRDefault="00456002" w:rsidP="00B147AB">
      <w:pPr>
        <w:pStyle w:val="AppendixBodyText"/>
        <w:spacing w:after="0"/>
        <w:ind w:right="720"/>
        <w:rPr>
          <w:lang w:val="it-IT"/>
        </w:rPr>
      </w:pPr>
      <w:r w:rsidRPr="007B74B7">
        <w:rPr>
          <w:rFonts w:ascii="Tahoma" w:hAnsi="Tahoma" w:cs="Tahoma"/>
          <w:sz w:val="18"/>
          <w:lang w:val="it-IT"/>
        </w:rPr>
        <w:t>Le società potranno avere la possibilità di ottenere Software Assurance per alcune licenze acquistate tramite il canale Retail (Full Packaged Product) o tramite un OEM. L</w:t>
      </w:r>
      <w:r w:rsidR="007A1415" w:rsidRPr="007B74B7">
        <w:rPr>
          <w:rFonts w:ascii="Tahoma" w:hAnsi="Tahoma" w:cs="Tahoma"/>
          <w:sz w:val="18"/>
          <w:lang w:val="it-IT"/>
        </w:rPr>
        <w:t>’</w:t>
      </w:r>
      <w:r w:rsidRPr="007B74B7">
        <w:rPr>
          <w:rFonts w:ascii="Tahoma" w:hAnsi="Tahoma" w:cs="Tahoma"/>
          <w:sz w:val="18"/>
          <w:lang w:val="it-IT"/>
        </w:rPr>
        <w:t>idoneità varia in base al programma, al pool di prodotti e all</w:t>
      </w:r>
      <w:r w:rsidR="007A1415" w:rsidRPr="007B74B7">
        <w:rPr>
          <w:rFonts w:ascii="Tahoma" w:hAnsi="Tahoma" w:cs="Tahoma"/>
          <w:sz w:val="18"/>
          <w:lang w:val="it-IT"/>
        </w:rPr>
        <w:t>’</w:t>
      </w:r>
      <w:r w:rsidRPr="007B74B7">
        <w:rPr>
          <w:rFonts w:ascii="Tahoma" w:hAnsi="Tahoma" w:cs="Tahoma"/>
          <w:sz w:val="18"/>
          <w:lang w:val="it-IT"/>
        </w:rPr>
        <w:t>origine della licenza (vedere di seguito).</w:t>
      </w:r>
      <w:r w:rsidR="008D782D" w:rsidRPr="007B74B7">
        <w:rPr>
          <w:rFonts w:ascii="Tahoma" w:hAnsi="Tahoma" w:cs="Tahoma"/>
          <w:sz w:val="18"/>
          <w:lang w:val="it-IT"/>
        </w:rPr>
        <w:t xml:space="preserve"> </w:t>
      </w:r>
      <w:r w:rsidRPr="007B74B7">
        <w:rPr>
          <w:rFonts w:ascii="Tahoma" w:hAnsi="Tahoma" w:cs="Tahoma"/>
          <w:sz w:val="18"/>
          <w:lang w:val="it-IT"/>
        </w:rPr>
        <w:t>In tutti i casi, salvo quanto diversamente indicato, solo le licenze per l</w:t>
      </w:r>
      <w:r w:rsidR="007A1415" w:rsidRPr="007B74B7">
        <w:rPr>
          <w:rFonts w:ascii="Tahoma" w:hAnsi="Tahoma" w:cs="Tahoma"/>
          <w:sz w:val="18"/>
          <w:lang w:val="it-IT"/>
        </w:rPr>
        <w:t>’</w:t>
      </w:r>
      <w:r w:rsidRPr="007B74B7">
        <w:rPr>
          <w:rFonts w:ascii="Tahoma" w:hAnsi="Tahoma" w:cs="Tahoma"/>
          <w:sz w:val="18"/>
          <w:lang w:val="it-IT"/>
        </w:rPr>
        <w:t>ultima versione di un prodotto sono idonee e la copertura Software Assurance dovrà essere acquistata entro 90 giorni dalla data in cui sono state acquistate le licenze. Ai sensi del programma Open Value, questa opzione si applica solo ai prodotti con l</w:t>
      </w:r>
      <w:r w:rsidR="007A1415" w:rsidRPr="007B74B7">
        <w:rPr>
          <w:rFonts w:ascii="Tahoma" w:hAnsi="Tahoma" w:cs="Tahoma"/>
          <w:sz w:val="18"/>
          <w:lang w:val="it-IT"/>
        </w:rPr>
        <w:t>’</w:t>
      </w:r>
      <w:r w:rsidRPr="007B74B7">
        <w:rPr>
          <w:rFonts w:ascii="Tahoma" w:hAnsi="Tahoma" w:cs="Tahoma"/>
          <w:sz w:val="18"/>
          <w:lang w:val="it-IT"/>
        </w:rPr>
        <w:t>opzione non per l</w:t>
      </w:r>
      <w:r w:rsidR="007A1415" w:rsidRPr="007B74B7">
        <w:rPr>
          <w:rFonts w:ascii="Tahoma" w:hAnsi="Tahoma" w:cs="Tahoma"/>
          <w:sz w:val="18"/>
          <w:lang w:val="it-IT"/>
        </w:rPr>
        <w:t>’</w:t>
      </w:r>
      <w:r w:rsidRPr="007B74B7">
        <w:rPr>
          <w:rFonts w:ascii="Tahoma" w:hAnsi="Tahoma" w:cs="Tahoma"/>
          <w:sz w:val="18"/>
          <w:lang w:val="it-IT"/>
        </w:rPr>
        <w:t>intera Organizzazione/non a livello Aziendale. Ai sensi dei Contratti Enterprise, si applica solo ai Prodotti Aggiuntivi entro 90 giorni. Le società che acquistano Software Assurance per OEM o licenze al dettaglio hanno la possibilità di installare e utilizzare software per Contratti Multilicenza per la versione corrente in qualsiasi momento.</w:t>
      </w:r>
      <w:r w:rsidR="008D782D" w:rsidRPr="007B74B7">
        <w:rPr>
          <w:rFonts w:ascii="Tahoma" w:hAnsi="Tahoma" w:cs="Tahoma"/>
          <w:sz w:val="18"/>
          <w:lang w:val="it-IT"/>
        </w:rPr>
        <w:t xml:space="preserve"> </w:t>
      </w:r>
      <w:r w:rsidRPr="007B74B7">
        <w:rPr>
          <w:rFonts w:ascii="Tahoma" w:hAnsi="Tahoma" w:cs="Tahoma"/>
          <w:sz w:val="18"/>
          <w:lang w:val="it-IT"/>
        </w:rPr>
        <w:t>In questo caso, l</w:t>
      </w:r>
      <w:r w:rsidR="007A1415" w:rsidRPr="007B74B7">
        <w:rPr>
          <w:rFonts w:ascii="Tahoma" w:hAnsi="Tahoma" w:cs="Tahoma"/>
          <w:sz w:val="18"/>
          <w:lang w:val="it-IT"/>
        </w:rPr>
        <w:t>’</w:t>
      </w:r>
      <w:r w:rsidRPr="007B74B7">
        <w:rPr>
          <w:rFonts w:ascii="Tahoma" w:hAnsi="Tahoma" w:cs="Tahoma"/>
          <w:sz w:val="18"/>
          <w:lang w:val="it-IT"/>
        </w:rPr>
        <w:t>utilizzo da parte della società del software è soggetto ai Diritti di Utilizzo del Prodotto per tale prodotto e</w:t>
      </w:r>
      <w:r w:rsidR="00563C0E" w:rsidRPr="007B74B7">
        <w:rPr>
          <w:rFonts w:ascii="Tahoma" w:hAnsi="Tahoma" w:cs="Tahoma"/>
          <w:sz w:val="18"/>
          <w:lang w:val="it-IT"/>
        </w:rPr>
        <w:t> </w:t>
      </w:r>
      <w:r w:rsidRPr="007B74B7">
        <w:rPr>
          <w:rFonts w:ascii="Tahoma" w:hAnsi="Tahoma" w:cs="Tahoma"/>
          <w:sz w:val="18"/>
          <w:lang w:val="it-IT"/>
        </w:rPr>
        <w:t>alle condizioni del Contratto Multilicenza (Volume Licensing) della società.</w:t>
      </w:r>
    </w:p>
    <w:p w:rsidR="00456002" w:rsidRPr="007B74B7" w:rsidRDefault="00456002" w:rsidP="00B147AB">
      <w:pPr>
        <w:pStyle w:val="AppendixIndent"/>
        <w:spacing w:before="0"/>
        <w:ind w:left="0" w:right="720"/>
        <w:rPr>
          <w:lang w:val="it-IT"/>
        </w:rPr>
      </w:pPr>
    </w:p>
    <w:p w:rsidR="00563C0E" w:rsidRPr="007B74B7" w:rsidRDefault="00563C0E" w:rsidP="00B147AB">
      <w:pPr>
        <w:pStyle w:val="AppendixIndent"/>
        <w:spacing w:before="0"/>
        <w:ind w:left="0" w:right="720"/>
        <w:rPr>
          <w:lang w:val="it-IT"/>
        </w:rPr>
      </w:pPr>
    </w:p>
    <w:p w:rsidR="00DA6E48" w:rsidRPr="007B74B7" w:rsidRDefault="00DA6E48" w:rsidP="00B147AB">
      <w:pPr>
        <w:pStyle w:val="AppendixIndent"/>
        <w:spacing w:before="0"/>
        <w:ind w:left="0" w:right="720"/>
        <w:rPr>
          <w:lang w:val="it-IT"/>
        </w:rPr>
      </w:pPr>
    </w:p>
    <w:p w:rsidR="00DA6E48" w:rsidRPr="007B74B7" w:rsidRDefault="00DA6E48" w:rsidP="00B147AB">
      <w:pPr>
        <w:pStyle w:val="AppendixIndent"/>
        <w:spacing w:before="0"/>
        <w:ind w:left="0" w:right="720"/>
        <w:rPr>
          <w:lang w:val="it-IT"/>
        </w:rPr>
      </w:pPr>
    </w:p>
    <w:p w:rsidR="00563C0E" w:rsidRPr="007B74B7" w:rsidRDefault="00563C0E" w:rsidP="00B147AB">
      <w:pPr>
        <w:pStyle w:val="AppendixIndent"/>
        <w:spacing w:before="0"/>
        <w:ind w:left="0" w:right="720"/>
        <w:rPr>
          <w:lang w:val="it-IT"/>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40"/>
        <w:gridCol w:w="1873"/>
        <w:gridCol w:w="2431"/>
        <w:gridCol w:w="2971"/>
      </w:tblGrid>
      <w:tr w:rsidR="00456002" w:rsidRPr="00BD7CEA" w:rsidTr="00563C0E">
        <w:tc>
          <w:tcPr>
            <w:tcW w:w="1440" w:type="dxa"/>
            <w:tcBorders>
              <w:top w:val="single" w:sz="4" w:space="0" w:color="auto"/>
              <w:left w:val="single" w:sz="4" w:space="0" w:color="auto"/>
              <w:bottom w:val="single" w:sz="4" w:space="0" w:color="auto"/>
              <w:right w:val="single" w:sz="4" w:space="0" w:color="auto"/>
            </w:tcBorders>
            <w:shd w:val="clear" w:color="auto" w:fill="FFCC99"/>
            <w:vAlign w:val="center"/>
          </w:tcPr>
          <w:p w:rsidR="00456002" w:rsidRPr="007B74B7" w:rsidRDefault="00456002" w:rsidP="005C647E">
            <w:pPr>
              <w:pStyle w:val="AppendixTableHeadings"/>
              <w:rPr>
                <w:rFonts w:ascii="Tahoma" w:hAnsi="Tahoma" w:cs="Tahoma"/>
                <w:sz w:val="20"/>
                <w:szCs w:val="20"/>
                <w:lang w:val="it-IT"/>
              </w:rPr>
            </w:pPr>
          </w:p>
        </w:tc>
        <w:tc>
          <w:tcPr>
            <w:tcW w:w="1873"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BD7CEA" w:rsidRDefault="00456002" w:rsidP="005C647E">
            <w:pPr>
              <w:pStyle w:val="AppendixTableHeadings"/>
              <w:rPr>
                <w:rFonts w:ascii="Tahoma" w:hAnsi="Tahoma" w:cs="Tahoma"/>
                <w:sz w:val="20"/>
              </w:rPr>
            </w:pPr>
            <w:r w:rsidRPr="00BD7CEA">
              <w:rPr>
                <w:rFonts w:ascii="Tahoma" w:hAnsi="Tahoma" w:cs="Tahoma"/>
                <w:sz w:val="20"/>
              </w:rPr>
              <w:t>Full Packaged Product</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BD7CEA" w:rsidRDefault="00456002" w:rsidP="005C647E">
            <w:pPr>
              <w:pStyle w:val="AppendixTableHeadings"/>
              <w:rPr>
                <w:rFonts w:ascii="Tahoma" w:hAnsi="Tahoma" w:cs="Tahoma"/>
                <w:sz w:val="20"/>
              </w:rPr>
            </w:pPr>
            <w:r w:rsidRPr="00BD7CEA">
              <w:rPr>
                <w:rFonts w:ascii="Tahoma" w:hAnsi="Tahoma" w:cs="Tahoma"/>
                <w:sz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hideMark/>
          </w:tcPr>
          <w:p w:rsidR="00456002" w:rsidRPr="00BD7CEA" w:rsidRDefault="00456002" w:rsidP="005C647E">
            <w:pPr>
              <w:pStyle w:val="AppendixTableHeadings"/>
              <w:rPr>
                <w:rFonts w:ascii="Tahoma" w:hAnsi="Tahoma" w:cs="Tahoma"/>
                <w:sz w:val="20"/>
              </w:rPr>
            </w:pPr>
            <w:r w:rsidRPr="00BD7CEA">
              <w:rPr>
                <w:rFonts w:ascii="Tahoma" w:hAnsi="Tahoma" w:cs="Tahoma"/>
                <w:sz w:val="20"/>
              </w:rPr>
              <w:t>Programmi</w:t>
            </w:r>
          </w:p>
        </w:tc>
      </w:tr>
      <w:tr w:rsidR="00456002" w:rsidRPr="007B74B7" w:rsidTr="00563C0E">
        <w:tc>
          <w:tcPr>
            <w:tcW w:w="1440" w:type="dxa"/>
            <w:tcBorders>
              <w:top w:val="single" w:sz="4" w:space="0" w:color="auto"/>
              <w:left w:val="single" w:sz="4" w:space="0" w:color="auto"/>
              <w:bottom w:val="single" w:sz="4" w:space="0" w:color="auto"/>
              <w:right w:val="single" w:sz="4" w:space="0" w:color="auto"/>
            </w:tcBorders>
            <w:vAlign w:val="center"/>
            <w:hideMark/>
          </w:tcPr>
          <w:p w:rsidR="00456002" w:rsidRPr="00BD7CEA" w:rsidRDefault="00456002" w:rsidP="005C647E">
            <w:pPr>
              <w:pStyle w:val="AppendixTableText"/>
              <w:rPr>
                <w:rFonts w:ascii="Tahoma" w:hAnsi="Tahoma" w:cs="Tahoma"/>
                <w:b/>
                <w:color w:val="000000"/>
                <w:sz w:val="20"/>
                <w:szCs w:val="20"/>
              </w:rPr>
            </w:pPr>
            <w:r w:rsidRPr="00BD7CEA">
              <w:rPr>
                <w:rFonts w:ascii="Tahoma" w:hAnsi="Tahoma" w:cs="Tahoma"/>
                <w:b/>
                <w:color w:val="000000"/>
                <w:sz w:val="20"/>
                <w:szCs w:val="20"/>
              </w:rPr>
              <w:t xml:space="preserve">Pool di Applicazioni </w:t>
            </w:r>
          </w:p>
        </w:tc>
        <w:tc>
          <w:tcPr>
            <w:tcW w:w="1873" w:type="dxa"/>
            <w:tcBorders>
              <w:top w:val="single" w:sz="4" w:space="0" w:color="auto"/>
              <w:left w:val="single" w:sz="4" w:space="0" w:color="auto"/>
              <w:bottom w:val="single" w:sz="4" w:space="0" w:color="auto"/>
              <w:right w:val="single" w:sz="4" w:space="0" w:color="auto"/>
            </w:tcBorders>
            <w:vAlign w:val="center"/>
            <w:hideMark/>
          </w:tcPr>
          <w:p w:rsidR="00456002" w:rsidRPr="00BD7CEA" w:rsidRDefault="00456002" w:rsidP="005C647E">
            <w:pPr>
              <w:pStyle w:val="AppendixTableText"/>
              <w:rPr>
                <w:rFonts w:ascii="Tahoma" w:hAnsi="Tahoma" w:cs="Tahoma"/>
                <w:color w:val="000000"/>
              </w:rPr>
            </w:pPr>
            <w:r w:rsidRPr="00BD7CEA">
              <w:rPr>
                <w:rFonts w:ascii="Tahoma" w:hAnsi="Tahoma" w:cs="Tahoma"/>
                <w:color w:val="000000"/>
              </w:rPr>
              <w:t xml:space="preserve">N/D </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7B74B7" w:rsidRDefault="00456002" w:rsidP="005C647E">
            <w:pPr>
              <w:pStyle w:val="AppendixTableText"/>
              <w:rPr>
                <w:rFonts w:ascii="Tahoma" w:hAnsi="Tahoma" w:cs="Tahoma"/>
                <w:color w:val="000000"/>
                <w:lang w:val="it-IT"/>
              </w:rPr>
            </w:pPr>
            <w:r w:rsidRPr="007B74B7">
              <w:rPr>
                <w:rFonts w:ascii="Tahoma" w:hAnsi="Tahoma" w:cs="Tahoma"/>
                <w:color w:val="000000"/>
                <w:lang w:val="it-IT"/>
              </w:rPr>
              <w:t>SA disponibile solo nella modalità delineata sotto</w:t>
            </w:r>
          </w:p>
        </w:tc>
        <w:tc>
          <w:tcPr>
            <w:tcW w:w="2971" w:type="dxa"/>
            <w:vMerge w:val="restart"/>
            <w:tcBorders>
              <w:top w:val="single" w:sz="4" w:space="0" w:color="auto"/>
              <w:left w:val="single" w:sz="4" w:space="0" w:color="auto"/>
              <w:bottom w:val="single" w:sz="4" w:space="0" w:color="auto"/>
              <w:right w:val="single" w:sz="4" w:space="0" w:color="auto"/>
            </w:tcBorders>
            <w:hideMark/>
          </w:tcPr>
          <w:p w:rsidR="00456002" w:rsidRPr="007B74B7" w:rsidRDefault="00456002" w:rsidP="00563C0E">
            <w:pPr>
              <w:pStyle w:val="AppendixTableText"/>
              <w:jc w:val="left"/>
              <w:rPr>
                <w:rFonts w:ascii="Tahoma" w:hAnsi="Tahoma" w:cs="Tahoma"/>
                <w:color w:val="000000"/>
                <w:lang w:val="it-IT"/>
              </w:rPr>
            </w:pPr>
            <w:r w:rsidRPr="007B74B7">
              <w:rPr>
                <w:rFonts w:ascii="Tahoma" w:hAnsi="Tahoma" w:cs="Tahoma"/>
                <w:color w:val="000000"/>
                <w:lang w:val="it-IT"/>
              </w:rPr>
              <w:t>Si applica a Open License, Select, Select Plus, all</w:t>
            </w:r>
            <w:r w:rsidR="007A1415" w:rsidRPr="007B74B7">
              <w:rPr>
                <w:rFonts w:ascii="Tahoma" w:hAnsi="Tahoma" w:cs="Tahoma"/>
                <w:color w:val="000000"/>
                <w:lang w:val="it-IT"/>
              </w:rPr>
              <w:t>’</w:t>
            </w:r>
            <w:r w:rsidRPr="007B74B7">
              <w:rPr>
                <w:rFonts w:ascii="Tahoma" w:hAnsi="Tahoma" w:cs="Tahoma"/>
                <w:color w:val="000000"/>
                <w:lang w:val="it-IT"/>
              </w:rPr>
              <w:t xml:space="preserve">opzione </w:t>
            </w:r>
            <w:r w:rsidRPr="007B74B7">
              <w:rPr>
                <w:rFonts w:ascii="Tahoma" w:hAnsi="Tahoma" w:cs="Tahoma"/>
                <w:lang w:val="it-IT"/>
              </w:rPr>
              <w:t>non per</w:t>
            </w:r>
            <w:r w:rsidR="00563C0E" w:rsidRPr="007B74B7">
              <w:rPr>
                <w:rFonts w:ascii="Tahoma" w:hAnsi="Tahoma" w:cs="Tahoma"/>
                <w:lang w:val="it-IT"/>
              </w:rPr>
              <w:t> </w:t>
            </w:r>
            <w:r w:rsidRPr="007B74B7">
              <w:rPr>
                <w:rFonts w:ascii="Tahoma" w:hAnsi="Tahoma" w:cs="Tahoma"/>
                <w:lang w:val="it-IT"/>
              </w:rPr>
              <w:t>l</w:t>
            </w:r>
            <w:r w:rsidR="007A1415" w:rsidRPr="007B74B7">
              <w:rPr>
                <w:rFonts w:ascii="Tahoma" w:hAnsi="Tahoma" w:cs="Tahoma"/>
                <w:lang w:val="it-IT"/>
              </w:rPr>
              <w:t>’</w:t>
            </w:r>
            <w:r w:rsidRPr="007B74B7">
              <w:rPr>
                <w:rFonts w:ascii="Tahoma" w:hAnsi="Tahoma" w:cs="Tahoma"/>
                <w:lang w:val="it-IT"/>
              </w:rPr>
              <w:t>intera organizzazione/non a</w:t>
            </w:r>
            <w:r w:rsidR="00563C0E" w:rsidRPr="007B74B7">
              <w:rPr>
                <w:rFonts w:ascii="Tahoma" w:hAnsi="Tahoma" w:cs="Tahoma"/>
                <w:lang w:val="it-IT"/>
              </w:rPr>
              <w:t> </w:t>
            </w:r>
            <w:r w:rsidRPr="007B74B7">
              <w:rPr>
                <w:rFonts w:ascii="Tahoma" w:hAnsi="Tahoma" w:cs="Tahoma"/>
                <w:lang w:val="it-IT"/>
              </w:rPr>
              <w:t>livello aziendale</w:t>
            </w:r>
            <w:r w:rsidRPr="007B74B7">
              <w:rPr>
                <w:rFonts w:ascii="Tahoma" w:hAnsi="Tahoma" w:cs="Tahoma"/>
                <w:color w:val="000000"/>
                <w:lang w:val="it-IT"/>
              </w:rPr>
              <w:t xml:space="preserve"> del programma Open Value e ai Prodotti Aggiuntivi dei Contratti Enterprise. Non si applica ai Prodotti Enterprise del programma Open Value e dei Contratti Enterprise</w:t>
            </w:r>
          </w:p>
        </w:tc>
      </w:tr>
      <w:tr w:rsidR="00456002" w:rsidRPr="00BD7CEA" w:rsidTr="00563C0E">
        <w:tc>
          <w:tcPr>
            <w:tcW w:w="1440" w:type="dxa"/>
            <w:tcBorders>
              <w:top w:val="single" w:sz="4" w:space="0" w:color="auto"/>
              <w:left w:val="single" w:sz="4" w:space="0" w:color="auto"/>
              <w:bottom w:val="single" w:sz="4" w:space="0" w:color="auto"/>
              <w:right w:val="single" w:sz="4" w:space="0" w:color="auto"/>
            </w:tcBorders>
            <w:vAlign w:val="center"/>
            <w:hideMark/>
          </w:tcPr>
          <w:p w:rsidR="00456002" w:rsidRPr="00BD7CEA" w:rsidRDefault="00456002" w:rsidP="005C647E">
            <w:pPr>
              <w:pStyle w:val="AppendixTableText"/>
              <w:rPr>
                <w:rFonts w:ascii="Tahoma" w:hAnsi="Tahoma" w:cs="Tahoma"/>
                <w:b/>
                <w:color w:val="000000"/>
                <w:sz w:val="20"/>
                <w:szCs w:val="20"/>
              </w:rPr>
            </w:pPr>
            <w:r w:rsidRPr="00BD7CEA">
              <w:rPr>
                <w:rFonts w:ascii="Tahoma" w:hAnsi="Tahoma" w:cs="Tahoma"/>
                <w:b/>
                <w:color w:val="000000"/>
                <w:sz w:val="20"/>
                <w:szCs w:val="20"/>
              </w:rPr>
              <w:t xml:space="preserve">Pool di sistemi </w:t>
            </w:r>
          </w:p>
        </w:tc>
        <w:tc>
          <w:tcPr>
            <w:tcW w:w="1873" w:type="dxa"/>
            <w:tcBorders>
              <w:top w:val="single" w:sz="4" w:space="0" w:color="auto"/>
              <w:left w:val="single" w:sz="4" w:space="0" w:color="auto"/>
              <w:bottom w:val="single" w:sz="4" w:space="0" w:color="auto"/>
              <w:right w:val="single" w:sz="4" w:space="0" w:color="auto"/>
            </w:tcBorders>
            <w:vAlign w:val="center"/>
            <w:hideMark/>
          </w:tcPr>
          <w:p w:rsidR="00456002" w:rsidRPr="00BD7CEA" w:rsidRDefault="00456002" w:rsidP="005C647E">
            <w:pPr>
              <w:pStyle w:val="AppendixTableText"/>
              <w:rPr>
                <w:rFonts w:ascii="Tahoma" w:hAnsi="Tahoma" w:cs="Tahoma"/>
                <w:color w:val="000000"/>
              </w:rPr>
            </w:pPr>
            <w:r w:rsidRPr="00BD7CEA">
              <w:rPr>
                <w:rFonts w:ascii="Tahoma" w:hAnsi="Tahoma" w:cs="Tahoma"/>
                <w:color w:val="000000"/>
              </w:rPr>
              <w:t xml:space="preserve">SA disponibile </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BD7CEA" w:rsidRDefault="00456002" w:rsidP="005C647E">
            <w:pPr>
              <w:pStyle w:val="AppendixTableText"/>
              <w:rPr>
                <w:rFonts w:ascii="Tahoma" w:hAnsi="Tahoma" w:cs="Tahoma"/>
                <w:color w:val="000000"/>
              </w:rPr>
            </w:pPr>
            <w:r w:rsidRPr="00BD7CEA">
              <w:rPr>
                <w:rFonts w:ascii="Tahoma" w:hAnsi="Tahoma" w:cs="Tahoma"/>
                <w:color w:val="000000"/>
              </w:rPr>
              <w:t xml:space="preserve">SA disponibile </w:t>
            </w:r>
          </w:p>
        </w:tc>
        <w:tc>
          <w:tcPr>
            <w:tcW w:w="2971" w:type="dxa"/>
            <w:vMerge/>
            <w:tcBorders>
              <w:top w:val="single" w:sz="4" w:space="0" w:color="auto"/>
              <w:left w:val="single" w:sz="4" w:space="0" w:color="auto"/>
              <w:bottom w:val="single" w:sz="4" w:space="0" w:color="auto"/>
              <w:right w:val="single" w:sz="4" w:space="0" w:color="auto"/>
            </w:tcBorders>
            <w:vAlign w:val="center"/>
            <w:hideMark/>
          </w:tcPr>
          <w:p w:rsidR="00456002" w:rsidRPr="00BD7CEA" w:rsidRDefault="00456002" w:rsidP="005C647E">
            <w:pPr>
              <w:rPr>
                <w:rFonts w:cs="Tahoma"/>
                <w:color w:val="000000"/>
                <w:szCs w:val="18"/>
              </w:rPr>
            </w:pPr>
          </w:p>
        </w:tc>
      </w:tr>
      <w:tr w:rsidR="00456002" w:rsidRPr="00BD7CEA" w:rsidTr="00563C0E">
        <w:tc>
          <w:tcPr>
            <w:tcW w:w="1440" w:type="dxa"/>
            <w:tcBorders>
              <w:top w:val="single" w:sz="4" w:space="0" w:color="auto"/>
              <w:left w:val="single" w:sz="4" w:space="0" w:color="auto"/>
              <w:bottom w:val="single" w:sz="4" w:space="0" w:color="auto"/>
              <w:right w:val="single" w:sz="4" w:space="0" w:color="auto"/>
            </w:tcBorders>
            <w:vAlign w:val="center"/>
            <w:hideMark/>
          </w:tcPr>
          <w:p w:rsidR="00456002" w:rsidRPr="00BD7CEA" w:rsidRDefault="00456002" w:rsidP="005C647E">
            <w:pPr>
              <w:pStyle w:val="AppendixTableText"/>
              <w:rPr>
                <w:rFonts w:ascii="Tahoma" w:hAnsi="Tahoma" w:cs="Tahoma"/>
                <w:b/>
                <w:color w:val="000000"/>
                <w:sz w:val="20"/>
                <w:szCs w:val="20"/>
              </w:rPr>
            </w:pPr>
            <w:r w:rsidRPr="00BD7CEA">
              <w:rPr>
                <w:rFonts w:ascii="Tahoma" w:hAnsi="Tahoma" w:cs="Tahoma"/>
                <w:b/>
                <w:color w:val="000000"/>
                <w:sz w:val="20"/>
                <w:szCs w:val="20"/>
              </w:rPr>
              <w:t>Pool di Server</w:t>
            </w:r>
          </w:p>
        </w:tc>
        <w:tc>
          <w:tcPr>
            <w:tcW w:w="1873" w:type="dxa"/>
            <w:tcBorders>
              <w:top w:val="single" w:sz="4" w:space="0" w:color="auto"/>
              <w:left w:val="single" w:sz="4" w:space="0" w:color="auto"/>
              <w:bottom w:val="single" w:sz="4" w:space="0" w:color="auto"/>
              <w:right w:val="single" w:sz="4" w:space="0" w:color="auto"/>
            </w:tcBorders>
            <w:vAlign w:val="center"/>
            <w:hideMark/>
          </w:tcPr>
          <w:p w:rsidR="00456002" w:rsidRPr="00BD7CEA" w:rsidRDefault="00456002" w:rsidP="005C647E">
            <w:pPr>
              <w:pStyle w:val="AppendixTableText"/>
              <w:rPr>
                <w:rFonts w:ascii="Tahoma" w:hAnsi="Tahoma" w:cs="Tahoma"/>
                <w:color w:val="000000"/>
              </w:rPr>
            </w:pPr>
            <w:r w:rsidRPr="00BD7CEA">
              <w:rPr>
                <w:rFonts w:ascii="Tahoma" w:hAnsi="Tahoma" w:cs="Tahoma"/>
                <w:color w:val="000000"/>
              </w:rPr>
              <w:t xml:space="preserve">SA disponibile </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BD7CEA" w:rsidRDefault="00456002" w:rsidP="005C647E">
            <w:pPr>
              <w:pStyle w:val="AppendixTableText"/>
              <w:rPr>
                <w:rFonts w:ascii="Tahoma" w:hAnsi="Tahoma" w:cs="Tahoma"/>
                <w:color w:val="000000"/>
              </w:rPr>
            </w:pPr>
            <w:r w:rsidRPr="00BD7CEA">
              <w:rPr>
                <w:rFonts w:ascii="Tahoma" w:hAnsi="Tahoma" w:cs="Tahoma"/>
                <w:color w:val="000000"/>
              </w:rPr>
              <w:t>SA disponibile</w:t>
            </w:r>
          </w:p>
        </w:tc>
        <w:tc>
          <w:tcPr>
            <w:tcW w:w="2971" w:type="dxa"/>
            <w:vMerge/>
            <w:tcBorders>
              <w:top w:val="single" w:sz="4" w:space="0" w:color="auto"/>
              <w:left w:val="single" w:sz="4" w:space="0" w:color="auto"/>
              <w:bottom w:val="single" w:sz="4" w:space="0" w:color="auto"/>
              <w:right w:val="single" w:sz="4" w:space="0" w:color="auto"/>
            </w:tcBorders>
            <w:vAlign w:val="center"/>
            <w:hideMark/>
          </w:tcPr>
          <w:p w:rsidR="00456002" w:rsidRPr="00BD7CEA" w:rsidRDefault="00456002" w:rsidP="005C647E">
            <w:pPr>
              <w:rPr>
                <w:rFonts w:cs="Tahoma"/>
                <w:color w:val="000000"/>
                <w:szCs w:val="18"/>
              </w:rPr>
            </w:pPr>
          </w:p>
        </w:tc>
      </w:tr>
    </w:tbl>
    <w:p w:rsidR="00456002" w:rsidRPr="00BD7CEA" w:rsidRDefault="00456002" w:rsidP="00456002">
      <w:pPr>
        <w:ind w:right="720"/>
      </w:pPr>
    </w:p>
    <w:p w:rsidR="00456002" w:rsidRPr="007B74B7" w:rsidRDefault="00456002" w:rsidP="00B147AB">
      <w:pPr>
        <w:pStyle w:val="AppendixBodyText"/>
        <w:spacing w:after="0"/>
        <w:ind w:right="720"/>
        <w:rPr>
          <w:lang w:val="it-IT"/>
        </w:rPr>
      </w:pPr>
      <w:r w:rsidRPr="007B74B7">
        <w:rPr>
          <w:rFonts w:ascii="Tahoma" w:hAnsi="Tahoma" w:cs="Tahoma"/>
          <w:sz w:val="18"/>
          <w:szCs w:val="18"/>
          <w:lang w:val="it-IT"/>
        </w:rPr>
        <w:t>Le società che acquistano Microsoft Office Professional 2010 da un OEM potranno acquistare Software Assurance per Microsoft Office Standard 2010 nell</w:t>
      </w:r>
      <w:r w:rsidR="007A1415" w:rsidRPr="007B74B7">
        <w:rPr>
          <w:rFonts w:ascii="Tahoma" w:hAnsi="Tahoma" w:cs="Tahoma"/>
          <w:sz w:val="18"/>
          <w:szCs w:val="18"/>
          <w:lang w:val="it-IT"/>
        </w:rPr>
        <w:t>’</w:t>
      </w:r>
      <w:r w:rsidRPr="007B74B7">
        <w:rPr>
          <w:rFonts w:ascii="Tahoma" w:hAnsi="Tahoma" w:cs="Tahoma"/>
          <w:sz w:val="18"/>
          <w:szCs w:val="18"/>
          <w:lang w:val="it-IT"/>
        </w:rPr>
        <w:t>ambito dei programmi Open License, Select e Select Plus e l</w:t>
      </w:r>
      <w:r w:rsidR="007A1415" w:rsidRPr="007B74B7">
        <w:rPr>
          <w:rFonts w:ascii="Tahoma" w:hAnsi="Tahoma" w:cs="Tahoma"/>
          <w:sz w:val="18"/>
          <w:szCs w:val="18"/>
          <w:lang w:val="it-IT"/>
        </w:rPr>
        <w:t>’</w:t>
      </w:r>
      <w:r w:rsidRPr="007B74B7">
        <w:rPr>
          <w:rFonts w:ascii="Tahoma" w:hAnsi="Tahoma" w:cs="Tahoma"/>
          <w:sz w:val="18"/>
          <w:szCs w:val="18"/>
          <w:lang w:val="it-IT"/>
        </w:rPr>
        <w:t>opzione non a livello aziendale ai sensi del programma Open Value entro 90 giorni dalla data di acquisto presso l</w:t>
      </w:r>
      <w:r w:rsidR="007A1415" w:rsidRPr="007B74B7">
        <w:rPr>
          <w:rFonts w:ascii="Tahoma" w:hAnsi="Tahoma" w:cs="Tahoma"/>
          <w:sz w:val="18"/>
          <w:szCs w:val="18"/>
          <w:lang w:val="it-IT"/>
        </w:rPr>
        <w:t>’</w:t>
      </w:r>
      <w:r w:rsidRPr="007B74B7">
        <w:rPr>
          <w:rFonts w:ascii="Tahoma" w:hAnsi="Tahoma" w:cs="Tahoma"/>
          <w:sz w:val="18"/>
          <w:szCs w:val="18"/>
          <w:lang w:val="it-IT"/>
        </w:rPr>
        <w:t>OEM. Le Product Key Card (PKC) Office sono considerate un</w:t>
      </w:r>
      <w:r w:rsidR="007A1415" w:rsidRPr="007B74B7">
        <w:rPr>
          <w:rFonts w:ascii="Tahoma" w:hAnsi="Tahoma" w:cs="Tahoma"/>
          <w:sz w:val="18"/>
          <w:szCs w:val="18"/>
          <w:lang w:val="it-IT"/>
        </w:rPr>
        <w:t>’</w:t>
      </w:r>
      <w:r w:rsidRPr="007B74B7">
        <w:rPr>
          <w:rFonts w:ascii="Tahoma" w:hAnsi="Tahoma" w:cs="Tahoma"/>
          <w:sz w:val="18"/>
          <w:szCs w:val="18"/>
          <w:lang w:val="it-IT"/>
        </w:rPr>
        <w:t>offerta Full Packaged Product (Dettaglio) e pertanto non sono idonee a beneficiare dell</w:t>
      </w:r>
      <w:r w:rsidR="007A1415" w:rsidRPr="007B74B7">
        <w:rPr>
          <w:rFonts w:ascii="Tahoma" w:hAnsi="Tahoma" w:cs="Tahoma"/>
          <w:sz w:val="18"/>
          <w:szCs w:val="18"/>
          <w:lang w:val="it-IT"/>
        </w:rPr>
        <w:t>’</w:t>
      </w:r>
      <w:r w:rsidRPr="007B74B7">
        <w:rPr>
          <w:rFonts w:ascii="Tahoma" w:hAnsi="Tahoma" w:cs="Tahoma"/>
          <w:sz w:val="18"/>
          <w:szCs w:val="18"/>
          <w:lang w:val="it-IT"/>
        </w:rPr>
        <w:t>opzione di acquisto di Software Assurance.</w:t>
      </w:r>
    </w:p>
    <w:p w:rsidR="00255158" w:rsidRPr="007B74B7" w:rsidRDefault="00255158" w:rsidP="00B147AB">
      <w:pPr>
        <w:pStyle w:val="AppendixBodyText"/>
        <w:spacing w:after="0"/>
        <w:ind w:right="720"/>
        <w:rPr>
          <w:lang w:val="it-IT"/>
        </w:rPr>
      </w:pPr>
    </w:p>
    <w:p w:rsidR="00456002" w:rsidRPr="007B74B7" w:rsidRDefault="00456002" w:rsidP="00456002">
      <w:pPr>
        <w:pStyle w:val="Heading2"/>
        <w:ind w:left="0" w:right="720"/>
        <w:rPr>
          <w:lang w:val="it-IT"/>
        </w:rPr>
      </w:pPr>
      <w:bookmarkStart w:id="702" w:name="_Toc323819651"/>
      <w:bookmarkStart w:id="703" w:name="_Toc336338202"/>
      <w:bookmarkStart w:id="704" w:name="_Toc353375982"/>
      <w:r w:rsidRPr="007B74B7">
        <w:rPr>
          <w:rFonts w:ascii="Tahoma" w:hAnsi="Tahoma" w:cs="Tahoma"/>
          <w:lang w:val="it-IT"/>
        </w:rPr>
        <w:t>Licenze Step-Up</w:t>
      </w:r>
      <w:bookmarkEnd w:id="702"/>
      <w:bookmarkEnd w:id="703"/>
      <w:bookmarkEnd w:id="704"/>
    </w:p>
    <w:p w:rsidR="00456002" w:rsidRPr="007B74B7" w:rsidRDefault="00456002" w:rsidP="00B147AB">
      <w:pPr>
        <w:ind w:right="720"/>
        <w:rPr>
          <w:lang w:val="it-IT"/>
        </w:rPr>
      </w:pPr>
    </w:p>
    <w:p w:rsidR="00456002" w:rsidRPr="007B74B7" w:rsidRDefault="00456002" w:rsidP="00B147AB">
      <w:pPr>
        <w:pStyle w:val="AppendixIndent"/>
        <w:ind w:left="0" w:right="720"/>
        <w:rPr>
          <w:lang w:val="it-IT"/>
        </w:rPr>
      </w:pPr>
      <w:r w:rsidRPr="007B74B7">
        <w:rPr>
          <w:rFonts w:ascii="Tahoma" w:hAnsi="Tahoma" w:cs="Tahoma"/>
          <w:sz w:val="18"/>
          <w:lang w:val="it-IT"/>
        </w:rPr>
        <w:t>Le società potranno migrare dall</w:t>
      </w:r>
      <w:r w:rsidR="007A1415" w:rsidRPr="007B74B7">
        <w:rPr>
          <w:rFonts w:ascii="Tahoma" w:hAnsi="Tahoma" w:cs="Tahoma"/>
          <w:sz w:val="18"/>
          <w:lang w:val="it-IT"/>
        </w:rPr>
        <w:t>’</w:t>
      </w:r>
      <w:r w:rsidRPr="007B74B7">
        <w:rPr>
          <w:rFonts w:ascii="Tahoma" w:hAnsi="Tahoma" w:cs="Tahoma"/>
          <w:sz w:val="18"/>
          <w:lang w:val="it-IT"/>
        </w:rPr>
        <w:t>edizione standard a un</w:t>
      </w:r>
      <w:r w:rsidR="007A1415" w:rsidRPr="007B74B7">
        <w:rPr>
          <w:rFonts w:ascii="Tahoma" w:hAnsi="Tahoma" w:cs="Tahoma"/>
          <w:sz w:val="18"/>
          <w:lang w:val="it-IT"/>
        </w:rPr>
        <w:t>’</w:t>
      </w:r>
      <w:r w:rsidRPr="007B74B7">
        <w:rPr>
          <w:rFonts w:ascii="Tahoma" w:hAnsi="Tahoma" w:cs="Tahoma"/>
          <w:sz w:val="18"/>
          <w:lang w:val="it-IT"/>
        </w:rPr>
        <w:t xml:space="preserve">edizione premium di determinati prodotti con una Licenza Step-Up. Le società dovranno disporre di una licenza </w:t>
      </w:r>
      <w:r w:rsidRPr="007B74B7">
        <w:rPr>
          <w:rFonts w:ascii="Tahoma" w:hAnsi="Tahoma" w:cs="Tahoma"/>
          <w:sz w:val="18"/>
          <w:szCs w:val="18"/>
          <w:lang w:val="it-IT"/>
        </w:rPr>
        <w:t xml:space="preserve">con copertura Software </w:t>
      </w:r>
      <w:r w:rsidRPr="007B74B7">
        <w:rPr>
          <w:rFonts w:ascii="Tahoma" w:hAnsi="Tahoma" w:cs="Tahoma"/>
          <w:color w:val="000000"/>
          <w:sz w:val="18"/>
          <w:szCs w:val="18"/>
          <w:lang w:val="it-IT"/>
        </w:rPr>
        <w:t>Assurance attiva per il prodotto qualificante, al fine di acquistare una Licenza Step-Up. La Licenza Step-Up dovrà essere acquistata, e sarà valida unicamente dopo l</w:t>
      </w:r>
      <w:r w:rsidR="007A1415" w:rsidRPr="007B74B7">
        <w:rPr>
          <w:rFonts w:ascii="Tahoma" w:hAnsi="Tahoma" w:cs="Tahoma"/>
          <w:color w:val="000000"/>
          <w:sz w:val="18"/>
          <w:szCs w:val="18"/>
          <w:lang w:val="it-IT"/>
        </w:rPr>
        <w:t>’</w:t>
      </w:r>
      <w:r w:rsidRPr="007B74B7">
        <w:rPr>
          <w:rFonts w:ascii="Tahoma" w:hAnsi="Tahoma" w:cs="Tahoma"/>
          <w:color w:val="000000"/>
          <w:sz w:val="18"/>
          <w:szCs w:val="18"/>
          <w:lang w:val="it-IT"/>
        </w:rPr>
        <w:t>acquisto, nell</w:t>
      </w:r>
      <w:r w:rsidR="007A1415" w:rsidRPr="007B74B7">
        <w:rPr>
          <w:rFonts w:ascii="Tahoma" w:hAnsi="Tahoma" w:cs="Tahoma"/>
          <w:color w:val="000000"/>
          <w:sz w:val="18"/>
          <w:szCs w:val="18"/>
          <w:lang w:val="it-IT"/>
        </w:rPr>
        <w:t>’</w:t>
      </w:r>
      <w:r w:rsidRPr="007B74B7">
        <w:rPr>
          <w:rFonts w:ascii="Tahoma" w:hAnsi="Tahoma" w:cs="Tahoma"/>
          <w:color w:val="000000"/>
          <w:sz w:val="18"/>
          <w:szCs w:val="18"/>
          <w:lang w:val="it-IT"/>
        </w:rPr>
        <w:t>ambito del medesimo contratto del Programma di Contratti Multilicenza e della medesima iscrizione, se disponibili, ai sensi dei quali è stata originariamente acquistata la</w:t>
      </w:r>
      <w:r w:rsidR="00563C0E" w:rsidRPr="007B74B7">
        <w:rPr>
          <w:rFonts w:ascii="Tahoma" w:hAnsi="Tahoma" w:cs="Tahoma"/>
          <w:color w:val="000000"/>
          <w:sz w:val="18"/>
          <w:szCs w:val="18"/>
          <w:lang w:val="it-IT"/>
        </w:rPr>
        <w:t> </w:t>
      </w:r>
      <w:r w:rsidRPr="007B74B7">
        <w:rPr>
          <w:rFonts w:ascii="Tahoma" w:hAnsi="Tahoma" w:cs="Tahoma"/>
          <w:color w:val="000000"/>
          <w:sz w:val="18"/>
          <w:szCs w:val="18"/>
          <w:lang w:val="it-IT"/>
        </w:rPr>
        <w:t>copertura per la protezione dell</w:t>
      </w:r>
      <w:r w:rsidR="007A1415" w:rsidRPr="007B74B7">
        <w:rPr>
          <w:rFonts w:ascii="Tahoma" w:hAnsi="Tahoma" w:cs="Tahoma"/>
          <w:color w:val="000000"/>
          <w:sz w:val="18"/>
          <w:szCs w:val="18"/>
          <w:lang w:val="it-IT"/>
        </w:rPr>
        <w:t>’</w:t>
      </w:r>
      <w:r w:rsidRPr="007B74B7">
        <w:rPr>
          <w:rFonts w:ascii="Tahoma" w:hAnsi="Tahoma" w:cs="Tahoma"/>
          <w:color w:val="000000"/>
          <w:sz w:val="18"/>
          <w:szCs w:val="18"/>
          <w:lang w:val="it-IT"/>
        </w:rPr>
        <w:t xml:space="preserve">aggiornamento del prodotto qualificante. </w:t>
      </w:r>
      <w:r w:rsidRPr="007B74B7">
        <w:rPr>
          <w:rFonts w:ascii="Tahoma" w:hAnsi="Tahoma" w:cs="Tahoma"/>
          <w:color w:val="000000"/>
          <w:sz w:val="18"/>
          <w:lang w:val="it-IT"/>
        </w:rPr>
        <w:t>Il diritto di utilizzo del software da parte della società ai sensi della Licenza Step-Up è subordinato al possesso e al mantenimento di una Licenza per il</w:t>
      </w:r>
      <w:r w:rsidRPr="007B74B7">
        <w:rPr>
          <w:rFonts w:ascii="Tahoma" w:hAnsi="Tahoma" w:cs="Tahoma"/>
          <w:sz w:val="18"/>
          <w:lang w:val="it-IT"/>
        </w:rPr>
        <w:t xml:space="preserve"> prodotto qualificante. Le società non possono trasferire la Licenza per il prodotto qualificante separatamente dalla </w:t>
      </w:r>
      <w:r w:rsidRPr="007B74B7">
        <w:rPr>
          <w:rFonts w:ascii="Tahoma" w:hAnsi="Tahoma" w:cs="Tahoma"/>
          <w:sz w:val="18"/>
          <w:szCs w:val="18"/>
          <w:lang w:val="it-IT"/>
        </w:rPr>
        <w:t>Licenza Step-Up.</w:t>
      </w:r>
      <w:r w:rsidR="008D782D" w:rsidRPr="007B74B7">
        <w:rPr>
          <w:rFonts w:ascii="Tahoma" w:hAnsi="Tahoma" w:cs="Tahoma"/>
          <w:sz w:val="18"/>
          <w:szCs w:val="18"/>
          <w:lang w:val="it-IT"/>
        </w:rPr>
        <w:t xml:space="preserve"> </w:t>
      </w:r>
      <w:r w:rsidRPr="007B74B7">
        <w:rPr>
          <w:rFonts w:ascii="Tahoma" w:hAnsi="Tahoma" w:cs="Tahoma"/>
          <w:sz w:val="18"/>
          <w:szCs w:val="18"/>
          <w:lang w:val="it-IT"/>
        </w:rPr>
        <w:t>Per ulteriori informazioni e per conoscere la disponibilità delle licenze, consultare il Documento relativo alla Licenza Step-up per Enterprise Edition nel quadro del Programma Volume License all</w:t>
      </w:r>
      <w:r w:rsidR="007A1415" w:rsidRPr="007B74B7">
        <w:rPr>
          <w:rFonts w:ascii="Tahoma" w:hAnsi="Tahoma" w:cs="Tahoma"/>
          <w:sz w:val="18"/>
          <w:szCs w:val="18"/>
          <w:lang w:val="it-IT"/>
        </w:rPr>
        <w:t>’</w:t>
      </w:r>
      <w:r w:rsidRPr="007B74B7">
        <w:rPr>
          <w:rFonts w:ascii="Tahoma" w:hAnsi="Tahoma" w:cs="Tahoma"/>
          <w:sz w:val="18"/>
          <w:szCs w:val="18"/>
          <w:lang w:val="it-IT"/>
        </w:rPr>
        <w:t>indirizzo: http://</w:t>
      </w:r>
      <w:hyperlink r:id="rId24" w:history="1">
        <w:r w:rsidRPr="007B74B7">
          <w:rPr>
            <w:rStyle w:val="Hyperlink"/>
            <w:rFonts w:ascii="Tahoma" w:hAnsi="Tahoma" w:cs="Tahoma"/>
            <w:sz w:val="18"/>
            <w:szCs w:val="18"/>
            <w:lang w:val="it-IT"/>
          </w:rPr>
          <w:t>www.microsoft.com/licensing</w:t>
        </w:r>
      </w:hyperlink>
      <w:r w:rsidRPr="007B74B7">
        <w:rPr>
          <w:rFonts w:ascii="Tahoma" w:hAnsi="Tahoma" w:cs="Tahoma"/>
          <w:sz w:val="18"/>
          <w:szCs w:val="18"/>
          <w:lang w:val="it-IT"/>
        </w:rPr>
        <w:t>.</w:t>
      </w:r>
    </w:p>
    <w:p w:rsidR="00ED589D" w:rsidRPr="007B74B7" w:rsidRDefault="00ED589D" w:rsidP="00ED589D">
      <w:pPr>
        <w:rPr>
          <w:lang w:val="it-IT"/>
        </w:rPr>
      </w:pPr>
    </w:p>
    <w:p w:rsidR="00456002" w:rsidRPr="007B74B7" w:rsidRDefault="00456002" w:rsidP="00456002">
      <w:pPr>
        <w:pStyle w:val="Heading2"/>
        <w:ind w:left="0" w:right="720"/>
        <w:rPr>
          <w:lang w:val="it-IT"/>
        </w:rPr>
      </w:pPr>
      <w:bookmarkStart w:id="705" w:name="_Toc323819652"/>
      <w:bookmarkStart w:id="706" w:name="_Toc336338203"/>
      <w:bookmarkStart w:id="707" w:name="_Toc353375983"/>
      <w:r w:rsidRPr="007B74B7">
        <w:rPr>
          <w:rFonts w:ascii="Tahoma" w:hAnsi="Tahoma" w:cs="Tahoma"/>
          <w:lang w:val="it-IT"/>
        </w:rPr>
        <w:t>Licenze “Subscription”</w:t>
      </w:r>
      <w:bookmarkEnd w:id="705"/>
      <w:bookmarkEnd w:id="706"/>
      <w:bookmarkEnd w:id="707"/>
      <w:r w:rsidRPr="007B74B7">
        <w:rPr>
          <w:rFonts w:ascii="Tahoma" w:hAnsi="Tahoma" w:cs="Tahoma"/>
          <w:lang w:val="it-IT"/>
        </w:rPr>
        <w:t xml:space="preserve"> </w:t>
      </w:r>
    </w:p>
    <w:p w:rsidR="00456002" w:rsidRPr="007B74B7" w:rsidRDefault="00456002" w:rsidP="007C05C1">
      <w:pPr>
        <w:ind w:right="720"/>
        <w:rPr>
          <w:lang w:val="it-IT"/>
        </w:rPr>
      </w:pPr>
    </w:p>
    <w:p w:rsidR="00456002" w:rsidRPr="00BD7CEA" w:rsidRDefault="00456002" w:rsidP="00B147AB">
      <w:pPr>
        <w:pStyle w:val="AppendixIndent"/>
        <w:spacing w:before="0"/>
        <w:ind w:left="0" w:right="720"/>
      </w:pPr>
      <w:r w:rsidRPr="007B74B7">
        <w:rPr>
          <w:rFonts w:ascii="Tahoma" w:hAnsi="Tahoma" w:cs="Tahoma"/>
          <w:sz w:val="18"/>
          <w:lang w:val="it-IT"/>
        </w:rPr>
        <w:t>Questo tipo di prodotto è disponibile per i Servizi Online e per alcuni prodotti software, non dipende dalla versione e consente alle società di utilizzare il software e, nel caso di un Servizio Online, il servizio durante il</w:t>
      </w:r>
      <w:r w:rsidR="00563C0E" w:rsidRPr="007B74B7">
        <w:rPr>
          <w:rFonts w:ascii="Tahoma" w:hAnsi="Tahoma" w:cs="Tahoma"/>
          <w:sz w:val="18"/>
          <w:lang w:val="it-IT"/>
        </w:rPr>
        <w:t> </w:t>
      </w:r>
      <w:r w:rsidRPr="007B74B7">
        <w:rPr>
          <w:rFonts w:ascii="Tahoma" w:hAnsi="Tahoma" w:cs="Tahoma"/>
          <w:sz w:val="18"/>
          <w:lang w:val="it-IT"/>
        </w:rPr>
        <w:t>periodo di validità dell</w:t>
      </w:r>
      <w:r w:rsidR="007A1415" w:rsidRPr="007B74B7">
        <w:rPr>
          <w:rFonts w:ascii="Tahoma" w:hAnsi="Tahoma" w:cs="Tahoma"/>
          <w:sz w:val="18"/>
          <w:lang w:val="it-IT"/>
        </w:rPr>
        <w:t>’</w:t>
      </w:r>
      <w:r w:rsidRPr="007B74B7">
        <w:rPr>
          <w:rFonts w:ascii="Tahoma" w:hAnsi="Tahoma" w:cs="Tahoma"/>
          <w:sz w:val="18"/>
          <w:lang w:val="it-IT"/>
        </w:rPr>
        <w:t>iscrizione Select o Enterprise oppure del contratto Open ai sensi del quale viene acquistato.</w:t>
      </w:r>
      <w:r w:rsidR="008D782D" w:rsidRPr="007B74B7">
        <w:rPr>
          <w:rFonts w:ascii="Tahoma" w:hAnsi="Tahoma" w:cs="Tahoma"/>
          <w:sz w:val="18"/>
          <w:lang w:val="it-IT"/>
        </w:rPr>
        <w:t xml:space="preserve"> </w:t>
      </w:r>
      <w:r w:rsidRPr="007B74B7">
        <w:rPr>
          <w:rFonts w:ascii="Tahoma" w:hAnsi="Tahoma" w:cs="Tahoma"/>
          <w:sz w:val="18"/>
          <w:lang w:val="it-IT"/>
        </w:rPr>
        <w:t>Le licenze “Subscription” acquistate ai sensi di un Contratto Enterprise o Enterprise Subscription dovranno essere acquistate in occasione del primo accesso al servizio e verranno suddivise in misura proporzionale sulla base del numero di mesi che rimangono alla scadenza del periodo di validità del contratto o dell</w:t>
      </w:r>
      <w:r w:rsidR="007A1415" w:rsidRPr="007B74B7">
        <w:rPr>
          <w:rFonts w:ascii="Tahoma" w:hAnsi="Tahoma" w:cs="Tahoma"/>
          <w:sz w:val="18"/>
          <w:lang w:val="it-IT"/>
        </w:rPr>
        <w:t>’</w:t>
      </w:r>
      <w:r w:rsidRPr="007B74B7">
        <w:rPr>
          <w:rFonts w:ascii="Tahoma" w:hAnsi="Tahoma" w:cs="Tahoma"/>
          <w:sz w:val="18"/>
          <w:lang w:val="it-IT"/>
        </w:rPr>
        <w:t xml:space="preserve">iscrizione. </w:t>
      </w:r>
      <w:r w:rsidRPr="00BD7CEA">
        <w:rPr>
          <w:rFonts w:ascii="Tahoma" w:hAnsi="Tahoma" w:cs="Tahoma"/>
          <w:sz w:val="18"/>
        </w:rPr>
        <w:t xml:space="preserve">Disponibile nei seguenti programmi: </w:t>
      </w:r>
    </w:p>
    <w:p w:rsidR="00456002" w:rsidRPr="00BD7CEA" w:rsidRDefault="00456002" w:rsidP="00B147AB">
      <w:pPr>
        <w:pStyle w:val="AppendixIndent"/>
        <w:spacing w:before="0"/>
        <w:ind w:left="0" w:right="720"/>
      </w:pPr>
    </w:p>
    <w:p w:rsidR="00456002" w:rsidRPr="00BD7CEA" w:rsidRDefault="00456002" w:rsidP="007358C5">
      <w:pPr>
        <w:pStyle w:val="AppendixBulletIndent"/>
        <w:numPr>
          <w:ilvl w:val="0"/>
          <w:numId w:val="65"/>
        </w:numPr>
        <w:tabs>
          <w:tab w:val="left" w:pos="1440"/>
        </w:tabs>
        <w:spacing w:after="60"/>
        <w:ind w:left="1440" w:right="720"/>
      </w:pPr>
      <w:r w:rsidRPr="00BD7CEA">
        <w:rPr>
          <w:rFonts w:ascii="Tahoma" w:hAnsi="Tahoma" w:cs="Tahoma"/>
          <w:sz w:val="18"/>
        </w:rPr>
        <w:t>Open Value</w:t>
      </w:r>
    </w:p>
    <w:p w:rsidR="00456002" w:rsidRPr="00BD7CEA" w:rsidRDefault="00456002" w:rsidP="007358C5">
      <w:pPr>
        <w:pStyle w:val="AppendixBulletIndent"/>
        <w:numPr>
          <w:ilvl w:val="0"/>
          <w:numId w:val="65"/>
        </w:numPr>
        <w:tabs>
          <w:tab w:val="left" w:pos="1440"/>
        </w:tabs>
        <w:spacing w:after="60"/>
        <w:ind w:left="1440" w:right="720"/>
      </w:pPr>
      <w:r w:rsidRPr="00BD7CEA">
        <w:rPr>
          <w:rFonts w:ascii="Tahoma" w:hAnsi="Tahoma" w:cs="Tahoma"/>
          <w:sz w:val="18"/>
        </w:rPr>
        <w:t xml:space="preserve">Open Value Subscription </w:t>
      </w:r>
    </w:p>
    <w:p w:rsidR="00456002" w:rsidRPr="00BD7CEA" w:rsidRDefault="00456002" w:rsidP="007358C5">
      <w:pPr>
        <w:pStyle w:val="AppendixBulletIndent"/>
        <w:numPr>
          <w:ilvl w:val="0"/>
          <w:numId w:val="65"/>
        </w:numPr>
        <w:tabs>
          <w:tab w:val="left" w:pos="1440"/>
        </w:tabs>
        <w:spacing w:after="60"/>
        <w:ind w:left="1440" w:right="720"/>
      </w:pPr>
      <w:r w:rsidRPr="00BD7CEA">
        <w:rPr>
          <w:rFonts w:ascii="Tahoma" w:hAnsi="Tahoma" w:cs="Tahoma"/>
          <w:sz w:val="18"/>
        </w:rPr>
        <w:t xml:space="preserve">Select </w:t>
      </w:r>
    </w:p>
    <w:p w:rsidR="00456002" w:rsidRPr="00BD7CEA" w:rsidRDefault="00456002" w:rsidP="007358C5">
      <w:pPr>
        <w:pStyle w:val="AppendixBulletIndent"/>
        <w:numPr>
          <w:ilvl w:val="0"/>
          <w:numId w:val="65"/>
        </w:numPr>
        <w:tabs>
          <w:tab w:val="left" w:pos="1440"/>
        </w:tabs>
        <w:spacing w:after="60"/>
        <w:ind w:left="1440" w:right="720"/>
      </w:pPr>
      <w:r w:rsidRPr="00BD7CEA">
        <w:rPr>
          <w:rFonts w:ascii="Tahoma" w:hAnsi="Tahoma" w:cs="Tahoma"/>
          <w:sz w:val="18"/>
        </w:rPr>
        <w:t>Select Plus</w:t>
      </w:r>
    </w:p>
    <w:p w:rsidR="00456002" w:rsidRPr="00BD7CEA" w:rsidRDefault="00456002" w:rsidP="007358C5">
      <w:pPr>
        <w:pStyle w:val="AppendixBulletIndent"/>
        <w:numPr>
          <w:ilvl w:val="0"/>
          <w:numId w:val="65"/>
        </w:numPr>
        <w:tabs>
          <w:tab w:val="left" w:pos="1440"/>
        </w:tabs>
        <w:spacing w:after="60"/>
        <w:ind w:left="1440" w:right="720"/>
      </w:pPr>
      <w:r w:rsidRPr="00BD7CEA">
        <w:rPr>
          <w:rFonts w:ascii="Tahoma" w:hAnsi="Tahoma" w:cs="Tahoma"/>
          <w:sz w:val="18"/>
        </w:rPr>
        <w:t>School</w:t>
      </w:r>
    </w:p>
    <w:p w:rsidR="00456002" w:rsidRPr="00BD7CEA" w:rsidRDefault="00456002" w:rsidP="007358C5">
      <w:pPr>
        <w:pStyle w:val="AppendixBulletIndent"/>
        <w:numPr>
          <w:ilvl w:val="0"/>
          <w:numId w:val="65"/>
        </w:numPr>
        <w:tabs>
          <w:tab w:val="left" w:pos="1440"/>
        </w:tabs>
        <w:spacing w:after="60"/>
        <w:ind w:left="1440" w:right="720"/>
      </w:pPr>
      <w:r w:rsidRPr="00BD7CEA">
        <w:rPr>
          <w:rFonts w:ascii="Tahoma" w:hAnsi="Tahoma" w:cs="Tahoma"/>
          <w:sz w:val="18"/>
        </w:rPr>
        <w:t>EES</w:t>
      </w:r>
    </w:p>
    <w:p w:rsidR="00456002" w:rsidRPr="00BD7CEA" w:rsidRDefault="00456002" w:rsidP="007358C5">
      <w:pPr>
        <w:pStyle w:val="AppendixBulletIndent"/>
        <w:numPr>
          <w:ilvl w:val="0"/>
          <w:numId w:val="65"/>
        </w:numPr>
        <w:tabs>
          <w:tab w:val="left" w:pos="1440"/>
        </w:tabs>
        <w:spacing w:after="60"/>
        <w:ind w:left="1440" w:right="720"/>
      </w:pPr>
      <w:r w:rsidRPr="00BD7CEA">
        <w:rPr>
          <w:rFonts w:ascii="Tahoma" w:hAnsi="Tahoma" w:cs="Tahoma"/>
          <w:sz w:val="18"/>
        </w:rPr>
        <w:t>Contratto Enterprise</w:t>
      </w:r>
    </w:p>
    <w:p w:rsidR="00456002" w:rsidRPr="00BD7CEA" w:rsidRDefault="00456002" w:rsidP="007358C5">
      <w:pPr>
        <w:pStyle w:val="AppendixIndent"/>
        <w:numPr>
          <w:ilvl w:val="0"/>
          <w:numId w:val="65"/>
        </w:numPr>
        <w:tabs>
          <w:tab w:val="left" w:pos="1440"/>
        </w:tabs>
        <w:spacing w:before="0"/>
        <w:ind w:left="1440" w:right="720"/>
      </w:pPr>
      <w:r w:rsidRPr="00BD7CEA">
        <w:rPr>
          <w:rFonts w:ascii="Tahoma" w:hAnsi="Tahoma" w:cs="Tahoma"/>
          <w:sz w:val="18"/>
        </w:rPr>
        <w:t>Contratto Enterprise Subscription</w:t>
      </w:r>
    </w:p>
    <w:p w:rsidR="00ED589D" w:rsidRPr="00BD7CEA" w:rsidRDefault="00ED589D" w:rsidP="00B147AB"/>
    <w:p w:rsidR="00D867DD" w:rsidRPr="00BD7CEA" w:rsidRDefault="00D867DD" w:rsidP="00B147AB"/>
    <w:p w:rsidR="00D867DD" w:rsidRPr="00BD7CEA" w:rsidRDefault="00D867DD" w:rsidP="00B147AB"/>
    <w:p w:rsidR="00456002" w:rsidRPr="00BD7CEA" w:rsidRDefault="00456002" w:rsidP="00456002">
      <w:pPr>
        <w:pStyle w:val="Heading2"/>
        <w:ind w:left="0" w:right="720"/>
      </w:pPr>
      <w:bookmarkStart w:id="708" w:name="_Toc323819653"/>
      <w:bookmarkStart w:id="709" w:name="_Toc336338204"/>
      <w:bookmarkStart w:id="710" w:name="_Toc353375984"/>
      <w:r w:rsidRPr="00BD7CEA">
        <w:rPr>
          <w:rFonts w:ascii="Tahoma" w:hAnsi="Tahoma" w:cs="Tahoma"/>
        </w:rPr>
        <w:lastRenderedPageBreak/>
        <w:t>Aggiornamento</w:t>
      </w:r>
      <w:bookmarkEnd w:id="708"/>
      <w:bookmarkEnd w:id="709"/>
      <w:bookmarkEnd w:id="710"/>
    </w:p>
    <w:p w:rsidR="00456002" w:rsidRPr="00BD7CEA" w:rsidRDefault="00456002" w:rsidP="00B147AB">
      <w:pPr>
        <w:pStyle w:val="AppendixIndent"/>
        <w:spacing w:before="0"/>
        <w:ind w:left="0" w:right="720"/>
      </w:pPr>
    </w:p>
    <w:p w:rsidR="00456002" w:rsidRPr="00BD7CEA" w:rsidRDefault="00456002" w:rsidP="00B147AB">
      <w:pPr>
        <w:pStyle w:val="AppendixIndent"/>
        <w:spacing w:before="0"/>
        <w:ind w:left="0" w:right="720"/>
      </w:pPr>
      <w:r w:rsidRPr="007B74B7">
        <w:rPr>
          <w:rFonts w:ascii="Tahoma" w:hAnsi="Tahoma" w:cs="Tahoma"/>
          <w:sz w:val="18"/>
          <w:lang w:val="it-IT"/>
        </w:rPr>
        <w:t xml:space="preserve">Questo tipo di prodotto è disponibile solo per il </w:t>
      </w:r>
      <w:r w:rsidRPr="007B74B7">
        <w:rPr>
          <w:rFonts w:ascii="Tahoma" w:hAnsi="Tahoma" w:cs="Tahoma"/>
          <w:sz w:val="18"/>
          <w:u w:val="single"/>
          <w:lang w:val="it-IT"/>
        </w:rPr>
        <w:t>Sistema Operativo Desktop Windows</w:t>
      </w:r>
      <w:r w:rsidRPr="007B74B7">
        <w:rPr>
          <w:rFonts w:ascii="Tahoma" w:hAnsi="Tahoma" w:cs="Tahoma"/>
          <w:sz w:val="18"/>
          <w:lang w:val="it-IT"/>
        </w:rPr>
        <w:t>, dipende dalla versione e concede il diritto di eseguire la versione del prodotto per il quale viene ordinata.</w:t>
      </w:r>
      <w:r w:rsidR="008D782D" w:rsidRPr="007B74B7">
        <w:rPr>
          <w:rFonts w:ascii="Tahoma" w:hAnsi="Tahoma" w:cs="Tahoma"/>
          <w:sz w:val="18"/>
          <w:lang w:val="it-IT"/>
        </w:rPr>
        <w:t xml:space="preserve"> </w:t>
      </w:r>
      <w:r w:rsidRPr="00BD7CEA">
        <w:rPr>
          <w:rFonts w:ascii="Tahoma" w:hAnsi="Tahoma" w:cs="Tahoma"/>
          <w:sz w:val="18"/>
        </w:rPr>
        <w:t>Disponibile nei seguenti programmi:</w:t>
      </w:r>
    </w:p>
    <w:p w:rsidR="00456002" w:rsidRPr="00BD7CEA" w:rsidRDefault="00456002" w:rsidP="00B147AB">
      <w:pPr>
        <w:pStyle w:val="AppendixIndent"/>
        <w:spacing w:before="0"/>
        <w:ind w:left="0" w:right="720"/>
      </w:pPr>
    </w:p>
    <w:p w:rsidR="00385C82" w:rsidRPr="00BD7CEA" w:rsidRDefault="00385C82" w:rsidP="007358C5">
      <w:pPr>
        <w:pStyle w:val="AppendixBulletIndent"/>
        <w:numPr>
          <w:ilvl w:val="0"/>
          <w:numId w:val="58"/>
        </w:numPr>
        <w:tabs>
          <w:tab w:val="left" w:pos="1440"/>
        </w:tabs>
        <w:spacing w:after="60"/>
        <w:ind w:left="1440" w:right="720"/>
      </w:pPr>
      <w:r w:rsidRPr="00BD7CEA">
        <w:rPr>
          <w:rFonts w:ascii="Tahoma" w:hAnsi="Tahoma" w:cs="Tahoma"/>
          <w:sz w:val="18"/>
          <w:szCs w:val="18"/>
        </w:rPr>
        <w:t>Licenza Open</w:t>
      </w:r>
    </w:p>
    <w:p w:rsidR="00385C82" w:rsidRPr="00BD7CEA" w:rsidRDefault="00385C82" w:rsidP="007358C5">
      <w:pPr>
        <w:pStyle w:val="AppendixBulletIndent"/>
        <w:numPr>
          <w:ilvl w:val="0"/>
          <w:numId w:val="58"/>
        </w:numPr>
        <w:tabs>
          <w:tab w:val="left" w:pos="1440"/>
        </w:tabs>
        <w:spacing w:after="60"/>
        <w:ind w:left="1440" w:right="720"/>
      </w:pPr>
      <w:r w:rsidRPr="00BD7CEA">
        <w:rPr>
          <w:rFonts w:ascii="Tahoma" w:hAnsi="Tahoma" w:cs="Tahoma"/>
          <w:sz w:val="18"/>
          <w:szCs w:val="18"/>
        </w:rPr>
        <w:t xml:space="preserve">Open Value Subscription (solo per ordini buy-out) </w:t>
      </w:r>
    </w:p>
    <w:p w:rsidR="00385C82" w:rsidRPr="00BD7CEA" w:rsidRDefault="00385C82" w:rsidP="007358C5">
      <w:pPr>
        <w:pStyle w:val="AppendixBulletIndent"/>
        <w:numPr>
          <w:ilvl w:val="0"/>
          <w:numId w:val="58"/>
        </w:numPr>
        <w:tabs>
          <w:tab w:val="left" w:pos="1440"/>
        </w:tabs>
        <w:spacing w:after="60"/>
        <w:ind w:left="1440" w:right="720"/>
      </w:pPr>
      <w:r w:rsidRPr="00BD7CEA">
        <w:rPr>
          <w:rFonts w:ascii="Tahoma" w:hAnsi="Tahoma" w:cs="Tahoma"/>
          <w:sz w:val="18"/>
          <w:szCs w:val="18"/>
        </w:rPr>
        <w:t xml:space="preserve">Select </w:t>
      </w:r>
    </w:p>
    <w:p w:rsidR="00385C82" w:rsidRPr="00BD7CEA" w:rsidRDefault="00385C82" w:rsidP="007358C5">
      <w:pPr>
        <w:pStyle w:val="AppendixBulletIndent"/>
        <w:numPr>
          <w:ilvl w:val="0"/>
          <w:numId w:val="58"/>
        </w:numPr>
        <w:tabs>
          <w:tab w:val="left" w:pos="1440"/>
        </w:tabs>
        <w:spacing w:after="60"/>
        <w:ind w:left="1440" w:right="720"/>
      </w:pPr>
      <w:r w:rsidRPr="00BD7CEA">
        <w:rPr>
          <w:rFonts w:ascii="Tahoma" w:hAnsi="Tahoma" w:cs="Tahoma"/>
          <w:sz w:val="18"/>
          <w:szCs w:val="18"/>
        </w:rPr>
        <w:t>Select Plus</w:t>
      </w:r>
    </w:p>
    <w:p w:rsidR="00385C82" w:rsidRPr="007B74B7" w:rsidRDefault="00385C82" w:rsidP="007358C5">
      <w:pPr>
        <w:pStyle w:val="AppendixBulletIndent"/>
        <w:numPr>
          <w:ilvl w:val="0"/>
          <w:numId w:val="58"/>
        </w:numPr>
        <w:tabs>
          <w:tab w:val="left" w:pos="1440"/>
        </w:tabs>
        <w:spacing w:after="60"/>
        <w:ind w:left="1440" w:right="720"/>
        <w:rPr>
          <w:lang w:val="it-IT"/>
        </w:rPr>
      </w:pPr>
      <w:r w:rsidRPr="007B74B7">
        <w:rPr>
          <w:rFonts w:ascii="Tahoma" w:hAnsi="Tahoma" w:cs="Tahoma"/>
          <w:sz w:val="18"/>
          <w:szCs w:val="18"/>
          <w:lang w:val="it-IT"/>
        </w:rPr>
        <w:t>Contratto School (solo per ordini buy-out)</w:t>
      </w:r>
    </w:p>
    <w:p w:rsidR="00385C82" w:rsidRPr="007B74B7" w:rsidRDefault="00385C82" w:rsidP="007358C5">
      <w:pPr>
        <w:pStyle w:val="AppendixBulletIndent"/>
        <w:numPr>
          <w:ilvl w:val="0"/>
          <w:numId w:val="58"/>
        </w:numPr>
        <w:tabs>
          <w:tab w:val="left" w:pos="1440"/>
        </w:tabs>
        <w:spacing w:after="60"/>
        <w:ind w:left="1440" w:right="720"/>
        <w:rPr>
          <w:lang w:val="it-IT"/>
        </w:rPr>
      </w:pPr>
      <w:r w:rsidRPr="007B74B7">
        <w:rPr>
          <w:rFonts w:ascii="Tahoma" w:hAnsi="Tahoma" w:cs="Tahoma"/>
          <w:sz w:val="18"/>
          <w:szCs w:val="18"/>
          <w:lang w:val="it-IT"/>
        </w:rPr>
        <w:t>EES (solo per ordini buy-out)</w:t>
      </w:r>
    </w:p>
    <w:p w:rsidR="00385C82" w:rsidRPr="007B74B7" w:rsidRDefault="00385C82" w:rsidP="007358C5">
      <w:pPr>
        <w:pStyle w:val="AppendixBulletIndent"/>
        <w:numPr>
          <w:ilvl w:val="0"/>
          <w:numId w:val="58"/>
        </w:numPr>
        <w:tabs>
          <w:tab w:val="left" w:pos="1440"/>
        </w:tabs>
        <w:ind w:left="1440" w:right="720"/>
        <w:rPr>
          <w:lang w:val="it-IT"/>
        </w:rPr>
      </w:pPr>
      <w:r w:rsidRPr="007B74B7">
        <w:rPr>
          <w:rFonts w:ascii="Tahoma" w:hAnsi="Tahoma" w:cs="Tahoma"/>
          <w:sz w:val="18"/>
          <w:szCs w:val="18"/>
          <w:lang w:val="it-IT"/>
        </w:rPr>
        <w:t>Contratto Enterprise Subscription (solo per ordini buy-out)</w:t>
      </w:r>
    </w:p>
    <w:p w:rsidR="00456002" w:rsidRPr="007B74B7" w:rsidRDefault="00456002" w:rsidP="00B147AB">
      <w:pPr>
        <w:pStyle w:val="AppendixIndent"/>
        <w:spacing w:before="0"/>
        <w:ind w:left="0" w:right="720"/>
        <w:rPr>
          <w:sz w:val="16"/>
          <w:szCs w:val="16"/>
          <w:lang w:val="it-IT"/>
        </w:rPr>
      </w:pPr>
    </w:p>
    <w:p w:rsidR="00456002" w:rsidRPr="007B74B7" w:rsidRDefault="00456002" w:rsidP="00B147AB">
      <w:pPr>
        <w:pStyle w:val="AppendixIndent"/>
        <w:spacing w:before="0"/>
        <w:ind w:left="0" w:right="720"/>
        <w:rPr>
          <w:spacing w:val="-2"/>
          <w:lang w:val="it-IT"/>
        </w:rPr>
      </w:pPr>
      <w:r w:rsidRPr="007B74B7">
        <w:rPr>
          <w:rFonts w:ascii="Tahoma" w:hAnsi="Tahoma" w:cs="Tahoma"/>
          <w:spacing w:val="-2"/>
          <w:sz w:val="18"/>
          <w:lang w:val="it-IT"/>
        </w:rPr>
        <w:t>La Società dovrà disporre di una licenza qualificante per il sistema operativo del desktop prima di acquistare la licenza Windows Desktop Operating System Upgrade (Licenza di aggiornamento). Nella sezione dei Prodotti Sistemi è disponibile un elenco dei sistemi operativi qualificanti per desktop, che varia in base al</w:t>
      </w:r>
      <w:r w:rsidR="00D867DD" w:rsidRPr="007B74B7">
        <w:rPr>
          <w:rFonts w:ascii="Tahoma" w:hAnsi="Tahoma" w:cs="Tahoma"/>
          <w:spacing w:val="-2"/>
          <w:sz w:val="18"/>
          <w:lang w:val="it-IT"/>
        </w:rPr>
        <w:t> </w:t>
      </w:r>
      <w:r w:rsidRPr="007B74B7">
        <w:rPr>
          <w:rFonts w:ascii="Tahoma" w:hAnsi="Tahoma" w:cs="Tahoma"/>
          <w:spacing w:val="-2"/>
          <w:sz w:val="18"/>
          <w:lang w:val="it-IT"/>
        </w:rPr>
        <w:t>programma e all</w:t>
      </w:r>
      <w:r w:rsidR="007A1415" w:rsidRPr="007B74B7">
        <w:rPr>
          <w:rFonts w:ascii="Tahoma" w:hAnsi="Tahoma" w:cs="Tahoma"/>
          <w:spacing w:val="-2"/>
          <w:sz w:val="18"/>
          <w:lang w:val="it-IT"/>
        </w:rPr>
        <w:t>’</w:t>
      </w:r>
      <w:r w:rsidRPr="007B74B7">
        <w:rPr>
          <w:rFonts w:ascii="Tahoma" w:hAnsi="Tahoma" w:cs="Tahoma"/>
          <w:spacing w:val="-2"/>
          <w:sz w:val="18"/>
          <w:lang w:val="it-IT"/>
        </w:rPr>
        <w:t>ordine.</w:t>
      </w:r>
    </w:p>
    <w:p w:rsidR="00591D02" w:rsidRPr="007B74B7" w:rsidRDefault="00591D02" w:rsidP="00B147AB">
      <w:pPr>
        <w:pStyle w:val="Heading2"/>
        <w:ind w:left="0" w:right="720"/>
        <w:rPr>
          <w:sz w:val="16"/>
          <w:szCs w:val="16"/>
          <w:lang w:val="it-IT"/>
        </w:rPr>
      </w:pPr>
      <w:bookmarkStart w:id="711" w:name="_Toc323819654"/>
    </w:p>
    <w:p w:rsidR="00456002" w:rsidRPr="007B74B7" w:rsidRDefault="00456002" w:rsidP="00456002">
      <w:pPr>
        <w:pStyle w:val="Heading2"/>
        <w:ind w:left="0" w:right="720"/>
        <w:rPr>
          <w:lang w:val="it-IT"/>
        </w:rPr>
      </w:pPr>
      <w:bookmarkStart w:id="712" w:name="_Toc336338205"/>
      <w:bookmarkStart w:id="713" w:name="_Toc353375985"/>
      <w:r w:rsidRPr="007B74B7">
        <w:rPr>
          <w:rFonts w:ascii="Tahoma" w:hAnsi="Tahoma" w:cs="Tahoma"/>
          <w:lang w:val="it-IT"/>
        </w:rPr>
        <w:t>Aggiornamento e Software Assurance</w:t>
      </w:r>
      <w:bookmarkEnd w:id="711"/>
      <w:bookmarkEnd w:id="712"/>
      <w:bookmarkEnd w:id="713"/>
      <w:r w:rsidRPr="007B74B7">
        <w:rPr>
          <w:rFonts w:ascii="Tahoma" w:hAnsi="Tahoma" w:cs="Tahoma"/>
          <w:lang w:val="it-IT"/>
        </w:rPr>
        <w:t xml:space="preserve"> </w:t>
      </w:r>
    </w:p>
    <w:p w:rsidR="00456002" w:rsidRPr="007B74B7" w:rsidRDefault="00456002" w:rsidP="00B147AB">
      <w:pPr>
        <w:ind w:right="720"/>
        <w:rPr>
          <w:lang w:val="it-IT"/>
        </w:rPr>
      </w:pPr>
    </w:p>
    <w:p w:rsidR="00456002" w:rsidRPr="00BD7CEA" w:rsidRDefault="00456002" w:rsidP="00B147AB">
      <w:pPr>
        <w:pStyle w:val="AppendixIndent"/>
        <w:spacing w:before="0"/>
        <w:ind w:left="0" w:right="720"/>
      </w:pPr>
      <w:r w:rsidRPr="007B74B7">
        <w:rPr>
          <w:rFonts w:ascii="Tahoma" w:hAnsi="Tahoma" w:cs="Tahoma"/>
          <w:sz w:val="18"/>
          <w:lang w:val="it-IT"/>
        </w:rPr>
        <w:t>Questo tipo di prodotto è disponibile solo per il Sistema Operativo Desktop Windows, non dipende dalla versione e consente contemporaneamente alle società di acquistare l</w:t>
      </w:r>
      <w:r w:rsidR="007A1415" w:rsidRPr="007B74B7">
        <w:rPr>
          <w:rFonts w:ascii="Tahoma" w:hAnsi="Tahoma" w:cs="Tahoma"/>
          <w:sz w:val="18"/>
          <w:lang w:val="it-IT"/>
        </w:rPr>
        <w:t>’</w:t>
      </w:r>
      <w:r w:rsidRPr="007B74B7">
        <w:rPr>
          <w:rFonts w:ascii="Tahoma" w:hAnsi="Tahoma" w:cs="Tahoma"/>
          <w:sz w:val="18"/>
          <w:lang w:val="it-IT"/>
        </w:rPr>
        <w:t xml:space="preserve">Aggiornamento e Software Assurance per il sistema operativo desktop. </w:t>
      </w:r>
      <w:r w:rsidRPr="00BD7CEA">
        <w:rPr>
          <w:rFonts w:ascii="Tahoma" w:hAnsi="Tahoma" w:cs="Tahoma"/>
          <w:sz w:val="18"/>
        </w:rPr>
        <w:t>Disponibile nei seguenti programmi:</w:t>
      </w:r>
    </w:p>
    <w:p w:rsidR="00116EDC" w:rsidRPr="00BD7CEA" w:rsidRDefault="00116EDC" w:rsidP="00B147AB">
      <w:pPr>
        <w:pStyle w:val="AppendixIndent"/>
        <w:spacing w:before="0"/>
        <w:ind w:left="0" w:right="720"/>
      </w:pPr>
    </w:p>
    <w:p w:rsidR="00456002" w:rsidRPr="00BD7CEA" w:rsidRDefault="00456002" w:rsidP="007358C5">
      <w:pPr>
        <w:pStyle w:val="AppendixBulletIndent"/>
        <w:numPr>
          <w:ilvl w:val="0"/>
          <w:numId w:val="59"/>
        </w:numPr>
        <w:tabs>
          <w:tab w:val="clear" w:pos="360"/>
          <w:tab w:val="num" w:pos="1440"/>
        </w:tabs>
        <w:spacing w:after="60"/>
        <w:ind w:left="1440" w:right="720"/>
      </w:pPr>
      <w:r w:rsidRPr="00BD7CEA">
        <w:rPr>
          <w:rFonts w:ascii="Tahoma" w:hAnsi="Tahoma" w:cs="Tahoma"/>
          <w:sz w:val="18"/>
        </w:rPr>
        <w:t>Licenza Open</w:t>
      </w:r>
    </w:p>
    <w:p w:rsidR="00456002" w:rsidRPr="00BD7CEA" w:rsidRDefault="00456002" w:rsidP="007358C5">
      <w:pPr>
        <w:pStyle w:val="AppendixBulletIndent"/>
        <w:numPr>
          <w:ilvl w:val="0"/>
          <w:numId w:val="59"/>
        </w:numPr>
        <w:tabs>
          <w:tab w:val="clear" w:pos="360"/>
          <w:tab w:val="num" w:pos="1440"/>
        </w:tabs>
        <w:spacing w:after="60"/>
        <w:ind w:left="1440" w:right="720"/>
      </w:pPr>
      <w:r w:rsidRPr="00BD7CEA">
        <w:rPr>
          <w:rFonts w:ascii="Tahoma" w:hAnsi="Tahoma" w:cs="Tahoma"/>
          <w:sz w:val="18"/>
        </w:rPr>
        <w:t>Open Value</w:t>
      </w:r>
    </w:p>
    <w:p w:rsidR="00456002" w:rsidRPr="00BD7CEA" w:rsidRDefault="00456002" w:rsidP="007358C5">
      <w:pPr>
        <w:pStyle w:val="AppendixBulletIndent"/>
        <w:numPr>
          <w:ilvl w:val="0"/>
          <w:numId w:val="59"/>
        </w:numPr>
        <w:tabs>
          <w:tab w:val="clear" w:pos="360"/>
          <w:tab w:val="num" w:pos="1440"/>
        </w:tabs>
        <w:spacing w:after="60"/>
        <w:ind w:left="1440" w:right="720"/>
      </w:pPr>
      <w:r w:rsidRPr="00BD7CEA">
        <w:rPr>
          <w:rFonts w:ascii="Tahoma" w:hAnsi="Tahoma" w:cs="Tahoma"/>
          <w:sz w:val="18"/>
        </w:rPr>
        <w:t>Open Value Subscription</w:t>
      </w:r>
    </w:p>
    <w:p w:rsidR="00456002" w:rsidRPr="00BD7CEA" w:rsidRDefault="00456002" w:rsidP="007358C5">
      <w:pPr>
        <w:pStyle w:val="AppendixBulletIndent"/>
        <w:numPr>
          <w:ilvl w:val="0"/>
          <w:numId w:val="59"/>
        </w:numPr>
        <w:tabs>
          <w:tab w:val="clear" w:pos="360"/>
          <w:tab w:val="num" w:pos="1440"/>
        </w:tabs>
        <w:spacing w:after="60"/>
        <w:ind w:left="1440" w:right="720"/>
      </w:pPr>
      <w:r w:rsidRPr="00BD7CEA">
        <w:rPr>
          <w:rFonts w:ascii="Tahoma" w:hAnsi="Tahoma" w:cs="Tahoma"/>
          <w:sz w:val="18"/>
        </w:rPr>
        <w:t xml:space="preserve">Select </w:t>
      </w:r>
    </w:p>
    <w:p w:rsidR="00456002" w:rsidRPr="00BD7CEA" w:rsidRDefault="00456002" w:rsidP="007358C5">
      <w:pPr>
        <w:pStyle w:val="AppendixBulletIndent"/>
        <w:numPr>
          <w:ilvl w:val="0"/>
          <w:numId w:val="59"/>
        </w:numPr>
        <w:tabs>
          <w:tab w:val="clear" w:pos="360"/>
          <w:tab w:val="num" w:pos="1440"/>
        </w:tabs>
        <w:spacing w:after="60"/>
        <w:ind w:left="1440" w:right="720"/>
      </w:pPr>
      <w:r w:rsidRPr="00BD7CEA">
        <w:rPr>
          <w:rFonts w:ascii="Tahoma" w:hAnsi="Tahoma" w:cs="Tahoma"/>
          <w:sz w:val="18"/>
        </w:rPr>
        <w:t>Select Plus</w:t>
      </w:r>
    </w:p>
    <w:p w:rsidR="00456002" w:rsidRPr="00BD7CEA" w:rsidRDefault="00456002" w:rsidP="007358C5">
      <w:pPr>
        <w:pStyle w:val="AppendixBulletIndent"/>
        <w:numPr>
          <w:ilvl w:val="0"/>
          <w:numId w:val="59"/>
        </w:numPr>
        <w:tabs>
          <w:tab w:val="clear" w:pos="360"/>
          <w:tab w:val="num" w:pos="1440"/>
        </w:tabs>
        <w:spacing w:after="60"/>
        <w:ind w:left="1440" w:right="720"/>
      </w:pPr>
      <w:r w:rsidRPr="00BD7CEA">
        <w:rPr>
          <w:rFonts w:ascii="Tahoma" w:hAnsi="Tahoma" w:cs="Tahoma"/>
          <w:sz w:val="18"/>
        </w:rPr>
        <w:t>School</w:t>
      </w:r>
    </w:p>
    <w:p w:rsidR="00456002" w:rsidRPr="00BD7CEA" w:rsidRDefault="00456002" w:rsidP="007358C5">
      <w:pPr>
        <w:pStyle w:val="AppendixBulletIndent"/>
        <w:numPr>
          <w:ilvl w:val="0"/>
          <w:numId w:val="59"/>
        </w:numPr>
        <w:tabs>
          <w:tab w:val="clear" w:pos="360"/>
          <w:tab w:val="num" w:pos="1440"/>
        </w:tabs>
        <w:spacing w:after="60"/>
        <w:ind w:left="1440" w:right="720"/>
      </w:pPr>
      <w:r w:rsidRPr="00BD7CEA">
        <w:rPr>
          <w:rFonts w:ascii="Tahoma" w:hAnsi="Tahoma" w:cs="Tahoma"/>
          <w:sz w:val="18"/>
        </w:rPr>
        <w:t>ESS</w:t>
      </w:r>
    </w:p>
    <w:p w:rsidR="00456002" w:rsidRPr="00BD7CEA" w:rsidRDefault="00456002" w:rsidP="007358C5">
      <w:pPr>
        <w:pStyle w:val="AppendixBulletIndent"/>
        <w:numPr>
          <w:ilvl w:val="0"/>
          <w:numId w:val="59"/>
        </w:numPr>
        <w:tabs>
          <w:tab w:val="clear" w:pos="360"/>
          <w:tab w:val="num" w:pos="1440"/>
        </w:tabs>
        <w:spacing w:after="60"/>
        <w:ind w:left="1440" w:right="720"/>
      </w:pPr>
      <w:r w:rsidRPr="00BD7CEA">
        <w:rPr>
          <w:rFonts w:ascii="Tahoma" w:hAnsi="Tahoma" w:cs="Tahoma"/>
          <w:sz w:val="18"/>
        </w:rPr>
        <w:t>Contratto Enterprise</w:t>
      </w:r>
    </w:p>
    <w:p w:rsidR="00456002" w:rsidRPr="00BD7CEA" w:rsidRDefault="00456002" w:rsidP="007358C5">
      <w:pPr>
        <w:pStyle w:val="AppendixBulletIndent"/>
        <w:numPr>
          <w:ilvl w:val="0"/>
          <w:numId w:val="59"/>
        </w:numPr>
        <w:tabs>
          <w:tab w:val="clear" w:pos="360"/>
          <w:tab w:val="num" w:pos="1440"/>
        </w:tabs>
        <w:ind w:left="1440" w:right="720"/>
      </w:pPr>
      <w:r w:rsidRPr="00BD7CEA">
        <w:rPr>
          <w:rFonts w:ascii="Tahoma" w:hAnsi="Tahoma" w:cs="Tahoma"/>
          <w:sz w:val="18"/>
        </w:rPr>
        <w:t>Contratto Enterprise Subscription</w:t>
      </w:r>
    </w:p>
    <w:p w:rsidR="00456002" w:rsidRPr="00BD7CEA" w:rsidRDefault="00456002" w:rsidP="00B147AB">
      <w:pPr>
        <w:pStyle w:val="AppendixIndent"/>
        <w:spacing w:before="0"/>
        <w:ind w:left="0" w:right="720"/>
      </w:pPr>
    </w:p>
    <w:p w:rsidR="00456002" w:rsidRPr="007B74B7" w:rsidRDefault="00456002" w:rsidP="00ED589D">
      <w:pPr>
        <w:pStyle w:val="AppendixIndent"/>
        <w:spacing w:before="0"/>
        <w:ind w:left="0" w:right="720"/>
        <w:rPr>
          <w:lang w:val="it-IT"/>
        </w:rPr>
      </w:pPr>
      <w:r w:rsidRPr="007B74B7">
        <w:rPr>
          <w:rFonts w:ascii="Tahoma" w:hAnsi="Tahoma" w:cs="Tahoma"/>
          <w:sz w:val="18"/>
          <w:lang w:val="it-IT"/>
        </w:rPr>
        <w:t>La Società dovrà disporre della licenza qualificante per il sistema operativo del desktop prima di acquistare l</w:t>
      </w:r>
      <w:r w:rsidR="007A1415" w:rsidRPr="007B74B7">
        <w:rPr>
          <w:rFonts w:ascii="Tahoma" w:hAnsi="Tahoma" w:cs="Tahoma"/>
          <w:sz w:val="18"/>
          <w:lang w:val="it-IT"/>
        </w:rPr>
        <w:t>’</w:t>
      </w:r>
      <w:r w:rsidRPr="007B74B7">
        <w:rPr>
          <w:rFonts w:ascii="Tahoma" w:hAnsi="Tahoma" w:cs="Tahoma"/>
          <w:sz w:val="18"/>
          <w:lang w:val="it-IT"/>
        </w:rPr>
        <w:t>Aggiornamento. Software Assurance dovrà essere acquistata al momento dell</w:t>
      </w:r>
      <w:r w:rsidR="007A1415" w:rsidRPr="007B74B7">
        <w:rPr>
          <w:rFonts w:ascii="Tahoma" w:hAnsi="Tahoma" w:cs="Tahoma"/>
          <w:sz w:val="18"/>
          <w:lang w:val="it-IT"/>
        </w:rPr>
        <w:t>’</w:t>
      </w:r>
      <w:r w:rsidRPr="007B74B7">
        <w:rPr>
          <w:rFonts w:ascii="Tahoma" w:hAnsi="Tahoma" w:cs="Tahoma"/>
          <w:sz w:val="18"/>
          <w:lang w:val="it-IT"/>
        </w:rPr>
        <w:t>acquisto dell</w:t>
      </w:r>
      <w:r w:rsidR="007A1415" w:rsidRPr="007B74B7">
        <w:rPr>
          <w:rFonts w:ascii="Tahoma" w:hAnsi="Tahoma" w:cs="Tahoma"/>
          <w:sz w:val="18"/>
          <w:lang w:val="it-IT"/>
        </w:rPr>
        <w:t>’</w:t>
      </w:r>
      <w:r w:rsidRPr="007B74B7">
        <w:rPr>
          <w:rFonts w:ascii="Tahoma" w:hAnsi="Tahoma" w:cs="Tahoma"/>
          <w:sz w:val="18"/>
          <w:lang w:val="it-IT"/>
        </w:rPr>
        <w:t>Aggiornamento corrispondente, tranne nei programmi “Subscription” che prevedono l</w:t>
      </w:r>
      <w:r w:rsidR="007A1415" w:rsidRPr="007B74B7">
        <w:rPr>
          <w:rFonts w:ascii="Tahoma" w:hAnsi="Tahoma" w:cs="Tahoma"/>
          <w:sz w:val="18"/>
          <w:lang w:val="it-IT"/>
        </w:rPr>
        <w:t>’</w:t>
      </w:r>
      <w:r w:rsidRPr="007B74B7">
        <w:rPr>
          <w:rFonts w:ascii="Tahoma" w:hAnsi="Tahoma" w:cs="Tahoma"/>
          <w:sz w:val="18"/>
          <w:lang w:val="it-IT"/>
        </w:rPr>
        <w:t>acquisto dell</w:t>
      </w:r>
      <w:r w:rsidR="007A1415" w:rsidRPr="007B74B7">
        <w:rPr>
          <w:rFonts w:ascii="Tahoma" w:hAnsi="Tahoma" w:cs="Tahoma"/>
          <w:sz w:val="18"/>
          <w:lang w:val="it-IT"/>
        </w:rPr>
        <w:t>’</w:t>
      </w:r>
      <w:r w:rsidRPr="007B74B7">
        <w:rPr>
          <w:rFonts w:ascii="Tahoma" w:hAnsi="Tahoma" w:cs="Tahoma"/>
          <w:sz w:val="18"/>
          <w:lang w:val="it-IT"/>
        </w:rPr>
        <w:t>aggiornamento al rinnovo di un periodo di validità della copertura Software Assurance in essere.</w:t>
      </w:r>
    </w:p>
    <w:p w:rsidR="00ED589D" w:rsidRPr="007B74B7" w:rsidRDefault="00ED589D" w:rsidP="00B147AB">
      <w:pPr>
        <w:pStyle w:val="AppendixIndent"/>
        <w:spacing w:before="0"/>
        <w:ind w:left="0" w:right="720"/>
        <w:rPr>
          <w:lang w:val="it-IT"/>
        </w:rPr>
      </w:pPr>
    </w:p>
    <w:p w:rsidR="00456002" w:rsidRPr="007B74B7" w:rsidRDefault="00456002" w:rsidP="00456002">
      <w:pPr>
        <w:pStyle w:val="Heading2"/>
        <w:ind w:left="0" w:right="720"/>
        <w:rPr>
          <w:lang w:val="it-IT"/>
        </w:rPr>
      </w:pPr>
      <w:bookmarkStart w:id="714" w:name="_Toc323819656"/>
      <w:bookmarkStart w:id="715" w:name="_Toc336338206"/>
      <w:bookmarkStart w:id="716" w:name="_Toc353375986"/>
      <w:r w:rsidRPr="007B74B7">
        <w:rPr>
          <w:rFonts w:ascii="Tahoma" w:hAnsi="Tahoma" w:cs="Tahoma"/>
          <w:lang w:val="it-IT"/>
        </w:rPr>
        <w:t>Licenze Work at Home</w:t>
      </w:r>
      <w:bookmarkEnd w:id="714"/>
      <w:bookmarkEnd w:id="715"/>
      <w:bookmarkEnd w:id="716"/>
    </w:p>
    <w:p w:rsidR="00456002" w:rsidRPr="007B74B7" w:rsidRDefault="00456002" w:rsidP="00B147AB">
      <w:pPr>
        <w:ind w:right="720"/>
        <w:rPr>
          <w:lang w:val="it-IT"/>
        </w:rPr>
      </w:pPr>
    </w:p>
    <w:p w:rsidR="00456002" w:rsidRPr="007B74B7" w:rsidRDefault="00456002" w:rsidP="00B147AB">
      <w:pPr>
        <w:pStyle w:val="AppendixIndent"/>
        <w:spacing w:before="0"/>
        <w:ind w:left="0" w:right="720"/>
        <w:rPr>
          <w:lang w:val="it-IT"/>
        </w:rPr>
      </w:pPr>
      <w:r w:rsidRPr="007B74B7">
        <w:rPr>
          <w:rFonts w:ascii="Tahoma" w:hAnsi="Tahoma" w:cs="Tahoma"/>
          <w:sz w:val="18"/>
          <w:lang w:val="it-IT"/>
        </w:rPr>
        <w:t>Disponibile nei seguenti programmi:</w:t>
      </w:r>
    </w:p>
    <w:p w:rsidR="00456002" w:rsidRPr="007B74B7" w:rsidRDefault="00456002" w:rsidP="00B147AB">
      <w:pPr>
        <w:pStyle w:val="AppendixBulletIndent"/>
        <w:ind w:left="0" w:right="720" w:firstLine="0"/>
        <w:rPr>
          <w:lang w:val="it-IT"/>
        </w:rPr>
      </w:pPr>
    </w:p>
    <w:p w:rsidR="00456002" w:rsidRPr="00BD7CEA" w:rsidRDefault="00456002" w:rsidP="007358C5">
      <w:pPr>
        <w:pStyle w:val="AppendixBulletIndent"/>
        <w:numPr>
          <w:ilvl w:val="0"/>
          <w:numId w:val="61"/>
        </w:numPr>
        <w:tabs>
          <w:tab w:val="clear" w:pos="360"/>
          <w:tab w:val="num" w:pos="1440"/>
        </w:tabs>
        <w:spacing w:after="60"/>
        <w:ind w:left="1440" w:right="720"/>
      </w:pPr>
      <w:r w:rsidRPr="00BD7CEA">
        <w:rPr>
          <w:rFonts w:ascii="Tahoma" w:hAnsi="Tahoma" w:cs="Tahoma"/>
          <w:sz w:val="18"/>
        </w:rPr>
        <w:t xml:space="preserve">Select </w:t>
      </w:r>
    </w:p>
    <w:p w:rsidR="00456002" w:rsidRPr="00BD7CEA" w:rsidRDefault="00456002" w:rsidP="007358C5">
      <w:pPr>
        <w:pStyle w:val="AppendixBulletIndent"/>
        <w:numPr>
          <w:ilvl w:val="0"/>
          <w:numId w:val="61"/>
        </w:numPr>
        <w:tabs>
          <w:tab w:val="clear" w:pos="360"/>
          <w:tab w:val="num" w:pos="1440"/>
        </w:tabs>
        <w:spacing w:after="60"/>
        <w:ind w:left="1440" w:right="720"/>
      </w:pPr>
      <w:r w:rsidRPr="00BD7CEA">
        <w:rPr>
          <w:rFonts w:ascii="Tahoma" w:hAnsi="Tahoma" w:cs="Tahoma"/>
          <w:sz w:val="18"/>
        </w:rPr>
        <w:t>Select Plus</w:t>
      </w:r>
    </w:p>
    <w:p w:rsidR="00456002" w:rsidRPr="00BD7CEA" w:rsidRDefault="00456002" w:rsidP="007358C5">
      <w:pPr>
        <w:pStyle w:val="AppendixBulletIndent"/>
        <w:numPr>
          <w:ilvl w:val="0"/>
          <w:numId w:val="61"/>
        </w:numPr>
        <w:tabs>
          <w:tab w:val="clear" w:pos="360"/>
          <w:tab w:val="num" w:pos="1440"/>
        </w:tabs>
        <w:ind w:left="1440" w:right="720"/>
      </w:pPr>
      <w:r w:rsidRPr="00BD7CEA">
        <w:rPr>
          <w:rFonts w:ascii="Tahoma" w:hAnsi="Tahoma" w:cs="Tahoma"/>
          <w:sz w:val="18"/>
        </w:rPr>
        <w:t>Contratto Enterprise</w:t>
      </w:r>
    </w:p>
    <w:p w:rsidR="00456002" w:rsidRPr="00BD7CEA" w:rsidRDefault="00456002" w:rsidP="00B147AB">
      <w:pPr>
        <w:pStyle w:val="AppendixBulletIndent"/>
        <w:ind w:left="0" w:right="720" w:firstLine="0"/>
        <w:rPr>
          <w:sz w:val="16"/>
          <w:szCs w:val="16"/>
        </w:rPr>
      </w:pPr>
    </w:p>
    <w:p w:rsidR="00023FE7" w:rsidRPr="007B74B7" w:rsidRDefault="00456002" w:rsidP="00A12176">
      <w:pPr>
        <w:rPr>
          <w:lang w:val="it-IT"/>
        </w:rPr>
      </w:pPr>
      <w:r w:rsidRPr="007B74B7">
        <w:rPr>
          <w:lang w:val="it-IT"/>
        </w:rPr>
        <w:t>Una licenza Work at Home potrà essere acquistata solo insieme a un prodotto autorizzato a essere eseguito su un desktop At Work. L</w:t>
      </w:r>
      <w:r w:rsidR="007A1415" w:rsidRPr="007B74B7">
        <w:rPr>
          <w:lang w:val="it-IT"/>
        </w:rPr>
        <w:t>’</w:t>
      </w:r>
      <w:r w:rsidRPr="007B74B7">
        <w:rPr>
          <w:lang w:val="it-IT"/>
        </w:rPr>
        <w:t>offerta Work at Home non è un</w:t>
      </w:r>
      <w:r w:rsidR="007A1415" w:rsidRPr="007B74B7">
        <w:rPr>
          <w:lang w:val="it-IT"/>
        </w:rPr>
        <w:t>’</w:t>
      </w:r>
      <w:r w:rsidRPr="007B74B7">
        <w:rPr>
          <w:lang w:val="it-IT"/>
        </w:rPr>
        <w:t>offerta di un piano di acquisti per dipendenti. La società con licenza Select, Select Plus o con Contratto Enterprise (non il dipendente) mantiene i diritti sulla licenza Work at Home.</w:t>
      </w:r>
      <w:r w:rsidR="008D782D" w:rsidRPr="007B74B7">
        <w:rPr>
          <w:lang w:val="it-IT"/>
        </w:rPr>
        <w:t xml:space="preserve"> </w:t>
      </w:r>
      <w:r w:rsidRPr="007B74B7">
        <w:rPr>
          <w:lang w:val="it-IT"/>
        </w:rPr>
        <w:t>Per i diritti relativi alla licenza Work at Home di cui dispongono gli istituti accademici idonei, fare riferimento al</w:t>
      </w:r>
      <w:r w:rsidR="00D867DD" w:rsidRPr="007B74B7">
        <w:rPr>
          <w:lang w:val="it-IT"/>
        </w:rPr>
        <w:t> </w:t>
      </w:r>
      <w:r w:rsidRPr="007B74B7">
        <w:rPr>
          <w:lang w:val="it-IT"/>
        </w:rPr>
        <w:t>Contratto/iscrizione.</w:t>
      </w:r>
      <w:r w:rsidR="008D782D" w:rsidRPr="007B74B7">
        <w:rPr>
          <w:lang w:val="it-IT"/>
        </w:rPr>
        <w:t xml:space="preserve"> </w:t>
      </w:r>
    </w:p>
    <w:p w:rsidR="00456002" w:rsidRPr="007B74B7" w:rsidRDefault="00023FE7" w:rsidP="003B23CC">
      <w:pPr>
        <w:pStyle w:val="Heading1"/>
        <w:rPr>
          <w:lang w:val="it-IT"/>
        </w:rPr>
      </w:pPr>
      <w:bookmarkStart w:id="717" w:name="_Section_5_–"/>
      <w:bookmarkStart w:id="718" w:name="_Articolo_5_-"/>
      <w:bookmarkStart w:id="719" w:name="_Toc336338207"/>
      <w:bookmarkStart w:id="720" w:name="_Toc353375987"/>
      <w:bookmarkEnd w:id="717"/>
      <w:bookmarkEnd w:id="718"/>
      <w:r w:rsidRPr="007B74B7">
        <w:rPr>
          <w:lang w:val="it-IT"/>
        </w:rPr>
        <w:lastRenderedPageBreak/>
        <w:t>Articolo 5</w:t>
      </w:r>
      <w:r w:rsidR="00FD7C0D" w:rsidRPr="007B74B7">
        <w:rPr>
          <w:lang w:val="it-IT"/>
        </w:rPr>
        <w:t xml:space="preserve"> – </w:t>
      </w:r>
      <w:bookmarkStart w:id="721" w:name="Sect5_OnlineServices"/>
      <w:r w:rsidRPr="007B74B7">
        <w:rPr>
          <w:lang w:val="it-IT"/>
        </w:rPr>
        <w:t>PREZZI DEI SERVIZI ONLINE E</w:t>
      </w:r>
      <w:r w:rsidR="002D3549" w:rsidRPr="007B74B7">
        <w:rPr>
          <w:lang w:val="it-IT"/>
        </w:rPr>
        <w:t> </w:t>
      </w:r>
      <w:r w:rsidRPr="007B74B7">
        <w:rPr>
          <w:lang w:val="it-IT"/>
        </w:rPr>
        <w:t>CONDIZIONI DI PAGAMENTO</w:t>
      </w:r>
      <w:bookmarkEnd w:id="719"/>
      <w:bookmarkEnd w:id="720"/>
      <w:bookmarkEnd w:id="721"/>
    </w:p>
    <w:p w:rsidR="00456002" w:rsidRPr="007B74B7" w:rsidRDefault="00456002" w:rsidP="00456002">
      <w:pPr>
        <w:outlineLvl w:val="2"/>
        <w:rPr>
          <w:lang w:val="it-IT"/>
        </w:rPr>
      </w:pPr>
    </w:p>
    <w:p w:rsidR="00456002" w:rsidRPr="00BD7CEA" w:rsidRDefault="00456002" w:rsidP="00212CC6">
      <w:pPr>
        <w:outlineLvl w:val="2"/>
      </w:pPr>
      <w:r w:rsidRPr="007B74B7">
        <w:rPr>
          <w:rFonts w:cs="Tahoma"/>
          <w:szCs w:val="18"/>
          <w:lang w:val="it-IT"/>
        </w:rPr>
        <w:t>I Servizi Online sono prodotti, che includono software con servizi, disponibili con la formula cosiddetta “subscription” nella modalità descritta nei Diritti di Utilizzo del Prodotto e forniti online.</w:t>
      </w:r>
      <w:r w:rsidR="008D782D" w:rsidRPr="007B74B7">
        <w:rPr>
          <w:rFonts w:cs="Tahoma"/>
          <w:szCs w:val="18"/>
          <w:lang w:val="it-IT"/>
        </w:rPr>
        <w:t xml:space="preserve"> </w:t>
      </w:r>
      <w:r w:rsidRPr="007B74B7">
        <w:rPr>
          <w:rFonts w:cs="Tahoma"/>
          <w:szCs w:val="18"/>
          <w:lang w:val="it-IT"/>
        </w:rPr>
        <w:t xml:space="preserve">Alcuni contratti multilicenza indirizzano le società alla Lista dei Prodotti per un elenco di “Servizi Online” disponibili. </w:t>
      </w:r>
      <w:r w:rsidRPr="00BD7CEA">
        <w:rPr>
          <w:rFonts w:cs="Tahoma"/>
          <w:szCs w:val="18"/>
        </w:rPr>
        <w:t>Ai fini di tale riferimento, i Servizi Online includono:</w:t>
      </w:r>
    </w:p>
    <w:p w:rsidR="002D25C8" w:rsidRPr="00BD7CEA" w:rsidRDefault="002D25C8" w:rsidP="00212CC6">
      <w:pPr>
        <w:outlineLvl w:val="2"/>
      </w:pPr>
    </w:p>
    <w:p w:rsidR="00456002" w:rsidRPr="00BD7CEA" w:rsidRDefault="00456002" w:rsidP="007358C5">
      <w:pPr>
        <w:numPr>
          <w:ilvl w:val="0"/>
          <w:numId w:val="66"/>
        </w:numPr>
        <w:spacing w:after="60"/>
      </w:pPr>
      <w:r w:rsidRPr="00BD7CEA">
        <w:rPr>
          <w:rFonts w:eastAsia="Calibri" w:cs="Tahoma"/>
          <w:color w:val="000000"/>
          <w:szCs w:val="18"/>
        </w:rPr>
        <w:t>Dynamics CRM Online</w:t>
      </w:r>
    </w:p>
    <w:p w:rsidR="00456002" w:rsidRPr="007B74B7" w:rsidRDefault="00456002" w:rsidP="007358C5">
      <w:pPr>
        <w:numPr>
          <w:ilvl w:val="0"/>
          <w:numId w:val="66"/>
        </w:numPr>
        <w:spacing w:after="60"/>
        <w:rPr>
          <w:lang w:val="it-IT"/>
        </w:rPr>
      </w:pPr>
      <w:r w:rsidRPr="007B74B7">
        <w:rPr>
          <w:rFonts w:eastAsia="Calibri" w:cs="Tahoma"/>
          <w:color w:val="000000"/>
          <w:szCs w:val="18"/>
          <w:lang w:val="it-IT"/>
        </w:rPr>
        <w:t>Archiviazione Exchange Online per Exchange Server</w:t>
      </w:r>
    </w:p>
    <w:p w:rsidR="00456002" w:rsidRPr="007B74B7" w:rsidRDefault="00456002" w:rsidP="007358C5">
      <w:pPr>
        <w:numPr>
          <w:ilvl w:val="0"/>
          <w:numId w:val="66"/>
        </w:numPr>
        <w:spacing w:after="60"/>
        <w:rPr>
          <w:lang w:val="it-IT"/>
        </w:rPr>
      </w:pPr>
      <w:r w:rsidRPr="007B74B7">
        <w:rPr>
          <w:rFonts w:eastAsia="Calibri" w:cs="Tahoma"/>
          <w:color w:val="000000"/>
          <w:szCs w:val="18"/>
          <w:lang w:val="it-IT"/>
        </w:rPr>
        <w:t xml:space="preserve">Chiosco Exchange Online, Piano 1 e Piano 2 </w:t>
      </w:r>
    </w:p>
    <w:p w:rsidR="00456002" w:rsidRPr="00BD7CEA" w:rsidRDefault="00456002" w:rsidP="007358C5">
      <w:pPr>
        <w:numPr>
          <w:ilvl w:val="0"/>
          <w:numId w:val="66"/>
        </w:numPr>
        <w:spacing w:after="60"/>
      </w:pPr>
      <w:r w:rsidRPr="00BD7CEA">
        <w:rPr>
          <w:rFonts w:eastAsia="Calibri" w:cs="Tahoma"/>
          <w:color w:val="000000"/>
          <w:szCs w:val="18"/>
        </w:rPr>
        <w:t>Lync Online Piano 1, 2 e 3</w:t>
      </w:r>
    </w:p>
    <w:p w:rsidR="00456002" w:rsidRPr="00BD7CEA" w:rsidRDefault="00456002" w:rsidP="007358C5">
      <w:pPr>
        <w:numPr>
          <w:ilvl w:val="0"/>
          <w:numId w:val="66"/>
        </w:numPr>
        <w:spacing w:after="60"/>
      </w:pPr>
      <w:r w:rsidRPr="00BD7CEA">
        <w:rPr>
          <w:rFonts w:eastAsia="Calibri" w:cs="Tahoma"/>
          <w:color w:val="000000"/>
          <w:szCs w:val="18"/>
        </w:rPr>
        <w:t>Microsoft Exchange Hosted Continuity</w:t>
      </w:r>
    </w:p>
    <w:p w:rsidR="00456002" w:rsidRPr="00BD7CEA" w:rsidRDefault="00456002" w:rsidP="007358C5">
      <w:pPr>
        <w:numPr>
          <w:ilvl w:val="0"/>
          <w:numId w:val="66"/>
        </w:numPr>
        <w:spacing w:after="60"/>
      </w:pPr>
      <w:r w:rsidRPr="00BD7CEA">
        <w:rPr>
          <w:rFonts w:eastAsia="Calibri" w:cs="Tahoma"/>
          <w:color w:val="000000"/>
          <w:szCs w:val="18"/>
        </w:rPr>
        <w:t>Microsoft Exchange Hosted Encryption</w:t>
      </w:r>
      <w:r w:rsidR="008D782D" w:rsidRPr="00BD7CEA">
        <w:rPr>
          <w:rFonts w:eastAsia="Calibri" w:cs="Tahoma"/>
          <w:color w:val="000000"/>
          <w:szCs w:val="18"/>
        </w:rPr>
        <w:t xml:space="preserve"> </w:t>
      </w:r>
    </w:p>
    <w:p w:rsidR="00456002" w:rsidRPr="007B74B7" w:rsidRDefault="00456002" w:rsidP="007358C5">
      <w:pPr>
        <w:numPr>
          <w:ilvl w:val="0"/>
          <w:numId w:val="66"/>
        </w:numPr>
        <w:spacing w:after="60"/>
        <w:rPr>
          <w:lang w:val="it-IT"/>
        </w:rPr>
      </w:pPr>
      <w:r w:rsidRPr="007B74B7">
        <w:rPr>
          <w:rFonts w:eastAsia="Calibri" w:cs="Tahoma"/>
          <w:color w:val="000000"/>
          <w:szCs w:val="18"/>
          <w:lang w:val="it-IT"/>
        </w:rPr>
        <w:t>Office 365 Enterprise K1, E1, E2, E3 ed E4</w:t>
      </w:r>
    </w:p>
    <w:p w:rsidR="00456002" w:rsidRPr="00BD7CEA" w:rsidRDefault="00456002" w:rsidP="007358C5">
      <w:pPr>
        <w:numPr>
          <w:ilvl w:val="0"/>
          <w:numId w:val="66"/>
        </w:numPr>
        <w:spacing w:after="60"/>
      </w:pPr>
      <w:r w:rsidRPr="00BD7CEA">
        <w:rPr>
          <w:rFonts w:eastAsia="Calibri" w:cs="Tahoma"/>
          <w:color w:val="000000"/>
          <w:szCs w:val="18"/>
        </w:rPr>
        <w:t>Lync Server Public Instant Messaging Connectivity con America Online (AOL) Instant Messaging Service e Windows Live Messenger Service</w:t>
      </w:r>
    </w:p>
    <w:p w:rsidR="00456002" w:rsidRPr="00BD7CEA" w:rsidRDefault="00456002" w:rsidP="007358C5">
      <w:pPr>
        <w:numPr>
          <w:ilvl w:val="0"/>
          <w:numId w:val="66"/>
        </w:numPr>
        <w:spacing w:after="60"/>
      </w:pPr>
      <w:r w:rsidRPr="00BD7CEA">
        <w:rPr>
          <w:rFonts w:eastAsia="Calibri" w:cs="Tahoma"/>
          <w:color w:val="000000"/>
          <w:szCs w:val="18"/>
        </w:rPr>
        <w:t xml:space="preserve">Lync Server Public Instant Messaging Connectivity con il Servizio Yahoo Instant Messaging </w:t>
      </w:r>
    </w:p>
    <w:p w:rsidR="00456002" w:rsidRPr="00BD7CEA" w:rsidRDefault="00456002" w:rsidP="007358C5">
      <w:pPr>
        <w:numPr>
          <w:ilvl w:val="0"/>
          <w:numId w:val="66"/>
        </w:numPr>
        <w:spacing w:after="60"/>
      </w:pPr>
      <w:r w:rsidRPr="00BD7CEA">
        <w:rPr>
          <w:rFonts w:eastAsia="Calibri" w:cs="Tahoma"/>
          <w:color w:val="000000"/>
          <w:szCs w:val="18"/>
        </w:rPr>
        <w:t xml:space="preserve">Office Groove Enterprise Services </w:t>
      </w:r>
    </w:p>
    <w:p w:rsidR="00061A45" w:rsidRPr="00BD7CEA" w:rsidRDefault="008368B4" w:rsidP="007358C5">
      <w:pPr>
        <w:numPr>
          <w:ilvl w:val="0"/>
          <w:numId w:val="66"/>
        </w:numPr>
        <w:spacing w:after="60"/>
      </w:pPr>
      <w:r w:rsidRPr="00BD7CEA">
        <w:rPr>
          <w:rFonts w:eastAsia="Calibri" w:cs="Tahoma"/>
          <w:color w:val="000000"/>
          <w:szCs w:val="18"/>
        </w:rPr>
        <w:t>Office 365 ProPlus</w:t>
      </w:r>
    </w:p>
    <w:p w:rsidR="00456002" w:rsidRPr="00BD7CEA" w:rsidRDefault="00456002" w:rsidP="007358C5">
      <w:pPr>
        <w:numPr>
          <w:ilvl w:val="0"/>
          <w:numId w:val="66"/>
        </w:numPr>
        <w:spacing w:after="60"/>
      </w:pPr>
      <w:r w:rsidRPr="00BD7CEA">
        <w:rPr>
          <w:rFonts w:eastAsia="Calibri" w:cs="Tahoma"/>
          <w:color w:val="000000"/>
          <w:szCs w:val="18"/>
        </w:rPr>
        <w:t>Office Live Meeting, Edizioni Standard e Professional</w:t>
      </w:r>
    </w:p>
    <w:p w:rsidR="008368B4" w:rsidRPr="00BD7CEA" w:rsidRDefault="008368B4" w:rsidP="007358C5">
      <w:pPr>
        <w:numPr>
          <w:ilvl w:val="0"/>
          <w:numId w:val="66"/>
        </w:numPr>
        <w:spacing w:after="60"/>
      </w:pPr>
      <w:r w:rsidRPr="00BD7CEA">
        <w:rPr>
          <w:rFonts w:eastAsia="Calibri" w:cs="Tahoma"/>
          <w:color w:val="000000"/>
          <w:szCs w:val="18"/>
        </w:rPr>
        <w:t>Project Online</w:t>
      </w:r>
    </w:p>
    <w:p w:rsidR="008368B4" w:rsidRPr="00BD7CEA" w:rsidRDefault="008368B4" w:rsidP="007358C5">
      <w:pPr>
        <w:numPr>
          <w:ilvl w:val="0"/>
          <w:numId w:val="66"/>
        </w:numPr>
        <w:spacing w:after="60"/>
      </w:pPr>
      <w:r w:rsidRPr="00BD7CEA">
        <w:rPr>
          <w:rFonts w:eastAsia="Calibri" w:cs="Tahoma"/>
          <w:color w:val="000000"/>
          <w:szCs w:val="18"/>
        </w:rPr>
        <w:t>Project Pro per Office 365</w:t>
      </w:r>
    </w:p>
    <w:p w:rsidR="00456002" w:rsidRPr="007B74B7" w:rsidRDefault="00456002" w:rsidP="007358C5">
      <w:pPr>
        <w:numPr>
          <w:ilvl w:val="0"/>
          <w:numId w:val="66"/>
        </w:numPr>
        <w:spacing w:after="60"/>
        <w:rPr>
          <w:lang w:val="it-IT"/>
        </w:rPr>
      </w:pPr>
      <w:r w:rsidRPr="007B74B7">
        <w:rPr>
          <w:rFonts w:eastAsia="Calibri" w:cs="Tahoma"/>
          <w:color w:val="000000"/>
          <w:szCs w:val="18"/>
          <w:lang w:val="it-IT"/>
        </w:rPr>
        <w:t xml:space="preserve">SharePoint Online Piano 1 e Piano 2 </w:t>
      </w:r>
    </w:p>
    <w:p w:rsidR="00456002" w:rsidRPr="00BD7CEA" w:rsidRDefault="00456002" w:rsidP="007358C5">
      <w:pPr>
        <w:numPr>
          <w:ilvl w:val="0"/>
          <w:numId w:val="66"/>
        </w:numPr>
        <w:spacing w:after="60"/>
      </w:pPr>
      <w:r w:rsidRPr="00BD7CEA">
        <w:rPr>
          <w:rFonts w:eastAsia="Calibri" w:cs="Tahoma"/>
          <w:color w:val="000000"/>
          <w:szCs w:val="18"/>
        </w:rPr>
        <w:t>System Center Advisor</w:t>
      </w:r>
    </w:p>
    <w:p w:rsidR="008368B4" w:rsidRPr="00BD7CEA" w:rsidRDefault="008368B4" w:rsidP="007358C5">
      <w:pPr>
        <w:numPr>
          <w:ilvl w:val="0"/>
          <w:numId w:val="66"/>
        </w:numPr>
        <w:spacing w:after="60"/>
      </w:pPr>
      <w:r w:rsidRPr="00BD7CEA">
        <w:rPr>
          <w:rFonts w:eastAsia="Calibri" w:cs="Tahoma"/>
          <w:color w:val="000000"/>
          <w:szCs w:val="18"/>
        </w:rPr>
        <w:t>Visio Pro per Office 365</w:t>
      </w:r>
    </w:p>
    <w:p w:rsidR="00456002" w:rsidRPr="00BD7CEA" w:rsidRDefault="00456002" w:rsidP="007358C5">
      <w:pPr>
        <w:numPr>
          <w:ilvl w:val="0"/>
          <w:numId w:val="66"/>
        </w:numPr>
        <w:spacing w:after="60"/>
      </w:pPr>
      <w:r w:rsidRPr="00BD7CEA">
        <w:rPr>
          <w:rFonts w:eastAsia="Calibri" w:cs="Tahoma"/>
          <w:color w:val="000000"/>
          <w:szCs w:val="18"/>
        </w:rPr>
        <w:t>Servizi di Windows Azure</w:t>
      </w:r>
    </w:p>
    <w:p w:rsidR="00456002" w:rsidRPr="00BD7CEA" w:rsidRDefault="00456002" w:rsidP="007358C5">
      <w:pPr>
        <w:numPr>
          <w:ilvl w:val="0"/>
          <w:numId w:val="66"/>
        </w:numPr>
        <w:spacing w:after="60"/>
      </w:pPr>
      <w:r w:rsidRPr="00BD7CEA">
        <w:rPr>
          <w:rFonts w:eastAsia="Calibri" w:cs="Tahoma"/>
          <w:color w:val="000000"/>
          <w:szCs w:val="18"/>
        </w:rPr>
        <w:t>Windows Intune e Componente Aggiuntivo per Windows Intune per System Center Configuration Manager e System Center EndPoint Protection</w:t>
      </w:r>
    </w:p>
    <w:p w:rsidR="002D25C8" w:rsidRPr="00BD7CEA" w:rsidRDefault="002D25C8" w:rsidP="00212CC6"/>
    <w:p w:rsidR="00456002" w:rsidRPr="007B74B7" w:rsidRDefault="00456002" w:rsidP="00116EDC">
      <w:pPr>
        <w:outlineLvl w:val="2"/>
        <w:rPr>
          <w:lang w:val="it-IT"/>
        </w:rPr>
      </w:pPr>
      <w:r w:rsidRPr="007B74B7">
        <w:rPr>
          <w:rFonts w:cs="Tahoma"/>
          <w:szCs w:val="18"/>
          <w:lang w:val="it-IT"/>
        </w:rPr>
        <w:t>Sono disponibili altre offerte oltre a queste che sono identificate nell</w:t>
      </w:r>
      <w:r w:rsidR="007A1415" w:rsidRPr="007B74B7">
        <w:rPr>
          <w:rFonts w:cs="Tahoma"/>
          <w:szCs w:val="18"/>
          <w:lang w:val="it-IT"/>
        </w:rPr>
        <w:t>’</w:t>
      </w:r>
      <w:r w:rsidRPr="007B74B7">
        <w:rPr>
          <w:rFonts w:cs="Tahoma"/>
          <w:szCs w:val="18"/>
          <w:lang w:val="it-IT"/>
        </w:rPr>
        <w:t>articolo Servizi Online dei Diritti di Utilizzo del</w:t>
      </w:r>
      <w:r w:rsidR="00487D97" w:rsidRPr="007B74B7">
        <w:rPr>
          <w:rFonts w:cs="Tahoma"/>
          <w:szCs w:val="18"/>
          <w:lang w:val="it-IT"/>
        </w:rPr>
        <w:t> </w:t>
      </w:r>
      <w:r w:rsidRPr="007B74B7">
        <w:rPr>
          <w:rFonts w:cs="Tahoma"/>
          <w:szCs w:val="18"/>
          <w:lang w:val="it-IT"/>
        </w:rPr>
        <w:t>Prodotto.</w:t>
      </w:r>
      <w:r w:rsidR="008D782D" w:rsidRPr="007B74B7">
        <w:rPr>
          <w:rFonts w:cs="Tahoma"/>
          <w:szCs w:val="18"/>
          <w:lang w:val="it-IT"/>
        </w:rPr>
        <w:t xml:space="preserve"> </w:t>
      </w:r>
      <w:r w:rsidRPr="007B74B7">
        <w:rPr>
          <w:rFonts w:cs="Tahoma"/>
          <w:szCs w:val="18"/>
          <w:lang w:val="it-IT"/>
        </w:rPr>
        <w:t>Gli articoli restanti di “Prezzi dei Servizi Online e Condizioni di Pagamento” si applicano sia ai Servizi Online identificati sopra per nome che a tali altre offerte.</w:t>
      </w:r>
    </w:p>
    <w:p w:rsidR="00116EDC" w:rsidRPr="007B74B7" w:rsidRDefault="00116EDC" w:rsidP="00116EDC">
      <w:pPr>
        <w:outlineLvl w:val="2"/>
        <w:rPr>
          <w:lang w:val="it-IT"/>
        </w:rPr>
      </w:pPr>
    </w:p>
    <w:p w:rsidR="00456002" w:rsidRPr="007B74B7" w:rsidRDefault="00456002" w:rsidP="00456002">
      <w:pPr>
        <w:pStyle w:val="Heading2"/>
        <w:ind w:left="0"/>
        <w:rPr>
          <w:lang w:val="it-IT"/>
        </w:rPr>
      </w:pPr>
      <w:bookmarkStart w:id="722" w:name="_Toc336338208"/>
      <w:bookmarkStart w:id="723" w:name="_Toc353375988"/>
      <w:r w:rsidRPr="007B74B7">
        <w:rPr>
          <w:rFonts w:ascii="Tahoma" w:hAnsi="Tahoma" w:cs="Tahoma"/>
          <w:lang w:val="it-IT"/>
        </w:rPr>
        <w:t>Periodo di Validità dell</w:t>
      </w:r>
      <w:r w:rsidR="007A1415" w:rsidRPr="007B74B7">
        <w:rPr>
          <w:rFonts w:ascii="Tahoma" w:hAnsi="Tahoma" w:cs="Tahoma"/>
          <w:lang w:val="it-IT"/>
        </w:rPr>
        <w:t>’</w:t>
      </w:r>
      <w:r w:rsidRPr="007B74B7">
        <w:rPr>
          <w:rFonts w:ascii="Tahoma" w:hAnsi="Tahoma" w:cs="Tahoma"/>
          <w:lang w:val="it-IT"/>
        </w:rPr>
        <w:t>Abbonamento ai Servizi Online</w:t>
      </w:r>
      <w:bookmarkEnd w:id="722"/>
      <w:bookmarkEnd w:id="723"/>
    </w:p>
    <w:p w:rsidR="00456002" w:rsidRPr="007B74B7" w:rsidRDefault="00456002" w:rsidP="00116EDC">
      <w:pPr>
        <w:outlineLvl w:val="2"/>
        <w:rPr>
          <w:lang w:val="it-IT"/>
        </w:rPr>
      </w:pPr>
    </w:p>
    <w:p w:rsidR="00456002" w:rsidRPr="007B74B7" w:rsidRDefault="00456002" w:rsidP="002D3549">
      <w:pPr>
        <w:outlineLvl w:val="2"/>
        <w:rPr>
          <w:lang w:val="it-IT"/>
        </w:rPr>
      </w:pPr>
      <w:r w:rsidRPr="007B74B7">
        <w:rPr>
          <w:rFonts w:cs="Tahoma"/>
          <w:szCs w:val="18"/>
          <w:lang w:val="it-IT"/>
        </w:rPr>
        <w:t>L</w:t>
      </w:r>
      <w:r w:rsidR="007A1415" w:rsidRPr="007B74B7">
        <w:rPr>
          <w:rFonts w:cs="Tahoma"/>
          <w:szCs w:val="18"/>
          <w:lang w:val="it-IT"/>
        </w:rPr>
        <w:t>’</w:t>
      </w:r>
      <w:r w:rsidRPr="007B74B7">
        <w:rPr>
          <w:rFonts w:cs="Tahoma"/>
          <w:szCs w:val="18"/>
          <w:lang w:val="it-IT"/>
        </w:rPr>
        <w:t>acquisto iniziale di un nuovo abbonamento per i servizi online determinerà il periodo di validità dell</w:t>
      </w:r>
      <w:r w:rsidR="007A1415" w:rsidRPr="007B74B7">
        <w:rPr>
          <w:rFonts w:cs="Tahoma"/>
          <w:szCs w:val="18"/>
          <w:lang w:val="it-IT"/>
        </w:rPr>
        <w:t>’</w:t>
      </w:r>
      <w:r w:rsidRPr="007B74B7">
        <w:rPr>
          <w:rFonts w:cs="Tahoma"/>
          <w:szCs w:val="18"/>
          <w:lang w:val="it-IT"/>
        </w:rPr>
        <w:t>abbonamento.</w:t>
      </w:r>
      <w:r w:rsidR="008D782D" w:rsidRPr="007B74B7">
        <w:rPr>
          <w:rFonts w:cs="Tahoma"/>
          <w:szCs w:val="18"/>
          <w:lang w:val="it-IT"/>
        </w:rPr>
        <w:t xml:space="preserve"> </w:t>
      </w:r>
      <w:r w:rsidRPr="007B74B7">
        <w:rPr>
          <w:rFonts w:cs="Tahoma"/>
          <w:szCs w:val="18"/>
          <w:lang w:val="it-IT"/>
        </w:rPr>
        <w:t>Alcuni servizi consentono a una società di scegliere un periodo di abbonamento annuale o un abbonamento che termini il giorno stesso della scadenza del periodo di validità del contratto o dell</w:t>
      </w:r>
      <w:r w:rsidR="007A1415" w:rsidRPr="007B74B7">
        <w:rPr>
          <w:rFonts w:cs="Tahoma"/>
          <w:szCs w:val="18"/>
          <w:lang w:val="it-IT"/>
        </w:rPr>
        <w:t>’</w:t>
      </w:r>
      <w:r w:rsidRPr="007B74B7">
        <w:rPr>
          <w:rFonts w:cs="Tahoma"/>
          <w:szCs w:val="18"/>
          <w:lang w:val="it-IT"/>
        </w:rPr>
        <w:t>iscrizione delle società (“scadenza identica”) come indicato nella seguente tabella.</w:t>
      </w:r>
      <w:r w:rsidR="008D782D" w:rsidRPr="007B74B7">
        <w:rPr>
          <w:rFonts w:cs="Tahoma"/>
          <w:szCs w:val="18"/>
          <w:lang w:val="it-IT"/>
        </w:rPr>
        <w:t xml:space="preserve"> </w:t>
      </w:r>
      <w:r w:rsidRPr="007B74B7">
        <w:rPr>
          <w:rFonts w:cs="Tahoma"/>
          <w:szCs w:val="18"/>
          <w:lang w:val="it-IT"/>
        </w:rPr>
        <w:t>Select Plus non offre la possibilità di periodi di validità con scadenza identica, ma consente alla società di scegliere tra periodi di validità dell</w:t>
      </w:r>
      <w:r w:rsidR="007A1415" w:rsidRPr="007B74B7">
        <w:rPr>
          <w:rFonts w:cs="Tahoma"/>
          <w:szCs w:val="18"/>
          <w:lang w:val="it-IT"/>
        </w:rPr>
        <w:t>’</w:t>
      </w:r>
      <w:r w:rsidRPr="007B74B7">
        <w:rPr>
          <w:rFonts w:cs="Tahoma"/>
          <w:szCs w:val="18"/>
          <w:lang w:val="it-IT"/>
        </w:rPr>
        <w:t>abbonamento della durata di 1 anno, 3</w:t>
      </w:r>
      <w:r w:rsidR="00554926" w:rsidRPr="007B74B7">
        <w:rPr>
          <w:rFonts w:cs="Tahoma"/>
          <w:szCs w:val="18"/>
          <w:lang w:val="it-IT"/>
        </w:rPr>
        <w:t> </w:t>
      </w:r>
      <w:r w:rsidRPr="007B74B7">
        <w:rPr>
          <w:rFonts w:cs="Tahoma"/>
          <w:szCs w:val="18"/>
          <w:lang w:val="it-IT"/>
        </w:rPr>
        <w:t>anni</w:t>
      </w:r>
      <w:r w:rsidR="00554926" w:rsidRPr="007B74B7">
        <w:rPr>
          <w:rFonts w:cs="Tahoma"/>
          <w:szCs w:val="18"/>
          <w:lang w:val="it-IT"/>
        </w:rPr>
        <w:t> </w:t>
      </w:r>
      <w:r w:rsidRPr="007B74B7">
        <w:rPr>
          <w:rFonts w:cs="Tahoma"/>
          <w:szCs w:val="18"/>
          <w:lang w:val="it-IT"/>
        </w:rPr>
        <w:t>o</w:t>
      </w:r>
      <w:r w:rsidR="002D3549" w:rsidRPr="007B74B7">
        <w:rPr>
          <w:rFonts w:cs="Tahoma"/>
          <w:szCs w:val="18"/>
          <w:lang w:val="it-IT"/>
        </w:rPr>
        <w:t> </w:t>
      </w:r>
      <w:r w:rsidRPr="007B74B7">
        <w:rPr>
          <w:rFonts w:cs="Tahoma"/>
          <w:szCs w:val="18"/>
          <w:lang w:val="it-IT"/>
        </w:rPr>
        <w:t>di allineare il periodo di validità alla seconda ricorrenza a partire dalla data di inizio.</w:t>
      </w:r>
      <w:r w:rsidR="008D782D" w:rsidRPr="007B74B7">
        <w:rPr>
          <w:rFonts w:cs="Tahoma"/>
          <w:szCs w:val="18"/>
          <w:lang w:val="it-IT"/>
        </w:rPr>
        <w:t xml:space="preserve"> </w:t>
      </w:r>
      <w:r w:rsidRPr="007B74B7">
        <w:rPr>
          <w:rFonts w:cs="Tahoma"/>
          <w:szCs w:val="18"/>
          <w:lang w:val="it-IT"/>
        </w:rPr>
        <w:t>Il periodo di validità annuale dell</w:t>
      </w:r>
      <w:r w:rsidR="007A1415" w:rsidRPr="007B74B7">
        <w:rPr>
          <w:rFonts w:cs="Tahoma"/>
          <w:szCs w:val="18"/>
          <w:lang w:val="it-IT"/>
        </w:rPr>
        <w:t>’</w:t>
      </w:r>
      <w:r w:rsidRPr="007B74B7">
        <w:rPr>
          <w:rFonts w:cs="Tahoma"/>
          <w:szCs w:val="18"/>
          <w:lang w:val="it-IT"/>
        </w:rPr>
        <w:t>abbonamento potrebbe non allinearsi alla data di scadenza del contratto della società né terminare in tale data.</w:t>
      </w:r>
      <w:r w:rsidR="008D782D" w:rsidRPr="007B74B7">
        <w:rPr>
          <w:rFonts w:cs="Tahoma"/>
          <w:szCs w:val="18"/>
          <w:lang w:val="it-IT"/>
        </w:rPr>
        <w:t xml:space="preserve"> </w:t>
      </w:r>
      <w:r w:rsidRPr="007B74B7">
        <w:rPr>
          <w:rFonts w:cs="Tahoma"/>
          <w:szCs w:val="18"/>
          <w:lang w:val="it-IT"/>
        </w:rPr>
        <w:t>Qualora il periodo di validità dell</w:t>
      </w:r>
      <w:r w:rsidR="007A1415" w:rsidRPr="007B74B7">
        <w:rPr>
          <w:rFonts w:cs="Tahoma"/>
          <w:szCs w:val="18"/>
          <w:lang w:val="it-IT"/>
        </w:rPr>
        <w:t>’</w:t>
      </w:r>
      <w:r w:rsidRPr="007B74B7">
        <w:rPr>
          <w:rFonts w:cs="Tahoma"/>
          <w:szCs w:val="18"/>
          <w:lang w:val="it-IT"/>
        </w:rPr>
        <w:t>abbonamento annuale termini dopo il contratto, la società dovrà disporre di un contratto multilicenza (Volume Licensing) attivo per ordinare licenze aggiuntive o rinnovare il servizio.</w:t>
      </w:r>
      <w:r w:rsidR="008D782D" w:rsidRPr="007B74B7">
        <w:rPr>
          <w:rFonts w:cs="Tahoma"/>
          <w:szCs w:val="18"/>
          <w:lang w:val="it-IT"/>
        </w:rPr>
        <w:t xml:space="preserve"> </w:t>
      </w:r>
      <w:r w:rsidRPr="007B74B7">
        <w:rPr>
          <w:rFonts w:cs="Tahoma"/>
          <w:szCs w:val="18"/>
          <w:lang w:val="it-IT"/>
        </w:rPr>
        <w:t>Qualora la società effettui acquisti aggiuntivi di un servizio, il periodo di validità dell</w:t>
      </w:r>
      <w:r w:rsidR="007A1415" w:rsidRPr="007B74B7">
        <w:rPr>
          <w:rFonts w:cs="Tahoma"/>
          <w:szCs w:val="18"/>
          <w:lang w:val="it-IT"/>
        </w:rPr>
        <w:t>’</w:t>
      </w:r>
      <w:r w:rsidRPr="007B74B7">
        <w:rPr>
          <w:rFonts w:cs="Tahoma"/>
          <w:szCs w:val="18"/>
          <w:lang w:val="it-IT"/>
        </w:rPr>
        <w:t>abbonamento per l</w:t>
      </w:r>
      <w:r w:rsidR="007A1415" w:rsidRPr="007B74B7">
        <w:rPr>
          <w:rFonts w:cs="Tahoma"/>
          <w:szCs w:val="18"/>
          <w:lang w:val="it-IT"/>
        </w:rPr>
        <w:t>’</w:t>
      </w:r>
      <w:r w:rsidRPr="007B74B7">
        <w:rPr>
          <w:rFonts w:cs="Tahoma"/>
          <w:szCs w:val="18"/>
          <w:lang w:val="it-IT"/>
        </w:rPr>
        <w:t>acquisto aggiuntivo dovrà allinearsi al periodo di validità dell</w:t>
      </w:r>
      <w:r w:rsidR="007A1415" w:rsidRPr="007B74B7">
        <w:rPr>
          <w:rFonts w:cs="Tahoma"/>
          <w:szCs w:val="18"/>
          <w:lang w:val="it-IT"/>
        </w:rPr>
        <w:t>’</w:t>
      </w:r>
      <w:r w:rsidRPr="007B74B7">
        <w:rPr>
          <w:rFonts w:cs="Tahoma"/>
          <w:szCs w:val="18"/>
          <w:lang w:val="it-IT"/>
        </w:rPr>
        <w:t>abbonamento esistente della società per lo stesso servizio.</w:t>
      </w:r>
      <w:r w:rsidR="008D782D" w:rsidRPr="007B74B7">
        <w:rPr>
          <w:rFonts w:cs="Tahoma"/>
          <w:szCs w:val="18"/>
          <w:lang w:val="it-IT"/>
        </w:rPr>
        <w:t xml:space="preserve"> </w:t>
      </w:r>
      <w:r w:rsidRPr="007B74B7">
        <w:rPr>
          <w:rFonts w:cs="Tahoma"/>
          <w:szCs w:val="18"/>
          <w:lang w:val="it-IT"/>
        </w:rPr>
        <w:t xml:space="preserve">Nel caso in cui </w:t>
      </w:r>
      <w:r w:rsidR="002D3549" w:rsidRPr="007B74B7">
        <w:rPr>
          <w:rFonts w:cs="Tahoma"/>
          <w:szCs w:val="18"/>
          <w:lang w:val="it-IT"/>
        </w:rPr>
        <w:t>I </w:t>
      </w:r>
      <w:r w:rsidRPr="007B74B7">
        <w:rPr>
          <w:rFonts w:cs="Tahoma"/>
          <w:szCs w:val="18"/>
          <w:lang w:val="it-IT"/>
        </w:rPr>
        <w:t>prezzi degli ordini aggiuntivi di prodotti o servizi non siano indicati nel contratto esistente della società, il prezzo addebitato alla parte che riceverà la fattura per le quantità di servizi aggiuntivi sarà identico al prezzo dell</w:t>
      </w:r>
      <w:r w:rsidR="007A1415" w:rsidRPr="007B74B7">
        <w:rPr>
          <w:rFonts w:cs="Tahoma"/>
          <w:szCs w:val="18"/>
          <w:lang w:val="it-IT"/>
        </w:rPr>
        <w:t>’</w:t>
      </w:r>
      <w:r w:rsidRPr="007B74B7">
        <w:rPr>
          <w:rFonts w:cs="Tahoma"/>
          <w:szCs w:val="18"/>
          <w:lang w:val="it-IT"/>
        </w:rPr>
        <w:t>acquisto iniziale.</w:t>
      </w:r>
      <w:r w:rsidR="008D782D" w:rsidRPr="007B74B7">
        <w:rPr>
          <w:rFonts w:cs="Tahoma"/>
          <w:szCs w:val="18"/>
          <w:lang w:val="it-IT"/>
        </w:rPr>
        <w:t xml:space="preserve"> </w:t>
      </w:r>
      <w:r w:rsidRPr="007B74B7">
        <w:rPr>
          <w:rFonts w:cs="Tahoma"/>
          <w:szCs w:val="18"/>
          <w:lang w:val="it-IT"/>
        </w:rPr>
        <w:t>Informazioni specifiche sui Servizi di Windows Azure sono disponibili nell</w:t>
      </w:r>
      <w:r w:rsidR="007A1415" w:rsidRPr="007B74B7">
        <w:rPr>
          <w:rFonts w:cs="Tahoma"/>
          <w:szCs w:val="18"/>
          <w:lang w:val="it-IT"/>
        </w:rPr>
        <w:t>’</w:t>
      </w:r>
      <w:r w:rsidRPr="007B74B7">
        <w:rPr>
          <w:rFonts w:cs="Tahoma"/>
          <w:szCs w:val="18"/>
          <w:lang w:val="it-IT"/>
        </w:rPr>
        <w:t xml:space="preserve">Articolo corrispondente che segue. </w:t>
      </w: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7B74B7"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456002" w:rsidRPr="007B74B7" w:rsidRDefault="00456002" w:rsidP="005C647E">
            <w:pPr>
              <w:jc w:val="center"/>
              <w:rPr>
                <w:rFonts w:eastAsia="Calibri" w:cs="Tahoma"/>
                <w:b/>
                <w:bCs/>
                <w:sz w:val="20"/>
                <w:szCs w:val="18"/>
                <w:lang w:val="it-IT"/>
              </w:rPr>
            </w:pPr>
            <w:r w:rsidRPr="007B74B7">
              <w:rPr>
                <w:rFonts w:eastAsia="Calibri" w:cs="Tahoma"/>
                <w:b/>
                <w:bCs/>
                <w:sz w:val="20"/>
                <w:szCs w:val="18"/>
                <w:lang w:val="it-IT"/>
              </w:rPr>
              <w:lastRenderedPageBreak/>
              <w:t>Servizi Online disponibili sia per Periodi di Validità Abbonamento di 1 anno che quelli con Scadenze Identiche</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rsidR="00456002" w:rsidRPr="007B74B7" w:rsidRDefault="00456002" w:rsidP="005C647E">
            <w:pPr>
              <w:jc w:val="center"/>
              <w:rPr>
                <w:rFonts w:eastAsia="Calibri" w:cs="Tahoma"/>
                <w:b/>
                <w:bCs/>
                <w:sz w:val="20"/>
                <w:szCs w:val="18"/>
                <w:lang w:val="it-IT"/>
              </w:rPr>
            </w:pPr>
            <w:r w:rsidRPr="007B74B7">
              <w:rPr>
                <w:rFonts w:eastAsia="Calibri" w:cs="Tahoma"/>
                <w:b/>
                <w:bCs/>
                <w:sz w:val="20"/>
                <w:szCs w:val="18"/>
                <w:lang w:val="it-IT"/>
              </w:rPr>
              <w:t>Servizi Online disponibili solo per Periodi di Validità Abbonamento con Scadenze Identiche</w:t>
            </w:r>
          </w:p>
        </w:tc>
      </w:tr>
      <w:tr w:rsidR="00456002" w:rsidRPr="00BD7CEA"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56002" w:rsidRPr="00BD7CEA" w:rsidRDefault="00456002" w:rsidP="007358C5">
            <w:pPr>
              <w:numPr>
                <w:ilvl w:val="0"/>
                <w:numId w:val="67"/>
              </w:numPr>
              <w:spacing w:after="60"/>
              <w:ind w:left="720" w:right="259"/>
            </w:pPr>
            <w:r w:rsidRPr="00BD7CEA">
              <w:rPr>
                <w:rFonts w:eastAsia="Calibri" w:cs="Tahoma"/>
                <w:color w:val="000000"/>
                <w:szCs w:val="18"/>
              </w:rPr>
              <w:t>Bing Maps Professional</w:t>
            </w:r>
          </w:p>
          <w:p w:rsidR="00456002" w:rsidRPr="00BD7CEA" w:rsidRDefault="00456002" w:rsidP="007358C5">
            <w:pPr>
              <w:numPr>
                <w:ilvl w:val="0"/>
                <w:numId w:val="67"/>
              </w:numPr>
              <w:spacing w:after="60"/>
              <w:ind w:left="720" w:right="259"/>
            </w:pPr>
            <w:r w:rsidRPr="00BD7CEA">
              <w:rPr>
                <w:rFonts w:eastAsia="Calibri" w:cs="Tahoma"/>
                <w:color w:val="000000"/>
                <w:szCs w:val="18"/>
              </w:rPr>
              <w:t>Exchange Online Protection</w:t>
            </w:r>
          </w:p>
          <w:p w:rsidR="00456002" w:rsidRPr="00BD7CEA" w:rsidRDefault="00456002" w:rsidP="007358C5">
            <w:pPr>
              <w:numPr>
                <w:ilvl w:val="0"/>
                <w:numId w:val="67"/>
              </w:numPr>
              <w:spacing w:after="60"/>
              <w:ind w:left="720" w:right="259"/>
            </w:pPr>
            <w:r w:rsidRPr="00BD7CEA">
              <w:rPr>
                <w:rFonts w:eastAsia="Calibri" w:cs="Tahoma"/>
                <w:color w:val="000000"/>
                <w:szCs w:val="18"/>
              </w:rPr>
              <w:t>Forefront Protection 2010 for Exchange Server</w:t>
            </w:r>
          </w:p>
          <w:p w:rsidR="00456002" w:rsidRPr="00BD7CEA" w:rsidRDefault="00456002" w:rsidP="007358C5">
            <w:pPr>
              <w:numPr>
                <w:ilvl w:val="0"/>
                <w:numId w:val="67"/>
              </w:numPr>
              <w:spacing w:after="60"/>
              <w:ind w:left="720" w:right="259"/>
            </w:pPr>
            <w:r w:rsidRPr="00BD7CEA">
              <w:rPr>
                <w:rFonts w:eastAsia="Calibri" w:cs="Tahoma"/>
                <w:color w:val="000000"/>
                <w:szCs w:val="18"/>
              </w:rPr>
              <w:t xml:space="preserve">Forefront Protection 2010 for SharePoint </w:t>
            </w:r>
          </w:p>
          <w:p w:rsidR="00456002" w:rsidRPr="00BD7CEA" w:rsidRDefault="00456002" w:rsidP="007358C5">
            <w:pPr>
              <w:numPr>
                <w:ilvl w:val="0"/>
                <w:numId w:val="67"/>
              </w:numPr>
              <w:spacing w:after="60"/>
              <w:ind w:left="720" w:right="259"/>
            </w:pPr>
            <w:r w:rsidRPr="00BD7CEA">
              <w:rPr>
                <w:rFonts w:eastAsia="Calibri" w:cs="Tahoma"/>
                <w:color w:val="000000"/>
                <w:szCs w:val="18"/>
              </w:rPr>
              <w:t>Forefront Protection Suite</w:t>
            </w:r>
          </w:p>
          <w:p w:rsidR="00456002" w:rsidRPr="00BD7CEA" w:rsidRDefault="00456002" w:rsidP="007358C5">
            <w:pPr>
              <w:numPr>
                <w:ilvl w:val="0"/>
                <w:numId w:val="67"/>
              </w:numPr>
              <w:spacing w:after="60"/>
              <w:ind w:left="720" w:right="259"/>
            </w:pPr>
            <w:r w:rsidRPr="00BD7CEA">
              <w:rPr>
                <w:rFonts w:eastAsia="Calibri" w:cs="Tahoma"/>
                <w:color w:val="000000"/>
                <w:szCs w:val="18"/>
              </w:rPr>
              <w:t>Forefront Security for Office Communications Server</w:t>
            </w:r>
          </w:p>
          <w:p w:rsidR="00456002" w:rsidRPr="00BD7CEA" w:rsidRDefault="00456002" w:rsidP="007358C5">
            <w:pPr>
              <w:numPr>
                <w:ilvl w:val="0"/>
                <w:numId w:val="67"/>
              </w:numPr>
              <w:spacing w:after="60"/>
              <w:ind w:left="720" w:right="259"/>
            </w:pPr>
            <w:r w:rsidRPr="00BD7CEA">
              <w:rPr>
                <w:rFonts w:eastAsia="Calibri" w:cs="Tahoma"/>
                <w:color w:val="000000"/>
                <w:szCs w:val="18"/>
              </w:rPr>
              <w:t>Forefront Threat Management Gateway Web Protection Service</w:t>
            </w:r>
          </w:p>
          <w:p w:rsidR="00456002" w:rsidRPr="00BD7CEA" w:rsidRDefault="00456002" w:rsidP="007358C5">
            <w:pPr>
              <w:numPr>
                <w:ilvl w:val="0"/>
                <w:numId w:val="67"/>
              </w:numPr>
              <w:spacing w:after="60"/>
              <w:ind w:left="720" w:right="259"/>
            </w:pPr>
            <w:r w:rsidRPr="00BD7CEA">
              <w:rPr>
                <w:rFonts w:eastAsia="Calibri" w:cs="Tahoma"/>
                <w:color w:val="000000"/>
                <w:szCs w:val="18"/>
              </w:rPr>
              <w:t>Lync Server Public Instant Messaging Connectivity con America Online (AOL) Instant Messaging Service e Windows Live Messenger Service</w:t>
            </w:r>
          </w:p>
          <w:p w:rsidR="00456002" w:rsidRPr="00BD7CEA" w:rsidRDefault="00456002" w:rsidP="007358C5">
            <w:pPr>
              <w:numPr>
                <w:ilvl w:val="0"/>
                <w:numId w:val="67"/>
              </w:numPr>
              <w:spacing w:after="60"/>
              <w:ind w:left="720" w:right="259"/>
            </w:pPr>
            <w:r w:rsidRPr="00BD7CEA">
              <w:rPr>
                <w:rFonts w:eastAsia="Calibri" w:cs="Tahoma"/>
                <w:color w:val="000000"/>
                <w:szCs w:val="18"/>
              </w:rPr>
              <w:t xml:space="preserve">Lync Server Public Instant Messaging Connectivity con il Servizio Yahoo Instant Messaging </w:t>
            </w:r>
          </w:p>
          <w:p w:rsidR="00456002" w:rsidRPr="00BD7CEA" w:rsidRDefault="00456002" w:rsidP="007358C5">
            <w:pPr>
              <w:numPr>
                <w:ilvl w:val="0"/>
                <w:numId w:val="67"/>
              </w:numPr>
              <w:spacing w:after="60"/>
              <w:ind w:left="720" w:right="259"/>
            </w:pPr>
            <w:r w:rsidRPr="00BD7CEA">
              <w:rPr>
                <w:rFonts w:eastAsia="Calibri" w:cs="Tahoma"/>
                <w:color w:val="000000"/>
                <w:szCs w:val="18"/>
              </w:rPr>
              <w:t>Microsoft Exchange Hosted Encryption</w:t>
            </w:r>
            <w:r w:rsidR="008D782D" w:rsidRPr="00BD7CEA">
              <w:rPr>
                <w:rFonts w:eastAsia="Calibri" w:cs="Tahoma"/>
                <w:color w:val="000000"/>
                <w:szCs w:val="18"/>
              </w:rPr>
              <w:t xml:space="preserve"> </w:t>
            </w:r>
          </w:p>
          <w:p w:rsidR="00456002" w:rsidRPr="00BD7CEA" w:rsidRDefault="00456002" w:rsidP="007358C5">
            <w:pPr>
              <w:numPr>
                <w:ilvl w:val="0"/>
                <w:numId w:val="67"/>
              </w:numPr>
              <w:spacing w:after="60"/>
              <w:ind w:left="720" w:right="259"/>
            </w:pPr>
            <w:r w:rsidRPr="00BD7CEA">
              <w:rPr>
                <w:rFonts w:eastAsia="Calibri" w:cs="Tahoma"/>
                <w:color w:val="000000"/>
                <w:szCs w:val="18"/>
              </w:rPr>
              <w:t>Microsoft Learning Solutions</w:t>
            </w:r>
          </w:p>
          <w:p w:rsidR="00456002" w:rsidRPr="00BD7CEA" w:rsidRDefault="00456002" w:rsidP="007358C5">
            <w:pPr>
              <w:numPr>
                <w:ilvl w:val="0"/>
                <w:numId w:val="67"/>
              </w:numPr>
              <w:spacing w:after="60"/>
              <w:ind w:left="720" w:right="259"/>
            </w:pPr>
            <w:r w:rsidRPr="00BD7CEA">
              <w:rPr>
                <w:rFonts w:eastAsia="Calibri" w:cs="Tahoma"/>
                <w:color w:val="000000"/>
                <w:szCs w:val="18"/>
              </w:rPr>
              <w:t>Office Groove Enterprise Services</w:t>
            </w:r>
          </w:p>
          <w:p w:rsidR="00456002" w:rsidRPr="00BD7CEA" w:rsidRDefault="00456002" w:rsidP="007358C5">
            <w:pPr>
              <w:numPr>
                <w:ilvl w:val="0"/>
                <w:numId w:val="67"/>
              </w:numPr>
              <w:spacing w:after="60"/>
              <w:ind w:left="720" w:right="259"/>
            </w:pPr>
            <w:r w:rsidRPr="00BD7CEA">
              <w:rPr>
                <w:rFonts w:eastAsia="Calibri" w:cs="Tahoma"/>
                <w:color w:val="000000"/>
                <w:szCs w:val="18"/>
              </w:rPr>
              <w:t>System Center 2012 Endpoint Protection</w:t>
            </w:r>
          </w:p>
          <w:p w:rsidR="00456002" w:rsidRPr="00BD7CEA" w:rsidRDefault="00456002" w:rsidP="007358C5">
            <w:pPr>
              <w:numPr>
                <w:ilvl w:val="0"/>
                <w:numId w:val="67"/>
              </w:numPr>
              <w:spacing w:after="60"/>
              <w:ind w:left="720" w:right="259"/>
            </w:pPr>
            <w:r w:rsidRPr="00BD7CEA">
              <w:rPr>
                <w:rFonts w:eastAsia="Calibri" w:cs="Tahoma"/>
                <w:color w:val="000000"/>
                <w:szCs w:val="18"/>
              </w:rPr>
              <w:t xml:space="preserve">Web Antimalware Subscription per Forefront Threat Management Gateway Medium Business Edition </w:t>
            </w:r>
          </w:p>
          <w:p w:rsidR="00456002" w:rsidRPr="00BD7CEA" w:rsidRDefault="00456002" w:rsidP="007358C5">
            <w:pPr>
              <w:numPr>
                <w:ilvl w:val="0"/>
                <w:numId w:val="67"/>
              </w:numPr>
              <w:spacing w:after="60"/>
              <w:ind w:left="720" w:right="259"/>
              <w:rPr>
                <w:rFonts w:eastAsia="Calibri" w:cs="Tahoma"/>
                <w:color w:val="000000"/>
                <w:szCs w:val="18"/>
              </w:rPr>
            </w:pPr>
            <w:r w:rsidRPr="00BD7CEA">
              <w:rPr>
                <w:rFonts w:eastAsia="Calibri" w:cs="Tahoma"/>
                <w:color w:val="000000"/>
                <w:szCs w:val="18"/>
              </w:rPr>
              <w:t>Servizi di Windows Azure</w:t>
            </w: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rsidR="00456002" w:rsidRPr="00BD7CEA" w:rsidRDefault="00456002" w:rsidP="007358C5">
            <w:pPr>
              <w:numPr>
                <w:ilvl w:val="0"/>
                <w:numId w:val="68"/>
              </w:numPr>
              <w:spacing w:after="60"/>
              <w:ind w:left="576" w:right="187"/>
            </w:pPr>
            <w:r w:rsidRPr="00BD7CEA">
              <w:rPr>
                <w:rFonts w:eastAsia="Calibri" w:cs="Tahoma"/>
                <w:color w:val="000000"/>
                <w:szCs w:val="18"/>
              </w:rPr>
              <w:t xml:space="preserve">Dynamics CRM Online </w:t>
            </w:r>
          </w:p>
          <w:p w:rsidR="00456002" w:rsidRPr="00BD7CEA" w:rsidRDefault="00456002" w:rsidP="007358C5">
            <w:pPr>
              <w:numPr>
                <w:ilvl w:val="0"/>
                <w:numId w:val="68"/>
              </w:numPr>
              <w:spacing w:after="60"/>
              <w:ind w:left="576" w:right="187"/>
            </w:pPr>
            <w:r w:rsidRPr="00BD7CEA">
              <w:rPr>
                <w:rFonts w:eastAsia="Calibri" w:cs="Tahoma"/>
                <w:color w:val="000000"/>
                <w:szCs w:val="18"/>
              </w:rPr>
              <w:t>Dynamics Mobile</w:t>
            </w:r>
          </w:p>
          <w:p w:rsidR="00456002" w:rsidRPr="00BD7CEA" w:rsidRDefault="00456002" w:rsidP="007358C5">
            <w:pPr>
              <w:numPr>
                <w:ilvl w:val="0"/>
                <w:numId w:val="68"/>
              </w:numPr>
              <w:spacing w:after="60"/>
              <w:ind w:left="576" w:right="187"/>
            </w:pPr>
            <w:r w:rsidRPr="00BD7CEA">
              <w:rPr>
                <w:rFonts w:eastAsia="Calibri" w:cs="Tahoma"/>
                <w:color w:val="000000"/>
                <w:szCs w:val="18"/>
              </w:rPr>
              <w:t>Dynamics Onprem Mobile</w:t>
            </w:r>
          </w:p>
          <w:p w:rsidR="009B3FA2" w:rsidRPr="00BD7CEA" w:rsidRDefault="009B3FA2" w:rsidP="007358C5">
            <w:pPr>
              <w:numPr>
                <w:ilvl w:val="0"/>
                <w:numId w:val="68"/>
              </w:numPr>
              <w:spacing w:after="60"/>
              <w:ind w:left="576" w:right="187"/>
            </w:pPr>
            <w:r w:rsidRPr="00BD7CEA">
              <w:rPr>
                <w:rFonts w:eastAsia="Calibri" w:cs="Tahoma"/>
                <w:color w:val="000000"/>
                <w:szCs w:val="18"/>
              </w:rPr>
              <w:t>Archiviazione Exchange Online per Exchange Online</w:t>
            </w:r>
          </w:p>
          <w:p w:rsidR="00456002" w:rsidRPr="007B74B7" w:rsidRDefault="00456002" w:rsidP="007358C5">
            <w:pPr>
              <w:numPr>
                <w:ilvl w:val="0"/>
                <w:numId w:val="68"/>
              </w:numPr>
              <w:spacing w:after="60"/>
              <w:ind w:left="576" w:right="187"/>
              <w:rPr>
                <w:lang w:val="it-IT"/>
              </w:rPr>
            </w:pPr>
            <w:r w:rsidRPr="007B74B7">
              <w:rPr>
                <w:rFonts w:eastAsia="Calibri" w:cs="Tahoma"/>
                <w:color w:val="000000"/>
                <w:szCs w:val="18"/>
                <w:lang w:val="it-IT"/>
              </w:rPr>
              <w:t>Archiviazione Exchange Online per Exchange Server</w:t>
            </w:r>
          </w:p>
          <w:p w:rsidR="00456002" w:rsidRPr="007B74B7" w:rsidRDefault="00456002" w:rsidP="007358C5">
            <w:pPr>
              <w:numPr>
                <w:ilvl w:val="0"/>
                <w:numId w:val="68"/>
              </w:numPr>
              <w:spacing w:after="60"/>
              <w:ind w:left="576" w:right="187"/>
              <w:rPr>
                <w:lang w:val="it-IT"/>
              </w:rPr>
            </w:pPr>
            <w:r w:rsidRPr="007B74B7">
              <w:rPr>
                <w:rFonts w:eastAsia="Calibri" w:cs="Tahoma"/>
                <w:color w:val="000000"/>
                <w:szCs w:val="18"/>
                <w:lang w:val="it-IT"/>
              </w:rPr>
              <w:t>Chiosco Exchange Online, Piano 1 e</w:t>
            </w:r>
            <w:r w:rsidR="002D3549" w:rsidRPr="007B74B7">
              <w:rPr>
                <w:rFonts w:eastAsia="Calibri" w:cs="Tahoma"/>
                <w:color w:val="000000"/>
                <w:szCs w:val="18"/>
                <w:lang w:val="it-IT"/>
              </w:rPr>
              <w:t> </w:t>
            </w:r>
            <w:r w:rsidRPr="007B74B7">
              <w:rPr>
                <w:rFonts w:eastAsia="Calibri" w:cs="Tahoma"/>
                <w:color w:val="000000"/>
                <w:szCs w:val="18"/>
                <w:lang w:val="it-IT"/>
              </w:rPr>
              <w:t>Piano</w:t>
            </w:r>
            <w:r w:rsidR="002D3549" w:rsidRPr="007B74B7">
              <w:rPr>
                <w:rFonts w:eastAsia="Calibri" w:cs="Tahoma"/>
                <w:color w:val="000000"/>
                <w:szCs w:val="18"/>
                <w:lang w:val="it-IT"/>
              </w:rPr>
              <w:t> </w:t>
            </w:r>
            <w:r w:rsidRPr="007B74B7">
              <w:rPr>
                <w:rFonts w:eastAsia="Calibri" w:cs="Tahoma"/>
                <w:color w:val="000000"/>
                <w:szCs w:val="18"/>
                <w:lang w:val="it-IT"/>
              </w:rPr>
              <w:t xml:space="preserve">2 </w:t>
            </w:r>
          </w:p>
          <w:p w:rsidR="00456002" w:rsidRPr="00BD7CEA" w:rsidRDefault="00456002" w:rsidP="007358C5">
            <w:pPr>
              <w:numPr>
                <w:ilvl w:val="0"/>
                <w:numId w:val="68"/>
              </w:numPr>
              <w:spacing w:after="60"/>
              <w:ind w:left="576" w:right="187"/>
            </w:pPr>
            <w:r w:rsidRPr="00BD7CEA">
              <w:rPr>
                <w:rFonts w:eastAsia="Calibri" w:cs="Tahoma"/>
                <w:color w:val="000000"/>
                <w:szCs w:val="18"/>
              </w:rPr>
              <w:t>Lync Online Piano 1, 2 e 3</w:t>
            </w:r>
          </w:p>
          <w:p w:rsidR="009B3FA2" w:rsidRPr="00BD7CEA" w:rsidRDefault="00456002" w:rsidP="007358C5">
            <w:pPr>
              <w:numPr>
                <w:ilvl w:val="0"/>
                <w:numId w:val="68"/>
              </w:numPr>
              <w:spacing w:after="60"/>
              <w:ind w:left="576" w:right="187"/>
            </w:pPr>
            <w:r w:rsidRPr="00BD7CEA">
              <w:rPr>
                <w:rFonts w:eastAsia="Calibri" w:cs="Tahoma"/>
                <w:color w:val="000000"/>
                <w:szCs w:val="18"/>
              </w:rPr>
              <w:t>Office 365 Education A2, A3 e A4</w:t>
            </w:r>
          </w:p>
          <w:p w:rsidR="00456002" w:rsidRPr="007B74B7" w:rsidRDefault="009B3FA2" w:rsidP="007358C5">
            <w:pPr>
              <w:numPr>
                <w:ilvl w:val="0"/>
                <w:numId w:val="68"/>
              </w:numPr>
              <w:spacing w:after="60"/>
              <w:ind w:left="576" w:right="187"/>
              <w:rPr>
                <w:lang w:val="it-IT"/>
              </w:rPr>
            </w:pPr>
            <w:r w:rsidRPr="007B74B7">
              <w:rPr>
                <w:rFonts w:eastAsia="Calibri" w:cs="Tahoma"/>
                <w:color w:val="000000"/>
                <w:szCs w:val="18"/>
                <w:lang w:val="it-IT"/>
              </w:rPr>
              <w:t xml:space="preserve">Office 365 Enterprise K1, K2, E1, E2, </w:t>
            </w:r>
            <w:r w:rsidR="002D3549" w:rsidRPr="007B74B7">
              <w:rPr>
                <w:rFonts w:eastAsia="Calibri" w:cs="Tahoma"/>
                <w:color w:val="000000"/>
                <w:szCs w:val="18"/>
                <w:lang w:val="it-IT"/>
              </w:rPr>
              <w:br/>
            </w:r>
            <w:r w:rsidRPr="007B74B7">
              <w:rPr>
                <w:rFonts w:eastAsia="Calibri" w:cs="Tahoma"/>
                <w:color w:val="000000"/>
                <w:szCs w:val="18"/>
                <w:lang w:val="it-IT"/>
              </w:rPr>
              <w:t>E3 ed E4</w:t>
            </w:r>
          </w:p>
          <w:p w:rsidR="00061A45" w:rsidRPr="00BD7CEA" w:rsidRDefault="008368B4" w:rsidP="007358C5">
            <w:pPr>
              <w:numPr>
                <w:ilvl w:val="0"/>
                <w:numId w:val="68"/>
              </w:numPr>
              <w:spacing w:after="60"/>
              <w:ind w:left="576" w:right="187"/>
            </w:pPr>
            <w:r w:rsidRPr="00BD7CEA">
              <w:rPr>
                <w:rFonts w:eastAsia="Calibri" w:cs="Tahoma"/>
                <w:color w:val="000000"/>
                <w:szCs w:val="18"/>
              </w:rPr>
              <w:t>Office 365 ProPlus</w:t>
            </w:r>
          </w:p>
          <w:p w:rsidR="00456002" w:rsidRPr="00BD7CEA" w:rsidRDefault="00456002" w:rsidP="007358C5">
            <w:pPr>
              <w:numPr>
                <w:ilvl w:val="0"/>
                <w:numId w:val="68"/>
              </w:numPr>
              <w:spacing w:after="60"/>
              <w:ind w:left="576" w:right="187"/>
            </w:pPr>
            <w:r w:rsidRPr="00BD7CEA">
              <w:rPr>
                <w:rFonts w:eastAsia="Calibri" w:cs="Tahoma"/>
                <w:color w:val="000000"/>
                <w:szCs w:val="18"/>
              </w:rPr>
              <w:t>Office Web Applications</w:t>
            </w:r>
          </w:p>
          <w:p w:rsidR="008368B4" w:rsidRPr="00BD7CEA" w:rsidRDefault="008368B4" w:rsidP="007358C5">
            <w:pPr>
              <w:numPr>
                <w:ilvl w:val="0"/>
                <w:numId w:val="68"/>
              </w:numPr>
              <w:spacing w:after="60"/>
              <w:ind w:left="576" w:right="187"/>
            </w:pPr>
            <w:r w:rsidRPr="00BD7CEA">
              <w:rPr>
                <w:rFonts w:eastAsia="Calibri" w:cs="Tahoma"/>
                <w:color w:val="000000"/>
                <w:szCs w:val="18"/>
              </w:rPr>
              <w:t>Project Online</w:t>
            </w:r>
          </w:p>
          <w:p w:rsidR="008368B4" w:rsidRPr="00BD7CEA" w:rsidRDefault="008368B4" w:rsidP="007358C5">
            <w:pPr>
              <w:numPr>
                <w:ilvl w:val="0"/>
                <w:numId w:val="68"/>
              </w:numPr>
              <w:spacing w:after="60"/>
              <w:ind w:left="576" w:right="187"/>
            </w:pPr>
            <w:r w:rsidRPr="00BD7CEA">
              <w:rPr>
                <w:rFonts w:eastAsia="Calibri" w:cs="Tahoma"/>
                <w:color w:val="000000"/>
                <w:szCs w:val="18"/>
              </w:rPr>
              <w:t>Project Pro per Office 365</w:t>
            </w:r>
          </w:p>
          <w:p w:rsidR="00456002" w:rsidRPr="007B74B7" w:rsidRDefault="00456002" w:rsidP="007358C5">
            <w:pPr>
              <w:numPr>
                <w:ilvl w:val="0"/>
                <w:numId w:val="68"/>
              </w:numPr>
              <w:spacing w:after="60"/>
              <w:ind w:left="576" w:right="187"/>
              <w:rPr>
                <w:lang w:val="it-IT"/>
              </w:rPr>
            </w:pPr>
            <w:r w:rsidRPr="007B74B7">
              <w:rPr>
                <w:rFonts w:eastAsia="Calibri" w:cs="Tahoma"/>
                <w:color w:val="000000"/>
                <w:szCs w:val="18"/>
                <w:lang w:val="it-IT"/>
              </w:rPr>
              <w:t xml:space="preserve">SharePoint Online Piano 1 e Piano 2 </w:t>
            </w:r>
          </w:p>
          <w:p w:rsidR="00456002" w:rsidRPr="00BD7CEA" w:rsidRDefault="00456002" w:rsidP="007358C5">
            <w:pPr>
              <w:numPr>
                <w:ilvl w:val="0"/>
                <w:numId w:val="68"/>
              </w:numPr>
              <w:spacing w:after="60"/>
              <w:ind w:left="576" w:right="187"/>
            </w:pPr>
            <w:r w:rsidRPr="00BD7CEA">
              <w:rPr>
                <w:rFonts w:eastAsia="Calibri" w:cs="Tahoma"/>
                <w:color w:val="000000"/>
                <w:szCs w:val="18"/>
              </w:rPr>
              <w:t>Windows Intune</w:t>
            </w:r>
          </w:p>
          <w:p w:rsidR="00456002" w:rsidRPr="00BD7CEA" w:rsidRDefault="003929D1" w:rsidP="007358C5">
            <w:pPr>
              <w:numPr>
                <w:ilvl w:val="0"/>
                <w:numId w:val="68"/>
              </w:numPr>
              <w:spacing w:after="60"/>
              <w:ind w:left="576" w:right="187"/>
            </w:pPr>
            <w:r w:rsidRPr="00BD7CEA">
              <w:rPr>
                <w:rFonts w:eastAsia="Calibri" w:cs="Tahoma"/>
                <w:color w:val="000000"/>
                <w:szCs w:val="18"/>
              </w:rPr>
              <w:t>Componente Aggiuntivo di Windows Intune</w:t>
            </w:r>
          </w:p>
          <w:p w:rsidR="009B3FA2" w:rsidRPr="00BD7CEA" w:rsidRDefault="009B3FA2" w:rsidP="007358C5">
            <w:pPr>
              <w:numPr>
                <w:ilvl w:val="0"/>
                <w:numId w:val="68"/>
              </w:numPr>
              <w:spacing w:after="60"/>
              <w:ind w:left="576" w:right="187"/>
              <w:rPr>
                <w:rFonts w:eastAsia="Calibri" w:cs="Tahoma"/>
                <w:szCs w:val="18"/>
              </w:rPr>
            </w:pPr>
            <w:r w:rsidRPr="00BD7CEA">
              <w:rPr>
                <w:rFonts w:eastAsia="Calibri" w:cs="Tahoma"/>
                <w:color w:val="000000"/>
                <w:szCs w:val="18"/>
              </w:rPr>
              <w:t>Yammer Enterprise</w:t>
            </w:r>
          </w:p>
        </w:tc>
      </w:tr>
    </w:tbl>
    <w:p w:rsidR="00171817" w:rsidRPr="00BD7CEA" w:rsidRDefault="00171817" w:rsidP="00212CC6">
      <w:pPr>
        <w:pStyle w:val="Heading2"/>
        <w:ind w:left="0"/>
      </w:pPr>
    </w:p>
    <w:p w:rsidR="00456002" w:rsidRPr="007B74B7" w:rsidRDefault="00456002" w:rsidP="00171817">
      <w:pPr>
        <w:pStyle w:val="Heading2"/>
        <w:ind w:left="0"/>
        <w:rPr>
          <w:lang w:val="it-IT"/>
        </w:rPr>
      </w:pPr>
      <w:bookmarkStart w:id="724" w:name="_Toc336338209"/>
      <w:bookmarkStart w:id="725" w:name="_Toc353375989"/>
      <w:r w:rsidRPr="007B74B7">
        <w:rPr>
          <w:rFonts w:ascii="Tahoma" w:hAnsi="Tahoma" w:cs="Tahoma"/>
          <w:lang w:val="it-IT"/>
        </w:rPr>
        <w:t>Acquisti e Rinnovo Automatico di Servizi Online</w:t>
      </w:r>
      <w:bookmarkEnd w:id="724"/>
      <w:bookmarkEnd w:id="725"/>
      <w:r w:rsidRPr="007B74B7">
        <w:rPr>
          <w:rFonts w:ascii="Tahoma" w:hAnsi="Tahoma" w:cs="Tahoma"/>
          <w:lang w:val="it-IT"/>
        </w:rPr>
        <w:t xml:space="preserve"> </w:t>
      </w:r>
    </w:p>
    <w:p w:rsidR="00456002" w:rsidRPr="007B74B7" w:rsidRDefault="00456002" w:rsidP="00171817">
      <w:pPr>
        <w:outlineLvl w:val="2"/>
        <w:rPr>
          <w:lang w:val="it-IT"/>
        </w:rPr>
      </w:pPr>
    </w:p>
    <w:p w:rsidR="00456002" w:rsidRPr="007B74B7" w:rsidRDefault="00456002" w:rsidP="00212CC6">
      <w:pPr>
        <w:outlineLvl w:val="2"/>
        <w:rPr>
          <w:lang w:val="it-IT"/>
        </w:rPr>
      </w:pPr>
      <w:r w:rsidRPr="007B74B7">
        <w:rPr>
          <w:rFonts w:cs="Tahoma"/>
          <w:szCs w:val="18"/>
          <w:lang w:val="it-IT"/>
        </w:rPr>
        <w:t>Le società dovranno disporre di un Contratto Multilicenza (Volume Licensing) attivo per ordinare o rinnovare gli abbonamenti ai servizi online di Volume License.</w:t>
      </w:r>
      <w:r w:rsidR="008D782D" w:rsidRPr="007B74B7">
        <w:rPr>
          <w:rFonts w:cs="Tahoma"/>
          <w:szCs w:val="18"/>
          <w:lang w:val="it-IT"/>
        </w:rPr>
        <w:t xml:space="preserve"> </w:t>
      </w:r>
      <w:r w:rsidRPr="007B74B7">
        <w:rPr>
          <w:rFonts w:cs="Tahoma"/>
          <w:szCs w:val="18"/>
          <w:lang w:val="it-IT"/>
        </w:rPr>
        <w:t>Un abbonamento ai servizi online si rinnova automaticamente il</w:t>
      </w:r>
      <w:r w:rsidR="00214B8A" w:rsidRPr="007B74B7">
        <w:rPr>
          <w:rFonts w:cs="Tahoma"/>
          <w:szCs w:val="18"/>
          <w:lang w:val="it-IT"/>
        </w:rPr>
        <w:t> </w:t>
      </w:r>
      <w:r w:rsidRPr="007B74B7">
        <w:rPr>
          <w:rFonts w:cs="Tahoma"/>
          <w:szCs w:val="18"/>
          <w:lang w:val="it-IT"/>
        </w:rPr>
        <w:t>giorno successivo alla scadenza del periodo di validità, a meno che la società non scelga di non rinnovare annullando l</w:t>
      </w:r>
      <w:r w:rsidR="007A1415" w:rsidRPr="007B74B7">
        <w:rPr>
          <w:rFonts w:cs="Tahoma"/>
          <w:szCs w:val="18"/>
          <w:lang w:val="it-IT"/>
        </w:rPr>
        <w:t>’</w:t>
      </w:r>
      <w:r w:rsidRPr="007B74B7">
        <w:rPr>
          <w:rFonts w:cs="Tahoma"/>
          <w:szCs w:val="18"/>
          <w:lang w:val="it-IT"/>
        </w:rPr>
        <w:t xml:space="preserve">opzione di </w:t>
      </w:r>
      <w:r w:rsidRPr="007B74B7">
        <w:rPr>
          <w:rFonts w:cs="Tahoma"/>
          <w:color w:val="000000"/>
          <w:szCs w:val="18"/>
          <w:lang w:val="it-IT"/>
        </w:rPr>
        <w:t xml:space="preserve">rinnovo </w:t>
      </w:r>
      <w:r w:rsidRPr="007B74B7">
        <w:rPr>
          <w:bCs/>
          <w:color w:val="000000"/>
          <w:lang w:val="it-IT"/>
        </w:rPr>
        <w:t>automatico almeno 5</w:t>
      </w:r>
      <w:r w:rsidRPr="007B74B7">
        <w:rPr>
          <w:b/>
          <w:bCs/>
          <w:color w:val="1F497D"/>
          <w:lang w:val="it-IT"/>
        </w:rPr>
        <w:t xml:space="preserve"> </w:t>
      </w:r>
      <w:r w:rsidRPr="007B74B7">
        <w:rPr>
          <w:rFonts w:cs="Tahoma"/>
          <w:szCs w:val="18"/>
          <w:lang w:val="it-IT"/>
        </w:rPr>
        <w:t>giorni prima della scadenza dell</w:t>
      </w:r>
      <w:r w:rsidR="007A1415" w:rsidRPr="007B74B7">
        <w:rPr>
          <w:rFonts w:cs="Tahoma"/>
          <w:szCs w:val="18"/>
          <w:lang w:val="it-IT"/>
        </w:rPr>
        <w:t>’</w:t>
      </w:r>
      <w:r w:rsidRPr="007B74B7">
        <w:rPr>
          <w:rFonts w:cs="Tahoma"/>
          <w:szCs w:val="18"/>
          <w:lang w:val="it-IT"/>
        </w:rPr>
        <w:t>abbonamento.</w:t>
      </w:r>
      <w:r w:rsidR="008D782D" w:rsidRPr="007B74B7">
        <w:rPr>
          <w:rFonts w:cs="Tahoma"/>
          <w:szCs w:val="18"/>
          <w:lang w:val="it-IT"/>
        </w:rPr>
        <w:t xml:space="preserve"> </w:t>
      </w:r>
      <w:r w:rsidRPr="007B74B7">
        <w:rPr>
          <w:rFonts w:cs="Tahoma"/>
          <w:szCs w:val="18"/>
          <w:lang w:val="it-IT"/>
        </w:rPr>
        <w:t>In occasione del rinnovo automatico Microsoft fatturerà alla parte interessata il numero di licenze in scadenza con periodo di validità dell</w:t>
      </w:r>
      <w:r w:rsidR="007A1415" w:rsidRPr="007B74B7">
        <w:rPr>
          <w:rFonts w:cs="Tahoma"/>
          <w:szCs w:val="18"/>
          <w:lang w:val="it-IT"/>
        </w:rPr>
        <w:t>’</w:t>
      </w:r>
      <w:r w:rsidRPr="007B74B7">
        <w:rPr>
          <w:rFonts w:cs="Tahoma"/>
          <w:szCs w:val="18"/>
          <w:lang w:val="it-IT"/>
        </w:rPr>
        <w:t>abbonamento identico, qualora il contratto iniziale della società rimanga attivo.</w:t>
      </w:r>
      <w:r w:rsidR="008D782D" w:rsidRPr="007B74B7">
        <w:rPr>
          <w:rFonts w:cs="Tahoma"/>
          <w:szCs w:val="18"/>
          <w:lang w:val="it-IT"/>
        </w:rPr>
        <w:t xml:space="preserve"> </w:t>
      </w:r>
      <w:r w:rsidRPr="007B74B7">
        <w:rPr>
          <w:rFonts w:cs="Tahoma"/>
          <w:szCs w:val="18"/>
          <w:lang w:val="it-IT"/>
        </w:rPr>
        <w:t>Gli abbonamenti ai servizi online per gli enti pubblici e gli istituti didattici non si rinnoveranno automaticamente a meno che la società non scelga l</w:t>
      </w:r>
      <w:r w:rsidR="007A1415" w:rsidRPr="007B74B7">
        <w:rPr>
          <w:rFonts w:cs="Tahoma"/>
          <w:szCs w:val="18"/>
          <w:lang w:val="it-IT"/>
        </w:rPr>
        <w:t>’</w:t>
      </w:r>
      <w:r w:rsidRPr="007B74B7">
        <w:rPr>
          <w:rFonts w:cs="Tahoma"/>
          <w:szCs w:val="18"/>
          <w:lang w:val="it-IT"/>
        </w:rPr>
        <w:t>opzione di rinnovo automatico.</w:t>
      </w:r>
      <w:r w:rsidR="008D782D" w:rsidRPr="007B74B7">
        <w:rPr>
          <w:rFonts w:cs="Tahoma"/>
          <w:szCs w:val="18"/>
          <w:lang w:val="it-IT"/>
        </w:rPr>
        <w:t xml:space="preserve"> </w:t>
      </w:r>
      <w:r w:rsidRPr="007B74B7">
        <w:rPr>
          <w:rFonts w:cs="Tahoma"/>
          <w:szCs w:val="18"/>
          <w:lang w:val="it-IT"/>
        </w:rPr>
        <w:t>Al momento del rinnovo i prezzi vengono ridefiniti.</w:t>
      </w:r>
      <w:r w:rsidR="008D782D" w:rsidRPr="007B74B7">
        <w:rPr>
          <w:rFonts w:cs="Tahoma"/>
          <w:szCs w:val="18"/>
          <w:lang w:val="it-IT"/>
        </w:rPr>
        <w:t xml:space="preserve"> </w:t>
      </w:r>
      <w:r w:rsidRPr="007B74B7">
        <w:rPr>
          <w:rFonts w:cs="Tahoma"/>
          <w:szCs w:val="18"/>
          <w:lang w:val="it-IT"/>
        </w:rPr>
        <w:t>L</w:t>
      </w:r>
      <w:r w:rsidR="007A1415" w:rsidRPr="007B74B7">
        <w:rPr>
          <w:rFonts w:cs="Tahoma"/>
          <w:szCs w:val="18"/>
          <w:lang w:val="it-IT"/>
        </w:rPr>
        <w:t>’</w:t>
      </w:r>
      <w:r w:rsidRPr="007B74B7">
        <w:rPr>
          <w:rFonts w:cs="Tahoma"/>
          <w:szCs w:val="18"/>
          <w:lang w:val="it-IT"/>
        </w:rPr>
        <w:t>opzione di rinnovo automatico non è disponibile per i Servizi di Windows Azure.</w:t>
      </w:r>
    </w:p>
    <w:p w:rsidR="00116EDC" w:rsidRPr="007B74B7" w:rsidRDefault="00116EDC" w:rsidP="00116EDC">
      <w:pPr>
        <w:rPr>
          <w:lang w:val="it-IT"/>
        </w:rPr>
      </w:pPr>
    </w:p>
    <w:p w:rsidR="00214B8A" w:rsidRPr="007B74B7" w:rsidRDefault="00214B8A" w:rsidP="00116EDC">
      <w:pPr>
        <w:rPr>
          <w:lang w:val="it-IT"/>
        </w:rPr>
      </w:pPr>
    </w:p>
    <w:p w:rsidR="00214B8A" w:rsidRPr="007B74B7" w:rsidRDefault="00214B8A" w:rsidP="00116EDC">
      <w:pPr>
        <w:rPr>
          <w:lang w:val="it-IT"/>
        </w:rPr>
      </w:pPr>
    </w:p>
    <w:p w:rsidR="00214B8A" w:rsidRPr="007B74B7" w:rsidRDefault="00214B8A" w:rsidP="00116EDC">
      <w:pPr>
        <w:rPr>
          <w:lang w:val="it-IT"/>
        </w:rPr>
      </w:pPr>
    </w:p>
    <w:p w:rsidR="00214B8A" w:rsidRPr="007B74B7" w:rsidRDefault="00214B8A" w:rsidP="00116EDC">
      <w:pPr>
        <w:rPr>
          <w:lang w:val="it-IT"/>
        </w:rPr>
      </w:pPr>
    </w:p>
    <w:p w:rsidR="00214B8A" w:rsidRPr="007B74B7" w:rsidRDefault="00214B8A" w:rsidP="00116EDC">
      <w:pPr>
        <w:rPr>
          <w:lang w:val="it-IT"/>
        </w:rPr>
      </w:pPr>
    </w:p>
    <w:p w:rsidR="00214B8A" w:rsidRPr="007B74B7" w:rsidRDefault="00214B8A" w:rsidP="00116EDC">
      <w:pPr>
        <w:rPr>
          <w:lang w:val="it-IT"/>
        </w:rPr>
      </w:pPr>
    </w:p>
    <w:p w:rsidR="00214B8A" w:rsidRPr="007B74B7" w:rsidRDefault="00214B8A" w:rsidP="00116EDC">
      <w:pPr>
        <w:rPr>
          <w:lang w:val="it-IT"/>
        </w:rPr>
      </w:pPr>
    </w:p>
    <w:p w:rsidR="00214B8A" w:rsidRPr="007B74B7" w:rsidRDefault="00214B8A" w:rsidP="00116EDC">
      <w:pPr>
        <w:rPr>
          <w:lang w:val="it-IT"/>
        </w:rPr>
      </w:pPr>
    </w:p>
    <w:p w:rsidR="00214B8A" w:rsidRPr="007B74B7" w:rsidRDefault="00214B8A" w:rsidP="00116EDC">
      <w:pPr>
        <w:rPr>
          <w:lang w:val="it-IT"/>
        </w:rPr>
      </w:pPr>
    </w:p>
    <w:p w:rsidR="00214B8A" w:rsidRPr="007B74B7" w:rsidRDefault="00214B8A" w:rsidP="00116EDC">
      <w:pPr>
        <w:rPr>
          <w:lang w:val="it-IT"/>
        </w:rPr>
      </w:pPr>
    </w:p>
    <w:p w:rsidR="00214B8A" w:rsidRPr="007B74B7" w:rsidRDefault="00214B8A" w:rsidP="00116EDC">
      <w:pPr>
        <w:rPr>
          <w:lang w:val="it-IT"/>
        </w:rPr>
      </w:pPr>
    </w:p>
    <w:p w:rsidR="00214B8A" w:rsidRPr="007B74B7" w:rsidRDefault="00214B8A" w:rsidP="00116EDC">
      <w:pPr>
        <w:rPr>
          <w:lang w:val="it-IT"/>
        </w:rPr>
      </w:pPr>
    </w:p>
    <w:p w:rsidR="00456002" w:rsidRPr="007B74B7" w:rsidRDefault="00456002" w:rsidP="00171817">
      <w:pPr>
        <w:pStyle w:val="Heading2"/>
        <w:ind w:left="0"/>
        <w:rPr>
          <w:lang w:val="it-IT"/>
        </w:rPr>
      </w:pPr>
      <w:bookmarkStart w:id="726" w:name="_Toc336338210"/>
      <w:bookmarkStart w:id="727" w:name="_Toc353375990"/>
      <w:r w:rsidRPr="007B74B7">
        <w:rPr>
          <w:rFonts w:ascii="Tahoma" w:hAnsi="Tahoma" w:cs="Tahoma"/>
          <w:lang w:val="it-IT"/>
        </w:rPr>
        <w:lastRenderedPageBreak/>
        <w:t>Gestione degli Stati di Rinnovo e di Rinnovo Automatico</w:t>
      </w:r>
      <w:bookmarkEnd w:id="726"/>
      <w:bookmarkEnd w:id="727"/>
    </w:p>
    <w:p w:rsidR="00456002" w:rsidRPr="007B74B7" w:rsidRDefault="00456002" w:rsidP="00171817">
      <w:pPr>
        <w:outlineLvl w:val="2"/>
        <w:rPr>
          <w:lang w:val="it-IT"/>
        </w:rPr>
      </w:pPr>
    </w:p>
    <w:p w:rsidR="00456002" w:rsidRPr="007B74B7" w:rsidRDefault="00456002" w:rsidP="00171817">
      <w:pPr>
        <w:outlineLvl w:val="2"/>
        <w:rPr>
          <w:spacing w:val="-2"/>
          <w:lang w:val="it-IT"/>
        </w:rPr>
      </w:pPr>
      <w:r w:rsidRPr="007B74B7">
        <w:rPr>
          <w:rFonts w:cs="Tahoma"/>
          <w:spacing w:val="-2"/>
          <w:szCs w:val="18"/>
          <w:lang w:val="it-IT"/>
        </w:rPr>
        <w:t>Le società riceveranno comunicazioni relative ai rinnovi prima della scadenza dei periodi di validità degli abbonamenti ai servizi online.</w:t>
      </w:r>
      <w:r w:rsidR="008D782D" w:rsidRPr="007B74B7">
        <w:rPr>
          <w:rFonts w:cs="Tahoma"/>
          <w:spacing w:val="-2"/>
          <w:szCs w:val="18"/>
          <w:lang w:val="it-IT"/>
        </w:rPr>
        <w:t xml:space="preserve"> </w:t>
      </w:r>
      <w:r w:rsidRPr="007B74B7">
        <w:rPr>
          <w:rFonts w:cs="Tahoma"/>
          <w:spacing w:val="-2"/>
          <w:szCs w:val="18"/>
          <w:lang w:val="it-IT"/>
        </w:rPr>
        <w:t>Le società possono annullare il rinnovo o cambiare un ordine di rinnovo automatico intervenendo almeno 30 giorni prima della scadenza del periodo di validità dell</w:t>
      </w:r>
      <w:r w:rsidR="007A1415" w:rsidRPr="007B74B7">
        <w:rPr>
          <w:rFonts w:cs="Tahoma"/>
          <w:spacing w:val="-2"/>
          <w:szCs w:val="18"/>
          <w:lang w:val="it-IT"/>
        </w:rPr>
        <w:t>’</w:t>
      </w:r>
      <w:r w:rsidRPr="007B74B7">
        <w:rPr>
          <w:rFonts w:cs="Tahoma"/>
          <w:spacing w:val="-2"/>
          <w:szCs w:val="18"/>
          <w:lang w:val="it-IT"/>
        </w:rPr>
        <w:t>abbonamento.</w:t>
      </w:r>
      <w:r w:rsidR="008D782D" w:rsidRPr="007B74B7">
        <w:rPr>
          <w:rFonts w:cs="Tahoma"/>
          <w:spacing w:val="-2"/>
          <w:szCs w:val="18"/>
          <w:lang w:val="it-IT"/>
        </w:rPr>
        <w:t xml:space="preserve"> </w:t>
      </w:r>
      <w:r w:rsidRPr="007B74B7">
        <w:rPr>
          <w:rFonts w:cs="Tahoma"/>
          <w:spacing w:val="-2"/>
          <w:szCs w:val="18"/>
          <w:lang w:val="it-IT"/>
        </w:rPr>
        <w:t>Le società possono inoltre cambiare l</w:t>
      </w:r>
      <w:r w:rsidR="007A1415" w:rsidRPr="007B74B7">
        <w:rPr>
          <w:rFonts w:cs="Tahoma"/>
          <w:spacing w:val="-2"/>
          <w:szCs w:val="18"/>
          <w:lang w:val="it-IT"/>
        </w:rPr>
        <w:t>’</w:t>
      </w:r>
      <w:r w:rsidRPr="007B74B7">
        <w:rPr>
          <w:rFonts w:cs="Tahoma"/>
          <w:spacing w:val="-2"/>
          <w:szCs w:val="18"/>
          <w:lang w:val="it-IT"/>
        </w:rPr>
        <w:t>ordine di</w:t>
      </w:r>
      <w:r w:rsidR="00214B8A" w:rsidRPr="007B74B7">
        <w:rPr>
          <w:rFonts w:cs="Tahoma"/>
          <w:spacing w:val="-2"/>
          <w:szCs w:val="18"/>
          <w:lang w:val="it-IT"/>
        </w:rPr>
        <w:t> </w:t>
      </w:r>
      <w:r w:rsidRPr="007B74B7">
        <w:rPr>
          <w:rFonts w:cs="Tahoma"/>
          <w:spacing w:val="-2"/>
          <w:szCs w:val="18"/>
          <w:lang w:val="it-IT"/>
        </w:rPr>
        <w:t>rinnovo effettuando un ordine al rivenditore 30 giorni prima della scadenza dell</w:t>
      </w:r>
      <w:r w:rsidR="007A1415" w:rsidRPr="007B74B7">
        <w:rPr>
          <w:rFonts w:cs="Tahoma"/>
          <w:spacing w:val="-2"/>
          <w:szCs w:val="18"/>
          <w:lang w:val="it-IT"/>
        </w:rPr>
        <w:t>’</w:t>
      </w:r>
      <w:r w:rsidRPr="007B74B7">
        <w:rPr>
          <w:rFonts w:cs="Tahoma"/>
          <w:spacing w:val="-2"/>
          <w:szCs w:val="18"/>
          <w:lang w:val="it-IT"/>
        </w:rPr>
        <w:t>abbonamento.</w:t>
      </w:r>
      <w:r w:rsidR="008D782D" w:rsidRPr="007B74B7">
        <w:rPr>
          <w:rFonts w:cs="Tahoma"/>
          <w:spacing w:val="-2"/>
          <w:szCs w:val="18"/>
          <w:lang w:val="it-IT"/>
        </w:rPr>
        <w:t xml:space="preserve"> </w:t>
      </w:r>
      <w:r w:rsidRPr="007B74B7">
        <w:rPr>
          <w:rFonts w:cs="Tahoma"/>
          <w:spacing w:val="-2"/>
          <w:szCs w:val="18"/>
          <w:lang w:val="it-IT"/>
        </w:rPr>
        <w:t>Le società potranno annullare il rinnovo di un abbonamento dandone comunicazione scritta a Microsoft con un preavviso di 30 giorni tramite un modulo disponibile presso il rivenditore Microsoft o all</w:t>
      </w:r>
      <w:r w:rsidR="007A1415" w:rsidRPr="007B74B7">
        <w:rPr>
          <w:rFonts w:cs="Tahoma"/>
          <w:spacing w:val="-2"/>
          <w:szCs w:val="18"/>
          <w:lang w:val="it-IT"/>
        </w:rPr>
        <w:t>’</w:t>
      </w:r>
      <w:r w:rsidRPr="007B74B7">
        <w:rPr>
          <w:rFonts w:cs="Tahoma"/>
          <w:spacing w:val="-2"/>
          <w:szCs w:val="18"/>
          <w:lang w:val="it-IT"/>
        </w:rPr>
        <w:t>indirizzo http://microsoft.com/licensing/contracts.</w:t>
      </w:r>
      <w:r w:rsidR="008D782D" w:rsidRPr="007B74B7">
        <w:rPr>
          <w:rFonts w:cs="Tahoma"/>
          <w:spacing w:val="-2"/>
          <w:szCs w:val="18"/>
          <w:lang w:val="it-IT"/>
        </w:rPr>
        <w:t xml:space="preserve"> </w:t>
      </w:r>
      <w:r w:rsidRPr="007B74B7">
        <w:rPr>
          <w:rFonts w:cs="Tahoma"/>
          <w:spacing w:val="-2"/>
          <w:szCs w:val="18"/>
          <w:lang w:val="it-IT"/>
        </w:rPr>
        <w:t>Tutti i rinnovi dei servizi danno inizio a un nuovo periodo di validità dell</w:t>
      </w:r>
      <w:r w:rsidR="007A1415" w:rsidRPr="007B74B7">
        <w:rPr>
          <w:rFonts w:cs="Tahoma"/>
          <w:spacing w:val="-2"/>
          <w:szCs w:val="18"/>
          <w:lang w:val="it-IT"/>
        </w:rPr>
        <w:t>’</w:t>
      </w:r>
      <w:r w:rsidRPr="007B74B7">
        <w:rPr>
          <w:rFonts w:cs="Tahoma"/>
          <w:spacing w:val="-2"/>
          <w:szCs w:val="18"/>
          <w:lang w:val="it-IT"/>
        </w:rPr>
        <w:t>abbonamento che parte il primo giorno del mese solare successivo alla scadenza del precedente periodo di validità dell</w:t>
      </w:r>
      <w:r w:rsidR="007A1415" w:rsidRPr="007B74B7">
        <w:rPr>
          <w:rFonts w:cs="Tahoma"/>
          <w:spacing w:val="-2"/>
          <w:szCs w:val="18"/>
          <w:lang w:val="it-IT"/>
        </w:rPr>
        <w:t>’</w:t>
      </w:r>
      <w:r w:rsidRPr="007B74B7">
        <w:rPr>
          <w:rFonts w:cs="Tahoma"/>
          <w:spacing w:val="-2"/>
          <w:szCs w:val="18"/>
          <w:lang w:val="it-IT"/>
        </w:rPr>
        <w:t>abbonamento.</w:t>
      </w:r>
    </w:p>
    <w:p w:rsidR="00456002" w:rsidRPr="007B74B7" w:rsidRDefault="00456002" w:rsidP="00171817">
      <w:pPr>
        <w:outlineLvl w:val="2"/>
        <w:rPr>
          <w:lang w:val="it-IT"/>
        </w:rPr>
      </w:pPr>
    </w:p>
    <w:p w:rsidR="00456002" w:rsidRPr="007B74B7" w:rsidRDefault="00456002" w:rsidP="00171817">
      <w:pPr>
        <w:outlineLvl w:val="2"/>
        <w:rPr>
          <w:spacing w:val="-2"/>
          <w:lang w:val="it-IT"/>
        </w:rPr>
      </w:pPr>
      <w:r w:rsidRPr="007B74B7">
        <w:rPr>
          <w:rFonts w:cs="Tahoma"/>
          <w:spacing w:val="-2"/>
          <w:szCs w:val="18"/>
          <w:lang w:val="it-IT"/>
        </w:rPr>
        <w:t>Le società potranno aumentare l</w:t>
      </w:r>
      <w:r w:rsidR="007A1415" w:rsidRPr="007B74B7">
        <w:rPr>
          <w:rFonts w:cs="Tahoma"/>
          <w:spacing w:val="-2"/>
          <w:szCs w:val="18"/>
          <w:lang w:val="it-IT"/>
        </w:rPr>
        <w:t>’</w:t>
      </w:r>
      <w:r w:rsidRPr="007B74B7">
        <w:rPr>
          <w:rFonts w:cs="Tahoma"/>
          <w:spacing w:val="-2"/>
          <w:szCs w:val="18"/>
          <w:lang w:val="it-IT"/>
        </w:rPr>
        <w:t>impegno relativo all</w:t>
      </w:r>
      <w:r w:rsidR="007A1415" w:rsidRPr="007B74B7">
        <w:rPr>
          <w:rFonts w:cs="Tahoma"/>
          <w:spacing w:val="-2"/>
          <w:szCs w:val="18"/>
          <w:lang w:val="it-IT"/>
        </w:rPr>
        <w:t>’</w:t>
      </w:r>
      <w:r w:rsidRPr="007B74B7">
        <w:rPr>
          <w:rFonts w:cs="Tahoma"/>
          <w:spacing w:val="-2"/>
          <w:szCs w:val="18"/>
          <w:lang w:val="it-IT"/>
        </w:rPr>
        <w:t>abbonamento ai servizi online, ma non potranno ridurlo durante il periodo di validità dello stesso, a meno che i loro contratti non consentano tale riduzione. Per garantire l</w:t>
      </w:r>
      <w:r w:rsidR="007A1415" w:rsidRPr="007B74B7">
        <w:rPr>
          <w:rFonts w:cs="Tahoma"/>
          <w:spacing w:val="-2"/>
          <w:szCs w:val="18"/>
          <w:lang w:val="it-IT"/>
        </w:rPr>
        <w:t>’</w:t>
      </w:r>
      <w:r w:rsidRPr="007B74B7">
        <w:rPr>
          <w:rFonts w:cs="Tahoma"/>
          <w:spacing w:val="-2"/>
          <w:szCs w:val="18"/>
          <w:lang w:val="it-IT"/>
        </w:rPr>
        <w:t>erogazione del servizio agli utenti aggiuntivi, la società dovrà effettuare un ordine per ogni incremento nel servizio in abbonamento.</w:t>
      </w:r>
      <w:r w:rsidR="008D782D" w:rsidRPr="007B74B7">
        <w:rPr>
          <w:rFonts w:cs="Tahoma"/>
          <w:spacing w:val="-2"/>
          <w:szCs w:val="18"/>
          <w:lang w:val="it-IT"/>
        </w:rPr>
        <w:t xml:space="preserve"> </w:t>
      </w:r>
    </w:p>
    <w:p w:rsidR="00BD1A6A" w:rsidRPr="007B74B7" w:rsidRDefault="00BD1A6A" w:rsidP="00456002">
      <w:pPr>
        <w:pStyle w:val="Heading2"/>
        <w:ind w:left="0"/>
        <w:rPr>
          <w:lang w:val="it-IT"/>
        </w:rPr>
      </w:pPr>
      <w:bookmarkStart w:id="728" w:name="_Toc336338211"/>
    </w:p>
    <w:p w:rsidR="00BD1A6A" w:rsidRPr="007B74B7" w:rsidRDefault="00BD1A6A">
      <w:pPr>
        <w:rPr>
          <w:lang w:val="it-IT"/>
        </w:rPr>
      </w:pPr>
    </w:p>
    <w:p w:rsidR="00456002" w:rsidRPr="007B74B7" w:rsidRDefault="00456002" w:rsidP="00456002">
      <w:pPr>
        <w:pStyle w:val="Heading2"/>
        <w:ind w:left="0"/>
        <w:rPr>
          <w:lang w:val="it-IT"/>
        </w:rPr>
      </w:pPr>
      <w:bookmarkStart w:id="729" w:name="_Toc353375991"/>
      <w:r w:rsidRPr="007B74B7">
        <w:rPr>
          <w:rFonts w:ascii="Tahoma" w:hAnsi="Tahoma" w:cs="Tahoma"/>
          <w:lang w:val="it-IT"/>
        </w:rPr>
        <w:t>Annullamento dei Servizi Online</w:t>
      </w:r>
      <w:bookmarkEnd w:id="728"/>
      <w:bookmarkEnd w:id="729"/>
    </w:p>
    <w:p w:rsidR="00456002" w:rsidRPr="007B74B7" w:rsidRDefault="00456002" w:rsidP="00456002">
      <w:pPr>
        <w:outlineLvl w:val="2"/>
        <w:rPr>
          <w:lang w:val="it-IT"/>
        </w:rPr>
      </w:pPr>
    </w:p>
    <w:p w:rsidR="00456002" w:rsidRPr="007B74B7" w:rsidRDefault="00456002" w:rsidP="00116EDC">
      <w:pPr>
        <w:outlineLvl w:val="2"/>
        <w:rPr>
          <w:lang w:val="it-IT"/>
        </w:rPr>
      </w:pPr>
      <w:r w:rsidRPr="007B74B7">
        <w:rPr>
          <w:rFonts w:cs="Tahoma"/>
          <w:szCs w:val="18"/>
          <w:lang w:val="it-IT"/>
        </w:rPr>
        <w:t>Le sottoscrizioni relative a un servizio online potranno essere annullati entro trenta (30) giorni dal primo ordine iniziale o dalla prima prenotazione della licenza di un servizio senza alcuna penale.</w:t>
      </w:r>
      <w:r w:rsidR="008D782D" w:rsidRPr="007B74B7">
        <w:rPr>
          <w:rFonts w:cs="Tahoma"/>
          <w:szCs w:val="18"/>
          <w:lang w:val="it-IT"/>
        </w:rPr>
        <w:t xml:space="preserve"> </w:t>
      </w:r>
      <w:r w:rsidRPr="007B74B7">
        <w:rPr>
          <w:rFonts w:cs="Tahoma"/>
          <w:szCs w:val="18"/>
          <w:lang w:val="it-IT"/>
        </w:rPr>
        <w:t>Fare riferimento agli articoli specifici riguardanti i prodotti della presente Lista dei Prodotti per prendere visione delle eventuali condizioni aggiuntive relative all</w:t>
      </w:r>
      <w:r w:rsidR="007A1415" w:rsidRPr="007B74B7">
        <w:rPr>
          <w:rFonts w:cs="Tahoma"/>
          <w:szCs w:val="18"/>
          <w:lang w:val="it-IT"/>
        </w:rPr>
        <w:t>’</w:t>
      </w:r>
      <w:r w:rsidRPr="007B74B7">
        <w:rPr>
          <w:rFonts w:cs="Tahoma"/>
          <w:szCs w:val="18"/>
          <w:lang w:val="it-IT"/>
        </w:rPr>
        <w:t>annullamento.</w:t>
      </w:r>
    </w:p>
    <w:p w:rsidR="00116EDC" w:rsidRPr="007B74B7" w:rsidRDefault="00116EDC" w:rsidP="00116EDC">
      <w:pPr>
        <w:outlineLvl w:val="2"/>
        <w:rPr>
          <w:lang w:val="it-IT"/>
        </w:rPr>
      </w:pPr>
    </w:p>
    <w:p w:rsidR="00456002" w:rsidRPr="007B74B7" w:rsidRDefault="00456002" w:rsidP="00456002">
      <w:pPr>
        <w:pStyle w:val="Heading2"/>
        <w:ind w:left="0"/>
        <w:rPr>
          <w:lang w:val="it-IT"/>
        </w:rPr>
      </w:pPr>
      <w:bookmarkStart w:id="730" w:name="_Toc328145982"/>
      <w:bookmarkStart w:id="731" w:name="_Toc336338212"/>
      <w:bookmarkStart w:id="732" w:name="_Toc353375992"/>
      <w:r w:rsidRPr="007B74B7">
        <w:rPr>
          <w:rFonts w:ascii="Tahoma" w:hAnsi="Tahoma" w:cs="Tahoma"/>
          <w:lang w:val="it-IT"/>
        </w:rPr>
        <w:t>Opzioni relative alle Condizioni di Pagamento dei Servizi Online</w:t>
      </w:r>
      <w:bookmarkEnd w:id="730"/>
      <w:bookmarkEnd w:id="731"/>
      <w:bookmarkEnd w:id="732"/>
    </w:p>
    <w:p w:rsidR="00456002" w:rsidRPr="007B74B7" w:rsidRDefault="00456002" w:rsidP="00456002">
      <w:pPr>
        <w:ind w:left="720"/>
        <w:outlineLvl w:val="2"/>
        <w:rPr>
          <w:lang w:val="it-IT"/>
        </w:rPr>
      </w:pPr>
    </w:p>
    <w:p w:rsidR="00456002" w:rsidRPr="007B74B7" w:rsidRDefault="00456002" w:rsidP="00456002">
      <w:pPr>
        <w:outlineLvl w:val="2"/>
        <w:rPr>
          <w:spacing w:val="-2"/>
          <w:lang w:val="it-IT"/>
        </w:rPr>
      </w:pPr>
      <w:r w:rsidRPr="007B74B7">
        <w:rPr>
          <w:rFonts w:cs="Tahoma"/>
          <w:spacing w:val="-2"/>
          <w:szCs w:val="18"/>
          <w:lang w:val="it-IT"/>
        </w:rPr>
        <w:t>Le società dovranno pagare gli abbonamenti annuali ai servizi online per intero all</w:t>
      </w:r>
      <w:r w:rsidR="007A1415" w:rsidRPr="007B74B7">
        <w:rPr>
          <w:rFonts w:cs="Tahoma"/>
          <w:spacing w:val="-2"/>
          <w:szCs w:val="18"/>
          <w:lang w:val="it-IT"/>
        </w:rPr>
        <w:t>’</w:t>
      </w:r>
      <w:r w:rsidRPr="007B74B7">
        <w:rPr>
          <w:rFonts w:cs="Tahoma"/>
          <w:spacing w:val="-2"/>
          <w:szCs w:val="18"/>
          <w:lang w:val="it-IT"/>
        </w:rPr>
        <w:t>inizio del periodo di validità dell</w:t>
      </w:r>
      <w:r w:rsidR="007A1415" w:rsidRPr="007B74B7">
        <w:rPr>
          <w:rFonts w:cs="Tahoma"/>
          <w:spacing w:val="-2"/>
          <w:szCs w:val="18"/>
          <w:lang w:val="it-IT"/>
        </w:rPr>
        <w:t>’</w:t>
      </w:r>
      <w:r w:rsidRPr="007B74B7">
        <w:rPr>
          <w:rFonts w:cs="Tahoma"/>
          <w:spacing w:val="-2"/>
          <w:szCs w:val="18"/>
          <w:lang w:val="it-IT"/>
        </w:rPr>
        <w:t>abbonamento.</w:t>
      </w:r>
      <w:r w:rsidR="008D782D" w:rsidRPr="007B74B7">
        <w:rPr>
          <w:rFonts w:cs="Tahoma"/>
          <w:spacing w:val="-2"/>
          <w:szCs w:val="18"/>
          <w:lang w:val="it-IT"/>
        </w:rPr>
        <w:t xml:space="preserve"> </w:t>
      </w:r>
      <w:r w:rsidRPr="007B74B7">
        <w:rPr>
          <w:rFonts w:cs="Tahoma"/>
          <w:spacing w:val="-2"/>
          <w:szCs w:val="18"/>
          <w:lang w:val="it-IT"/>
        </w:rPr>
        <w:t>Le società che scelgono periodi di validità degli abbonamenti con scadenze identiche o di “allinearsi alla seconda Ricorrenza” in Select Plus, hanno le seguenti due possibilità di pagamento: (1) Pagamento totale al momento dell</w:t>
      </w:r>
      <w:r w:rsidR="007A1415" w:rsidRPr="007B74B7">
        <w:rPr>
          <w:rFonts w:cs="Tahoma"/>
          <w:spacing w:val="-2"/>
          <w:szCs w:val="18"/>
          <w:lang w:val="it-IT"/>
        </w:rPr>
        <w:t>’</w:t>
      </w:r>
      <w:r w:rsidRPr="007B74B7">
        <w:rPr>
          <w:rFonts w:cs="Tahoma"/>
          <w:spacing w:val="-2"/>
          <w:szCs w:val="18"/>
          <w:lang w:val="it-IT"/>
        </w:rPr>
        <w:t>ordine che copre tutto il periodo di validità dell</w:t>
      </w:r>
      <w:r w:rsidR="007A1415" w:rsidRPr="007B74B7">
        <w:rPr>
          <w:rFonts w:cs="Tahoma"/>
          <w:spacing w:val="-2"/>
          <w:szCs w:val="18"/>
          <w:lang w:val="it-IT"/>
        </w:rPr>
        <w:t>’</w:t>
      </w:r>
      <w:r w:rsidRPr="007B74B7">
        <w:rPr>
          <w:rFonts w:cs="Tahoma"/>
          <w:spacing w:val="-2"/>
          <w:szCs w:val="18"/>
          <w:lang w:val="it-IT"/>
        </w:rPr>
        <w:t>abbonamento o (2) pagamenti dilazionati, di cui il primo pagamento al momento dell</w:t>
      </w:r>
      <w:r w:rsidR="007A1415" w:rsidRPr="007B74B7">
        <w:rPr>
          <w:rFonts w:cs="Tahoma"/>
          <w:spacing w:val="-2"/>
          <w:szCs w:val="18"/>
          <w:lang w:val="it-IT"/>
        </w:rPr>
        <w:t>’</w:t>
      </w:r>
      <w:r w:rsidRPr="007B74B7">
        <w:rPr>
          <w:rFonts w:cs="Tahoma"/>
          <w:spacing w:val="-2"/>
          <w:szCs w:val="18"/>
          <w:lang w:val="it-IT"/>
        </w:rPr>
        <w:t>ordine che copre la parte restante dell</w:t>
      </w:r>
      <w:r w:rsidR="007A1415" w:rsidRPr="007B74B7">
        <w:rPr>
          <w:rFonts w:cs="Tahoma"/>
          <w:spacing w:val="-2"/>
          <w:szCs w:val="18"/>
          <w:lang w:val="it-IT"/>
        </w:rPr>
        <w:t>’</w:t>
      </w:r>
      <w:r w:rsidRPr="007B74B7">
        <w:rPr>
          <w:rFonts w:cs="Tahoma"/>
          <w:spacing w:val="-2"/>
          <w:szCs w:val="18"/>
          <w:lang w:val="it-IT"/>
        </w:rPr>
        <w:t>anno contrattuale corrente e il pagamento o i pagamenti residui in scadenza a ogni ricorrenza della data di entrata in vigore del contratto (per Select Plus, al posto della ricorrenza del contratto viene utilizzata la ricorrenza della consociata).</w:t>
      </w:r>
      <w:r w:rsidR="008D782D" w:rsidRPr="007B74B7">
        <w:rPr>
          <w:rFonts w:cs="Tahoma"/>
          <w:spacing w:val="-2"/>
          <w:szCs w:val="18"/>
          <w:lang w:val="it-IT"/>
        </w:rPr>
        <w:t xml:space="preserve"> </w:t>
      </w:r>
      <w:r w:rsidRPr="007B74B7">
        <w:rPr>
          <w:rFonts w:cs="Tahoma"/>
          <w:spacing w:val="-2"/>
          <w:szCs w:val="18"/>
          <w:lang w:val="it-IT"/>
        </w:rPr>
        <w:t>Una terza opzione aggiuntiva è disponibile per le società con contratti Select Plus: il primo pagamento della ricorrenza dell</w:t>
      </w:r>
      <w:r w:rsidR="007A1415" w:rsidRPr="007B74B7">
        <w:rPr>
          <w:rFonts w:cs="Tahoma"/>
          <w:spacing w:val="-2"/>
          <w:szCs w:val="18"/>
          <w:lang w:val="it-IT"/>
        </w:rPr>
        <w:t>’</w:t>
      </w:r>
      <w:r w:rsidRPr="007B74B7">
        <w:rPr>
          <w:rFonts w:cs="Tahoma"/>
          <w:spacing w:val="-2"/>
          <w:szCs w:val="18"/>
          <w:lang w:val="it-IT"/>
        </w:rPr>
        <w:t>ordine al momento dell</w:t>
      </w:r>
      <w:r w:rsidR="007A1415" w:rsidRPr="007B74B7">
        <w:rPr>
          <w:rFonts w:cs="Tahoma"/>
          <w:spacing w:val="-2"/>
          <w:szCs w:val="18"/>
          <w:lang w:val="it-IT"/>
        </w:rPr>
        <w:t>’</w:t>
      </w:r>
      <w:r w:rsidRPr="007B74B7">
        <w:rPr>
          <w:rFonts w:cs="Tahoma"/>
          <w:spacing w:val="-2"/>
          <w:szCs w:val="18"/>
          <w:lang w:val="it-IT"/>
        </w:rPr>
        <w:t>ordine che copre 12 mesi e uno o più pagamenti residui in scadenza in occasione di ogni ricorrenza dell</w:t>
      </w:r>
      <w:r w:rsidR="007A1415" w:rsidRPr="007B74B7">
        <w:rPr>
          <w:rFonts w:cs="Tahoma"/>
          <w:spacing w:val="-2"/>
          <w:szCs w:val="18"/>
          <w:lang w:val="it-IT"/>
        </w:rPr>
        <w:t>’</w:t>
      </w:r>
      <w:r w:rsidRPr="007B74B7">
        <w:rPr>
          <w:rFonts w:cs="Tahoma"/>
          <w:spacing w:val="-2"/>
          <w:szCs w:val="18"/>
          <w:lang w:val="it-IT"/>
        </w:rPr>
        <w:t>ordine (l</w:t>
      </w:r>
      <w:r w:rsidR="007A1415" w:rsidRPr="007B74B7">
        <w:rPr>
          <w:rFonts w:cs="Tahoma"/>
          <w:spacing w:val="-2"/>
          <w:szCs w:val="18"/>
          <w:lang w:val="it-IT"/>
        </w:rPr>
        <w:t>’</w:t>
      </w:r>
      <w:r w:rsidRPr="007B74B7">
        <w:rPr>
          <w:rFonts w:cs="Tahoma"/>
          <w:spacing w:val="-2"/>
          <w:szCs w:val="18"/>
          <w:lang w:val="it-IT"/>
        </w:rPr>
        <w:t>ultimo pagamento coprirà il periodo residuo che va dalla ricorrenza dell</w:t>
      </w:r>
      <w:r w:rsidR="007A1415" w:rsidRPr="007B74B7">
        <w:rPr>
          <w:rFonts w:cs="Tahoma"/>
          <w:spacing w:val="-2"/>
          <w:szCs w:val="18"/>
          <w:lang w:val="it-IT"/>
        </w:rPr>
        <w:t>’</w:t>
      </w:r>
      <w:r w:rsidRPr="007B74B7">
        <w:rPr>
          <w:rFonts w:cs="Tahoma"/>
          <w:spacing w:val="-2"/>
          <w:szCs w:val="18"/>
          <w:lang w:val="it-IT"/>
        </w:rPr>
        <w:t>ordine alla data di scadenza della copertura dell</w:t>
      </w:r>
      <w:r w:rsidR="007A1415" w:rsidRPr="007B74B7">
        <w:rPr>
          <w:rFonts w:cs="Tahoma"/>
          <w:spacing w:val="-2"/>
          <w:szCs w:val="18"/>
          <w:lang w:val="it-IT"/>
        </w:rPr>
        <w:t>’</w:t>
      </w:r>
      <w:r w:rsidRPr="007B74B7">
        <w:rPr>
          <w:rFonts w:cs="Tahoma"/>
          <w:spacing w:val="-2"/>
          <w:szCs w:val="18"/>
          <w:lang w:val="it-IT"/>
        </w:rPr>
        <w:t>abbonamento).</w:t>
      </w:r>
    </w:p>
    <w:p w:rsidR="00456002" w:rsidRPr="007B74B7" w:rsidRDefault="00456002" w:rsidP="00456002">
      <w:pPr>
        <w:outlineLvl w:val="2"/>
        <w:rPr>
          <w:lang w:val="it-IT"/>
        </w:rPr>
      </w:pPr>
    </w:p>
    <w:p w:rsidR="00456002" w:rsidRPr="007B74B7" w:rsidRDefault="00456002" w:rsidP="00456002">
      <w:pPr>
        <w:outlineLvl w:val="2"/>
        <w:rPr>
          <w:lang w:val="it-IT"/>
        </w:rPr>
      </w:pPr>
      <w:r w:rsidRPr="007B74B7">
        <w:rPr>
          <w:rFonts w:cs="Tahoma"/>
          <w:szCs w:val="18"/>
          <w:lang w:val="it-IT"/>
        </w:rPr>
        <w:t>Inoltre, le società Open Value potranno scegliere anche di pagare mensilmente.</w:t>
      </w:r>
      <w:r w:rsidR="008D782D" w:rsidRPr="007B74B7">
        <w:rPr>
          <w:rFonts w:cs="Tahoma"/>
          <w:szCs w:val="18"/>
          <w:lang w:val="it-IT"/>
        </w:rPr>
        <w:t xml:space="preserve"> </w:t>
      </w:r>
      <w:r w:rsidRPr="007B74B7">
        <w:rPr>
          <w:rFonts w:cs="Tahoma"/>
          <w:szCs w:val="18"/>
          <w:lang w:val="it-IT"/>
        </w:rPr>
        <w:t>Per quanto riguarda l</w:t>
      </w:r>
      <w:r w:rsidR="007A1415" w:rsidRPr="007B74B7">
        <w:rPr>
          <w:rFonts w:cs="Tahoma"/>
          <w:szCs w:val="18"/>
          <w:lang w:val="it-IT"/>
        </w:rPr>
        <w:t>’</w:t>
      </w:r>
      <w:r w:rsidRPr="007B74B7">
        <w:rPr>
          <w:rFonts w:cs="Tahoma"/>
          <w:szCs w:val="18"/>
          <w:lang w:val="it-IT"/>
        </w:rPr>
        <w:t>opzione relativa al pagamento mensile, durante il periodo di validità dell</w:t>
      </w:r>
      <w:r w:rsidR="007A1415" w:rsidRPr="007B74B7">
        <w:rPr>
          <w:rFonts w:cs="Tahoma"/>
          <w:szCs w:val="18"/>
          <w:lang w:val="it-IT"/>
        </w:rPr>
        <w:t>’</w:t>
      </w:r>
      <w:r w:rsidRPr="007B74B7">
        <w:rPr>
          <w:rFonts w:cs="Tahoma"/>
          <w:szCs w:val="18"/>
          <w:lang w:val="it-IT"/>
        </w:rPr>
        <w:t>abbonamento alla parte interessata che partecipa verrà fatturata mensilmente la quantità di abbonamenti che la società avrà ordinato.</w:t>
      </w:r>
    </w:p>
    <w:p w:rsidR="00456002" w:rsidRPr="007B74B7" w:rsidRDefault="00456002" w:rsidP="00456002">
      <w:pPr>
        <w:outlineLvl w:val="2"/>
        <w:rPr>
          <w:lang w:val="it-IT"/>
        </w:rPr>
      </w:pPr>
    </w:p>
    <w:p w:rsidR="00456002" w:rsidRPr="007B74B7" w:rsidRDefault="00456002" w:rsidP="00456002">
      <w:pPr>
        <w:outlineLvl w:val="2"/>
        <w:rPr>
          <w:spacing w:val="-2"/>
          <w:lang w:val="it-IT"/>
        </w:rPr>
      </w:pPr>
      <w:r w:rsidRPr="007B74B7">
        <w:rPr>
          <w:rFonts w:cs="Tahoma"/>
          <w:spacing w:val="-2"/>
          <w:szCs w:val="18"/>
          <w:lang w:val="it-IT"/>
        </w:rPr>
        <w:t>I prezzi e le condizioni di pagamento per gli abbonamenti acquistati presso i rivenditori sono stabiliti tramite un contratto tra la società e il suo rivenditore.</w:t>
      </w:r>
      <w:r w:rsidR="008D782D" w:rsidRPr="007B74B7">
        <w:rPr>
          <w:rFonts w:cs="Tahoma"/>
          <w:spacing w:val="-2"/>
          <w:szCs w:val="18"/>
          <w:lang w:val="it-IT"/>
        </w:rPr>
        <w:t xml:space="preserve"> </w:t>
      </w:r>
      <w:r w:rsidRPr="007B74B7">
        <w:rPr>
          <w:rFonts w:cs="Tahoma"/>
          <w:spacing w:val="-2"/>
          <w:szCs w:val="18"/>
          <w:lang w:val="it-IT"/>
        </w:rPr>
        <w:t>A meno che la società non abbia stipulato una Modifica all</w:t>
      </w:r>
      <w:r w:rsidR="007A1415" w:rsidRPr="007B74B7">
        <w:rPr>
          <w:rFonts w:cs="Tahoma"/>
          <w:spacing w:val="-2"/>
          <w:szCs w:val="18"/>
          <w:lang w:val="it-IT"/>
        </w:rPr>
        <w:t>’</w:t>
      </w:r>
      <w:r w:rsidRPr="007B74B7">
        <w:rPr>
          <w:rFonts w:cs="Tahoma"/>
          <w:spacing w:val="-2"/>
          <w:szCs w:val="18"/>
          <w:lang w:val="it-IT"/>
        </w:rPr>
        <w:t>Iscrizione Enterprise, Aggiunta di Servizi Online Enterprise, nonostante quanto diversamente stabilito nel contratto, una società potrà utilizzare</w:t>
      </w:r>
      <w:r w:rsidR="005D742F" w:rsidRPr="007B74B7">
        <w:rPr>
          <w:rFonts w:cs="Tahoma"/>
          <w:spacing w:val="-2"/>
          <w:szCs w:val="18"/>
          <w:lang w:val="it-IT"/>
        </w:rPr>
        <w:t> </w:t>
      </w:r>
      <w:r w:rsidRPr="007B74B7">
        <w:rPr>
          <w:rFonts w:cs="Tahoma"/>
          <w:spacing w:val="-2"/>
          <w:szCs w:val="18"/>
          <w:lang w:val="it-IT"/>
        </w:rPr>
        <w:t>per la prima volta l</w:t>
      </w:r>
      <w:r w:rsidR="007A1415" w:rsidRPr="007B74B7">
        <w:rPr>
          <w:rFonts w:cs="Tahoma"/>
          <w:spacing w:val="-2"/>
          <w:szCs w:val="18"/>
          <w:lang w:val="it-IT"/>
        </w:rPr>
        <w:t>’</w:t>
      </w:r>
      <w:r w:rsidRPr="007B74B7">
        <w:rPr>
          <w:rFonts w:cs="Tahoma"/>
          <w:spacing w:val="-2"/>
          <w:szCs w:val="18"/>
          <w:lang w:val="it-IT"/>
        </w:rPr>
        <w:t>abbonamento solo dopo aver ordinato un abbonamento ai servizi online.</w:t>
      </w:r>
      <w:r w:rsidR="008D782D" w:rsidRPr="007B74B7">
        <w:rPr>
          <w:rFonts w:cs="Tahoma"/>
          <w:spacing w:val="-2"/>
          <w:szCs w:val="18"/>
          <w:lang w:val="it-IT"/>
        </w:rPr>
        <w:t xml:space="preserve"> </w:t>
      </w:r>
      <w:r w:rsidRPr="007B74B7">
        <w:rPr>
          <w:rFonts w:cs="Tahoma"/>
          <w:spacing w:val="-2"/>
          <w:szCs w:val="18"/>
          <w:lang w:val="it-IT"/>
        </w:rPr>
        <w:t>La società che</w:t>
      </w:r>
      <w:r w:rsidR="005D742F" w:rsidRPr="007B74B7">
        <w:rPr>
          <w:rFonts w:cs="Tahoma"/>
          <w:spacing w:val="-2"/>
          <w:szCs w:val="18"/>
          <w:lang w:val="it-IT"/>
        </w:rPr>
        <w:t> </w:t>
      </w:r>
      <w:r w:rsidRPr="007B74B7">
        <w:rPr>
          <w:rFonts w:cs="Tahoma"/>
          <w:spacing w:val="-2"/>
          <w:szCs w:val="18"/>
          <w:lang w:val="it-IT"/>
        </w:rPr>
        <w:t>ha</w:t>
      </w:r>
      <w:r w:rsidR="005D742F" w:rsidRPr="007B74B7">
        <w:rPr>
          <w:rFonts w:cs="Tahoma"/>
          <w:spacing w:val="-2"/>
          <w:szCs w:val="18"/>
          <w:lang w:val="it-IT"/>
        </w:rPr>
        <w:t> </w:t>
      </w:r>
      <w:r w:rsidRPr="007B74B7">
        <w:rPr>
          <w:rFonts w:cs="Tahoma"/>
          <w:spacing w:val="-2"/>
          <w:szCs w:val="18"/>
          <w:lang w:val="it-IT"/>
        </w:rPr>
        <w:t>sottoscritto un Contratto Enterprise non potrà inviare un ordine true-up di licenze “Subscription” aggiuntive.</w:t>
      </w:r>
      <w:r w:rsidR="008D782D" w:rsidRPr="007B74B7">
        <w:rPr>
          <w:rFonts w:cs="Tahoma"/>
          <w:spacing w:val="-2"/>
          <w:szCs w:val="18"/>
          <w:lang w:val="it-IT"/>
        </w:rPr>
        <w:t xml:space="preserve"> </w:t>
      </w:r>
    </w:p>
    <w:p w:rsidR="00456002" w:rsidRPr="007B74B7" w:rsidRDefault="00456002" w:rsidP="00DF28F2">
      <w:pPr>
        <w:outlineLvl w:val="2"/>
        <w:rPr>
          <w:lang w:val="it-IT"/>
        </w:rPr>
      </w:pPr>
    </w:p>
    <w:p w:rsidR="00456002" w:rsidRPr="007B74B7" w:rsidRDefault="006A5DAE" w:rsidP="00116EDC">
      <w:pPr>
        <w:outlineLvl w:val="2"/>
        <w:rPr>
          <w:lang w:val="it-IT"/>
        </w:rPr>
      </w:pPr>
      <w:r w:rsidRPr="007B74B7">
        <w:rPr>
          <w:rFonts w:cs="Tahoma"/>
          <w:szCs w:val="18"/>
          <w:lang w:val="it-IT"/>
        </w:rPr>
        <w:t>Informazioni specifiche sui Servizi di Windows Azure sono disponibili nell</w:t>
      </w:r>
      <w:r w:rsidR="007A1415" w:rsidRPr="007B74B7">
        <w:rPr>
          <w:rFonts w:cs="Tahoma"/>
          <w:szCs w:val="18"/>
          <w:lang w:val="it-IT"/>
        </w:rPr>
        <w:t>’</w:t>
      </w:r>
      <w:r w:rsidRPr="007B74B7">
        <w:rPr>
          <w:rFonts w:cs="Tahoma"/>
          <w:szCs w:val="18"/>
          <w:lang w:val="it-IT"/>
        </w:rPr>
        <w:t>Articolo corrispondente che segue.</w:t>
      </w:r>
    </w:p>
    <w:p w:rsidR="00116EDC" w:rsidRPr="007B74B7" w:rsidRDefault="00116EDC" w:rsidP="00116EDC">
      <w:pPr>
        <w:outlineLvl w:val="2"/>
        <w:rPr>
          <w:lang w:val="it-IT"/>
        </w:rPr>
      </w:pPr>
    </w:p>
    <w:p w:rsidR="00456002" w:rsidRPr="007B74B7" w:rsidRDefault="00456002" w:rsidP="00456002">
      <w:pPr>
        <w:pStyle w:val="Heading2"/>
        <w:ind w:left="0"/>
        <w:rPr>
          <w:lang w:val="it-IT"/>
        </w:rPr>
      </w:pPr>
      <w:bookmarkStart w:id="733" w:name="_Toc328145983"/>
      <w:bookmarkStart w:id="734" w:name="_Toc336338213"/>
      <w:bookmarkStart w:id="735" w:name="_Toc353375993"/>
      <w:r w:rsidRPr="007B74B7">
        <w:rPr>
          <w:rFonts w:ascii="Tahoma" w:hAnsi="Tahoma" w:cs="Tahoma"/>
          <w:lang w:val="it-IT"/>
        </w:rPr>
        <w:t>Requisiti di Acquisto Minimo per i Servizi Online in Volume Licensing</w:t>
      </w:r>
      <w:bookmarkEnd w:id="733"/>
      <w:bookmarkEnd w:id="734"/>
      <w:bookmarkEnd w:id="735"/>
    </w:p>
    <w:p w:rsidR="00456002" w:rsidRPr="007B74B7" w:rsidRDefault="00456002" w:rsidP="00DF28F2">
      <w:pPr>
        <w:outlineLvl w:val="2"/>
        <w:rPr>
          <w:lang w:val="it-IT"/>
        </w:rPr>
      </w:pPr>
    </w:p>
    <w:p w:rsidR="00116EDC" w:rsidRPr="007B74B7" w:rsidRDefault="00456002" w:rsidP="00116EDC">
      <w:pPr>
        <w:outlineLvl w:val="2"/>
        <w:rPr>
          <w:lang w:val="it-IT"/>
        </w:rPr>
      </w:pPr>
      <w:r w:rsidRPr="007B74B7">
        <w:rPr>
          <w:rFonts w:cs="Tahoma"/>
          <w:szCs w:val="18"/>
          <w:lang w:val="it-IT"/>
        </w:rPr>
        <w:t>Una società si qualifica per il programma Open Value con un acquisto minimo di 5 licenze.</w:t>
      </w:r>
      <w:r w:rsidR="008D782D" w:rsidRPr="007B74B7">
        <w:rPr>
          <w:rFonts w:cs="Tahoma"/>
          <w:szCs w:val="18"/>
          <w:lang w:val="it-IT"/>
        </w:rPr>
        <w:t xml:space="preserve"> </w:t>
      </w:r>
      <w:r w:rsidRPr="007B74B7">
        <w:rPr>
          <w:rFonts w:cs="Tahoma"/>
          <w:szCs w:val="18"/>
          <w:lang w:val="it-IT"/>
        </w:rPr>
        <w:t>Tale regola si applica anche quando si conta il numero di Licenze di Sottoscrizione Utente per i Servizi Online (USL).</w:t>
      </w:r>
      <w:r w:rsidR="008D782D" w:rsidRPr="007B74B7">
        <w:rPr>
          <w:rFonts w:cs="Tahoma"/>
          <w:szCs w:val="18"/>
          <w:lang w:val="it-IT"/>
        </w:rPr>
        <w:t xml:space="preserve"> </w:t>
      </w:r>
      <w:r w:rsidRPr="007B74B7">
        <w:rPr>
          <w:rFonts w:cs="Tahoma"/>
          <w:szCs w:val="18"/>
          <w:lang w:val="it-IT"/>
        </w:rPr>
        <w:t>Una USL contribuisce al raggiungimento della quantità minima di 5 licenze.</w:t>
      </w:r>
      <w:r w:rsidR="008D782D" w:rsidRPr="007B74B7">
        <w:rPr>
          <w:rFonts w:cs="Tahoma"/>
          <w:szCs w:val="18"/>
          <w:lang w:val="it-IT"/>
        </w:rPr>
        <w:t xml:space="preserve"> </w:t>
      </w:r>
      <w:r w:rsidRPr="007B74B7">
        <w:rPr>
          <w:rFonts w:cs="Tahoma"/>
          <w:szCs w:val="18"/>
          <w:lang w:val="it-IT"/>
        </w:rPr>
        <w:t>Un ordine di 5 USL soddisfa il requisito minimo del programma Open Value.</w:t>
      </w:r>
      <w:r w:rsidR="008D782D" w:rsidRPr="007B74B7">
        <w:rPr>
          <w:rFonts w:cs="Tahoma"/>
          <w:szCs w:val="18"/>
          <w:lang w:val="it-IT"/>
        </w:rPr>
        <w:t xml:space="preserve"> </w:t>
      </w:r>
      <w:r w:rsidRPr="007B74B7">
        <w:rPr>
          <w:rFonts w:cs="Tahoma"/>
          <w:szCs w:val="18"/>
          <w:lang w:val="it-IT"/>
        </w:rPr>
        <w:t>Tuttavia, 5 USL da sole non soddisfano il requisito minimo per il programma Open Value a livello aziendale e Open Value Subscription.</w:t>
      </w:r>
      <w:r w:rsidR="008D782D" w:rsidRPr="007B74B7">
        <w:rPr>
          <w:rFonts w:cs="Tahoma"/>
          <w:szCs w:val="18"/>
          <w:lang w:val="it-IT"/>
        </w:rPr>
        <w:t xml:space="preserve"> </w:t>
      </w:r>
      <w:r w:rsidRPr="007B74B7">
        <w:rPr>
          <w:rFonts w:cs="Tahoma"/>
          <w:szCs w:val="18"/>
          <w:lang w:val="it-IT"/>
        </w:rPr>
        <w:t>Per OV (a livello aziendale) e OV Subscription l</w:t>
      </w:r>
      <w:r w:rsidR="007A1415" w:rsidRPr="007B74B7">
        <w:rPr>
          <w:rFonts w:cs="Tahoma"/>
          <w:szCs w:val="18"/>
          <w:lang w:val="it-IT"/>
        </w:rPr>
        <w:t>’</w:t>
      </w:r>
      <w:r w:rsidRPr="007B74B7">
        <w:rPr>
          <w:rFonts w:cs="Tahoma"/>
          <w:szCs w:val="18"/>
          <w:lang w:val="it-IT"/>
        </w:rPr>
        <w:t>ordine iniziale dovrà includere</w:t>
      </w:r>
      <w:r w:rsidR="005D742F" w:rsidRPr="007B74B7">
        <w:rPr>
          <w:rFonts w:cs="Tahoma"/>
          <w:szCs w:val="18"/>
          <w:lang w:val="it-IT"/>
        </w:rPr>
        <w:t> </w:t>
      </w:r>
      <w:r w:rsidRPr="007B74B7">
        <w:rPr>
          <w:rFonts w:cs="Tahoma"/>
          <w:szCs w:val="18"/>
          <w:lang w:val="it-IT"/>
        </w:rPr>
        <w:t>almeno 5 Licenze Piattaforma Desktop o Componente Desktop, oltre ad eventuali USL.</w:t>
      </w:r>
      <w:r w:rsidR="008D782D" w:rsidRPr="007B74B7">
        <w:rPr>
          <w:rFonts w:cs="Tahoma"/>
          <w:szCs w:val="18"/>
          <w:lang w:val="it-IT"/>
        </w:rPr>
        <w:t xml:space="preserve"> </w:t>
      </w:r>
    </w:p>
    <w:p w:rsidR="00116EDC" w:rsidRPr="007B74B7" w:rsidRDefault="00116EDC" w:rsidP="00116EDC">
      <w:pPr>
        <w:outlineLvl w:val="2"/>
        <w:rPr>
          <w:lang w:val="it-IT"/>
        </w:rPr>
      </w:pPr>
    </w:p>
    <w:p w:rsidR="00776E3B" w:rsidRPr="007B74B7" w:rsidRDefault="00776E3B" w:rsidP="00776E3B">
      <w:pPr>
        <w:pStyle w:val="Heading3"/>
        <w:rPr>
          <w:lang w:val="it-IT"/>
        </w:rPr>
      </w:pPr>
      <w:bookmarkStart w:id="736" w:name="_Toc336338214"/>
      <w:bookmarkStart w:id="737" w:name="_Toc353375994"/>
      <w:r w:rsidRPr="007B74B7">
        <w:rPr>
          <w:rFonts w:ascii="Tahoma" w:hAnsi="Tahoma" w:cs="Tahoma"/>
          <w:sz w:val="24"/>
          <w:lang w:val="it-IT"/>
        </w:rPr>
        <w:lastRenderedPageBreak/>
        <w:t>Servizi di Windows Azure</w:t>
      </w:r>
      <w:bookmarkEnd w:id="736"/>
      <w:bookmarkEnd w:id="737"/>
    </w:p>
    <w:p w:rsidR="00776E3B" w:rsidRPr="007B74B7" w:rsidRDefault="00776E3B" w:rsidP="00DF28F2">
      <w:pPr>
        <w:outlineLvl w:val="1"/>
        <w:rPr>
          <w:sz w:val="16"/>
          <w:szCs w:val="16"/>
          <w:lang w:val="it-IT"/>
        </w:rPr>
      </w:pPr>
    </w:p>
    <w:p w:rsidR="006A5DAE" w:rsidRPr="007B74B7" w:rsidRDefault="005242EC" w:rsidP="005242EC">
      <w:pPr>
        <w:spacing w:after="60"/>
        <w:outlineLvl w:val="1"/>
        <w:rPr>
          <w:lang w:val="it-IT"/>
        </w:rPr>
      </w:pPr>
      <w:r w:rsidRPr="007B74B7">
        <w:rPr>
          <w:rFonts w:cs="Tahoma"/>
          <w:b/>
          <w:szCs w:val="18"/>
          <w:lang w:val="it-IT"/>
        </w:rPr>
        <w:t>Definizioni</w:t>
      </w:r>
    </w:p>
    <w:p w:rsidR="006A5DAE" w:rsidRPr="007B74B7" w:rsidRDefault="006A5DAE" w:rsidP="006A5DAE">
      <w:pPr>
        <w:outlineLvl w:val="1"/>
        <w:rPr>
          <w:lang w:val="it-IT"/>
        </w:rPr>
      </w:pPr>
      <w:r w:rsidRPr="007B74B7">
        <w:rPr>
          <w:rFonts w:cs="Tahoma"/>
          <w:szCs w:val="18"/>
          <w:u w:val="single"/>
          <w:lang w:val="it-IT"/>
        </w:rPr>
        <w:t>Tariffe di Impegno</w:t>
      </w:r>
      <w:r w:rsidRPr="007B74B7">
        <w:rPr>
          <w:rFonts w:cs="Tahoma"/>
          <w:b/>
          <w:szCs w:val="18"/>
          <w:lang w:val="it-IT"/>
        </w:rPr>
        <w:t xml:space="preserve"> </w:t>
      </w:r>
      <w:r w:rsidRPr="007B74B7">
        <w:rPr>
          <w:rFonts w:cs="Tahoma"/>
          <w:szCs w:val="18"/>
          <w:lang w:val="it-IT"/>
        </w:rPr>
        <w:t>indica i prezzi per l</w:t>
      </w:r>
      <w:r w:rsidR="007A1415" w:rsidRPr="007B74B7">
        <w:rPr>
          <w:rFonts w:cs="Tahoma"/>
          <w:szCs w:val="18"/>
          <w:lang w:val="it-IT"/>
        </w:rPr>
        <w:t>’</w:t>
      </w:r>
      <w:r w:rsidRPr="007B74B7">
        <w:rPr>
          <w:rFonts w:cs="Tahoma"/>
          <w:szCs w:val="18"/>
          <w:lang w:val="it-IT"/>
        </w:rPr>
        <w:t>utilizzo dei Servizi Windows Azure fino al raggiungimento dell</w:t>
      </w:r>
      <w:r w:rsidR="007A1415" w:rsidRPr="007B74B7">
        <w:rPr>
          <w:rFonts w:cs="Tahoma"/>
          <w:szCs w:val="18"/>
          <w:lang w:val="it-IT"/>
        </w:rPr>
        <w:t>’</w:t>
      </w:r>
      <w:r w:rsidRPr="007B74B7">
        <w:rPr>
          <w:rFonts w:cs="Tahoma"/>
          <w:szCs w:val="18"/>
          <w:lang w:val="it-IT"/>
        </w:rPr>
        <w:t>Impegno Annuale</w:t>
      </w:r>
      <w:r w:rsidR="00487D97" w:rsidRPr="007B74B7">
        <w:rPr>
          <w:rFonts w:cs="Tahoma"/>
          <w:szCs w:val="18"/>
          <w:lang w:val="it-IT"/>
        </w:rPr>
        <w:t> </w:t>
      </w:r>
      <w:r w:rsidRPr="007B74B7">
        <w:rPr>
          <w:rFonts w:cs="Tahoma"/>
          <w:szCs w:val="18"/>
          <w:lang w:val="it-IT"/>
        </w:rPr>
        <w:t>Allocato.</w:t>
      </w:r>
    </w:p>
    <w:p w:rsidR="006A5DAE" w:rsidRPr="007B74B7" w:rsidRDefault="006A5DAE" w:rsidP="006A5DAE">
      <w:pPr>
        <w:outlineLvl w:val="1"/>
        <w:rPr>
          <w:lang w:val="it-IT"/>
        </w:rPr>
      </w:pPr>
    </w:p>
    <w:p w:rsidR="006A5DAE" w:rsidRPr="007B74B7" w:rsidRDefault="006A5DAE" w:rsidP="006A5DAE">
      <w:pPr>
        <w:outlineLvl w:val="1"/>
        <w:rPr>
          <w:lang w:val="it-IT"/>
        </w:rPr>
      </w:pPr>
      <w:r w:rsidRPr="007B74B7">
        <w:rPr>
          <w:rFonts w:cs="Tahoma"/>
          <w:szCs w:val="18"/>
          <w:u w:val="single"/>
          <w:lang w:val="it-IT"/>
        </w:rPr>
        <w:t>Tariffe di Consumo</w:t>
      </w:r>
      <w:r w:rsidRPr="007B74B7">
        <w:rPr>
          <w:rFonts w:cs="Tahoma"/>
          <w:szCs w:val="18"/>
          <w:lang w:val="it-IT"/>
        </w:rPr>
        <w:t xml:space="preserve"> indica i prezzi per l</w:t>
      </w:r>
      <w:r w:rsidR="007A1415" w:rsidRPr="007B74B7">
        <w:rPr>
          <w:rFonts w:cs="Tahoma"/>
          <w:szCs w:val="18"/>
          <w:lang w:val="it-IT"/>
        </w:rPr>
        <w:t>’</w:t>
      </w:r>
      <w:r w:rsidRPr="007B74B7">
        <w:rPr>
          <w:rFonts w:cs="Tahoma"/>
          <w:szCs w:val="18"/>
          <w:lang w:val="it-IT"/>
        </w:rPr>
        <w:t>utilizzo dei Servizi Windows Azure che eccede l</w:t>
      </w:r>
      <w:r w:rsidR="007A1415" w:rsidRPr="007B74B7">
        <w:rPr>
          <w:rFonts w:cs="Tahoma"/>
          <w:szCs w:val="18"/>
          <w:lang w:val="it-IT"/>
        </w:rPr>
        <w:t>’</w:t>
      </w:r>
      <w:r w:rsidRPr="007B74B7">
        <w:rPr>
          <w:rFonts w:cs="Tahoma"/>
          <w:szCs w:val="18"/>
          <w:lang w:val="it-IT"/>
        </w:rPr>
        <w:t>Impegno Annuale Allocato. Le</w:t>
      </w:r>
      <w:r w:rsidR="005D742F" w:rsidRPr="007B74B7">
        <w:rPr>
          <w:rFonts w:cs="Tahoma"/>
          <w:szCs w:val="18"/>
          <w:lang w:val="it-IT"/>
        </w:rPr>
        <w:t> </w:t>
      </w:r>
      <w:r w:rsidRPr="007B74B7">
        <w:rPr>
          <w:rFonts w:cs="Tahoma"/>
          <w:szCs w:val="18"/>
          <w:lang w:val="it-IT"/>
        </w:rPr>
        <w:t>Tariffe di Consumo possono inoltre essere indicate come “Tariffe di Eccedenza” o “Eccedenza” in altri documenti Microsoft o Windows Azure.</w:t>
      </w:r>
    </w:p>
    <w:p w:rsidR="006A5DAE" w:rsidRPr="007B74B7" w:rsidRDefault="006A5DAE" w:rsidP="006A5DAE">
      <w:pPr>
        <w:outlineLvl w:val="1"/>
        <w:rPr>
          <w:sz w:val="16"/>
          <w:szCs w:val="16"/>
          <w:lang w:val="it-IT"/>
        </w:rPr>
      </w:pPr>
    </w:p>
    <w:p w:rsidR="006A5DAE" w:rsidRPr="007B74B7" w:rsidRDefault="006A5DAE" w:rsidP="006A5DAE">
      <w:pPr>
        <w:outlineLvl w:val="1"/>
        <w:rPr>
          <w:lang w:val="it-IT"/>
        </w:rPr>
      </w:pPr>
      <w:r w:rsidRPr="007B74B7">
        <w:rPr>
          <w:rFonts w:cs="Tahoma"/>
          <w:szCs w:val="18"/>
          <w:u w:val="single"/>
          <w:lang w:val="it-IT"/>
        </w:rPr>
        <w:t>Impegno Monetario</w:t>
      </w:r>
      <w:r w:rsidRPr="007B74B7">
        <w:rPr>
          <w:rFonts w:cs="Tahoma"/>
          <w:szCs w:val="18"/>
          <w:lang w:val="it-IT"/>
        </w:rPr>
        <w:t xml:space="preserve"> indica l</w:t>
      </w:r>
      <w:r w:rsidR="007A1415" w:rsidRPr="007B74B7">
        <w:rPr>
          <w:rFonts w:cs="Tahoma"/>
          <w:szCs w:val="18"/>
          <w:lang w:val="it-IT"/>
        </w:rPr>
        <w:t>’</w:t>
      </w:r>
      <w:r w:rsidRPr="007B74B7">
        <w:rPr>
          <w:rFonts w:cs="Tahoma"/>
          <w:szCs w:val="18"/>
          <w:lang w:val="it-IT"/>
        </w:rPr>
        <w:t>importo monetario totale che una società s</w:t>
      </w:r>
      <w:r w:rsidR="007A1415" w:rsidRPr="007B74B7">
        <w:rPr>
          <w:rFonts w:cs="Tahoma"/>
          <w:szCs w:val="18"/>
          <w:lang w:val="it-IT"/>
        </w:rPr>
        <w:t>’</w:t>
      </w:r>
      <w:r w:rsidRPr="007B74B7">
        <w:rPr>
          <w:rFonts w:cs="Tahoma"/>
          <w:szCs w:val="18"/>
          <w:lang w:val="it-IT"/>
        </w:rPr>
        <w:t>impegna a pagare nel periodo di validità dell</w:t>
      </w:r>
      <w:r w:rsidR="007A1415" w:rsidRPr="007B74B7">
        <w:rPr>
          <w:rFonts w:cs="Tahoma"/>
          <w:szCs w:val="18"/>
          <w:lang w:val="it-IT"/>
        </w:rPr>
        <w:t>’</w:t>
      </w:r>
      <w:r w:rsidRPr="007B74B7">
        <w:rPr>
          <w:rFonts w:cs="Tahoma"/>
          <w:szCs w:val="18"/>
          <w:lang w:val="it-IT"/>
        </w:rPr>
        <w:t>abbonamento per l</w:t>
      </w:r>
      <w:r w:rsidR="007A1415" w:rsidRPr="007B74B7">
        <w:rPr>
          <w:rFonts w:cs="Tahoma"/>
          <w:szCs w:val="18"/>
          <w:lang w:val="it-IT"/>
        </w:rPr>
        <w:t>’</w:t>
      </w:r>
      <w:r w:rsidRPr="007B74B7">
        <w:rPr>
          <w:rFonts w:cs="Tahoma"/>
          <w:szCs w:val="18"/>
          <w:lang w:val="it-IT"/>
        </w:rPr>
        <w:t>utilizzo dei Servizi Windows Azure.</w:t>
      </w:r>
    </w:p>
    <w:p w:rsidR="00BD1A6A" w:rsidRPr="007B74B7" w:rsidRDefault="00BD1A6A" w:rsidP="006A5DAE">
      <w:pPr>
        <w:outlineLvl w:val="1"/>
        <w:rPr>
          <w:sz w:val="16"/>
          <w:szCs w:val="16"/>
          <w:lang w:val="it-IT"/>
        </w:rPr>
      </w:pPr>
    </w:p>
    <w:p w:rsidR="006A5DAE" w:rsidRPr="007B74B7" w:rsidRDefault="006A5DAE" w:rsidP="006A5DAE">
      <w:pPr>
        <w:outlineLvl w:val="1"/>
        <w:rPr>
          <w:lang w:val="it-IT"/>
        </w:rPr>
      </w:pPr>
      <w:r w:rsidRPr="007B74B7">
        <w:rPr>
          <w:rFonts w:cs="Tahoma"/>
          <w:szCs w:val="18"/>
          <w:u w:val="single"/>
          <w:lang w:val="it-IT"/>
        </w:rPr>
        <w:t>Impegno Annuale Allocato</w:t>
      </w:r>
      <w:r w:rsidRPr="007B74B7">
        <w:rPr>
          <w:rFonts w:cs="Tahoma"/>
          <w:szCs w:val="18"/>
          <w:lang w:val="it-IT"/>
        </w:rPr>
        <w:t xml:space="preserve"> indica la parte di Impegno Monetario allocato annualmente durante il periodo di validità dell</w:t>
      </w:r>
      <w:r w:rsidR="007A1415" w:rsidRPr="007B74B7">
        <w:rPr>
          <w:rFonts w:cs="Tahoma"/>
          <w:szCs w:val="18"/>
          <w:lang w:val="it-IT"/>
        </w:rPr>
        <w:t>’</w:t>
      </w:r>
      <w:r w:rsidRPr="007B74B7">
        <w:rPr>
          <w:rFonts w:cs="Tahoma"/>
          <w:szCs w:val="18"/>
          <w:lang w:val="it-IT"/>
        </w:rPr>
        <w:t>Iscrizione. Per l</w:t>
      </w:r>
      <w:r w:rsidR="007A1415" w:rsidRPr="007B74B7">
        <w:rPr>
          <w:rFonts w:cs="Tahoma"/>
          <w:szCs w:val="18"/>
          <w:lang w:val="it-IT"/>
        </w:rPr>
        <w:t>’</w:t>
      </w:r>
      <w:r w:rsidRPr="007B74B7">
        <w:rPr>
          <w:rFonts w:cs="Tahoma"/>
          <w:szCs w:val="18"/>
          <w:lang w:val="it-IT"/>
        </w:rPr>
        <w:t>opzione “Subscription” annuale l</w:t>
      </w:r>
      <w:r w:rsidR="007A1415" w:rsidRPr="007B74B7">
        <w:rPr>
          <w:rFonts w:cs="Tahoma"/>
          <w:szCs w:val="18"/>
          <w:lang w:val="it-IT"/>
        </w:rPr>
        <w:t>’</w:t>
      </w:r>
      <w:r w:rsidRPr="007B74B7">
        <w:rPr>
          <w:rFonts w:cs="Tahoma"/>
          <w:szCs w:val="18"/>
          <w:lang w:val="it-IT"/>
        </w:rPr>
        <w:t>Impegno Annuale Allocato è pari all</w:t>
      </w:r>
      <w:r w:rsidR="007A1415" w:rsidRPr="007B74B7">
        <w:rPr>
          <w:rFonts w:cs="Tahoma"/>
          <w:szCs w:val="18"/>
          <w:lang w:val="it-IT"/>
        </w:rPr>
        <w:t>’</w:t>
      </w:r>
      <w:r w:rsidRPr="007B74B7">
        <w:rPr>
          <w:rFonts w:cs="Tahoma"/>
          <w:szCs w:val="18"/>
          <w:lang w:val="it-IT"/>
        </w:rPr>
        <w:t>Impegno Monetario.</w:t>
      </w:r>
    </w:p>
    <w:p w:rsidR="00BD1A6A" w:rsidRPr="007B74B7" w:rsidRDefault="00BD1A6A">
      <w:pPr>
        <w:rPr>
          <w:sz w:val="16"/>
          <w:szCs w:val="16"/>
          <w:lang w:val="it-IT"/>
        </w:rPr>
      </w:pPr>
    </w:p>
    <w:p w:rsidR="006A5DAE" w:rsidRPr="007B74B7" w:rsidRDefault="006A5DAE" w:rsidP="005242EC">
      <w:pPr>
        <w:spacing w:after="60"/>
        <w:outlineLvl w:val="1"/>
        <w:rPr>
          <w:lang w:val="it-IT"/>
        </w:rPr>
      </w:pPr>
      <w:r w:rsidRPr="007B74B7">
        <w:rPr>
          <w:rFonts w:cs="Tahoma"/>
          <w:b/>
          <w:szCs w:val="18"/>
          <w:lang w:val="it-IT"/>
        </w:rPr>
        <w:t>Periodo di Validità dell</w:t>
      </w:r>
      <w:r w:rsidR="007A1415" w:rsidRPr="007B74B7">
        <w:rPr>
          <w:rFonts w:cs="Tahoma"/>
          <w:b/>
          <w:szCs w:val="18"/>
          <w:lang w:val="it-IT"/>
        </w:rPr>
        <w:t>’</w:t>
      </w:r>
      <w:r w:rsidRPr="007B74B7">
        <w:rPr>
          <w:rFonts w:cs="Tahoma"/>
          <w:b/>
          <w:szCs w:val="18"/>
          <w:lang w:val="it-IT"/>
        </w:rPr>
        <w:t>Abbonamento</w:t>
      </w:r>
    </w:p>
    <w:p w:rsidR="006A5DAE" w:rsidRPr="007B74B7" w:rsidRDefault="006A5DAE" w:rsidP="006A5DAE">
      <w:pPr>
        <w:outlineLvl w:val="1"/>
        <w:rPr>
          <w:lang w:val="it-IT"/>
        </w:rPr>
      </w:pPr>
      <w:r w:rsidRPr="007B74B7">
        <w:rPr>
          <w:rFonts w:cs="Tahoma"/>
          <w:szCs w:val="18"/>
          <w:lang w:val="it-IT"/>
        </w:rPr>
        <w:t>Per i Servizi di Windows Azure le società possono scegliere un periodo di abbonamento annuale o un abbonamento che termini il giorno stesso della scadenza del periodo di validità dell</w:t>
      </w:r>
      <w:r w:rsidR="007A1415" w:rsidRPr="007B74B7">
        <w:rPr>
          <w:rFonts w:cs="Tahoma"/>
          <w:szCs w:val="18"/>
          <w:lang w:val="it-IT"/>
        </w:rPr>
        <w:t>’</w:t>
      </w:r>
      <w:r w:rsidRPr="007B74B7">
        <w:rPr>
          <w:rFonts w:cs="Tahoma"/>
          <w:szCs w:val="18"/>
          <w:lang w:val="it-IT"/>
        </w:rPr>
        <w:t xml:space="preserve">iscrizione delle società (“scadenza identica”). </w:t>
      </w:r>
      <w:r w:rsidRPr="007B74B7">
        <w:rPr>
          <w:lang w:val="it-IT"/>
        </w:rPr>
        <w:t>Le</w:t>
      </w:r>
      <w:r w:rsidR="00487D97" w:rsidRPr="007B74B7">
        <w:rPr>
          <w:lang w:val="it-IT"/>
        </w:rPr>
        <w:t> </w:t>
      </w:r>
      <w:r w:rsidRPr="007B74B7">
        <w:rPr>
          <w:lang w:val="it-IT"/>
        </w:rPr>
        <w:t>società che scelgono l</w:t>
      </w:r>
      <w:r w:rsidR="007A1415" w:rsidRPr="007B74B7">
        <w:rPr>
          <w:lang w:val="it-IT"/>
        </w:rPr>
        <w:t>’</w:t>
      </w:r>
      <w:r w:rsidRPr="007B74B7">
        <w:rPr>
          <w:lang w:val="it-IT"/>
        </w:rPr>
        <w:t>opzione annuale non possono annullare l</w:t>
      </w:r>
      <w:r w:rsidR="007A1415" w:rsidRPr="007B74B7">
        <w:rPr>
          <w:lang w:val="it-IT"/>
        </w:rPr>
        <w:t>’</w:t>
      </w:r>
      <w:r w:rsidRPr="007B74B7">
        <w:rPr>
          <w:lang w:val="it-IT"/>
        </w:rPr>
        <w:t>iscrizione prima di 12 mesi e le società che scelgono l</w:t>
      </w:r>
      <w:r w:rsidR="007A1415" w:rsidRPr="007B74B7">
        <w:rPr>
          <w:lang w:val="it-IT"/>
        </w:rPr>
        <w:t>’</w:t>
      </w:r>
      <w:r w:rsidRPr="007B74B7">
        <w:rPr>
          <w:lang w:val="it-IT"/>
        </w:rPr>
        <w:t>opzione con scadenza identica non possono annullare l</w:t>
      </w:r>
      <w:r w:rsidR="007A1415" w:rsidRPr="007B74B7">
        <w:rPr>
          <w:lang w:val="it-IT"/>
        </w:rPr>
        <w:t>’</w:t>
      </w:r>
      <w:r w:rsidRPr="007B74B7">
        <w:rPr>
          <w:lang w:val="it-IT"/>
        </w:rPr>
        <w:t>iscrizione prima di due mesi</w:t>
      </w:r>
      <w:r w:rsidRPr="007B74B7">
        <w:rPr>
          <w:rFonts w:cs="Tahoma"/>
          <w:szCs w:val="18"/>
          <w:lang w:val="it-IT"/>
        </w:rPr>
        <w:t>.</w:t>
      </w:r>
    </w:p>
    <w:p w:rsidR="006A5DAE" w:rsidRPr="007B74B7" w:rsidRDefault="006A5DAE" w:rsidP="006A5DAE">
      <w:pPr>
        <w:rPr>
          <w:sz w:val="16"/>
          <w:szCs w:val="16"/>
          <w:lang w:val="it-IT"/>
        </w:rPr>
      </w:pPr>
    </w:p>
    <w:p w:rsidR="006A5DAE" w:rsidRPr="007B74B7" w:rsidRDefault="005242EC" w:rsidP="005242EC">
      <w:pPr>
        <w:spacing w:after="60"/>
        <w:outlineLvl w:val="1"/>
        <w:rPr>
          <w:lang w:val="it-IT"/>
        </w:rPr>
      </w:pPr>
      <w:r w:rsidRPr="007B74B7">
        <w:rPr>
          <w:rFonts w:cs="Tahoma"/>
          <w:b/>
          <w:szCs w:val="18"/>
          <w:lang w:val="it-IT"/>
        </w:rPr>
        <w:t>Impegno Monetario</w:t>
      </w:r>
    </w:p>
    <w:p w:rsidR="006A5DAE" w:rsidRPr="007B74B7" w:rsidRDefault="006A5DAE" w:rsidP="006A5DAE">
      <w:pPr>
        <w:outlineLvl w:val="1"/>
        <w:rPr>
          <w:lang w:val="it-IT"/>
        </w:rPr>
      </w:pPr>
      <w:r w:rsidRPr="007B74B7">
        <w:rPr>
          <w:rFonts w:cs="Tahoma"/>
          <w:szCs w:val="18"/>
          <w:lang w:val="it-IT"/>
        </w:rPr>
        <w:t>L</w:t>
      </w:r>
      <w:r w:rsidR="007A1415" w:rsidRPr="007B74B7">
        <w:rPr>
          <w:rFonts w:cs="Tahoma"/>
          <w:szCs w:val="18"/>
          <w:lang w:val="it-IT"/>
        </w:rPr>
        <w:t>’</w:t>
      </w:r>
      <w:r w:rsidRPr="007B74B7">
        <w:rPr>
          <w:rFonts w:cs="Tahoma"/>
          <w:szCs w:val="18"/>
          <w:lang w:val="it-IT"/>
        </w:rPr>
        <w:t>ordine iniziale delle società dovrà includere un Impegno Monetario e potrà essere presentato in qualsiasi momento prima dell</w:t>
      </w:r>
      <w:r w:rsidR="007A1415" w:rsidRPr="007B74B7">
        <w:rPr>
          <w:rFonts w:cs="Tahoma"/>
          <w:szCs w:val="18"/>
          <w:lang w:val="it-IT"/>
        </w:rPr>
        <w:t>’</w:t>
      </w:r>
      <w:r w:rsidRPr="007B74B7">
        <w:rPr>
          <w:rFonts w:cs="Tahoma"/>
          <w:szCs w:val="18"/>
          <w:lang w:val="it-IT"/>
        </w:rPr>
        <w:t>ultimo mese del periodo di validità dell</w:t>
      </w:r>
      <w:r w:rsidR="007A1415" w:rsidRPr="007B74B7">
        <w:rPr>
          <w:rFonts w:cs="Tahoma"/>
          <w:szCs w:val="18"/>
          <w:lang w:val="it-IT"/>
        </w:rPr>
        <w:t>’</w:t>
      </w:r>
      <w:r w:rsidRPr="007B74B7">
        <w:rPr>
          <w:rFonts w:cs="Tahoma"/>
          <w:szCs w:val="18"/>
          <w:lang w:val="it-IT"/>
        </w:rPr>
        <w:t>iscrizione. L</w:t>
      </w:r>
      <w:r w:rsidR="007A1415" w:rsidRPr="007B74B7">
        <w:rPr>
          <w:rFonts w:cs="Tahoma"/>
          <w:szCs w:val="18"/>
          <w:lang w:val="it-IT"/>
        </w:rPr>
        <w:t>’</w:t>
      </w:r>
      <w:r w:rsidRPr="007B74B7">
        <w:rPr>
          <w:rFonts w:cs="Tahoma"/>
          <w:szCs w:val="18"/>
          <w:lang w:val="it-IT"/>
        </w:rPr>
        <w:t>Impegno Monetario previsto dall</w:t>
      </w:r>
      <w:r w:rsidR="007A1415" w:rsidRPr="007B74B7">
        <w:rPr>
          <w:rFonts w:cs="Tahoma"/>
          <w:szCs w:val="18"/>
          <w:lang w:val="it-IT"/>
        </w:rPr>
        <w:t>’</w:t>
      </w:r>
      <w:r w:rsidRPr="007B74B7">
        <w:rPr>
          <w:rFonts w:cs="Tahoma"/>
          <w:szCs w:val="18"/>
          <w:lang w:val="it-IT"/>
        </w:rPr>
        <w:t>opzione “Subscription” annuale verrà ripartito in uguale misura tra i 12 mesi successivi. L</w:t>
      </w:r>
      <w:r w:rsidR="007A1415" w:rsidRPr="007B74B7">
        <w:rPr>
          <w:rFonts w:cs="Tahoma"/>
          <w:szCs w:val="18"/>
          <w:lang w:val="it-IT"/>
        </w:rPr>
        <w:t>’</w:t>
      </w:r>
      <w:r w:rsidRPr="007B74B7">
        <w:rPr>
          <w:rFonts w:cs="Tahoma"/>
          <w:szCs w:val="18"/>
          <w:lang w:val="it-IT"/>
        </w:rPr>
        <w:t>Impegno Monetario previsto dall</w:t>
      </w:r>
      <w:r w:rsidR="007A1415" w:rsidRPr="007B74B7">
        <w:rPr>
          <w:rFonts w:cs="Tahoma"/>
          <w:szCs w:val="18"/>
          <w:lang w:val="it-IT"/>
        </w:rPr>
        <w:t>’</w:t>
      </w:r>
      <w:r w:rsidRPr="007B74B7">
        <w:rPr>
          <w:rFonts w:cs="Tahoma"/>
          <w:szCs w:val="18"/>
          <w:lang w:val="it-IT"/>
        </w:rPr>
        <w:t>opzione con scadenza identica verrà allocato in misura proporzionale durante il periodo di validità dell</w:t>
      </w:r>
      <w:r w:rsidR="007A1415" w:rsidRPr="007B74B7">
        <w:rPr>
          <w:rFonts w:cs="Tahoma"/>
          <w:szCs w:val="18"/>
          <w:lang w:val="it-IT"/>
        </w:rPr>
        <w:t>’</w:t>
      </w:r>
      <w:r w:rsidRPr="007B74B7">
        <w:rPr>
          <w:rFonts w:cs="Tahoma"/>
          <w:szCs w:val="18"/>
          <w:lang w:val="it-IT"/>
        </w:rPr>
        <w:t>iscrizione.</w:t>
      </w:r>
    </w:p>
    <w:p w:rsidR="006A5DAE" w:rsidRPr="007B74B7" w:rsidRDefault="006A5DAE" w:rsidP="006A5DAE">
      <w:pPr>
        <w:outlineLvl w:val="1"/>
        <w:rPr>
          <w:sz w:val="16"/>
          <w:szCs w:val="16"/>
          <w:lang w:val="it-IT"/>
        </w:rPr>
      </w:pPr>
    </w:p>
    <w:p w:rsidR="006A5DAE" w:rsidRPr="007B74B7" w:rsidRDefault="006A5DAE" w:rsidP="006A5DAE">
      <w:pPr>
        <w:rPr>
          <w:lang w:val="it-IT"/>
        </w:rPr>
      </w:pPr>
      <w:r w:rsidRPr="007B74B7">
        <w:rPr>
          <w:lang w:val="it-IT"/>
        </w:rPr>
        <w:t>Le società potranno incrementare il proprio Impegno Monetario in qualsiasi momento effettuando ordini aggiuntivi.</w:t>
      </w:r>
      <w:r w:rsidR="008D782D" w:rsidRPr="007B74B7">
        <w:rPr>
          <w:lang w:val="it-IT"/>
        </w:rPr>
        <w:t xml:space="preserve"> </w:t>
      </w:r>
      <w:r w:rsidRPr="007B74B7">
        <w:rPr>
          <w:lang w:val="it-IT"/>
        </w:rPr>
        <w:t>Tali ordini verranno aggiunti all</w:t>
      </w:r>
      <w:r w:rsidR="007A1415" w:rsidRPr="007B74B7">
        <w:rPr>
          <w:lang w:val="it-IT"/>
        </w:rPr>
        <w:t>’</w:t>
      </w:r>
      <w:r w:rsidRPr="007B74B7">
        <w:rPr>
          <w:lang w:val="it-IT"/>
        </w:rPr>
        <w:t>Impegno Annuale Allocato corrente e potranno essere utilizzati il primo giorno del mese successivo all</w:t>
      </w:r>
      <w:r w:rsidR="007A1415" w:rsidRPr="007B74B7">
        <w:rPr>
          <w:lang w:val="it-IT"/>
        </w:rPr>
        <w:t>’</w:t>
      </w:r>
      <w:r w:rsidRPr="007B74B7">
        <w:rPr>
          <w:lang w:val="it-IT"/>
        </w:rPr>
        <w:t>elaborazione dell</w:t>
      </w:r>
      <w:r w:rsidR="007A1415" w:rsidRPr="007B74B7">
        <w:rPr>
          <w:lang w:val="it-IT"/>
        </w:rPr>
        <w:t>’</w:t>
      </w:r>
      <w:r w:rsidRPr="007B74B7">
        <w:rPr>
          <w:lang w:val="it-IT"/>
        </w:rPr>
        <w:t>ordine da parte di Microsoft. Per l</w:t>
      </w:r>
      <w:r w:rsidR="007A1415" w:rsidRPr="007B74B7">
        <w:rPr>
          <w:lang w:val="it-IT"/>
        </w:rPr>
        <w:t>’</w:t>
      </w:r>
      <w:r w:rsidRPr="007B74B7">
        <w:rPr>
          <w:rFonts w:cs="Tahoma"/>
          <w:szCs w:val="18"/>
          <w:lang w:val="it-IT"/>
        </w:rPr>
        <w:t>opzione con scadenza identica</w:t>
      </w:r>
      <w:r w:rsidRPr="007B74B7">
        <w:rPr>
          <w:lang w:val="it-IT"/>
        </w:rPr>
        <w:t xml:space="preserve"> i futuri Impegni Annuali Allocati verranno incrementati dall</w:t>
      </w:r>
      <w:r w:rsidR="007A1415" w:rsidRPr="007B74B7">
        <w:rPr>
          <w:lang w:val="it-IT"/>
        </w:rPr>
        <w:t>’</w:t>
      </w:r>
      <w:r w:rsidRPr="007B74B7">
        <w:rPr>
          <w:lang w:val="it-IT"/>
        </w:rPr>
        <w:t>importo dell</w:t>
      </w:r>
      <w:r w:rsidR="007A1415" w:rsidRPr="007B74B7">
        <w:rPr>
          <w:lang w:val="it-IT"/>
        </w:rPr>
        <w:t>’</w:t>
      </w:r>
      <w:r w:rsidRPr="007B74B7">
        <w:rPr>
          <w:lang w:val="it-IT"/>
        </w:rPr>
        <w:t>ordine aggiuntivo moltiplicato per dodici diviso il numero di mesi interi residui nell</w:t>
      </w:r>
      <w:r w:rsidR="007A1415" w:rsidRPr="007B74B7">
        <w:rPr>
          <w:lang w:val="it-IT"/>
        </w:rPr>
        <w:t>’</w:t>
      </w:r>
      <w:r w:rsidRPr="007B74B7">
        <w:rPr>
          <w:lang w:val="it-IT"/>
        </w:rPr>
        <w:t>anno in cui è stato effettuato l</w:t>
      </w:r>
      <w:r w:rsidR="007A1415" w:rsidRPr="007B74B7">
        <w:rPr>
          <w:lang w:val="it-IT"/>
        </w:rPr>
        <w:t>’</w:t>
      </w:r>
      <w:r w:rsidRPr="007B74B7">
        <w:rPr>
          <w:lang w:val="it-IT"/>
        </w:rPr>
        <w:t>ordine aggiuntivo.</w:t>
      </w:r>
    </w:p>
    <w:p w:rsidR="006A5DAE" w:rsidRPr="007B74B7" w:rsidRDefault="006A5DAE" w:rsidP="006A5DAE">
      <w:pPr>
        <w:rPr>
          <w:sz w:val="16"/>
          <w:szCs w:val="16"/>
          <w:lang w:val="it-IT"/>
        </w:rPr>
      </w:pPr>
    </w:p>
    <w:p w:rsidR="006A5DAE" w:rsidRPr="007B74B7" w:rsidRDefault="006A5DAE" w:rsidP="006A5DAE">
      <w:pPr>
        <w:outlineLvl w:val="1"/>
        <w:rPr>
          <w:lang w:val="it-IT"/>
        </w:rPr>
      </w:pPr>
      <w:r w:rsidRPr="007B74B7">
        <w:rPr>
          <w:rFonts w:cs="Tahoma"/>
          <w:szCs w:val="18"/>
          <w:lang w:val="it-IT"/>
        </w:rPr>
        <w:t>Le società dovranno consumare l</w:t>
      </w:r>
      <w:r w:rsidR="007A1415" w:rsidRPr="007B74B7">
        <w:rPr>
          <w:rFonts w:cs="Tahoma"/>
          <w:szCs w:val="18"/>
          <w:lang w:val="it-IT"/>
        </w:rPr>
        <w:t>’</w:t>
      </w:r>
      <w:r w:rsidRPr="007B74B7">
        <w:rPr>
          <w:lang w:val="it-IT"/>
        </w:rPr>
        <w:t>Impegno Annuale Allocato</w:t>
      </w:r>
      <w:r w:rsidRPr="007B74B7">
        <w:rPr>
          <w:rFonts w:cs="Tahoma"/>
          <w:szCs w:val="18"/>
          <w:lang w:val="it-IT"/>
        </w:rPr>
        <w:t xml:space="preserve"> entro l</w:t>
      </w:r>
      <w:r w:rsidR="007A1415" w:rsidRPr="007B74B7">
        <w:rPr>
          <w:rFonts w:cs="Tahoma"/>
          <w:szCs w:val="18"/>
          <w:lang w:val="it-IT"/>
        </w:rPr>
        <w:t>’</w:t>
      </w:r>
      <w:r w:rsidRPr="007B74B7">
        <w:rPr>
          <w:rFonts w:cs="Tahoma"/>
          <w:szCs w:val="18"/>
          <w:lang w:val="it-IT"/>
        </w:rPr>
        <w:t>ultimo giorno del 12° mese successivo all</w:t>
      </w:r>
      <w:r w:rsidR="007A1415" w:rsidRPr="007B74B7">
        <w:rPr>
          <w:rFonts w:cs="Tahoma"/>
          <w:szCs w:val="18"/>
          <w:lang w:val="it-IT"/>
        </w:rPr>
        <w:t>’</w:t>
      </w:r>
      <w:r w:rsidRPr="007B74B7">
        <w:rPr>
          <w:rFonts w:cs="Tahoma"/>
          <w:szCs w:val="18"/>
          <w:lang w:val="it-IT"/>
        </w:rPr>
        <w:t>ordine per l</w:t>
      </w:r>
      <w:r w:rsidR="007A1415" w:rsidRPr="007B74B7">
        <w:rPr>
          <w:rFonts w:cs="Tahoma"/>
          <w:szCs w:val="18"/>
          <w:lang w:val="it-IT"/>
        </w:rPr>
        <w:t>’</w:t>
      </w:r>
      <w:r w:rsidRPr="007B74B7">
        <w:rPr>
          <w:rFonts w:cs="Tahoma"/>
          <w:szCs w:val="18"/>
          <w:lang w:val="it-IT"/>
        </w:rPr>
        <w:t>opzione “Subscription” annuale ed entro l</w:t>
      </w:r>
      <w:r w:rsidR="007A1415" w:rsidRPr="007B74B7">
        <w:rPr>
          <w:rFonts w:cs="Tahoma"/>
          <w:szCs w:val="18"/>
          <w:lang w:val="it-IT"/>
        </w:rPr>
        <w:t>’</w:t>
      </w:r>
      <w:r w:rsidRPr="007B74B7">
        <w:rPr>
          <w:rFonts w:cs="Tahoma"/>
          <w:szCs w:val="18"/>
          <w:lang w:val="it-IT"/>
        </w:rPr>
        <w:t>ultimo giorno del mese precedente la ricorrenza annuale dell</w:t>
      </w:r>
      <w:r w:rsidR="007A1415" w:rsidRPr="007B74B7">
        <w:rPr>
          <w:rFonts w:cs="Tahoma"/>
          <w:szCs w:val="18"/>
          <w:lang w:val="it-IT"/>
        </w:rPr>
        <w:t>’</w:t>
      </w:r>
      <w:r w:rsidRPr="007B74B7">
        <w:rPr>
          <w:rFonts w:cs="Tahoma"/>
          <w:szCs w:val="18"/>
          <w:lang w:val="it-IT"/>
        </w:rPr>
        <w:t>iscrizione moltiplicato per dodici diviso il numero di mesi interi residui nell</w:t>
      </w:r>
      <w:r w:rsidR="007A1415" w:rsidRPr="007B74B7">
        <w:rPr>
          <w:rFonts w:cs="Tahoma"/>
          <w:szCs w:val="18"/>
          <w:lang w:val="it-IT"/>
        </w:rPr>
        <w:t>’</w:t>
      </w:r>
      <w:r w:rsidRPr="007B74B7">
        <w:rPr>
          <w:rFonts w:cs="Tahoma"/>
          <w:szCs w:val="18"/>
          <w:lang w:val="it-IT"/>
        </w:rPr>
        <w:t>anno in cui è stato effettuato l</w:t>
      </w:r>
      <w:r w:rsidR="007A1415" w:rsidRPr="007B74B7">
        <w:rPr>
          <w:rFonts w:cs="Tahoma"/>
          <w:szCs w:val="18"/>
          <w:lang w:val="it-IT"/>
        </w:rPr>
        <w:t>’</w:t>
      </w:r>
      <w:r w:rsidRPr="007B74B7">
        <w:rPr>
          <w:rFonts w:cs="Tahoma"/>
          <w:szCs w:val="18"/>
          <w:lang w:val="it-IT"/>
        </w:rPr>
        <w:t>ordine aggiuntivo per il</w:t>
      </w:r>
      <w:r w:rsidR="005D742F" w:rsidRPr="007B74B7">
        <w:rPr>
          <w:rFonts w:cs="Tahoma"/>
          <w:szCs w:val="18"/>
          <w:lang w:val="it-IT"/>
        </w:rPr>
        <w:t> </w:t>
      </w:r>
      <w:r w:rsidRPr="007B74B7">
        <w:rPr>
          <w:rFonts w:cs="Tahoma"/>
          <w:szCs w:val="18"/>
          <w:lang w:val="it-IT"/>
        </w:rPr>
        <w:t>periodo di abbonamento con scadenza identica. L</w:t>
      </w:r>
      <w:r w:rsidR="007A1415" w:rsidRPr="007B74B7">
        <w:rPr>
          <w:rFonts w:cs="Tahoma"/>
          <w:szCs w:val="18"/>
          <w:lang w:val="it-IT"/>
        </w:rPr>
        <w:t>’</w:t>
      </w:r>
      <w:r w:rsidRPr="007B74B7">
        <w:rPr>
          <w:rFonts w:cs="Tahoma"/>
          <w:szCs w:val="18"/>
          <w:lang w:val="it-IT"/>
        </w:rPr>
        <w:t>eventuale parte non utilizzata dell</w:t>
      </w:r>
      <w:r w:rsidR="007A1415" w:rsidRPr="007B74B7">
        <w:rPr>
          <w:rFonts w:cs="Tahoma"/>
          <w:szCs w:val="18"/>
          <w:lang w:val="it-IT"/>
        </w:rPr>
        <w:t>’</w:t>
      </w:r>
      <w:r w:rsidRPr="007B74B7">
        <w:rPr>
          <w:lang w:val="it-IT"/>
        </w:rPr>
        <w:t xml:space="preserve">Impegno Annuale Anticipato </w:t>
      </w:r>
      <w:r w:rsidRPr="007B74B7">
        <w:rPr>
          <w:rFonts w:cs="Tahoma"/>
          <w:szCs w:val="18"/>
          <w:lang w:val="it-IT"/>
        </w:rPr>
        <w:t>andrà</w:t>
      </w:r>
      <w:r w:rsidRPr="007B74B7">
        <w:rPr>
          <w:lang w:val="it-IT"/>
        </w:rPr>
        <w:t xml:space="preserve"> persa</w:t>
      </w:r>
      <w:r w:rsidRPr="007B74B7">
        <w:rPr>
          <w:rFonts w:cs="Tahoma"/>
          <w:szCs w:val="18"/>
          <w:lang w:val="it-IT"/>
        </w:rPr>
        <w:t xml:space="preserve">. </w:t>
      </w:r>
    </w:p>
    <w:p w:rsidR="006A5DAE" w:rsidRPr="007B74B7" w:rsidRDefault="006A5DAE" w:rsidP="006A5DAE">
      <w:pPr>
        <w:rPr>
          <w:sz w:val="16"/>
          <w:szCs w:val="16"/>
          <w:lang w:val="it-IT"/>
        </w:rPr>
      </w:pPr>
    </w:p>
    <w:p w:rsidR="006A5DAE" w:rsidRPr="007B74B7" w:rsidRDefault="005242EC" w:rsidP="005242EC">
      <w:pPr>
        <w:spacing w:after="60"/>
        <w:outlineLvl w:val="1"/>
        <w:rPr>
          <w:lang w:val="it-IT"/>
        </w:rPr>
      </w:pPr>
      <w:r w:rsidRPr="007B74B7">
        <w:rPr>
          <w:rFonts w:cs="Tahoma"/>
          <w:b/>
          <w:szCs w:val="18"/>
          <w:lang w:val="it-IT"/>
        </w:rPr>
        <w:t xml:space="preserve">Pagamento e Corrispettivi </w:t>
      </w:r>
    </w:p>
    <w:p w:rsidR="006A5DAE" w:rsidRPr="007B74B7" w:rsidRDefault="006A5DAE" w:rsidP="006A5DAE">
      <w:pPr>
        <w:rPr>
          <w:lang w:val="it-IT"/>
        </w:rPr>
      </w:pPr>
      <w:r w:rsidRPr="007B74B7">
        <w:rPr>
          <w:lang w:val="it-IT"/>
        </w:rPr>
        <w:t>Per l</w:t>
      </w:r>
      <w:r w:rsidR="007A1415" w:rsidRPr="007B74B7">
        <w:rPr>
          <w:lang w:val="it-IT"/>
        </w:rPr>
        <w:t>’</w:t>
      </w:r>
      <w:r w:rsidRPr="007B74B7">
        <w:rPr>
          <w:lang w:val="it-IT"/>
        </w:rPr>
        <w:t>opzione “Subscription” annuale, gli ordini verranno fatturati immediatamente ai clienti o ai loro rivenditori. Per l</w:t>
      </w:r>
      <w:r w:rsidR="007A1415" w:rsidRPr="007B74B7">
        <w:rPr>
          <w:lang w:val="it-IT"/>
        </w:rPr>
        <w:t>’</w:t>
      </w:r>
      <w:r w:rsidRPr="007B74B7">
        <w:rPr>
          <w:rFonts w:cs="Tahoma"/>
          <w:szCs w:val="18"/>
          <w:lang w:val="it-IT"/>
        </w:rPr>
        <w:t xml:space="preserve">opzione di abbonamento con scadenza identica, il </w:t>
      </w:r>
      <w:r w:rsidRPr="007B74B7">
        <w:rPr>
          <w:lang w:val="it-IT"/>
        </w:rPr>
        <w:t>primo Impegno Annuale Allocato verrà fatturato immediatamente e i futuri Impegni Annuali Allocati verranno fatturati in occasione della ricorrenza annuale della data di entrata in vigore dell</w:t>
      </w:r>
      <w:r w:rsidR="007A1415" w:rsidRPr="007B74B7">
        <w:rPr>
          <w:lang w:val="it-IT"/>
        </w:rPr>
        <w:t>’</w:t>
      </w:r>
      <w:r w:rsidRPr="007B74B7">
        <w:rPr>
          <w:lang w:val="it-IT"/>
        </w:rPr>
        <w:t>iscrizione. In alternativa, le società potranno scegliere di pagare l</w:t>
      </w:r>
      <w:r w:rsidR="007A1415" w:rsidRPr="007B74B7">
        <w:rPr>
          <w:lang w:val="it-IT"/>
        </w:rPr>
        <w:t>’</w:t>
      </w:r>
      <w:r w:rsidRPr="007B74B7">
        <w:rPr>
          <w:lang w:val="it-IT"/>
        </w:rPr>
        <w:t>intero Impegno Monetario all</w:t>
      </w:r>
      <w:r w:rsidR="007A1415" w:rsidRPr="007B74B7">
        <w:rPr>
          <w:lang w:val="it-IT"/>
        </w:rPr>
        <w:t>’</w:t>
      </w:r>
      <w:r w:rsidRPr="007B74B7">
        <w:rPr>
          <w:lang w:val="it-IT"/>
        </w:rPr>
        <w:t>atto dell</w:t>
      </w:r>
      <w:r w:rsidR="007A1415" w:rsidRPr="007B74B7">
        <w:rPr>
          <w:lang w:val="it-IT"/>
        </w:rPr>
        <w:t>’</w:t>
      </w:r>
      <w:r w:rsidRPr="007B74B7">
        <w:rPr>
          <w:lang w:val="it-IT"/>
        </w:rPr>
        <w:t>effettuazione dell</w:t>
      </w:r>
      <w:r w:rsidR="007A1415" w:rsidRPr="007B74B7">
        <w:rPr>
          <w:lang w:val="it-IT"/>
        </w:rPr>
        <w:t>’</w:t>
      </w:r>
      <w:r w:rsidRPr="007B74B7">
        <w:rPr>
          <w:lang w:val="it-IT"/>
        </w:rPr>
        <w:t>ordine iniziale.</w:t>
      </w:r>
    </w:p>
    <w:p w:rsidR="006A5DAE" w:rsidRPr="007B74B7" w:rsidRDefault="006A5DAE" w:rsidP="006A5DAE">
      <w:pPr>
        <w:rPr>
          <w:sz w:val="16"/>
          <w:szCs w:val="16"/>
          <w:lang w:val="it-IT"/>
        </w:rPr>
      </w:pPr>
    </w:p>
    <w:p w:rsidR="006A5DAE" w:rsidRPr="007B74B7" w:rsidRDefault="006A5DAE" w:rsidP="006A5DAE">
      <w:pPr>
        <w:rPr>
          <w:lang w:val="it-IT"/>
        </w:rPr>
      </w:pPr>
      <w:r w:rsidRPr="007B74B7">
        <w:rPr>
          <w:lang w:val="it-IT"/>
        </w:rPr>
        <w:t>Ogni mese Microsoft dedurrà dall</w:t>
      </w:r>
      <w:r w:rsidR="007A1415" w:rsidRPr="007B74B7">
        <w:rPr>
          <w:lang w:val="it-IT"/>
        </w:rPr>
        <w:t>’</w:t>
      </w:r>
      <w:r w:rsidRPr="007B74B7">
        <w:rPr>
          <w:lang w:val="it-IT"/>
        </w:rPr>
        <w:t>Impegno Annuale Allocato il valore monetario corrispondente all</w:t>
      </w:r>
      <w:r w:rsidR="007A1415" w:rsidRPr="007B74B7">
        <w:rPr>
          <w:lang w:val="it-IT"/>
        </w:rPr>
        <w:t>’</w:t>
      </w:r>
      <w:r w:rsidRPr="007B74B7">
        <w:rPr>
          <w:lang w:val="it-IT"/>
        </w:rPr>
        <w:t>utilizzo dei Servizi di Windows Azure da parte di una società. Dopo che il saldo relativo all</w:t>
      </w:r>
      <w:r w:rsidR="007A1415" w:rsidRPr="007B74B7">
        <w:rPr>
          <w:lang w:val="it-IT"/>
        </w:rPr>
        <w:t>’</w:t>
      </w:r>
      <w:r w:rsidRPr="007B74B7">
        <w:rPr>
          <w:lang w:val="it-IT"/>
        </w:rPr>
        <w:t>Impegno Annuale Allocato della società è stato esaurito, qualsiasi utilizzo aggiuntivo per quel mese e per i mesi residui per l</w:t>
      </w:r>
      <w:r w:rsidR="007A1415" w:rsidRPr="007B74B7">
        <w:rPr>
          <w:lang w:val="it-IT"/>
        </w:rPr>
        <w:t>’</w:t>
      </w:r>
      <w:r w:rsidRPr="007B74B7">
        <w:rPr>
          <w:lang w:val="it-IT"/>
        </w:rPr>
        <w:t>opzione “Subscription” annuale o</w:t>
      </w:r>
      <w:r w:rsidR="005D742F" w:rsidRPr="007B74B7">
        <w:rPr>
          <w:lang w:val="it-IT"/>
        </w:rPr>
        <w:t> </w:t>
      </w:r>
      <w:r w:rsidRPr="007B74B7">
        <w:rPr>
          <w:lang w:val="it-IT"/>
        </w:rPr>
        <w:t>dei mesi residui dell</w:t>
      </w:r>
      <w:r w:rsidR="007A1415" w:rsidRPr="007B74B7">
        <w:rPr>
          <w:lang w:val="it-IT"/>
        </w:rPr>
        <w:t>’</w:t>
      </w:r>
      <w:r w:rsidRPr="007B74B7">
        <w:rPr>
          <w:lang w:val="it-IT"/>
        </w:rPr>
        <w:t>anno corrente dell</w:t>
      </w:r>
      <w:r w:rsidR="007A1415" w:rsidRPr="007B74B7">
        <w:rPr>
          <w:lang w:val="it-IT"/>
        </w:rPr>
        <w:t>’</w:t>
      </w:r>
      <w:r w:rsidRPr="007B74B7">
        <w:rPr>
          <w:lang w:val="it-IT"/>
        </w:rPr>
        <w:t>iscrizione per l</w:t>
      </w:r>
      <w:r w:rsidR="007A1415" w:rsidRPr="007B74B7">
        <w:rPr>
          <w:lang w:val="it-IT"/>
        </w:rPr>
        <w:t>’</w:t>
      </w:r>
      <w:r w:rsidRPr="007B74B7">
        <w:rPr>
          <w:lang w:val="it-IT"/>
        </w:rPr>
        <w:t>opzione con scadenza identica verrà fatturato in base alle Tariffe di Consumo. Qualora una società scelga l</w:t>
      </w:r>
      <w:r w:rsidR="007A1415" w:rsidRPr="007B74B7">
        <w:rPr>
          <w:lang w:val="it-IT"/>
        </w:rPr>
        <w:t>’</w:t>
      </w:r>
      <w:r w:rsidRPr="007B74B7">
        <w:rPr>
          <w:lang w:val="it-IT"/>
        </w:rPr>
        <w:t>opzione “Subscription” annuale, l</w:t>
      </w:r>
      <w:r w:rsidR="007A1415" w:rsidRPr="007B74B7">
        <w:rPr>
          <w:lang w:val="it-IT"/>
        </w:rPr>
        <w:t>’</w:t>
      </w:r>
      <w:r w:rsidRPr="007B74B7">
        <w:rPr>
          <w:lang w:val="it-IT"/>
        </w:rPr>
        <w:t>eventuale utilizzo in base alle Tariffe di Consumo verrà fatturato alla società o al rivenditore al termine di ciascun trimestre dell</w:t>
      </w:r>
      <w:r w:rsidR="007A1415" w:rsidRPr="007B74B7">
        <w:rPr>
          <w:lang w:val="it-IT"/>
        </w:rPr>
        <w:t>’</w:t>
      </w:r>
      <w:r w:rsidRPr="007B74B7">
        <w:rPr>
          <w:lang w:val="it-IT"/>
        </w:rPr>
        <w:t>iscrizione e alla scadenza del periodo di validità dell</w:t>
      </w:r>
      <w:r w:rsidR="007A1415" w:rsidRPr="007B74B7">
        <w:rPr>
          <w:lang w:val="it-IT"/>
        </w:rPr>
        <w:t>’</w:t>
      </w:r>
      <w:r w:rsidRPr="007B74B7">
        <w:rPr>
          <w:lang w:val="it-IT"/>
        </w:rPr>
        <w:t>abbonamento. Qualora una società scelga l</w:t>
      </w:r>
      <w:r w:rsidR="007A1415" w:rsidRPr="007B74B7">
        <w:rPr>
          <w:lang w:val="it-IT"/>
        </w:rPr>
        <w:t>’</w:t>
      </w:r>
      <w:r w:rsidRPr="007B74B7">
        <w:rPr>
          <w:lang w:val="it-IT"/>
        </w:rPr>
        <w:t>opzione di abbonamento con scadenza identica, l</w:t>
      </w:r>
      <w:r w:rsidR="007A1415" w:rsidRPr="007B74B7">
        <w:rPr>
          <w:lang w:val="it-IT"/>
        </w:rPr>
        <w:t>’</w:t>
      </w:r>
      <w:r w:rsidRPr="007B74B7">
        <w:rPr>
          <w:lang w:val="it-IT"/>
        </w:rPr>
        <w:t>eventuale utilizzo in base alle Tariffe di Consumo verrà fatturato alla società o al rivenditore al</w:t>
      </w:r>
      <w:r w:rsidR="005D742F" w:rsidRPr="007B74B7">
        <w:rPr>
          <w:lang w:val="it-IT"/>
        </w:rPr>
        <w:t> </w:t>
      </w:r>
      <w:r w:rsidRPr="007B74B7">
        <w:rPr>
          <w:lang w:val="it-IT"/>
        </w:rPr>
        <w:t>termine di ciascun trimestre dell</w:t>
      </w:r>
      <w:r w:rsidR="007A1415" w:rsidRPr="007B74B7">
        <w:rPr>
          <w:lang w:val="it-IT"/>
        </w:rPr>
        <w:t>’</w:t>
      </w:r>
      <w:r w:rsidRPr="007B74B7">
        <w:rPr>
          <w:lang w:val="it-IT"/>
        </w:rPr>
        <w:t>iscrizione.</w:t>
      </w:r>
      <w:r w:rsidR="008D782D" w:rsidRPr="007B74B7">
        <w:rPr>
          <w:lang w:val="it-IT"/>
        </w:rPr>
        <w:t xml:space="preserve"> </w:t>
      </w:r>
    </w:p>
    <w:p w:rsidR="00C710F3" w:rsidRPr="007B74B7" w:rsidRDefault="00C710F3" w:rsidP="006A5DAE">
      <w:pPr>
        <w:rPr>
          <w:lang w:val="it-IT"/>
        </w:rPr>
      </w:pPr>
    </w:p>
    <w:p w:rsidR="00C710F3" w:rsidRPr="007B74B7" w:rsidRDefault="00C710F3" w:rsidP="006A5DAE">
      <w:pPr>
        <w:rPr>
          <w:sz w:val="16"/>
          <w:szCs w:val="16"/>
          <w:lang w:val="it-IT"/>
        </w:rPr>
      </w:pPr>
    </w:p>
    <w:p w:rsidR="006A5DAE" w:rsidRPr="007B74B7" w:rsidRDefault="006A5DAE" w:rsidP="006A5DAE">
      <w:pPr>
        <w:rPr>
          <w:lang w:val="it-IT"/>
        </w:rPr>
      </w:pPr>
      <w:r w:rsidRPr="007B74B7">
        <w:rPr>
          <w:lang w:val="it-IT"/>
        </w:rPr>
        <w:lastRenderedPageBreak/>
        <w:t>L</w:t>
      </w:r>
      <w:r w:rsidR="007A1415" w:rsidRPr="007B74B7">
        <w:rPr>
          <w:lang w:val="it-IT"/>
        </w:rPr>
        <w:t>’</w:t>
      </w:r>
      <w:r w:rsidRPr="007B74B7">
        <w:rPr>
          <w:lang w:val="it-IT"/>
        </w:rPr>
        <w:t>utilizzo dei Servizi di Windows Azure dopo la scadenza o il termine del periodo di validità dell</w:t>
      </w:r>
      <w:r w:rsidR="007A1415" w:rsidRPr="007B74B7">
        <w:rPr>
          <w:lang w:val="it-IT"/>
        </w:rPr>
        <w:t>’</w:t>
      </w:r>
      <w:r w:rsidRPr="007B74B7">
        <w:rPr>
          <w:lang w:val="it-IT"/>
        </w:rPr>
        <w:t>abbonamento di una società verrà fatturato alla società o al rivenditore in base alle Tariffe di Consumo con cadenza trimestrale.</w:t>
      </w:r>
    </w:p>
    <w:p w:rsidR="006A5DAE" w:rsidRPr="007B74B7" w:rsidRDefault="006A5DAE" w:rsidP="006A5DAE">
      <w:pPr>
        <w:rPr>
          <w:lang w:val="it-IT"/>
        </w:rPr>
      </w:pPr>
      <w:r w:rsidRPr="007B74B7">
        <w:rPr>
          <w:lang w:val="it-IT"/>
        </w:rPr>
        <w:t>Microsoft potrà abbassare i prezzi per i singoli Servizi di Windows Azure durante il periodo di validità dell</w:t>
      </w:r>
      <w:r w:rsidR="007A1415" w:rsidRPr="007B74B7">
        <w:rPr>
          <w:lang w:val="it-IT"/>
        </w:rPr>
        <w:t>’</w:t>
      </w:r>
      <w:r w:rsidRPr="007B74B7">
        <w:rPr>
          <w:lang w:val="it-IT"/>
        </w:rPr>
        <w:t>iscrizione di</w:t>
      </w:r>
      <w:r w:rsidR="005D742F" w:rsidRPr="007B74B7">
        <w:rPr>
          <w:lang w:val="it-IT"/>
        </w:rPr>
        <w:t> </w:t>
      </w:r>
      <w:r w:rsidRPr="007B74B7">
        <w:rPr>
          <w:lang w:val="it-IT"/>
        </w:rPr>
        <w:t>una società.</w:t>
      </w:r>
      <w:r w:rsidR="008D782D" w:rsidRPr="007B74B7">
        <w:rPr>
          <w:lang w:val="it-IT"/>
        </w:rPr>
        <w:t xml:space="preserve"> </w:t>
      </w:r>
      <w:r w:rsidRPr="007B74B7">
        <w:rPr>
          <w:lang w:val="it-IT"/>
        </w:rPr>
        <w:t>Per le società che acquistano i Servizi di Windows Azure direttamente da Microsoft, l</w:t>
      </w:r>
      <w:r w:rsidR="007A1415" w:rsidRPr="007B74B7">
        <w:rPr>
          <w:lang w:val="it-IT"/>
        </w:rPr>
        <w:t>’</w:t>
      </w:r>
      <w:r w:rsidRPr="007B74B7">
        <w:rPr>
          <w:lang w:val="it-IT"/>
        </w:rPr>
        <w:t>Elenco Prezzi Cliente (Customer Price Sheet) potrà indicare un prezzo maggiore al prezzo corrente in quel momento. Microsoft concederà i prezzi inferiori a quelle società durante il periodo in cui sono in vigore. Microsoft comunicherà alle società eventuali variazioni di questo tipo.</w:t>
      </w:r>
    </w:p>
    <w:p w:rsidR="006A5DAE" w:rsidRPr="007B74B7" w:rsidRDefault="006A5DAE" w:rsidP="006A5DAE">
      <w:pPr>
        <w:rPr>
          <w:lang w:val="it-IT"/>
        </w:rPr>
      </w:pPr>
    </w:p>
    <w:p w:rsidR="006A5DAE" w:rsidRPr="007B74B7" w:rsidRDefault="006A5DAE" w:rsidP="006A5DAE">
      <w:pPr>
        <w:rPr>
          <w:lang w:val="it-IT"/>
        </w:rPr>
      </w:pPr>
      <w:r w:rsidRPr="007B74B7">
        <w:rPr>
          <w:rFonts w:cs="Tahoma"/>
          <w:szCs w:val="18"/>
          <w:lang w:val="it-IT"/>
        </w:rPr>
        <w:t>I prezzi e le condizioni di pagamento per gli abbonamenti acquistati presso i rivenditori sono stabiliti tramite un contratto tra la società e il suo rivenditore.</w:t>
      </w:r>
      <w:r w:rsidR="008D782D" w:rsidRPr="007B74B7">
        <w:rPr>
          <w:rFonts w:cs="Tahoma"/>
          <w:szCs w:val="18"/>
          <w:lang w:val="it-IT"/>
        </w:rPr>
        <w:t xml:space="preserve"> </w:t>
      </w:r>
      <w:r w:rsidRPr="007B74B7">
        <w:rPr>
          <w:rFonts w:cs="Tahoma"/>
          <w:szCs w:val="18"/>
          <w:lang w:val="it-IT"/>
        </w:rPr>
        <w:t xml:space="preserve">Il </w:t>
      </w:r>
      <w:r w:rsidRPr="007B74B7">
        <w:rPr>
          <w:iCs/>
          <w:lang w:val="it-IT"/>
        </w:rPr>
        <w:t>rivenditore di una società fornirà informazioni aggiuntive relativamente alle procedure di effettuazione degli ordini per i Servizi Windows Azure.</w:t>
      </w:r>
      <w:r w:rsidR="008D782D" w:rsidRPr="007B74B7">
        <w:rPr>
          <w:iCs/>
          <w:lang w:val="it-IT"/>
        </w:rPr>
        <w:t xml:space="preserve"> </w:t>
      </w:r>
      <w:r w:rsidRPr="007B74B7">
        <w:rPr>
          <w:iCs/>
          <w:lang w:val="it-IT"/>
        </w:rPr>
        <w:t xml:space="preserve">I prezzi e le condizioni di fatturazione per tutti i Servizi di Windows Azure saranno disciplinati da un contratto specifico tra la società e il relativo rivenditore. </w:t>
      </w:r>
      <w:r w:rsidRPr="007B74B7">
        <w:rPr>
          <w:lang w:val="it-IT"/>
        </w:rPr>
        <w:t>Microsoft potrà ribassare i prezzi per i singoli Servizi di Windows Azure durante il periodo di validità dell</w:t>
      </w:r>
      <w:r w:rsidR="007A1415" w:rsidRPr="007B74B7">
        <w:rPr>
          <w:lang w:val="it-IT"/>
        </w:rPr>
        <w:t>’</w:t>
      </w:r>
      <w:r w:rsidRPr="007B74B7">
        <w:rPr>
          <w:lang w:val="it-IT"/>
        </w:rPr>
        <w:t>iscrizione di</w:t>
      </w:r>
      <w:r w:rsidR="005D742F" w:rsidRPr="007B74B7">
        <w:rPr>
          <w:lang w:val="it-IT"/>
        </w:rPr>
        <w:t> </w:t>
      </w:r>
      <w:r w:rsidRPr="007B74B7">
        <w:rPr>
          <w:lang w:val="it-IT"/>
        </w:rPr>
        <w:t>una società e potrà concedere i prezzi inferiori al rivenditore della società durante il periodo in cui sono in vigore. Microsoft comunicherà al rivenditore della società eventuali variazioni di questo tipo. La società e il rivenditore stabiliranno il prezzo effettivo e l</w:t>
      </w:r>
      <w:r w:rsidR="007A1415" w:rsidRPr="007B74B7">
        <w:rPr>
          <w:lang w:val="it-IT"/>
        </w:rPr>
        <w:t>’</w:t>
      </w:r>
      <w:r w:rsidRPr="007B74B7">
        <w:rPr>
          <w:lang w:val="it-IT"/>
        </w:rPr>
        <w:t>applicabilità di qualsiasi variazione di prezzo.</w:t>
      </w:r>
    </w:p>
    <w:p w:rsidR="00BD1A6A" w:rsidRPr="007B74B7" w:rsidRDefault="00BD1A6A">
      <w:pPr>
        <w:rPr>
          <w:lang w:val="it-IT"/>
        </w:rPr>
      </w:pPr>
    </w:p>
    <w:p w:rsidR="00776E3B" w:rsidRPr="007B74B7" w:rsidRDefault="005242EC" w:rsidP="005242EC">
      <w:pPr>
        <w:spacing w:after="60"/>
        <w:outlineLvl w:val="1"/>
        <w:rPr>
          <w:lang w:val="it-IT"/>
        </w:rPr>
      </w:pPr>
      <w:r w:rsidRPr="007B74B7">
        <w:rPr>
          <w:rFonts w:cs="Tahoma"/>
          <w:b/>
          <w:sz w:val="20"/>
          <w:szCs w:val="18"/>
          <w:lang w:val="it-IT"/>
        </w:rPr>
        <w:t>Tariffe di Impegno per Windows Azure</w:t>
      </w:r>
    </w:p>
    <w:p w:rsidR="00776E3B" w:rsidRPr="007B74B7" w:rsidRDefault="006A5DAE" w:rsidP="00776E3B">
      <w:pPr>
        <w:outlineLvl w:val="1"/>
        <w:rPr>
          <w:lang w:val="it-IT"/>
        </w:rPr>
      </w:pPr>
      <w:r w:rsidRPr="007B74B7">
        <w:rPr>
          <w:rFonts w:cs="Tahoma"/>
          <w:szCs w:val="18"/>
          <w:lang w:val="it-IT"/>
        </w:rPr>
        <w:t>Le Tariffe di Impegno delle società per i Servizi di Windows Azure si basano sul Livello di Impegno Monetario di</w:t>
      </w:r>
      <w:r w:rsidR="0040770B" w:rsidRPr="007B74B7">
        <w:rPr>
          <w:rFonts w:cs="Tahoma"/>
          <w:szCs w:val="18"/>
          <w:lang w:val="it-IT"/>
        </w:rPr>
        <w:t> </w:t>
      </w:r>
      <w:r w:rsidRPr="007B74B7">
        <w:rPr>
          <w:rFonts w:cs="Tahoma"/>
          <w:szCs w:val="18"/>
          <w:lang w:val="it-IT"/>
        </w:rPr>
        <w:t>Windows Azure e sul livello di prezzo dell</w:t>
      </w:r>
      <w:r w:rsidR="007A1415" w:rsidRPr="007B74B7">
        <w:rPr>
          <w:rFonts w:cs="Tahoma"/>
          <w:szCs w:val="18"/>
          <w:lang w:val="it-IT"/>
        </w:rPr>
        <w:t>’</w:t>
      </w:r>
      <w:r w:rsidRPr="007B74B7">
        <w:rPr>
          <w:rFonts w:cs="Tahoma"/>
          <w:szCs w:val="18"/>
          <w:lang w:val="it-IT"/>
        </w:rPr>
        <w:t>iscrizione. Il Livello di Impegno Monetario per Windows Azure è determinato dalla quantità annuale di Impegni Monetari per Windows Azure della società (vale a dire, l</w:t>
      </w:r>
      <w:r w:rsidR="007A1415" w:rsidRPr="007B74B7">
        <w:rPr>
          <w:rFonts w:cs="Tahoma"/>
          <w:szCs w:val="18"/>
          <w:lang w:val="it-IT"/>
        </w:rPr>
        <w:t>’</w:t>
      </w:r>
      <w:r w:rsidRPr="007B74B7">
        <w:rPr>
          <w:rFonts w:cs="Tahoma"/>
          <w:szCs w:val="18"/>
          <w:lang w:val="it-IT"/>
        </w:rPr>
        <w:t>importo monetario totale che la società si impegna a soddisfare durante il periodo di validità dell</w:t>
      </w:r>
      <w:r w:rsidR="007A1415" w:rsidRPr="007B74B7">
        <w:rPr>
          <w:rFonts w:cs="Tahoma"/>
          <w:szCs w:val="18"/>
          <w:lang w:val="it-IT"/>
        </w:rPr>
        <w:t>’</w:t>
      </w:r>
      <w:r w:rsidRPr="007B74B7">
        <w:rPr>
          <w:rFonts w:cs="Tahoma"/>
          <w:szCs w:val="18"/>
          <w:lang w:val="it-IT"/>
        </w:rPr>
        <w:t xml:space="preserve">abbonamento a Windows Azure) e corrisponde allo sconto specificato nella tabella che segue (espresso come percentuale da detrarre dalle Tariffe di Eccedenza/Consumo di Windows Azure). </w:t>
      </w:r>
    </w:p>
    <w:p w:rsidR="00776E3B" w:rsidRPr="007B74B7" w:rsidRDefault="00776E3B" w:rsidP="00776E3B">
      <w:pPr>
        <w:ind w:left="720"/>
        <w:outlineLvl w:val="1"/>
        <w:rPr>
          <w:lang w:val="it-IT"/>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83"/>
        <w:gridCol w:w="2592"/>
        <w:gridCol w:w="2082"/>
      </w:tblGrid>
      <w:tr w:rsidR="00776E3B" w:rsidRPr="007B74B7" w:rsidTr="0044720D">
        <w:trPr>
          <w:trHeight w:val="515"/>
          <w:tblHeader/>
          <w:jc w:val="center"/>
        </w:trPr>
        <w:tc>
          <w:tcPr>
            <w:tcW w:w="2583"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7B74B7" w:rsidRDefault="00776E3B" w:rsidP="0044720D">
            <w:pPr>
              <w:jc w:val="center"/>
              <w:rPr>
                <w:rFonts w:eastAsia="Times New Roman" w:cs="Tahoma"/>
                <w:b/>
                <w:bCs/>
                <w:szCs w:val="18"/>
                <w:lang w:val="it-IT"/>
              </w:rPr>
            </w:pPr>
            <w:r w:rsidRPr="007B74B7">
              <w:rPr>
                <w:rFonts w:cs="Tahoma"/>
                <w:b/>
                <w:bCs/>
                <w:szCs w:val="18"/>
                <w:lang w:val="it-IT"/>
              </w:rPr>
              <w:t>Livello di Impegno Monetario per Windows Azure</w:t>
            </w:r>
          </w:p>
        </w:tc>
        <w:tc>
          <w:tcPr>
            <w:tcW w:w="259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7B74B7" w:rsidRDefault="00776E3B" w:rsidP="0044720D">
            <w:pPr>
              <w:jc w:val="center"/>
              <w:rPr>
                <w:rFonts w:eastAsia="Times New Roman" w:cs="Tahoma"/>
                <w:b/>
                <w:bCs/>
                <w:szCs w:val="18"/>
                <w:lang w:val="it-IT"/>
              </w:rPr>
            </w:pPr>
            <w:r w:rsidRPr="007B74B7">
              <w:rPr>
                <w:rFonts w:eastAsia="Times New Roman" w:cs="Tahoma"/>
                <w:b/>
                <w:bCs/>
                <w:szCs w:val="18"/>
                <w:lang w:val="it-IT"/>
              </w:rPr>
              <w:t>Quantità Unitaria Annuale dell</w:t>
            </w:r>
            <w:r w:rsidR="007A1415" w:rsidRPr="007B74B7">
              <w:rPr>
                <w:rFonts w:eastAsia="Times New Roman" w:cs="Tahoma"/>
                <w:b/>
                <w:bCs/>
                <w:szCs w:val="18"/>
                <w:lang w:val="it-IT"/>
              </w:rPr>
              <w:t>’</w:t>
            </w:r>
            <w:r w:rsidRPr="007B74B7">
              <w:rPr>
                <w:rFonts w:eastAsia="Times New Roman" w:cs="Tahoma"/>
                <w:b/>
                <w:bCs/>
                <w:szCs w:val="18"/>
                <w:lang w:val="it-IT"/>
              </w:rPr>
              <w:t>Impegno Monetario per Windows Azure*</w:t>
            </w:r>
          </w:p>
        </w:tc>
        <w:tc>
          <w:tcPr>
            <w:tcW w:w="2082" w:type="dxa"/>
            <w:tcBorders>
              <w:top w:val="single" w:sz="8" w:space="0" w:color="auto"/>
              <w:left w:val="single" w:sz="8" w:space="0" w:color="auto"/>
              <w:bottom w:val="single" w:sz="8" w:space="0" w:color="auto"/>
              <w:right w:val="single" w:sz="8" w:space="0" w:color="auto"/>
            </w:tcBorders>
            <w:shd w:val="clear" w:color="auto" w:fill="FABF8F"/>
            <w:hideMark/>
          </w:tcPr>
          <w:p w:rsidR="00776E3B" w:rsidRPr="007B74B7" w:rsidRDefault="00776E3B" w:rsidP="0044720D">
            <w:pPr>
              <w:jc w:val="center"/>
              <w:rPr>
                <w:rFonts w:eastAsia="Times New Roman" w:cs="Tahoma"/>
                <w:b/>
                <w:bCs/>
                <w:szCs w:val="18"/>
                <w:lang w:val="it-IT"/>
              </w:rPr>
            </w:pPr>
            <w:r w:rsidRPr="007B74B7">
              <w:rPr>
                <w:rFonts w:cs="Tahoma"/>
                <w:b/>
                <w:bCs/>
                <w:szCs w:val="18"/>
                <w:lang w:val="it-IT"/>
              </w:rPr>
              <w:t>Sconto da Detrarre dalle Tariffe di Consumo</w:t>
            </w:r>
          </w:p>
        </w:tc>
      </w:tr>
      <w:tr w:rsidR="00776E3B" w:rsidRPr="00BD7CEA"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BD7CEA" w:rsidRDefault="00776E3B" w:rsidP="0044720D">
            <w:pPr>
              <w:spacing w:before="100" w:beforeAutospacing="1" w:after="100" w:afterAutospacing="1"/>
              <w:ind w:right="259"/>
              <w:jc w:val="center"/>
              <w:rPr>
                <w:rFonts w:eastAsia="Times New Roman" w:cs="Tahoma"/>
                <w:szCs w:val="18"/>
              </w:rPr>
            </w:pPr>
            <w:r w:rsidRPr="00BD7CEA">
              <w:rPr>
                <w:rFonts w:eastAsia="Times New Roman" w:cs="Tahoma"/>
                <w:szCs w:val="18"/>
              </w:rPr>
              <w:t>Livello 1</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BD7CEA" w:rsidRDefault="00776E3B" w:rsidP="0044720D">
            <w:pPr>
              <w:spacing w:before="100" w:beforeAutospacing="1" w:after="100" w:afterAutospacing="1"/>
              <w:ind w:right="180"/>
              <w:jc w:val="center"/>
              <w:rPr>
                <w:rFonts w:eastAsia="Times New Roman" w:cs="Tahoma"/>
                <w:szCs w:val="18"/>
              </w:rPr>
            </w:pPr>
            <w:r w:rsidRPr="00BD7CEA">
              <w:rPr>
                <w:rFonts w:eastAsia="Times New Roman" w:cs="Tahoma"/>
                <w:szCs w:val="18"/>
              </w:rPr>
              <w:t>Fino a 1799 Unità</w:t>
            </w:r>
          </w:p>
        </w:tc>
        <w:tc>
          <w:tcPr>
            <w:tcW w:w="2082" w:type="dxa"/>
            <w:tcBorders>
              <w:top w:val="single" w:sz="8" w:space="0" w:color="auto"/>
              <w:left w:val="single" w:sz="8" w:space="0" w:color="auto"/>
              <w:bottom w:val="single" w:sz="8" w:space="0" w:color="auto"/>
              <w:right w:val="single" w:sz="8" w:space="0" w:color="auto"/>
            </w:tcBorders>
            <w:hideMark/>
          </w:tcPr>
          <w:p w:rsidR="00776E3B" w:rsidRPr="00BD7CEA" w:rsidRDefault="00776E3B" w:rsidP="0044720D">
            <w:pPr>
              <w:spacing w:before="100" w:beforeAutospacing="1" w:after="100" w:afterAutospacing="1"/>
              <w:ind w:right="180"/>
              <w:jc w:val="center"/>
              <w:rPr>
                <w:rFonts w:eastAsia="Times New Roman" w:cs="Tahoma"/>
                <w:szCs w:val="18"/>
              </w:rPr>
            </w:pPr>
            <w:r w:rsidRPr="00BD7CEA">
              <w:rPr>
                <w:rFonts w:eastAsia="Times New Roman" w:cs="Tahoma"/>
                <w:szCs w:val="18"/>
              </w:rPr>
              <w:t>23%</w:t>
            </w:r>
          </w:p>
        </w:tc>
      </w:tr>
      <w:tr w:rsidR="00776E3B" w:rsidRPr="00BD7CEA"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BD7CEA" w:rsidRDefault="00776E3B" w:rsidP="0044720D">
            <w:pPr>
              <w:spacing w:before="100" w:beforeAutospacing="1" w:after="100" w:afterAutospacing="1"/>
              <w:ind w:right="259"/>
              <w:jc w:val="center"/>
              <w:rPr>
                <w:rFonts w:eastAsia="Times New Roman" w:cs="Tahoma"/>
                <w:szCs w:val="18"/>
              </w:rPr>
            </w:pPr>
            <w:r w:rsidRPr="00BD7CEA">
              <w:rPr>
                <w:rFonts w:eastAsia="Times New Roman" w:cs="Tahoma"/>
                <w:szCs w:val="18"/>
              </w:rPr>
              <w:t>Livello 2</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BD7CEA" w:rsidRDefault="00776E3B" w:rsidP="0044720D">
            <w:pPr>
              <w:spacing w:before="100" w:beforeAutospacing="1" w:after="100" w:afterAutospacing="1"/>
              <w:ind w:right="180"/>
              <w:jc w:val="center"/>
              <w:rPr>
                <w:rFonts w:eastAsia="Times New Roman" w:cs="Tahoma"/>
                <w:szCs w:val="18"/>
              </w:rPr>
            </w:pPr>
            <w:r w:rsidRPr="00BD7CEA">
              <w:rPr>
                <w:rFonts w:eastAsia="Times New Roman" w:cs="Tahoma"/>
                <w:szCs w:val="18"/>
              </w:rPr>
              <w:t>1800</w:t>
            </w:r>
            <w:r w:rsidR="00FD7C0D">
              <w:rPr>
                <w:rFonts w:eastAsia="Times New Roman" w:cs="Tahoma"/>
                <w:szCs w:val="18"/>
              </w:rPr>
              <w:t xml:space="preserve"> – </w:t>
            </w:r>
            <w:r w:rsidRPr="00BD7CEA">
              <w:rPr>
                <w:rFonts w:eastAsia="Times New Roman" w:cs="Tahoma"/>
                <w:szCs w:val="18"/>
              </w:rPr>
              <w:t>4799 Unità</w:t>
            </w:r>
          </w:p>
        </w:tc>
        <w:tc>
          <w:tcPr>
            <w:tcW w:w="2082" w:type="dxa"/>
            <w:tcBorders>
              <w:top w:val="single" w:sz="8" w:space="0" w:color="auto"/>
              <w:left w:val="single" w:sz="8" w:space="0" w:color="auto"/>
              <w:bottom w:val="single" w:sz="8" w:space="0" w:color="auto"/>
              <w:right w:val="single" w:sz="8" w:space="0" w:color="auto"/>
            </w:tcBorders>
            <w:hideMark/>
          </w:tcPr>
          <w:p w:rsidR="00776E3B" w:rsidRPr="00BD7CEA" w:rsidRDefault="00776E3B" w:rsidP="0044720D">
            <w:pPr>
              <w:spacing w:before="100" w:beforeAutospacing="1" w:after="100" w:afterAutospacing="1"/>
              <w:ind w:right="180"/>
              <w:jc w:val="center"/>
              <w:rPr>
                <w:rFonts w:eastAsia="Times New Roman" w:cs="Tahoma"/>
                <w:szCs w:val="18"/>
              </w:rPr>
            </w:pPr>
            <w:r w:rsidRPr="00BD7CEA">
              <w:rPr>
                <w:rFonts w:eastAsia="Times New Roman" w:cs="Tahoma"/>
                <w:szCs w:val="18"/>
              </w:rPr>
              <w:t>26%</w:t>
            </w:r>
          </w:p>
        </w:tc>
      </w:tr>
      <w:tr w:rsidR="00776E3B" w:rsidRPr="00BD7CEA"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BD7CEA" w:rsidRDefault="00776E3B" w:rsidP="0044720D">
            <w:pPr>
              <w:spacing w:before="100" w:beforeAutospacing="1" w:after="100" w:afterAutospacing="1"/>
              <w:ind w:right="259"/>
              <w:jc w:val="center"/>
              <w:rPr>
                <w:rFonts w:eastAsia="Times New Roman" w:cs="Tahoma"/>
                <w:szCs w:val="18"/>
              </w:rPr>
            </w:pPr>
            <w:r w:rsidRPr="00BD7CEA">
              <w:rPr>
                <w:rFonts w:eastAsia="Times New Roman" w:cs="Tahoma"/>
                <w:szCs w:val="18"/>
              </w:rPr>
              <w:t>Livello 3</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BD7CEA" w:rsidRDefault="00776E3B" w:rsidP="0044720D">
            <w:pPr>
              <w:spacing w:before="100" w:beforeAutospacing="1" w:after="100" w:afterAutospacing="1"/>
              <w:ind w:right="180"/>
              <w:jc w:val="center"/>
              <w:rPr>
                <w:rFonts w:eastAsia="Times New Roman" w:cs="Tahoma"/>
                <w:szCs w:val="18"/>
              </w:rPr>
            </w:pPr>
            <w:r w:rsidRPr="00BD7CEA">
              <w:rPr>
                <w:rFonts w:eastAsia="Times New Roman" w:cs="Tahoma"/>
                <w:szCs w:val="18"/>
              </w:rPr>
              <w:t>4800</w:t>
            </w:r>
            <w:r w:rsidR="00FD7C0D">
              <w:rPr>
                <w:rFonts w:eastAsia="Times New Roman" w:cs="Tahoma"/>
                <w:szCs w:val="18"/>
              </w:rPr>
              <w:t xml:space="preserve"> – </w:t>
            </w:r>
            <w:r w:rsidRPr="00BD7CEA">
              <w:rPr>
                <w:rFonts w:eastAsia="Times New Roman" w:cs="Tahoma"/>
                <w:szCs w:val="18"/>
              </w:rPr>
              <w:t>11999 Unità</w:t>
            </w:r>
          </w:p>
        </w:tc>
        <w:tc>
          <w:tcPr>
            <w:tcW w:w="2082" w:type="dxa"/>
            <w:tcBorders>
              <w:top w:val="single" w:sz="8" w:space="0" w:color="auto"/>
              <w:left w:val="single" w:sz="8" w:space="0" w:color="auto"/>
              <w:bottom w:val="single" w:sz="8" w:space="0" w:color="auto"/>
              <w:right w:val="single" w:sz="8" w:space="0" w:color="auto"/>
            </w:tcBorders>
            <w:hideMark/>
          </w:tcPr>
          <w:p w:rsidR="00776E3B" w:rsidRPr="00BD7CEA" w:rsidRDefault="00776E3B" w:rsidP="0044720D">
            <w:pPr>
              <w:spacing w:before="100" w:beforeAutospacing="1" w:after="100" w:afterAutospacing="1"/>
              <w:ind w:right="180"/>
              <w:jc w:val="center"/>
              <w:rPr>
                <w:rFonts w:eastAsia="Times New Roman" w:cs="Tahoma"/>
                <w:szCs w:val="18"/>
              </w:rPr>
            </w:pPr>
            <w:r w:rsidRPr="00BD7CEA">
              <w:rPr>
                <w:rFonts w:eastAsia="Times New Roman" w:cs="Tahoma"/>
                <w:szCs w:val="18"/>
              </w:rPr>
              <w:t>30%</w:t>
            </w:r>
          </w:p>
        </w:tc>
      </w:tr>
      <w:tr w:rsidR="00776E3B" w:rsidRPr="00BD7CEA"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BD7CEA" w:rsidRDefault="00776E3B" w:rsidP="0044720D">
            <w:pPr>
              <w:spacing w:before="100" w:beforeAutospacing="1" w:after="100" w:afterAutospacing="1"/>
              <w:ind w:right="259"/>
              <w:jc w:val="center"/>
              <w:rPr>
                <w:rFonts w:eastAsia="Times New Roman" w:cs="Tahoma"/>
                <w:szCs w:val="18"/>
              </w:rPr>
            </w:pPr>
            <w:r w:rsidRPr="00BD7CEA">
              <w:rPr>
                <w:rFonts w:eastAsia="Times New Roman" w:cs="Tahoma"/>
                <w:szCs w:val="18"/>
              </w:rPr>
              <w:t>Livello 4</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BD7CEA" w:rsidRDefault="00776E3B" w:rsidP="0044720D">
            <w:pPr>
              <w:spacing w:before="100" w:beforeAutospacing="1" w:after="100" w:afterAutospacing="1"/>
              <w:ind w:right="180"/>
              <w:jc w:val="center"/>
              <w:rPr>
                <w:rFonts w:eastAsia="Times New Roman" w:cs="Tahoma"/>
                <w:szCs w:val="18"/>
              </w:rPr>
            </w:pPr>
            <w:r w:rsidRPr="00BD7CEA">
              <w:rPr>
                <w:rFonts w:eastAsia="Times New Roman" w:cs="Tahoma"/>
                <w:szCs w:val="18"/>
              </w:rPr>
              <w:t>Oltre 12000 Unità</w:t>
            </w:r>
          </w:p>
        </w:tc>
        <w:tc>
          <w:tcPr>
            <w:tcW w:w="2082" w:type="dxa"/>
            <w:tcBorders>
              <w:top w:val="single" w:sz="8" w:space="0" w:color="auto"/>
              <w:left w:val="single" w:sz="8" w:space="0" w:color="auto"/>
              <w:bottom w:val="single" w:sz="8" w:space="0" w:color="auto"/>
              <w:right w:val="single" w:sz="8" w:space="0" w:color="auto"/>
            </w:tcBorders>
            <w:hideMark/>
          </w:tcPr>
          <w:p w:rsidR="00776E3B" w:rsidRPr="00BD7CEA" w:rsidRDefault="00776E3B" w:rsidP="0044720D">
            <w:pPr>
              <w:spacing w:before="100" w:beforeAutospacing="1" w:after="100" w:afterAutospacing="1"/>
              <w:ind w:right="180"/>
              <w:jc w:val="center"/>
              <w:rPr>
                <w:rFonts w:eastAsia="Times New Roman" w:cs="Tahoma"/>
                <w:szCs w:val="18"/>
              </w:rPr>
            </w:pPr>
            <w:r w:rsidRPr="00BD7CEA">
              <w:rPr>
                <w:rFonts w:eastAsia="Times New Roman" w:cs="Tahoma"/>
                <w:szCs w:val="18"/>
              </w:rPr>
              <w:t>35%</w:t>
            </w:r>
          </w:p>
        </w:tc>
      </w:tr>
    </w:tbl>
    <w:p w:rsidR="006A5DAE" w:rsidRPr="007B74B7" w:rsidRDefault="00AA0329" w:rsidP="002E57CF">
      <w:pPr>
        <w:ind w:left="1080"/>
        <w:outlineLvl w:val="1"/>
        <w:rPr>
          <w:sz w:val="16"/>
          <w:szCs w:val="16"/>
          <w:lang w:val="it-IT"/>
        </w:rPr>
      </w:pPr>
      <w:r w:rsidRPr="007B74B7">
        <w:rPr>
          <w:rFonts w:cs="Tahoma"/>
          <w:i/>
          <w:sz w:val="16"/>
          <w:szCs w:val="16"/>
          <w:lang w:val="it-IT"/>
        </w:rPr>
        <w:t>* Unità è un importo monetario nella valuta applicabile</w:t>
      </w:r>
    </w:p>
    <w:p w:rsidR="00776E3B" w:rsidRPr="007B74B7" w:rsidRDefault="00776E3B" w:rsidP="00776E3B">
      <w:pPr>
        <w:outlineLvl w:val="1"/>
        <w:rPr>
          <w:lang w:val="it-IT"/>
        </w:rPr>
      </w:pPr>
    </w:p>
    <w:p w:rsidR="00776E3B" w:rsidRPr="007B74B7" w:rsidRDefault="00776E3B" w:rsidP="00776E3B">
      <w:pPr>
        <w:outlineLvl w:val="1"/>
        <w:rPr>
          <w:lang w:val="it-IT"/>
        </w:rPr>
      </w:pPr>
      <w:r w:rsidRPr="007B74B7">
        <w:rPr>
          <w:rFonts w:cs="Tahoma"/>
          <w:szCs w:val="18"/>
          <w:lang w:val="it-IT"/>
        </w:rPr>
        <w:t>Una società potrà incrementare la propria quantità annuale di Impegni Monetari per Windows Azure e qualificarsi per un Livello superiore in qualsiasi momento del periodo di validità dell</w:t>
      </w:r>
      <w:r w:rsidR="007A1415" w:rsidRPr="007B74B7">
        <w:rPr>
          <w:rFonts w:cs="Tahoma"/>
          <w:szCs w:val="18"/>
          <w:lang w:val="it-IT"/>
        </w:rPr>
        <w:t>’</w:t>
      </w:r>
      <w:r w:rsidRPr="007B74B7">
        <w:rPr>
          <w:rFonts w:cs="Tahoma"/>
          <w:szCs w:val="18"/>
          <w:lang w:val="it-IT"/>
        </w:rPr>
        <w:t>abbonamento a Windows Azure.</w:t>
      </w:r>
      <w:r w:rsidR="008D782D" w:rsidRPr="007B74B7">
        <w:rPr>
          <w:rFonts w:cs="Tahoma"/>
          <w:szCs w:val="18"/>
          <w:lang w:val="it-IT"/>
        </w:rPr>
        <w:t xml:space="preserve"> </w:t>
      </w:r>
      <w:r w:rsidRPr="007B74B7">
        <w:rPr>
          <w:rFonts w:cs="Tahoma"/>
          <w:szCs w:val="18"/>
          <w:lang w:val="it-IT"/>
        </w:rPr>
        <w:t>Le nuove Tariffe di Impegno si applicheranno all</w:t>
      </w:r>
      <w:r w:rsidR="007A1415" w:rsidRPr="007B74B7">
        <w:rPr>
          <w:rFonts w:cs="Tahoma"/>
          <w:szCs w:val="18"/>
          <w:lang w:val="it-IT"/>
        </w:rPr>
        <w:t>’</w:t>
      </w:r>
      <w:r w:rsidRPr="007B74B7">
        <w:rPr>
          <w:rFonts w:cs="Tahoma"/>
          <w:szCs w:val="18"/>
          <w:lang w:val="it-IT"/>
        </w:rPr>
        <w:t>utilizzo dei Servizi di Windows Azure da parte della società a decorrere dal primo giorno del mese solare successivo alla variazione della quantità di licenze annuale dell</w:t>
      </w:r>
      <w:r w:rsidR="007A1415" w:rsidRPr="007B74B7">
        <w:rPr>
          <w:rFonts w:cs="Tahoma"/>
          <w:szCs w:val="18"/>
          <w:lang w:val="it-IT"/>
        </w:rPr>
        <w:t>’</w:t>
      </w:r>
      <w:r w:rsidRPr="007B74B7">
        <w:rPr>
          <w:rFonts w:cs="Tahoma"/>
          <w:szCs w:val="18"/>
          <w:lang w:val="it-IT"/>
        </w:rPr>
        <w:t xml:space="preserve">Impegno Monetario per Windows Azure da parte della società. </w:t>
      </w:r>
    </w:p>
    <w:p w:rsidR="00776E3B" w:rsidRPr="007B74B7" w:rsidRDefault="00776E3B" w:rsidP="00776E3B">
      <w:pPr>
        <w:outlineLvl w:val="1"/>
        <w:rPr>
          <w:lang w:val="it-IT"/>
        </w:rPr>
      </w:pPr>
    </w:p>
    <w:p w:rsidR="00776E3B" w:rsidRPr="007B74B7" w:rsidRDefault="00776E3B" w:rsidP="005242EC">
      <w:pPr>
        <w:outlineLvl w:val="1"/>
        <w:rPr>
          <w:lang w:val="it-IT"/>
        </w:rPr>
      </w:pPr>
      <w:r w:rsidRPr="007B74B7">
        <w:rPr>
          <w:rFonts w:eastAsia="Times New Roman" w:cs="Tahoma"/>
          <w:szCs w:val="18"/>
          <w:lang w:val="it-IT"/>
        </w:rPr>
        <w:t>I prezzi delle Tariffe di Impegno del Livello 1 verranno riportati sull</w:t>
      </w:r>
      <w:r w:rsidR="007A1415" w:rsidRPr="007B74B7">
        <w:rPr>
          <w:rFonts w:eastAsia="Times New Roman" w:cs="Tahoma"/>
          <w:szCs w:val="18"/>
          <w:lang w:val="it-IT"/>
        </w:rPr>
        <w:t>’</w:t>
      </w:r>
      <w:r w:rsidRPr="007B74B7">
        <w:rPr>
          <w:rFonts w:eastAsia="Times New Roman" w:cs="Tahoma"/>
          <w:szCs w:val="18"/>
          <w:lang w:val="it-IT"/>
        </w:rPr>
        <w:t xml:space="preserve">Elenco Prezzi Cliente. I prezzi effettivi </w:t>
      </w:r>
      <w:r w:rsidRPr="007B74B7">
        <w:rPr>
          <w:rFonts w:cs="Tahoma"/>
          <w:szCs w:val="18"/>
          <w:lang w:val="it-IT"/>
        </w:rPr>
        <w:t>delle Tariffe di Impegno saranno visibili sulla pagina della Vista dell</w:t>
      </w:r>
      <w:r w:rsidR="007A1415" w:rsidRPr="007B74B7">
        <w:rPr>
          <w:rFonts w:cs="Tahoma"/>
          <w:szCs w:val="18"/>
          <w:lang w:val="it-IT"/>
        </w:rPr>
        <w:t>’</w:t>
      </w:r>
      <w:r w:rsidRPr="007B74B7">
        <w:rPr>
          <w:rFonts w:cs="Tahoma"/>
          <w:szCs w:val="18"/>
          <w:lang w:val="it-IT"/>
        </w:rPr>
        <w:t>Account sul Portale Aziendale di Windows Azure. I prezzi e le condizioni di pagamento per i Servizi di Windows Azure acquistati presso i rivenditori sono stabiliti tramite un contratto tra una società e il suo rivenditore.</w:t>
      </w:r>
    </w:p>
    <w:p w:rsidR="0067627F" w:rsidRPr="007B74B7" w:rsidRDefault="0067627F" w:rsidP="00776E3B">
      <w:pPr>
        <w:rPr>
          <w:lang w:val="it-IT"/>
        </w:rPr>
      </w:pPr>
    </w:p>
    <w:p w:rsidR="00456002" w:rsidRPr="007B74B7" w:rsidRDefault="00456002" w:rsidP="00456002">
      <w:pPr>
        <w:pStyle w:val="Heading2"/>
        <w:ind w:left="0"/>
        <w:rPr>
          <w:lang w:val="it-IT"/>
        </w:rPr>
      </w:pPr>
      <w:bookmarkStart w:id="738" w:name="_Toc328145984"/>
      <w:bookmarkStart w:id="739" w:name="_Toc336338215"/>
      <w:bookmarkStart w:id="740" w:name="_Toc353375995"/>
      <w:r w:rsidRPr="007B74B7">
        <w:rPr>
          <w:rFonts w:ascii="Tahoma" w:hAnsi="Tahoma" w:cs="Tahoma"/>
          <w:lang w:val="it-IT"/>
        </w:rPr>
        <w:t>Disponibilità internazionale del Servizio Online</w:t>
      </w:r>
      <w:bookmarkEnd w:id="738"/>
      <w:bookmarkEnd w:id="739"/>
      <w:bookmarkEnd w:id="740"/>
      <w:r w:rsidRPr="007B74B7">
        <w:rPr>
          <w:rFonts w:ascii="Tahoma" w:hAnsi="Tahoma" w:cs="Tahoma"/>
          <w:lang w:val="it-IT"/>
        </w:rPr>
        <w:t xml:space="preserve"> </w:t>
      </w:r>
    </w:p>
    <w:p w:rsidR="00456002" w:rsidRPr="007B74B7" w:rsidRDefault="00456002" w:rsidP="00DF28F2">
      <w:pPr>
        <w:outlineLvl w:val="2"/>
        <w:rPr>
          <w:lang w:val="it-IT"/>
        </w:rPr>
      </w:pPr>
    </w:p>
    <w:p w:rsidR="0067627F" w:rsidRPr="007B74B7" w:rsidRDefault="00456002" w:rsidP="0067627F">
      <w:pPr>
        <w:outlineLvl w:val="2"/>
        <w:rPr>
          <w:lang w:val="it-IT"/>
        </w:rPr>
      </w:pPr>
      <w:r w:rsidRPr="007B74B7">
        <w:rPr>
          <w:rFonts w:cs="Tahoma"/>
          <w:szCs w:val="18"/>
          <w:lang w:val="it-IT"/>
        </w:rPr>
        <w:t xml:space="preserve">Per un elenco dei Paesi in cui sono disponibili i Servizi Online, visitare la pagina </w:t>
      </w:r>
      <w:hyperlink r:id="rId25" w:anchor="international" w:history="1">
        <w:r w:rsidRPr="007B74B7">
          <w:rPr>
            <w:rStyle w:val="Hyperlink"/>
            <w:lang w:val="it-IT"/>
          </w:rPr>
          <w:t>http://www.microsoft.com/online/faq.aspx#international</w:t>
        </w:r>
      </w:hyperlink>
      <w:r w:rsidRPr="007B74B7">
        <w:rPr>
          <w:color w:val="000000"/>
          <w:lang w:val="it-IT"/>
        </w:rPr>
        <w:t>.</w:t>
      </w:r>
      <w:r w:rsidR="008D782D" w:rsidRPr="007B74B7">
        <w:rPr>
          <w:color w:val="000000"/>
          <w:lang w:val="it-IT"/>
        </w:rPr>
        <w:t xml:space="preserve"> </w:t>
      </w:r>
    </w:p>
    <w:p w:rsidR="0067627F" w:rsidRPr="007B74B7" w:rsidRDefault="0067627F" w:rsidP="0067627F">
      <w:pPr>
        <w:outlineLvl w:val="2"/>
        <w:rPr>
          <w:lang w:val="it-IT"/>
        </w:rPr>
      </w:pPr>
    </w:p>
    <w:p w:rsidR="0040770B" w:rsidRPr="007B74B7" w:rsidRDefault="0040770B" w:rsidP="0067627F">
      <w:pPr>
        <w:outlineLvl w:val="2"/>
        <w:rPr>
          <w:lang w:val="it-IT"/>
        </w:rPr>
      </w:pPr>
    </w:p>
    <w:p w:rsidR="0040770B" w:rsidRPr="007B74B7" w:rsidRDefault="0040770B" w:rsidP="0067627F">
      <w:pPr>
        <w:outlineLvl w:val="2"/>
        <w:rPr>
          <w:lang w:val="it-IT"/>
        </w:rPr>
      </w:pPr>
    </w:p>
    <w:p w:rsidR="0040770B" w:rsidRPr="007B74B7" w:rsidRDefault="0040770B" w:rsidP="0067627F">
      <w:pPr>
        <w:outlineLvl w:val="2"/>
        <w:rPr>
          <w:lang w:val="it-IT"/>
        </w:rPr>
      </w:pPr>
    </w:p>
    <w:p w:rsidR="0040770B" w:rsidRPr="007B74B7" w:rsidRDefault="0040770B" w:rsidP="0067627F">
      <w:pPr>
        <w:outlineLvl w:val="2"/>
        <w:rPr>
          <w:lang w:val="it-IT"/>
        </w:rPr>
      </w:pPr>
    </w:p>
    <w:p w:rsidR="0040770B" w:rsidRPr="007B74B7" w:rsidRDefault="0040770B" w:rsidP="0067627F">
      <w:pPr>
        <w:outlineLvl w:val="2"/>
        <w:rPr>
          <w:lang w:val="it-IT"/>
        </w:rPr>
      </w:pPr>
    </w:p>
    <w:p w:rsidR="0040770B" w:rsidRPr="007B74B7" w:rsidRDefault="0040770B" w:rsidP="0067627F">
      <w:pPr>
        <w:outlineLvl w:val="2"/>
        <w:rPr>
          <w:lang w:val="it-IT"/>
        </w:rPr>
      </w:pPr>
    </w:p>
    <w:p w:rsidR="0040770B" w:rsidRPr="007B74B7" w:rsidRDefault="0040770B" w:rsidP="0067627F">
      <w:pPr>
        <w:outlineLvl w:val="2"/>
        <w:rPr>
          <w:lang w:val="it-IT"/>
        </w:rPr>
      </w:pPr>
    </w:p>
    <w:p w:rsidR="00456002" w:rsidRPr="007B74B7" w:rsidRDefault="00456002" w:rsidP="00456002">
      <w:pPr>
        <w:pStyle w:val="Heading2"/>
        <w:ind w:left="0"/>
        <w:rPr>
          <w:lang w:val="it-IT"/>
        </w:rPr>
      </w:pPr>
      <w:bookmarkStart w:id="741" w:name="_Toc328145985"/>
      <w:bookmarkStart w:id="742" w:name="_Toc336338216"/>
      <w:bookmarkStart w:id="743" w:name="_Toc353375996"/>
      <w:r w:rsidRPr="007B74B7">
        <w:rPr>
          <w:rFonts w:ascii="Tahoma" w:hAnsi="Tahoma" w:cs="Tahoma"/>
          <w:lang w:val="it-IT"/>
        </w:rPr>
        <w:lastRenderedPageBreak/>
        <w:t>Condizioni Aggiuntive per i Servizi Online</w:t>
      </w:r>
      <w:bookmarkEnd w:id="741"/>
      <w:bookmarkEnd w:id="742"/>
      <w:bookmarkEnd w:id="743"/>
    </w:p>
    <w:p w:rsidR="00456002" w:rsidRPr="007B74B7" w:rsidRDefault="00456002" w:rsidP="00DF28F2">
      <w:pPr>
        <w:outlineLvl w:val="2"/>
        <w:rPr>
          <w:lang w:val="it-IT"/>
        </w:rPr>
      </w:pPr>
    </w:p>
    <w:p w:rsidR="00456002" w:rsidRPr="007B74B7" w:rsidRDefault="00456002" w:rsidP="00CF3FEE">
      <w:pPr>
        <w:rPr>
          <w:lang w:val="it-IT"/>
        </w:rPr>
      </w:pPr>
      <w:r w:rsidRPr="007B74B7">
        <w:rPr>
          <w:lang w:val="it-IT"/>
        </w:rPr>
        <w:t>La presente Lista dei Prodotti potrà contenere informazioni aggiuntive su prodotti specifici.</w:t>
      </w:r>
      <w:r w:rsidR="008D782D" w:rsidRPr="007B74B7">
        <w:rPr>
          <w:lang w:val="it-IT"/>
        </w:rPr>
        <w:t xml:space="preserve"> </w:t>
      </w:r>
      <w:r w:rsidRPr="007B74B7">
        <w:rPr>
          <w:lang w:val="it-IT"/>
        </w:rPr>
        <w:t>Per ulteriori dettagli, fare riferimento alle sezioni relative ai prodotti del presente documento.</w:t>
      </w:r>
    </w:p>
    <w:p w:rsidR="00456002" w:rsidRPr="007B74B7" w:rsidRDefault="00456002" w:rsidP="00CF3FEE">
      <w:pPr>
        <w:rPr>
          <w:lang w:val="it-IT"/>
        </w:rPr>
      </w:pPr>
    </w:p>
    <w:p w:rsidR="00456002" w:rsidRPr="007B74B7" w:rsidRDefault="00456002" w:rsidP="00CF3FEE">
      <w:pPr>
        <w:rPr>
          <w:lang w:val="it-IT"/>
        </w:rPr>
      </w:pPr>
      <w:r w:rsidRPr="007B74B7">
        <w:rPr>
          <w:lang w:val="it-IT"/>
        </w:rPr>
        <w:t>Il documento Diritti di Utilizzo del Prodotto disponibile alla pagina http://www.microsoftvolumelicensing.com/userights/PUR.aspx contiene altre condizioni generali e specifiche dei prodotti che disciplinano l</w:t>
      </w:r>
      <w:r w:rsidR="007A1415" w:rsidRPr="007B74B7">
        <w:rPr>
          <w:lang w:val="it-IT"/>
        </w:rPr>
        <w:t>’</w:t>
      </w:r>
      <w:r w:rsidRPr="007B74B7">
        <w:rPr>
          <w:lang w:val="it-IT"/>
        </w:rPr>
        <w:t>uso dei servizi online.</w:t>
      </w:r>
      <w:r w:rsidR="008D782D" w:rsidRPr="007B74B7">
        <w:rPr>
          <w:lang w:val="it-IT"/>
        </w:rPr>
        <w:t xml:space="preserve"> </w:t>
      </w:r>
      <w:r w:rsidRPr="007B74B7">
        <w:rPr>
          <w:lang w:val="it-IT"/>
        </w:rPr>
        <w:t>I diritti di utilizzo del prodotto relativi ai servizi online sono soggetti a</w:t>
      </w:r>
      <w:r w:rsidR="0040770B" w:rsidRPr="007B74B7">
        <w:rPr>
          <w:lang w:val="it-IT"/>
        </w:rPr>
        <w:t> </w:t>
      </w:r>
      <w:r w:rsidRPr="007B74B7">
        <w:rPr>
          <w:lang w:val="it-IT"/>
        </w:rPr>
        <w:t>modifica come illustrato nell</w:t>
      </w:r>
      <w:r w:rsidR="007A1415" w:rsidRPr="007B74B7">
        <w:rPr>
          <w:lang w:val="it-IT"/>
        </w:rPr>
        <w:t>’</w:t>
      </w:r>
      <w:r w:rsidRPr="007B74B7">
        <w:rPr>
          <w:lang w:val="it-IT"/>
        </w:rPr>
        <w:t>articolo Servizi Online di tale documento.</w:t>
      </w:r>
    </w:p>
    <w:p w:rsidR="00D513B9" w:rsidRPr="007B74B7" w:rsidRDefault="00D513B9" w:rsidP="005B372B">
      <w:pPr>
        <w:rPr>
          <w:lang w:val="it-IT"/>
        </w:rPr>
      </w:pPr>
      <w:bookmarkStart w:id="744" w:name="_Toc325313160"/>
    </w:p>
    <w:p w:rsidR="00026546" w:rsidRPr="007B74B7" w:rsidRDefault="00456002" w:rsidP="005B372B">
      <w:pPr>
        <w:rPr>
          <w:lang w:val="it-IT"/>
        </w:rPr>
      </w:pPr>
      <w:r w:rsidRPr="007B74B7">
        <w:rPr>
          <w:lang w:val="it-IT"/>
        </w:rPr>
        <w:t>I Prezzi e le Condizioni di Pagamento di cui sopra per i Servizi Online non si applicano ai Servizi Online ottenuti ai sensi del Contratto Microsoft Online Subscription.</w:t>
      </w:r>
      <w:r w:rsidR="008D782D" w:rsidRPr="007B74B7">
        <w:rPr>
          <w:lang w:val="it-IT"/>
        </w:rPr>
        <w:t xml:space="preserve"> </w:t>
      </w:r>
      <w:r w:rsidRPr="007B74B7">
        <w:rPr>
          <w:lang w:val="it-IT"/>
        </w:rPr>
        <w:t>Tutte le condizioni applicabili ai Servizi Online ottenuti ai sensi del Contratto Microsoft Online Subscription sono contenute nel contratto stesso e sul Portale per i Clienti dei Microsoft Online Services.</w:t>
      </w:r>
      <w:bookmarkEnd w:id="744"/>
    </w:p>
    <w:p w:rsidR="00676723" w:rsidRPr="007B74B7" w:rsidRDefault="00676723">
      <w:pPr>
        <w:rPr>
          <w:lang w:val="it-IT"/>
        </w:rPr>
      </w:pPr>
      <w:bookmarkStart w:id="745" w:name="_Toc336338217"/>
      <w:r w:rsidRPr="007B74B7">
        <w:rPr>
          <w:lang w:val="it-IT"/>
        </w:rPr>
        <w:br w:type="page"/>
      </w:r>
    </w:p>
    <w:p w:rsidR="00023FE7" w:rsidRPr="007B74B7" w:rsidRDefault="00A33112" w:rsidP="003B23CC">
      <w:pPr>
        <w:pStyle w:val="Heading1"/>
        <w:rPr>
          <w:lang w:val="it-IT"/>
        </w:rPr>
      </w:pPr>
      <w:bookmarkStart w:id="746" w:name="_Toc353375997"/>
      <w:r w:rsidRPr="007B74B7">
        <w:rPr>
          <w:lang w:val="it-IT"/>
        </w:rPr>
        <w:lastRenderedPageBreak/>
        <w:t>ARTICOLO 6</w:t>
      </w:r>
      <w:r w:rsidR="00FD7C0D" w:rsidRPr="007B74B7">
        <w:rPr>
          <w:lang w:val="it-IT"/>
        </w:rPr>
        <w:t xml:space="preserve"> – </w:t>
      </w:r>
      <w:r w:rsidRPr="007B74B7">
        <w:rPr>
          <w:lang w:val="it-IT"/>
        </w:rPr>
        <w:t>regole per il rinnovo di Software Assurance</w:t>
      </w:r>
      <w:bookmarkEnd w:id="745"/>
      <w:bookmarkEnd w:id="746"/>
    </w:p>
    <w:p w:rsidR="00865A60" w:rsidRPr="007B74B7" w:rsidRDefault="00865A60" w:rsidP="00865A60">
      <w:pPr>
        <w:rPr>
          <w:lang w:val="it-IT"/>
        </w:rPr>
      </w:pPr>
    </w:p>
    <w:p w:rsidR="00171817" w:rsidRPr="007B74B7" w:rsidRDefault="00171817" w:rsidP="00171817">
      <w:pPr>
        <w:pStyle w:val="Heading4"/>
        <w:tabs>
          <w:tab w:val="clear" w:pos="720"/>
          <w:tab w:val="num" w:pos="0"/>
        </w:tabs>
        <w:ind w:left="0" w:firstLine="0"/>
        <w:rPr>
          <w:lang w:val="it-IT"/>
        </w:rPr>
      </w:pPr>
      <w:bookmarkStart w:id="747" w:name="_Toc323159745"/>
      <w:bookmarkStart w:id="748" w:name="_Toc336338218"/>
      <w:bookmarkStart w:id="749" w:name="_Toc353375998"/>
      <w:r w:rsidRPr="007B74B7">
        <w:rPr>
          <w:rFonts w:ascii="Tahoma" w:hAnsi="Tahoma" w:cs="Tahoma"/>
          <w:sz w:val="24"/>
          <w:lang w:val="it-IT"/>
        </w:rPr>
        <w:t>Licenza Open</w:t>
      </w:r>
      <w:bookmarkEnd w:id="747"/>
      <w:bookmarkEnd w:id="748"/>
      <w:bookmarkEnd w:id="749"/>
    </w:p>
    <w:p w:rsidR="00171817" w:rsidRPr="007B74B7" w:rsidRDefault="00171817" w:rsidP="00865A60">
      <w:pPr>
        <w:pStyle w:val="Heading4"/>
        <w:tabs>
          <w:tab w:val="clear" w:pos="720"/>
          <w:tab w:val="num" w:pos="0"/>
        </w:tabs>
        <w:spacing w:before="0"/>
        <w:ind w:left="0" w:firstLine="0"/>
        <w:rPr>
          <w:lang w:val="it-IT"/>
        </w:rPr>
      </w:pPr>
    </w:p>
    <w:p w:rsidR="00171817" w:rsidRPr="007B74B7" w:rsidRDefault="00171817" w:rsidP="005242EC">
      <w:pPr>
        <w:pStyle w:val="StyleHeading22Left138Firstline0"/>
        <w:tabs>
          <w:tab w:val="num" w:pos="0"/>
        </w:tabs>
        <w:ind w:left="0"/>
        <w:jc w:val="left"/>
        <w:rPr>
          <w:lang w:val="it-IT"/>
        </w:rPr>
      </w:pPr>
      <w:r w:rsidRPr="007B74B7">
        <w:rPr>
          <w:rFonts w:ascii="Tahoma" w:hAnsi="Tahoma" w:cs="Tahoma"/>
          <w:sz w:val="18"/>
          <w:lang w:val="it-IT"/>
        </w:rPr>
        <w:t xml:space="preserve">La copertura Software Assurance ordinata in base a un numero di autorizzazione Open License termina alla scadenza di tale numero. Per effettuare il rinnovo della copertura, le società dovranno presentare al rivenditore un ordine di rinnovo di Software Assurance per tutte le copie di tutti i prodotti per i quali desiderano rinnovare la copertura entro </w:t>
      </w:r>
      <w:r w:rsidR="0040770B" w:rsidRPr="007B74B7">
        <w:rPr>
          <w:rFonts w:ascii="Tahoma" w:hAnsi="Tahoma" w:cs="Tahoma"/>
          <w:sz w:val="18"/>
          <w:lang w:val="it-IT"/>
        </w:rPr>
        <w:t>I </w:t>
      </w:r>
      <w:r w:rsidRPr="007B74B7">
        <w:rPr>
          <w:rFonts w:ascii="Tahoma" w:hAnsi="Tahoma" w:cs="Tahoma"/>
          <w:sz w:val="18"/>
          <w:lang w:val="it-IT"/>
        </w:rPr>
        <w:t>90 giorni successivi alla data di scadenza del numero di autorizzazione. Le società potranno ordinare Software Assurance senza dovere contemporaneamente ordinare una Licenza a condizione che la copertura Software Assurance venga rinnovata nella modalità indicata sopra. La nuova copertura Software Assurance inizierà alla data</w:t>
      </w:r>
      <w:r w:rsidR="0040770B" w:rsidRPr="007B74B7">
        <w:rPr>
          <w:rFonts w:ascii="Tahoma" w:hAnsi="Tahoma" w:cs="Tahoma"/>
          <w:sz w:val="18"/>
          <w:lang w:val="it-IT"/>
        </w:rPr>
        <w:t> </w:t>
      </w:r>
      <w:r w:rsidRPr="007B74B7">
        <w:rPr>
          <w:rFonts w:ascii="Tahoma" w:hAnsi="Tahoma" w:cs="Tahoma"/>
          <w:sz w:val="18"/>
          <w:lang w:val="it-IT"/>
        </w:rPr>
        <w:t>di</w:t>
      </w:r>
      <w:r w:rsidR="0040770B" w:rsidRPr="007B74B7">
        <w:rPr>
          <w:rFonts w:ascii="Tahoma" w:hAnsi="Tahoma" w:cs="Tahoma"/>
          <w:sz w:val="18"/>
          <w:lang w:val="it-IT"/>
        </w:rPr>
        <w:t> </w:t>
      </w:r>
      <w:r w:rsidRPr="007B74B7">
        <w:rPr>
          <w:rFonts w:ascii="Tahoma" w:hAnsi="Tahoma" w:cs="Tahoma"/>
          <w:sz w:val="18"/>
          <w:lang w:val="it-IT"/>
        </w:rPr>
        <w:t>entrata in vigore del nuovo numero di autorizzazione.</w:t>
      </w:r>
    </w:p>
    <w:p w:rsidR="00865A60" w:rsidRPr="007B74B7" w:rsidRDefault="00865A60" w:rsidP="005242EC">
      <w:pPr>
        <w:pStyle w:val="AppendIndentSub"/>
        <w:ind w:left="0"/>
        <w:rPr>
          <w:lang w:val="it-IT"/>
        </w:rPr>
      </w:pPr>
    </w:p>
    <w:p w:rsidR="00171817" w:rsidRPr="007B74B7" w:rsidRDefault="00171817" w:rsidP="002171C3">
      <w:pPr>
        <w:pStyle w:val="Heading4"/>
        <w:ind w:left="360"/>
        <w:rPr>
          <w:lang w:val="it-IT"/>
        </w:rPr>
      </w:pPr>
      <w:bookmarkStart w:id="750" w:name="_Toc336338219"/>
      <w:bookmarkStart w:id="751" w:name="_Toc353375999"/>
      <w:r w:rsidRPr="007B74B7">
        <w:rPr>
          <w:rFonts w:ascii="Tahoma" w:hAnsi="Tahoma" w:cs="Tahoma"/>
          <w:sz w:val="24"/>
          <w:lang w:val="it-IT"/>
        </w:rPr>
        <w:t>Open Value 20xx</w:t>
      </w:r>
      <w:bookmarkEnd w:id="750"/>
      <w:bookmarkEnd w:id="751"/>
    </w:p>
    <w:p w:rsidR="00171817" w:rsidRPr="007B74B7" w:rsidRDefault="00171817" w:rsidP="00171817">
      <w:pPr>
        <w:tabs>
          <w:tab w:val="num" w:pos="0"/>
        </w:tabs>
        <w:rPr>
          <w:lang w:val="it-IT"/>
        </w:rPr>
      </w:pPr>
    </w:p>
    <w:p w:rsidR="00171817" w:rsidRPr="007B74B7" w:rsidRDefault="00171817" w:rsidP="005242EC">
      <w:pPr>
        <w:keepNext/>
        <w:tabs>
          <w:tab w:val="num" w:pos="720"/>
        </w:tabs>
        <w:spacing w:after="60"/>
        <w:ind w:left="360" w:hanging="360"/>
        <w:outlineLvl w:val="3"/>
        <w:rPr>
          <w:lang w:val="it-IT"/>
        </w:rPr>
      </w:pPr>
      <w:r w:rsidRPr="007B74B7">
        <w:rPr>
          <w:b/>
          <w:szCs w:val="20"/>
          <w:lang w:val="it-IT"/>
        </w:rPr>
        <w:t xml:space="preserve">Rinnovo della Copertura ai sensi del Medesimo Contratto </w:t>
      </w:r>
    </w:p>
    <w:p w:rsidR="00171817" w:rsidRPr="007B74B7" w:rsidRDefault="00171817" w:rsidP="00171817">
      <w:pPr>
        <w:tabs>
          <w:tab w:val="num" w:pos="0"/>
        </w:tabs>
        <w:rPr>
          <w:lang w:val="it-IT"/>
        </w:rPr>
      </w:pPr>
      <w:r w:rsidRPr="007B74B7">
        <w:rPr>
          <w:rFonts w:cs="Tahoma"/>
          <w:szCs w:val="20"/>
          <w:lang w:val="it-IT"/>
        </w:rPr>
        <w:t>La copertura Software Assurance ordinata ai sensi di un contratto Open Value terminerà alla scadenza o alla risoluzione di tale contratto. Le società riceveranno una comunicazione scritta delle opzioni di rinnovo 60 giorni prima della scadenza del contratto. Le società potranno scegliere di rinnovare il loro contratto per i successivi 36 mesi solari completi. Per rinnovare la copertura Software Assurance, le società dovranno presentare un ordine di rinnovo prima della scadenza del periodo di validità precedente.</w:t>
      </w:r>
      <w:r w:rsidR="008D782D" w:rsidRPr="007B74B7">
        <w:rPr>
          <w:rFonts w:cs="Tahoma"/>
          <w:szCs w:val="20"/>
          <w:lang w:val="it-IT"/>
        </w:rPr>
        <w:t xml:space="preserve"> </w:t>
      </w:r>
      <w:r w:rsidRPr="007B74B7">
        <w:rPr>
          <w:rFonts w:cs="Tahoma"/>
          <w:szCs w:val="20"/>
          <w:lang w:val="it-IT"/>
        </w:rPr>
        <w:t>Qualora una società abbia scelto l</w:t>
      </w:r>
      <w:r w:rsidR="007A1415" w:rsidRPr="007B74B7">
        <w:rPr>
          <w:rFonts w:cs="Tahoma"/>
          <w:szCs w:val="20"/>
          <w:lang w:val="it-IT"/>
        </w:rPr>
        <w:t>’</w:t>
      </w:r>
      <w:r w:rsidRPr="007B74B7">
        <w:rPr>
          <w:rFonts w:cs="Tahoma"/>
          <w:szCs w:val="20"/>
          <w:lang w:val="it-IT"/>
        </w:rPr>
        <w:t>opzione a livello aziendale, tale società dovrà ordinare Software Assurance per tutte le copie dei prodotti per le quali desidera questo tipo di opzione. Qualora una società non abbia scelto l</w:t>
      </w:r>
      <w:r w:rsidR="007A1415" w:rsidRPr="007B74B7">
        <w:rPr>
          <w:rFonts w:cs="Tahoma"/>
          <w:szCs w:val="20"/>
          <w:lang w:val="it-IT"/>
        </w:rPr>
        <w:t>’</w:t>
      </w:r>
      <w:r w:rsidRPr="007B74B7">
        <w:rPr>
          <w:rFonts w:cs="Tahoma"/>
          <w:szCs w:val="20"/>
          <w:lang w:val="it-IT"/>
        </w:rPr>
        <w:t>opzione a livello aziendale, tale società potrà rinnovare la copertura per qualsiasi numero di licenze a cui ha effettuato in precedenza l</w:t>
      </w:r>
      <w:r w:rsidR="007A1415" w:rsidRPr="007B74B7">
        <w:rPr>
          <w:rFonts w:cs="Tahoma"/>
          <w:szCs w:val="20"/>
          <w:lang w:val="it-IT"/>
        </w:rPr>
        <w:t>’</w:t>
      </w:r>
      <w:r w:rsidRPr="007B74B7">
        <w:rPr>
          <w:rFonts w:cs="Tahoma"/>
          <w:szCs w:val="20"/>
          <w:lang w:val="it-IT"/>
        </w:rPr>
        <w:t xml:space="preserve">iscrizione. Ciascun periodo di rinnovo avrà inizio il giorno successivo alla scadenza del precedente periodo di validità. Le società potranno ordinare Software Assurance senza dovere contemporaneamente ordinare una Licenza a condizione che la copertura Software Assurance venga rinnovata nella modalità indicata sopra. </w:t>
      </w:r>
    </w:p>
    <w:p w:rsidR="00171817" w:rsidRPr="007B74B7" w:rsidRDefault="00171817" w:rsidP="00171817">
      <w:pPr>
        <w:tabs>
          <w:tab w:val="num" w:pos="0"/>
        </w:tabs>
        <w:rPr>
          <w:lang w:val="it-IT"/>
        </w:rPr>
      </w:pPr>
    </w:p>
    <w:p w:rsidR="00171817" w:rsidRPr="007B74B7" w:rsidRDefault="00171817" w:rsidP="005242EC">
      <w:pPr>
        <w:keepNext/>
        <w:tabs>
          <w:tab w:val="num" w:pos="720"/>
        </w:tabs>
        <w:spacing w:after="60"/>
        <w:ind w:left="360" w:hanging="360"/>
        <w:outlineLvl w:val="3"/>
        <w:rPr>
          <w:lang w:val="it-IT"/>
        </w:rPr>
      </w:pPr>
      <w:r w:rsidRPr="007B74B7">
        <w:rPr>
          <w:b/>
          <w:szCs w:val="20"/>
          <w:lang w:val="it-IT"/>
        </w:rPr>
        <w:t>Rinnovo della Copertura con un Contratto Separato</w:t>
      </w:r>
    </w:p>
    <w:p w:rsidR="00171817" w:rsidRPr="007B74B7" w:rsidRDefault="00171817" w:rsidP="00865A60">
      <w:pPr>
        <w:tabs>
          <w:tab w:val="num" w:pos="0"/>
        </w:tabs>
        <w:rPr>
          <w:lang w:val="it-IT"/>
        </w:rPr>
      </w:pPr>
      <w:r w:rsidRPr="007B74B7">
        <w:rPr>
          <w:rFonts w:cs="Tahoma"/>
          <w:szCs w:val="20"/>
          <w:lang w:val="it-IT"/>
        </w:rPr>
        <w:t>La società potrà rinnovare Software Assurance per qualsiasi prodotto senza dovere ordinare contemporaneamente una Licenza nel caso in cui abbia ottenuto una licenza perpetua e Software Assurance per quel prodotto ai sensi di un</w:t>
      </w:r>
      <w:r w:rsidR="0040770B" w:rsidRPr="007B74B7">
        <w:rPr>
          <w:rFonts w:cs="Tahoma"/>
          <w:szCs w:val="20"/>
          <w:lang w:val="it-IT"/>
        </w:rPr>
        <w:t> </w:t>
      </w:r>
      <w:r w:rsidRPr="007B74B7">
        <w:rPr>
          <w:rFonts w:cs="Tahoma"/>
          <w:szCs w:val="20"/>
          <w:lang w:val="it-IT"/>
        </w:rPr>
        <w:t>contratto precedente e il nuovo contratto della società entri in vigore non oltre il giorno successivo alla data di scadenza del contratto precedente.</w:t>
      </w:r>
      <w:r w:rsidR="008D782D" w:rsidRPr="007B74B7">
        <w:rPr>
          <w:rFonts w:cs="Tahoma"/>
          <w:szCs w:val="20"/>
          <w:lang w:val="it-IT"/>
        </w:rPr>
        <w:t xml:space="preserve"> </w:t>
      </w:r>
      <w:r w:rsidRPr="007B74B7">
        <w:rPr>
          <w:rFonts w:cs="Tahoma"/>
          <w:szCs w:val="20"/>
          <w:lang w:val="it-IT"/>
        </w:rPr>
        <w:t>L</w:t>
      </w:r>
      <w:r w:rsidR="007A1415" w:rsidRPr="007B74B7">
        <w:rPr>
          <w:rFonts w:cs="Tahoma"/>
          <w:szCs w:val="20"/>
          <w:lang w:val="it-IT"/>
        </w:rPr>
        <w:t>’</w:t>
      </w:r>
      <w:r w:rsidRPr="007B74B7">
        <w:rPr>
          <w:rFonts w:cs="Tahoma"/>
          <w:szCs w:val="20"/>
          <w:lang w:val="it-IT"/>
        </w:rPr>
        <w:t>ordine di rinnovo di Software Assurance dovrà essere effettuato prima della scadenza della copertura Software Assurance ai sensi di un contratto precedente, ad eccezione del Contratto Open License. In tal caso le società potranno inviare l</w:t>
      </w:r>
      <w:r w:rsidR="007A1415" w:rsidRPr="007B74B7">
        <w:rPr>
          <w:rFonts w:cs="Tahoma"/>
          <w:szCs w:val="20"/>
          <w:lang w:val="it-IT"/>
        </w:rPr>
        <w:t>’</w:t>
      </w:r>
      <w:r w:rsidRPr="007B74B7">
        <w:rPr>
          <w:rFonts w:cs="Tahoma"/>
          <w:szCs w:val="20"/>
          <w:lang w:val="it-IT"/>
        </w:rPr>
        <w:t xml:space="preserve">ordine fino a 90 giorni dopo la data di scadenza. </w:t>
      </w:r>
    </w:p>
    <w:p w:rsidR="00865A60" w:rsidRPr="007B74B7" w:rsidRDefault="00865A60" w:rsidP="005242EC">
      <w:pPr>
        <w:tabs>
          <w:tab w:val="num" w:pos="0"/>
        </w:tabs>
        <w:rPr>
          <w:lang w:val="it-IT"/>
        </w:rPr>
      </w:pPr>
    </w:p>
    <w:p w:rsidR="00171817" w:rsidRPr="007B74B7" w:rsidRDefault="00171817" w:rsidP="002171C3">
      <w:pPr>
        <w:pStyle w:val="Heading4"/>
        <w:ind w:left="360"/>
        <w:rPr>
          <w:lang w:val="it-IT"/>
        </w:rPr>
      </w:pPr>
      <w:bookmarkStart w:id="752" w:name="_Toc323159746"/>
      <w:bookmarkStart w:id="753" w:name="_Toc336338220"/>
      <w:bookmarkStart w:id="754" w:name="_Toc353376000"/>
      <w:r w:rsidRPr="007B74B7">
        <w:rPr>
          <w:rFonts w:ascii="Tahoma" w:hAnsi="Tahoma" w:cs="Tahoma"/>
          <w:sz w:val="24"/>
          <w:lang w:val="it-IT"/>
        </w:rPr>
        <w:t>Select 20xx</w:t>
      </w:r>
      <w:bookmarkEnd w:id="752"/>
      <w:bookmarkEnd w:id="753"/>
      <w:bookmarkEnd w:id="754"/>
    </w:p>
    <w:p w:rsidR="00171817" w:rsidRPr="007B74B7" w:rsidRDefault="00171817" w:rsidP="00171817">
      <w:pPr>
        <w:tabs>
          <w:tab w:val="num" w:pos="0"/>
        </w:tabs>
        <w:rPr>
          <w:lang w:val="it-IT"/>
        </w:rPr>
      </w:pPr>
    </w:p>
    <w:p w:rsidR="00171817" w:rsidRPr="007B74B7" w:rsidRDefault="00171817" w:rsidP="005242EC">
      <w:pPr>
        <w:pStyle w:val="Heading4"/>
        <w:spacing w:before="0" w:after="60"/>
        <w:ind w:left="360"/>
        <w:rPr>
          <w:lang w:val="it-IT"/>
        </w:rPr>
      </w:pPr>
      <w:bookmarkStart w:id="755" w:name="_Toc323159747"/>
      <w:bookmarkStart w:id="756" w:name="_Toc328145990"/>
      <w:bookmarkStart w:id="757" w:name="_Toc336338221"/>
      <w:bookmarkStart w:id="758" w:name="_Toc353376001"/>
      <w:r w:rsidRPr="007B74B7">
        <w:rPr>
          <w:rFonts w:ascii="Tahoma" w:hAnsi="Tahoma"/>
          <w:sz w:val="18"/>
          <w:lang w:val="it-IT"/>
        </w:rPr>
        <w:t>Rinnovo della Copertura ai sensi del Medesimo Contratto</w:t>
      </w:r>
      <w:bookmarkEnd w:id="755"/>
      <w:bookmarkEnd w:id="756"/>
      <w:bookmarkEnd w:id="757"/>
      <w:bookmarkEnd w:id="758"/>
      <w:r w:rsidRPr="007B74B7">
        <w:rPr>
          <w:rFonts w:ascii="Tahoma" w:hAnsi="Tahoma"/>
          <w:sz w:val="18"/>
          <w:lang w:val="it-IT"/>
        </w:rPr>
        <w:t xml:space="preserve"> </w:t>
      </w:r>
    </w:p>
    <w:p w:rsidR="00171817" w:rsidRPr="007B74B7" w:rsidRDefault="00171817" w:rsidP="00171817">
      <w:pPr>
        <w:pStyle w:val="styleheading22left138firstline00"/>
        <w:tabs>
          <w:tab w:val="num" w:pos="0"/>
        </w:tabs>
        <w:snapToGrid w:val="0"/>
        <w:ind w:left="0"/>
        <w:jc w:val="left"/>
        <w:rPr>
          <w:lang w:val="it-IT"/>
        </w:rPr>
      </w:pPr>
      <w:r w:rsidRPr="007B74B7">
        <w:rPr>
          <w:rFonts w:ascii="Tahoma" w:hAnsi="Tahoma" w:cs="Tahoma"/>
          <w:sz w:val="18"/>
          <w:lang w:val="it-IT"/>
        </w:rPr>
        <w:t>La copertura Software Assurance ordinata in base alle iscrizioni ai sensi di un contratto Select terminerà alla scadenza o alla risoluzione del contratto stesso oppure alla scadenza dell</w:t>
      </w:r>
      <w:r w:rsidR="007A1415" w:rsidRPr="007B74B7">
        <w:rPr>
          <w:rFonts w:ascii="Tahoma" w:hAnsi="Tahoma" w:cs="Tahoma"/>
          <w:sz w:val="18"/>
          <w:lang w:val="it-IT"/>
        </w:rPr>
        <w:t>’</w:t>
      </w:r>
      <w:r w:rsidRPr="007B74B7">
        <w:rPr>
          <w:rFonts w:ascii="Tahoma" w:hAnsi="Tahoma" w:cs="Tahoma"/>
          <w:sz w:val="18"/>
          <w:lang w:val="it-IT"/>
        </w:rPr>
        <w:t>iscrizione applicabile, se precedente. Le società riceveranno una comunicazione scritta delle opzioni di rinnovo 60 giorni prima della scadenza del loro contratto. Le</w:t>
      </w:r>
      <w:r w:rsidR="0040770B" w:rsidRPr="007B74B7">
        <w:rPr>
          <w:rFonts w:ascii="Tahoma" w:hAnsi="Tahoma" w:cs="Tahoma"/>
          <w:sz w:val="18"/>
          <w:lang w:val="it-IT"/>
        </w:rPr>
        <w:t> </w:t>
      </w:r>
      <w:r w:rsidRPr="007B74B7">
        <w:rPr>
          <w:rFonts w:ascii="Tahoma" w:hAnsi="Tahoma" w:cs="Tahoma"/>
          <w:sz w:val="18"/>
          <w:lang w:val="it-IT"/>
        </w:rPr>
        <w:t>società potranno scegliere di rinnovare il loro contratto per i successivi 12 o 36 mesi solari completi. Per rinnovare la copertura Software Assurance per tutte le copie a cui è stata effettuata in precedenza l</w:t>
      </w:r>
      <w:r w:rsidR="007A1415" w:rsidRPr="007B74B7">
        <w:rPr>
          <w:rFonts w:ascii="Tahoma" w:hAnsi="Tahoma" w:cs="Tahoma"/>
          <w:sz w:val="18"/>
          <w:lang w:val="it-IT"/>
        </w:rPr>
        <w:t>’</w:t>
      </w:r>
      <w:r w:rsidRPr="007B74B7">
        <w:rPr>
          <w:rFonts w:ascii="Tahoma" w:hAnsi="Tahoma" w:cs="Tahoma"/>
          <w:sz w:val="18"/>
          <w:lang w:val="it-IT"/>
        </w:rPr>
        <w:t>iscrizione, una società dovrà presentare un ordine di rinnovo a Microsoft tramite il proprio rivenditore prima della scadenza del precedente periodo di validità. Gli ordini di rinnovo dovranno coprire l</w:t>
      </w:r>
      <w:r w:rsidR="007A1415" w:rsidRPr="007B74B7">
        <w:rPr>
          <w:rFonts w:ascii="Tahoma" w:hAnsi="Tahoma" w:cs="Tahoma"/>
          <w:sz w:val="18"/>
          <w:lang w:val="it-IT"/>
        </w:rPr>
        <w:t>’</w:t>
      </w:r>
      <w:r w:rsidRPr="007B74B7">
        <w:rPr>
          <w:rFonts w:ascii="Tahoma" w:hAnsi="Tahoma" w:cs="Tahoma"/>
          <w:sz w:val="18"/>
          <w:lang w:val="it-IT"/>
        </w:rPr>
        <w:t xml:space="preserve">intero periodo di validità. Ciascun periodo di rinnovo avrà inizio il giorno successivo alla scadenza del precedente periodo di validità. </w:t>
      </w:r>
    </w:p>
    <w:p w:rsidR="00973A93" w:rsidRPr="007B74B7" w:rsidRDefault="00973A93">
      <w:pPr>
        <w:rPr>
          <w:lang w:val="it-IT"/>
        </w:rPr>
      </w:pPr>
      <w:bookmarkStart w:id="759" w:name="_Toc323159748"/>
      <w:bookmarkStart w:id="760" w:name="_Toc336338222"/>
    </w:p>
    <w:p w:rsidR="0040770B" w:rsidRPr="007B74B7" w:rsidRDefault="0040770B">
      <w:pPr>
        <w:rPr>
          <w:lang w:val="it-IT"/>
        </w:rPr>
      </w:pPr>
    </w:p>
    <w:p w:rsidR="0040770B" w:rsidRPr="007B74B7" w:rsidRDefault="0040770B">
      <w:pPr>
        <w:rPr>
          <w:lang w:val="it-IT"/>
        </w:rPr>
      </w:pPr>
    </w:p>
    <w:p w:rsidR="0040770B" w:rsidRPr="007B74B7" w:rsidRDefault="0040770B">
      <w:pPr>
        <w:rPr>
          <w:lang w:val="it-IT"/>
        </w:rPr>
      </w:pPr>
    </w:p>
    <w:p w:rsidR="0040770B" w:rsidRPr="007B74B7" w:rsidRDefault="0040770B">
      <w:pPr>
        <w:rPr>
          <w:lang w:val="it-IT"/>
        </w:rPr>
      </w:pPr>
    </w:p>
    <w:p w:rsidR="00171817" w:rsidRPr="007B74B7" w:rsidRDefault="00171817" w:rsidP="005242EC">
      <w:pPr>
        <w:pStyle w:val="Heading4"/>
        <w:spacing w:before="0" w:after="60"/>
        <w:ind w:left="360"/>
        <w:rPr>
          <w:lang w:val="it-IT"/>
        </w:rPr>
      </w:pPr>
      <w:bookmarkStart w:id="761" w:name="_Toc353376002"/>
      <w:r w:rsidRPr="007B74B7">
        <w:rPr>
          <w:rFonts w:ascii="Tahoma" w:hAnsi="Tahoma"/>
          <w:sz w:val="18"/>
          <w:lang w:val="it-IT"/>
        </w:rPr>
        <w:lastRenderedPageBreak/>
        <w:t>Rinnovo della Copertura con un Contratto Separato</w:t>
      </w:r>
      <w:bookmarkEnd w:id="759"/>
      <w:bookmarkEnd w:id="760"/>
      <w:bookmarkEnd w:id="761"/>
    </w:p>
    <w:p w:rsidR="00171817" w:rsidRPr="007B74B7" w:rsidRDefault="00171817" w:rsidP="0063466C">
      <w:pPr>
        <w:pStyle w:val="styleheading22left138firstline00"/>
        <w:tabs>
          <w:tab w:val="num" w:pos="0"/>
        </w:tabs>
        <w:snapToGrid w:val="0"/>
        <w:ind w:left="0"/>
        <w:jc w:val="left"/>
        <w:rPr>
          <w:lang w:val="it-IT"/>
        </w:rPr>
      </w:pPr>
      <w:r w:rsidRPr="007B74B7">
        <w:rPr>
          <w:rFonts w:ascii="Tahoma" w:hAnsi="Tahoma" w:cs="Tahoma"/>
          <w:sz w:val="18"/>
          <w:lang w:val="it-IT"/>
        </w:rPr>
        <w:t>Le società potranno ordinare Software Assurance senza dovere contemporaneamente ordinare una Licenza per le</w:t>
      </w:r>
      <w:r w:rsidR="0040770B" w:rsidRPr="007B74B7">
        <w:rPr>
          <w:rFonts w:ascii="Tahoma" w:hAnsi="Tahoma" w:cs="Tahoma"/>
          <w:sz w:val="18"/>
          <w:lang w:val="it-IT"/>
        </w:rPr>
        <w:t> </w:t>
      </w:r>
      <w:r w:rsidRPr="007B74B7">
        <w:rPr>
          <w:rFonts w:ascii="Tahoma" w:hAnsi="Tahoma" w:cs="Tahoma"/>
          <w:sz w:val="18"/>
          <w:lang w:val="it-IT"/>
        </w:rPr>
        <w:t>copie di prodotti per le quali hanno in precedenza ottenuto licenze perpetue tramite Software Assurance in altri programmi per contratti multilicenza (Volume Licensing), a condizione che (i) la nuova iscrizione entri in vigore non oltre il giorno successivo alla data di scadenza di Software Assurance e (ii) la consociata iscritta effettui il suo ordine di Software Assurance nel momento stesso in cui presenta la sua nuova iscrizione a Microsoft tramite il proprio Rivenditore. L</w:t>
      </w:r>
      <w:r w:rsidR="007A1415" w:rsidRPr="007B74B7">
        <w:rPr>
          <w:rFonts w:ascii="Tahoma" w:hAnsi="Tahoma" w:cs="Tahoma"/>
          <w:sz w:val="18"/>
          <w:lang w:val="it-IT"/>
        </w:rPr>
        <w:t>’</w:t>
      </w:r>
      <w:r w:rsidRPr="007B74B7">
        <w:rPr>
          <w:rFonts w:ascii="Tahoma" w:hAnsi="Tahoma" w:cs="Tahoma"/>
          <w:sz w:val="18"/>
          <w:lang w:val="it-IT"/>
        </w:rPr>
        <w:t>ordine di rinnovo di Software Assurance dovrà essere effettuato prima della scadenza della copertura ai</w:t>
      </w:r>
      <w:r w:rsidR="0040770B" w:rsidRPr="007B74B7">
        <w:rPr>
          <w:rFonts w:ascii="Tahoma" w:hAnsi="Tahoma" w:cs="Tahoma"/>
          <w:sz w:val="18"/>
          <w:lang w:val="it-IT"/>
        </w:rPr>
        <w:t> </w:t>
      </w:r>
      <w:r w:rsidRPr="007B74B7">
        <w:rPr>
          <w:rFonts w:ascii="Tahoma" w:hAnsi="Tahoma" w:cs="Tahoma"/>
          <w:sz w:val="18"/>
          <w:lang w:val="it-IT"/>
        </w:rPr>
        <w:t>sensi del contratto precedente, ad eccezione del Contratto Open License. In tal caso le società potranno inviare l</w:t>
      </w:r>
      <w:r w:rsidR="007A1415" w:rsidRPr="007B74B7">
        <w:rPr>
          <w:rFonts w:ascii="Tahoma" w:hAnsi="Tahoma" w:cs="Tahoma"/>
          <w:sz w:val="18"/>
          <w:lang w:val="it-IT"/>
        </w:rPr>
        <w:t>’</w:t>
      </w:r>
      <w:r w:rsidRPr="007B74B7">
        <w:rPr>
          <w:rFonts w:ascii="Tahoma" w:hAnsi="Tahoma" w:cs="Tahoma"/>
          <w:sz w:val="18"/>
          <w:lang w:val="it-IT"/>
        </w:rPr>
        <w:t>ordine fino a 90 giorni dopo la data di scadenza.</w:t>
      </w:r>
    </w:p>
    <w:p w:rsidR="00865A60" w:rsidRPr="007B74B7" w:rsidRDefault="00865A60" w:rsidP="0063466C">
      <w:pPr>
        <w:outlineLvl w:val="2"/>
        <w:rPr>
          <w:lang w:val="it-IT"/>
        </w:rPr>
      </w:pPr>
    </w:p>
    <w:p w:rsidR="00171817" w:rsidRPr="007B74B7" w:rsidRDefault="00171817" w:rsidP="002171C3">
      <w:pPr>
        <w:pStyle w:val="Heading4"/>
        <w:ind w:left="360"/>
        <w:rPr>
          <w:lang w:val="it-IT"/>
        </w:rPr>
      </w:pPr>
      <w:bookmarkStart w:id="762" w:name="_Toc336338223"/>
      <w:bookmarkStart w:id="763" w:name="_Toc353376003"/>
      <w:r w:rsidRPr="007B74B7">
        <w:rPr>
          <w:rFonts w:ascii="Tahoma" w:hAnsi="Tahoma" w:cs="Tahoma"/>
          <w:sz w:val="24"/>
          <w:lang w:val="it-IT"/>
        </w:rPr>
        <w:t>Select Plus 20xx</w:t>
      </w:r>
      <w:bookmarkEnd w:id="762"/>
      <w:bookmarkEnd w:id="763"/>
    </w:p>
    <w:p w:rsidR="00171817" w:rsidRPr="007B74B7" w:rsidRDefault="00171817" w:rsidP="00171817">
      <w:pPr>
        <w:rPr>
          <w:lang w:val="it-IT"/>
        </w:rPr>
      </w:pPr>
    </w:p>
    <w:p w:rsidR="00171817" w:rsidRPr="007B74B7" w:rsidRDefault="00171817" w:rsidP="0063466C">
      <w:pPr>
        <w:spacing w:after="60"/>
        <w:rPr>
          <w:lang w:val="it-IT"/>
        </w:rPr>
      </w:pPr>
      <w:r w:rsidRPr="007B74B7">
        <w:rPr>
          <w:b/>
          <w:bCs/>
          <w:lang w:val="it-IT"/>
        </w:rPr>
        <w:t xml:space="preserve">Rinnovo della Copertura ai sensi del Medesimo Contratto </w:t>
      </w:r>
    </w:p>
    <w:p w:rsidR="00171817" w:rsidRPr="007B74B7" w:rsidRDefault="00171817" w:rsidP="00171817">
      <w:pPr>
        <w:rPr>
          <w:lang w:val="it-IT"/>
        </w:rPr>
      </w:pPr>
      <w:r w:rsidRPr="007B74B7">
        <w:rPr>
          <w:iCs/>
          <w:lang w:val="it-IT"/>
        </w:rPr>
        <w:t>A partire dal 1 marzo 2011, la copertura iniziale</w:t>
      </w:r>
      <w:r w:rsidRPr="007B74B7">
        <w:rPr>
          <w:i/>
          <w:iCs/>
          <w:lang w:val="it-IT"/>
        </w:rPr>
        <w:t xml:space="preserve"> </w:t>
      </w:r>
      <w:r w:rsidRPr="007B74B7">
        <w:rPr>
          <w:lang w:val="it-IT"/>
        </w:rPr>
        <w:t>Software Assurance (nuova o rinnovata) ai sensi di una registrazione Select Plus terminerà dopo 24 mesi più il numero di mesi che va dalla data di inizio della copertura Software Assurance alla successiva “ricorrenza della consociata” (si tratta di un mese definito dalla società in cui verranno prese le decisioni annuali in merito ai rinnovi). Le società e i Partner riceveranno una comunicazione scritta delle opzioni di rinnovo prima della scadenza della copertura Software Assurance. Per rinnovare la copertura Software Assurance per tutte le copie ordinate in precedenza, una società dovrà presentare un ordine di rinnovo a Microsoft tramite il proprio rivenditore prima della scadenza del precedente periodo di validità della copertura Software Assurance. Gli ordini di rinnovo dovranno coprire l</w:t>
      </w:r>
      <w:r w:rsidR="007A1415" w:rsidRPr="007B74B7">
        <w:rPr>
          <w:lang w:val="it-IT"/>
        </w:rPr>
        <w:t>’</w:t>
      </w:r>
      <w:r w:rsidRPr="007B74B7">
        <w:rPr>
          <w:lang w:val="it-IT"/>
        </w:rPr>
        <w:t xml:space="preserve">intero periodo di validità di 36 mesi. Ciascun periodo di rinnovo avrà inizio il giorno successivo alla scadenza del precedente periodo di validità. </w:t>
      </w:r>
    </w:p>
    <w:p w:rsidR="00171817" w:rsidRPr="007B74B7" w:rsidRDefault="00171817" w:rsidP="00171817">
      <w:pPr>
        <w:rPr>
          <w:lang w:val="it-IT"/>
        </w:rPr>
      </w:pPr>
    </w:p>
    <w:p w:rsidR="00171817" w:rsidRPr="007B74B7" w:rsidRDefault="00171817" w:rsidP="0063466C">
      <w:pPr>
        <w:spacing w:after="60"/>
        <w:rPr>
          <w:lang w:val="it-IT"/>
        </w:rPr>
      </w:pPr>
      <w:r w:rsidRPr="007B74B7">
        <w:rPr>
          <w:b/>
          <w:bCs/>
          <w:lang w:val="it-IT"/>
        </w:rPr>
        <w:t>Rinnovo della Copertura con un Contratto Separato</w:t>
      </w:r>
    </w:p>
    <w:p w:rsidR="00171817" w:rsidRPr="007B74B7" w:rsidRDefault="00171817" w:rsidP="0063466C">
      <w:pPr>
        <w:rPr>
          <w:lang w:val="it-IT"/>
        </w:rPr>
      </w:pPr>
      <w:r w:rsidRPr="007B74B7">
        <w:rPr>
          <w:lang w:val="it-IT"/>
        </w:rPr>
        <w:t>Le società potranno ordinare Software Assurance senza dovere contemporaneamente ordinare una Licenza per le copie di prodotti per le quali abbiano in precedenza ottenuto licenze perpetue tramite Software Assurance in altri programmi per contratti multilicenza (Volume Licensing), a condizione che il nuovo ordine diventi effettivo entro il</w:t>
      </w:r>
      <w:r w:rsidR="00504E26" w:rsidRPr="007B74B7">
        <w:rPr>
          <w:lang w:val="it-IT"/>
        </w:rPr>
        <w:t> </w:t>
      </w:r>
      <w:r w:rsidRPr="007B74B7">
        <w:rPr>
          <w:lang w:val="it-IT"/>
        </w:rPr>
        <w:t>giorno successivo alla data di scadenza di Software Assurance. L</w:t>
      </w:r>
      <w:r w:rsidR="007A1415" w:rsidRPr="007B74B7">
        <w:rPr>
          <w:lang w:val="it-IT"/>
        </w:rPr>
        <w:t>’</w:t>
      </w:r>
      <w:r w:rsidRPr="007B74B7">
        <w:rPr>
          <w:lang w:val="it-IT"/>
        </w:rPr>
        <w:t>ordine di rinnovo di Software Assurance dovrà essere effettuato prima della scadenza della copertura ai sensi del contratto precedente, ad eccezione del Contratto Open License. In tal caso le società potranno inviare l</w:t>
      </w:r>
      <w:r w:rsidR="007A1415" w:rsidRPr="007B74B7">
        <w:rPr>
          <w:lang w:val="it-IT"/>
        </w:rPr>
        <w:t>’</w:t>
      </w:r>
      <w:r w:rsidRPr="007B74B7">
        <w:rPr>
          <w:lang w:val="it-IT"/>
        </w:rPr>
        <w:t>ordine fino a 90 giorni dopo la data di scadenza.</w:t>
      </w:r>
    </w:p>
    <w:p w:rsidR="00865A60" w:rsidRPr="007B74B7" w:rsidRDefault="00865A60" w:rsidP="00865A60">
      <w:pPr>
        <w:tabs>
          <w:tab w:val="num" w:pos="0"/>
        </w:tabs>
        <w:rPr>
          <w:lang w:val="it-IT"/>
        </w:rPr>
      </w:pPr>
    </w:p>
    <w:p w:rsidR="00171817" w:rsidRPr="007B74B7" w:rsidRDefault="00171817" w:rsidP="002171C3">
      <w:pPr>
        <w:pStyle w:val="Heading4"/>
        <w:ind w:hanging="720"/>
        <w:rPr>
          <w:lang w:val="it-IT"/>
        </w:rPr>
      </w:pPr>
      <w:bookmarkStart w:id="764" w:name="_Toc336338224"/>
      <w:bookmarkStart w:id="765" w:name="_Toc353376004"/>
      <w:r w:rsidRPr="007B74B7">
        <w:rPr>
          <w:rFonts w:ascii="Tahoma" w:hAnsi="Tahoma" w:cs="Tahoma"/>
          <w:sz w:val="24"/>
          <w:szCs w:val="22"/>
          <w:lang w:val="it-IT"/>
        </w:rPr>
        <w:t>Contratto Enterprise 2011 e versioni successive</w:t>
      </w:r>
      <w:bookmarkEnd w:id="764"/>
      <w:bookmarkEnd w:id="765"/>
    </w:p>
    <w:p w:rsidR="00171817" w:rsidRPr="007B74B7" w:rsidRDefault="00171817" w:rsidP="00865A60">
      <w:pPr>
        <w:outlineLvl w:val="2"/>
        <w:rPr>
          <w:lang w:val="it-IT"/>
        </w:rPr>
      </w:pPr>
    </w:p>
    <w:p w:rsidR="00171817" w:rsidRPr="007B74B7" w:rsidRDefault="00171817" w:rsidP="0063466C">
      <w:pPr>
        <w:keepNext/>
        <w:tabs>
          <w:tab w:val="num" w:pos="720"/>
        </w:tabs>
        <w:spacing w:after="60"/>
        <w:ind w:left="360" w:hanging="360"/>
        <w:outlineLvl w:val="3"/>
        <w:rPr>
          <w:lang w:val="it-IT"/>
        </w:rPr>
      </w:pPr>
      <w:r w:rsidRPr="007B74B7">
        <w:rPr>
          <w:b/>
          <w:szCs w:val="20"/>
          <w:lang w:val="it-IT"/>
        </w:rPr>
        <w:t>Rinnovo della Copertura ai sensi del Medesimo Contratto</w:t>
      </w:r>
    </w:p>
    <w:p w:rsidR="00171817" w:rsidRPr="007B74B7" w:rsidRDefault="00171817" w:rsidP="00171817">
      <w:pPr>
        <w:tabs>
          <w:tab w:val="num" w:pos="0"/>
        </w:tabs>
        <w:rPr>
          <w:lang w:val="it-IT"/>
        </w:rPr>
      </w:pPr>
      <w:r w:rsidRPr="007B74B7">
        <w:rPr>
          <w:rFonts w:cs="Tahoma"/>
          <w:szCs w:val="20"/>
          <w:lang w:val="it-IT"/>
        </w:rPr>
        <w:t>Alla scadenza dell</w:t>
      </w:r>
      <w:r w:rsidR="007A1415" w:rsidRPr="007B74B7">
        <w:rPr>
          <w:rFonts w:cs="Tahoma"/>
          <w:szCs w:val="20"/>
          <w:lang w:val="it-IT"/>
        </w:rPr>
        <w:t>’</w:t>
      </w:r>
      <w:r w:rsidRPr="007B74B7">
        <w:rPr>
          <w:rFonts w:cs="Tahoma"/>
          <w:szCs w:val="20"/>
          <w:lang w:val="it-IT"/>
        </w:rPr>
        <w:t xml:space="preserve">iscrizione la società è idonea al rinnovo dei prezzi del Contratto Enterprise, che si basano solo su Software Assurance. Le società riceveranno una comunicazione scritta delle opzioni di rinnovo prima della scadenza della loro iscrizione. Le società potranno scegliere di rinnovare la loro iscrizione per un periodo di validità successivo di 36 mesi solari completi. Dopo il periodo di rinnovo, per rinnovare la copertura Software Assurance, la società dovrà sottoscrivere una nuova Iscrizione. Per rinnovare la copertura Software Assurance ai sensi della medesima iscrizione, le società dovranno presentare un ordine di rinnovo per Software Assurance (a seconda dei casi) per 1) tutti i prodotti Enterprise, i Prodotti della Piattaforma Applicativa, i Prodotti Core Infrastructure e Prodotti Aggiuntivi per </w:t>
      </w:r>
      <w:r w:rsidR="00504E26" w:rsidRPr="007B74B7">
        <w:rPr>
          <w:rFonts w:cs="Tahoma"/>
          <w:szCs w:val="20"/>
          <w:lang w:val="it-IT"/>
        </w:rPr>
        <w:t>I </w:t>
      </w:r>
      <w:r w:rsidRPr="007B74B7">
        <w:rPr>
          <w:rFonts w:cs="Tahoma"/>
          <w:szCs w:val="20"/>
          <w:lang w:val="it-IT"/>
        </w:rPr>
        <w:t>quali desiderano eseguire il rinnovo ed 2) eventuali Servizi Online, che consentono di tenere traccia delle transazioni (se applicabile).</w:t>
      </w:r>
      <w:r w:rsidR="008D782D" w:rsidRPr="007B74B7">
        <w:rPr>
          <w:rFonts w:cs="Tahoma"/>
          <w:szCs w:val="20"/>
          <w:lang w:val="it-IT"/>
        </w:rPr>
        <w:t xml:space="preserve"> </w:t>
      </w:r>
      <w:r w:rsidRPr="007B74B7">
        <w:rPr>
          <w:rFonts w:cs="Tahoma"/>
          <w:szCs w:val="20"/>
          <w:lang w:val="it-IT"/>
        </w:rPr>
        <w:t>Tale ordine dovrà essere presentato prima della scadenza del precedente periodo di validità. Il periodo di rinnovo avrà inizio il giorno successivo alla scadenza del precedente periodo di validità. Per informazioni su</w:t>
      </w:r>
      <w:r w:rsidR="00504E26" w:rsidRPr="007B74B7">
        <w:rPr>
          <w:rFonts w:cs="Tahoma"/>
          <w:szCs w:val="20"/>
          <w:lang w:val="it-IT"/>
        </w:rPr>
        <w:t> </w:t>
      </w:r>
      <w:r w:rsidRPr="007B74B7">
        <w:rPr>
          <w:rFonts w:cs="Tahoma"/>
          <w:szCs w:val="20"/>
          <w:lang w:val="it-IT"/>
        </w:rPr>
        <w:t>come rinnovare la copertura Software Assurance ai sensi di una successiva iscrizione, vedere di seguito.</w:t>
      </w:r>
    </w:p>
    <w:p w:rsidR="00171817" w:rsidRPr="007B74B7" w:rsidRDefault="00171817" w:rsidP="00171817">
      <w:pPr>
        <w:tabs>
          <w:tab w:val="num" w:pos="0"/>
        </w:tabs>
        <w:rPr>
          <w:lang w:val="it-IT"/>
        </w:rPr>
      </w:pPr>
    </w:p>
    <w:p w:rsidR="00171817" w:rsidRPr="007B74B7" w:rsidRDefault="00171817" w:rsidP="0063466C">
      <w:pPr>
        <w:keepNext/>
        <w:tabs>
          <w:tab w:val="num" w:pos="720"/>
        </w:tabs>
        <w:spacing w:after="60"/>
        <w:ind w:left="360" w:hanging="360"/>
        <w:outlineLvl w:val="3"/>
        <w:rPr>
          <w:lang w:val="it-IT"/>
        </w:rPr>
      </w:pPr>
      <w:r w:rsidRPr="007B74B7">
        <w:rPr>
          <w:b/>
          <w:szCs w:val="20"/>
          <w:lang w:val="it-IT"/>
        </w:rPr>
        <w:t>Rinnovo della Copertura con un Contratto Separato</w:t>
      </w:r>
    </w:p>
    <w:p w:rsidR="00171817" w:rsidRPr="007B74B7" w:rsidRDefault="00171817" w:rsidP="00171817">
      <w:pPr>
        <w:tabs>
          <w:tab w:val="num" w:pos="0"/>
        </w:tabs>
        <w:rPr>
          <w:lang w:val="it-IT"/>
        </w:rPr>
      </w:pPr>
      <w:r w:rsidRPr="007B74B7">
        <w:rPr>
          <w:rFonts w:cs="Tahoma"/>
          <w:color w:val="000000"/>
          <w:szCs w:val="20"/>
          <w:lang w:val="it-IT"/>
        </w:rPr>
        <w:t>La società potrà ordinare Software Assurance per qualsiasi prodotto senza dover contemporaneamente ordinare una Licenza a condizione che abbia ottenuto licenze perpetue per tale prodotto e la copertura Software Assurance sia attiva al momento del rinnovo.</w:t>
      </w:r>
      <w:r w:rsidR="008D782D" w:rsidRPr="007B74B7">
        <w:rPr>
          <w:rFonts w:cs="Tahoma"/>
          <w:color w:val="000000"/>
          <w:szCs w:val="20"/>
          <w:lang w:val="it-IT"/>
        </w:rPr>
        <w:t xml:space="preserve"> </w:t>
      </w:r>
      <w:r w:rsidRPr="007B74B7">
        <w:rPr>
          <w:rFonts w:cs="Tahoma"/>
          <w:color w:val="000000"/>
          <w:szCs w:val="20"/>
          <w:lang w:val="it-IT"/>
        </w:rPr>
        <w:t>Per i Prodotti Aggiuntivi, poiché</w:t>
      </w:r>
      <w:r w:rsidRPr="007B74B7">
        <w:rPr>
          <w:rFonts w:cs="Tahoma"/>
          <w:color w:val="000000"/>
          <w:szCs w:val="24"/>
          <w:lang w:val="it-IT"/>
        </w:rPr>
        <w:t xml:space="preserve"> la copertura viene rinnovata da un Contratto Open License, la società potrà inviare l</w:t>
      </w:r>
      <w:r w:rsidR="007A1415" w:rsidRPr="007B74B7">
        <w:rPr>
          <w:rFonts w:cs="Tahoma"/>
          <w:color w:val="000000"/>
          <w:szCs w:val="24"/>
          <w:lang w:val="it-IT"/>
        </w:rPr>
        <w:t>’</w:t>
      </w:r>
      <w:r w:rsidRPr="007B74B7">
        <w:rPr>
          <w:rFonts w:cs="Tahoma"/>
          <w:color w:val="000000"/>
          <w:szCs w:val="24"/>
          <w:lang w:val="it-IT"/>
        </w:rPr>
        <w:t>ordine fino a 90 giorni dopo la data di scadenza.</w:t>
      </w:r>
      <w:r w:rsidR="008D782D" w:rsidRPr="007B74B7">
        <w:rPr>
          <w:rFonts w:cs="Tahoma"/>
          <w:color w:val="000000"/>
          <w:szCs w:val="24"/>
          <w:lang w:val="it-IT"/>
        </w:rPr>
        <w:t xml:space="preserve"> </w:t>
      </w:r>
    </w:p>
    <w:p w:rsidR="00171817" w:rsidRPr="007B74B7" w:rsidRDefault="00171817" w:rsidP="00171817">
      <w:pPr>
        <w:tabs>
          <w:tab w:val="num" w:pos="0"/>
        </w:tabs>
        <w:rPr>
          <w:lang w:val="it-IT"/>
        </w:rPr>
      </w:pPr>
    </w:p>
    <w:p w:rsidR="00171817" w:rsidRPr="007B74B7" w:rsidRDefault="00171817" w:rsidP="0063466C">
      <w:pPr>
        <w:keepNext/>
        <w:tabs>
          <w:tab w:val="num" w:pos="720"/>
        </w:tabs>
        <w:spacing w:after="60"/>
        <w:ind w:left="360" w:hanging="360"/>
        <w:outlineLvl w:val="3"/>
        <w:rPr>
          <w:lang w:val="it-IT"/>
        </w:rPr>
      </w:pPr>
      <w:r w:rsidRPr="007B74B7">
        <w:rPr>
          <w:b/>
          <w:szCs w:val="20"/>
          <w:lang w:val="it-IT"/>
        </w:rPr>
        <w:t xml:space="preserve">Enrollment for Application Platform </w:t>
      </w:r>
    </w:p>
    <w:p w:rsidR="00171817" w:rsidRPr="007B74B7" w:rsidRDefault="00171817" w:rsidP="00171817">
      <w:pPr>
        <w:tabs>
          <w:tab w:val="num" w:pos="0"/>
        </w:tabs>
        <w:rPr>
          <w:lang w:val="it-IT"/>
        </w:rPr>
      </w:pPr>
      <w:r w:rsidRPr="007B74B7">
        <w:rPr>
          <w:rFonts w:cs="Tahoma"/>
          <w:szCs w:val="20"/>
          <w:lang w:val="it-IT"/>
        </w:rPr>
        <w:t>Le società potranno ordinare solo Software Assurance per i prodotti disponibili, senza dover contemporaneamente ordinare una nuova Licenza, come previsto nelle condizioni di iscrizione.</w:t>
      </w:r>
    </w:p>
    <w:p w:rsidR="00BD1A6A" w:rsidRPr="007B74B7" w:rsidRDefault="00BD1A6A" w:rsidP="00865A60">
      <w:pPr>
        <w:rPr>
          <w:lang w:val="it-IT"/>
        </w:rPr>
      </w:pPr>
      <w:bookmarkStart w:id="766" w:name="_Toc336338225"/>
    </w:p>
    <w:p w:rsidR="00171817" w:rsidRPr="007B74B7" w:rsidRDefault="00171817" w:rsidP="00951852">
      <w:pPr>
        <w:pStyle w:val="Heading4"/>
        <w:ind w:left="360"/>
        <w:rPr>
          <w:lang w:val="it-IT"/>
        </w:rPr>
      </w:pPr>
      <w:bookmarkStart w:id="767" w:name="_Toc353376005"/>
      <w:r w:rsidRPr="007B74B7">
        <w:rPr>
          <w:rFonts w:ascii="Tahoma" w:hAnsi="Tahoma" w:cs="Tahoma"/>
          <w:sz w:val="24"/>
          <w:lang w:val="it-IT"/>
        </w:rPr>
        <w:lastRenderedPageBreak/>
        <w:t>Contratto Enterprise Prima del 2011</w:t>
      </w:r>
      <w:bookmarkEnd w:id="766"/>
      <w:bookmarkEnd w:id="767"/>
    </w:p>
    <w:p w:rsidR="00171817" w:rsidRPr="007B74B7" w:rsidRDefault="00171817" w:rsidP="00171817">
      <w:pPr>
        <w:tabs>
          <w:tab w:val="num" w:pos="0"/>
        </w:tabs>
        <w:rPr>
          <w:lang w:val="it-IT"/>
        </w:rPr>
      </w:pPr>
    </w:p>
    <w:p w:rsidR="00171817" w:rsidRPr="007B74B7" w:rsidRDefault="00171817" w:rsidP="00171817">
      <w:pPr>
        <w:tabs>
          <w:tab w:val="num" w:pos="0"/>
        </w:tabs>
        <w:rPr>
          <w:lang w:val="it-IT"/>
        </w:rPr>
      </w:pPr>
      <w:r w:rsidRPr="007B74B7">
        <w:rPr>
          <w:rFonts w:cs="Tahoma"/>
          <w:szCs w:val="20"/>
          <w:lang w:val="it-IT"/>
        </w:rPr>
        <w:t>Alla scadenza dell</w:t>
      </w:r>
      <w:r w:rsidR="007A1415" w:rsidRPr="007B74B7">
        <w:rPr>
          <w:rFonts w:cs="Tahoma"/>
          <w:szCs w:val="20"/>
          <w:lang w:val="it-IT"/>
        </w:rPr>
        <w:t>’</w:t>
      </w:r>
      <w:r w:rsidRPr="007B74B7">
        <w:rPr>
          <w:rFonts w:cs="Tahoma"/>
          <w:szCs w:val="20"/>
          <w:lang w:val="it-IT"/>
        </w:rPr>
        <w:t>iscrizione la società è idonea al rinnovo dei prezzi del Contratto Enterprise, che si basano solo su Software Assurance. Le società riceveranno una comunicazione scritta delle opzioni di rinnovo 60 giorni prima della scadenza della loro iscrizione.</w:t>
      </w:r>
      <w:r w:rsidR="008D782D" w:rsidRPr="007B74B7">
        <w:rPr>
          <w:rFonts w:cs="Tahoma"/>
          <w:szCs w:val="20"/>
          <w:lang w:val="it-IT"/>
        </w:rPr>
        <w:t xml:space="preserve"> </w:t>
      </w:r>
      <w:r w:rsidRPr="007B74B7">
        <w:rPr>
          <w:rFonts w:cs="Tahoma"/>
          <w:szCs w:val="20"/>
          <w:lang w:val="it-IT"/>
        </w:rPr>
        <w:t>Per eseguire il rinnovo, le società dovranno sottoscrivere un</w:t>
      </w:r>
      <w:r w:rsidR="007A1415" w:rsidRPr="007B74B7">
        <w:rPr>
          <w:rFonts w:cs="Tahoma"/>
          <w:szCs w:val="20"/>
          <w:lang w:val="it-IT"/>
        </w:rPr>
        <w:t>’</w:t>
      </w:r>
      <w:r w:rsidRPr="007B74B7">
        <w:rPr>
          <w:rFonts w:cs="Tahoma"/>
          <w:szCs w:val="20"/>
          <w:lang w:val="it-IT"/>
        </w:rPr>
        <w:t xml:space="preserve">Iscrizione e un Contratto Enterprise 2011 o versione successiva nuovi. Il periodo di rinnovo avrà inizio il giorno successivo alla scadenza del precedente periodo di validità. </w:t>
      </w:r>
    </w:p>
    <w:p w:rsidR="00171817" w:rsidRPr="007B74B7" w:rsidRDefault="00171817" w:rsidP="00171817">
      <w:pPr>
        <w:tabs>
          <w:tab w:val="num" w:pos="0"/>
        </w:tabs>
        <w:rPr>
          <w:lang w:val="it-IT"/>
        </w:rPr>
      </w:pPr>
    </w:p>
    <w:p w:rsidR="003E606C" w:rsidRPr="007B74B7" w:rsidRDefault="00171817" w:rsidP="0063466C">
      <w:pPr>
        <w:tabs>
          <w:tab w:val="num" w:pos="0"/>
        </w:tabs>
        <w:spacing w:after="60"/>
        <w:rPr>
          <w:lang w:val="it-IT"/>
        </w:rPr>
      </w:pPr>
      <w:r w:rsidRPr="007B74B7">
        <w:rPr>
          <w:rFonts w:cs="Tahoma"/>
          <w:b/>
          <w:szCs w:val="20"/>
          <w:lang w:val="it-IT"/>
        </w:rPr>
        <w:t>Enrollment for Application Platform</w:t>
      </w:r>
    </w:p>
    <w:p w:rsidR="00171817" w:rsidRPr="007B74B7" w:rsidRDefault="00171817" w:rsidP="0063466C">
      <w:pPr>
        <w:tabs>
          <w:tab w:val="num" w:pos="0"/>
        </w:tabs>
        <w:rPr>
          <w:lang w:val="it-IT"/>
        </w:rPr>
      </w:pPr>
      <w:r w:rsidRPr="007B74B7">
        <w:rPr>
          <w:rFonts w:cs="Tahoma"/>
          <w:szCs w:val="20"/>
          <w:lang w:val="it-IT"/>
        </w:rPr>
        <w:t>Le società potranno ordinare solo Software Assurance per i prodotti disponibili, senza dover contemporaneamente ordinare una nuova Licenza, come previsto nelle condizioni di iscrizione.</w:t>
      </w:r>
    </w:p>
    <w:p w:rsidR="00865A60" w:rsidRPr="007B74B7" w:rsidRDefault="00865A60" w:rsidP="00865A60">
      <w:pPr>
        <w:rPr>
          <w:lang w:val="it-IT"/>
        </w:rPr>
      </w:pPr>
    </w:p>
    <w:p w:rsidR="00171817" w:rsidRPr="007B74B7" w:rsidRDefault="00171817" w:rsidP="00951852">
      <w:pPr>
        <w:pStyle w:val="Heading4"/>
        <w:ind w:left="360"/>
        <w:rPr>
          <w:lang w:val="it-IT"/>
        </w:rPr>
      </w:pPr>
      <w:bookmarkStart w:id="768" w:name="_Toc323159750"/>
      <w:bookmarkStart w:id="769" w:name="_Toc336338226"/>
      <w:bookmarkStart w:id="770" w:name="_Toc353376006"/>
      <w:r w:rsidRPr="007B74B7">
        <w:rPr>
          <w:rFonts w:ascii="Tahoma" w:hAnsi="Tahoma" w:cs="Tahoma"/>
          <w:sz w:val="24"/>
          <w:lang w:val="it-IT"/>
        </w:rPr>
        <w:t>Rinnovo Incrociato dei Programmi</w:t>
      </w:r>
      <w:bookmarkEnd w:id="768"/>
      <w:bookmarkEnd w:id="769"/>
      <w:bookmarkEnd w:id="770"/>
    </w:p>
    <w:p w:rsidR="00171817" w:rsidRPr="007B74B7" w:rsidRDefault="00171817" w:rsidP="00171817">
      <w:pPr>
        <w:tabs>
          <w:tab w:val="num" w:pos="0"/>
        </w:tabs>
        <w:rPr>
          <w:lang w:val="it-IT"/>
        </w:rPr>
      </w:pPr>
    </w:p>
    <w:p w:rsidR="00171817" w:rsidRPr="007B74B7" w:rsidRDefault="00171817" w:rsidP="00171817">
      <w:pPr>
        <w:pStyle w:val="AppendIndentSub"/>
        <w:tabs>
          <w:tab w:val="num" w:pos="0"/>
        </w:tabs>
        <w:ind w:left="0"/>
        <w:rPr>
          <w:spacing w:val="-2"/>
          <w:lang w:val="it-IT"/>
        </w:rPr>
      </w:pPr>
      <w:r w:rsidRPr="007B74B7">
        <w:rPr>
          <w:rFonts w:ascii="Tahoma" w:hAnsi="Tahoma" w:cs="Tahoma"/>
          <w:spacing w:val="-2"/>
          <w:sz w:val="18"/>
          <w:lang w:val="it-IT"/>
        </w:rPr>
        <w:t>Come eccezione alle regole precedenti le società potranno rinnovare la copertura Software Assurance tramite l</w:t>
      </w:r>
      <w:r w:rsidR="007A1415" w:rsidRPr="007B74B7">
        <w:rPr>
          <w:rFonts w:ascii="Tahoma" w:hAnsi="Tahoma" w:cs="Tahoma"/>
          <w:spacing w:val="-2"/>
          <w:sz w:val="18"/>
          <w:lang w:val="it-IT"/>
        </w:rPr>
        <w:t>’</w:t>
      </w:r>
      <w:r w:rsidRPr="007B74B7">
        <w:rPr>
          <w:rFonts w:ascii="Tahoma" w:hAnsi="Tahoma" w:cs="Tahoma"/>
          <w:spacing w:val="-2"/>
          <w:sz w:val="18"/>
          <w:lang w:val="it-IT"/>
        </w:rPr>
        <w:t>acquisto della stessa ai sensi di un contratto Open Value, Select, Select Plus o iscrizione Enterprise. Per le società che rinnovano Software Assurance ai sensi di un</w:t>
      </w:r>
      <w:r w:rsidR="007A1415" w:rsidRPr="007B74B7">
        <w:rPr>
          <w:rFonts w:ascii="Tahoma" w:hAnsi="Tahoma" w:cs="Tahoma"/>
          <w:spacing w:val="-2"/>
          <w:sz w:val="18"/>
          <w:lang w:val="it-IT"/>
        </w:rPr>
        <w:t>’</w:t>
      </w:r>
      <w:r w:rsidRPr="007B74B7">
        <w:rPr>
          <w:rFonts w:ascii="Tahoma" w:hAnsi="Tahoma" w:cs="Tahoma"/>
          <w:spacing w:val="-2"/>
          <w:sz w:val="18"/>
          <w:lang w:val="it-IT"/>
        </w:rPr>
        <w:t>iscrizione Enterprise esistente, l</w:t>
      </w:r>
      <w:r w:rsidR="007A1415" w:rsidRPr="007B74B7">
        <w:rPr>
          <w:rFonts w:ascii="Tahoma" w:hAnsi="Tahoma" w:cs="Tahoma"/>
          <w:spacing w:val="-2"/>
          <w:sz w:val="18"/>
          <w:lang w:val="it-IT"/>
        </w:rPr>
        <w:t>’</w:t>
      </w:r>
      <w:r w:rsidRPr="007B74B7">
        <w:rPr>
          <w:rFonts w:ascii="Tahoma" w:hAnsi="Tahoma" w:cs="Tahoma"/>
          <w:spacing w:val="-2"/>
          <w:sz w:val="18"/>
          <w:lang w:val="it-IT"/>
        </w:rPr>
        <w:t>eccezione si applica solo ai prodotti aggiuntivi e ai</w:t>
      </w:r>
      <w:r w:rsidR="00504E26" w:rsidRPr="007B74B7">
        <w:rPr>
          <w:rFonts w:ascii="Tahoma" w:hAnsi="Tahoma" w:cs="Tahoma"/>
          <w:spacing w:val="-2"/>
          <w:sz w:val="18"/>
          <w:lang w:val="it-IT"/>
        </w:rPr>
        <w:t> </w:t>
      </w:r>
      <w:r w:rsidRPr="007B74B7">
        <w:rPr>
          <w:rFonts w:ascii="Tahoma" w:hAnsi="Tahoma" w:cs="Tahoma"/>
          <w:spacing w:val="-2"/>
          <w:sz w:val="18"/>
          <w:lang w:val="it-IT"/>
        </w:rPr>
        <w:t>prodotti che non rientrano nell</w:t>
      </w:r>
      <w:r w:rsidR="007A1415" w:rsidRPr="007B74B7">
        <w:rPr>
          <w:rFonts w:ascii="Tahoma" w:hAnsi="Tahoma" w:cs="Tahoma"/>
          <w:spacing w:val="-2"/>
          <w:sz w:val="18"/>
          <w:lang w:val="it-IT"/>
        </w:rPr>
        <w:t>’</w:t>
      </w:r>
      <w:r w:rsidRPr="007B74B7">
        <w:rPr>
          <w:rFonts w:ascii="Tahoma" w:hAnsi="Tahoma" w:cs="Tahoma"/>
          <w:spacing w:val="-2"/>
          <w:sz w:val="18"/>
          <w:lang w:val="it-IT"/>
        </w:rPr>
        <w:t>impegno a livello aziendale. Le società dovranno effettuare un ordine di Software Assurance prima della data di scadenza della copertura precedente ai sensi di un contratto o un</w:t>
      </w:r>
      <w:r w:rsidR="007A1415" w:rsidRPr="007B74B7">
        <w:rPr>
          <w:rFonts w:ascii="Tahoma" w:hAnsi="Tahoma" w:cs="Tahoma"/>
          <w:spacing w:val="-2"/>
          <w:sz w:val="18"/>
          <w:lang w:val="it-IT"/>
        </w:rPr>
        <w:t>’</w:t>
      </w:r>
      <w:r w:rsidRPr="007B74B7">
        <w:rPr>
          <w:rFonts w:ascii="Tahoma" w:hAnsi="Tahoma" w:cs="Tahoma"/>
          <w:spacing w:val="-2"/>
          <w:sz w:val="18"/>
          <w:lang w:val="it-IT"/>
        </w:rPr>
        <w:t xml:space="preserve">iscrizione in essere. </w:t>
      </w:r>
    </w:p>
    <w:p w:rsidR="00171817" w:rsidRPr="007B74B7" w:rsidRDefault="00171817" w:rsidP="00171817">
      <w:pPr>
        <w:pStyle w:val="AppendIndentSub"/>
        <w:tabs>
          <w:tab w:val="num" w:pos="0"/>
        </w:tabs>
        <w:ind w:left="0"/>
        <w:rPr>
          <w:lang w:val="it-IT"/>
        </w:rPr>
      </w:pPr>
    </w:p>
    <w:p w:rsidR="00171817" w:rsidRPr="007B74B7" w:rsidRDefault="00171817" w:rsidP="00171817">
      <w:pPr>
        <w:pStyle w:val="AppendIndentSub"/>
        <w:tabs>
          <w:tab w:val="num" w:pos="0"/>
        </w:tabs>
        <w:ind w:left="0"/>
        <w:rPr>
          <w:lang w:val="it-IT"/>
        </w:rPr>
      </w:pPr>
      <w:r w:rsidRPr="007B74B7">
        <w:rPr>
          <w:rFonts w:ascii="Tahoma" w:hAnsi="Tahoma" w:cs="Tahoma"/>
          <w:sz w:val="18"/>
          <w:lang w:val="it-IT"/>
        </w:rPr>
        <w:t>Le società che effettuano il rinnovo ai sensi del Programma Open License dovranno effettuare l</w:t>
      </w:r>
      <w:r w:rsidR="007A1415" w:rsidRPr="007B74B7">
        <w:rPr>
          <w:rFonts w:ascii="Tahoma" w:hAnsi="Tahoma" w:cs="Tahoma"/>
          <w:sz w:val="18"/>
          <w:lang w:val="it-IT"/>
        </w:rPr>
        <w:t>’</w:t>
      </w:r>
      <w:r w:rsidRPr="007B74B7">
        <w:rPr>
          <w:rFonts w:ascii="Tahoma" w:hAnsi="Tahoma" w:cs="Tahoma"/>
          <w:sz w:val="18"/>
          <w:lang w:val="it-IT"/>
        </w:rPr>
        <w:t>ordine entro 90 giorni dalla data di scadenza della copertura precedente. In caso di versioni del Contratto del 2008 o precedenti, l</w:t>
      </w:r>
      <w:r w:rsidR="007A1415" w:rsidRPr="007B74B7">
        <w:rPr>
          <w:rFonts w:ascii="Tahoma" w:hAnsi="Tahoma" w:cs="Tahoma"/>
          <w:sz w:val="18"/>
          <w:lang w:val="it-IT"/>
        </w:rPr>
        <w:t>’</w:t>
      </w:r>
      <w:r w:rsidRPr="007B74B7">
        <w:rPr>
          <w:rFonts w:ascii="Tahoma" w:hAnsi="Tahoma" w:cs="Tahoma"/>
          <w:sz w:val="18"/>
          <w:lang w:val="it-IT"/>
        </w:rPr>
        <w:t>ordine dovrà essere effettuato entro 30 giorni dalla scadenza della copertura precedente (90 giorni se il rinnovo viene effettuato sulla base del Programma Open License).</w:t>
      </w:r>
    </w:p>
    <w:p w:rsidR="00171817" w:rsidRPr="007B74B7" w:rsidRDefault="00171817" w:rsidP="00171817">
      <w:pPr>
        <w:pStyle w:val="AppendIndentSub"/>
        <w:tabs>
          <w:tab w:val="num" w:pos="0"/>
        </w:tabs>
        <w:ind w:left="0"/>
        <w:rPr>
          <w:lang w:val="it-IT"/>
        </w:rPr>
      </w:pPr>
    </w:p>
    <w:p w:rsidR="00171817" w:rsidRPr="007B74B7" w:rsidRDefault="00171817" w:rsidP="00171817">
      <w:pPr>
        <w:pStyle w:val="AppendIndentSub"/>
        <w:tabs>
          <w:tab w:val="num" w:pos="0"/>
        </w:tabs>
        <w:ind w:left="0"/>
        <w:rPr>
          <w:lang w:val="it-IT"/>
        </w:rPr>
      </w:pPr>
      <w:r w:rsidRPr="007B74B7">
        <w:rPr>
          <w:rFonts w:ascii="Tahoma" w:hAnsi="Tahoma" w:cs="Tahoma"/>
          <w:sz w:val="18"/>
          <w:szCs w:val="18"/>
          <w:lang w:val="it-IT"/>
        </w:rPr>
        <w:t>Per tutti i programmi, ad eccezione di Select Plus, l</w:t>
      </w:r>
      <w:r w:rsidR="007A1415" w:rsidRPr="007B74B7">
        <w:rPr>
          <w:rFonts w:ascii="Tahoma" w:hAnsi="Tahoma" w:cs="Tahoma"/>
          <w:sz w:val="18"/>
          <w:szCs w:val="18"/>
          <w:lang w:val="it-IT"/>
        </w:rPr>
        <w:t>’</w:t>
      </w:r>
      <w:r w:rsidRPr="007B74B7">
        <w:rPr>
          <w:rFonts w:ascii="Tahoma" w:hAnsi="Tahoma" w:cs="Tahoma"/>
          <w:sz w:val="18"/>
          <w:szCs w:val="18"/>
          <w:lang w:val="it-IT"/>
        </w:rPr>
        <w:t>ordine dovrà riguardare il periodo di validità residuo del contratto o dell</w:t>
      </w:r>
      <w:r w:rsidR="007A1415" w:rsidRPr="007B74B7">
        <w:rPr>
          <w:rFonts w:ascii="Tahoma" w:hAnsi="Tahoma" w:cs="Tahoma"/>
          <w:sz w:val="18"/>
          <w:szCs w:val="18"/>
          <w:lang w:val="it-IT"/>
        </w:rPr>
        <w:t>’</w:t>
      </w:r>
      <w:r w:rsidRPr="007B74B7">
        <w:rPr>
          <w:rFonts w:ascii="Tahoma" w:hAnsi="Tahoma" w:cs="Tahoma"/>
          <w:sz w:val="18"/>
          <w:szCs w:val="18"/>
          <w:lang w:val="it-IT"/>
        </w:rPr>
        <w:t>iscrizione in essere (ad esempio, SA x il numero di anni residui del periodo di validità dell</w:t>
      </w:r>
      <w:r w:rsidR="007A1415" w:rsidRPr="007B74B7">
        <w:rPr>
          <w:rFonts w:ascii="Tahoma" w:hAnsi="Tahoma" w:cs="Tahoma"/>
          <w:sz w:val="18"/>
          <w:szCs w:val="18"/>
          <w:lang w:val="it-IT"/>
        </w:rPr>
        <w:t>’</w:t>
      </w:r>
      <w:r w:rsidRPr="007B74B7">
        <w:rPr>
          <w:rFonts w:ascii="Tahoma" w:hAnsi="Tahoma" w:cs="Tahoma"/>
          <w:sz w:val="18"/>
          <w:szCs w:val="18"/>
          <w:lang w:val="it-IT"/>
        </w:rPr>
        <w:t>iscrizione a partire dalla data dell</w:t>
      </w:r>
      <w:r w:rsidR="007A1415" w:rsidRPr="007B74B7">
        <w:rPr>
          <w:rFonts w:ascii="Tahoma" w:hAnsi="Tahoma" w:cs="Tahoma"/>
          <w:sz w:val="18"/>
          <w:szCs w:val="18"/>
          <w:lang w:val="it-IT"/>
        </w:rPr>
        <w:t>’</w:t>
      </w:r>
      <w:r w:rsidRPr="007B74B7">
        <w:rPr>
          <w:rFonts w:ascii="Tahoma" w:hAnsi="Tahoma" w:cs="Tahoma"/>
          <w:sz w:val="18"/>
          <w:szCs w:val="18"/>
          <w:lang w:val="it-IT"/>
        </w:rPr>
        <w:t>ordine, incluso l</w:t>
      </w:r>
      <w:r w:rsidR="007A1415" w:rsidRPr="007B74B7">
        <w:rPr>
          <w:rFonts w:ascii="Tahoma" w:hAnsi="Tahoma" w:cs="Tahoma"/>
          <w:sz w:val="18"/>
          <w:szCs w:val="18"/>
          <w:lang w:val="it-IT"/>
        </w:rPr>
        <w:t>’</w:t>
      </w:r>
      <w:r w:rsidRPr="007B74B7">
        <w:rPr>
          <w:rFonts w:ascii="Tahoma" w:hAnsi="Tahoma" w:cs="Tahoma"/>
          <w:sz w:val="18"/>
          <w:szCs w:val="18"/>
          <w:lang w:val="it-IT"/>
        </w:rPr>
        <w:t>eventuale anno parziale). In Select Plus il periodo di validità dell</w:t>
      </w:r>
      <w:r w:rsidR="007A1415" w:rsidRPr="007B74B7">
        <w:rPr>
          <w:rFonts w:ascii="Tahoma" w:hAnsi="Tahoma" w:cs="Tahoma"/>
          <w:sz w:val="18"/>
          <w:szCs w:val="18"/>
          <w:lang w:val="it-IT"/>
        </w:rPr>
        <w:t>’</w:t>
      </w:r>
      <w:r w:rsidRPr="007B74B7">
        <w:rPr>
          <w:rFonts w:ascii="Tahoma" w:hAnsi="Tahoma" w:cs="Tahoma"/>
          <w:sz w:val="18"/>
          <w:szCs w:val="18"/>
          <w:lang w:val="it-IT"/>
        </w:rPr>
        <w:t>ordine sarà di 36</w:t>
      </w:r>
      <w:r w:rsidR="00FB7A50" w:rsidRPr="007B74B7">
        <w:rPr>
          <w:rFonts w:ascii="Tahoma" w:hAnsi="Tahoma" w:cs="Tahoma"/>
          <w:sz w:val="18"/>
          <w:szCs w:val="18"/>
          <w:lang w:val="it-IT"/>
        </w:rPr>
        <w:t> </w:t>
      </w:r>
      <w:r w:rsidRPr="007B74B7">
        <w:rPr>
          <w:rFonts w:ascii="Tahoma" w:hAnsi="Tahoma" w:cs="Tahoma"/>
          <w:sz w:val="18"/>
          <w:szCs w:val="18"/>
          <w:lang w:val="it-IT"/>
        </w:rPr>
        <w:t>mesi.</w:t>
      </w:r>
      <w:r w:rsidR="008D782D" w:rsidRPr="007B74B7">
        <w:rPr>
          <w:rFonts w:ascii="Tahoma" w:hAnsi="Tahoma" w:cs="Tahoma"/>
          <w:sz w:val="18"/>
          <w:szCs w:val="18"/>
          <w:lang w:val="it-IT"/>
        </w:rPr>
        <w:t xml:space="preserve"> </w:t>
      </w:r>
      <w:r w:rsidRPr="007B74B7">
        <w:rPr>
          <w:rFonts w:ascii="Tahoma" w:hAnsi="Tahoma" w:cs="Tahoma"/>
          <w:sz w:val="18"/>
          <w:szCs w:val="18"/>
          <w:lang w:val="it-IT"/>
        </w:rPr>
        <w:t>Poiché i prezzi di Software Assurance non saranno suddivisi in misura proporzionale per l</w:t>
      </w:r>
      <w:r w:rsidR="007A1415" w:rsidRPr="007B74B7">
        <w:rPr>
          <w:rFonts w:ascii="Tahoma" w:hAnsi="Tahoma" w:cs="Tahoma"/>
          <w:sz w:val="18"/>
          <w:szCs w:val="18"/>
          <w:lang w:val="it-IT"/>
        </w:rPr>
        <w:t>’</w:t>
      </w:r>
      <w:r w:rsidRPr="007B74B7">
        <w:rPr>
          <w:rFonts w:ascii="Tahoma" w:hAnsi="Tahoma" w:cs="Tahoma"/>
          <w:sz w:val="18"/>
          <w:szCs w:val="18"/>
          <w:lang w:val="it-IT"/>
        </w:rPr>
        <w:t>eventuale anno parziale di copertura, le società dovranno programmare gli ordini tenendo conto delle ricorrenze della data di entrata</w:t>
      </w:r>
      <w:r w:rsidR="00504E26" w:rsidRPr="007B74B7">
        <w:rPr>
          <w:rFonts w:ascii="Tahoma" w:hAnsi="Tahoma" w:cs="Tahoma"/>
          <w:sz w:val="18"/>
          <w:szCs w:val="18"/>
          <w:lang w:val="it-IT"/>
        </w:rPr>
        <w:t> </w:t>
      </w:r>
      <w:r w:rsidRPr="007B74B7">
        <w:rPr>
          <w:rFonts w:ascii="Tahoma" w:hAnsi="Tahoma" w:cs="Tahoma"/>
          <w:sz w:val="18"/>
          <w:szCs w:val="18"/>
          <w:lang w:val="it-IT"/>
        </w:rPr>
        <w:t>in vigore del contratto in essere. Per le versioni del Contratto 2008 e precedenti, qualora la copertura venga rinnovata nei 30 giorni precedenti (90 giorni se il rinnovo viene effettuato sulla base del Programma Open License), essa sarà attiva durante il periodo di tempo che intercorre tra la data di scadenza della precedente e la data di inizio di quella nuova. Le società saranno idonee a ricevere gli aggiornamenti resi disponibili durante tale periodo a condizione che la copertura venga rinnovata. </w:t>
      </w:r>
    </w:p>
    <w:p w:rsidR="00023FE7" w:rsidRPr="007B74B7" w:rsidRDefault="00023FE7">
      <w:pPr>
        <w:pStyle w:val="AppendixIndent"/>
        <w:tabs>
          <w:tab w:val="num" w:pos="0"/>
        </w:tabs>
        <w:ind w:left="0"/>
        <w:rPr>
          <w:lang w:val="it-IT"/>
        </w:rPr>
      </w:pPr>
    </w:p>
    <w:p w:rsidR="00023FE7" w:rsidRPr="007B74B7" w:rsidRDefault="00023FE7">
      <w:pPr>
        <w:rPr>
          <w:lang w:val="it-IT"/>
        </w:rPr>
      </w:pPr>
      <w:r w:rsidRPr="007B74B7">
        <w:rPr>
          <w:rFonts w:cs="Tahoma"/>
          <w:lang w:val="it-IT"/>
        </w:rPr>
        <w:br w:type="page"/>
      </w:r>
    </w:p>
    <w:p w:rsidR="00EA1A1E" w:rsidRPr="007B74B7" w:rsidRDefault="00EA1A1E" w:rsidP="003B23CC">
      <w:pPr>
        <w:pStyle w:val="Heading1"/>
        <w:rPr>
          <w:lang w:val="it-IT"/>
        </w:rPr>
      </w:pPr>
      <w:bookmarkStart w:id="771" w:name="_Toc336338227"/>
      <w:bookmarkStart w:id="772" w:name="_Toc353376007"/>
      <w:r w:rsidRPr="007B74B7">
        <w:rPr>
          <w:lang w:val="it-IT"/>
        </w:rPr>
        <w:lastRenderedPageBreak/>
        <w:t>ARTICOLO 7</w:t>
      </w:r>
      <w:r w:rsidR="00FD7C0D" w:rsidRPr="007B74B7">
        <w:rPr>
          <w:lang w:val="it-IT"/>
        </w:rPr>
        <w:t xml:space="preserve"> – </w:t>
      </w:r>
      <w:r w:rsidRPr="007B74B7">
        <w:rPr>
          <w:lang w:val="it-IT"/>
        </w:rPr>
        <w:t>Vantaggi di Software Assurance (SA) e dei Servizi Online (OLS)</w:t>
      </w:r>
      <w:bookmarkEnd w:id="771"/>
      <w:bookmarkEnd w:id="772"/>
    </w:p>
    <w:p w:rsidR="00EA1A1E" w:rsidRPr="007B74B7" w:rsidRDefault="00EA1A1E" w:rsidP="00EA1A1E">
      <w:pPr>
        <w:rPr>
          <w:lang w:val="it-IT"/>
        </w:rPr>
      </w:pPr>
    </w:p>
    <w:p w:rsidR="00E7419A" w:rsidRPr="007B74B7" w:rsidRDefault="00E7419A" w:rsidP="00E7419A">
      <w:pPr>
        <w:spacing w:after="60"/>
        <w:rPr>
          <w:lang w:val="it-IT"/>
        </w:rPr>
      </w:pPr>
      <w:r w:rsidRPr="007B74B7">
        <w:rPr>
          <w:rFonts w:cs="Tahoma"/>
          <w:szCs w:val="20"/>
          <w:lang w:val="it-IT"/>
        </w:rPr>
        <w:t>Nel presente articolo sono illustrati i vantaggi di Software Assurance e dei Servizi Online.</w:t>
      </w:r>
      <w:r w:rsidR="008D782D" w:rsidRPr="007B74B7">
        <w:rPr>
          <w:rFonts w:cs="Tahoma"/>
          <w:szCs w:val="20"/>
          <w:lang w:val="it-IT"/>
        </w:rPr>
        <w:t xml:space="preserve"> </w:t>
      </w:r>
    </w:p>
    <w:p w:rsidR="00EA1A1E" w:rsidRPr="007B74B7" w:rsidRDefault="00EA1A1E" w:rsidP="00BA0707">
      <w:pPr>
        <w:rPr>
          <w:lang w:val="it-IT"/>
        </w:rPr>
      </w:pPr>
    </w:p>
    <w:p w:rsidR="003E606C" w:rsidRPr="007B74B7" w:rsidRDefault="003E606C" w:rsidP="0063466C">
      <w:pPr>
        <w:spacing w:after="60"/>
        <w:rPr>
          <w:lang w:val="it-IT"/>
        </w:rPr>
      </w:pPr>
      <w:r w:rsidRPr="007B74B7">
        <w:rPr>
          <w:rFonts w:cs="Tahoma"/>
          <w:b/>
          <w:szCs w:val="20"/>
          <w:lang w:val="it-IT"/>
        </w:rPr>
        <w:t>Vantaggi di Software Assurance</w:t>
      </w:r>
    </w:p>
    <w:p w:rsidR="00E7419A" w:rsidRPr="007B74B7" w:rsidRDefault="00E7419A" w:rsidP="0063466C">
      <w:pPr>
        <w:rPr>
          <w:lang w:val="it-IT"/>
        </w:rPr>
      </w:pPr>
      <w:r w:rsidRPr="007B74B7">
        <w:rPr>
          <w:rFonts w:cs="Tahoma"/>
          <w:szCs w:val="20"/>
          <w:lang w:val="it-IT"/>
        </w:rPr>
        <w:t>Questi vantaggi variano in base al prodotto e al pool di prodotti. L</w:t>
      </w:r>
      <w:r w:rsidR="007A1415" w:rsidRPr="007B74B7">
        <w:rPr>
          <w:rFonts w:cs="Tahoma"/>
          <w:szCs w:val="20"/>
          <w:lang w:val="it-IT"/>
        </w:rPr>
        <w:t>’</w:t>
      </w:r>
      <w:r w:rsidRPr="007B74B7">
        <w:rPr>
          <w:rFonts w:cs="Tahoma"/>
          <w:szCs w:val="20"/>
          <w:lang w:val="it-IT"/>
        </w:rPr>
        <w:t>accesso da parte delle società e i relativi diritti di</w:t>
      </w:r>
      <w:r w:rsidR="00CF63A5" w:rsidRPr="007B74B7">
        <w:rPr>
          <w:rFonts w:cs="Tahoma"/>
          <w:szCs w:val="20"/>
          <w:lang w:val="it-IT"/>
        </w:rPr>
        <w:t> </w:t>
      </w:r>
      <w:r w:rsidRPr="007B74B7">
        <w:rPr>
          <w:rFonts w:cs="Tahoma"/>
          <w:szCs w:val="20"/>
          <w:lang w:val="it-IT"/>
        </w:rPr>
        <w:t>utilizzo dei loro vantaggi di Software Assurance terminano, in genere, alla scadenza della copertura Software Assurance. La maggior parte dei vantaggi Software Assurance viene assegnata all</w:t>
      </w:r>
      <w:r w:rsidR="007A1415" w:rsidRPr="007B74B7">
        <w:rPr>
          <w:rFonts w:cs="Tahoma"/>
          <w:szCs w:val="20"/>
          <w:lang w:val="it-IT"/>
        </w:rPr>
        <w:t>’</w:t>
      </w:r>
      <w:r w:rsidRPr="007B74B7">
        <w:rPr>
          <w:rFonts w:cs="Tahoma"/>
          <w:szCs w:val="20"/>
          <w:lang w:val="it-IT"/>
        </w:rPr>
        <w:t>inizio del periodo di copertura.</w:t>
      </w:r>
      <w:r w:rsidR="008D782D" w:rsidRPr="007B74B7">
        <w:rPr>
          <w:rFonts w:cs="Tahoma"/>
          <w:szCs w:val="20"/>
          <w:lang w:val="it-IT"/>
        </w:rPr>
        <w:t xml:space="preserve"> </w:t>
      </w:r>
      <w:r w:rsidRPr="007B74B7">
        <w:rPr>
          <w:rFonts w:cs="Tahoma"/>
          <w:szCs w:val="20"/>
          <w:lang w:val="it-IT"/>
        </w:rPr>
        <w:t>Le</w:t>
      </w:r>
      <w:r w:rsidR="00CF63A5" w:rsidRPr="007B74B7">
        <w:rPr>
          <w:rFonts w:cs="Tahoma"/>
          <w:szCs w:val="20"/>
          <w:lang w:val="it-IT"/>
        </w:rPr>
        <w:t> </w:t>
      </w:r>
      <w:r w:rsidRPr="007B74B7">
        <w:rPr>
          <w:rFonts w:cs="Tahoma"/>
          <w:szCs w:val="20"/>
          <w:lang w:val="it-IT"/>
        </w:rPr>
        <w:t>eventuali modifiche verificatesi durante il periodo di copertura (ad esempio acquisti aggiuntivi, resi o transizioni dei servizi online) potranno comportare variazioni nell</w:t>
      </w:r>
      <w:r w:rsidR="007A1415" w:rsidRPr="007B74B7">
        <w:rPr>
          <w:rFonts w:cs="Tahoma"/>
          <w:szCs w:val="20"/>
          <w:lang w:val="it-IT"/>
        </w:rPr>
        <w:t>’</w:t>
      </w:r>
      <w:r w:rsidRPr="007B74B7">
        <w:rPr>
          <w:rFonts w:cs="Tahoma"/>
          <w:szCs w:val="20"/>
          <w:lang w:val="it-IT"/>
        </w:rPr>
        <w:t>idoneità a ricevere i vantaggi.</w:t>
      </w:r>
    </w:p>
    <w:p w:rsidR="00BA0707" w:rsidRPr="007B74B7" w:rsidRDefault="00BA0707" w:rsidP="00BA0707">
      <w:pPr>
        <w:rPr>
          <w:lang w:val="it-IT"/>
        </w:rPr>
      </w:pPr>
    </w:p>
    <w:p w:rsidR="0063466C" w:rsidRPr="007B74B7" w:rsidRDefault="0063466C" w:rsidP="0063466C">
      <w:pPr>
        <w:spacing w:after="60"/>
        <w:rPr>
          <w:lang w:val="it-IT"/>
        </w:rPr>
      </w:pPr>
      <w:r w:rsidRPr="007B74B7">
        <w:rPr>
          <w:rFonts w:cs="Tahoma"/>
          <w:b/>
          <w:szCs w:val="20"/>
          <w:lang w:val="it-IT"/>
        </w:rPr>
        <w:t>Vantaggi dei Servizi Online</w:t>
      </w:r>
    </w:p>
    <w:p w:rsidR="00E7419A" w:rsidRPr="007B74B7" w:rsidRDefault="009F1A2B" w:rsidP="0063466C">
      <w:pPr>
        <w:rPr>
          <w:lang w:val="it-IT"/>
        </w:rPr>
      </w:pPr>
      <w:r w:rsidRPr="007B74B7">
        <w:rPr>
          <w:rFonts w:cs="Tahoma"/>
          <w:szCs w:val="20"/>
          <w:lang w:val="it-IT"/>
        </w:rPr>
        <w:t>Tali vantaggi variano in base al prodotto.</w:t>
      </w:r>
      <w:r w:rsidR="008D782D" w:rsidRPr="007B74B7">
        <w:rPr>
          <w:rFonts w:cs="Tahoma"/>
          <w:szCs w:val="20"/>
          <w:lang w:val="it-IT"/>
        </w:rPr>
        <w:t xml:space="preserve"> </w:t>
      </w:r>
      <w:r w:rsidRPr="007B74B7">
        <w:rPr>
          <w:rFonts w:cs="Tahoma"/>
          <w:szCs w:val="20"/>
          <w:lang w:val="it-IT"/>
        </w:rPr>
        <w:t>L</w:t>
      </w:r>
      <w:r w:rsidR="007A1415" w:rsidRPr="007B74B7">
        <w:rPr>
          <w:rFonts w:cs="Tahoma"/>
          <w:szCs w:val="20"/>
          <w:lang w:val="it-IT"/>
        </w:rPr>
        <w:t>’</w:t>
      </w:r>
      <w:r w:rsidRPr="007B74B7">
        <w:rPr>
          <w:rFonts w:cs="Tahoma"/>
          <w:szCs w:val="20"/>
          <w:lang w:val="it-IT"/>
        </w:rPr>
        <w:t xml:space="preserve">accesso da parte delle società e i relativi diritti di utilizzo dei loro </w:t>
      </w:r>
      <w:r w:rsidR="00487D97" w:rsidRPr="007B74B7">
        <w:rPr>
          <w:rFonts w:cs="Tahoma"/>
          <w:szCs w:val="20"/>
          <w:lang w:val="it-IT"/>
        </w:rPr>
        <w:br/>
      </w:r>
      <w:r w:rsidRPr="007B74B7">
        <w:rPr>
          <w:rFonts w:cs="Tahoma"/>
          <w:szCs w:val="20"/>
          <w:lang w:val="it-IT"/>
        </w:rPr>
        <w:t xml:space="preserve">vantaggi dei Servizi Online terminano alla scadenza della rispettiva licenza di abbonamento ai servizi online. </w:t>
      </w:r>
    </w:p>
    <w:p w:rsidR="009F1A2B" w:rsidRPr="007B74B7" w:rsidRDefault="009F1A2B" w:rsidP="0063466C">
      <w:pPr>
        <w:rPr>
          <w:lang w:val="it-IT"/>
        </w:rPr>
      </w:pPr>
    </w:p>
    <w:p w:rsidR="00E7419A" w:rsidRPr="007B74B7" w:rsidRDefault="00E7419A" w:rsidP="0063466C">
      <w:pPr>
        <w:rPr>
          <w:lang w:val="it-IT"/>
        </w:rPr>
      </w:pPr>
      <w:r w:rsidRPr="007B74B7">
        <w:rPr>
          <w:rFonts w:cs="Tahoma"/>
          <w:szCs w:val="20"/>
          <w:lang w:val="it-IT"/>
        </w:rPr>
        <w:t>Eventuali eccezioni alle regole precedenti sono riportate negli articoli che seguono riguardanti i singoli vantaggi.</w:t>
      </w:r>
      <w:r w:rsidR="008D782D" w:rsidRPr="007B74B7">
        <w:rPr>
          <w:rFonts w:cs="Tahoma"/>
          <w:szCs w:val="20"/>
          <w:lang w:val="it-IT"/>
        </w:rPr>
        <w:t xml:space="preserve"> </w:t>
      </w:r>
      <w:r w:rsidRPr="007B74B7">
        <w:rPr>
          <w:rFonts w:cs="Tahoma"/>
          <w:szCs w:val="20"/>
          <w:lang w:val="it-IT"/>
        </w:rPr>
        <w:t>I</w:t>
      </w:r>
      <w:r w:rsidR="00CF63A5" w:rsidRPr="007B74B7">
        <w:rPr>
          <w:rFonts w:cs="Tahoma"/>
          <w:szCs w:val="20"/>
          <w:lang w:val="it-IT"/>
        </w:rPr>
        <w:t> </w:t>
      </w:r>
      <w:r w:rsidRPr="007B74B7">
        <w:rPr>
          <w:rFonts w:cs="Tahoma"/>
          <w:szCs w:val="20"/>
          <w:lang w:val="it-IT"/>
        </w:rPr>
        <w:t>vantaggi sono soggetti a modifiche e possono essere interrotti senza preavviso e in qualsiasi momento. La</w:t>
      </w:r>
      <w:r w:rsidR="00487D97" w:rsidRPr="007B74B7">
        <w:rPr>
          <w:rFonts w:cs="Tahoma"/>
          <w:szCs w:val="20"/>
          <w:lang w:val="it-IT"/>
        </w:rPr>
        <w:t> </w:t>
      </w:r>
      <w:r w:rsidRPr="007B74B7">
        <w:rPr>
          <w:rFonts w:cs="Tahoma"/>
          <w:szCs w:val="20"/>
          <w:lang w:val="it-IT"/>
        </w:rPr>
        <w:t xml:space="preserve">disponibilità dei vantaggi varia in base al programma, alla regione, alle opzioni di adempimento e alla lingua. </w:t>
      </w:r>
    </w:p>
    <w:p w:rsidR="00023FE7" w:rsidRPr="007B74B7" w:rsidRDefault="00023FE7" w:rsidP="0063466C">
      <w:pPr>
        <w:pStyle w:val="AppendixBodyText"/>
        <w:spacing w:after="0"/>
        <w:rPr>
          <w:lang w:val="it-IT"/>
        </w:rPr>
      </w:pPr>
    </w:p>
    <w:p w:rsidR="00023FE7" w:rsidRPr="007B74B7" w:rsidRDefault="00023FE7" w:rsidP="0063466C">
      <w:pPr>
        <w:pStyle w:val="AppendixBodyText"/>
        <w:spacing w:after="0"/>
        <w:rPr>
          <w:lang w:val="it-IT"/>
        </w:rPr>
      </w:pPr>
      <w:r w:rsidRPr="007B74B7">
        <w:rPr>
          <w:rFonts w:ascii="Tahoma" w:hAnsi="Tahoma" w:cs="Tahoma"/>
          <w:sz w:val="18"/>
          <w:lang w:val="it-IT"/>
        </w:rPr>
        <w:t>I vantaggi di Software Assurance e dei Servizi Online sono allocati nei diversi programmi secondo la modalità visualizzata nella seguente tabella:</w:t>
      </w:r>
    </w:p>
    <w:p w:rsidR="00023FE7" w:rsidRPr="007B74B7" w:rsidRDefault="00023FE7" w:rsidP="00BA0707">
      <w:pPr>
        <w:pStyle w:val="AppendixBodyText"/>
        <w:spacing w:after="0"/>
        <w:rPr>
          <w:lang w:val="it-IT"/>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447"/>
        <w:gridCol w:w="1350"/>
        <w:gridCol w:w="1440"/>
        <w:gridCol w:w="1620"/>
        <w:gridCol w:w="2430"/>
        <w:gridCol w:w="1350"/>
      </w:tblGrid>
      <w:tr w:rsidR="009233CA" w:rsidRPr="00BD7CEA" w:rsidTr="00C710F3">
        <w:trPr>
          <w:trHeight w:val="178"/>
        </w:trPr>
        <w:tc>
          <w:tcPr>
            <w:tcW w:w="1447" w:type="dxa"/>
            <w:shd w:val="clear" w:color="auto" w:fill="FFCC99"/>
            <w:vAlign w:val="center"/>
          </w:tcPr>
          <w:p w:rsidR="00394D2B" w:rsidRPr="00BD7CEA" w:rsidRDefault="00394D2B" w:rsidP="00FF3343">
            <w:pPr>
              <w:pStyle w:val="AppendixTableHeadings"/>
              <w:jc w:val="left"/>
              <w:rPr>
                <w:rFonts w:ascii="Tahoma" w:hAnsi="Tahoma" w:cs="Tahoma"/>
                <w:sz w:val="20"/>
                <w:szCs w:val="20"/>
              </w:rPr>
            </w:pPr>
            <w:r w:rsidRPr="00BD7CEA">
              <w:rPr>
                <w:rFonts w:ascii="Tahoma" w:hAnsi="Tahoma" w:cs="Tahoma"/>
                <w:sz w:val="20"/>
                <w:szCs w:val="20"/>
              </w:rPr>
              <w:t>Programmi</w:t>
            </w:r>
          </w:p>
        </w:tc>
        <w:tc>
          <w:tcPr>
            <w:tcW w:w="1350" w:type="dxa"/>
            <w:shd w:val="clear" w:color="auto" w:fill="FFCC99"/>
            <w:vAlign w:val="center"/>
          </w:tcPr>
          <w:p w:rsidR="00394D2B" w:rsidRPr="00BD7CEA" w:rsidRDefault="00394D2B" w:rsidP="00FF3343">
            <w:pPr>
              <w:pStyle w:val="AppendixTableHeadings"/>
              <w:jc w:val="left"/>
              <w:rPr>
                <w:rFonts w:ascii="Tahoma" w:hAnsi="Tahoma" w:cs="Tahoma"/>
                <w:sz w:val="20"/>
                <w:szCs w:val="20"/>
              </w:rPr>
            </w:pPr>
            <w:r w:rsidRPr="00BD7CEA">
              <w:rPr>
                <w:rFonts w:ascii="Tahoma" w:hAnsi="Tahoma" w:cs="Tahoma"/>
                <w:sz w:val="20"/>
                <w:szCs w:val="20"/>
              </w:rPr>
              <w:t>Licenza Open</w:t>
            </w:r>
          </w:p>
        </w:tc>
        <w:tc>
          <w:tcPr>
            <w:tcW w:w="1440" w:type="dxa"/>
            <w:shd w:val="clear" w:color="auto" w:fill="FFCC99"/>
            <w:vAlign w:val="center"/>
          </w:tcPr>
          <w:p w:rsidR="00394D2B" w:rsidRPr="00BD7CEA" w:rsidRDefault="00394D2B" w:rsidP="00FF3343">
            <w:pPr>
              <w:pStyle w:val="AppendixTableHeadings"/>
              <w:jc w:val="left"/>
              <w:rPr>
                <w:rFonts w:ascii="Tahoma" w:hAnsi="Tahoma" w:cs="Tahoma"/>
                <w:sz w:val="20"/>
                <w:szCs w:val="20"/>
              </w:rPr>
            </w:pPr>
            <w:r w:rsidRPr="00BD7CEA">
              <w:rPr>
                <w:rFonts w:ascii="Tahoma" w:hAnsi="Tahoma" w:cs="Tahoma"/>
                <w:sz w:val="20"/>
                <w:szCs w:val="20"/>
              </w:rPr>
              <w:t>Open Value</w:t>
            </w:r>
          </w:p>
        </w:tc>
        <w:tc>
          <w:tcPr>
            <w:tcW w:w="1620" w:type="dxa"/>
            <w:shd w:val="clear" w:color="auto" w:fill="FFCC99"/>
            <w:vAlign w:val="center"/>
          </w:tcPr>
          <w:p w:rsidR="00394D2B" w:rsidRPr="00BD7CEA" w:rsidRDefault="00394D2B" w:rsidP="00FF3343">
            <w:pPr>
              <w:pStyle w:val="AppendixTableHeadings"/>
              <w:jc w:val="left"/>
              <w:rPr>
                <w:rFonts w:ascii="Tahoma" w:hAnsi="Tahoma" w:cs="Tahoma"/>
                <w:sz w:val="20"/>
                <w:szCs w:val="20"/>
              </w:rPr>
            </w:pPr>
            <w:r w:rsidRPr="00BD7CEA">
              <w:rPr>
                <w:rFonts w:ascii="Tahoma" w:hAnsi="Tahoma" w:cs="Tahoma"/>
                <w:sz w:val="20"/>
                <w:szCs w:val="20"/>
              </w:rPr>
              <w:t>Open Value Subscription</w:t>
            </w:r>
            <w:r w:rsidR="00FD7C0D">
              <w:rPr>
                <w:rFonts w:ascii="Tahoma" w:hAnsi="Tahoma" w:cs="Tahoma"/>
                <w:sz w:val="20"/>
                <w:szCs w:val="20"/>
              </w:rPr>
              <w:t xml:space="preserve"> – </w:t>
            </w:r>
            <w:r w:rsidRPr="00BD7CEA">
              <w:rPr>
                <w:rFonts w:ascii="Tahoma" w:hAnsi="Tahoma" w:cs="Tahoma"/>
                <w:sz w:val="20"/>
                <w:szCs w:val="20"/>
              </w:rPr>
              <w:t>Education Solutions</w:t>
            </w:r>
          </w:p>
        </w:tc>
        <w:tc>
          <w:tcPr>
            <w:tcW w:w="2430" w:type="dxa"/>
            <w:shd w:val="clear" w:color="auto" w:fill="FFCC99"/>
            <w:vAlign w:val="center"/>
          </w:tcPr>
          <w:p w:rsidR="00394D2B" w:rsidRPr="00BD7CEA" w:rsidRDefault="00394D2B" w:rsidP="00FF3343">
            <w:pPr>
              <w:pStyle w:val="AppendixTableHeadings"/>
              <w:jc w:val="left"/>
            </w:pPr>
            <w:r w:rsidRPr="00BD7CEA">
              <w:rPr>
                <w:rFonts w:ascii="Tahoma" w:hAnsi="Tahoma" w:cs="Tahoma"/>
                <w:sz w:val="20"/>
                <w:szCs w:val="20"/>
              </w:rPr>
              <w:t>Select*</w:t>
            </w:r>
          </w:p>
          <w:p w:rsidR="00394D2B" w:rsidRPr="00BD7CEA" w:rsidRDefault="00394D2B" w:rsidP="00FF3343">
            <w:pPr>
              <w:pStyle w:val="AppendixTableHeadings"/>
              <w:jc w:val="left"/>
            </w:pPr>
            <w:r w:rsidRPr="00BD7CEA">
              <w:rPr>
                <w:rFonts w:ascii="Tahoma" w:hAnsi="Tahoma" w:cs="Tahoma"/>
                <w:sz w:val="20"/>
                <w:szCs w:val="20"/>
              </w:rPr>
              <w:t>Contratto Enterprise</w:t>
            </w:r>
          </w:p>
          <w:p w:rsidR="00394D2B" w:rsidRPr="00BD7CEA" w:rsidRDefault="00394D2B" w:rsidP="00C710F3">
            <w:pPr>
              <w:pStyle w:val="AppendixTableHeadings"/>
              <w:jc w:val="left"/>
              <w:rPr>
                <w:rFonts w:ascii="Tahoma" w:hAnsi="Tahoma" w:cs="Tahoma"/>
                <w:sz w:val="20"/>
                <w:szCs w:val="20"/>
              </w:rPr>
            </w:pPr>
            <w:r w:rsidRPr="00BD7CEA">
              <w:rPr>
                <w:rFonts w:ascii="Tahoma" w:hAnsi="Tahoma" w:cs="Tahoma"/>
                <w:sz w:val="20"/>
                <w:szCs w:val="20"/>
              </w:rPr>
              <w:t>Enrollment for Education Solutions ai</w:t>
            </w:r>
            <w:r w:rsidR="00CF63A5" w:rsidRPr="00BD7CEA">
              <w:rPr>
                <w:rFonts w:ascii="Tahoma" w:hAnsi="Tahoma" w:cs="Tahoma"/>
                <w:sz w:val="20"/>
                <w:szCs w:val="20"/>
              </w:rPr>
              <w:t> </w:t>
            </w:r>
            <w:r w:rsidRPr="00BD7CEA">
              <w:rPr>
                <w:rFonts w:ascii="Tahoma" w:hAnsi="Tahoma" w:cs="Tahoma"/>
                <w:sz w:val="20"/>
                <w:szCs w:val="20"/>
              </w:rPr>
              <w:t>sensi del Contratto Campus e</w:t>
            </w:r>
            <w:r w:rsidR="00C710F3">
              <w:rPr>
                <w:rFonts w:ascii="Tahoma" w:hAnsi="Tahoma" w:cs="Tahoma"/>
                <w:sz w:val="20"/>
                <w:szCs w:val="20"/>
              </w:rPr>
              <w:t xml:space="preserve"> </w:t>
            </w:r>
            <w:r w:rsidRPr="00BD7CEA">
              <w:rPr>
                <w:rFonts w:ascii="Tahoma" w:hAnsi="Tahoma" w:cs="Tahoma"/>
                <w:sz w:val="20"/>
                <w:szCs w:val="20"/>
              </w:rPr>
              <w:t>School</w:t>
            </w:r>
          </w:p>
        </w:tc>
        <w:tc>
          <w:tcPr>
            <w:tcW w:w="1350" w:type="dxa"/>
            <w:shd w:val="clear" w:color="auto" w:fill="FFCC99"/>
            <w:vAlign w:val="center"/>
          </w:tcPr>
          <w:p w:rsidR="00394D2B" w:rsidRPr="00BD7CEA" w:rsidRDefault="00394D2B" w:rsidP="007E466C">
            <w:pPr>
              <w:pStyle w:val="AppendixTableHeadings"/>
              <w:rPr>
                <w:rFonts w:ascii="Tahoma" w:hAnsi="Tahoma" w:cs="Tahoma"/>
                <w:sz w:val="20"/>
                <w:szCs w:val="20"/>
              </w:rPr>
            </w:pPr>
            <w:r w:rsidRPr="00BD7CEA">
              <w:rPr>
                <w:rFonts w:ascii="Tahoma" w:hAnsi="Tahoma" w:cs="Tahoma"/>
                <w:sz w:val="20"/>
                <w:szCs w:val="20"/>
              </w:rPr>
              <w:t>Select Plus</w:t>
            </w:r>
          </w:p>
        </w:tc>
      </w:tr>
      <w:tr w:rsidR="009233CA" w:rsidRPr="00BD7CEA" w:rsidTr="00C710F3">
        <w:trPr>
          <w:trHeight w:val="369"/>
        </w:trPr>
        <w:tc>
          <w:tcPr>
            <w:tcW w:w="1447" w:type="dxa"/>
            <w:vAlign w:val="center"/>
          </w:tcPr>
          <w:p w:rsidR="00394D2B" w:rsidRPr="007B74B7" w:rsidRDefault="00394D2B">
            <w:pPr>
              <w:pStyle w:val="AppendixTableText"/>
              <w:rPr>
                <w:rFonts w:ascii="Tahoma" w:hAnsi="Tahoma" w:cs="Tahoma"/>
                <w:szCs w:val="20"/>
                <w:lang w:val="it-IT"/>
              </w:rPr>
            </w:pPr>
            <w:r w:rsidRPr="007B74B7">
              <w:rPr>
                <w:rFonts w:ascii="Tahoma" w:hAnsi="Tahoma" w:cs="Tahoma"/>
                <w:szCs w:val="20"/>
                <w:lang w:val="it-IT"/>
              </w:rPr>
              <w:t>I vantaggi sono disponibili in base a:</w:t>
            </w:r>
          </w:p>
        </w:tc>
        <w:tc>
          <w:tcPr>
            <w:tcW w:w="1350" w:type="dxa"/>
            <w:vAlign w:val="center"/>
          </w:tcPr>
          <w:p w:rsidR="00394D2B" w:rsidRPr="00BD7CEA" w:rsidRDefault="00394D2B" w:rsidP="00CF63A5">
            <w:pPr>
              <w:pStyle w:val="AppendixTableText"/>
              <w:rPr>
                <w:rFonts w:ascii="Tahoma" w:hAnsi="Tahoma" w:cs="Tahoma"/>
                <w:szCs w:val="20"/>
              </w:rPr>
            </w:pPr>
            <w:r w:rsidRPr="00BD7CEA">
              <w:rPr>
                <w:rFonts w:ascii="Tahoma" w:hAnsi="Tahoma" w:cs="Tahoma"/>
                <w:szCs w:val="20"/>
              </w:rPr>
              <w:t>Numero di</w:t>
            </w:r>
            <w:r w:rsidR="00CF63A5" w:rsidRPr="00BD7CEA">
              <w:rPr>
                <w:rFonts w:ascii="Tahoma" w:hAnsi="Tahoma" w:cs="Tahoma"/>
                <w:szCs w:val="20"/>
              </w:rPr>
              <w:t> </w:t>
            </w:r>
            <w:r w:rsidRPr="00BD7CEA">
              <w:rPr>
                <w:rFonts w:ascii="Tahoma" w:hAnsi="Tahoma" w:cs="Tahoma"/>
                <w:szCs w:val="20"/>
              </w:rPr>
              <w:t>licenza</w:t>
            </w:r>
          </w:p>
        </w:tc>
        <w:tc>
          <w:tcPr>
            <w:tcW w:w="1440" w:type="dxa"/>
            <w:vAlign w:val="center"/>
          </w:tcPr>
          <w:p w:rsidR="00394D2B" w:rsidRPr="00BD7CEA" w:rsidRDefault="00394D2B">
            <w:pPr>
              <w:pStyle w:val="AppendixTableText"/>
              <w:rPr>
                <w:rFonts w:ascii="Tahoma" w:hAnsi="Tahoma" w:cs="Tahoma"/>
                <w:szCs w:val="20"/>
              </w:rPr>
            </w:pPr>
            <w:r w:rsidRPr="00BD7CEA">
              <w:rPr>
                <w:rFonts w:ascii="Tahoma" w:hAnsi="Tahoma" w:cs="Tahoma"/>
                <w:szCs w:val="20"/>
              </w:rPr>
              <w:t>Contratto</w:t>
            </w:r>
          </w:p>
        </w:tc>
        <w:tc>
          <w:tcPr>
            <w:tcW w:w="1620" w:type="dxa"/>
            <w:vAlign w:val="center"/>
          </w:tcPr>
          <w:p w:rsidR="00394D2B" w:rsidRPr="00BD7CEA" w:rsidRDefault="00394D2B" w:rsidP="00394D2B">
            <w:pPr>
              <w:pStyle w:val="AppendixTableText"/>
              <w:rPr>
                <w:rFonts w:ascii="Tahoma" w:hAnsi="Tahoma" w:cs="Tahoma"/>
                <w:szCs w:val="20"/>
              </w:rPr>
            </w:pPr>
            <w:r w:rsidRPr="00BD7CEA">
              <w:rPr>
                <w:rFonts w:ascii="Tahoma" w:hAnsi="Tahoma" w:cs="Tahoma"/>
                <w:szCs w:val="20"/>
              </w:rPr>
              <w:t>Contratto</w:t>
            </w:r>
          </w:p>
        </w:tc>
        <w:tc>
          <w:tcPr>
            <w:tcW w:w="2430" w:type="dxa"/>
            <w:vAlign w:val="center"/>
          </w:tcPr>
          <w:p w:rsidR="00394D2B" w:rsidRPr="00BD7CEA" w:rsidRDefault="00394D2B">
            <w:pPr>
              <w:pStyle w:val="AppendixTableText"/>
              <w:rPr>
                <w:rFonts w:ascii="Tahoma" w:hAnsi="Tahoma" w:cs="Tahoma"/>
                <w:szCs w:val="20"/>
              </w:rPr>
            </w:pPr>
            <w:r w:rsidRPr="00BD7CEA">
              <w:rPr>
                <w:rFonts w:ascii="Tahoma" w:hAnsi="Tahoma" w:cs="Tahoma"/>
                <w:szCs w:val="20"/>
              </w:rPr>
              <w:t>Qualificante</w:t>
            </w:r>
          </w:p>
        </w:tc>
        <w:tc>
          <w:tcPr>
            <w:tcW w:w="1350" w:type="dxa"/>
          </w:tcPr>
          <w:p w:rsidR="00394D2B" w:rsidRPr="00BD7CEA" w:rsidRDefault="00394D2B">
            <w:pPr>
              <w:pStyle w:val="AppendixTableText"/>
              <w:rPr>
                <w:rFonts w:ascii="Tahoma" w:hAnsi="Tahoma" w:cs="Tahoma"/>
                <w:szCs w:val="20"/>
              </w:rPr>
            </w:pPr>
            <w:r w:rsidRPr="00BD7CEA">
              <w:rPr>
                <w:rFonts w:ascii="Tahoma" w:hAnsi="Tahoma" w:cs="Tahoma"/>
                <w:szCs w:val="20"/>
              </w:rPr>
              <w:t>Consociata Registrata</w:t>
            </w:r>
          </w:p>
        </w:tc>
      </w:tr>
    </w:tbl>
    <w:p w:rsidR="00023FE7" w:rsidRPr="007B74B7" w:rsidRDefault="00023FE7" w:rsidP="0063466C">
      <w:pPr>
        <w:pStyle w:val="AppendixBodyText"/>
        <w:spacing w:after="0"/>
        <w:ind w:right="403"/>
        <w:rPr>
          <w:lang w:val="it-IT"/>
        </w:rPr>
      </w:pPr>
      <w:r w:rsidRPr="007B74B7">
        <w:rPr>
          <w:rFonts w:ascii="Tahoma" w:hAnsi="Tahoma" w:cs="Tahoma"/>
          <w:b/>
          <w:i/>
          <w:sz w:val="16"/>
          <w:szCs w:val="16"/>
          <w:lang w:val="it-IT"/>
        </w:rPr>
        <w:t>Nota:</w:t>
      </w:r>
      <w:r w:rsidRPr="007B74B7">
        <w:rPr>
          <w:rFonts w:ascii="Tahoma" w:hAnsi="Tahoma" w:cs="Tahoma"/>
          <w:i/>
          <w:sz w:val="16"/>
          <w:szCs w:val="16"/>
          <w:lang w:val="it-IT"/>
        </w:rPr>
        <w:t xml:space="preserve"> *le società che stipulano Contratti Enterprise Volume Licensing per la sanità canadese riceveranno vantaggi di SA conformi ai vantaggi SA disponibili per le società che acquistano prodotti attraverso Microsoft Open Value.</w:t>
      </w:r>
    </w:p>
    <w:p w:rsidR="00023FE7" w:rsidRPr="007B74B7" w:rsidRDefault="00023FE7" w:rsidP="0063466C">
      <w:pPr>
        <w:pStyle w:val="AppendixBodyText"/>
        <w:spacing w:after="0"/>
        <w:rPr>
          <w:lang w:val="it-IT"/>
        </w:rPr>
      </w:pPr>
    </w:p>
    <w:p w:rsidR="00023FE7" w:rsidRPr="007B74B7" w:rsidRDefault="00023FE7" w:rsidP="0063466C">
      <w:pPr>
        <w:pStyle w:val="AppendixBodyText"/>
        <w:spacing w:after="0"/>
        <w:rPr>
          <w:lang w:val="it-IT"/>
        </w:rPr>
      </w:pPr>
      <w:r w:rsidRPr="007B74B7">
        <w:rPr>
          <w:rFonts w:ascii="Tahoma" w:hAnsi="Tahoma" w:cs="Tahoma"/>
          <w:sz w:val="18"/>
          <w:lang w:val="it-IT"/>
        </w:rPr>
        <w:t>Nella tabella che segue sono illustrati i vantaggi di Software Assurance e dei Servizi Online.</w:t>
      </w:r>
      <w:r w:rsidR="008D782D" w:rsidRPr="007B74B7">
        <w:rPr>
          <w:rFonts w:ascii="Tahoma" w:hAnsi="Tahoma" w:cs="Tahoma"/>
          <w:sz w:val="18"/>
          <w:lang w:val="it-IT"/>
        </w:rPr>
        <w:t xml:space="preserve"> </w:t>
      </w:r>
      <w:r w:rsidRPr="007B74B7">
        <w:rPr>
          <w:rFonts w:ascii="Tahoma" w:hAnsi="Tahoma" w:cs="Tahoma"/>
          <w:sz w:val="18"/>
          <w:lang w:val="it-IT"/>
        </w:rPr>
        <w:t>Alcuni vantaggi corrispondono a licenze individuali per le quali è stata acquistata la copertura Software Assurance.</w:t>
      </w:r>
      <w:r w:rsidR="008D782D" w:rsidRPr="007B74B7">
        <w:rPr>
          <w:rFonts w:ascii="Tahoma" w:hAnsi="Tahoma" w:cs="Tahoma"/>
          <w:sz w:val="18"/>
          <w:lang w:val="it-IT"/>
        </w:rPr>
        <w:t xml:space="preserve"> </w:t>
      </w:r>
      <w:r w:rsidRPr="007B74B7">
        <w:rPr>
          <w:rFonts w:ascii="Tahoma" w:hAnsi="Tahoma" w:cs="Tahoma"/>
          <w:sz w:val="18"/>
          <w:lang w:val="it-IT"/>
        </w:rPr>
        <w:t>La copertura Software Assurance attiva o altra protezione dell</w:t>
      </w:r>
      <w:r w:rsidR="007A1415" w:rsidRPr="007B74B7">
        <w:rPr>
          <w:rFonts w:ascii="Tahoma" w:hAnsi="Tahoma" w:cs="Tahoma"/>
          <w:sz w:val="18"/>
          <w:lang w:val="it-IT"/>
        </w:rPr>
        <w:t>’</w:t>
      </w:r>
      <w:r w:rsidRPr="007B74B7">
        <w:rPr>
          <w:rFonts w:ascii="Tahoma" w:hAnsi="Tahoma" w:cs="Tahoma"/>
          <w:sz w:val="18"/>
          <w:lang w:val="it-IT"/>
        </w:rPr>
        <w:t>aggiornamento per qualsiasi prodotto qualificante, indipendentemente dalla versione del prodotto in uso presso la società, rende idonea la società a ottenere tali vantaggi.</w:t>
      </w:r>
      <w:r w:rsidR="008D782D" w:rsidRPr="007B74B7">
        <w:rPr>
          <w:rFonts w:ascii="Tahoma" w:hAnsi="Tahoma" w:cs="Tahoma"/>
          <w:sz w:val="18"/>
          <w:lang w:val="it-IT"/>
        </w:rPr>
        <w:t xml:space="preserve"> </w:t>
      </w:r>
      <w:r w:rsidRPr="007B74B7">
        <w:rPr>
          <w:rFonts w:ascii="Tahoma" w:hAnsi="Tahoma" w:cs="Tahoma"/>
          <w:sz w:val="18"/>
          <w:lang w:val="it-IT"/>
        </w:rPr>
        <w:t>I prodotti qualificanti sono indicati nella sezione relativa a ogni prodotto.</w:t>
      </w:r>
      <w:r w:rsidR="008D782D" w:rsidRPr="007B74B7">
        <w:rPr>
          <w:rFonts w:ascii="Tahoma" w:hAnsi="Tahoma" w:cs="Tahoma"/>
          <w:sz w:val="18"/>
          <w:lang w:val="it-IT"/>
        </w:rPr>
        <w:t xml:space="preserve"> </w:t>
      </w:r>
      <w:r w:rsidRPr="007B74B7">
        <w:rPr>
          <w:rFonts w:ascii="Tahoma" w:hAnsi="Tahoma" w:cs="Tahoma"/>
          <w:sz w:val="18"/>
          <w:lang w:val="it-IT"/>
        </w:rPr>
        <w:t>Alcuni vantaggi sono concessi sulla base della spesa SA effettuata dalla società per un determinato gruppo di prodotti qualificanti all</w:t>
      </w:r>
      <w:r w:rsidR="007A1415" w:rsidRPr="007B74B7">
        <w:rPr>
          <w:rFonts w:ascii="Tahoma" w:hAnsi="Tahoma" w:cs="Tahoma"/>
          <w:sz w:val="18"/>
          <w:lang w:val="it-IT"/>
        </w:rPr>
        <w:t>’</w:t>
      </w:r>
      <w:r w:rsidRPr="007B74B7">
        <w:rPr>
          <w:rFonts w:ascii="Tahoma" w:hAnsi="Tahoma" w:cs="Tahoma"/>
          <w:sz w:val="18"/>
          <w:lang w:val="it-IT"/>
        </w:rPr>
        <w:t>interno di un pool.</w:t>
      </w:r>
      <w:r w:rsidR="008D782D" w:rsidRPr="007B74B7">
        <w:rPr>
          <w:rFonts w:ascii="Tahoma" w:hAnsi="Tahoma" w:cs="Tahoma"/>
          <w:sz w:val="18"/>
          <w:lang w:val="it-IT"/>
        </w:rPr>
        <w:t xml:space="preserve"> </w:t>
      </w:r>
      <w:r w:rsidRPr="007B74B7">
        <w:rPr>
          <w:rFonts w:ascii="Tahoma" w:hAnsi="Tahoma" w:cs="Tahoma"/>
          <w:sz w:val="18"/>
          <w:lang w:val="it-IT"/>
        </w:rPr>
        <w:t>A questo proposito, “spesa SA” non significa letteralmente i soldi effettivi spesi dalla società.</w:t>
      </w:r>
      <w:r w:rsidR="008D782D" w:rsidRPr="007B74B7">
        <w:rPr>
          <w:rFonts w:ascii="Tahoma" w:hAnsi="Tahoma" w:cs="Tahoma"/>
          <w:sz w:val="18"/>
          <w:lang w:val="it-IT"/>
        </w:rPr>
        <w:t xml:space="preserve"> </w:t>
      </w:r>
      <w:r w:rsidRPr="007B74B7">
        <w:rPr>
          <w:rFonts w:ascii="Tahoma" w:hAnsi="Tahoma" w:cs="Tahoma"/>
          <w:sz w:val="18"/>
          <w:lang w:val="it-IT"/>
        </w:rPr>
        <w:t>Al contrario, indica l</w:t>
      </w:r>
      <w:r w:rsidR="007A1415" w:rsidRPr="007B74B7">
        <w:rPr>
          <w:rFonts w:ascii="Tahoma" w:hAnsi="Tahoma" w:cs="Tahoma"/>
          <w:sz w:val="18"/>
          <w:lang w:val="it-IT"/>
        </w:rPr>
        <w:t>’</w:t>
      </w:r>
      <w:r w:rsidRPr="007B74B7">
        <w:rPr>
          <w:rFonts w:ascii="Tahoma" w:hAnsi="Tahoma" w:cs="Tahoma"/>
          <w:sz w:val="18"/>
          <w:lang w:val="it-IT"/>
        </w:rPr>
        <w:t>importo approssimativo della spesa che una società ha sostenuto per fornire la copertura Software Assurance a tali prodotti ai sensi dell</w:t>
      </w:r>
      <w:r w:rsidR="007A1415" w:rsidRPr="007B74B7">
        <w:rPr>
          <w:rFonts w:ascii="Tahoma" w:hAnsi="Tahoma" w:cs="Tahoma"/>
          <w:sz w:val="18"/>
          <w:lang w:val="it-IT"/>
        </w:rPr>
        <w:t>’</w:t>
      </w:r>
      <w:r w:rsidRPr="007B74B7">
        <w:rPr>
          <w:rFonts w:ascii="Tahoma" w:hAnsi="Tahoma" w:cs="Tahoma"/>
          <w:sz w:val="18"/>
          <w:lang w:val="it-IT"/>
        </w:rPr>
        <w:t xml:space="preserve">iscrizione </w:t>
      </w:r>
      <w:r w:rsidRPr="007B74B7">
        <w:rPr>
          <w:rFonts w:ascii="Tahoma" w:hAnsi="Tahoma" w:cs="Tahoma"/>
          <w:sz w:val="18"/>
          <w:szCs w:val="18"/>
          <w:lang w:val="it-IT"/>
        </w:rPr>
        <w:t>Select o Enterprise, della registrazione Select Plus o del contratto Open (ad esempio, per gli acquisti solo di SA e gli acquisti del componente SA di L&amp;SA).</w:t>
      </w:r>
      <w:r w:rsidR="008D782D" w:rsidRPr="007B74B7">
        <w:rPr>
          <w:rFonts w:ascii="Tahoma" w:hAnsi="Tahoma" w:cs="Tahoma"/>
          <w:sz w:val="18"/>
          <w:szCs w:val="18"/>
          <w:lang w:val="it-IT"/>
        </w:rPr>
        <w:t xml:space="preserve"> </w:t>
      </w:r>
      <w:r w:rsidRPr="007B74B7">
        <w:rPr>
          <w:rFonts w:ascii="Tahoma" w:hAnsi="Tahoma" w:cs="Tahoma"/>
          <w:sz w:val="18"/>
          <w:szCs w:val="18"/>
          <w:lang w:val="it-IT"/>
        </w:rPr>
        <w:t>Per le società che partecipano ai programmi “subscription”, rappresenta l</w:t>
      </w:r>
      <w:r w:rsidR="007A1415" w:rsidRPr="007B74B7">
        <w:rPr>
          <w:rFonts w:ascii="Tahoma" w:hAnsi="Tahoma" w:cs="Tahoma"/>
          <w:sz w:val="18"/>
          <w:szCs w:val="18"/>
          <w:lang w:val="it-IT"/>
        </w:rPr>
        <w:t>’</w:t>
      </w:r>
      <w:r w:rsidRPr="007B74B7">
        <w:rPr>
          <w:rFonts w:ascii="Tahoma" w:hAnsi="Tahoma" w:cs="Tahoma"/>
          <w:sz w:val="18"/>
          <w:szCs w:val="18"/>
          <w:lang w:val="it-IT"/>
        </w:rPr>
        <w:t>importo approssimativo della spesa totale che la società ha dovuto affrontare per ottenere in licenza tali prodotti ai sensi della sua iscrizione o del suo contratto.</w:t>
      </w:r>
      <w:r w:rsidR="008D782D" w:rsidRPr="007B74B7">
        <w:rPr>
          <w:rFonts w:ascii="Tahoma" w:hAnsi="Tahoma" w:cs="Tahoma"/>
          <w:sz w:val="18"/>
          <w:szCs w:val="18"/>
          <w:lang w:val="it-IT"/>
        </w:rPr>
        <w:t xml:space="preserve"> </w:t>
      </w:r>
      <w:r w:rsidRPr="007B74B7">
        <w:rPr>
          <w:rFonts w:ascii="Tahoma" w:hAnsi="Tahoma" w:cs="Tahoma"/>
          <w:sz w:val="18"/>
          <w:szCs w:val="18"/>
          <w:lang w:val="it-IT"/>
        </w:rPr>
        <w:t>Altri vantaggi corrispondono alla Partecipazione a Software Assurance; tale</w:t>
      </w:r>
      <w:r w:rsidR="00CF63A5" w:rsidRPr="007B74B7">
        <w:rPr>
          <w:rFonts w:ascii="Tahoma" w:hAnsi="Tahoma" w:cs="Tahoma"/>
          <w:sz w:val="18"/>
          <w:szCs w:val="18"/>
          <w:lang w:val="it-IT"/>
        </w:rPr>
        <w:t> </w:t>
      </w:r>
      <w:r w:rsidRPr="007B74B7">
        <w:rPr>
          <w:rFonts w:ascii="Tahoma" w:hAnsi="Tahoma" w:cs="Tahoma"/>
          <w:sz w:val="18"/>
          <w:szCs w:val="18"/>
          <w:lang w:val="it-IT"/>
        </w:rPr>
        <w:t>Partecipazione per il pool di prodotti applicabili rende idonea la società a ricevere questi vantaggi.</w:t>
      </w:r>
    </w:p>
    <w:p w:rsidR="00F76ED4" w:rsidRPr="007B74B7" w:rsidRDefault="00F76ED4">
      <w:pPr>
        <w:rPr>
          <w:lang w:val="it-IT"/>
        </w:rPr>
      </w:pPr>
      <w:r w:rsidRPr="007B74B7">
        <w:rPr>
          <w:rFonts w:cs="Tahoma"/>
          <w:lang w:val="it-IT"/>
        </w:rPr>
        <w:br w:type="page"/>
      </w:r>
    </w:p>
    <w:tbl>
      <w:tblPr>
        <w:tblW w:w="9727" w:type="dxa"/>
        <w:tblInd w:w="101" w:type="dxa"/>
        <w:tblLayout w:type="fixed"/>
        <w:tblLook w:val="0000" w:firstRow="0" w:lastRow="0" w:firstColumn="0" w:lastColumn="0" w:noHBand="0" w:noVBand="0"/>
      </w:tblPr>
      <w:tblGrid>
        <w:gridCol w:w="2167"/>
        <w:gridCol w:w="1530"/>
        <w:gridCol w:w="1530"/>
        <w:gridCol w:w="1530"/>
        <w:gridCol w:w="1530"/>
        <w:gridCol w:w="1440"/>
      </w:tblGrid>
      <w:tr w:rsidR="004B4C79" w:rsidRPr="00BD7CEA" w:rsidTr="007E466C">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BD7CEA" w:rsidRDefault="004B4C79" w:rsidP="00E06FE8">
            <w:pPr>
              <w:pStyle w:val="AppendixTableHeadings"/>
              <w:rPr>
                <w:rFonts w:ascii="Tahoma" w:hAnsi="Tahoma" w:cs="Tahoma"/>
                <w:sz w:val="20"/>
                <w:szCs w:val="20"/>
              </w:rPr>
            </w:pPr>
            <w:r w:rsidRPr="00BD7CEA">
              <w:rPr>
                <w:rFonts w:ascii="Tahoma" w:hAnsi="Tahoma" w:cs="Tahoma"/>
                <w:sz w:val="20"/>
                <w:szCs w:val="20"/>
              </w:rPr>
              <w:lastRenderedPageBreak/>
              <w:t>Benefici</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BD7CEA" w:rsidRDefault="004B4C79" w:rsidP="00E06FE8">
            <w:pPr>
              <w:pStyle w:val="AppendixTableHeadings"/>
              <w:rPr>
                <w:rFonts w:ascii="Tahoma" w:hAnsi="Tahoma" w:cs="Tahoma"/>
                <w:sz w:val="20"/>
                <w:szCs w:val="20"/>
              </w:rPr>
            </w:pPr>
            <w:r w:rsidRPr="00BD7CEA">
              <w:rPr>
                <w:rFonts w:ascii="Tahoma" w:hAnsi="Tahoma" w:cs="Tahoma"/>
                <w:sz w:val="20"/>
                <w:szCs w:val="20"/>
              </w:rPr>
              <w:t>Pool di Applicazioni</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BD7CEA" w:rsidRDefault="004B4C79" w:rsidP="00E06FE8">
            <w:pPr>
              <w:pStyle w:val="AppendixTableHeadings"/>
              <w:rPr>
                <w:rFonts w:ascii="Tahoma" w:hAnsi="Tahoma" w:cs="Tahoma"/>
                <w:sz w:val="20"/>
                <w:szCs w:val="20"/>
              </w:rPr>
            </w:pPr>
            <w:r w:rsidRPr="00BD7CEA">
              <w:rPr>
                <w:rFonts w:ascii="Tahoma" w:hAnsi="Tahoma" w:cs="Tahoma"/>
                <w:sz w:val="20"/>
                <w:szCs w:val="20"/>
              </w:rPr>
              <w:t>Pool di Sistemi</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BD7CEA" w:rsidRDefault="004B4C79" w:rsidP="00E06FE8">
            <w:pPr>
              <w:pStyle w:val="AppendixTableHeadings"/>
              <w:rPr>
                <w:rFonts w:ascii="Tahoma" w:hAnsi="Tahoma" w:cs="Tahoma"/>
                <w:sz w:val="20"/>
                <w:szCs w:val="20"/>
              </w:rPr>
            </w:pPr>
            <w:r w:rsidRPr="00BD7CEA">
              <w:rPr>
                <w:rFonts w:ascii="Tahoma" w:hAnsi="Tahoma" w:cs="Tahoma"/>
                <w:sz w:val="20"/>
                <w:szCs w:val="20"/>
              </w:rPr>
              <w:t>Pool di Server</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BD7CEA" w:rsidRDefault="006705D4" w:rsidP="00E06FE8">
            <w:pPr>
              <w:pStyle w:val="AppendixTableHeadings"/>
              <w:rPr>
                <w:rFonts w:ascii="Tahoma" w:hAnsi="Tahoma" w:cs="Tahoma"/>
                <w:sz w:val="20"/>
                <w:szCs w:val="20"/>
              </w:rPr>
            </w:pPr>
            <w:r w:rsidRPr="00BD7CEA">
              <w:rPr>
                <w:rFonts w:ascii="Tahoma" w:hAnsi="Tahoma" w:cs="Tahoma"/>
                <w:sz w:val="20"/>
                <w:szCs w:val="20"/>
              </w:rPr>
              <w:t>Windows Intune (Per Dispositivo)</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BD7CEA" w:rsidRDefault="004B4C79" w:rsidP="00E06FE8">
            <w:pPr>
              <w:pStyle w:val="AppendixTableHeadings"/>
              <w:rPr>
                <w:rFonts w:ascii="Tahoma" w:hAnsi="Tahoma" w:cs="Tahoma"/>
                <w:sz w:val="20"/>
                <w:szCs w:val="20"/>
              </w:rPr>
            </w:pPr>
            <w:r w:rsidRPr="00BD7CEA">
              <w:rPr>
                <w:rFonts w:ascii="Tahoma" w:hAnsi="Tahoma" w:cs="Tahoma"/>
                <w:sz w:val="20"/>
                <w:szCs w:val="20"/>
              </w:rPr>
              <w:t>Office 365</w:t>
            </w:r>
          </w:p>
        </w:tc>
      </w:tr>
      <w:tr w:rsidR="004B4C79" w:rsidRPr="00BD7CEA" w:rsidTr="007E466C">
        <w:trPr>
          <w:trHeight w:val="255"/>
        </w:trPr>
        <w:tc>
          <w:tcPr>
            <w:tcW w:w="2167" w:type="dxa"/>
            <w:tcBorders>
              <w:top w:val="single" w:sz="8" w:space="0" w:color="auto"/>
              <w:left w:val="single" w:sz="4" w:space="0" w:color="auto"/>
              <w:bottom w:val="single" w:sz="4" w:space="0" w:color="auto"/>
              <w:right w:val="single" w:sz="4" w:space="0" w:color="auto"/>
            </w:tcBorders>
            <w:vAlign w:val="bottom"/>
          </w:tcPr>
          <w:p w:rsidR="004B4C79" w:rsidRPr="00BD7CEA" w:rsidRDefault="004B4C79">
            <w:pPr>
              <w:pStyle w:val="AppendixTableText"/>
              <w:jc w:val="left"/>
              <w:rPr>
                <w:rFonts w:ascii="Tahoma" w:hAnsi="Tahoma" w:cs="Tahoma"/>
              </w:rPr>
            </w:pPr>
            <w:r w:rsidRPr="00BD7CEA">
              <w:rPr>
                <w:rFonts w:ascii="Tahoma" w:hAnsi="Tahoma" w:cs="Tahoma"/>
              </w:rPr>
              <w:t>Diritti su Versioni Nuove</w:t>
            </w:r>
          </w:p>
        </w:tc>
        <w:tc>
          <w:tcPr>
            <w:tcW w:w="1530" w:type="dxa"/>
            <w:tcBorders>
              <w:top w:val="single" w:sz="8" w:space="0" w:color="auto"/>
              <w:left w:val="nil"/>
              <w:bottom w:val="single" w:sz="4" w:space="0" w:color="auto"/>
              <w:right w:val="single" w:sz="4" w:space="0" w:color="auto"/>
            </w:tcBorders>
            <w:vAlign w:val="center"/>
          </w:tcPr>
          <w:p w:rsidR="004B4C79" w:rsidRPr="00BD7CEA" w:rsidRDefault="004B4C79" w:rsidP="00E06FE8">
            <w:pPr>
              <w:pStyle w:val="AppendixTableText"/>
              <w:rPr>
                <w:rFonts w:ascii="Tahoma" w:hAnsi="Tahoma" w:cs="Tahoma"/>
              </w:rPr>
            </w:pPr>
            <w:r w:rsidRPr="00BD7CEA">
              <w:rPr>
                <w:rFonts w:ascii="Tahoma" w:hAnsi="Tahoma" w:cs="Tahoma"/>
              </w:rPr>
              <w:t>Sì</w:t>
            </w:r>
          </w:p>
        </w:tc>
        <w:tc>
          <w:tcPr>
            <w:tcW w:w="1530" w:type="dxa"/>
            <w:tcBorders>
              <w:top w:val="single" w:sz="8" w:space="0" w:color="auto"/>
              <w:left w:val="nil"/>
              <w:bottom w:val="single" w:sz="4" w:space="0" w:color="auto"/>
              <w:right w:val="single" w:sz="4" w:space="0" w:color="auto"/>
            </w:tcBorders>
            <w:vAlign w:val="center"/>
          </w:tcPr>
          <w:p w:rsidR="004B4C79" w:rsidRPr="00BD7CEA" w:rsidRDefault="004B4C79" w:rsidP="00E06FE8">
            <w:pPr>
              <w:pStyle w:val="AppendixTableText"/>
              <w:rPr>
                <w:rFonts w:ascii="Tahoma" w:hAnsi="Tahoma" w:cs="Tahoma"/>
              </w:rPr>
            </w:pPr>
            <w:r w:rsidRPr="00BD7CEA">
              <w:rPr>
                <w:rFonts w:ascii="Tahoma" w:hAnsi="Tahoma" w:cs="Tahoma"/>
              </w:rPr>
              <w:t>Sì</w:t>
            </w:r>
          </w:p>
        </w:tc>
        <w:tc>
          <w:tcPr>
            <w:tcW w:w="1530" w:type="dxa"/>
            <w:tcBorders>
              <w:top w:val="single" w:sz="8" w:space="0" w:color="auto"/>
              <w:left w:val="nil"/>
              <w:bottom w:val="single" w:sz="4" w:space="0" w:color="auto"/>
              <w:right w:val="single" w:sz="4" w:space="0" w:color="auto"/>
            </w:tcBorders>
            <w:vAlign w:val="center"/>
          </w:tcPr>
          <w:p w:rsidR="004B4C79" w:rsidRPr="00BD7CEA" w:rsidRDefault="004B4C79" w:rsidP="00E06FE8">
            <w:pPr>
              <w:pStyle w:val="AppendixTableText"/>
              <w:rPr>
                <w:rFonts w:ascii="Tahoma" w:hAnsi="Tahoma" w:cs="Tahoma"/>
              </w:rPr>
            </w:pPr>
            <w:r w:rsidRPr="00BD7CEA">
              <w:rPr>
                <w:rFonts w:ascii="Tahoma" w:hAnsi="Tahoma" w:cs="Tahoma"/>
              </w:rPr>
              <w:t>Sì</w:t>
            </w:r>
          </w:p>
        </w:tc>
        <w:tc>
          <w:tcPr>
            <w:tcW w:w="1530" w:type="dxa"/>
            <w:tcBorders>
              <w:top w:val="single" w:sz="8" w:space="0" w:color="auto"/>
              <w:left w:val="nil"/>
              <w:bottom w:val="single" w:sz="4" w:space="0" w:color="auto"/>
              <w:right w:val="single" w:sz="4" w:space="0" w:color="auto"/>
            </w:tcBorders>
            <w:vAlign w:val="center"/>
          </w:tcPr>
          <w:p w:rsidR="004B4C79" w:rsidRPr="00BD7CEA" w:rsidRDefault="00302B84" w:rsidP="00E06FE8">
            <w:pPr>
              <w:pStyle w:val="AppendixTableText"/>
              <w:rPr>
                <w:rFonts w:ascii="Tahoma" w:hAnsi="Tahoma" w:cs="Tahoma"/>
              </w:rPr>
            </w:pPr>
            <w:r w:rsidRPr="00BD7CEA">
              <w:rPr>
                <w:rFonts w:ascii="Tahoma" w:hAnsi="Tahoma" w:cs="Tahoma"/>
              </w:rPr>
              <w:t>Sì</w:t>
            </w:r>
          </w:p>
        </w:tc>
        <w:tc>
          <w:tcPr>
            <w:tcW w:w="1440" w:type="dxa"/>
            <w:tcBorders>
              <w:top w:val="single" w:sz="8" w:space="0" w:color="auto"/>
              <w:left w:val="nil"/>
              <w:bottom w:val="single" w:sz="4" w:space="0" w:color="auto"/>
              <w:right w:val="single" w:sz="4" w:space="0" w:color="auto"/>
            </w:tcBorders>
            <w:vAlign w:val="center"/>
          </w:tcPr>
          <w:p w:rsidR="004B4C79" w:rsidRPr="00BD7CEA" w:rsidRDefault="00302B84" w:rsidP="00E06FE8">
            <w:pPr>
              <w:pStyle w:val="AppendixTableText"/>
              <w:rPr>
                <w:rFonts w:ascii="Tahoma" w:hAnsi="Tahoma" w:cs="Tahoma"/>
              </w:rPr>
            </w:pPr>
            <w:r w:rsidRPr="00BD7CEA">
              <w:rPr>
                <w:rFonts w:ascii="Tahoma" w:hAnsi="Tahoma" w:cs="Tahoma"/>
              </w:rPr>
              <w:t>Sì</w:t>
            </w:r>
          </w:p>
        </w:tc>
      </w:tr>
      <w:tr w:rsidR="004B4C79" w:rsidRPr="00BD7CEA"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BD7CEA" w:rsidRDefault="004B4C79">
            <w:pPr>
              <w:pStyle w:val="AppendixTableText"/>
              <w:jc w:val="left"/>
              <w:rPr>
                <w:rFonts w:ascii="Tahoma" w:hAnsi="Tahoma" w:cs="Tahoma"/>
              </w:rPr>
            </w:pPr>
            <w:r w:rsidRPr="00BD7CEA">
              <w:rPr>
                <w:rFonts w:ascii="Tahoma" w:hAnsi="Tahoma" w:cs="Tahoma"/>
              </w:rPr>
              <w:t>Office Multi Language Pack</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BD7CEA" w:rsidRDefault="004B4C79" w:rsidP="00E06FE8">
            <w:pPr>
              <w:pStyle w:val="AppendixTableText"/>
              <w:rPr>
                <w:rFonts w:ascii="Tahoma" w:hAnsi="Tahoma" w:cs="Tahoma"/>
              </w:rPr>
            </w:pPr>
            <w:r w:rsidRPr="00BD7CEA">
              <w:rPr>
                <w:rFonts w:ascii="Tahoma" w:hAnsi="Tahoma" w:cs="Tahoma"/>
              </w:rPr>
              <w:t>Sì</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BD7CEA"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BD7CEA" w:rsidRDefault="004B4C79" w:rsidP="00E06FE8">
            <w:pPr>
              <w:pStyle w:val="AppendixTableText"/>
              <w:rPr>
                <w:rStyle w:val="CommentReference"/>
                <w:rFonts w:ascii="Tahoma" w:hAnsi="Tahoma" w:cs="Tahoma"/>
                <w:sz w:val="18"/>
                <w:szCs w:val="18"/>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BD7CEA"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BD7CEA" w:rsidRDefault="004B4C79" w:rsidP="00E06FE8">
            <w:pPr>
              <w:pStyle w:val="AppendixTableText"/>
              <w:rPr>
                <w:rStyle w:val="CommentReference"/>
                <w:rFonts w:ascii="Tahoma" w:hAnsi="Tahoma" w:cs="Tahoma"/>
                <w:sz w:val="18"/>
                <w:szCs w:val="18"/>
              </w:rPr>
            </w:pPr>
            <w:r w:rsidRPr="00BD7CEA">
              <w:rPr>
                <w:rFonts w:ascii="Tahoma" w:hAnsi="Tahoma" w:cs="Tahoma"/>
              </w:rPr>
              <w:t>Sì</w:t>
            </w:r>
          </w:p>
        </w:tc>
      </w:tr>
      <w:tr w:rsidR="004B4C79" w:rsidRPr="00BD7CEA"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BD7CEA" w:rsidRDefault="00E7419A">
            <w:pPr>
              <w:pStyle w:val="AppendixTableText"/>
              <w:jc w:val="left"/>
              <w:rPr>
                <w:rFonts w:ascii="Tahoma" w:hAnsi="Tahoma" w:cs="Tahoma"/>
              </w:rPr>
            </w:pPr>
            <w:r w:rsidRPr="00BD7CEA">
              <w:rPr>
                <w:rFonts w:ascii="Tahoma" w:hAnsi="Tahoma" w:cs="Tahoma"/>
              </w:rPr>
              <w:t>Planning Services</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BD7CEA" w:rsidRDefault="004B4C79" w:rsidP="00E06FE8">
            <w:pPr>
              <w:pStyle w:val="AppendixTableText"/>
              <w:rPr>
                <w:rFonts w:ascii="Tahoma" w:hAnsi="Tahoma" w:cs="Tahoma"/>
              </w:rPr>
            </w:pPr>
            <w:r w:rsidRPr="00BD7CEA">
              <w:rPr>
                <w:rFonts w:ascii="Tahoma" w:hAnsi="Tahoma" w:cs="Tahoma"/>
              </w:rPr>
              <w:t>Sì</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BD7CEA"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BD7CEA" w:rsidRDefault="004B4C79" w:rsidP="00E06FE8">
            <w:pPr>
              <w:pStyle w:val="AppendixTableText"/>
              <w:rPr>
                <w:rStyle w:val="CommentReference"/>
                <w:rFonts w:ascii="Tahoma" w:hAnsi="Tahoma" w:cs="Tahoma"/>
                <w:sz w:val="18"/>
                <w:szCs w:val="18"/>
              </w:rPr>
            </w:pPr>
            <w:r w:rsidRPr="00BD7CEA">
              <w:rPr>
                <w:rStyle w:val="CommentReference"/>
                <w:rFonts w:ascii="Tahoma" w:hAnsi="Tahoma" w:cs="Tahoma"/>
                <w:sz w:val="18"/>
                <w:szCs w:val="18"/>
              </w:rPr>
              <w:t>Sì</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BD7CEA"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BD7CEA" w:rsidRDefault="004B4C79" w:rsidP="00E06FE8">
            <w:pPr>
              <w:pStyle w:val="AppendixTableText"/>
              <w:rPr>
                <w:rStyle w:val="CommentReference"/>
                <w:rFonts w:ascii="Tahoma" w:hAnsi="Tahoma" w:cs="Tahoma"/>
                <w:sz w:val="18"/>
                <w:szCs w:val="18"/>
              </w:rPr>
            </w:pPr>
          </w:p>
        </w:tc>
      </w:tr>
      <w:tr w:rsidR="004B4C79" w:rsidRPr="00BD7CEA"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BD7CEA" w:rsidRDefault="004B4C79" w:rsidP="0040728D">
            <w:pPr>
              <w:pStyle w:val="AppendixTableText"/>
              <w:jc w:val="left"/>
              <w:rPr>
                <w:rFonts w:ascii="Tahoma" w:hAnsi="Tahoma" w:cs="Tahoma"/>
              </w:rPr>
            </w:pPr>
            <w:r w:rsidRPr="00BD7CEA">
              <w:rPr>
                <w:rFonts w:ascii="Tahoma" w:hAnsi="Tahoma" w:cs="Tahoma"/>
              </w:rPr>
              <w:t>Windows 8 Enterprise</w:t>
            </w:r>
          </w:p>
        </w:tc>
        <w:tc>
          <w:tcPr>
            <w:tcW w:w="1530" w:type="dxa"/>
            <w:tcBorders>
              <w:top w:val="nil"/>
              <w:left w:val="nil"/>
              <w:bottom w:val="single" w:sz="4" w:space="0" w:color="auto"/>
              <w:right w:val="single" w:sz="4" w:space="0" w:color="auto"/>
            </w:tcBorders>
            <w:vAlign w:val="center"/>
          </w:tcPr>
          <w:p w:rsidR="004B4C79" w:rsidRPr="00BD7CEA"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BD7CEA" w:rsidRDefault="004B4C79" w:rsidP="00E06FE8">
            <w:pPr>
              <w:pStyle w:val="AppendixTableText"/>
              <w:rPr>
                <w:rFonts w:ascii="Tahoma" w:hAnsi="Tahoma" w:cs="Tahoma"/>
              </w:rPr>
            </w:pPr>
            <w:r w:rsidRPr="00BD7CEA">
              <w:rPr>
                <w:rFonts w:ascii="Tahoma" w:hAnsi="Tahoma" w:cs="Tahoma"/>
              </w:rPr>
              <w:t>Sì</w:t>
            </w:r>
          </w:p>
        </w:tc>
        <w:tc>
          <w:tcPr>
            <w:tcW w:w="1530" w:type="dxa"/>
            <w:tcBorders>
              <w:top w:val="nil"/>
              <w:left w:val="nil"/>
              <w:bottom w:val="single" w:sz="4" w:space="0" w:color="auto"/>
              <w:right w:val="single" w:sz="4" w:space="0" w:color="auto"/>
            </w:tcBorders>
            <w:vAlign w:val="center"/>
          </w:tcPr>
          <w:p w:rsidR="004B4C79" w:rsidRPr="00BD7CEA"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BD7CEA" w:rsidRDefault="004B4C79" w:rsidP="00E06FE8">
            <w:pPr>
              <w:pStyle w:val="AppendixTableText"/>
              <w:rPr>
                <w:rFonts w:ascii="Tahoma" w:hAnsi="Tahoma" w:cs="Tahoma"/>
              </w:rPr>
            </w:pPr>
            <w:r w:rsidRPr="00BD7CEA">
              <w:rPr>
                <w:rFonts w:ascii="Tahoma" w:hAnsi="Tahoma" w:cs="Tahoma"/>
              </w:rPr>
              <w:t>Sì</w:t>
            </w:r>
          </w:p>
        </w:tc>
        <w:tc>
          <w:tcPr>
            <w:tcW w:w="1440" w:type="dxa"/>
            <w:tcBorders>
              <w:top w:val="nil"/>
              <w:left w:val="nil"/>
              <w:bottom w:val="single" w:sz="4" w:space="0" w:color="auto"/>
              <w:right w:val="single" w:sz="4" w:space="0" w:color="auto"/>
            </w:tcBorders>
            <w:vAlign w:val="center"/>
          </w:tcPr>
          <w:p w:rsidR="004B4C79" w:rsidRPr="00BD7CEA" w:rsidRDefault="004B4C79" w:rsidP="00E06FE8">
            <w:pPr>
              <w:pStyle w:val="AppendixTableText"/>
              <w:rPr>
                <w:rFonts w:ascii="Tahoma" w:hAnsi="Tahoma" w:cs="Tahoma"/>
              </w:rPr>
            </w:pPr>
          </w:p>
        </w:tc>
      </w:tr>
      <w:tr w:rsidR="004B4C79" w:rsidRPr="00BD7CEA"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BD7CEA" w:rsidRDefault="004B4C79">
            <w:pPr>
              <w:pStyle w:val="AppendixTableText"/>
              <w:jc w:val="left"/>
              <w:rPr>
                <w:rFonts w:ascii="Tahoma" w:hAnsi="Tahoma" w:cs="Tahoma"/>
              </w:rPr>
            </w:pPr>
            <w:r w:rsidRPr="00BD7CEA">
              <w:rPr>
                <w:rFonts w:ascii="Tahoma" w:hAnsi="Tahoma" w:cs="Tahoma"/>
              </w:rPr>
              <w:t>Voucher Corsi</w:t>
            </w:r>
          </w:p>
        </w:tc>
        <w:tc>
          <w:tcPr>
            <w:tcW w:w="1530" w:type="dxa"/>
            <w:tcBorders>
              <w:top w:val="nil"/>
              <w:left w:val="nil"/>
              <w:bottom w:val="single" w:sz="4" w:space="0" w:color="auto"/>
              <w:right w:val="single" w:sz="4" w:space="0" w:color="auto"/>
            </w:tcBorders>
            <w:vAlign w:val="center"/>
          </w:tcPr>
          <w:p w:rsidR="004B4C79" w:rsidRPr="00BD7CEA" w:rsidRDefault="004B4C79" w:rsidP="00E06FE8">
            <w:pPr>
              <w:pStyle w:val="AppendixTableText"/>
              <w:rPr>
                <w:rFonts w:ascii="Tahoma" w:hAnsi="Tahoma" w:cs="Tahoma"/>
              </w:rPr>
            </w:pPr>
            <w:r w:rsidRPr="00BD7CEA">
              <w:rPr>
                <w:rFonts w:ascii="Tahoma" w:hAnsi="Tahoma" w:cs="Tahoma"/>
              </w:rPr>
              <w:t>Sì</w:t>
            </w:r>
          </w:p>
        </w:tc>
        <w:tc>
          <w:tcPr>
            <w:tcW w:w="1530" w:type="dxa"/>
            <w:tcBorders>
              <w:top w:val="nil"/>
              <w:left w:val="nil"/>
              <w:bottom w:val="single" w:sz="4" w:space="0" w:color="auto"/>
              <w:right w:val="single" w:sz="4" w:space="0" w:color="auto"/>
            </w:tcBorders>
            <w:vAlign w:val="center"/>
          </w:tcPr>
          <w:p w:rsidR="004B4C79" w:rsidRPr="00BD7CEA" w:rsidRDefault="004B4C79" w:rsidP="00E06FE8">
            <w:pPr>
              <w:pStyle w:val="AppendixTableText"/>
              <w:rPr>
                <w:rFonts w:ascii="Tahoma" w:hAnsi="Tahoma" w:cs="Tahoma"/>
              </w:rPr>
            </w:pPr>
            <w:r w:rsidRPr="00BD7CEA">
              <w:rPr>
                <w:rFonts w:ascii="Tahoma" w:hAnsi="Tahoma" w:cs="Tahoma"/>
              </w:rPr>
              <w:t>Sì</w:t>
            </w:r>
          </w:p>
        </w:tc>
        <w:tc>
          <w:tcPr>
            <w:tcW w:w="1530" w:type="dxa"/>
            <w:tcBorders>
              <w:top w:val="nil"/>
              <w:left w:val="nil"/>
              <w:bottom w:val="single" w:sz="4" w:space="0" w:color="auto"/>
              <w:right w:val="single" w:sz="4" w:space="0" w:color="auto"/>
            </w:tcBorders>
            <w:vAlign w:val="center"/>
          </w:tcPr>
          <w:p w:rsidR="004B4C79" w:rsidRPr="00BD7CEA"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BD7CEA"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BD7CEA" w:rsidRDefault="004B4C79" w:rsidP="00E06FE8">
            <w:pPr>
              <w:pStyle w:val="AppendixTableText"/>
              <w:rPr>
                <w:rFonts w:ascii="Tahoma" w:hAnsi="Tahoma" w:cs="Tahoma"/>
              </w:rPr>
            </w:pPr>
          </w:p>
        </w:tc>
      </w:tr>
      <w:tr w:rsidR="004B4C79" w:rsidRPr="00BD7CEA"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BD7CEA" w:rsidRDefault="004B4C79">
            <w:pPr>
              <w:pStyle w:val="AppendixTableText"/>
              <w:jc w:val="left"/>
              <w:rPr>
                <w:rFonts w:ascii="Tahoma" w:hAnsi="Tahoma" w:cs="Tahoma"/>
              </w:rPr>
            </w:pPr>
            <w:r w:rsidRPr="00BD7CEA">
              <w:rPr>
                <w:rFonts w:ascii="Tahoma" w:hAnsi="Tahoma" w:cs="Tahoma"/>
              </w:rPr>
              <w:t>E-Learning</w:t>
            </w:r>
          </w:p>
        </w:tc>
        <w:tc>
          <w:tcPr>
            <w:tcW w:w="1530" w:type="dxa"/>
            <w:tcBorders>
              <w:top w:val="nil"/>
              <w:left w:val="nil"/>
              <w:bottom w:val="single" w:sz="4" w:space="0" w:color="auto"/>
              <w:right w:val="single" w:sz="4" w:space="0" w:color="auto"/>
            </w:tcBorders>
            <w:vAlign w:val="center"/>
          </w:tcPr>
          <w:p w:rsidR="004B4C79" w:rsidRPr="00BD7CEA" w:rsidRDefault="004B4C79" w:rsidP="00E06FE8">
            <w:pPr>
              <w:pStyle w:val="AppendixTableText"/>
              <w:rPr>
                <w:rFonts w:ascii="Tahoma" w:hAnsi="Tahoma" w:cs="Tahoma"/>
              </w:rPr>
            </w:pPr>
            <w:r w:rsidRPr="00BD7CEA">
              <w:rPr>
                <w:rFonts w:ascii="Tahoma" w:hAnsi="Tahoma" w:cs="Tahoma"/>
              </w:rPr>
              <w:t>Sì</w:t>
            </w:r>
          </w:p>
        </w:tc>
        <w:tc>
          <w:tcPr>
            <w:tcW w:w="1530" w:type="dxa"/>
            <w:tcBorders>
              <w:top w:val="nil"/>
              <w:left w:val="nil"/>
              <w:bottom w:val="single" w:sz="4" w:space="0" w:color="auto"/>
              <w:right w:val="single" w:sz="4" w:space="0" w:color="auto"/>
            </w:tcBorders>
            <w:vAlign w:val="center"/>
          </w:tcPr>
          <w:p w:rsidR="004B4C79" w:rsidRPr="00BD7CEA" w:rsidRDefault="004B4C79" w:rsidP="00E06FE8">
            <w:pPr>
              <w:pStyle w:val="AppendixTableText"/>
              <w:rPr>
                <w:rFonts w:ascii="Tahoma" w:hAnsi="Tahoma" w:cs="Tahoma"/>
              </w:rPr>
            </w:pPr>
            <w:r w:rsidRPr="00BD7CEA">
              <w:rPr>
                <w:rFonts w:ascii="Tahoma" w:hAnsi="Tahoma" w:cs="Tahoma"/>
              </w:rPr>
              <w:t>Sì</w:t>
            </w:r>
          </w:p>
        </w:tc>
        <w:tc>
          <w:tcPr>
            <w:tcW w:w="1530" w:type="dxa"/>
            <w:tcBorders>
              <w:top w:val="nil"/>
              <w:left w:val="nil"/>
              <w:bottom w:val="single" w:sz="4" w:space="0" w:color="auto"/>
              <w:right w:val="single" w:sz="4" w:space="0" w:color="auto"/>
            </w:tcBorders>
            <w:vAlign w:val="center"/>
          </w:tcPr>
          <w:p w:rsidR="004B4C79" w:rsidRPr="00BD7CEA" w:rsidRDefault="004B4C79" w:rsidP="00E06FE8">
            <w:pPr>
              <w:pStyle w:val="AppendixTableText"/>
              <w:rPr>
                <w:rFonts w:ascii="Tahoma" w:hAnsi="Tahoma" w:cs="Tahoma"/>
              </w:rPr>
            </w:pPr>
            <w:r w:rsidRPr="00BD7CEA">
              <w:rPr>
                <w:rFonts w:ascii="Tahoma" w:hAnsi="Tahoma" w:cs="Tahoma"/>
              </w:rPr>
              <w:t>Sì</w:t>
            </w:r>
          </w:p>
        </w:tc>
        <w:tc>
          <w:tcPr>
            <w:tcW w:w="1530" w:type="dxa"/>
            <w:tcBorders>
              <w:top w:val="nil"/>
              <w:left w:val="nil"/>
              <w:bottom w:val="single" w:sz="4" w:space="0" w:color="auto"/>
              <w:right w:val="single" w:sz="4" w:space="0" w:color="auto"/>
            </w:tcBorders>
            <w:vAlign w:val="center"/>
          </w:tcPr>
          <w:p w:rsidR="004B4C79" w:rsidRPr="00BD7CEA" w:rsidRDefault="004B4C79" w:rsidP="00E06FE8">
            <w:pPr>
              <w:pStyle w:val="AppendixTableText"/>
              <w:rPr>
                <w:rFonts w:ascii="Tahoma" w:hAnsi="Tahoma" w:cs="Tahoma"/>
              </w:rPr>
            </w:pPr>
            <w:r w:rsidRPr="00BD7CEA">
              <w:rPr>
                <w:rFonts w:ascii="Tahoma" w:hAnsi="Tahoma" w:cs="Tahoma"/>
              </w:rPr>
              <w:t>Sì</w:t>
            </w:r>
          </w:p>
        </w:tc>
        <w:tc>
          <w:tcPr>
            <w:tcW w:w="1440" w:type="dxa"/>
            <w:tcBorders>
              <w:top w:val="nil"/>
              <w:left w:val="nil"/>
              <w:bottom w:val="single" w:sz="4" w:space="0" w:color="auto"/>
              <w:right w:val="single" w:sz="4" w:space="0" w:color="auto"/>
            </w:tcBorders>
            <w:vAlign w:val="center"/>
          </w:tcPr>
          <w:p w:rsidR="004B4C79" w:rsidRPr="00BD7CEA" w:rsidRDefault="004B4C79" w:rsidP="00E06FE8">
            <w:pPr>
              <w:pStyle w:val="AppendixTableText"/>
              <w:rPr>
                <w:rFonts w:ascii="Tahoma" w:hAnsi="Tahoma" w:cs="Tahoma"/>
              </w:rPr>
            </w:pPr>
            <w:r w:rsidRPr="00BD7CEA">
              <w:rPr>
                <w:rFonts w:ascii="Tahoma" w:hAnsi="Tahoma" w:cs="Tahoma"/>
              </w:rPr>
              <w:t>Sì</w:t>
            </w:r>
          </w:p>
        </w:tc>
      </w:tr>
      <w:tr w:rsidR="004B4C79" w:rsidRPr="00BD7CEA"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BD7CEA" w:rsidRDefault="004B4C79">
            <w:pPr>
              <w:pStyle w:val="AppendixTableText"/>
              <w:jc w:val="left"/>
              <w:rPr>
                <w:rFonts w:ascii="Tahoma" w:hAnsi="Tahoma" w:cs="Tahoma"/>
              </w:rPr>
            </w:pPr>
            <w:r w:rsidRPr="00BD7CEA">
              <w:rPr>
                <w:rFonts w:ascii="Tahoma" w:hAnsi="Tahoma" w:cs="Tahoma"/>
              </w:rPr>
              <w:t>Home Use Program</w:t>
            </w:r>
          </w:p>
        </w:tc>
        <w:tc>
          <w:tcPr>
            <w:tcW w:w="1530" w:type="dxa"/>
            <w:tcBorders>
              <w:top w:val="nil"/>
              <w:left w:val="nil"/>
              <w:bottom w:val="single" w:sz="4" w:space="0" w:color="auto"/>
              <w:right w:val="single" w:sz="4" w:space="0" w:color="auto"/>
            </w:tcBorders>
            <w:vAlign w:val="center"/>
          </w:tcPr>
          <w:p w:rsidR="004B4C79" w:rsidRPr="00BD7CEA" w:rsidRDefault="004B4C79" w:rsidP="00E06FE8">
            <w:pPr>
              <w:pStyle w:val="AppendixTableText"/>
              <w:rPr>
                <w:rFonts w:ascii="Tahoma" w:hAnsi="Tahoma" w:cs="Tahoma"/>
              </w:rPr>
            </w:pPr>
            <w:r w:rsidRPr="00BD7CEA">
              <w:rPr>
                <w:rFonts w:ascii="Tahoma" w:hAnsi="Tahoma" w:cs="Tahoma"/>
              </w:rPr>
              <w:t>Sì</w:t>
            </w:r>
          </w:p>
        </w:tc>
        <w:tc>
          <w:tcPr>
            <w:tcW w:w="1530" w:type="dxa"/>
            <w:tcBorders>
              <w:top w:val="nil"/>
              <w:left w:val="nil"/>
              <w:bottom w:val="single" w:sz="4" w:space="0" w:color="auto"/>
              <w:right w:val="single" w:sz="4" w:space="0" w:color="auto"/>
            </w:tcBorders>
            <w:vAlign w:val="center"/>
          </w:tcPr>
          <w:p w:rsidR="004B4C79" w:rsidRPr="00BD7CEA"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BD7CEA"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BD7CEA"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BD7CEA" w:rsidRDefault="004B4C79" w:rsidP="00E06FE8">
            <w:pPr>
              <w:pStyle w:val="AppendixTableText"/>
              <w:rPr>
                <w:rFonts w:ascii="Tahoma" w:hAnsi="Tahoma" w:cs="Tahoma"/>
              </w:rPr>
            </w:pPr>
          </w:p>
        </w:tc>
      </w:tr>
      <w:tr w:rsidR="004B4C79" w:rsidRPr="00BD7CEA"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BD7CEA" w:rsidRDefault="004B4C79">
            <w:pPr>
              <w:pStyle w:val="AppendixTableText"/>
              <w:jc w:val="left"/>
              <w:rPr>
                <w:rFonts w:ascii="Tahoma" w:hAnsi="Tahoma" w:cs="Tahoma"/>
              </w:rPr>
            </w:pPr>
            <w:r w:rsidRPr="00BD7CEA">
              <w:rPr>
                <w:rFonts w:ascii="Tahoma" w:hAnsi="Tahoma" w:cs="Tahoma"/>
              </w:rPr>
              <w:t>Enterprise Source Licensing Program</w:t>
            </w:r>
          </w:p>
        </w:tc>
        <w:tc>
          <w:tcPr>
            <w:tcW w:w="1530" w:type="dxa"/>
            <w:tcBorders>
              <w:top w:val="nil"/>
              <w:left w:val="nil"/>
              <w:bottom w:val="single" w:sz="4" w:space="0" w:color="auto"/>
              <w:right w:val="single" w:sz="4" w:space="0" w:color="auto"/>
            </w:tcBorders>
            <w:vAlign w:val="center"/>
          </w:tcPr>
          <w:p w:rsidR="004B4C79" w:rsidRPr="00BD7CEA"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BD7CEA" w:rsidRDefault="004B4C79" w:rsidP="00E06FE8">
            <w:pPr>
              <w:pStyle w:val="AppendixTableText"/>
              <w:rPr>
                <w:rFonts w:ascii="Tahoma" w:hAnsi="Tahoma" w:cs="Tahoma"/>
              </w:rPr>
            </w:pPr>
            <w:r w:rsidRPr="00BD7CEA">
              <w:rPr>
                <w:rFonts w:ascii="Tahoma" w:hAnsi="Tahoma" w:cs="Tahoma"/>
              </w:rPr>
              <w:t>Sì</w:t>
            </w:r>
          </w:p>
        </w:tc>
        <w:tc>
          <w:tcPr>
            <w:tcW w:w="1530" w:type="dxa"/>
            <w:tcBorders>
              <w:top w:val="nil"/>
              <w:left w:val="nil"/>
              <w:bottom w:val="single" w:sz="4" w:space="0" w:color="auto"/>
              <w:right w:val="single" w:sz="4" w:space="0" w:color="auto"/>
            </w:tcBorders>
            <w:vAlign w:val="center"/>
          </w:tcPr>
          <w:p w:rsidR="004B4C79" w:rsidRPr="00BD7CEA"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BD7CEA"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BD7CEA" w:rsidRDefault="004B4C79" w:rsidP="00E06FE8">
            <w:pPr>
              <w:pStyle w:val="AppendixTableText"/>
              <w:rPr>
                <w:rFonts w:ascii="Tahoma" w:hAnsi="Tahoma" w:cs="Tahoma"/>
              </w:rPr>
            </w:pPr>
          </w:p>
        </w:tc>
      </w:tr>
      <w:tr w:rsidR="004B4C79" w:rsidRPr="00BD7CEA"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7B74B7" w:rsidRDefault="004B4C79" w:rsidP="00615CCC">
            <w:pPr>
              <w:pStyle w:val="AppendixTableText"/>
              <w:jc w:val="left"/>
              <w:rPr>
                <w:rFonts w:ascii="Tahoma" w:hAnsi="Tahoma" w:cs="Tahoma"/>
                <w:lang w:val="it-IT"/>
              </w:rPr>
            </w:pPr>
            <w:r w:rsidRPr="007B74B7">
              <w:rPr>
                <w:rFonts w:ascii="Tahoma" w:hAnsi="Tahoma" w:cs="Tahoma"/>
                <w:lang w:val="it-IT"/>
              </w:rPr>
              <w:t>Supporto per la Risoluzione dei Problemi</w:t>
            </w:r>
            <w:r w:rsidR="00615CCC" w:rsidRPr="007B74B7">
              <w:rPr>
                <w:rFonts w:ascii="Tahoma" w:hAnsi="Tahoma" w:cs="Tahoma"/>
                <w:lang w:val="it-IT"/>
              </w:rPr>
              <w:t> </w:t>
            </w:r>
            <w:r w:rsidRPr="007B74B7">
              <w:rPr>
                <w:rFonts w:ascii="Tahoma" w:hAnsi="Tahoma" w:cs="Tahoma"/>
                <w:lang w:val="it-IT"/>
              </w:rPr>
              <w:t>24x7</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BD7CEA" w:rsidRDefault="004B4C79" w:rsidP="00E06FE8">
            <w:pPr>
              <w:pStyle w:val="AppendixTableText"/>
              <w:rPr>
                <w:rFonts w:ascii="Tahoma" w:hAnsi="Tahoma" w:cs="Tahoma"/>
              </w:rPr>
            </w:pPr>
            <w:r w:rsidRPr="00BD7CEA">
              <w:rPr>
                <w:rFonts w:ascii="Tahoma" w:hAnsi="Tahoma" w:cs="Tahoma"/>
              </w:rPr>
              <w:t>Sì</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BD7CEA" w:rsidRDefault="004B4C79" w:rsidP="00E06FE8">
            <w:pPr>
              <w:pStyle w:val="AppendixTableText"/>
              <w:rPr>
                <w:rFonts w:ascii="Tahoma" w:hAnsi="Tahoma" w:cs="Tahoma"/>
              </w:rPr>
            </w:pPr>
            <w:r w:rsidRPr="00BD7CEA">
              <w:rPr>
                <w:rFonts w:ascii="Tahoma" w:hAnsi="Tahoma" w:cs="Tahoma"/>
              </w:rPr>
              <w:t>Sì</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BD7CEA" w:rsidRDefault="004B4C79" w:rsidP="00E06FE8">
            <w:pPr>
              <w:pStyle w:val="AppendixTableText"/>
              <w:rPr>
                <w:rStyle w:val="CommentReference"/>
                <w:rFonts w:ascii="Tahoma" w:hAnsi="Tahoma" w:cs="Tahoma"/>
                <w:sz w:val="18"/>
                <w:szCs w:val="18"/>
              </w:rPr>
            </w:pPr>
            <w:r w:rsidRPr="00BD7CEA">
              <w:rPr>
                <w:rFonts w:ascii="Tahoma" w:hAnsi="Tahoma" w:cs="Tahoma"/>
              </w:rPr>
              <w:t>Sì</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BD7CEA"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BD7CEA" w:rsidRDefault="004B4C79" w:rsidP="00E06FE8">
            <w:pPr>
              <w:pStyle w:val="AppendixTableText"/>
              <w:rPr>
                <w:rFonts w:ascii="Tahoma" w:hAnsi="Tahoma" w:cs="Tahoma"/>
              </w:rPr>
            </w:pPr>
          </w:p>
        </w:tc>
      </w:tr>
      <w:tr w:rsidR="00620185" w:rsidRPr="00BD7CEA" w:rsidTr="007E466C">
        <w:trPr>
          <w:trHeight w:val="255"/>
        </w:trPr>
        <w:tc>
          <w:tcPr>
            <w:tcW w:w="2167" w:type="dxa"/>
            <w:tcBorders>
              <w:top w:val="nil"/>
              <w:left w:val="single" w:sz="4" w:space="0" w:color="auto"/>
              <w:bottom w:val="single" w:sz="4" w:space="0" w:color="auto"/>
              <w:right w:val="single" w:sz="4" w:space="0" w:color="auto"/>
            </w:tcBorders>
            <w:vAlign w:val="bottom"/>
          </w:tcPr>
          <w:p w:rsidR="00620185" w:rsidRPr="00BD7CEA" w:rsidRDefault="00620185">
            <w:pPr>
              <w:pStyle w:val="AppendixTableText"/>
              <w:jc w:val="left"/>
              <w:rPr>
                <w:rFonts w:ascii="Tahoma" w:hAnsi="Tahoma" w:cs="Tahoma"/>
              </w:rPr>
            </w:pPr>
            <w:r w:rsidRPr="00BD7CEA">
              <w:rPr>
                <w:rFonts w:ascii="Tahoma" w:hAnsi="Tahoma" w:cs="Tahoma"/>
              </w:rPr>
              <w:t>System Center Advisor</w:t>
            </w:r>
          </w:p>
        </w:tc>
        <w:tc>
          <w:tcPr>
            <w:tcW w:w="1530" w:type="dxa"/>
            <w:tcBorders>
              <w:top w:val="nil"/>
              <w:left w:val="nil"/>
              <w:bottom w:val="single" w:sz="4" w:space="0" w:color="auto"/>
              <w:right w:val="single" w:sz="4" w:space="0" w:color="auto"/>
            </w:tcBorders>
            <w:vAlign w:val="center"/>
          </w:tcPr>
          <w:p w:rsidR="00620185" w:rsidRPr="00BD7CEA" w:rsidRDefault="00620185"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620185" w:rsidRPr="00BD7CEA" w:rsidRDefault="00620185"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620185" w:rsidRPr="00BD7CEA" w:rsidRDefault="00620185" w:rsidP="00E06FE8">
            <w:pPr>
              <w:pStyle w:val="AppendixTableText"/>
              <w:rPr>
                <w:rFonts w:ascii="Tahoma" w:hAnsi="Tahoma" w:cs="Tahoma"/>
              </w:rPr>
            </w:pPr>
            <w:r w:rsidRPr="00BD7CEA">
              <w:rPr>
                <w:rFonts w:ascii="Tahoma" w:hAnsi="Tahoma" w:cs="Tahoma"/>
              </w:rPr>
              <w:t>Sì</w:t>
            </w:r>
          </w:p>
        </w:tc>
        <w:tc>
          <w:tcPr>
            <w:tcW w:w="1530" w:type="dxa"/>
            <w:tcBorders>
              <w:top w:val="nil"/>
              <w:left w:val="nil"/>
              <w:bottom w:val="single" w:sz="4" w:space="0" w:color="auto"/>
              <w:right w:val="single" w:sz="4" w:space="0" w:color="auto"/>
            </w:tcBorders>
            <w:vAlign w:val="center"/>
          </w:tcPr>
          <w:p w:rsidR="00620185" w:rsidRPr="00BD7CEA" w:rsidRDefault="00620185"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620185" w:rsidRPr="00BD7CEA" w:rsidRDefault="00620185" w:rsidP="00E06FE8">
            <w:pPr>
              <w:pStyle w:val="AppendixTableText"/>
              <w:rPr>
                <w:rFonts w:ascii="Tahoma" w:hAnsi="Tahoma" w:cs="Tahoma"/>
              </w:rPr>
            </w:pPr>
          </w:p>
        </w:tc>
      </w:tr>
      <w:tr w:rsidR="00E06FE8" w:rsidRPr="00BD7CEA" w:rsidTr="007E466C">
        <w:trPr>
          <w:trHeight w:val="255"/>
        </w:trPr>
        <w:tc>
          <w:tcPr>
            <w:tcW w:w="2167" w:type="dxa"/>
            <w:tcBorders>
              <w:top w:val="nil"/>
              <w:left w:val="single" w:sz="4" w:space="0" w:color="auto"/>
              <w:bottom w:val="single" w:sz="4" w:space="0" w:color="auto"/>
              <w:right w:val="single" w:sz="4" w:space="0" w:color="auto"/>
            </w:tcBorders>
            <w:vAlign w:val="bottom"/>
          </w:tcPr>
          <w:p w:rsidR="00E06FE8" w:rsidRPr="00BD7CEA" w:rsidRDefault="00E06FE8">
            <w:pPr>
              <w:pStyle w:val="AppendixTableText"/>
              <w:jc w:val="left"/>
              <w:rPr>
                <w:rFonts w:ascii="Tahoma" w:hAnsi="Tahoma" w:cs="Tahoma"/>
              </w:rPr>
            </w:pPr>
            <w:r w:rsidRPr="00BD7CEA">
              <w:rPr>
                <w:rFonts w:ascii="Tahoma" w:hAnsi="Tahoma" w:cs="Tahoma"/>
              </w:rPr>
              <w:t>System Center Global Service Monitor</w:t>
            </w:r>
          </w:p>
        </w:tc>
        <w:tc>
          <w:tcPr>
            <w:tcW w:w="1530" w:type="dxa"/>
            <w:tcBorders>
              <w:top w:val="nil"/>
              <w:left w:val="nil"/>
              <w:bottom w:val="single" w:sz="4" w:space="0" w:color="auto"/>
              <w:right w:val="single" w:sz="4" w:space="0" w:color="auto"/>
            </w:tcBorders>
            <w:vAlign w:val="center"/>
          </w:tcPr>
          <w:p w:rsidR="00E06FE8" w:rsidRPr="00BD7CEA" w:rsidRDefault="00E06FE8"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E06FE8" w:rsidRPr="00BD7CEA" w:rsidRDefault="00E06FE8"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E06FE8" w:rsidRPr="00BD7CEA" w:rsidRDefault="00E06FE8" w:rsidP="00E06FE8">
            <w:pPr>
              <w:pStyle w:val="AppendixTableText"/>
              <w:rPr>
                <w:rFonts w:ascii="Tahoma" w:hAnsi="Tahoma" w:cs="Tahoma"/>
              </w:rPr>
            </w:pPr>
            <w:r w:rsidRPr="00BD7CEA">
              <w:rPr>
                <w:rFonts w:ascii="Tahoma" w:hAnsi="Tahoma" w:cs="Tahoma"/>
              </w:rPr>
              <w:t>Sì</w:t>
            </w:r>
          </w:p>
        </w:tc>
        <w:tc>
          <w:tcPr>
            <w:tcW w:w="1530" w:type="dxa"/>
            <w:tcBorders>
              <w:top w:val="nil"/>
              <w:left w:val="nil"/>
              <w:bottom w:val="single" w:sz="4" w:space="0" w:color="auto"/>
              <w:right w:val="single" w:sz="4" w:space="0" w:color="auto"/>
            </w:tcBorders>
            <w:vAlign w:val="center"/>
          </w:tcPr>
          <w:p w:rsidR="00E06FE8" w:rsidRPr="00BD7CEA" w:rsidRDefault="00E06FE8"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E06FE8" w:rsidRPr="00BD7CEA" w:rsidRDefault="00E06FE8" w:rsidP="00E06FE8">
            <w:pPr>
              <w:pStyle w:val="AppendixTableText"/>
              <w:rPr>
                <w:rFonts w:ascii="Tahoma" w:hAnsi="Tahoma" w:cs="Tahoma"/>
              </w:rPr>
            </w:pPr>
          </w:p>
        </w:tc>
      </w:tr>
      <w:tr w:rsidR="004B4C79" w:rsidRPr="00BD7CEA"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7B74B7" w:rsidRDefault="004B4C79">
            <w:pPr>
              <w:pStyle w:val="AppendixTableText"/>
              <w:jc w:val="left"/>
              <w:rPr>
                <w:rFonts w:ascii="Tahoma" w:hAnsi="Tahoma" w:cs="Tahoma"/>
                <w:lang w:val="it-IT"/>
              </w:rPr>
            </w:pPr>
            <w:r w:rsidRPr="007B74B7">
              <w:rPr>
                <w:rFonts w:ascii="Tahoma" w:hAnsi="Tahoma" w:cs="Tahoma"/>
                <w:lang w:val="it-IT"/>
              </w:rPr>
              <w:t>Back-up per Ripristino di Emergenza “a Freddo”</w:t>
            </w:r>
          </w:p>
        </w:tc>
        <w:tc>
          <w:tcPr>
            <w:tcW w:w="1530" w:type="dxa"/>
            <w:tcBorders>
              <w:top w:val="nil"/>
              <w:left w:val="nil"/>
              <w:bottom w:val="single" w:sz="4" w:space="0" w:color="auto"/>
              <w:right w:val="single" w:sz="4" w:space="0" w:color="auto"/>
            </w:tcBorders>
            <w:vAlign w:val="center"/>
          </w:tcPr>
          <w:p w:rsidR="004B4C79" w:rsidRPr="007B74B7" w:rsidRDefault="004B4C79" w:rsidP="00E06FE8">
            <w:pPr>
              <w:pStyle w:val="AppendixTableText"/>
              <w:rPr>
                <w:rFonts w:ascii="Tahoma" w:hAnsi="Tahoma" w:cs="Tahoma"/>
                <w:lang w:val="it-IT"/>
              </w:rPr>
            </w:pPr>
          </w:p>
        </w:tc>
        <w:tc>
          <w:tcPr>
            <w:tcW w:w="1530" w:type="dxa"/>
            <w:tcBorders>
              <w:top w:val="nil"/>
              <w:left w:val="nil"/>
              <w:bottom w:val="single" w:sz="4" w:space="0" w:color="auto"/>
              <w:right w:val="single" w:sz="4" w:space="0" w:color="auto"/>
            </w:tcBorders>
            <w:vAlign w:val="center"/>
          </w:tcPr>
          <w:p w:rsidR="004B4C79" w:rsidRPr="007B74B7" w:rsidRDefault="004B4C79" w:rsidP="00E06FE8">
            <w:pPr>
              <w:pStyle w:val="AppendixTableText"/>
              <w:rPr>
                <w:rFonts w:ascii="Tahoma" w:hAnsi="Tahoma" w:cs="Tahoma"/>
                <w:lang w:val="it-IT"/>
              </w:rPr>
            </w:pPr>
          </w:p>
        </w:tc>
        <w:tc>
          <w:tcPr>
            <w:tcW w:w="1530" w:type="dxa"/>
            <w:tcBorders>
              <w:top w:val="nil"/>
              <w:left w:val="nil"/>
              <w:bottom w:val="single" w:sz="4" w:space="0" w:color="auto"/>
              <w:right w:val="single" w:sz="4" w:space="0" w:color="auto"/>
            </w:tcBorders>
            <w:vAlign w:val="center"/>
          </w:tcPr>
          <w:p w:rsidR="004B4C79" w:rsidRPr="00BD7CEA" w:rsidRDefault="004B4C79" w:rsidP="00E06FE8">
            <w:pPr>
              <w:pStyle w:val="AppendixTableText"/>
              <w:rPr>
                <w:rFonts w:ascii="Tahoma" w:hAnsi="Tahoma" w:cs="Tahoma"/>
              </w:rPr>
            </w:pPr>
            <w:r w:rsidRPr="00BD7CEA">
              <w:rPr>
                <w:rFonts w:ascii="Tahoma" w:hAnsi="Tahoma" w:cs="Tahoma"/>
              </w:rPr>
              <w:t>Sì</w:t>
            </w:r>
          </w:p>
        </w:tc>
        <w:tc>
          <w:tcPr>
            <w:tcW w:w="1530" w:type="dxa"/>
            <w:tcBorders>
              <w:top w:val="nil"/>
              <w:left w:val="nil"/>
              <w:bottom w:val="single" w:sz="4" w:space="0" w:color="auto"/>
              <w:right w:val="single" w:sz="4" w:space="0" w:color="auto"/>
            </w:tcBorders>
            <w:vAlign w:val="center"/>
          </w:tcPr>
          <w:p w:rsidR="004B4C79" w:rsidRPr="00BD7CEA"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BD7CEA" w:rsidRDefault="004B4C79" w:rsidP="00E06FE8">
            <w:pPr>
              <w:pStyle w:val="AppendixTableText"/>
              <w:rPr>
                <w:rFonts w:ascii="Tahoma" w:hAnsi="Tahoma" w:cs="Tahoma"/>
              </w:rPr>
            </w:pPr>
          </w:p>
        </w:tc>
      </w:tr>
      <w:tr w:rsidR="004B4C79" w:rsidRPr="00BD7CEA" w:rsidTr="007E466C">
        <w:trPr>
          <w:trHeight w:val="255"/>
        </w:trPr>
        <w:tc>
          <w:tcPr>
            <w:tcW w:w="2167" w:type="dxa"/>
            <w:tcBorders>
              <w:top w:val="single" w:sz="4" w:space="0" w:color="auto"/>
              <w:left w:val="single" w:sz="4" w:space="0" w:color="auto"/>
              <w:bottom w:val="single" w:sz="4" w:space="0" w:color="auto"/>
              <w:right w:val="single" w:sz="4" w:space="0" w:color="auto"/>
            </w:tcBorders>
            <w:vAlign w:val="bottom"/>
          </w:tcPr>
          <w:p w:rsidR="004B4C79" w:rsidRPr="007B74B7" w:rsidRDefault="004B4C79">
            <w:pPr>
              <w:pStyle w:val="AppendixTableText"/>
              <w:jc w:val="left"/>
              <w:rPr>
                <w:rFonts w:ascii="Tahoma" w:hAnsi="Tahoma" w:cs="Tahoma"/>
                <w:lang w:val="it-IT"/>
              </w:rPr>
            </w:pPr>
            <w:r w:rsidRPr="007B74B7">
              <w:rPr>
                <w:rFonts w:ascii="Tahoma" w:hAnsi="Tahoma" w:cs="Tahoma"/>
                <w:lang w:val="it-IT"/>
              </w:rPr>
              <w:t>Servizi in Abbonamento TechNet SA</w:t>
            </w:r>
          </w:p>
        </w:tc>
        <w:tc>
          <w:tcPr>
            <w:tcW w:w="1530" w:type="dxa"/>
            <w:tcBorders>
              <w:top w:val="single" w:sz="4" w:space="0" w:color="auto"/>
              <w:left w:val="nil"/>
              <w:bottom w:val="single" w:sz="4" w:space="0" w:color="auto"/>
              <w:right w:val="single" w:sz="4" w:space="0" w:color="auto"/>
            </w:tcBorders>
            <w:vAlign w:val="center"/>
          </w:tcPr>
          <w:p w:rsidR="004B4C79" w:rsidRPr="00BD7CEA" w:rsidRDefault="004B4C79" w:rsidP="00E06FE8">
            <w:pPr>
              <w:pStyle w:val="AppendixTableText"/>
              <w:rPr>
                <w:rFonts w:ascii="Tahoma" w:hAnsi="Tahoma" w:cs="Tahoma"/>
              </w:rPr>
            </w:pPr>
            <w:r w:rsidRPr="00BD7CEA">
              <w:rPr>
                <w:rFonts w:ascii="Tahoma" w:hAnsi="Tahoma" w:cs="Tahoma"/>
              </w:rPr>
              <w:t>Sì</w:t>
            </w:r>
          </w:p>
        </w:tc>
        <w:tc>
          <w:tcPr>
            <w:tcW w:w="1530" w:type="dxa"/>
            <w:tcBorders>
              <w:top w:val="single" w:sz="4" w:space="0" w:color="auto"/>
              <w:left w:val="nil"/>
              <w:bottom w:val="single" w:sz="4" w:space="0" w:color="auto"/>
              <w:right w:val="single" w:sz="4" w:space="0" w:color="auto"/>
            </w:tcBorders>
            <w:vAlign w:val="center"/>
          </w:tcPr>
          <w:p w:rsidR="004B4C79" w:rsidRPr="00BD7CEA" w:rsidRDefault="004B4C79" w:rsidP="00E06FE8">
            <w:pPr>
              <w:pStyle w:val="AppendixTableText"/>
              <w:rPr>
                <w:rFonts w:ascii="Tahoma" w:hAnsi="Tahoma" w:cs="Tahoma"/>
              </w:rPr>
            </w:pPr>
            <w:r w:rsidRPr="00BD7CEA">
              <w:rPr>
                <w:rFonts w:ascii="Tahoma" w:hAnsi="Tahoma" w:cs="Tahoma"/>
              </w:rPr>
              <w:t>Sì</w:t>
            </w:r>
          </w:p>
        </w:tc>
        <w:tc>
          <w:tcPr>
            <w:tcW w:w="1530" w:type="dxa"/>
            <w:tcBorders>
              <w:top w:val="single" w:sz="4" w:space="0" w:color="auto"/>
              <w:left w:val="nil"/>
              <w:bottom w:val="single" w:sz="4" w:space="0" w:color="auto"/>
              <w:right w:val="single" w:sz="4" w:space="0" w:color="auto"/>
            </w:tcBorders>
            <w:vAlign w:val="center"/>
          </w:tcPr>
          <w:p w:rsidR="004B4C79" w:rsidRPr="00BD7CEA" w:rsidRDefault="004B4C79" w:rsidP="00E06FE8">
            <w:pPr>
              <w:pStyle w:val="AppendixTableText"/>
              <w:rPr>
                <w:rFonts w:ascii="Tahoma" w:hAnsi="Tahoma" w:cs="Tahoma"/>
              </w:rPr>
            </w:pPr>
            <w:r w:rsidRPr="00BD7CEA">
              <w:rPr>
                <w:rFonts w:ascii="Tahoma" w:hAnsi="Tahoma" w:cs="Tahoma"/>
              </w:rPr>
              <w:t>Sì</w:t>
            </w:r>
          </w:p>
        </w:tc>
        <w:tc>
          <w:tcPr>
            <w:tcW w:w="1530" w:type="dxa"/>
            <w:tcBorders>
              <w:top w:val="single" w:sz="4" w:space="0" w:color="auto"/>
              <w:left w:val="nil"/>
              <w:bottom w:val="single" w:sz="4" w:space="0" w:color="auto"/>
              <w:right w:val="single" w:sz="4" w:space="0" w:color="auto"/>
            </w:tcBorders>
            <w:vAlign w:val="center"/>
          </w:tcPr>
          <w:p w:rsidR="004B4C79" w:rsidRPr="00BD7CEA" w:rsidRDefault="004B4C79" w:rsidP="00E06FE8">
            <w:pPr>
              <w:pStyle w:val="AppendixTableText"/>
              <w:rPr>
                <w:rFonts w:ascii="Tahoma" w:hAnsi="Tahoma" w:cs="Tahoma"/>
              </w:rPr>
            </w:pPr>
          </w:p>
        </w:tc>
        <w:tc>
          <w:tcPr>
            <w:tcW w:w="1440" w:type="dxa"/>
            <w:tcBorders>
              <w:top w:val="single" w:sz="4" w:space="0" w:color="auto"/>
              <w:left w:val="nil"/>
              <w:bottom w:val="single" w:sz="4" w:space="0" w:color="auto"/>
              <w:right w:val="single" w:sz="4" w:space="0" w:color="auto"/>
            </w:tcBorders>
            <w:vAlign w:val="center"/>
          </w:tcPr>
          <w:p w:rsidR="004B4C79" w:rsidRPr="00BD7CEA" w:rsidRDefault="004B4C79" w:rsidP="00E06FE8">
            <w:pPr>
              <w:pStyle w:val="AppendixTableText"/>
              <w:rPr>
                <w:rFonts w:ascii="Tahoma" w:hAnsi="Tahoma" w:cs="Tahoma"/>
              </w:rPr>
            </w:pPr>
          </w:p>
        </w:tc>
      </w:tr>
      <w:tr w:rsidR="004B4C79" w:rsidRPr="00BD7CEA"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BD7CEA" w:rsidRDefault="004B4C79">
            <w:pPr>
              <w:pStyle w:val="AppendixTableText"/>
              <w:jc w:val="left"/>
              <w:rPr>
                <w:rFonts w:ascii="Tahoma" w:hAnsi="Tahoma" w:cs="Tahoma"/>
              </w:rPr>
            </w:pPr>
            <w:r w:rsidRPr="00BD7CEA">
              <w:rPr>
                <w:rFonts w:ascii="Tahoma" w:hAnsi="Tahoma" w:cs="Tahoma"/>
              </w:rPr>
              <w:t>TechNet Plus Direct</w:t>
            </w:r>
          </w:p>
        </w:tc>
        <w:tc>
          <w:tcPr>
            <w:tcW w:w="1530" w:type="dxa"/>
            <w:tcBorders>
              <w:top w:val="nil"/>
              <w:left w:val="nil"/>
              <w:bottom w:val="single" w:sz="4" w:space="0" w:color="auto"/>
              <w:right w:val="single" w:sz="4" w:space="0" w:color="auto"/>
            </w:tcBorders>
            <w:vAlign w:val="center"/>
          </w:tcPr>
          <w:p w:rsidR="004B4C79" w:rsidRPr="00BD7CEA"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BD7CEA"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BD7CEA" w:rsidRDefault="004B4C79" w:rsidP="00E06FE8">
            <w:pPr>
              <w:pStyle w:val="AppendixTableText"/>
              <w:rPr>
                <w:rFonts w:ascii="Tahoma" w:hAnsi="Tahoma" w:cs="Tahoma"/>
              </w:rPr>
            </w:pPr>
            <w:r w:rsidRPr="00BD7CEA">
              <w:rPr>
                <w:rFonts w:ascii="Tahoma" w:hAnsi="Tahoma" w:cs="Tahoma"/>
              </w:rPr>
              <w:t>Sì</w:t>
            </w:r>
          </w:p>
        </w:tc>
        <w:tc>
          <w:tcPr>
            <w:tcW w:w="1530" w:type="dxa"/>
            <w:tcBorders>
              <w:top w:val="nil"/>
              <w:left w:val="nil"/>
              <w:bottom w:val="single" w:sz="4" w:space="0" w:color="auto"/>
              <w:right w:val="single" w:sz="4" w:space="0" w:color="auto"/>
            </w:tcBorders>
            <w:vAlign w:val="center"/>
          </w:tcPr>
          <w:p w:rsidR="004B4C79" w:rsidRPr="00BD7CEA"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BD7CEA" w:rsidRDefault="004B4C79" w:rsidP="00E06FE8">
            <w:pPr>
              <w:pStyle w:val="AppendixTableText"/>
              <w:rPr>
                <w:rFonts w:ascii="Tahoma" w:hAnsi="Tahoma" w:cs="Tahoma"/>
              </w:rPr>
            </w:pPr>
          </w:p>
        </w:tc>
      </w:tr>
      <w:tr w:rsidR="004B4C79" w:rsidRPr="00BD7CEA" w:rsidTr="007E466C">
        <w:trPr>
          <w:trHeight w:val="246"/>
        </w:trPr>
        <w:tc>
          <w:tcPr>
            <w:tcW w:w="2167" w:type="dxa"/>
            <w:tcBorders>
              <w:top w:val="single" w:sz="6" w:space="0" w:color="auto"/>
              <w:left w:val="single" w:sz="4" w:space="0" w:color="auto"/>
              <w:bottom w:val="single" w:sz="6" w:space="0" w:color="auto"/>
              <w:right w:val="single" w:sz="6" w:space="0" w:color="auto"/>
            </w:tcBorders>
            <w:vAlign w:val="bottom"/>
          </w:tcPr>
          <w:p w:rsidR="004B4C79" w:rsidRPr="00BD7CEA" w:rsidRDefault="004B4C79" w:rsidP="005F52C6">
            <w:pPr>
              <w:pStyle w:val="AppendixTableText"/>
              <w:jc w:val="left"/>
              <w:rPr>
                <w:rFonts w:ascii="Tahoma" w:hAnsi="Tahoma" w:cs="Tahoma"/>
              </w:rPr>
            </w:pPr>
            <w:r w:rsidRPr="00BD7CEA">
              <w:rPr>
                <w:rFonts w:ascii="Tahoma" w:hAnsi="Tahoma" w:cs="Tahoma"/>
              </w:rPr>
              <w:t>Windows Thin PC</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BD7CEA"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BD7CEA" w:rsidRDefault="004B4C79" w:rsidP="00E06FE8">
            <w:pPr>
              <w:pStyle w:val="AppendixTableText"/>
              <w:rPr>
                <w:rFonts w:ascii="Tahoma" w:hAnsi="Tahoma" w:cs="Tahoma"/>
              </w:rPr>
            </w:pPr>
            <w:r w:rsidRPr="00BD7CEA">
              <w:rPr>
                <w:rFonts w:ascii="Tahoma" w:hAnsi="Tahoma" w:cs="Tahoma"/>
              </w:rPr>
              <w:t>Sì</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BD7CEA"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BD7CEA" w:rsidRDefault="004B4C79" w:rsidP="00E06FE8">
            <w:pPr>
              <w:pStyle w:val="AppendixTableText"/>
              <w:rPr>
                <w:rFonts w:ascii="Tahoma" w:hAnsi="Tahoma" w:cs="Tahoma"/>
              </w:rPr>
            </w:pPr>
            <w:r w:rsidRPr="00BD7CEA">
              <w:rPr>
                <w:rFonts w:ascii="Tahoma" w:hAnsi="Tahoma" w:cs="Tahoma"/>
              </w:rPr>
              <w:t>Sì</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BD7CEA" w:rsidRDefault="004B4C79" w:rsidP="00E06FE8">
            <w:pPr>
              <w:pStyle w:val="AppendixTableText"/>
              <w:rPr>
                <w:rFonts w:ascii="Tahoma" w:hAnsi="Tahoma" w:cs="Tahoma"/>
              </w:rPr>
            </w:pPr>
          </w:p>
        </w:tc>
      </w:tr>
      <w:tr w:rsidR="004B4C79" w:rsidRPr="00BD7CEA"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BD7CEA" w:rsidRDefault="004B4C79">
            <w:pPr>
              <w:pStyle w:val="AppendixTableText"/>
              <w:jc w:val="left"/>
              <w:rPr>
                <w:rFonts w:ascii="Tahoma" w:hAnsi="Tahoma" w:cs="Tahoma"/>
              </w:rPr>
            </w:pPr>
            <w:r w:rsidRPr="00BD7CEA">
              <w:rPr>
                <w:rFonts w:ascii="Tahoma" w:hAnsi="Tahoma" w:cs="Tahoma"/>
              </w:rPr>
              <w:t>Supporto HotFix Esteso</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BD7CEA" w:rsidRDefault="004B4C79" w:rsidP="00E06FE8">
            <w:pPr>
              <w:pStyle w:val="AppendixTableText"/>
              <w:rPr>
                <w:rFonts w:ascii="Tahoma" w:hAnsi="Tahoma" w:cs="Tahoma"/>
              </w:rPr>
            </w:pPr>
            <w:r w:rsidRPr="00BD7CEA">
              <w:rPr>
                <w:rFonts w:ascii="Tahoma" w:hAnsi="Tahoma" w:cs="Tahoma"/>
              </w:rPr>
              <w:t>Sì</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BD7CEA" w:rsidRDefault="004B4C79" w:rsidP="00E06FE8">
            <w:pPr>
              <w:pStyle w:val="AppendixTableText"/>
              <w:rPr>
                <w:rFonts w:ascii="Tahoma" w:hAnsi="Tahoma" w:cs="Tahoma"/>
              </w:rPr>
            </w:pPr>
            <w:r w:rsidRPr="00BD7CEA">
              <w:rPr>
                <w:rFonts w:ascii="Tahoma" w:hAnsi="Tahoma" w:cs="Tahoma"/>
              </w:rPr>
              <w:t>Sì</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BD7CEA" w:rsidRDefault="004B4C79" w:rsidP="00E06FE8">
            <w:pPr>
              <w:pStyle w:val="AppendixTableText"/>
              <w:rPr>
                <w:rStyle w:val="CommentReference"/>
                <w:rFonts w:ascii="Tahoma" w:hAnsi="Tahoma" w:cs="Tahoma"/>
                <w:sz w:val="18"/>
                <w:szCs w:val="18"/>
              </w:rPr>
            </w:pPr>
            <w:r w:rsidRPr="00BD7CEA">
              <w:rPr>
                <w:rFonts w:ascii="Tahoma" w:hAnsi="Tahoma" w:cs="Tahoma"/>
              </w:rPr>
              <w:t>Sì</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BD7CEA" w:rsidRDefault="004B4C79" w:rsidP="00E06FE8">
            <w:pPr>
              <w:pStyle w:val="AppendixTableText"/>
              <w:rPr>
                <w:rFonts w:ascii="Tahoma" w:hAnsi="Tahoma" w:cs="Tahoma"/>
              </w:rPr>
            </w:pPr>
            <w:r w:rsidRPr="00BD7CEA">
              <w:rPr>
                <w:rFonts w:ascii="Tahoma" w:hAnsi="Tahoma" w:cs="Tahoma"/>
              </w:rPr>
              <w:t>Sì</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BD7CEA" w:rsidRDefault="004B4C79" w:rsidP="00E06FE8">
            <w:pPr>
              <w:pStyle w:val="AppendixTableText"/>
              <w:rPr>
                <w:rFonts w:ascii="Tahoma" w:hAnsi="Tahoma" w:cs="Tahoma"/>
              </w:rPr>
            </w:pPr>
          </w:p>
        </w:tc>
      </w:tr>
      <w:tr w:rsidR="004B4C79" w:rsidRPr="00BD7CEA"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BD7CEA" w:rsidRDefault="004B4C79" w:rsidP="00615CCC">
            <w:pPr>
              <w:pStyle w:val="AppendixTableText"/>
              <w:jc w:val="left"/>
              <w:rPr>
                <w:rFonts w:ascii="Tahoma" w:hAnsi="Tahoma" w:cs="Tahoma"/>
                <w:color w:val="000000"/>
              </w:rPr>
            </w:pPr>
            <w:r w:rsidRPr="00BD7CEA">
              <w:rPr>
                <w:rFonts w:ascii="Tahoma" w:hAnsi="Tahoma" w:cs="Tahoma"/>
                <w:color w:val="000000"/>
              </w:rPr>
              <w:t>Microsoft Desktop Optimization Pack</w:t>
            </w:r>
            <w:r w:rsidR="00615CCC" w:rsidRPr="00BD7CEA">
              <w:rPr>
                <w:rFonts w:ascii="Tahoma" w:hAnsi="Tahoma" w:cs="Tahoma"/>
                <w:color w:val="000000"/>
              </w:rPr>
              <w:t> </w:t>
            </w:r>
            <w:r w:rsidRPr="00BD7CEA">
              <w:rPr>
                <w:rFonts w:ascii="Tahoma" w:hAnsi="Tahoma" w:cs="Tahoma"/>
                <w:color w:val="000000"/>
              </w:rPr>
              <w:t>(MDOP)</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BD7CEA"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BD7CEA" w:rsidRDefault="004B4C79" w:rsidP="00E06FE8">
            <w:pPr>
              <w:pStyle w:val="AppendixTableText"/>
              <w:spacing w:after="120"/>
              <w:rPr>
                <w:rFonts w:ascii="Tahoma" w:hAnsi="Tahoma" w:cs="Tahoma"/>
                <w:color w:val="000000"/>
              </w:rPr>
            </w:pPr>
            <w:r w:rsidRPr="00BD7CEA">
              <w:rPr>
                <w:rFonts w:ascii="Tahoma" w:hAnsi="Tahoma" w:cs="Tahoma"/>
                <w:color w:val="000000"/>
              </w:rPr>
              <w:t>Sì</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BD7CEA"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BD7CEA" w:rsidRDefault="004B4C79" w:rsidP="00E06FE8">
            <w:pPr>
              <w:pStyle w:val="AppendixTableText"/>
              <w:spacing w:before="120"/>
              <w:rPr>
                <w:rFonts w:ascii="Tahoma" w:hAnsi="Tahoma" w:cs="Tahoma"/>
                <w:color w:val="000000"/>
              </w:rPr>
            </w:pPr>
            <w:r w:rsidRPr="00BD7CEA">
              <w:rPr>
                <w:rFonts w:ascii="Tahoma" w:hAnsi="Tahoma" w:cs="Tahoma"/>
                <w:color w:val="000000"/>
              </w:rPr>
              <w:t>Sì</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BD7CEA" w:rsidRDefault="004B4C79" w:rsidP="00E06FE8">
            <w:pPr>
              <w:pStyle w:val="AppendixTableText"/>
              <w:spacing w:before="120"/>
              <w:rPr>
                <w:rFonts w:ascii="Tahoma" w:hAnsi="Tahoma" w:cs="Tahoma"/>
                <w:color w:val="000000"/>
              </w:rPr>
            </w:pPr>
          </w:p>
        </w:tc>
      </w:tr>
      <w:tr w:rsidR="004B4C79" w:rsidRPr="00BD7CEA"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7B74B7" w:rsidRDefault="00E7419A" w:rsidP="00E7419A">
            <w:pPr>
              <w:pStyle w:val="AppendixTableText"/>
              <w:jc w:val="left"/>
              <w:rPr>
                <w:rFonts w:ascii="Tahoma" w:hAnsi="Tahoma" w:cs="Tahoma"/>
                <w:color w:val="000000"/>
                <w:lang w:val="it-IT"/>
              </w:rPr>
            </w:pPr>
            <w:r w:rsidRPr="007B74B7">
              <w:rPr>
                <w:rFonts w:ascii="Tahoma" w:hAnsi="Tahoma" w:cs="Tahoma"/>
                <w:color w:val="000000"/>
                <w:lang w:val="it-IT"/>
              </w:rPr>
              <w:t>Diritti di Virtualizzazione per Windows Desktops</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7B74B7" w:rsidRDefault="004B4C79" w:rsidP="00E06FE8">
            <w:pPr>
              <w:pStyle w:val="AppendixTableText"/>
              <w:rPr>
                <w:rFonts w:ascii="Tahoma" w:hAnsi="Tahoma" w:cs="Tahoma"/>
                <w:color w:val="000000"/>
                <w:lang w:val="it-IT"/>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BD7CEA" w:rsidRDefault="004B4C79" w:rsidP="00E06FE8">
            <w:pPr>
              <w:pStyle w:val="AppendixTableText"/>
              <w:spacing w:after="120"/>
              <w:rPr>
                <w:rFonts w:ascii="Tahoma" w:hAnsi="Tahoma" w:cs="Tahoma"/>
                <w:color w:val="000000"/>
              </w:rPr>
            </w:pPr>
            <w:r w:rsidRPr="00BD7CEA">
              <w:rPr>
                <w:rFonts w:ascii="Tahoma" w:hAnsi="Tahoma" w:cs="Tahoma"/>
                <w:color w:val="000000"/>
              </w:rPr>
              <w:t>Sì</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BD7CEA"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BD7CEA" w:rsidRDefault="004B4C79" w:rsidP="00E06FE8">
            <w:pPr>
              <w:pStyle w:val="AppendixTableText"/>
              <w:spacing w:before="120"/>
              <w:rPr>
                <w:rFonts w:ascii="Tahoma" w:hAnsi="Tahoma" w:cs="Tahoma"/>
                <w:color w:val="000000"/>
              </w:rPr>
            </w:pPr>
            <w:r w:rsidRPr="00BD7CEA">
              <w:rPr>
                <w:rFonts w:ascii="Tahoma" w:hAnsi="Tahoma" w:cs="Tahoma"/>
                <w:color w:val="000000"/>
              </w:rPr>
              <w:t>Sì</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BD7CEA" w:rsidRDefault="004B4C79" w:rsidP="00E06FE8">
            <w:pPr>
              <w:pStyle w:val="AppendixTableText"/>
              <w:spacing w:before="120"/>
              <w:rPr>
                <w:rFonts w:ascii="Tahoma" w:hAnsi="Tahoma" w:cs="Tahoma"/>
                <w:color w:val="000000"/>
              </w:rPr>
            </w:pPr>
          </w:p>
        </w:tc>
      </w:tr>
      <w:tr w:rsidR="004B4C79" w:rsidRPr="00BD7CEA"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BD7CEA" w:rsidRDefault="004B4C79">
            <w:pPr>
              <w:pStyle w:val="AppendixTableText"/>
              <w:jc w:val="left"/>
              <w:rPr>
                <w:rFonts w:ascii="Tahoma" w:hAnsi="Tahoma" w:cs="Tahoma"/>
                <w:color w:val="000000"/>
              </w:rPr>
            </w:pPr>
            <w:r w:rsidRPr="00BD7CEA">
              <w:rPr>
                <w:rFonts w:ascii="Tahoma" w:hAnsi="Tahoma" w:cs="Tahoma"/>
                <w:color w:val="000000"/>
              </w:rPr>
              <w:t>Windows Virtual Desktop Access (VDA)</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BD7CEA"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BD7CEA" w:rsidRDefault="004B4C79" w:rsidP="00E06FE8">
            <w:pPr>
              <w:pStyle w:val="AppendixTableText"/>
              <w:spacing w:after="120"/>
              <w:rPr>
                <w:rFonts w:ascii="Tahoma" w:hAnsi="Tahoma" w:cs="Tahoma"/>
                <w:color w:val="000000"/>
              </w:rPr>
            </w:pPr>
            <w:r w:rsidRPr="00BD7CEA">
              <w:rPr>
                <w:rFonts w:ascii="Tahoma" w:hAnsi="Tahoma" w:cs="Tahoma"/>
                <w:color w:val="000000"/>
              </w:rPr>
              <w:t>Sì</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BD7CEA"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BD7CEA" w:rsidRDefault="004B4C79" w:rsidP="00E06FE8">
            <w:pPr>
              <w:pStyle w:val="AppendixTableText"/>
              <w:spacing w:before="120"/>
              <w:rPr>
                <w:rFonts w:ascii="Tahoma" w:hAnsi="Tahoma" w:cs="Tahoma"/>
                <w:color w:val="000000"/>
              </w:rPr>
            </w:pPr>
            <w:r w:rsidRPr="00BD7CEA">
              <w:rPr>
                <w:rFonts w:ascii="Tahoma" w:hAnsi="Tahoma" w:cs="Tahoma"/>
                <w:color w:val="000000"/>
              </w:rPr>
              <w:t>Sì</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BD7CEA" w:rsidRDefault="004B4C79" w:rsidP="00E06FE8">
            <w:pPr>
              <w:pStyle w:val="AppendixTableText"/>
              <w:spacing w:before="120"/>
              <w:rPr>
                <w:rFonts w:ascii="Tahoma" w:hAnsi="Tahoma" w:cs="Tahoma"/>
                <w:color w:val="000000"/>
              </w:rPr>
            </w:pPr>
          </w:p>
        </w:tc>
      </w:tr>
      <w:tr w:rsidR="004B4C79" w:rsidRPr="00BD7CEA"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BD7CEA" w:rsidRDefault="004B4C79">
            <w:pPr>
              <w:pStyle w:val="AppendixTableText"/>
              <w:jc w:val="left"/>
              <w:rPr>
                <w:rFonts w:ascii="Tahoma" w:hAnsi="Tahoma" w:cs="Tahoma"/>
              </w:rPr>
            </w:pPr>
            <w:r w:rsidRPr="00BD7CEA">
              <w:rPr>
                <w:rFonts w:ascii="Tahoma" w:hAnsi="Tahoma" w:cs="Tahoma"/>
              </w:rPr>
              <w:t>Licenza Step-Up</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BD7CEA" w:rsidRDefault="004B4C79" w:rsidP="00E06FE8">
            <w:pPr>
              <w:pStyle w:val="AppendixTableText"/>
              <w:rPr>
                <w:rFonts w:ascii="Tahoma" w:hAnsi="Tahoma" w:cs="Tahoma"/>
              </w:rPr>
            </w:pPr>
            <w:r w:rsidRPr="00BD7CEA">
              <w:rPr>
                <w:rFonts w:ascii="Tahoma" w:hAnsi="Tahoma" w:cs="Tahoma"/>
              </w:rPr>
              <w:t>Sì</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BD7CEA" w:rsidRDefault="004B4C79" w:rsidP="00E06FE8">
            <w:pPr>
              <w:pStyle w:val="AppendixTableText"/>
              <w:rPr>
                <w:rFonts w:ascii="Tahoma" w:hAnsi="Tahoma" w:cs="Tahoma"/>
              </w:rPr>
            </w:pPr>
            <w:r w:rsidRPr="00BD7CEA">
              <w:rPr>
                <w:rFonts w:ascii="Tahoma" w:hAnsi="Tahoma" w:cs="Tahoma"/>
              </w:rPr>
              <w:t>No</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BD7CEA" w:rsidRDefault="004B4C79" w:rsidP="00E06FE8">
            <w:pPr>
              <w:pStyle w:val="AppendixTableText"/>
              <w:rPr>
                <w:rFonts w:ascii="Tahoma" w:hAnsi="Tahoma" w:cs="Tahoma"/>
              </w:rPr>
            </w:pPr>
            <w:r w:rsidRPr="00BD7CEA">
              <w:rPr>
                <w:rFonts w:ascii="Tahoma" w:hAnsi="Tahoma" w:cs="Tahoma"/>
              </w:rPr>
              <w:t>Sì</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BD7CEA"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BD7CEA" w:rsidRDefault="004B4C79" w:rsidP="00E06FE8">
            <w:pPr>
              <w:pStyle w:val="AppendixTableText"/>
              <w:rPr>
                <w:rFonts w:ascii="Tahoma" w:hAnsi="Tahoma" w:cs="Tahoma"/>
              </w:rPr>
            </w:pPr>
          </w:p>
        </w:tc>
      </w:tr>
      <w:tr w:rsidR="00870095" w:rsidRPr="00BD7CEA"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870095" w:rsidRPr="00BD7CEA" w:rsidRDefault="00870095">
            <w:pPr>
              <w:pStyle w:val="AppendixTableText"/>
              <w:jc w:val="left"/>
              <w:rPr>
                <w:rFonts w:ascii="Tahoma" w:hAnsi="Tahoma" w:cs="Tahoma"/>
              </w:rPr>
            </w:pPr>
            <w:r w:rsidRPr="00BD7CEA">
              <w:rPr>
                <w:rFonts w:ascii="Tahoma" w:hAnsi="Tahoma" w:cs="Tahoma"/>
              </w:rPr>
              <w:t>Windows 8 Enterprise Sideloading</w:t>
            </w:r>
          </w:p>
        </w:tc>
        <w:tc>
          <w:tcPr>
            <w:tcW w:w="1530" w:type="dxa"/>
            <w:tcBorders>
              <w:top w:val="single" w:sz="6" w:space="0" w:color="auto"/>
              <w:left w:val="single" w:sz="6" w:space="0" w:color="auto"/>
              <w:bottom w:val="single" w:sz="6" w:space="0" w:color="auto"/>
              <w:right w:val="single" w:sz="6" w:space="0" w:color="auto"/>
            </w:tcBorders>
            <w:vAlign w:val="center"/>
          </w:tcPr>
          <w:p w:rsidR="00870095" w:rsidRPr="00BD7CEA" w:rsidRDefault="0087009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rsidR="00870095" w:rsidRPr="00BD7CEA" w:rsidRDefault="00870095" w:rsidP="00E06FE8">
            <w:pPr>
              <w:pStyle w:val="AppendixTableText"/>
              <w:rPr>
                <w:rFonts w:ascii="Tahoma" w:hAnsi="Tahoma" w:cs="Tahoma"/>
              </w:rPr>
            </w:pPr>
            <w:r w:rsidRPr="00BD7CEA">
              <w:rPr>
                <w:rFonts w:ascii="Tahoma" w:hAnsi="Tahoma" w:cs="Tahoma"/>
              </w:rPr>
              <w:t>Sì</w:t>
            </w:r>
          </w:p>
        </w:tc>
        <w:tc>
          <w:tcPr>
            <w:tcW w:w="1530" w:type="dxa"/>
            <w:tcBorders>
              <w:top w:val="single" w:sz="6" w:space="0" w:color="auto"/>
              <w:left w:val="single" w:sz="6" w:space="0" w:color="auto"/>
              <w:bottom w:val="single" w:sz="6" w:space="0" w:color="auto"/>
              <w:right w:val="single" w:sz="4" w:space="0" w:color="auto"/>
            </w:tcBorders>
            <w:vAlign w:val="center"/>
          </w:tcPr>
          <w:p w:rsidR="00870095" w:rsidRPr="00BD7CEA" w:rsidRDefault="0087009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870095" w:rsidRPr="00BD7CEA" w:rsidRDefault="00175615" w:rsidP="00E06FE8">
            <w:pPr>
              <w:pStyle w:val="AppendixTableText"/>
              <w:rPr>
                <w:rFonts w:ascii="Tahoma" w:hAnsi="Tahoma" w:cs="Tahoma"/>
              </w:rPr>
            </w:pPr>
            <w:r w:rsidRPr="00BD7CEA">
              <w:rPr>
                <w:rFonts w:ascii="Tahoma" w:hAnsi="Tahoma" w:cs="Tahoma"/>
              </w:rPr>
              <w:t>Sì</w:t>
            </w:r>
          </w:p>
        </w:tc>
        <w:tc>
          <w:tcPr>
            <w:tcW w:w="1440" w:type="dxa"/>
            <w:tcBorders>
              <w:top w:val="single" w:sz="6" w:space="0" w:color="auto"/>
              <w:left w:val="single" w:sz="6" w:space="0" w:color="auto"/>
              <w:bottom w:val="single" w:sz="6" w:space="0" w:color="auto"/>
              <w:right w:val="single" w:sz="4" w:space="0" w:color="auto"/>
            </w:tcBorders>
            <w:vAlign w:val="center"/>
          </w:tcPr>
          <w:p w:rsidR="00870095" w:rsidRPr="00BD7CEA" w:rsidRDefault="00870095" w:rsidP="00E06FE8">
            <w:pPr>
              <w:pStyle w:val="AppendixTableText"/>
              <w:rPr>
                <w:rFonts w:ascii="Tahoma" w:hAnsi="Tahoma" w:cs="Tahoma"/>
              </w:rPr>
            </w:pPr>
          </w:p>
        </w:tc>
      </w:tr>
      <w:tr w:rsidR="00175615" w:rsidRPr="00BD7CEA"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175615" w:rsidRPr="00BD7CEA" w:rsidRDefault="00175615">
            <w:pPr>
              <w:pStyle w:val="AppendixTableText"/>
              <w:jc w:val="left"/>
              <w:rPr>
                <w:rFonts w:ascii="Tahoma" w:hAnsi="Tahoma" w:cs="Tahoma"/>
              </w:rPr>
            </w:pPr>
            <w:r w:rsidRPr="00BD7CEA">
              <w:rPr>
                <w:rFonts w:ascii="Tahoma" w:hAnsi="Tahoma" w:cs="Tahoma"/>
              </w:rPr>
              <w:t>Licenza “Subscription” per Windows Companion</w:t>
            </w:r>
          </w:p>
        </w:tc>
        <w:tc>
          <w:tcPr>
            <w:tcW w:w="1530" w:type="dxa"/>
            <w:tcBorders>
              <w:top w:val="single" w:sz="6" w:space="0" w:color="auto"/>
              <w:left w:val="single" w:sz="6" w:space="0" w:color="auto"/>
              <w:bottom w:val="single" w:sz="6" w:space="0" w:color="auto"/>
              <w:right w:val="single" w:sz="6" w:space="0" w:color="auto"/>
            </w:tcBorders>
            <w:vAlign w:val="center"/>
          </w:tcPr>
          <w:p w:rsidR="00175615" w:rsidRPr="00BD7CEA" w:rsidRDefault="0017561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rsidR="00175615" w:rsidRPr="00BD7CEA" w:rsidRDefault="00175615" w:rsidP="00E06FE8">
            <w:pPr>
              <w:pStyle w:val="AppendixTableText"/>
              <w:rPr>
                <w:rFonts w:ascii="Tahoma" w:hAnsi="Tahoma" w:cs="Tahoma"/>
              </w:rPr>
            </w:pPr>
            <w:r w:rsidRPr="00BD7CEA">
              <w:rPr>
                <w:rFonts w:ascii="Tahoma" w:hAnsi="Tahoma" w:cs="Tahoma"/>
              </w:rPr>
              <w:t>Sì</w:t>
            </w:r>
          </w:p>
        </w:tc>
        <w:tc>
          <w:tcPr>
            <w:tcW w:w="1530" w:type="dxa"/>
            <w:tcBorders>
              <w:top w:val="single" w:sz="6" w:space="0" w:color="auto"/>
              <w:left w:val="single" w:sz="6" w:space="0" w:color="auto"/>
              <w:bottom w:val="single" w:sz="6" w:space="0" w:color="auto"/>
              <w:right w:val="single" w:sz="4" w:space="0" w:color="auto"/>
            </w:tcBorders>
            <w:vAlign w:val="center"/>
          </w:tcPr>
          <w:p w:rsidR="00175615" w:rsidRPr="00BD7CEA" w:rsidRDefault="0017561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175615" w:rsidRPr="00BD7CEA" w:rsidRDefault="00175615" w:rsidP="00E06FE8">
            <w:pPr>
              <w:pStyle w:val="AppendixTableText"/>
              <w:rPr>
                <w:rFonts w:ascii="Tahoma" w:hAnsi="Tahoma" w:cs="Tahoma"/>
              </w:rPr>
            </w:pPr>
            <w:r w:rsidRPr="00BD7CEA">
              <w:rPr>
                <w:rFonts w:ascii="Tahoma" w:hAnsi="Tahoma" w:cs="Tahoma"/>
              </w:rPr>
              <w:t>Sì</w:t>
            </w:r>
          </w:p>
        </w:tc>
        <w:tc>
          <w:tcPr>
            <w:tcW w:w="1440" w:type="dxa"/>
            <w:tcBorders>
              <w:top w:val="single" w:sz="6" w:space="0" w:color="auto"/>
              <w:left w:val="single" w:sz="6" w:space="0" w:color="auto"/>
              <w:bottom w:val="single" w:sz="6" w:space="0" w:color="auto"/>
              <w:right w:val="single" w:sz="4" w:space="0" w:color="auto"/>
            </w:tcBorders>
            <w:vAlign w:val="center"/>
          </w:tcPr>
          <w:p w:rsidR="00175615" w:rsidRPr="00BD7CEA" w:rsidRDefault="00175615" w:rsidP="00E06FE8">
            <w:pPr>
              <w:pStyle w:val="AppendixTableText"/>
              <w:rPr>
                <w:rFonts w:ascii="Tahoma" w:hAnsi="Tahoma" w:cs="Tahoma"/>
              </w:rPr>
            </w:pPr>
          </w:p>
        </w:tc>
      </w:tr>
    </w:tbl>
    <w:p w:rsidR="00023FE7" w:rsidRPr="007B74B7" w:rsidRDefault="00023FE7">
      <w:pPr>
        <w:pStyle w:val="AppendixBodyText"/>
        <w:ind w:right="180"/>
        <w:rPr>
          <w:sz w:val="16"/>
          <w:szCs w:val="16"/>
          <w:lang w:val="it-IT"/>
        </w:rPr>
      </w:pPr>
      <w:r w:rsidRPr="007B74B7">
        <w:rPr>
          <w:rFonts w:ascii="Tahoma" w:hAnsi="Tahoma" w:cs="Tahoma"/>
          <w:i/>
          <w:sz w:val="16"/>
          <w:szCs w:val="16"/>
          <w:lang w:val="it-IT"/>
        </w:rPr>
        <w:t>*Sì nella tabella significa Partecipazione a Software Assurance. L</w:t>
      </w:r>
      <w:r w:rsidR="007A1415" w:rsidRPr="007B74B7">
        <w:rPr>
          <w:rFonts w:ascii="Tahoma" w:hAnsi="Tahoma" w:cs="Tahoma"/>
          <w:i/>
          <w:sz w:val="16"/>
          <w:szCs w:val="16"/>
          <w:lang w:val="it-IT"/>
        </w:rPr>
        <w:t>’</w:t>
      </w:r>
      <w:r w:rsidRPr="007B74B7">
        <w:rPr>
          <w:rFonts w:ascii="Tahoma" w:hAnsi="Tahoma" w:cs="Tahoma"/>
          <w:i/>
          <w:sz w:val="16"/>
          <w:szCs w:val="16"/>
          <w:lang w:val="it-IT"/>
        </w:rPr>
        <w:t>acquisto di Software Assurance, la spesa SA per i prodotti qualificanti all</w:t>
      </w:r>
      <w:r w:rsidR="007A1415" w:rsidRPr="007B74B7">
        <w:rPr>
          <w:rFonts w:ascii="Tahoma" w:hAnsi="Tahoma" w:cs="Tahoma"/>
          <w:i/>
          <w:sz w:val="16"/>
          <w:szCs w:val="16"/>
          <w:lang w:val="it-IT"/>
        </w:rPr>
        <w:t>’</w:t>
      </w:r>
      <w:r w:rsidRPr="007B74B7">
        <w:rPr>
          <w:rFonts w:ascii="Tahoma" w:hAnsi="Tahoma" w:cs="Tahoma"/>
          <w:i/>
          <w:sz w:val="16"/>
          <w:szCs w:val="16"/>
          <w:lang w:val="it-IT"/>
        </w:rPr>
        <w:t>interno del pool indicato o l</w:t>
      </w:r>
      <w:r w:rsidR="007A1415" w:rsidRPr="007B74B7">
        <w:rPr>
          <w:rFonts w:ascii="Tahoma" w:hAnsi="Tahoma" w:cs="Tahoma"/>
          <w:i/>
          <w:sz w:val="16"/>
          <w:szCs w:val="16"/>
          <w:lang w:val="it-IT"/>
        </w:rPr>
        <w:t>’</w:t>
      </w:r>
      <w:r w:rsidRPr="007B74B7">
        <w:rPr>
          <w:rFonts w:ascii="Tahoma" w:hAnsi="Tahoma" w:cs="Tahoma"/>
          <w:i/>
          <w:sz w:val="16"/>
          <w:szCs w:val="16"/>
          <w:lang w:val="it-IT"/>
        </w:rPr>
        <w:t>acquisto di famiglie di prodotti Windows Intune (Per Dispositivo)/Office 365 qualificanti rendono idonea la società a ottenere il vantaggio.</w:t>
      </w:r>
    </w:p>
    <w:p w:rsidR="00023FE7" w:rsidRPr="007B74B7" w:rsidRDefault="00023FE7">
      <w:pPr>
        <w:pStyle w:val="AppendixBodyText"/>
        <w:ind w:right="180"/>
        <w:rPr>
          <w:sz w:val="16"/>
          <w:szCs w:val="16"/>
          <w:lang w:val="it-IT"/>
        </w:rPr>
      </w:pPr>
      <w:r w:rsidRPr="007B74B7">
        <w:rPr>
          <w:rFonts w:ascii="Tahoma" w:hAnsi="Tahoma" w:cs="Tahoma"/>
          <w:i/>
          <w:sz w:val="16"/>
          <w:szCs w:val="16"/>
          <w:lang w:val="it-IT"/>
        </w:rPr>
        <w:t>*Microsoft potrà trattenere o interrompere, in qualsiasi momento, i vantaggi relativi alla Partecipazione a Software Assurance disponibili ai sensi della quarta iscrizione e di ogni iscrizione successiva in base al medesimo contratto Select, qualora tale azione sia ragionevole dal punto di vista commerciale.</w:t>
      </w:r>
    </w:p>
    <w:p w:rsidR="00023FE7" w:rsidRPr="007B74B7" w:rsidRDefault="00302B84" w:rsidP="0063466C">
      <w:pPr>
        <w:pStyle w:val="AppendixBodyText"/>
        <w:spacing w:after="0"/>
        <w:rPr>
          <w:sz w:val="16"/>
          <w:szCs w:val="16"/>
          <w:lang w:val="it-IT"/>
        </w:rPr>
      </w:pPr>
      <w:r w:rsidRPr="007B74B7">
        <w:rPr>
          <w:rFonts w:ascii="Tahoma" w:hAnsi="Tahoma" w:cs="Tahoma"/>
          <w:i/>
          <w:sz w:val="16"/>
          <w:szCs w:val="16"/>
          <w:lang w:val="it-IT"/>
        </w:rPr>
        <w:t>***Generalmente, le offerte di sottoscrizione che includono componenti software che contengono software con versione includeranno i diritti delle nuove versioni per tali componenti.</w:t>
      </w:r>
    </w:p>
    <w:p w:rsidR="00F76ED4" w:rsidRPr="007B74B7" w:rsidRDefault="00F76ED4">
      <w:pPr>
        <w:rPr>
          <w:sz w:val="16"/>
          <w:szCs w:val="16"/>
          <w:lang w:val="it-IT"/>
        </w:rPr>
      </w:pPr>
      <w:r w:rsidRPr="007B74B7">
        <w:rPr>
          <w:rFonts w:cs="Tahoma"/>
          <w:sz w:val="16"/>
          <w:szCs w:val="16"/>
          <w:lang w:val="it-IT"/>
        </w:rPr>
        <w:br w:type="page"/>
      </w: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7B74B7" w:rsidTr="0044720D">
        <w:trPr>
          <w:trHeight w:val="60"/>
        </w:trPr>
        <w:tc>
          <w:tcPr>
            <w:tcW w:w="8280" w:type="dxa"/>
            <w:shd w:val="clear" w:color="auto" w:fill="FFCC99"/>
            <w:vAlign w:val="center"/>
          </w:tcPr>
          <w:p w:rsidR="00AD6AD6" w:rsidRPr="007B74B7" w:rsidRDefault="00AD6AD6" w:rsidP="004B54F7">
            <w:pPr>
              <w:pStyle w:val="AppendixTableHeadings"/>
              <w:rPr>
                <w:rFonts w:ascii="Tahoma" w:hAnsi="Tahoma" w:cs="Tahoma"/>
                <w:sz w:val="20"/>
                <w:szCs w:val="20"/>
                <w:lang w:val="it-IT"/>
              </w:rPr>
            </w:pPr>
            <w:r w:rsidRPr="007B74B7">
              <w:rPr>
                <w:rFonts w:ascii="Tahoma" w:hAnsi="Tahoma" w:cs="Tahoma"/>
                <w:sz w:val="20"/>
                <w:szCs w:val="20"/>
                <w:lang w:val="it-IT"/>
              </w:rPr>
              <w:lastRenderedPageBreak/>
              <w:t>Prodotti del Pool di Applicazioni Office System</w:t>
            </w:r>
          </w:p>
        </w:tc>
      </w:tr>
      <w:tr w:rsidR="00AD6AD6" w:rsidRPr="00BD7CEA" w:rsidTr="0044720D">
        <w:trPr>
          <w:trHeight w:val="438"/>
        </w:trPr>
        <w:tc>
          <w:tcPr>
            <w:tcW w:w="8280" w:type="dxa"/>
            <w:vAlign w:val="center"/>
          </w:tcPr>
          <w:p w:rsidR="00AD6AD6" w:rsidRPr="00BD7CEA" w:rsidRDefault="00AD6AD6" w:rsidP="004B54F7">
            <w:pPr>
              <w:spacing w:line="240" w:lineRule="atLeast"/>
            </w:pPr>
            <w:r w:rsidRPr="00BD7CEA">
              <w:rPr>
                <w:rFonts w:cs="Tahoma"/>
                <w:color w:val="000000"/>
                <w:szCs w:val="18"/>
              </w:rPr>
              <w:t>Office Standard 2013</w:t>
            </w:r>
          </w:p>
          <w:p w:rsidR="00AD6AD6" w:rsidRPr="00BD7CEA" w:rsidRDefault="00AD6AD6" w:rsidP="004B54F7">
            <w:pPr>
              <w:spacing w:line="240" w:lineRule="atLeast"/>
            </w:pPr>
            <w:r w:rsidRPr="00BD7CEA">
              <w:rPr>
                <w:rFonts w:cs="Tahoma"/>
                <w:color w:val="000000"/>
                <w:szCs w:val="18"/>
              </w:rPr>
              <w:t xml:space="preserve">Office Professional Plus 2013 </w:t>
            </w:r>
          </w:p>
          <w:p w:rsidR="00AD6AD6" w:rsidRPr="00BD7CEA" w:rsidRDefault="00AD6AD6" w:rsidP="004B54F7">
            <w:pPr>
              <w:spacing w:line="240" w:lineRule="atLeast"/>
            </w:pPr>
            <w:r w:rsidRPr="00BD7CEA">
              <w:rPr>
                <w:rFonts w:cs="Tahoma"/>
                <w:color w:val="000000"/>
                <w:szCs w:val="18"/>
              </w:rPr>
              <w:t>Project Standard 2013</w:t>
            </w:r>
          </w:p>
          <w:p w:rsidR="00AD6AD6" w:rsidRPr="00BD7CEA" w:rsidRDefault="00AD6AD6" w:rsidP="004B54F7">
            <w:pPr>
              <w:spacing w:line="240" w:lineRule="atLeast"/>
            </w:pPr>
            <w:r w:rsidRPr="00BD7CEA">
              <w:rPr>
                <w:rFonts w:cs="Tahoma"/>
                <w:color w:val="000000"/>
                <w:szCs w:val="18"/>
              </w:rPr>
              <w:t>Project Professional 2013</w:t>
            </w:r>
          </w:p>
          <w:p w:rsidR="00AD6AD6" w:rsidRPr="00BD7CEA" w:rsidRDefault="00AD6AD6" w:rsidP="004B54F7">
            <w:pPr>
              <w:spacing w:line="240" w:lineRule="atLeast"/>
            </w:pPr>
            <w:r w:rsidRPr="00BD7CEA">
              <w:rPr>
                <w:rFonts w:cs="Tahoma"/>
                <w:color w:val="000000"/>
                <w:szCs w:val="18"/>
              </w:rPr>
              <w:t>Visio</w:t>
            </w:r>
            <w:r w:rsidR="00700C4B" w:rsidRPr="00BD7CEA">
              <w:rPr>
                <w:rFonts w:cs="Tahoma"/>
                <w:color w:val="000000"/>
                <w:szCs w:val="18"/>
                <w:vertAlign w:val="superscript"/>
              </w:rPr>
              <w:t>®</w:t>
            </w:r>
            <w:r w:rsidRPr="00BD7CEA">
              <w:rPr>
                <w:rFonts w:cs="Tahoma"/>
                <w:color w:val="000000"/>
                <w:szCs w:val="18"/>
              </w:rPr>
              <w:t xml:space="preserve"> Standard 2013</w:t>
            </w:r>
          </w:p>
          <w:p w:rsidR="00AD6AD6" w:rsidRPr="00BD7CEA" w:rsidRDefault="00AD6AD6" w:rsidP="004B54F7">
            <w:pPr>
              <w:spacing w:line="240" w:lineRule="atLeast"/>
            </w:pPr>
            <w:r w:rsidRPr="00BD7CEA">
              <w:rPr>
                <w:rFonts w:cs="Tahoma"/>
                <w:color w:val="000000"/>
                <w:szCs w:val="18"/>
              </w:rPr>
              <w:t>Visio</w:t>
            </w:r>
            <w:r w:rsidR="00700C4B" w:rsidRPr="00BD7CEA">
              <w:rPr>
                <w:rFonts w:cs="Tahoma"/>
                <w:color w:val="000000"/>
                <w:szCs w:val="18"/>
                <w:vertAlign w:val="superscript"/>
              </w:rPr>
              <w:t>®</w:t>
            </w:r>
            <w:r w:rsidRPr="00BD7CEA">
              <w:rPr>
                <w:rFonts w:cs="Tahoma"/>
                <w:color w:val="000000"/>
                <w:szCs w:val="18"/>
              </w:rPr>
              <w:t xml:space="preserve"> Professional 2013</w:t>
            </w:r>
          </w:p>
          <w:p w:rsidR="00AD6AD6" w:rsidRPr="00BD7CEA" w:rsidRDefault="00AD6AD6" w:rsidP="004B54F7">
            <w:pPr>
              <w:spacing w:line="240" w:lineRule="atLeast"/>
            </w:pPr>
            <w:r w:rsidRPr="00BD7CEA">
              <w:rPr>
                <w:rFonts w:cs="Tahoma"/>
                <w:color w:val="000000"/>
                <w:szCs w:val="18"/>
              </w:rPr>
              <w:t>Access 2013</w:t>
            </w:r>
          </w:p>
          <w:p w:rsidR="00AD6AD6" w:rsidRPr="00BD7CEA" w:rsidRDefault="00AD6AD6" w:rsidP="004B54F7">
            <w:pPr>
              <w:spacing w:line="240" w:lineRule="atLeast"/>
            </w:pPr>
            <w:r w:rsidRPr="00BD7CEA">
              <w:rPr>
                <w:rFonts w:cs="Tahoma"/>
                <w:color w:val="000000"/>
                <w:szCs w:val="18"/>
              </w:rPr>
              <w:t xml:space="preserve">Excel 2013 </w:t>
            </w:r>
          </w:p>
          <w:p w:rsidR="00AD6AD6" w:rsidRPr="00BD7CEA" w:rsidRDefault="00AD6AD6" w:rsidP="004B54F7">
            <w:pPr>
              <w:spacing w:line="240" w:lineRule="atLeast"/>
            </w:pPr>
            <w:r w:rsidRPr="00BD7CEA">
              <w:rPr>
                <w:rFonts w:cs="Tahoma"/>
                <w:color w:val="000000"/>
                <w:szCs w:val="18"/>
              </w:rPr>
              <w:t>InfoPath</w:t>
            </w:r>
            <w:r w:rsidR="00700C4B" w:rsidRPr="00BD7CEA">
              <w:rPr>
                <w:rFonts w:cs="Tahoma"/>
                <w:color w:val="000000"/>
                <w:szCs w:val="18"/>
                <w:vertAlign w:val="superscript"/>
              </w:rPr>
              <w:t>®</w:t>
            </w:r>
            <w:r w:rsidRPr="00BD7CEA">
              <w:rPr>
                <w:rFonts w:cs="Tahoma"/>
                <w:color w:val="000000"/>
                <w:szCs w:val="18"/>
              </w:rPr>
              <w:t xml:space="preserve"> 2013</w:t>
            </w:r>
          </w:p>
          <w:p w:rsidR="00AD6AD6" w:rsidRPr="00BD7CEA" w:rsidRDefault="00AD6AD6" w:rsidP="004B54F7">
            <w:pPr>
              <w:spacing w:line="240" w:lineRule="atLeast"/>
            </w:pPr>
            <w:r w:rsidRPr="00BD7CEA">
              <w:rPr>
                <w:rFonts w:cs="Tahoma"/>
                <w:color w:val="000000"/>
                <w:szCs w:val="18"/>
              </w:rPr>
              <w:t>Lync 2013</w:t>
            </w:r>
          </w:p>
          <w:p w:rsidR="00AD6AD6" w:rsidRPr="00BD7CEA" w:rsidRDefault="00AD6AD6" w:rsidP="004B54F7">
            <w:pPr>
              <w:spacing w:line="240" w:lineRule="atLeast"/>
            </w:pPr>
            <w:r w:rsidRPr="00BD7CEA">
              <w:rPr>
                <w:rFonts w:cs="Tahoma"/>
                <w:color w:val="000000"/>
                <w:szCs w:val="18"/>
              </w:rPr>
              <w:t>OneNote™ 2013</w:t>
            </w:r>
          </w:p>
          <w:p w:rsidR="00AD6AD6" w:rsidRPr="00BD7CEA" w:rsidRDefault="00AD6AD6" w:rsidP="004B54F7">
            <w:pPr>
              <w:spacing w:line="240" w:lineRule="atLeast"/>
            </w:pPr>
            <w:r w:rsidRPr="00BD7CEA">
              <w:rPr>
                <w:rFonts w:cs="Tahoma"/>
                <w:color w:val="000000"/>
                <w:szCs w:val="18"/>
              </w:rPr>
              <w:t>Outlook</w:t>
            </w:r>
            <w:r w:rsidR="00700C4B" w:rsidRPr="00BD7CEA">
              <w:rPr>
                <w:rFonts w:cs="Tahoma"/>
                <w:color w:val="000000"/>
                <w:szCs w:val="18"/>
                <w:vertAlign w:val="superscript"/>
              </w:rPr>
              <w:t>®</w:t>
            </w:r>
            <w:r w:rsidRPr="00BD7CEA">
              <w:rPr>
                <w:rFonts w:cs="Tahoma"/>
                <w:color w:val="000000"/>
                <w:szCs w:val="18"/>
              </w:rPr>
              <w:t xml:space="preserve"> 2013</w:t>
            </w:r>
          </w:p>
          <w:p w:rsidR="00AD6AD6" w:rsidRPr="00BD7CEA" w:rsidRDefault="00AD6AD6" w:rsidP="004B54F7">
            <w:pPr>
              <w:spacing w:line="240" w:lineRule="atLeast"/>
            </w:pPr>
            <w:r w:rsidRPr="00BD7CEA">
              <w:rPr>
                <w:rFonts w:cs="Tahoma"/>
                <w:color w:val="000000"/>
                <w:szCs w:val="18"/>
              </w:rPr>
              <w:t>PowerPoint</w:t>
            </w:r>
            <w:r w:rsidR="00700C4B" w:rsidRPr="00BD7CEA">
              <w:rPr>
                <w:rFonts w:cs="Tahoma"/>
                <w:color w:val="000000"/>
                <w:szCs w:val="18"/>
                <w:vertAlign w:val="superscript"/>
              </w:rPr>
              <w:t>®</w:t>
            </w:r>
            <w:r w:rsidRPr="00BD7CEA">
              <w:rPr>
                <w:rFonts w:cs="Tahoma"/>
                <w:color w:val="000000"/>
                <w:szCs w:val="18"/>
              </w:rPr>
              <w:t xml:space="preserve"> 2013</w:t>
            </w:r>
          </w:p>
          <w:p w:rsidR="00AD6AD6" w:rsidRPr="00BD7CEA" w:rsidRDefault="00AD6AD6" w:rsidP="004B54F7">
            <w:pPr>
              <w:spacing w:line="240" w:lineRule="atLeast"/>
            </w:pPr>
            <w:r w:rsidRPr="00BD7CEA">
              <w:rPr>
                <w:rFonts w:cs="Tahoma"/>
                <w:color w:val="000000"/>
                <w:szCs w:val="18"/>
              </w:rPr>
              <w:t>Publisher 2013</w:t>
            </w:r>
          </w:p>
          <w:p w:rsidR="00AD6AD6" w:rsidRPr="00BD7CEA" w:rsidRDefault="00AD6AD6" w:rsidP="004B54F7">
            <w:pPr>
              <w:spacing w:line="240" w:lineRule="atLeast"/>
            </w:pPr>
            <w:r w:rsidRPr="00BD7CEA">
              <w:rPr>
                <w:rFonts w:cs="Tahoma"/>
                <w:color w:val="000000"/>
                <w:szCs w:val="18"/>
              </w:rPr>
              <w:t>Word 2013</w:t>
            </w:r>
          </w:p>
          <w:p w:rsidR="00AD6AD6" w:rsidRPr="00BD7CEA" w:rsidRDefault="00AD6AD6" w:rsidP="004B54F7">
            <w:pPr>
              <w:spacing w:line="240" w:lineRule="atLeast"/>
            </w:pPr>
            <w:r w:rsidRPr="00BD7CEA">
              <w:rPr>
                <w:rFonts w:cs="Tahoma"/>
                <w:color w:val="000000"/>
                <w:szCs w:val="18"/>
              </w:rPr>
              <w:t xml:space="preserve">Office per Mac Standard 2011 </w:t>
            </w:r>
          </w:p>
          <w:p w:rsidR="00AD6AD6" w:rsidRPr="00BD7CEA" w:rsidRDefault="00AD6AD6" w:rsidP="004B54F7">
            <w:pPr>
              <w:spacing w:line="240" w:lineRule="atLeast"/>
            </w:pPr>
            <w:r w:rsidRPr="00BD7CEA">
              <w:rPr>
                <w:rFonts w:cs="Tahoma"/>
                <w:color w:val="000000"/>
                <w:szCs w:val="18"/>
              </w:rPr>
              <w:t>Lync per Mac 2011</w:t>
            </w:r>
          </w:p>
          <w:p w:rsidR="00061A45" w:rsidRPr="00BD7CEA" w:rsidRDefault="007C4ADB" w:rsidP="004B54F7">
            <w:pPr>
              <w:spacing w:line="240" w:lineRule="atLeast"/>
            </w:pPr>
            <w:r w:rsidRPr="00BD7CEA">
              <w:rPr>
                <w:rFonts w:cs="Tahoma"/>
                <w:color w:val="000000"/>
                <w:szCs w:val="18"/>
              </w:rPr>
              <w:t>Outlook per Mac 2011</w:t>
            </w:r>
          </w:p>
          <w:p w:rsidR="00AD6AD6" w:rsidRPr="00BD7CEA" w:rsidRDefault="00AD6AD6" w:rsidP="004B54F7">
            <w:pPr>
              <w:spacing w:line="240" w:lineRule="atLeast"/>
            </w:pPr>
            <w:r w:rsidRPr="00BD7CEA">
              <w:rPr>
                <w:rFonts w:cs="Tahoma"/>
                <w:color w:val="000000"/>
                <w:szCs w:val="18"/>
              </w:rPr>
              <w:t>Powerpoint per Mac 2011</w:t>
            </w:r>
          </w:p>
          <w:p w:rsidR="00AD6AD6" w:rsidRPr="00BD7CEA" w:rsidRDefault="00AD6AD6" w:rsidP="004B54F7">
            <w:pPr>
              <w:spacing w:line="240" w:lineRule="atLeast"/>
            </w:pPr>
            <w:r w:rsidRPr="00BD7CEA">
              <w:rPr>
                <w:rFonts w:cs="Tahoma"/>
                <w:color w:val="000000"/>
                <w:szCs w:val="18"/>
              </w:rPr>
              <w:t>Excel per Mac 2011</w:t>
            </w:r>
          </w:p>
          <w:p w:rsidR="00AD6AD6" w:rsidRPr="00BD7CEA" w:rsidRDefault="00AD6AD6" w:rsidP="004B54F7">
            <w:pPr>
              <w:spacing w:line="240" w:lineRule="atLeast"/>
              <w:rPr>
                <w:rFonts w:cs="Tahoma"/>
                <w:color w:val="000000"/>
                <w:szCs w:val="18"/>
              </w:rPr>
            </w:pPr>
            <w:r w:rsidRPr="00BD7CEA">
              <w:rPr>
                <w:rFonts w:cs="Tahoma"/>
                <w:color w:val="000000"/>
                <w:szCs w:val="18"/>
              </w:rPr>
              <w:t>Word per Mac 2011</w:t>
            </w:r>
          </w:p>
        </w:tc>
      </w:tr>
    </w:tbl>
    <w:p w:rsidR="00D8064F" w:rsidRPr="007B74B7" w:rsidRDefault="00AD6AD6" w:rsidP="0044720D">
      <w:pPr>
        <w:pStyle w:val="AppendixBodyText"/>
        <w:spacing w:after="0"/>
        <w:ind w:firstLine="550"/>
        <w:rPr>
          <w:lang w:val="it-IT"/>
        </w:rPr>
      </w:pPr>
      <w:r w:rsidRPr="007B74B7">
        <w:rPr>
          <w:rFonts w:ascii="Tahoma" w:hAnsi="Tahoma" w:cs="Tahoma"/>
          <w:b/>
          <w:i/>
          <w:sz w:val="16"/>
          <w:szCs w:val="16"/>
          <w:lang w:val="it-IT"/>
        </w:rPr>
        <w:t>Nota:</w:t>
      </w:r>
      <w:r w:rsidRPr="007B74B7">
        <w:rPr>
          <w:rFonts w:ascii="Tahoma" w:hAnsi="Tahoma" w:cs="Tahoma"/>
          <w:i/>
          <w:sz w:val="16"/>
          <w:szCs w:val="16"/>
          <w:lang w:val="it-IT"/>
        </w:rPr>
        <w:t xml:space="preserve"> la lista dei prodotti del Pool di Applicazioni Office System è soggetta a modifica.</w:t>
      </w:r>
    </w:p>
    <w:p w:rsidR="00BA0707" w:rsidRPr="007B74B7" w:rsidRDefault="00BA0707" w:rsidP="0063466C">
      <w:pPr>
        <w:pStyle w:val="AppendixBodyText"/>
        <w:spacing w:after="0"/>
        <w:rPr>
          <w:lang w:val="it-IT"/>
        </w:rPr>
      </w:pPr>
    </w:p>
    <w:p w:rsidR="00023FE7" w:rsidRPr="007B74B7" w:rsidRDefault="00023FE7">
      <w:pPr>
        <w:pStyle w:val="Heading2"/>
        <w:ind w:left="0"/>
        <w:rPr>
          <w:lang w:val="it-IT"/>
        </w:rPr>
      </w:pPr>
      <w:bookmarkStart w:id="773" w:name="_Toc336338228"/>
      <w:bookmarkStart w:id="774" w:name="_Toc353376008"/>
      <w:r w:rsidRPr="007B74B7">
        <w:rPr>
          <w:rFonts w:ascii="Tahoma" w:hAnsi="Tahoma"/>
          <w:lang w:val="it-IT"/>
        </w:rPr>
        <w:t>Diritti su Versioni Nuove</w:t>
      </w:r>
      <w:bookmarkEnd w:id="773"/>
      <w:bookmarkEnd w:id="774"/>
    </w:p>
    <w:p w:rsidR="00023FE7" w:rsidRPr="007B74B7" w:rsidRDefault="00023FE7" w:rsidP="00BA0707">
      <w:pPr>
        <w:rPr>
          <w:lang w:val="it-IT"/>
        </w:rPr>
      </w:pPr>
    </w:p>
    <w:p w:rsidR="00023FE7" w:rsidRPr="007B74B7" w:rsidRDefault="00023FE7" w:rsidP="0063466C">
      <w:pPr>
        <w:pStyle w:val="AppendixBodyText"/>
        <w:spacing w:after="0"/>
        <w:rPr>
          <w:lang w:val="it-IT"/>
        </w:rPr>
      </w:pPr>
      <w:r w:rsidRPr="007B74B7">
        <w:rPr>
          <w:rFonts w:ascii="Tahoma" w:hAnsi="Tahoma" w:cs="Tahoma"/>
          <w:color w:val="000000"/>
          <w:sz w:val="18"/>
          <w:lang w:val="it-IT"/>
        </w:rPr>
        <w:t>Le società con copertura Software Assurance sono idonee ad effettuare l</w:t>
      </w:r>
      <w:r w:rsidR="007A1415" w:rsidRPr="007B74B7">
        <w:rPr>
          <w:rFonts w:ascii="Tahoma" w:hAnsi="Tahoma" w:cs="Tahoma"/>
          <w:color w:val="000000"/>
          <w:sz w:val="18"/>
          <w:lang w:val="it-IT"/>
        </w:rPr>
        <w:t>’</w:t>
      </w:r>
      <w:r w:rsidRPr="007B74B7">
        <w:rPr>
          <w:rFonts w:ascii="Tahoma" w:hAnsi="Tahoma" w:cs="Tahoma"/>
          <w:color w:val="000000"/>
          <w:sz w:val="18"/>
          <w:lang w:val="it-IT"/>
        </w:rPr>
        <w:t>aggiornamento a nuove versioni del software con licenza reso disponibile durante il periodo di validità della copertura Software Assurance.</w:t>
      </w:r>
      <w:r w:rsidR="008D782D" w:rsidRPr="007B74B7">
        <w:rPr>
          <w:rFonts w:ascii="Tahoma" w:hAnsi="Tahoma" w:cs="Tahoma"/>
          <w:color w:val="000000"/>
          <w:sz w:val="18"/>
          <w:lang w:val="it-IT"/>
        </w:rPr>
        <w:t xml:space="preserve"> </w:t>
      </w:r>
      <w:r w:rsidRPr="007B74B7">
        <w:rPr>
          <w:rFonts w:ascii="Tahoma" w:hAnsi="Tahoma" w:cs="Tahoma"/>
          <w:color w:val="000000"/>
          <w:sz w:val="18"/>
          <w:lang w:val="it-IT"/>
        </w:rPr>
        <w:t>Diritti su Versioni Nuove, in relazione al prodotto con licenza sottostante per il quale viene ordinata la copertura Software Assurance, significa il diritto di effettuare l</w:t>
      </w:r>
      <w:r w:rsidR="007A1415" w:rsidRPr="007B74B7">
        <w:rPr>
          <w:rFonts w:ascii="Tahoma" w:hAnsi="Tahoma" w:cs="Tahoma"/>
          <w:color w:val="000000"/>
          <w:sz w:val="18"/>
          <w:lang w:val="it-IT"/>
        </w:rPr>
        <w:t>’</w:t>
      </w:r>
      <w:r w:rsidRPr="007B74B7">
        <w:rPr>
          <w:rFonts w:ascii="Tahoma" w:hAnsi="Tahoma" w:cs="Tahoma"/>
          <w:color w:val="000000"/>
          <w:sz w:val="18"/>
          <w:lang w:val="it-IT"/>
        </w:rPr>
        <w:t>aggiornamento e di eseguire al posto del prodotto con licenza sottostante l</w:t>
      </w:r>
      <w:r w:rsidR="007A1415" w:rsidRPr="007B74B7">
        <w:rPr>
          <w:rFonts w:ascii="Tahoma" w:hAnsi="Tahoma" w:cs="Tahoma"/>
          <w:color w:val="000000"/>
          <w:sz w:val="18"/>
          <w:lang w:val="it-IT"/>
        </w:rPr>
        <w:t>’</w:t>
      </w:r>
      <w:r w:rsidRPr="007B74B7">
        <w:rPr>
          <w:rFonts w:ascii="Tahoma" w:hAnsi="Tahoma" w:cs="Tahoma"/>
          <w:color w:val="000000"/>
          <w:sz w:val="18"/>
          <w:lang w:val="it-IT"/>
        </w:rPr>
        <w:t>ultima versione di tale prodotto che Microsoft rende disponibile durante il periodo di copertura.</w:t>
      </w:r>
      <w:r w:rsidR="008D782D" w:rsidRPr="007B74B7">
        <w:rPr>
          <w:rFonts w:ascii="Tahoma" w:hAnsi="Tahoma" w:cs="Tahoma"/>
          <w:color w:val="000000"/>
          <w:sz w:val="18"/>
          <w:lang w:val="it-IT"/>
        </w:rPr>
        <w:t xml:space="preserve"> </w:t>
      </w:r>
      <w:r w:rsidRPr="007B74B7">
        <w:rPr>
          <w:rFonts w:ascii="Tahoma" w:hAnsi="Tahoma" w:cs="Tahoma"/>
          <w:color w:val="000000"/>
          <w:sz w:val="18"/>
          <w:lang w:val="it-IT"/>
        </w:rPr>
        <w:t>Ad esempio, qualora una nuova versione di Microsoft Office venga resa disponibile durante il periodo di validità della copertura, le licenze verranno automaticamente aggiornate alla nuova versione. Le società che acquistano licenze perpetue tramite Software Assurance possono distribuire gli aggiornamenti dopo la scadenza della copertura.</w:t>
      </w:r>
    </w:p>
    <w:p w:rsidR="00BA0707" w:rsidRPr="007B74B7" w:rsidRDefault="00BA0707" w:rsidP="0063466C">
      <w:pPr>
        <w:pStyle w:val="AppendixBodyText"/>
        <w:spacing w:after="0"/>
        <w:rPr>
          <w:lang w:val="it-IT"/>
        </w:rPr>
      </w:pPr>
    </w:p>
    <w:p w:rsidR="00023FE7" w:rsidRPr="007B74B7" w:rsidRDefault="00023FE7">
      <w:pPr>
        <w:pStyle w:val="Heading2"/>
        <w:ind w:left="0"/>
        <w:rPr>
          <w:lang w:val="it-IT"/>
        </w:rPr>
      </w:pPr>
      <w:bookmarkStart w:id="775" w:name="_Toc336338229"/>
      <w:bookmarkStart w:id="776" w:name="_Toc353376009"/>
      <w:r w:rsidRPr="007B74B7">
        <w:rPr>
          <w:rFonts w:ascii="Tahoma" w:hAnsi="Tahoma"/>
          <w:lang w:val="it-IT"/>
        </w:rPr>
        <w:t>Office Multi Language Pack</w:t>
      </w:r>
      <w:bookmarkEnd w:id="775"/>
      <w:bookmarkEnd w:id="776"/>
    </w:p>
    <w:p w:rsidR="00023FE7" w:rsidRPr="007B74B7" w:rsidRDefault="00023FE7" w:rsidP="00BA0707">
      <w:pPr>
        <w:rPr>
          <w:lang w:val="it-IT"/>
        </w:rPr>
      </w:pPr>
    </w:p>
    <w:p w:rsidR="0063466C" w:rsidRPr="007B74B7" w:rsidRDefault="00E7419A" w:rsidP="0063466C">
      <w:pPr>
        <w:spacing w:after="60"/>
        <w:jc w:val="both"/>
        <w:rPr>
          <w:lang w:val="it-IT"/>
        </w:rPr>
      </w:pPr>
      <w:r w:rsidRPr="007B74B7">
        <w:rPr>
          <w:rFonts w:cs="Tahoma"/>
          <w:b/>
          <w:szCs w:val="18"/>
          <w:lang w:val="it-IT"/>
        </w:rPr>
        <w:t>Società con Software Assurance</w:t>
      </w:r>
    </w:p>
    <w:p w:rsidR="00E7419A" w:rsidRPr="007B74B7" w:rsidRDefault="00E7419A" w:rsidP="00E7419A">
      <w:pPr>
        <w:jc w:val="both"/>
        <w:rPr>
          <w:lang w:val="it-IT"/>
        </w:rPr>
      </w:pPr>
      <w:r w:rsidRPr="007B74B7">
        <w:rPr>
          <w:rFonts w:cs="Tahoma"/>
          <w:szCs w:val="18"/>
          <w:lang w:val="it-IT"/>
        </w:rPr>
        <w:t>Le società con copertura Software Assurance attiva per i prodotti e le suite di Office System sono idonee a ricevere questo vantaggio durante il periodo di validità della copertura Software Assurance. Le società possono utilizzare l</w:t>
      </w:r>
      <w:r w:rsidR="007A1415" w:rsidRPr="007B74B7">
        <w:rPr>
          <w:rFonts w:cs="Tahoma"/>
          <w:szCs w:val="18"/>
          <w:lang w:val="it-IT"/>
        </w:rPr>
        <w:t>’</w:t>
      </w:r>
      <w:r w:rsidRPr="007B74B7">
        <w:rPr>
          <w:rFonts w:cs="Tahoma"/>
          <w:szCs w:val="18"/>
          <w:lang w:val="it-IT"/>
        </w:rPr>
        <w:t>ultima versione di Office Multi Language Pack con le copie del software Office System che sono autorizzate a usare ai sensi di licenze qualificanti.</w:t>
      </w:r>
    </w:p>
    <w:p w:rsidR="0063466C" w:rsidRPr="007B74B7" w:rsidRDefault="0063466C" w:rsidP="00E7419A">
      <w:pPr>
        <w:jc w:val="both"/>
        <w:rPr>
          <w:lang w:val="it-IT"/>
        </w:rPr>
      </w:pPr>
    </w:p>
    <w:p w:rsidR="0063466C" w:rsidRPr="007B74B7" w:rsidRDefault="00E7419A" w:rsidP="0063466C">
      <w:pPr>
        <w:spacing w:after="60"/>
        <w:jc w:val="both"/>
        <w:rPr>
          <w:lang w:val="it-IT"/>
        </w:rPr>
      </w:pPr>
      <w:r w:rsidRPr="007B74B7">
        <w:rPr>
          <w:rFonts w:cs="Tahoma"/>
          <w:b/>
          <w:szCs w:val="18"/>
          <w:lang w:val="it-IT"/>
        </w:rPr>
        <w:t>Società con i Vantaggi dei Servizi Online idonee</w:t>
      </w:r>
    </w:p>
    <w:p w:rsidR="00E7419A" w:rsidRPr="007B74B7" w:rsidRDefault="00E7419A" w:rsidP="00E7419A">
      <w:pPr>
        <w:jc w:val="both"/>
        <w:rPr>
          <w:lang w:val="it-IT"/>
        </w:rPr>
      </w:pPr>
      <w:r w:rsidRPr="007B74B7">
        <w:rPr>
          <w:rFonts w:cs="Tahoma"/>
          <w:szCs w:val="18"/>
          <w:lang w:val="it-IT"/>
        </w:rPr>
        <w:t xml:space="preserve">Le società con Office 365 ProPlus e Office 365 Enterprise E3 ed E4 sono idonee a ricevere questo vantaggio durante </w:t>
      </w:r>
      <w:r w:rsidR="00487D97" w:rsidRPr="007B74B7">
        <w:rPr>
          <w:rFonts w:cs="Tahoma"/>
          <w:szCs w:val="18"/>
          <w:lang w:val="it-IT"/>
        </w:rPr>
        <w:br/>
      </w:r>
      <w:r w:rsidRPr="007B74B7">
        <w:rPr>
          <w:rFonts w:cs="Tahoma"/>
          <w:szCs w:val="18"/>
          <w:lang w:val="it-IT"/>
        </w:rPr>
        <w:t>il periodo di validità dell</w:t>
      </w:r>
      <w:r w:rsidR="007A1415" w:rsidRPr="007B74B7">
        <w:rPr>
          <w:rFonts w:cs="Tahoma"/>
          <w:szCs w:val="18"/>
          <w:lang w:val="it-IT"/>
        </w:rPr>
        <w:t>’</w:t>
      </w:r>
      <w:r w:rsidRPr="007B74B7">
        <w:rPr>
          <w:rFonts w:cs="Tahoma"/>
          <w:szCs w:val="18"/>
          <w:lang w:val="it-IT"/>
        </w:rPr>
        <w:t xml:space="preserve">iscrizione. </w:t>
      </w:r>
    </w:p>
    <w:p w:rsidR="00023FE7" w:rsidRPr="007B74B7" w:rsidRDefault="00023FE7" w:rsidP="00BA0707">
      <w:pPr>
        <w:jc w:val="both"/>
        <w:rPr>
          <w:lang w:val="it-IT"/>
        </w:rPr>
      </w:pPr>
    </w:p>
    <w:p w:rsidR="00023FE7" w:rsidRPr="007B74B7" w:rsidRDefault="00023FE7">
      <w:pPr>
        <w:jc w:val="both"/>
        <w:rPr>
          <w:lang w:val="it-IT"/>
        </w:rPr>
      </w:pPr>
      <w:r w:rsidRPr="007B74B7">
        <w:rPr>
          <w:lang w:val="it-IT"/>
        </w:rPr>
        <w:t>Qualora il contratto di una società fornisca diritti perpetui di utilizzo del software ai sensi di licenze qualificanti, la società disporrà di un diritto perpetuo di utilizzo dell</w:t>
      </w:r>
      <w:r w:rsidR="007A1415" w:rsidRPr="007B74B7">
        <w:rPr>
          <w:lang w:val="it-IT"/>
        </w:rPr>
        <w:t>’</w:t>
      </w:r>
      <w:r w:rsidRPr="007B74B7">
        <w:rPr>
          <w:lang w:val="it-IT"/>
        </w:rPr>
        <w:t>Office Multi Language Pack con tale software (una società può continuare a utilizzare il software Office Multi Language Pack con Office System ai sensi delle licenze qualificanti anche dopo la scadenza della copertura SA per tali licenze). Diversamente il diritto di utilizzare l</w:t>
      </w:r>
      <w:r w:rsidR="007A1415" w:rsidRPr="007B74B7">
        <w:rPr>
          <w:lang w:val="it-IT"/>
        </w:rPr>
        <w:t>’</w:t>
      </w:r>
      <w:r w:rsidRPr="007B74B7">
        <w:rPr>
          <w:lang w:val="it-IT"/>
        </w:rPr>
        <w:t xml:space="preserve">Office Multi Language Pack cesserà alla scadenza dei diritti concessi dalla licenza qualificante per Office System. </w:t>
      </w:r>
    </w:p>
    <w:p w:rsidR="00BA0707" w:rsidRPr="007B74B7" w:rsidRDefault="00BA0707" w:rsidP="00BA0707">
      <w:pPr>
        <w:jc w:val="both"/>
        <w:rPr>
          <w:lang w:val="it-IT"/>
        </w:rPr>
      </w:pPr>
    </w:p>
    <w:p w:rsidR="00F76ED4" w:rsidRPr="007B74B7" w:rsidRDefault="00F76ED4">
      <w:pPr>
        <w:rPr>
          <w:lang w:val="it-IT"/>
        </w:rPr>
      </w:pPr>
      <w:bookmarkStart w:id="777" w:name="_Toc291204555"/>
      <w:r w:rsidRPr="007B74B7">
        <w:rPr>
          <w:b/>
          <w:sz w:val="24"/>
          <w:szCs w:val="24"/>
          <w:lang w:val="it-IT"/>
        </w:rPr>
        <w:br w:type="page"/>
      </w:r>
    </w:p>
    <w:p w:rsidR="000D4ECA" w:rsidRPr="007B74B7" w:rsidRDefault="000D4ECA" w:rsidP="000D4ECA">
      <w:pPr>
        <w:outlineLvl w:val="1"/>
        <w:rPr>
          <w:lang w:val="it-IT"/>
        </w:rPr>
      </w:pPr>
      <w:r w:rsidRPr="007B74B7">
        <w:rPr>
          <w:b/>
          <w:sz w:val="24"/>
          <w:szCs w:val="24"/>
          <w:lang w:val="it-IT"/>
        </w:rPr>
        <w:lastRenderedPageBreak/>
        <w:t>Planning Services</w:t>
      </w:r>
      <w:bookmarkEnd w:id="777"/>
    </w:p>
    <w:p w:rsidR="000D4ECA" w:rsidRPr="007B74B7" w:rsidRDefault="000D4ECA" w:rsidP="000D4ECA">
      <w:pPr>
        <w:rPr>
          <w:lang w:val="it-IT"/>
        </w:rPr>
      </w:pPr>
    </w:p>
    <w:p w:rsidR="000D4ECA" w:rsidRPr="00BD7CEA" w:rsidRDefault="000D4ECA" w:rsidP="000D4ECA">
      <w:pPr>
        <w:spacing w:after="60"/>
      </w:pPr>
      <w:r w:rsidRPr="007B74B7">
        <w:rPr>
          <w:rFonts w:cs="Tahoma"/>
          <w:color w:val="000000"/>
          <w:szCs w:val="18"/>
          <w:lang w:val="it-IT"/>
        </w:rPr>
        <w:t>Le società che non siano società con Contratti Academic Select License, Select Plus for Academic, Campus e School e</w:t>
      </w:r>
      <w:r w:rsidR="00487D97" w:rsidRPr="007B74B7">
        <w:rPr>
          <w:rFonts w:cs="Tahoma"/>
          <w:color w:val="000000"/>
          <w:szCs w:val="18"/>
          <w:lang w:val="it-IT"/>
        </w:rPr>
        <w:t> </w:t>
      </w:r>
      <w:r w:rsidRPr="007B74B7">
        <w:rPr>
          <w:rFonts w:cs="Tahoma"/>
          <w:color w:val="000000"/>
          <w:szCs w:val="18"/>
          <w:lang w:val="it-IT"/>
        </w:rPr>
        <w:t>Open Value Subscription</w:t>
      </w:r>
      <w:r w:rsidR="00FD7C0D" w:rsidRPr="007B74B7">
        <w:rPr>
          <w:rFonts w:cs="Tahoma"/>
          <w:color w:val="000000"/>
          <w:szCs w:val="18"/>
          <w:lang w:val="it-IT"/>
        </w:rPr>
        <w:t xml:space="preserve"> – </w:t>
      </w:r>
      <w:r w:rsidRPr="007B74B7">
        <w:rPr>
          <w:rFonts w:cs="Tahoma"/>
          <w:color w:val="000000"/>
          <w:szCs w:val="18"/>
          <w:lang w:val="it-IT"/>
        </w:rPr>
        <w:t>Education Solutions, ma con Partecipazione a Software Assurance nel Pool di Applicazioni e</w:t>
      </w:r>
      <w:r w:rsidR="00615CCC" w:rsidRPr="007B74B7">
        <w:rPr>
          <w:rFonts w:cs="Tahoma"/>
          <w:color w:val="000000"/>
          <w:szCs w:val="18"/>
          <w:lang w:val="it-IT"/>
        </w:rPr>
        <w:t> </w:t>
      </w:r>
      <w:r w:rsidRPr="007B74B7">
        <w:rPr>
          <w:rFonts w:cs="Tahoma"/>
          <w:color w:val="000000"/>
          <w:szCs w:val="18"/>
          <w:lang w:val="it-IT"/>
        </w:rPr>
        <w:t>Server sono idonee a ricevere questo vantaggio.</w:t>
      </w:r>
      <w:r w:rsidR="008D782D" w:rsidRPr="007B74B7">
        <w:rPr>
          <w:rFonts w:cs="Tahoma"/>
          <w:color w:val="000000"/>
          <w:szCs w:val="18"/>
          <w:lang w:val="it-IT"/>
        </w:rPr>
        <w:t xml:space="preserve"> </w:t>
      </w:r>
      <w:r w:rsidRPr="007B74B7">
        <w:rPr>
          <w:rFonts w:cs="Tahoma"/>
          <w:color w:val="000000"/>
          <w:szCs w:val="18"/>
          <w:lang w:val="it-IT"/>
        </w:rPr>
        <w:t>Il vantaggio Planning Services mette a disposizione delle società idonee offerte di servizi personalizzati predeterminati.</w:t>
      </w:r>
      <w:r w:rsidR="008D782D" w:rsidRPr="007B74B7">
        <w:rPr>
          <w:rFonts w:cs="Tahoma"/>
          <w:color w:val="000000"/>
          <w:szCs w:val="18"/>
          <w:lang w:val="it-IT"/>
        </w:rPr>
        <w:t xml:space="preserve"> </w:t>
      </w:r>
      <w:r w:rsidRPr="00BD7CEA">
        <w:rPr>
          <w:rFonts w:cs="Tahoma"/>
          <w:color w:val="000000"/>
          <w:szCs w:val="18"/>
        </w:rPr>
        <w:t>Le offerte disponibili includono:</w:t>
      </w:r>
    </w:p>
    <w:p w:rsidR="000D4ECA" w:rsidRPr="00BD7CEA" w:rsidRDefault="000D4ECA" w:rsidP="0063466C"/>
    <w:p w:rsidR="000D4ECA" w:rsidRPr="00BD7CEA" w:rsidRDefault="000D4ECA" w:rsidP="00024C3C">
      <w:pPr>
        <w:numPr>
          <w:ilvl w:val="0"/>
          <w:numId w:val="10"/>
        </w:numPr>
        <w:spacing w:after="60" w:line="276" w:lineRule="auto"/>
      </w:pPr>
      <w:r w:rsidRPr="00BD7CEA">
        <w:rPr>
          <w:rFonts w:cs="Tahoma"/>
          <w:color w:val="000000"/>
          <w:szCs w:val="18"/>
        </w:rPr>
        <w:t>Desktop Deployment Planning Services (DDPS)</w:t>
      </w:r>
    </w:p>
    <w:p w:rsidR="000D4ECA" w:rsidRPr="007B74B7" w:rsidRDefault="000D4ECA" w:rsidP="007358C5">
      <w:pPr>
        <w:numPr>
          <w:ilvl w:val="1"/>
          <w:numId w:val="103"/>
        </w:numPr>
        <w:spacing w:after="60" w:line="276" w:lineRule="auto"/>
        <w:ind w:left="1980"/>
        <w:rPr>
          <w:spacing w:val="-4"/>
          <w:lang w:val="it-IT"/>
        </w:rPr>
      </w:pPr>
      <w:r w:rsidRPr="007B74B7">
        <w:rPr>
          <w:rFonts w:cs="Tahoma"/>
          <w:color w:val="000000"/>
          <w:spacing w:val="-4"/>
          <w:szCs w:val="18"/>
          <w:lang w:val="it-IT"/>
        </w:rPr>
        <w:t>Descrizione: DDPS offre alle società le procedure tecniche, di analisi e di pianificazione di</w:t>
      </w:r>
      <w:r w:rsidR="00615CCC" w:rsidRPr="007B74B7">
        <w:rPr>
          <w:rFonts w:cs="Tahoma"/>
          <w:color w:val="000000"/>
          <w:spacing w:val="-4"/>
          <w:szCs w:val="18"/>
          <w:lang w:val="it-IT"/>
        </w:rPr>
        <w:t> </w:t>
      </w:r>
      <w:r w:rsidRPr="007B74B7">
        <w:rPr>
          <w:rFonts w:cs="Tahoma"/>
          <w:color w:val="000000"/>
          <w:spacing w:val="-4"/>
          <w:szCs w:val="18"/>
          <w:lang w:val="it-IT"/>
        </w:rPr>
        <w:t>base necessarie per iniziare la distribuzione dei desktop con Office 2010 e Windows 8. Questa offerta si basa sulle procedure consigliate da Microsoft per la distribuzione di desktop e consente alle società di ridurre costi e complessità tramite livelli elevati di processi e automazione. DDPS può inoltre offrire assistenza alle organizzazioni che valutano Office 365 attraverso l</w:t>
      </w:r>
      <w:r w:rsidR="007A1415" w:rsidRPr="007B74B7">
        <w:rPr>
          <w:rFonts w:cs="Tahoma"/>
          <w:color w:val="000000"/>
          <w:spacing w:val="-4"/>
          <w:szCs w:val="18"/>
          <w:lang w:val="it-IT"/>
        </w:rPr>
        <w:t>’</w:t>
      </w:r>
      <w:r w:rsidRPr="007B74B7">
        <w:rPr>
          <w:rFonts w:cs="Tahoma"/>
          <w:color w:val="000000"/>
          <w:spacing w:val="-4"/>
          <w:szCs w:val="18"/>
          <w:lang w:val="it-IT"/>
        </w:rPr>
        <w:t>analisi di controprestazioni e requisiti per l</w:t>
      </w:r>
      <w:r w:rsidR="007A1415" w:rsidRPr="007B74B7">
        <w:rPr>
          <w:rFonts w:cs="Tahoma"/>
          <w:color w:val="000000"/>
          <w:spacing w:val="-4"/>
          <w:szCs w:val="18"/>
          <w:lang w:val="it-IT"/>
        </w:rPr>
        <w:t>’</w:t>
      </w:r>
      <w:r w:rsidRPr="007B74B7">
        <w:rPr>
          <w:rFonts w:cs="Tahoma"/>
          <w:color w:val="000000"/>
          <w:spacing w:val="-4"/>
          <w:szCs w:val="18"/>
          <w:lang w:val="it-IT"/>
        </w:rPr>
        <w:t>adozione di un ambiente desktop pronto per il cloud.</w:t>
      </w:r>
    </w:p>
    <w:p w:rsidR="000D4ECA" w:rsidRPr="00BD7CEA" w:rsidRDefault="000D4ECA" w:rsidP="007358C5">
      <w:pPr>
        <w:numPr>
          <w:ilvl w:val="1"/>
          <w:numId w:val="103"/>
        </w:numPr>
        <w:spacing w:after="60" w:line="276" w:lineRule="auto"/>
        <w:ind w:left="1980"/>
      </w:pPr>
      <w:r w:rsidRPr="00BD7CEA">
        <w:rPr>
          <w:rFonts w:cs="Tahoma"/>
          <w:color w:val="000000"/>
          <w:szCs w:val="18"/>
        </w:rPr>
        <w:t>Livelli di Servizio: 1, 3, 5, 10 o 15 giorni</w:t>
      </w:r>
    </w:p>
    <w:p w:rsidR="000D4ECA" w:rsidRPr="00BD7CEA" w:rsidRDefault="000D4ECA" w:rsidP="00024C3C">
      <w:pPr>
        <w:numPr>
          <w:ilvl w:val="0"/>
          <w:numId w:val="11"/>
        </w:numPr>
        <w:spacing w:after="60" w:line="276" w:lineRule="auto"/>
        <w:ind w:left="1440"/>
      </w:pPr>
      <w:r w:rsidRPr="00BD7CEA">
        <w:rPr>
          <w:rFonts w:cs="Tahoma"/>
          <w:color w:val="000000"/>
          <w:szCs w:val="18"/>
        </w:rPr>
        <w:t>SharePoint Deployment Planning Services (SDPS)</w:t>
      </w:r>
    </w:p>
    <w:p w:rsidR="000D4ECA" w:rsidRPr="007B74B7" w:rsidRDefault="000D4ECA" w:rsidP="007358C5">
      <w:pPr>
        <w:numPr>
          <w:ilvl w:val="1"/>
          <w:numId w:val="104"/>
        </w:numPr>
        <w:spacing w:after="60" w:line="276" w:lineRule="auto"/>
        <w:ind w:left="1980"/>
        <w:rPr>
          <w:lang w:val="it-IT"/>
        </w:rPr>
      </w:pPr>
      <w:r w:rsidRPr="007B74B7">
        <w:rPr>
          <w:rFonts w:cs="Tahoma"/>
          <w:color w:val="000000"/>
          <w:szCs w:val="18"/>
          <w:lang w:val="it-IT"/>
        </w:rPr>
        <w:t>Descrizione: SDPS consente a partner qualificati e a consulenti Microsoft di aiutare le società a sviluppare un piano di distribuzione personalizzato di SharePoint Portal Server per il loro ambiente specifico e di valutare il costo complessivo della distribuzione della tecnologia.</w:t>
      </w:r>
      <w:r w:rsidR="008D782D" w:rsidRPr="007B74B7">
        <w:rPr>
          <w:rFonts w:cs="Tahoma"/>
          <w:color w:val="000000"/>
          <w:szCs w:val="18"/>
          <w:lang w:val="it-IT"/>
        </w:rPr>
        <w:t xml:space="preserve"> </w:t>
      </w:r>
      <w:r w:rsidRPr="007B74B7">
        <w:rPr>
          <w:rFonts w:cs="Tahoma"/>
          <w:color w:val="000000"/>
          <w:szCs w:val="18"/>
          <w:lang w:val="it-IT"/>
        </w:rPr>
        <w:t>SDPS può inoltre aiutare le società con la pianificazione della distribuzione per agevolare il</w:t>
      </w:r>
      <w:r w:rsidR="00615CCC" w:rsidRPr="007B74B7">
        <w:rPr>
          <w:rFonts w:cs="Tahoma"/>
          <w:color w:val="000000"/>
          <w:szCs w:val="18"/>
          <w:lang w:val="it-IT"/>
        </w:rPr>
        <w:t> </w:t>
      </w:r>
      <w:r w:rsidRPr="007B74B7">
        <w:rPr>
          <w:rFonts w:cs="Tahoma"/>
          <w:color w:val="000000"/>
          <w:szCs w:val="18"/>
          <w:lang w:val="it-IT"/>
        </w:rPr>
        <w:t>passaggio a Office 365, sulla base di SharePoint Online.</w:t>
      </w:r>
      <w:r w:rsidR="008D782D" w:rsidRPr="007B74B7">
        <w:rPr>
          <w:rFonts w:cs="Tahoma"/>
          <w:color w:val="000000"/>
          <w:szCs w:val="18"/>
          <w:lang w:val="it-IT"/>
        </w:rPr>
        <w:t xml:space="preserve"> </w:t>
      </w:r>
    </w:p>
    <w:p w:rsidR="000D4ECA" w:rsidRPr="00BD7CEA" w:rsidRDefault="000D4ECA" w:rsidP="007358C5">
      <w:pPr>
        <w:numPr>
          <w:ilvl w:val="1"/>
          <w:numId w:val="104"/>
        </w:numPr>
        <w:spacing w:after="60" w:line="276" w:lineRule="auto"/>
        <w:ind w:left="1980"/>
      </w:pPr>
      <w:r w:rsidRPr="00BD7CEA">
        <w:rPr>
          <w:rFonts w:cs="Tahoma"/>
          <w:color w:val="000000"/>
          <w:szCs w:val="18"/>
        </w:rPr>
        <w:t>Livelli di Servizio: 1, 3, 5, 10 o 15 giorni</w:t>
      </w:r>
    </w:p>
    <w:p w:rsidR="000D4ECA" w:rsidRPr="00BD7CEA" w:rsidRDefault="000D4ECA" w:rsidP="00024C3C">
      <w:pPr>
        <w:numPr>
          <w:ilvl w:val="0"/>
          <w:numId w:val="10"/>
        </w:numPr>
        <w:spacing w:after="60" w:line="276" w:lineRule="auto"/>
      </w:pPr>
      <w:r w:rsidRPr="00BD7CEA">
        <w:rPr>
          <w:rFonts w:cs="Tahoma"/>
          <w:color w:val="000000"/>
          <w:szCs w:val="18"/>
        </w:rPr>
        <w:t>Lync and Exchange Deployment Planning Services (L&amp;EDPS)</w:t>
      </w:r>
    </w:p>
    <w:p w:rsidR="000D4ECA" w:rsidRPr="007B74B7" w:rsidRDefault="000D4ECA" w:rsidP="007358C5">
      <w:pPr>
        <w:numPr>
          <w:ilvl w:val="1"/>
          <w:numId w:val="105"/>
        </w:numPr>
        <w:spacing w:after="60" w:line="276" w:lineRule="auto"/>
        <w:ind w:left="1980"/>
        <w:rPr>
          <w:lang w:val="it-IT"/>
        </w:rPr>
      </w:pPr>
      <w:r w:rsidRPr="007B74B7">
        <w:rPr>
          <w:rFonts w:cs="Tahoma"/>
          <w:color w:val="000000"/>
          <w:szCs w:val="18"/>
          <w:lang w:val="it-IT"/>
        </w:rPr>
        <w:t>Descrizione: L&amp;EDPS consente a partner qualificati e a consulenti Microsoft di assistere le società nelle fasi di pianificazione della distribuzione e del valore delle implementazioni di Lync ed Exchange 2010, inclusa l</w:t>
      </w:r>
      <w:r w:rsidR="007A1415" w:rsidRPr="007B74B7">
        <w:rPr>
          <w:rFonts w:cs="Tahoma"/>
          <w:color w:val="000000"/>
          <w:szCs w:val="18"/>
          <w:lang w:val="it-IT"/>
        </w:rPr>
        <w:t>’</w:t>
      </w:r>
      <w:r w:rsidRPr="007B74B7">
        <w:rPr>
          <w:rFonts w:cs="Tahoma"/>
          <w:color w:val="000000"/>
          <w:szCs w:val="18"/>
          <w:lang w:val="it-IT"/>
        </w:rPr>
        <w:t>analisi dell</w:t>
      </w:r>
      <w:r w:rsidR="007A1415" w:rsidRPr="007B74B7">
        <w:rPr>
          <w:rFonts w:cs="Tahoma"/>
          <w:color w:val="000000"/>
          <w:szCs w:val="18"/>
          <w:lang w:val="it-IT"/>
        </w:rPr>
        <w:t>’</w:t>
      </w:r>
      <w:r w:rsidRPr="007B74B7">
        <w:rPr>
          <w:rFonts w:cs="Tahoma"/>
          <w:color w:val="000000"/>
          <w:szCs w:val="18"/>
          <w:lang w:val="it-IT"/>
        </w:rPr>
        <w:t>ambiente dell</w:t>
      </w:r>
      <w:r w:rsidR="007A1415" w:rsidRPr="007B74B7">
        <w:rPr>
          <w:rFonts w:cs="Tahoma"/>
          <w:color w:val="000000"/>
          <w:szCs w:val="18"/>
          <w:lang w:val="it-IT"/>
        </w:rPr>
        <w:t>’</w:t>
      </w:r>
      <w:r w:rsidRPr="007B74B7">
        <w:rPr>
          <w:rFonts w:cs="Tahoma"/>
          <w:color w:val="000000"/>
          <w:szCs w:val="18"/>
          <w:lang w:val="it-IT"/>
        </w:rPr>
        <w:t>organizzazione della società e la condivisione delle procedure consigliate, sia per soluzioni On-Premise che cloud.</w:t>
      </w:r>
      <w:r w:rsidR="008D782D" w:rsidRPr="007B74B7">
        <w:rPr>
          <w:rFonts w:cs="Tahoma"/>
          <w:color w:val="000000"/>
          <w:szCs w:val="18"/>
          <w:lang w:val="it-IT"/>
        </w:rPr>
        <w:t xml:space="preserve"> </w:t>
      </w:r>
      <w:r w:rsidRPr="007B74B7">
        <w:rPr>
          <w:rFonts w:cs="Tahoma"/>
          <w:color w:val="000000"/>
          <w:szCs w:val="18"/>
          <w:lang w:val="it-IT"/>
        </w:rPr>
        <w:t>L&amp;EDPS può inoltre aiutare le società con la pianificazione della distribuzione per agevolare il passaggio a Office 365, sulla base di Lync ed Exchange Online.</w:t>
      </w:r>
    </w:p>
    <w:p w:rsidR="000D4ECA" w:rsidRPr="00BD7CEA" w:rsidRDefault="000D4ECA" w:rsidP="007358C5">
      <w:pPr>
        <w:numPr>
          <w:ilvl w:val="1"/>
          <w:numId w:val="105"/>
        </w:numPr>
        <w:spacing w:after="60" w:line="276" w:lineRule="auto"/>
        <w:ind w:left="1980"/>
      </w:pPr>
      <w:r w:rsidRPr="00BD7CEA">
        <w:rPr>
          <w:rFonts w:cs="Tahoma"/>
          <w:color w:val="000000"/>
          <w:szCs w:val="18"/>
        </w:rPr>
        <w:t>Livelli di Servizio: 1, 3, 5, 10 o 15 giorni</w:t>
      </w:r>
    </w:p>
    <w:p w:rsidR="000D4ECA" w:rsidRPr="00BD7CEA" w:rsidRDefault="000D4ECA" w:rsidP="00024C3C">
      <w:pPr>
        <w:numPr>
          <w:ilvl w:val="0"/>
          <w:numId w:val="10"/>
        </w:numPr>
        <w:spacing w:after="60" w:line="276" w:lineRule="auto"/>
      </w:pPr>
      <w:r w:rsidRPr="00BD7CEA">
        <w:rPr>
          <w:rFonts w:cs="Tahoma"/>
          <w:color w:val="000000"/>
          <w:szCs w:val="18"/>
        </w:rPr>
        <w:t>Private Cloud, Management and Virtualization Deployment Planning Services (PVDPS)</w:t>
      </w:r>
    </w:p>
    <w:p w:rsidR="000D4ECA" w:rsidRPr="007B74B7" w:rsidRDefault="000D4ECA" w:rsidP="007358C5">
      <w:pPr>
        <w:numPr>
          <w:ilvl w:val="1"/>
          <w:numId w:val="106"/>
        </w:numPr>
        <w:spacing w:after="60" w:line="276" w:lineRule="auto"/>
        <w:ind w:left="1980"/>
        <w:rPr>
          <w:lang w:val="it-IT"/>
        </w:rPr>
      </w:pPr>
      <w:r w:rsidRPr="007B74B7">
        <w:rPr>
          <w:rFonts w:cs="Tahoma"/>
          <w:color w:val="000000"/>
          <w:szCs w:val="18"/>
          <w:lang w:val="it-IT"/>
        </w:rPr>
        <w:t xml:space="preserve">Descrizione: </w:t>
      </w:r>
      <w:r w:rsidRPr="007B74B7">
        <w:rPr>
          <w:rFonts w:cs="Tahoma"/>
          <w:szCs w:val="18"/>
          <w:lang w:val="it-IT"/>
        </w:rPr>
        <w:t>PVDPS offre engagement di consulenza strutturati che aiutano le società a</w:t>
      </w:r>
      <w:r w:rsidR="00615CCC" w:rsidRPr="007B74B7">
        <w:rPr>
          <w:rFonts w:cs="Tahoma"/>
          <w:szCs w:val="18"/>
          <w:lang w:val="it-IT"/>
        </w:rPr>
        <w:t> </w:t>
      </w:r>
      <w:r w:rsidRPr="007B74B7">
        <w:rPr>
          <w:rFonts w:cs="Tahoma"/>
          <w:szCs w:val="18"/>
          <w:lang w:val="it-IT"/>
        </w:rPr>
        <w:t>trarre vantaggio dalle soluzioni infrastrutturali basate su Windows Server, Systems Center</w:t>
      </w:r>
      <w:r w:rsidR="00615CCC" w:rsidRPr="007B74B7">
        <w:rPr>
          <w:rFonts w:cs="Tahoma"/>
          <w:szCs w:val="18"/>
          <w:lang w:val="it-IT"/>
        </w:rPr>
        <w:t> </w:t>
      </w:r>
      <w:r w:rsidRPr="007B74B7">
        <w:rPr>
          <w:rFonts w:cs="Tahoma"/>
          <w:szCs w:val="18"/>
          <w:lang w:val="it-IT"/>
        </w:rPr>
        <w:t>e Hyper-V. Questo servizio consentirà di ridurre i costi dei datacenter, aumentare la</w:t>
      </w:r>
      <w:r w:rsidR="00487D97" w:rsidRPr="007B74B7">
        <w:rPr>
          <w:rFonts w:cs="Tahoma"/>
          <w:szCs w:val="18"/>
          <w:lang w:val="it-IT"/>
        </w:rPr>
        <w:t> </w:t>
      </w:r>
      <w:r w:rsidRPr="007B74B7">
        <w:rPr>
          <w:rFonts w:cs="Tahoma"/>
          <w:szCs w:val="18"/>
          <w:lang w:val="it-IT"/>
        </w:rPr>
        <w:t>flessibilità aziendale e fornire un maggiore controllo dell</w:t>
      </w:r>
      <w:r w:rsidR="007A1415" w:rsidRPr="007B74B7">
        <w:rPr>
          <w:rFonts w:cs="Tahoma"/>
          <w:szCs w:val="18"/>
          <w:lang w:val="it-IT"/>
        </w:rPr>
        <w:t>’</w:t>
      </w:r>
      <w:r w:rsidRPr="007B74B7">
        <w:rPr>
          <w:rFonts w:cs="Tahoma"/>
          <w:szCs w:val="18"/>
          <w:lang w:val="it-IT"/>
        </w:rPr>
        <w:t>infrastruttura fisica, virtuale e ibrida della società</w:t>
      </w:r>
      <w:r w:rsidRPr="007B74B7">
        <w:rPr>
          <w:rFonts w:cs="Tahoma"/>
          <w:color w:val="000000"/>
          <w:szCs w:val="18"/>
          <w:lang w:val="it-IT"/>
        </w:rPr>
        <w:t xml:space="preserve">. </w:t>
      </w:r>
    </w:p>
    <w:p w:rsidR="000D4ECA" w:rsidRPr="00BD7CEA" w:rsidRDefault="000D4ECA" w:rsidP="007358C5">
      <w:pPr>
        <w:numPr>
          <w:ilvl w:val="1"/>
          <w:numId w:val="106"/>
        </w:numPr>
        <w:spacing w:after="60" w:line="276" w:lineRule="auto"/>
        <w:ind w:left="1980"/>
      </w:pPr>
      <w:r w:rsidRPr="00BD7CEA">
        <w:rPr>
          <w:rFonts w:cs="Tahoma"/>
          <w:color w:val="000000"/>
          <w:szCs w:val="18"/>
        </w:rPr>
        <w:t>Livelli di Servizio: 3, 5, 10 o 15 giorni</w:t>
      </w:r>
    </w:p>
    <w:p w:rsidR="000D4ECA" w:rsidRPr="00BD7CEA" w:rsidRDefault="000D4ECA" w:rsidP="00024C3C">
      <w:pPr>
        <w:numPr>
          <w:ilvl w:val="0"/>
          <w:numId w:val="10"/>
        </w:numPr>
        <w:spacing w:after="60" w:line="276" w:lineRule="auto"/>
      </w:pPr>
      <w:r w:rsidRPr="00BD7CEA">
        <w:rPr>
          <w:rFonts w:cs="Tahoma"/>
          <w:color w:val="000000"/>
          <w:szCs w:val="18"/>
        </w:rPr>
        <w:t>SQL Server Deployment Planning Services (SSDPS)</w:t>
      </w:r>
    </w:p>
    <w:p w:rsidR="000D4ECA" w:rsidRPr="007B74B7" w:rsidRDefault="000D4ECA" w:rsidP="007358C5">
      <w:pPr>
        <w:numPr>
          <w:ilvl w:val="1"/>
          <w:numId w:val="107"/>
        </w:numPr>
        <w:spacing w:after="60" w:line="276" w:lineRule="auto"/>
        <w:ind w:left="1980"/>
        <w:rPr>
          <w:lang w:val="it-IT"/>
        </w:rPr>
      </w:pPr>
      <w:r w:rsidRPr="007B74B7">
        <w:rPr>
          <w:rFonts w:cs="Tahoma"/>
          <w:color w:val="000000"/>
          <w:szCs w:val="18"/>
          <w:lang w:val="it-IT"/>
        </w:rPr>
        <w:t xml:space="preserve">Descrizione: </w:t>
      </w:r>
      <w:r w:rsidRPr="007B74B7">
        <w:rPr>
          <w:rFonts w:cs="Tahoma"/>
          <w:szCs w:val="18"/>
          <w:lang w:val="it-IT"/>
        </w:rPr>
        <w:t>SSDPS offre la valutazione approfondita e la pianificazione della distribuzione per la migrazione a SQL Server, l</w:t>
      </w:r>
      <w:r w:rsidR="007A1415" w:rsidRPr="007B74B7">
        <w:rPr>
          <w:rFonts w:cs="Tahoma"/>
          <w:szCs w:val="18"/>
          <w:lang w:val="it-IT"/>
        </w:rPr>
        <w:t>’</w:t>
      </w:r>
      <w:r w:rsidRPr="007B74B7">
        <w:rPr>
          <w:rFonts w:cs="Tahoma"/>
          <w:szCs w:val="18"/>
          <w:lang w:val="it-IT"/>
        </w:rPr>
        <w:t>aggiornamento alla nuova versione della soluzione SQL</w:t>
      </w:r>
      <w:r w:rsidR="00615CCC" w:rsidRPr="007B74B7">
        <w:rPr>
          <w:rFonts w:cs="Tahoma"/>
          <w:szCs w:val="18"/>
          <w:lang w:val="it-IT"/>
        </w:rPr>
        <w:t> </w:t>
      </w:r>
      <w:r w:rsidRPr="007B74B7">
        <w:rPr>
          <w:rFonts w:cs="Tahoma"/>
          <w:szCs w:val="18"/>
          <w:lang w:val="it-IT"/>
        </w:rPr>
        <w:t>Server e la soluzione SQL Server Business Intelligence.</w:t>
      </w:r>
    </w:p>
    <w:p w:rsidR="000D4ECA" w:rsidRPr="00BD7CEA" w:rsidRDefault="000D4ECA" w:rsidP="007358C5">
      <w:pPr>
        <w:numPr>
          <w:ilvl w:val="1"/>
          <w:numId w:val="107"/>
        </w:numPr>
        <w:spacing w:after="60" w:line="276" w:lineRule="auto"/>
        <w:ind w:left="1980"/>
      </w:pPr>
      <w:r w:rsidRPr="00BD7CEA">
        <w:rPr>
          <w:rFonts w:cs="Tahoma"/>
          <w:color w:val="000000"/>
          <w:szCs w:val="18"/>
        </w:rPr>
        <w:t>Livelli di Servizio: 3, 5, 10 o 15 giorni</w:t>
      </w:r>
    </w:p>
    <w:p w:rsidR="000D4ECA" w:rsidRPr="00BD7CEA" w:rsidRDefault="000D4ECA" w:rsidP="00024C3C">
      <w:pPr>
        <w:numPr>
          <w:ilvl w:val="0"/>
          <w:numId w:val="10"/>
        </w:numPr>
        <w:spacing w:after="60" w:line="276" w:lineRule="auto"/>
      </w:pPr>
      <w:r w:rsidRPr="00BD7CEA">
        <w:rPr>
          <w:rFonts w:cs="Tahoma"/>
          <w:color w:val="000000"/>
          <w:szCs w:val="18"/>
        </w:rPr>
        <w:t>Developer Tools Deployment Planning Services (DTDPS)</w:t>
      </w:r>
    </w:p>
    <w:p w:rsidR="000D4ECA" w:rsidRPr="007B74B7" w:rsidRDefault="000D4ECA" w:rsidP="007358C5">
      <w:pPr>
        <w:numPr>
          <w:ilvl w:val="1"/>
          <w:numId w:val="108"/>
        </w:numPr>
        <w:spacing w:after="60" w:line="276" w:lineRule="auto"/>
        <w:ind w:left="1980"/>
        <w:rPr>
          <w:lang w:val="it-IT"/>
        </w:rPr>
      </w:pPr>
      <w:r w:rsidRPr="007B74B7">
        <w:rPr>
          <w:rFonts w:cs="Tahoma"/>
          <w:color w:val="000000"/>
          <w:szCs w:val="18"/>
          <w:lang w:val="it-IT"/>
        </w:rPr>
        <w:t xml:space="preserve">Descrizione: </w:t>
      </w:r>
      <w:r w:rsidRPr="007B74B7">
        <w:rPr>
          <w:rFonts w:cs="Tahoma"/>
          <w:szCs w:val="18"/>
          <w:lang w:val="it-IT"/>
        </w:rPr>
        <w:t>DTDPS offre analisi rigorose e un approccio incentrato sui processi per lo sviluppo di un piano di distribuzione di Visual Studio Team Foundation Server o Visual Studio Test Tools. Utilizzando procedure consigliate da Microsoft, un partner certificato realizzerà un piano di distribuzione univoco, personalizzato in base alle esigenze della società</w:t>
      </w:r>
      <w:r w:rsidRPr="007B74B7">
        <w:rPr>
          <w:rFonts w:cs="Tahoma"/>
          <w:color w:val="000000"/>
          <w:szCs w:val="18"/>
          <w:lang w:val="it-IT"/>
        </w:rPr>
        <w:t xml:space="preserve">. </w:t>
      </w:r>
    </w:p>
    <w:p w:rsidR="000D4ECA" w:rsidRPr="00BD7CEA" w:rsidRDefault="000D4ECA" w:rsidP="007358C5">
      <w:pPr>
        <w:numPr>
          <w:ilvl w:val="1"/>
          <w:numId w:val="108"/>
        </w:numPr>
        <w:spacing w:after="60" w:line="276" w:lineRule="auto"/>
        <w:ind w:left="1980"/>
      </w:pPr>
      <w:r w:rsidRPr="00BD7CEA">
        <w:rPr>
          <w:rFonts w:cs="Tahoma"/>
          <w:color w:val="000000"/>
          <w:szCs w:val="18"/>
        </w:rPr>
        <w:t>Livelli di Servizio: 3 o 5 giorni</w:t>
      </w:r>
    </w:p>
    <w:p w:rsidR="000D4ECA" w:rsidRPr="00BD7CEA" w:rsidRDefault="000D4ECA" w:rsidP="00024C3C">
      <w:pPr>
        <w:numPr>
          <w:ilvl w:val="0"/>
          <w:numId w:val="10"/>
        </w:numPr>
        <w:spacing w:after="60" w:line="276" w:lineRule="auto"/>
      </w:pPr>
      <w:r w:rsidRPr="00BD7CEA">
        <w:rPr>
          <w:rFonts w:cs="Tahoma"/>
          <w:color w:val="000000"/>
          <w:szCs w:val="18"/>
        </w:rPr>
        <w:lastRenderedPageBreak/>
        <w:t>Cloud Pubblico, Azure Deployment Planning Services (AZDPS)</w:t>
      </w:r>
    </w:p>
    <w:p w:rsidR="000D4ECA" w:rsidRPr="007B74B7" w:rsidRDefault="000D4ECA" w:rsidP="007358C5">
      <w:pPr>
        <w:numPr>
          <w:ilvl w:val="1"/>
          <w:numId w:val="109"/>
        </w:numPr>
        <w:spacing w:after="60" w:line="276" w:lineRule="auto"/>
        <w:ind w:left="1980"/>
        <w:rPr>
          <w:lang w:val="it-IT"/>
        </w:rPr>
      </w:pPr>
      <w:r w:rsidRPr="007B74B7">
        <w:rPr>
          <w:rFonts w:cs="Tahoma"/>
          <w:color w:val="000000"/>
          <w:szCs w:val="18"/>
          <w:lang w:val="it-IT"/>
        </w:rPr>
        <w:t xml:space="preserve">Descrizione: </w:t>
      </w:r>
      <w:r w:rsidRPr="007B74B7">
        <w:rPr>
          <w:rFonts w:cs="Tahoma"/>
          <w:szCs w:val="18"/>
          <w:lang w:val="it-IT"/>
        </w:rPr>
        <w:t xml:space="preserve">Il Cloud </w:t>
      </w:r>
      <w:r w:rsidRPr="007B74B7">
        <w:rPr>
          <w:rFonts w:cs="Tahoma"/>
          <w:color w:val="1D1B11"/>
          <w:szCs w:val="18"/>
          <w:lang w:val="it-IT"/>
        </w:rPr>
        <w:t>Pubblico</w:t>
      </w:r>
      <w:r w:rsidRPr="007B74B7">
        <w:rPr>
          <w:rFonts w:cs="Tahoma"/>
          <w:szCs w:val="18"/>
          <w:lang w:val="it-IT"/>
        </w:rPr>
        <w:t xml:space="preserve"> AZDPS offre la formazione e il servizio di migrazione della Piattaforma Windows Azure. Questo servizio consente di usufruire di esercitazioni relative alla Piattaforma Windows Azure con formazione pratica, di ottenere assistenza in merito all</w:t>
      </w:r>
      <w:r w:rsidR="007A1415" w:rsidRPr="007B74B7">
        <w:rPr>
          <w:rFonts w:cs="Tahoma"/>
          <w:szCs w:val="18"/>
          <w:lang w:val="it-IT"/>
        </w:rPr>
        <w:t>’</w:t>
      </w:r>
      <w:r w:rsidRPr="007B74B7">
        <w:rPr>
          <w:rFonts w:cs="Tahoma"/>
          <w:szCs w:val="18"/>
          <w:lang w:val="it-IT"/>
        </w:rPr>
        <w:t>esecuzione della migrazione di applicazioni e dati e alla progettazione di applicazioni per il cloud; inoltre fornisce alle società il supporto necessario per la migrazione e la scrittura delle loro prime applicazioni sulla piattaforma Windows Azure.</w:t>
      </w:r>
    </w:p>
    <w:p w:rsidR="000D4ECA" w:rsidRPr="00BD7CEA" w:rsidRDefault="000D4ECA" w:rsidP="007358C5">
      <w:pPr>
        <w:numPr>
          <w:ilvl w:val="1"/>
          <w:numId w:val="109"/>
        </w:numPr>
        <w:spacing w:line="276" w:lineRule="auto"/>
        <w:ind w:left="1987"/>
      </w:pPr>
      <w:r w:rsidRPr="00BD7CEA">
        <w:rPr>
          <w:rFonts w:cs="Tahoma"/>
          <w:color w:val="000000"/>
          <w:szCs w:val="18"/>
        </w:rPr>
        <w:t>Livelli di Servizio: 3, 5 o 10 giorni</w:t>
      </w:r>
    </w:p>
    <w:p w:rsidR="000D4ECA" w:rsidRPr="00BD7CEA" w:rsidRDefault="000D4ECA" w:rsidP="0063466C">
      <w:pPr>
        <w:tabs>
          <w:tab w:val="left" w:pos="8040"/>
        </w:tabs>
      </w:pPr>
    </w:p>
    <w:p w:rsidR="000D4ECA" w:rsidRPr="007B74B7" w:rsidRDefault="000D4ECA" w:rsidP="000D4ECA">
      <w:pPr>
        <w:spacing w:after="60"/>
        <w:rPr>
          <w:lang w:val="it-IT"/>
        </w:rPr>
      </w:pPr>
      <w:r w:rsidRPr="007B74B7">
        <w:rPr>
          <w:rFonts w:cs="Tahoma"/>
          <w:color w:val="000000"/>
          <w:szCs w:val="18"/>
          <w:lang w:val="it-IT"/>
        </w:rPr>
        <w:t>L</w:t>
      </w:r>
      <w:r w:rsidR="007A1415" w:rsidRPr="007B74B7">
        <w:rPr>
          <w:rFonts w:cs="Tahoma"/>
          <w:color w:val="000000"/>
          <w:szCs w:val="18"/>
          <w:lang w:val="it-IT"/>
        </w:rPr>
        <w:t>’</w:t>
      </w:r>
      <w:r w:rsidRPr="007B74B7">
        <w:rPr>
          <w:rFonts w:cs="Tahoma"/>
          <w:color w:val="000000"/>
          <w:szCs w:val="18"/>
          <w:lang w:val="it-IT"/>
        </w:rPr>
        <w:t>elenco di servizi disponibili e di livelli di servizi associati potrà cambiare in qualsiasi momento.</w:t>
      </w:r>
      <w:r w:rsidR="008D782D" w:rsidRPr="007B74B7">
        <w:rPr>
          <w:rFonts w:cs="Tahoma"/>
          <w:color w:val="000000"/>
          <w:szCs w:val="18"/>
          <w:lang w:val="it-IT"/>
        </w:rPr>
        <w:t xml:space="preserve"> </w:t>
      </w:r>
      <w:r w:rsidRPr="007B74B7">
        <w:rPr>
          <w:rFonts w:cs="Tahoma"/>
          <w:color w:val="000000"/>
          <w:szCs w:val="18"/>
          <w:lang w:val="it-IT"/>
        </w:rPr>
        <w:t>I Provider Qualificati forniranno alle società su loro richiesta uno schema dell</w:t>
      </w:r>
      <w:r w:rsidR="007A1415" w:rsidRPr="007B74B7">
        <w:rPr>
          <w:rFonts w:cs="Tahoma"/>
          <w:color w:val="000000"/>
          <w:szCs w:val="18"/>
          <w:lang w:val="it-IT"/>
        </w:rPr>
        <w:t>’</w:t>
      </w:r>
      <w:r w:rsidRPr="007B74B7">
        <w:rPr>
          <w:rFonts w:cs="Tahoma"/>
          <w:color w:val="000000"/>
          <w:szCs w:val="18"/>
          <w:lang w:val="it-IT"/>
        </w:rPr>
        <w:t>Ambito di Lavoro disponibile per ciascuna delle offerte di servizi di cui sopra.</w:t>
      </w:r>
    </w:p>
    <w:p w:rsidR="000D4ECA" w:rsidRPr="007B74B7" w:rsidRDefault="000D4ECA" w:rsidP="0063466C">
      <w:pPr>
        <w:rPr>
          <w:lang w:val="it-IT"/>
        </w:rPr>
      </w:pPr>
    </w:p>
    <w:p w:rsidR="000D4ECA" w:rsidRPr="007B74B7" w:rsidRDefault="000D4ECA" w:rsidP="000D4ECA">
      <w:pPr>
        <w:spacing w:after="60"/>
        <w:rPr>
          <w:lang w:val="it-IT"/>
        </w:rPr>
      </w:pPr>
      <w:r w:rsidRPr="007B74B7">
        <w:rPr>
          <w:rFonts w:cs="Tahoma"/>
          <w:color w:val="000000"/>
          <w:szCs w:val="18"/>
          <w:lang w:val="it-IT"/>
        </w:rPr>
        <w:t>Le società qualificate ricevono un numero di giorni Planning Services basato sul numero di licenze qualificanti per le Applicazioni Office, sulle licenze qualificanti Server e sul numero di Core CAL Suite, CAL per SQL ed Enterprise CAL Suite per le quali è stata acquistata la copertura Software Assurance (vedere la tabella che segue per i dettagli).</w:t>
      </w:r>
      <w:r w:rsidR="008D782D" w:rsidRPr="007B74B7">
        <w:rPr>
          <w:rFonts w:cs="Tahoma"/>
          <w:color w:val="000000"/>
          <w:szCs w:val="18"/>
          <w:lang w:val="it-IT"/>
        </w:rPr>
        <w:t xml:space="preserve"> </w:t>
      </w:r>
      <w:r w:rsidRPr="007B74B7">
        <w:rPr>
          <w:rFonts w:cs="Tahoma"/>
          <w:bCs/>
          <w:color w:val="000000"/>
          <w:szCs w:val="18"/>
          <w:lang w:val="it-IT"/>
        </w:rPr>
        <w:t>Il numero di giorni che una società riceve viene inserito in un pool di Giorni Planning Services al quale la società attinge per creare voucher per le offerte di servizi citate in precedenza.</w:t>
      </w:r>
      <w:r w:rsidR="008D782D" w:rsidRPr="007B74B7">
        <w:rPr>
          <w:rFonts w:cs="Tahoma"/>
          <w:bCs/>
          <w:color w:val="000000"/>
          <w:szCs w:val="18"/>
          <w:lang w:val="it-IT"/>
        </w:rPr>
        <w:t xml:space="preserve"> </w:t>
      </w:r>
      <w:r w:rsidRPr="007B74B7">
        <w:rPr>
          <w:rFonts w:cs="Tahoma"/>
          <w:bCs/>
          <w:color w:val="000000"/>
          <w:szCs w:val="18"/>
          <w:lang w:val="it-IT"/>
        </w:rPr>
        <w:t>Le società potranno selezionare uno o più di questi servizi nonché scegliere dai livelli di servizi disponibili fino al numero di Giorni Planning Services.</w:t>
      </w:r>
    </w:p>
    <w:p w:rsidR="001C1727" w:rsidRPr="007B74B7" w:rsidRDefault="001C1727">
      <w:pPr>
        <w:rPr>
          <w:lang w:val="it-IT"/>
        </w:rPr>
      </w:pPr>
    </w:p>
    <w:p w:rsidR="000D4ECA" w:rsidRPr="007B74B7" w:rsidRDefault="000D4ECA" w:rsidP="000D4ECA">
      <w:pPr>
        <w:spacing w:after="60"/>
        <w:rPr>
          <w:lang w:val="it-IT"/>
        </w:rPr>
      </w:pPr>
      <w:r w:rsidRPr="007B74B7">
        <w:rPr>
          <w:rFonts w:cs="Tahoma"/>
          <w:bCs/>
          <w:color w:val="000000"/>
          <w:szCs w:val="18"/>
          <w:lang w:val="it-IT"/>
        </w:rPr>
        <w:t>Nella tabella seguente sono elencate le licenze qualificanti Applicazione e Server e i punti associati a ciascuna di esse:</w:t>
      </w:r>
    </w:p>
    <w:p w:rsidR="0063466C" w:rsidRPr="007B74B7" w:rsidRDefault="0063466C" w:rsidP="000D4ECA">
      <w:pPr>
        <w:spacing w:after="60"/>
        <w:rPr>
          <w:lang w:val="it-IT"/>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BD7CEA"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7B74B7" w:rsidRDefault="000D4ECA" w:rsidP="000D4ECA">
            <w:pPr>
              <w:spacing w:after="60"/>
              <w:jc w:val="center"/>
              <w:rPr>
                <w:rFonts w:cs="Tahoma"/>
                <w:szCs w:val="18"/>
                <w:lang w:val="it-IT"/>
              </w:rPr>
            </w:pPr>
            <w:r w:rsidRPr="007B74B7">
              <w:rPr>
                <w:rFonts w:cs="Tahoma"/>
                <w:b/>
                <w:bCs/>
                <w:szCs w:val="18"/>
                <w:lang w:val="it-IT"/>
              </w:rPr>
              <w:t xml:space="preserve">Licenze per Applicazioni Office e Server*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BD7CEA" w:rsidRDefault="000D4ECA" w:rsidP="000D4ECA">
            <w:pPr>
              <w:spacing w:after="60"/>
              <w:jc w:val="center"/>
              <w:rPr>
                <w:rFonts w:cs="Tahoma"/>
                <w:szCs w:val="18"/>
              </w:rPr>
            </w:pPr>
            <w:r w:rsidRPr="00BD7CEA">
              <w:rPr>
                <w:rFonts w:cs="Tahoma"/>
                <w:b/>
                <w:bCs/>
                <w:szCs w:val="18"/>
              </w:rPr>
              <w:t>Punti</w:t>
            </w:r>
          </w:p>
        </w:tc>
      </w:tr>
      <w:tr w:rsidR="000D4ECA" w:rsidRPr="00BD7CEA"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B74B7" w:rsidRDefault="000D4ECA" w:rsidP="00D31281">
            <w:pPr>
              <w:spacing w:after="60"/>
              <w:jc w:val="center"/>
              <w:rPr>
                <w:rFonts w:cs="Tahoma"/>
                <w:szCs w:val="18"/>
                <w:lang w:val="it-IT"/>
              </w:rPr>
            </w:pPr>
            <w:r w:rsidRPr="007B74B7">
              <w:rPr>
                <w:rFonts w:cs="Tahoma"/>
                <w:szCs w:val="18"/>
                <w:lang w:val="it-IT"/>
              </w:rPr>
              <w:t>Prodotti del Pool di Applicazioni Office (incluse la famiglia di prodotti Office, Project Standard e Professional, Visio Standard e Professional)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D7CEA" w:rsidRDefault="000D4ECA" w:rsidP="000D4ECA">
            <w:pPr>
              <w:spacing w:after="60"/>
              <w:jc w:val="center"/>
              <w:rPr>
                <w:rFonts w:cs="Tahoma"/>
                <w:szCs w:val="18"/>
              </w:rPr>
            </w:pPr>
            <w:r w:rsidRPr="00BD7CEA">
              <w:rPr>
                <w:rFonts w:cs="Tahoma"/>
                <w:szCs w:val="18"/>
              </w:rPr>
              <w:t>1</w:t>
            </w:r>
          </w:p>
        </w:tc>
      </w:tr>
      <w:tr w:rsidR="000D4ECA" w:rsidRPr="00BD7CEA"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D7CEA" w:rsidRDefault="00F56FC9" w:rsidP="007002E0">
            <w:pPr>
              <w:spacing w:after="60"/>
              <w:jc w:val="center"/>
              <w:rPr>
                <w:rFonts w:cs="Tahoma"/>
                <w:szCs w:val="18"/>
              </w:rPr>
            </w:pPr>
            <w:r w:rsidRPr="00BD7CEA">
              <w:rPr>
                <w:rFonts w:eastAsia="Calibri" w:cs="Tahoma"/>
                <w:szCs w:val="18"/>
              </w:rPr>
              <w:t>SQL Server Standard Edition, Windows Server Standard Edition, Licenza di Gestione Server per System Center 2012 Datacenter (2 processori), Visual Studio Professional con MSDN e Visual Studio Test Professional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D7CEA" w:rsidRDefault="000D4ECA" w:rsidP="000D4ECA">
            <w:pPr>
              <w:spacing w:after="60"/>
              <w:jc w:val="center"/>
              <w:rPr>
                <w:rFonts w:cs="Tahoma"/>
                <w:szCs w:val="18"/>
              </w:rPr>
            </w:pPr>
            <w:r w:rsidRPr="00BD7CEA">
              <w:rPr>
                <w:rFonts w:cs="Tahoma"/>
                <w:szCs w:val="18"/>
              </w:rPr>
              <w:t>25</w:t>
            </w:r>
          </w:p>
        </w:tc>
      </w:tr>
      <w:tr w:rsidR="000D4ECA" w:rsidRPr="00BD7CEA"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D7CEA" w:rsidRDefault="00F56FC9" w:rsidP="000D4ECA">
            <w:pPr>
              <w:spacing w:after="60"/>
              <w:jc w:val="center"/>
              <w:rPr>
                <w:rFonts w:cs="Tahoma"/>
                <w:szCs w:val="18"/>
              </w:rPr>
            </w:pPr>
            <w:r w:rsidRPr="00BD7CEA">
              <w:rPr>
                <w:rFonts w:eastAsia="Calibri" w:cs="Tahoma"/>
                <w:szCs w:val="18"/>
              </w:rPr>
              <w:t xml:space="preserve">SQL Server Enterprise Edition, </w:t>
            </w:r>
            <w:r w:rsidRPr="00BD7CEA">
              <w:rPr>
                <w:rFonts w:cs="Tahoma"/>
                <w:szCs w:val="18"/>
              </w:rPr>
              <w:t xml:space="preserve">SQL Server Business Intelligence, </w:t>
            </w:r>
            <w:r w:rsidRPr="00BD7CEA">
              <w:rPr>
                <w:rFonts w:eastAsia="Calibri" w:cs="Tahoma"/>
                <w:szCs w:val="18"/>
              </w:rPr>
              <w:t>Windows Server Enterprise Edition e Visual Studio Premium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D7CEA" w:rsidRDefault="000D4ECA" w:rsidP="000D4ECA">
            <w:pPr>
              <w:spacing w:after="60"/>
              <w:jc w:val="center"/>
              <w:rPr>
                <w:rFonts w:cs="Tahoma"/>
                <w:szCs w:val="18"/>
              </w:rPr>
            </w:pPr>
            <w:r w:rsidRPr="00BD7CEA">
              <w:rPr>
                <w:rFonts w:cs="Tahoma"/>
                <w:szCs w:val="18"/>
              </w:rPr>
              <w:t>50</w:t>
            </w:r>
          </w:p>
        </w:tc>
      </w:tr>
      <w:tr w:rsidR="000D4ECA" w:rsidRPr="00BD7CEA"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B74B7" w:rsidRDefault="00F56FC9" w:rsidP="000D4ECA">
            <w:pPr>
              <w:spacing w:after="60"/>
              <w:jc w:val="center"/>
              <w:rPr>
                <w:rFonts w:cs="Tahoma"/>
                <w:szCs w:val="18"/>
                <w:lang w:val="it-IT"/>
              </w:rPr>
            </w:pPr>
            <w:r w:rsidRPr="007B74B7">
              <w:rPr>
                <w:rFonts w:eastAsia="Calibri" w:cs="Tahoma"/>
                <w:szCs w:val="18"/>
                <w:lang w:val="it-IT"/>
              </w:rPr>
              <w:t>SQL Server Data Center Edition, Windows Server Data Center Edition, Licenza di Gestione Server per System Center 2012 Datacenter (2 processori) e Visual Studio Ultimate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D7CEA" w:rsidRDefault="000D4ECA" w:rsidP="000D4ECA">
            <w:pPr>
              <w:spacing w:after="60"/>
              <w:jc w:val="center"/>
              <w:rPr>
                <w:rFonts w:cs="Tahoma"/>
                <w:szCs w:val="18"/>
              </w:rPr>
            </w:pPr>
            <w:r w:rsidRPr="00BD7CEA">
              <w:rPr>
                <w:rFonts w:cs="Tahoma"/>
                <w:szCs w:val="18"/>
              </w:rPr>
              <w:t>75</w:t>
            </w:r>
          </w:p>
        </w:tc>
      </w:tr>
    </w:tbl>
    <w:p w:rsidR="000D4ECA" w:rsidRPr="007B74B7" w:rsidRDefault="000D4ECA" w:rsidP="0063466C">
      <w:pPr>
        <w:ind w:firstLine="720"/>
        <w:rPr>
          <w:lang w:val="it-IT"/>
        </w:rPr>
      </w:pPr>
      <w:r w:rsidRPr="007B74B7">
        <w:rPr>
          <w:rFonts w:cs="Tahoma"/>
          <w:b/>
          <w:i/>
          <w:sz w:val="16"/>
          <w:szCs w:val="18"/>
          <w:lang w:val="it-IT"/>
        </w:rPr>
        <w:t>Nota:</w:t>
      </w:r>
      <w:r w:rsidRPr="007B74B7">
        <w:rPr>
          <w:rFonts w:cs="Tahoma"/>
          <w:i/>
          <w:sz w:val="16"/>
          <w:szCs w:val="18"/>
          <w:lang w:val="it-IT"/>
        </w:rPr>
        <w:t xml:space="preserve"> per le CAL, vedere la tabella CAL Suite nel presente articolo</w:t>
      </w:r>
    </w:p>
    <w:p w:rsidR="00F56FC9" w:rsidRPr="007B74B7" w:rsidRDefault="00F56FC9" w:rsidP="0063466C">
      <w:pPr>
        <w:rPr>
          <w:lang w:val="it-IT"/>
        </w:rPr>
      </w:pPr>
    </w:p>
    <w:p w:rsidR="000D4ECA" w:rsidRPr="007B74B7" w:rsidRDefault="000D4ECA" w:rsidP="0063466C">
      <w:pPr>
        <w:rPr>
          <w:lang w:val="it-IT"/>
        </w:rPr>
      </w:pPr>
      <w:r w:rsidRPr="007B74B7">
        <w:rPr>
          <w:rFonts w:cs="Tahoma"/>
          <w:szCs w:val="18"/>
          <w:lang w:val="it-IT"/>
        </w:rPr>
        <w:t>Quando questi prodotti idonei vengono acquistati tramite Enrollment for Application Platform (EAP) o Enrollment for</w:t>
      </w:r>
      <w:r w:rsidR="00544F15" w:rsidRPr="007B74B7">
        <w:rPr>
          <w:rFonts w:cs="Tahoma"/>
          <w:szCs w:val="18"/>
          <w:lang w:val="it-IT"/>
        </w:rPr>
        <w:t> </w:t>
      </w:r>
      <w:r w:rsidRPr="007B74B7">
        <w:rPr>
          <w:rFonts w:cs="Tahoma"/>
          <w:szCs w:val="18"/>
          <w:lang w:val="it-IT"/>
        </w:rPr>
        <w:t xml:space="preserve">Core Infrastructure (ECI), tutti i punti guadagnati ai sensi di EAP e ECI vengono raddoppiati (2). </w:t>
      </w:r>
    </w:p>
    <w:p w:rsidR="000D4ECA" w:rsidRPr="007B74B7" w:rsidRDefault="000D4ECA" w:rsidP="0063466C">
      <w:pPr>
        <w:rPr>
          <w:lang w:val="it-IT"/>
        </w:rPr>
      </w:pPr>
    </w:p>
    <w:p w:rsidR="000D4ECA" w:rsidRPr="007B74B7" w:rsidRDefault="000D4ECA" w:rsidP="0063466C">
      <w:pPr>
        <w:rPr>
          <w:lang w:val="it-IT"/>
        </w:rPr>
      </w:pPr>
      <w:r w:rsidRPr="007B74B7">
        <w:rPr>
          <w:rFonts w:cs="Tahoma"/>
          <w:szCs w:val="18"/>
          <w:lang w:val="it-IT"/>
        </w:rPr>
        <w:t>Il punti totali destinati alla società definiscono i diritti relativi ai Giorni Planning Services come mostrato qui sotto:</w:t>
      </w:r>
    </w:p>
    <w:p w:rsidR="000D4ECA" w:rsidRPr="007B74B7" w:rsidRDefault="000D4ECA" w:rsidP="0063466C">
      <w:pPr>
        <w:rPr>
          <w:lang w:val="it-IT"/>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BD7CEA" w:rsidTr="00544F15">
        <w:trPr>
          <w:trHeight w:val="393"/>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7B74B7" w:rsidRDefault="000D4ECA" w:rsidP="000D4ECA">
            <w:pPr>
              <w:spacing w:after="60"/>
              <w:jc w:val="center"/>
              <w:rPr>
                <w:rFonts w:cs="Tahoma"/>
                <w:szCs w:val="18"/>
                <w:lang w:val="it-IT"/>
              </w:rPr>
            </w:pPr>
            <w:r w:rsidRPr="007B74B7">
              <w:rPr>
                <w:rFonts w:cs="Tahoma"/>
                <w:b/>
                <w:bCs/>
                <w:szCs w:val="18"/>
                <w:lang w:val="it-IT"/>
              </w:rPr>
              <w:t>Punti di Licenze per Applicazioni Office e/o Server</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BD7CEA" w:rsidRDefault="000D4ECA" w:rsidP="000D4ECA">
            <w:pPr>
              <w:spacing w:after="60"/>
              <w:jc w:val="center"/>
              <w:rPr>
                <w:rFonts w:cs="Tahoma"/>
                <w:szCs w:val="18"/>
              </w:rPr>
            </w:pPr>
            <w:r w:rsidRPr="00BD7CEA">
              <w:rPr>
                <w:rFonts w:cs="Tahoma"/>
                <w:b/>
                <w:bCs/>
                <w:szCs w:val="18"/>
              </w:rPr>
              <w:t>Giorni Planning Services</w:t>
            </w:r>
          </w:p>
        </w:tc>
      </w:tr>
      <w:tr w:rsidR="000D4ECA" w:rsidRPr="00BD7CEA"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D7CEA" w:rsidRDefault="000D4ECA" w:rsidP="000D4ECA">
            <w:pPr>
              <w:spacing w:after="60"/>
              <w:jc w:val="center"/>
              <w:rPr>
                <w:rFonts w:cs="Tahoma"/>
                <w:szCs w:val="18"/>
              </w:rPr>
            </w:pPr>
            <w:r w:rsidRPr="00BD7CEA">
              <w:rPr>
                <w:rFonts w:cs="Tahoma"/>
                <w:szCs w:val="18"/>
              </w:rPr>
              <w:t>200</w:t>
            </w:r>
            <w:r w:rsidR="00615CCC" w:rsidRPr="00BD7CEA">
              <w:rPr>
                <w:rFonts w:cs="Tahoma"/>
                <w:szCs w:val="18"/>
              </w:rPr>
              <w:t xml:space="preserve"> – </w:t>
            </w:r>
            <w:r w:rsidRPr="00BD7CEA">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D7CEA" w:rsidRDefault="000D4ECA" w:rsidP="000D4ECA">
            <w:pPr>
              <w:spacing w:after="60"/>
              <w:jc w:val="center"/>
              <w:rPr>
                <w:rFonts w:cs="Tahoma"/>
                <w:szCs w:val="18"/>
              </w:rPr>
            </w:pPr>
            <w:r w:rsidRPr="00BD7CEA">
              <w:rPr>
                <w:rFonts w:cs="Tahoma"/>
                <w:szCs w:val="18"/>
              </w:rPr>
              <w:t>1</w:t>
            </w:r>
          </w:p>
        </w:tc>
      </w:tr>
      <w:tr w:rsidR="000D4ECA" w:rsidRPr="00BD7CEA"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D7CEA" w:rsidRDefault="000D4ECA" w:rsidP="00FB7A50">
            <w:pPr>
              <w:spacing w:after="60"/>
              <w:jc w:val="center"/>
              <w:rPr>
                <w:rFonts w:cs="Tahoma"/>
                <w:szCs w:val="18"/>
              </w:rPr>
            </w:pPr>
            <w:r w:rsidRPr="00BD7CEA">
              <w:rPr>
                <w:rFonts w:cs="Tahoma"/>
                <w:szCs w:val="18"/>
              </w:rPr>
              <w:t>500</w:t>
            </w:r>
            <w:r w:rsidR="00615CCC" w:rsidRPr="00BD7CEA">
              <w:rPr>
                <w:rFonts w:cs="Tahoma"/>
                <w:szCs w:val="18"/>
              </w:rPr>
              <w:t xml:space="preserve"> – </w:t>
            </w:r>
            <w:r w:rsidRPr="00BD7CEA">
              <w:rPr>
                <w:rFonts w:cs="Tahoma"/>
                <w:szCs w:val="18"/>
              </w:rPr>
              <w:t>1</w:t>
            </w:r>
            <w:r w:rsidR="00FB7A50">
              <w:rPr>
                <w:rFonts w:cs="Tahoma"/>
                <w:szCs w:val="18"/>
              </w:rPr>
              <w:t>.</w:t>
            </w:r>
            <w:r w:rsidRPr="00BD7CE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D7CEA" w:rsidRDefault="000D4ECA" w:rsidP="000D4ECA">
            <w:pPr>
              <w:spacing w:after="60"/>
              <w:jc w:val="center"/>
              <w:rPr>
                <w:rFonts w:cs="Tahoma"/>
                <w:szCs w:val="18"/>
              </w:rPr>
            </w:pPr>
            <w:r w:rsidRPr="00BD7CEA">
              <w:rPr>
                <w:rFonts w:cs="Tahoma"/>
                <w:szCs w:val="18"/>
              </w:rPr>
              <w:t>3</w:t>
            </w:r>
          </w:p>
        </w:tc>
      </w:tr>
      <w:tr w:rsidR="000D4ECA" w:rsidRPr="00BD7CEA"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D7CEA" w:rsidRDefault="000D4ECA" w:rsidP="00FB7A50">
            <w:pPr>
              <w:spacing w:after="60"/>
              <w:jc w:val="center"/>
              <w:rPr>
                <w:rFonts w:cs="Tahoma"/>
                <w:szCs w:val="18"/>
              </w:rPr>
            </w:pPr>
            <w:r w:rsidRPr="00BD7CEA">
              <w:rPr>
                <w:rFonts w:cs="Tahoma"/>
                <w:szCs w:val="18"/>
              </w:rPr>
              <w:t>2</w:t>
            </w:r>
            <w:r w:rsidR="00FB7A50">
              <w:rPr>
                <w:rFonts w:cs="Tahoma"/>
                <w:szCs w:val="18"/>
              </w:rPr>
              <w:t>.</w:t>
            </w:r>
            <w:r w:rsidRPr="00BD7CEA">
              <w:rPr>
                <w:rFonts w:cs="Tahoma"/>
                <w:szCs w:val="18"/>
              </w:rPr>
              <w:t>000</w:t>
            </w:r>
            <w:r w:rsidR="00615CCC" w:rsidRPr="00BD7CEA">
              <w:rPr>
                <w:rFonts w:cs="Tahoma"/>
                <w:szCs w:val="18"/>
              </w:rPr>
              <w:t xml:space="preserve"> – </w:t>
            </w:r>
            <w:r w:rsidRPr="00BD7CEA">
              <w:rPr>
                <w:rFonts w:cs="Tahoma"/>
                <w:szCs w:val="18"/>
              </w:rPr>
              <w:t>3</w:t>
            </w:r>
            <w:r w:rsidR="00FB7A50">
              <w:rPr>
                <w:rFonts w:cs="Tahoma"/>
                <w:szCs w:val="18"/>
              </w:rPr>
              <w:t>.</w:t>
            </w:r>
            <w:r w:rsidRPr="00BD7CE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D7CEA" w:rsidRDefault="000D4ECA" w:rsidP="000D4ECA">
            <w:pPr>
              <w:spacing w:after="60"/>
              <w:jc w:val="center"/>
              <w:rPr>
                <w:rFonts w:cs="Tahoma"/>
                <w:szCs w:val="18"/>
              </w:rPr>
            </w:pPr>
            <w:r w:rsidRPr="00BD7CEA">
              <w:rPr>
                <w:rFonts w:cs="Tahoma"/>
                <w:szCs w:val="18"/>
              </w:rPr>
              <w:t>5</w:t>
            </w:r>
          </w:p>
        </w:tc>
      </w:tr>
      <w:tr w:rsidR="000D4ECA" w:rsidRPr="00BD7CEA"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D7CEA" w:rsidRDefault="00FB7A50" w:rsidP="000D4ECA">
            <w:pPr>
              <w:spacing w:after="60"/>
              <w:jc w:val="center"/>
              <w:rPr>
                <w:rFonts w:cs="Tahoma"/>
                <w:szCs w:val="18"/>
              </w:rPr>
            </w:pPr>
            <w:r>
              <w:rPr>
                <w:rFonts w:cs="Tahoma"/>
                <w:szCs w:val="18"/>
              </w:rPr>
              <w:t>4.000 – 29.</w:t>
            </w:r>
            <w:r w:rsidR="000D4ECA" w:rsidRPr="00BD7CE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D7CEA" w:rsidRDefault="000D4ECA" w:rsidP="000D4ECA">
            <w:pPr>
              <w:spacing w:after="60"/>
              <w:jc w:val="center"/>
              <w:rPr>
                <w:rFonts w:cs="Tahoma"/>
                <w:szCs w:val="18"/>
              </w:rPr>
            </w:pPr>
            <w:r w:rsidRPr="00BD7CEA">
              <w:rPr>
                <w:rFonts w:cs="Tahoma"/>
                <w:szCs w:val="18"/>
              </w:rPr>
              <w:t>10</w:t>
            </w:r>
          </w:p>
        </w:tc>
      </w:tr>
      <w:tr w:rsidR="000D4ECA" w:rsidRPr="00BD7CEA"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D7CEA" w:rsidRDefault="00FB7A50" w:rsidP="00FB7A50">
            <w:pPr>
              <w:spacing w:after="60"/>
              <w:jc w:val="center"/>
              <w:rPr>
                <w:rFonts w:cs="Tahoma"/>
                <w:szCs w:val="18"/>
              </w:rPr>
            </w:pPr>
            <w:r>
              <w:rPr>
                <w:rFonts w:cs="Tahoma"/>
                <w:szCs w:val="18"/>
              </w:rPr>
              <w:t>30.</w:t>
            </w:r>
            <w:r w:rsidR="000D4ECA" w:rsidRPr="00BD7CEA">
              <w:rPr>
                <w:rFonts w:cs="Tahoma"/>
                <w:szCs w:val="18"/>
              </w:rPr>
              <w:t>000 – 49</w:t>
            </w:r>
            <w:r>
              <w:rPr>
                <w:rFonts w:cs="Tahoma"/>
                <w:szCs w:val="18"/>
              </w:rPr>
              <w:t>.</w:t>
            </w:r>
            <w:r w:rsidR="000D4ECA" w:rsidRPr="00BD7CE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D7CEA" w:rsidRDefault="000D4ECA" w:rsidP="000D4ECA">
            <w:pPr>
              <w:spacing w:after="60"/>
              <w:jc w:val="center"/>
              <w:rPr>
                <w:rFonts w:cs="Tahoma"/>
                <w:szCs w:val="18"/>
              </w:rPr>
            </w:pPr>
            <w:r w:rsidRPr="00BD7CEA">
              <w:rPr>
                <w:rFonts w:cs="Tahoma"/>
                <w:szCs w:val="18"/>
              </w:rPr>
              <w:t>15</w:t>
            </w:r>
          </w:p>
        </w:tc>
      </w:tr>
      <w:tr w:rsidR="000D4ECA" w:rsidRPr="00BD7CEA"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D7CEA" w:rsidRDefault="000D4ECA" w:rsidP="00FB7A50">
            <w:pPr>
              <w:spacing w:after="60"/>
              <w:jc w:val="center"/>
              <w:rPr>
                <w:rFonts w:cs="Tahoma"/>
                <w:szCs w:val="18"/>
              </w:rPr>
            </w:pPr>
            <w:r w:rsidRPr="00BD7CEA">
              <w:rPr>
                <w:rFonts w:cs="Tahoma"/>
                <w:szCs w:val="18"/>
              </w:rPr>
              <w:t>50</w:t>
            </w:r>
            <w:r w:rsidR="00FB7A50">
              <w:rPr>
                <w:rFonts w:cs="Tahoma"/>
                <w:szCs w:val="18"/>
              </w:rPr>
              <w:t>.</w:t>
            </w:r>
            <w:r w:rsidRPr="00BD7CEA">
              <w:rPr>
                <w:rFonts w:cs="Tahoma"/>
                <w:szCs w:val="18"/>
              </w:rPr>
              <w:t>000 – 99</w:t>
            </w:r>
            <w:r w:rsidR="00FB7A50">
              <w:rPr>
                <w:rFonts w:cs="Tahoma"/>
                <w:szCs w:val="18"/>
              </w:rPr>
              <w:t>.</w:t>
            </w:r>
            <w:r w:rsidRPr="00BD7CE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D7CEA" w:rsidRDefault="000D4ECA" w:rsidP="000D4ECA">
            <w:pPr>
              <w:spacing w:after="60"/>
              <w:jc w:val="center"/>
              <w:rPr>
                <w:rFonts w:cs="Tahoma"/>
                <w:szCs w:val="18"/>
              </w:rPr>
            </w:pPr>
            <w:r w:rsidRPr="00BD7CEA">
              <w:rPr>
                <w:rFonts w:cs="Tahoma"/>
                <w:szCs w:val="18"/>
              </w:rPr>
              <w:t>20</w:t>
            </w:r>
          </w:p>
        </w:tc>
      </w:tr>
      <w:tr w:rsidR="000D4ECA" w:rsidRPr="00BD7CEA"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D7CEA" w:rsidRDefault="000D4ECA" w:rsidP="00FB7A50">
            <w:pPr>
              <w:spacing w:after="60"/>
              <w:jc w:val="center"/>
              <w:rPr>
                <w:rFonts w:cs="Tahoma"/>
                <w:szCs w:val="18"/>
              </w:rPr>
            </w:pPr>
            <w:r w:rsidRPr="00BD7CEA">
              <w:rPr>
                <w:rFonts w:cs="Tahoma"/>
                <w:szCs w:val="18"/>
              </w:rPr>
              <w:t>100</w:t>
            </w:r>
            <w:r w:rsidR="00FB7A50">
              <w:rPr>
                <w:rFonts w:cs="Tahoma"/>
                <w:szCs w:val="18"/>
              </w:rPr>
              <w:t>.</w:t>
            </w:r>
            <w:r w:rsidRPr="00BD7CEA">
              <w:rPr>
                <w:rFonts w:cs="Tahoma"/>
                <w:szCs w:val="18"/>
              </w:rPr>
              <w:t>000 – 199</w:t>
            </w:r>
            <w:r w:rsidR="00FB7A50">
              <w:rPr>
                <w:rFonts w:cs="Tahoma"/>
                <w:szCs w:val="18"/>
              </w:rPr>
              <w:t>.</w:t>
            </w:r>
            <w:r w:rsidRPr="00BD7CE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D7CEA" w:rsidRDefault="000D4ECA" w:rsidP="000D4ECA">
            <w:pPr>
              <w:spacing w:after="60"/>
              <w:jc w:val="center"/>
              <w:rPr>
                <w:rFonts w:cs="Tahoma"/>
                <w:szCs w:val="18"/>
              </w:rPr>
            </w:pPr>
            <w:r w:rsidRPr="00BD7CEA">
              <w:rPr>
                <w:rFonts w:cs="Tahoma"/>
                <w:szCs w:val="18"/>
              </w:rPr>
              <w:t>30</w:t>
            </w:r>
          </w:p>
        </w:tc>
      </w:tr>
      <w:tr w:rsidR="000D4ECA" w:rsidRPr="00BD7CEA"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D7CEA" w:rsidRDefault="000D4ECA" w:rsidP="00B0597D">
            <w:pPr>
              <w:spacing w:after="60"/>
              <w:jc w:val="center"/>
              <w:rPr>
                <w:rFonts w:cs="Tahoma"/>
                <w:szCs w:val="18"/>
              </w:rPr>
            </w:pPr>
            <w:r w:rsidRPr="00BD7CEA">
              <w:rPr>
                <w:rFonts w:cs="Tahoma"/>
                <w:szCs w:val="18"/>
              </w:rPr>
              <w:lastRenderedPageBreak/>
              <w:t>200</w:t>
            </w:r>
            <w:r w:rsidR="00B0597D">
              <w:rPr>
                <w:rFonts w:cs="Tahoma"/>
                <w:szCs w:val="18"/>
              </w:rPr>
              <w:t>.</w:t>
            </w:r>
            <w:r w:rsidRPr="00BD7CEA">
              <w:rPr>
                <w:rFonts w:cs="Tahoma"/>
                <w:szCs w:val="18"/>
              </w:rPr>
              <w:t>000 – 399</w:t>
            </w:r>
            <w:r w:rsidR="00B0597D">
              <w:rPr>
                <w:rFonts w:cs="Tahoma"/>
                <w:szCs w:val="18"/>
              </w:rPr>
              <w:t>.</w:t>
            </w:r>
            <w:r w:rsidRPr="00BD7CE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D7CEA" w:rsidRDefault="000D4ECA" w:rsidP="000D4ECA">
            <w:pPr>
              <w:spacing w:after="60"/>
              <w:jc w:val="center"/>
              <w:rPr>
                <w:rFonts w:cs="Tahoma"/>
                <w:szCs w:val="18"/>
              </w:rPr>
            </w:pPr>
            <w:r w:rsidRPr="00BD7CEA">
              <w:rPr>
                <w:rFonts w:cs="Tahoma"/>
                <w:szCs w:val="18"/>
              </w:rPr>
              <w:t>40</w:t>
            </w:r>
          </w:p>
        </w:tc>
      </w:tr>
      <w:tr w:rsidR="000D4ECA" w:rsidRPr="00BD7CEA"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D7CEA" w:rsidRDefault="000D4ECA" w:rsidP="00B0597D">
            <w:pPr>
              <w:spacing w:after="60"/>
              <w:jc w:val="center"/>
              <w:rPr>
                <w:rFonts w:cs="Tahoma"/>
                <w:szCs w:val="18"/>
              </w:rPr>
            </w:pPr>
            <w:r w:rsidRPr="00BD7CEA">
              <w:rPr>
                <w:rFonts w:cs="Tahoma"/>
                <w:szCs w:val="18"/>
              </w:rPr>
              <w:t>400</w:t>
            </w:r>
            <w:r w:rsidR="00B0597D">
              <w:rPr>
                <w:rFonts w:cs="Tahoma"/>
                <w:szCs w:val="18"/>
              </w:rPr>
              <w:t>.</w:t>
            </w:r>
            <w:r w:rsidRPr="00BD7CEA">
              <w:rPr>
                <w:rFonts w:cs="Tahoma"/>
                <w:szCs w:val="18"/>
              </w:rPr>
              <w:t>000 – 599</w:t>
            </w:r>
            <w:r w:rsidR="00B0597D">
              <w:rPr>
                <w:rFonts w:cs="Tahoma"/>
                <w:szCs w:val="18"/>
              </w:rPr>
              <w:t>.</w:t>
            </w:r>
            <w:r w:rsidRPr="00BD7CE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D7CEA" w:rsidRDefault="000D4ECA" w:rsidP="000D4ECA">
            <w:pPr>
              <w:spacing w:after="60"/>
              <w:jc w:val="center"/>
              <w:rPr>
                <w:rFonts w:cs="Tahoma"/>
                <w:szCs w:val="18"/>
              </w:rPr>
            </w:pPr>
            <w:r w:rsidRPr="00BD7CEA">
              <w:rPr>
                <w:rFonts w:cs="Tahoma"/>
                <w:szCs w:val="18"/>
              </w:rPr>
              <w:t>50</w:t>
            </w:r>
          </w:p>
        </w:tc>
      </w:tr>
      <w:tr w:rsidR="000D4ECA" w:rsidRPr="00BD7CEA"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D7CEA" w:rsidRDefault="000D4ECA" w:rsidP="00B0597D">
            <w:pPr>
              <w:spacing w:after="60"/>
              <w:jc w:val="center"/>
              <w:rPr>
                <w:rFonts w:cs="Tahoma"/>
                <w:szCs w:val="18"/>
              </w:rPr>
            </w:pPr>
            <w:r w:rsidRPr="00BD7CEA">
              <w:rPr>
                <w:rFonts w:cs="Tahoma"/>
                <w:szCs w:val="18"/>
              </w:rPr>
              <w:t>600</w:t>
            </w:r>
            <w:r w:rsidR="00B0597D">
              <w:rPr>
                <w:rFonts w:cs="Tahoma"/>
                <w:szCs w:val="18"/>
              </w:rPr>
              <w:t>.</w:t>
            </w:r>
            <w:r w:rsidRPr="00BD7CEA">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D7CEA" w:rsidRDefault="000D4ECA" w:rsidP="000D4ECA">
            <w:pPr>
              <w:spacing w:after="60"/>
              <w:jc w:val="center"/>
              <w:rPr>
                <w:rFonts w:cs="Tahoma"/>
                <w:szCs w:val="18"/>
              </w:rPr>
            </w:pPr>
            <w:r w:rsidRPr="00BD7CEA">
              <w:rPr>
                <w:rFonts w:cs="Tahoma"/>
                <w:szCs w:val="18"/>
              </w:rPr>
              <w:t>75</w:t>
            </w:r>
          </w:p>
        </w:tc>
      </w:tr>
    </w:tbl>
    <w:p w:rsidR="000D4ECA" w:rsidRPr="00BD7CEA" w:rsidRDefault="000D4ECA" w:rsidP="0063466C"/>
    <w:p w:rsidR="000D4ECA" w:rsidRPr="007B74B7" w:rsidRDefault="000D4ECA" w:rsidP="0063466C">
      <w:pPr>
        <w:rPr>
          <w:lang w:val="it-IT"/>
        </w:rPr>
      </w:pPr>
      <w:r w:rsidRPr="007B74B7">
        <w:rPr>
          <w:rFonts w:cs="Tahoma"/>
          <w:szCs w:val="18"/>
          <w:lang w:val="it-IT"/>
        </w:rPr>
        <w:t xml:space="preserve">La copertura SA per Core CAL Suite e CAL per SQL conta come </w:t>
      </w:r>
      <w:r w:rsidRPr="007B74B7">
        <w:rPr>
          <w:rFonts w:cs="Tahoma"/>
          <w:szCs w:val="18"/>
          <w:u w:val="single"/>
          <w:lang w:val="it-IT"/>
        </w:rPr>
        <w:t xml:space="preserve">un (1) punto </w:t>
      </w:r>
      <w:r w:rsidRPr="007B74B7">
        <w:rPr>
          <w:rFonts w:cs="Tahoma"/>
          <w:szCs w:val="18"/>
          <w:lang w:val="it-IT"/>
        </w:rPr>
        <w:t xml:space="preserve">per il raggiungimento della soglia indicata nella prima colonna che segue; la copertura SA per Enterprise CAL Suite conta </w:t>
      </w:r>
      <w:r w:rsidRPr="007B74B7">
        <w:rPr>
          <w:rFonts w:cs="Tahoma"/>
          <w:szCs w:val="18"/>
          <w:u w:val="single"/>
          <w:lang w:val="it-IT"/>
        </w:rPr>
        <w:t>come due (2) punti</w:t>
      </w:r>
      <w:r w:rsidRPr="007B74B7">
        <w:rPr>
          <w:rFonts w:cs="Tahoma"/>
          <w:szCs w:val="18"/>
          <w:lang w:val="it-IT"/>
        </w:rPr>
        <w:t xml:space="preserve"> per il raggiungimento della soglia indicata nella prima colonna che segue:</w:t>
      </w:r>
    </w:p>
    <w:p w:rsidR="000D4ECA" w:rsidRPr="007B74B7" w:rsidRDefault="000D4ECA" w:rsidP="0063466C">
      <w:pPr>
        <w:rPr>
          <w:lang w:val="it-IT"/>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BD7CEA"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BD7CEA" w:rsidRDefault="000D4ECA" w:rsidP="000D4ECA">
            <w:pPr>
              <w:spacing w:after="60"/>
              <w:jc w:val="center"/>
              <w:rPr>
                <w:rFonts w:cs="Tahoma"/>
                <w:szCs w:val="18"/>
              </w:rPr>
            </w:pPr>
            <w:r w:rsidRPr="00BD7CEA">
              <w:rPr>
                <w:rFonts w:cs="Tahoma"/>
                <w:b/>
                <w:bCs/>
                <w:szCs w:val="18"/>
              </w:rPr>
              <w:t>CAL Suite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BD7CEA" w:rsidRDefault="000D4ECA" w:rsidP="000D4ECA">
            <w:pPr>
              <w:spacing w:after="60"/>
              <w:rPr>
                <w:rFonts w:cs="Tahoma"/>
                <w:szCs w:val="18"/>
              </w:rPr>
            </w:pPr>
            <w:r w:rsidRPr="00BD7CEA">
              <w:rPr>
                <w:rFonts w:cs="Tahoma"/>
                <w:b/>
                <w:bCs/>
                <w:szCs w:val="18"/>
              </w:rPr>
              <w:t xml:space="preserve">Giorni Planning Services </w:t>
            </w:r>
          </w:p>
        </w:tc>
      </w:tr>
      <w:tr w:rsidR="000D4ECA" w:rsidRPr="00BD7CEA"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D7CEA" w:rsidRDefault="000D4ECA" w:rsidP="00B612D9">
            <w:pPr>
              <w:spacing w:after="60"/>
              <w:jc w:val="center"/>
              <w:rPr>
                <w:rFonts w:cs="Tahoma"/>
                <w:szCs w:val="18"/>
              </w:rPr>
            </w:pPr>
            <w:r w:rsidRPr="00BD7CEA">
              <w:rPr>
                <w:rFonts w:cs="Tahoma"/>
                <w:szCs w:val="18"/>
              </w:rPr>
              <w:t>200</w:t>
            </w:r>
            <w:r w:rsidR="00544F15" w:rsidRPr="00BD7CEA">
              <w:rPr>
                <w:rFonts w:cs="Tahoma"/>
                <w:szCs w:val="18"/>
              </w:rPr>
              <w:t xml:space="preserve"> – </w:t>
            </w:r>
            <w:r w:rsidRPr="00BD7CEA">
              <w:rPr>
                <w:rFonts w:cs="Tahoma"/>
                <w:szCs w:val="18"/>
              </w:rPr>
              <w:t>3</w:t>
            </w:r>
            <w:r w:rsidR="00B612D9">
              <w:rPr>
                <w:rFonts w:cs="Tahoma"/>
                <w:szCs w:val="18"/>
              </w:rPr>
              <w:t>.</w:t>
            </w:r>
            <w:r w:rsidRPr="00BD7CE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D7CEA" w:rsidRDefault="000D4ECA" w:rsidP="000D4ECA">
            <w:pPr>
              <w:spacing w:after="60"/>
              <w:jc w:val="center"/>
              <w:rPr>
                <w:rFonts w:cs="Tahoma"/>
                <w:szCs w:val="18"/>
              </w:rPr>
            </w:pPr>
            <w:r w:rsidRPr="00BD7CEA">
              <w:rPr>
                <w:rFonts w:cs="Tahoma"/>
                <w:szCs w:val="18"/>
              </w:rPr>
              <w:t>1</w:t>
            </w:r>
          </w:p>
        </w:tc>
      </w:tr>
      <w:tr w:rsidR="000D4ECA" w:rsidRPr="00BD7CEA"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D7CEA" w:rsidRDefault="000D4ECA" w:rsidP="00B612D9">
            <w:pPr>
              <w:spacing w:after="60"/>
              <w:jc w:val="center"/>
              <w:rPr>
                <w:rFonts w:cs="Tahoma"/>
                <w:szCs w:val="18"/>
              </w:rPr>
            </w:pPr>
            <w:r w:rsidRPr="00BD7CEA">
              <w:rPr>
                <w:rFonts w:cs="Tahoma"/>
                <w:szCs w:val="18"/>
              </w:rPr>
              <w:t>4</w:t>
            </w:r>
            <w:r w:rsidR="00B612D9">
              <w:rPr>
                <w:rFonts w:cs="Tahoma"/>
                <w:szCs w:val="18"/>
              </w:rPr>
              <w:t>.</w:t>
            </w:r>
            <w:r w:rsidRPr="00BD7CEA">
              <w:rPr>
                <w:rFonts w:cs="Tahoma"/>
                <w:szCs w:val="18"/>
              </w:rPr>
              <w:t>000 – 9</w:t>
            </w:r>
            <w:r w:rsidR="00B612D9">
              <w:rPr>
                <w:rFonts w:cs="Tahoma"/>
                <w:szCs w:val="18"/>
              </w:rPr>
              <w:t>.</w:t>
            </w:r>
            <w:r w:rsidRPr="00BD7CE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D7CEA" w:rsidRDefault="000D4ECA" w:rsidP="000D4ECA">
            <w:pPr>
              <w:spacing w:after="60"/>
              <w:jc w:val="center"/>
              <w:rPr>
                <w:rFonts w:cs="Tahoma"/>
                <w:szCs w:val="18"/>
              </w:rPr>
            </w:pPr>
            <w:r w:rsidRPr="00BD7CEA">
              <w:rPr>
                <w:rFonts w:cs="Tahoma"/>
                <w:szCs w:val="18"/>
              </w:rPr>
              <w:t>3</w:t>
            </w:r>
          </w:p>
        </w:tc>
      </w:tr>
      <w:tr w:rsidR="000D4ECA" w:rsidRPr="00BD7CEA"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D7CEA" w:rsidRDefault="000D4ECA" w:rsidP="00B612D9">
            <w:pPr>
              <w:spacing w:after="60"/>
              <w:jc w:val="center"/>
              <w:rPr>
                <w:rFonts w:cs="Tahoma"/>
                <w:szCs w:val="18"/>
              </w:rPr>
            </w:pPr>
            <w:r w:rsidRPr="00BD7CEA">
              <w:rPr>
                <w:rFonts w:cs="Tahoma"/>
                <w:szCs w:val="18"/>
              </w:rPr>
              <w:t>10</w:t>
            </w:r>
            <w:r w:rsidR="00B612D9">
              <w:rPr>
                <w:rFonts w:cs="Tahoma"/>
                <w:szCs w:val="18"/>
              </w:rPr>
              <w:t>.</w:t>
            </w:r>
            <w:r w:rsidRPr="00BD7CEA">
              <w:rPr>
                <w:rFonts w:cs="Tahoma"/>
                <w:szCs w:val="18"/>
              </w:rPr>
              <w:t>000 – 99</w:t>
            </w:r>
            <w:r w:rsidR="00B612D9">
              <w:rPr>
                <w:rFonts w:cs="Tahoma"/>
                <w:szCs w:val="18"/>
              </w:rPr>
              <w:t>.</w:t>
            </w:r>
            <w:r w:rsidRPr="00BD7CE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D7CEA" w:rsidRDefault="000D4ECA" w:rsidP="000D4ECA">
            <w:pPr>
              <w:spacing w:after="60"/>
              <w:jc w:val="center"/>
              <w:rPr>
                <w:rFonts w:cs="Tahoma"/>
                <w:szCs w:val="18"/>
              </w:rPr>
            </w:pPr>
            <w:r w:rsidRPr="00BD7CEA">
              <w:rPr>
                <w:rFonts w:cs="Tahoma"/>
                <w:szCs w:val="18"/>
              </w:rPr>
              <w:t>5</w:t>
            </w:r>
          </w:p>
        </w:tc>
      </w:tr>
      <w:tr w:rsidR="000D4ECA" w:rsidRPr="00BD7CEA"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D7CEA" w:rsidRDefault="000D4ECA" w:rsidP="00B612D9">
            <w:pPr>
              <w:spacing w:after="60"/>
              <w:jc w:val="center"/>
              <w:rPr>
                <w:rFonts w:cs="Tahoma"/>
                <w:szCs w:val="18"/>
              </w:rPr>
            </w:pPr>
            <w:r w:rsidRPr="00BD7CEA">
              <w:rPr>
                <w:rFonts w:cs="Tahoma"/>
                <w:szCs w:val="18"/>
              </w:rPr>
              <w:t>100</w:t>
            </w:r>
            <w:r w:rsidR="00B612D9">
              <w:rPr>
                <w:rFonts w:cs="Tahoma"/>
                <w:szCs w:val="18"/>
              </w:rPr>
              <w:t>.</w:t>
            </w:r>
            <w:r w:rsidRPr="00BD7CEA">
              <w:rPr>
                <w:rFonts w:cs="Tahoma"/>
                <w:szCs w:val="18"/>
              </w:rPr>
              <w:t>000 – 299</w:t>
            </w:r>
            <w:r w:rsidR="00B612D9">
              <w:rPr>
                <w:rFonts w:cs="Tahoma"/>
                <w:szCs w:val="18"/>
              </w:rPr>
              <w:t>.</w:t>
            </w:r>
            <w:r w:rsidRPr="00BD7CE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D7CEA" w:rsidRDefault="000D4ECA" w:rsidP="000D4ECA">
            <w:pPr>
              <w:spacing w:after="60"/>
              <w:jc w:val="center"/>
              <w:rPr>
                <w:rFonts w:cs="Tahoma"/>
                <w:szCs w:val="18"/>
              </w:rPr>
            </w:pPr>
            <w:r w:rsidRPr="00BD7CEA">
              <w:rPr>
                <w:rFonts w:cs="Tahoma"/>
                <w:szCs w:val="18"/>
              </w:rPr>
              <w:t>7</w:t>
            </w:r>
          </w:p>
        </w:tc>
      </w:tr>
      <w:tr w:rsidR="000D4ECA" w:rsidRPr="00BD7CEA"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D7CEA" w:rsidRDefault="000D4ECA" w:rsidP="00B612D9">
            <w:pPr>
              <w:spacing w:after="60"/>
              <w:jc w:val="center"/>
              <w:rPr>
                <w:rFonts w:cs="Tahoma"/>
                <w:szCs w:val="18"/>
              </w:rPr>
            </w:pPr>
            <w:r w:rsidRPr="00BD7CEA">
              <w:rPr>
                <w:rFonts w:cs="Tahoma"/>
                <w:szCs w:val="18"/>
              </w:rPr>
              <w:t>300</w:t>
            </w:r>
            <w:r w:rsidR="00B612D9">
              <w:rPr>
                <w:rFonts w:cs="Tahoma"/>
                <w:szCs w:val="18"/>
              </w:rPr>
              <w:t>.</w:t>
            </w:r>
            <w:r w:rsidRPr="00BD7CEA">
              <w:rPr>
                <w:rFonts w:cs="Tahoma"/>
                <w:szCs w:val="18"/>
              </w:rPr>
              <w:t>000 – 599</w:t>
            </w:r>
            <w:r w:rsidR="00B612D9">
              <w:rPr>
                <w:rFonts w:cs="Tahoma"/>
                <w:szCs w:val="18"/>
              </w:rPr>
              <w:t>.</w:t>
            </w:r>
            <w:r w:rsidRPr="00BD7CE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D7CEA" w:rsidRDefault="000D4ECA" w:rsidP="000D4ECA">
            <w:pPr>
              <w:spacing w:after="60"/>
              <w:jc w:val="center"/>
              <w:rPr>
                <w:rFonts w:cs="Tahoma"/>
                <w:szCs w:val="18"/>
              </w:rPr>
            </w:pPr>
            <w:r w:rsidRPr="00BD7CEA">
              <w:rPr>
                <w:rFonts w:cs="Tahoma"/>
                <w:szCs w:val="18"/>
              </w:rPr>
              <w:t>10</w:t>
            </w:r>
          </w:p>
        </w:tc>
      </w:tr>
      <w:tr w:rsidR="000D4ECA" w:rsidRPr="00BD7CEA"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D7CEA" w:rsidRDefault="000D4ECA" w:rsidP="00B612D9">
            <w:pPr>
              <w:spacing w:after="60"/>
              <w:jc w:val="center"/>
              <w:rPr>
                <w:rFonts w:cs="Tahoma"/>
                <w:szCs w:val="18"/>
              </w:rPr>
            </w:pPr>
            <w:r w:rsidRPr="00BD7CEA">
              <w:rPr>
                <w:rFonts w:cs="Tahoma"/>
                <w:szCs w:val="18"/>
              </w:rPr>
              <w:t>600</w:t>
            </w:r>
            <w:r w:rsidR="00B612D9">
              <w:rPr>
                <w:rFonts w:cs="Tahoma"/>
                <w:szCs w:val="18"/>
              </w:rPr>
              <w:t>.</w:t>
            </w:r>
            <w:r w:rsidRPr="00BD7CEA">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D7CEA" w:rsidRDefault="000D4ECA" w:rsidP="000D4ECA">
            <w:pPr>
              <w:spacing w:after="60"/>
              <w:jc w:val="center"/>
              <w:rPr>
                <w:rFonts w:cs="Tahoma"/>
                <w:szCs w:val="18"/>
              </w:rPr>
            </w:pPr>
            <w:r w:rsidRPr="00BD7CEA">
              <w:rPr>
                <w:rFonts w:cs="Tahoma"/>
                <w:szCs w:val="18"/>
              </w:rPr>
              <w:t>12</w:t>
            </w:r>
          </w:p>
        </w:tc>
      </w:tr>
    </w:tbl>
    <w:p w:rsidR="001C1727" w:rsidRPr="00BD7CEA" w:rsidRDefault="001C1727"/>
    <w:p w:rsidR="000D4ECA" w:rsidRPr="00BD7CEA" w:rsidRDefault="000D4ECA" w:rsidP="000D4ECA">
      <w:pPr>
        <w:spacing w:after="60"/>
      </w:pPr>
      <w:r w:rsidRPr="00BD7CEA">
        <w:rPr>
          <w:rFonts w:cs="Tahoma"/>
          <w:szCs w:val="20"/>
        </w:rPr>
        <w:t>Esempi</w:t>
      </w:r>
    </w:p>
    <w:p w:rsidR="000D4ECA" w:rsidRPr="00BD7CEA" w:rsidRDefault="000D4ECA" w:rsidP="000D4ECA">
      <w:pPr>
        <w:spacing w:after="60"/>
      </w:pPr>
      <w:r w:rsidRPr="00BD7CEA">
        <w:rPr>
          <w:rFonts w:cs="Tahoma"/>
          <w:szCs w:val="20"/>
        </w:rPr>
        <w:t>Contratto Open Value con:</w:t>
      </w:r>
    </w:p>
    <w:p w:rsidR="000D4ECA" w:rsidRPr="00BD7CEA" w:rsidRDefault="000D4ECA" w:rsidP="000D4ECA">
      <w:pPr>
        <w:spacing w:after="60"/>
      </w:pPr>
      <w:r w:rsidRPr="00BD7CEA">
        <w:rPr>
          <w:rFonts w:cs="Tahoma"/>
          <w:szCs w:val="20"/>
        </w:rPr>
        <w:t>150 Office Professional Plus L&amp;SA</w:t>
      </w:r>
    </w:p>
    <w:p w:rsidR="000D4ECA" w:rsidRPr="00BD7CEA" w:rsidRDefault="000D4ECA" w:rsidP="000D4ECA">
      <w:pPr>
        <w:spacing w:after="60"/>
      </w:pPr>
      <w:r w:rsidRPr="00BD7CEA">
        <w:rPr>
          <w:rFonts w:cs="Tahoma"/>
          <w:szCs w:val="20"/>
          <w:u w:val="single"/>
        </w:rPr>
        <w:t>+50 SA per Visio Standard</w:t>
      </w:r>
      <w:r w:rsidRPr="00BD7CEA">
        <w:rPr>
          <w:rFonts w:cs="Tahoma"/>
          <w:szCs w:val="20"/>
          <w:u w:val="single"/>
        </w:rPr>
        <w:tab/>
      </w:r>
      <w:r w:rsidR="00CA3658">
        <w:rPr>
          <w:rFonts w:cs="Tahoma"/>
          <w:szCs w:val="20"/>
          <w:u w:val="single"/>
        </w:rPr>
        <w:tab/>
      </w:r>
    </w:p>
    <w:p w:rsidR="000D4ECA" w:rsidRPr="007B74B7" w:rsidRDefault="000D4ECA" w:rsidP="000D4ECA">
      <w:pPr>
        <w:spacing w:after="60"/>
        <w:rPr>
          <w:lang w:val="it-IT"/>
        </w:rPr>
      </w:pPr>
      <w:r w:rsidRPr="007B74B7">
        <w:rPr>
          <w:rFonts w:cs="Tahoma"/>
          <w:szCs w:val="20"/>
          <w:lang w:val="it-IT"/>
        </w:rPr>
        <w:t>200 Punti di Licenze per Applicazioni Office e/o Server = 1 giorno</w:t>
      </w:r>
    </w:p>
    <w:p w:rsidR="000D4ECA" w:rsidRPr="007B74B7" w:rsidRDefault="000D4ECA" w:rsidP="00077CE5">
      <w:pPr>
        <w:rPr>
          <w:lang w:val="it-IT"/>
        </w:rPr>
      </w:pPr>
    </w:p>
    <w:p w:rsidR="000D4ECA" w:rsidRPr="007B74B7" w:rsidRDefault="000D4ECA" w:rsidP="000D4ECA">
      <w:pPr>
        <w:spacing w:after="60"/>
        <w:rPr>
          <w:lang w:val="it-IT"/>
        </w:rPr>
      </w:pPr>
      <w:r w:rsidRPr="007B74B7">
        <w:rPr>
          <w:rFonts w:cs="Tahoma"/>
          <w:szCs w:val="20"/>
          <w:lang w:val="it-IT"/>
        </w:rPr>
        <w:t>Iscrizione Select o Select Plus SAM con:</w:t>
      </w:r>
    </w:p>
    <w:p w:rsidR="000D4ECA" w:rsidRPr="007B74B7" w:rsidRDefault="000D4ECA" w:rsidP="000D4ECA">
      <w:pPr>
        <w:spacing w:after="60"/>
        <w:rPr>
          <w:lang w:val="it-IT"/>
        </w:rPr>
      </w:pPr>
      <w:r w:rsidRPr="007B74B7">
        <w:rPr>
          <w:rFonts w:cs="Tahoma"/>
          <w:szCs w:val="20"/>
          <w:lang w:val="it-IT"/>
        </w:rPr>
        <w:t>SA per 3.500 Enterprise CAL Suite</w:t>
      </w:r>
    </w:p>
    <w:p w:rsidR="000D4ECA" w:rsidRPr="007B74B7" w:rsidRDefault="000D4ECA" w:rsidP="000D4ECA">
      <w:pPr>
        <w:spacing w:after="60"/>
        <w:rPr>
          <w:lang w:val="it-IT"/>
        </w:rPr>
      </w:pPr>
      <w:r w:rsidRPr="007B74B7">
        <w:rPr>
          <w:rFonts w:cs="Tahoma"/>
          <w:szCs w:val="20"/>
          <w:u w:val="single"/>
          <w:lang w:val="it-IT"/>
        </w:rPr>
        <w:t>x 2 punti ciascuna</w:t>
      </w:r>
      <w:r w:rsidRPr="007B74B7">
        <w:rPr>
          <w:rFonts w:cs="Tahoma"/>
          <w:szCs w:val="20"/>
          <w:u w:val="single"/>
          <w:lang w:val="it-IT"/>
        </w:rPr>
        <w:tab/>
      </w:r>
      <w:r w:rsidRPr="007B74B7">
        <w:rPr>
          <w:rFonts w:cs="Tahoma"/>
          <w:szCs w:val="20"/>
          <w:u w:val="single"/>
          <w:lang w:val="it-IT"/>
        </w:rPr>
        <w:tab/>
      </w:r>
      <w:r w:rsidRPr="007B74B7">
        <w:rPr>
          <w:rFonts w:cs="Tahoma"/>
          <w:szCs w:val="20"/>
          <w:lang w:val="it-IT"/>
        </w:rPr>
        <w:t xml:space="preserve"> </w:t>
      </w:r>
    </w:p>
    <w:p w:rsidR="000D4ECA" w:rsidRPr="007B74B7" w:rsidRDefault="000D4ECA" w:rsidP="000D4ECA">
      <w:pPr>
        <w:spacing w:after="60"/>
        <w:rPr>
          <w:lang w:val="it-IT"/>
        </w:rPr>
      </w:pPr>
      <w:r w:rsidRPr="007B74B7">
        <w:rPr>
          <w:rFonts w:cs="Tahoma"/>
          <w:szCs w:val="20"/>
          <w:lang w:val="it-IT"/>
        </w:rPr>
        <w:t xml:space="preserve">7.000 punti per CAL = 3 giorni </w:t>
      </w:r>
    </w:p>
    <w:p w:rsidR="000D4ECA" w:rsidRPr="007B74B7" w:rsidRDefault="000D4ECA" w:rsidP="00077CE5">
      <w:pPr>
        <w:rPr>
          <w:lang w:val="it-IT"/>
        </w:rPr>
      </w:pPr>
    </w:p>
    <w:p w:rsidR="000D4ECA" w:rsidRPr="007B74B7" w:rsidRDefault="000D4ECA" w:rsidP="000D4ECA">
      <w:pPr>
        <w:spacing w:after="60"/>
        <w:rPr>
          <w:lang w:val="it-IT"/>
        </w:rPr>
      </w:pPr>
      <w:r w:rsidRPr="007B74B7">
        <w:rPr>
          <w:rFonts w:cs="Tahoma"/>
          <w:szCs w:val="20"/>
          <w:lang w:val="it-IT"/>
        </w:rPr>
        <w:t>Iscrizione EA con:</w:t>
      </w:r>
    </w:p>
    <w:p w:rsidR="000D4ECA" w:rsidRPr="00BD7CEA" w:rsidRDefault="000D4ECA" w:rsidP="000D4ECA">
      <w:pPr>
        <w:spacing w:after="60"/>
      </w:pPr>
      <w:r w:rsidRPr="00BD7CEA">
        <w:rPr>
          <w:rFonts w:cs="Tahoma"/>
          <w:szCs w:val="20"/>
        </w:rPr>
        <w:t>3.500 Enterprise Desktop</w:t>
      </w:r>
    </w:p>
    <w:p w:rsidR="000D4ECA" w:rsidRPr="00BD7CEA" w:rsidRDefault="000D4ECA" w:rsidP="007358C5">
      <w:pPr>
        <w:numPr>
          <w:ilvl w:val="0"/>
          <w:numId w:val="69"/>
        </w:numPr>
        <w:tabs>
          <w:tab w:val="left" w:pos="720"/>
        </w:tabs>
        <w:spacing w:after="60" w:line="276" w:lineRule="auto"/>
      </w:pPr>
      <w:r w:rsidRPr="00BD7CEA">
        <w:rPr>
          <w:rFonts w:cs="Tahoma"/>
          <w:szCs w:val="20"/>
        </w:rPr>
        <w:t xml:space="preserve">3.500 Office Professional </w:t>
      </w:r>
      <w:r w:rsidRPr="00BD7CEA">
        <w:rPr>
          <w:rFonts w:cs="Tahoma"/>
          <w:color w:val="000000"/>
          <w:szCs w:val="20"/>
        </w:rPr>
        <w:t>Plus</w:t>
      </w:r>
    </w:p>
    <w:p w:rsidR="000D4ECA" w:rsidRPr="00BD7CEA" w:rsidRDefault="000D4ECA" w:rsidP="007358C5">
      <w:pPr>
        <w:numPr>
          <w:ilvl w:val="0"/>
          <w:numId w:val="69"/>
        </w:numPr>
        <w:spacing w:after="60" w:line="276" w:lineRule="auto"/>
      </w:pPr>
      <w:r w:rsidRPr="00BD7CEA">
        <w:rPr>
          <w:rFonts w:cs="Tahoma"/>
          <w:color w:val="000000"/>
          <w:szCs w:val="20"/>
        </w:rPr>
        <w:t>3.500 Enterprise CAL Suite</w:t>
      </w:r>
    </w:p>
    <w:p w:rsidR="000D4ECA" w:rsidRPr="007B74B7" w:rsidRDefault="000D4ECA" w:rsidP="000D4ECA">
      <w:pPr>
        <w:spacing w:after="60"/>
        <w:rPr>
          <w:lang w:val="it-IT"/>
        </w:rPr>
      </w:pPr>
      <w:r w:rsidRPr="007B74B7">
        <w:rPr>
          <w:rFonts w:cs="Tahoma"/>
          <w:szCs w:val="20"/>
          <w:lang w:val="it-IT"/>
        </w:rPr>
        <w:t>+50 Windows Server Enterprise Edition (x 50 punti ciascuna = 2.500 punti)</w:t>
      </w:r>
    </w:p>
    <w:p w:rsidR="000D4ECA" w:rsidRPr="007B74B7" w:rsidRDefault="000D4ECA" w:rsidP="000D4ECA">
      <w:pPr>
        <w:spacing w:after="60"/>
        <w:rPr>
          <w:lang w:val="it-IT"/>
        </w:rPr>
      </w:pPr>
      <w:r w:rsidRPr="007B74B7">
        <w:rPr>
          <w:rFonts w:cs="Tahoma"/>
          <w:szCs w:val="20"/>
          <w:u w:val="single"/>
          <w:lang w:val="it-IT"/>
        </w:rPr>
        <w:t>+600 SA per Visio Standard</w:t>
      </w:r>
      <w:r w:rsidRPr="007B74B7">
        <w:rPr>
          <w:rFonts w:cs="Tahoma"/>
          <w:szCs w:val="20"/>
          <w:u w:val="single"/>
          <w:lang w:val="it-IT"/>
        </w:rPr>
        <w:tab/>
      </w:r>
    </w:p>
    <w:p w:rsidR="000D4ECA" w:rsidRPr="007B74B7" w:rsidRDefault="000D4ECA" w:rsidP="000D4ECA">
      <w:pPr>
        <w:spacing w:after="60"/>
        <w:rPr>
          <w:lang w:val="it-IT"/>
        </w:rPr>
      </w:pPr>
      <w:r w:rsidRPr="007B74B7">
        <w:rPr>
          <w:rFonts w:cs="Tahoma"/>
          <w:szCs w:val="20"/>
          <w:lang w:val="it-IT"/>
        </w:rPr>
        <w:t xml:space="preserve">6.600 Punti per Licenze per Applicazioni Office e/o Server Coperte = 10 giorni </w:t>
      </w:r>
    </w:p>
    <w:p w:rsidR="000D4ECA" w:rsidRPr="007B74B7" w:rsidRDefault="000D4ECA" w:rsidP="000D4ECA">
      <w:pPr>
        <w:spacing w:after="60"/>
        <w:rPr>
          <w:lang w:val="it-IT"/>
        </w:rPr>
      </w:pPr>
      <w:r w:rsidRPr="007B74B7">
        <w:rPr>
          <w:rFonts w:cs="Tahoma"/>
          <w:szCs w:val="20"/>
          <w:lang w:val="it-IT"/>
        </w:rPr>
        <w:t>7.000 punti per CAL Suite Coperte= 3 giorni</w:t>
      </w:r>
    </w:p>
    <w:p w:rsidR="000D4ECA" w:rsidRPr="00BD7CEA" w:rsidRDefault="000D4ECA" w:rsidP="007358C5">
      <w:pPr>
        <w:numPr>
          <w:ilvl w:val="0"/>
          <w:numId w:val="70"/>
        </w:numPr>
        <w:spacing w:after="60"/>
        <w:ind w:left="720"/>
      </w:pPr>
      <w:r w:rsidRPr="00BD7CEA">
        <w:rPr>
          <w:rFonts w:cs="Tahoma"/>
          <w:szCs w:val="20"/>
        </w:rPr>
        <w:t>Totale 13 Giorni Planning Services</w:t>
      </w:r>
    </w:p>
    <w:p w:rsidR="000D4ECA" w:rsidRPr="00BD7CEA" w:rsidRDefault="000D4ECA" w:rsidP="000D4ECA">
      <w:pPr>
        <w:spacing w:after="60"/>
      </w:pPr>
      <w:r w:rsidRPr="00BD7CEA">
        <w:rPr>
          <w:rFonts w:cs="Tahoma"/>
          <w:szCs w:val="20"/>
        </w:rPr>
        <w:t>Iscrizione ECI con:</w:t>
      </w:r>
    </w:p>
    <w:p w:rsidR="00316AE2" w:rsidRPr="00BD7CEA" w:rsidRDefault="00316AE2" w:rsidP="00316AE2">
      <w:pPr>
        <w:spacing w:after="60"/>
      </w:pPr>
      <w:r w:rsidRPr="00BD7CEA">
        <w:rPr>
          <w:rFonts w:cs="Tahoma"/>
          <w:szCs w:val="20"/>
        </w:rPr>
        <w:t xml:space="preserve">100 ECI Datacenter </w:t>
      </w:r>
    </w:p>
    <w:p w:rsidR="00316AE2" w:rsidRPr="007B74B7" w:rsidRDefault="00316AE2" w:rsidP="007358C5">
      <w:pPr>
        <w:numPr>
          <w:ilvl w:val="0"/>
          <w:numId w:val="70"/>
        </w:numPr>
        <w:spacing w:after="60"/>
        <w:ind w:left="720"/>
        <w:rPr>
          <w:lang w:val="it-IT"/>
        </w:rPr>
      </w:pPr>
      <w:r w:rsidRPr="007B74B7">
        <w:rPr>
          <w:rFonts w:cs="Tahoma"/>
          <w:szCs w:val="20"/>
          <w:lang w:val="it-IT"/>
        </w:rPr>
        <w:t>100 Windows Server Datacenter Edition (x 75 punti ciascuna x 2 punti moltiplicatori = 15.000 punti)</w:t>
      </w:r>
    </w:p>
    <w:p w:rsidR="00316AE2" w:rsidRPr="007B74B7" w:rsidRDefault="00316AE2" w:rsidP="007358C5">
      <w:pPr>
        <w:numPr>
          <w:ilvl w:val="0"/>
          <w:numId w:val="70"/>
        </w:numPr>
        <w:spacing w:after="60"/>
        <w:ind w:left="720"/>
        <w:rPr>
          <w:lang w:val="it-IT"/>
        </w:rPr>
      </w:pPr>
      <w:r w:rsidRPr="007B74B7">
        <w:rPr>
          <w:rFonts w:cs="Tahoma"/>
          <w:szCs w:val="20"/>
          <w:u w:val="single"/>
          <w:lang w:val="it-IT"/>
        </w:rPr>
        <w:t>100 System Center 2012 Datacenter Edition (x 75 punti ciascuna x 2 punti moltiplicatori = 15.000 punti)</w:t>
      </w:r>
    </w:p>
    <w:p w:rsidR="000D4ECA" w:rsidRPr="007B74B7" w:rsidRDefault="00316AE2" w:rsidP="00697E59">
      <w:pPr>
        <w:spacing w:after="60"/>
        <w:ind w:firstLine="360"/>
        <w:rPr>
          <w:lang w:val="it-IT"/>
        </w:rPr>
      </w:pPr>
      <w:r w:rsidRPr="007B74B7">
        <w:rPr>
          <w:rFonts w:cs="Tahoma"/>
          <w:szCs w:val="20"/>
          <w:lang w:val="it-IT"/>
        </w:rPr>
        <w:t>30.000 Punti per Licenze per Applicazioni Office e/o Server Coperte = 15 giorni</w:t>
      </w:r>
    </w:p>
    <w:p w:rsidR="00697E59" w:rsidRPr="007B74B7" w:rsidRDefault="00697E59" w:rsidP="00077CE5">
      <w:pPr>
        <w:ind w:firstLine="360"/>
        <w:rPr>
          <w:lang w:val="it-IT"/>
        </w:rPr>
      </w:pPr>
    </w:p>
    <w:p w:rsidR="00544F15" w:rsidRPr="007B74B7" w:rsidRDefault="00544F15" w:rsidP="00077CE5">
      <w:pPr>
        <w:ind w:firstLine="360"/>
        <w:rPr>
          <w:lang w:val="it-IT"/>
        </w:rPr>
      </w:pPr>
    </w:p>
    <w:p w:rsidR="00544F15" w:rsidRPr="007B74B7" w:rsidRDefault="00544F15" w:rsidP="00077CE5">
      <w:pPr>
        <w:ind w:firstLine="360"/>
        <w:rPr>
          <w:lang w:val="it-IT"/>
        </w:rPr>
      </w:pPr>
    </w:p>
    <w:p w:rsidR="00023FE7" w:rsidRPr="007B74B7" w:rsidRDefault="00023FE7" w:rsidP="00F528E5">
      <w:pPr>
        <w:pStyle w:val="AppendixBodyText"/>
        <w:spacing w:after="0"/>
        <w:rPr>
          <w:lang w:val="it-IT"/>
        </w:rPr>
      </w:pPr>
      <w:r w:rsidRPr="007B74B7">
        <w:rPr>
          <w:rFonts w:ascii="Tahoma" w:hAnsi="Tahoma" w:cs="Tahoma"/>
          <w:sz w:val="18"/>
          <w:lang w:val="it-IT"/>
        </w:rPr>
        <w:lastRenderedPageBreak/>
        <w:t>Le società possono inoltre incrementare il numero di Giorni Planning Services qualora soddisfino i seguenti criteri: (a)</w:t>
      </w:r>
      <w:r w:rsidR="004A6CA0" w:rsidRPr="007B74B7">
        <w:rPr>
          <w:rFonts w:ascii="Tahoma" w:hAnsi="Tahoma" w:cs="Tahoma"/>
          <w:sz w:val="18"/>
          <w:lang w:val="it-IT"/>
        </w:rPr>
        <w:t> </w:t>
      </w:r>
      <w:r w:rsidRPr="007B74B7">
        <w:rPr>
          <w:rFonts w:ascii="Tahoma" w:hAnsi="Tahoma" w:cs="Tahoma"/>
          <w:sz w:val="18"/>
          <w:lang w:val="it-IT"/>
        </w:rPr>
        <w:t>sono al momento idonee per il vantaggio Voucher Corsi, (b) hanno attivato il vantaggio Voucher Corsi e (c) hanno almeno 3 giorni di corsi non rivendicati del vantaggio Voucher Corsi disponibili per la conversione.</w:t>
      </w:r>
      <w:r w:rsidR="008D782D" w:rsidRPr="007B74B7">
        <w:rPr>
          <w:rFonts w:ascii="Tahoma" w:hAnsi="Tahoma" w:cs="Tahoma"/>
          <w:sz w:val="18"/>
          <w:lang w:val="it-IT"/>
        </w:rPr>
        <w:t xml:space="preserve"> </w:t>
      </w:r>
      <w:r w:rsidRPr="007B74B7">
        <w:rPr>
          <w:rFonts w:ascii="Tahoma" w:hAnsi="Tahoma" w:cs="Tahoma"/>
          <w:sz w:val="18"/>
          <w:lang w:val="it-IT"/>
        </w:rPr>
        <w:t xml:space="preserve">Le società idonee possono convertire i giorni non utilizzati di Voucher Corsi in Giorni Planning Services sulla base di 3 a 1 (tre Giorni Voucher Corsi = un Giorno Planning Services). </w:t>
      </w:r>
      <w:r w:rsidRPr="007B74B7">
        <w:rPr>
          <w:rFonts w:ascii="Tahoma" w:hAnsi="Tahoma" w:cs="Tahoma"/>
          <w:bCs/>
          <w:sz w:val="18"/>
          <w:lang w:val="it-IT"/>
        </w:rPr>
        <w:t>(NOTA: le società che desiderano utilizzare i loro giorni Voucher Corsi</w:t>
      </w:r>
      <w:r w:rsidR="00544F15" w:rsidRPr="007B74B7">
        <w:rPr>
          <w:rFonts w:ascii="Tahoma" w:hAnsi="Tahoma" w:cs="Tahoma"/>
          <w:bCs/>
          <w:sz w:val="18"/>
          <w:lang w:val="it-IT"/>
        </w:rPr>
        <w:t> </w:t>
      </w:r>
      <w:r w:rsidRPr="007B74B7">
        <w:rPr>
          <w:rFonts w:ascii="Tahoma" w:hAnsi="Tahoma" w:cs="Tahoma"/>
          <w:bCs/>
          <w:sz w:val="18"/>
          <w:lang w:val="it-IT"/>
        </w:rPr>
        <w:t xml:space="preserve">a favore dei Planning Services non dovranno creare Voucher Corsi con quei giorni). [A livello generale, i Giorni </w:t>
      </w:r>
      <w:r w:rsidRPr="007B74B7">
        <w:rPr>
          <w:rFonts w:ascii="Tahoma" w:hAnsi="Tahoma" w:cs="Tahoma"/>
          <w:sz w:val="18"/>
          <w:lang w:val="it-IT"/>
        </w:rPr>
        <w:t>Planning</w:t>
      </w:r>
      <w:r w:rsidRPr="007B74B7">
        <w:rPr>
          <w:rFonts w:ascii="Tahoma" w:hAnsi="Tahoma" w:cs="Tahoma"/>
          <w:bCs/>
          <w:sz w:val="18"/>
          <w:lang w:val="it-IT"/>
        </w:rPr>
        <w:t xml:space="preserve"> Services non possono essere convertiti in giorni Voucher Corsi]. Tuttavia, qualora una società desideri annullare la conversione di giorni Voucher Corsi, i Giorni Planning Services potranno essere riconvertiti in giorni Voucher Corsi. In seguito alla conversione di giorni Voucher Corsi in Giorni Planning Services, i Giorni Planning Services appariranno nel pool di giorni Planning Services della società.</w:t>
      </w:r>
      <w:r w:rsidR="008D782D" w:rsidRPr="007B74B7">
        <w:rPr>
          <w:rFonts w:ascii="Tahoma" w:hAnsi="Tahoma" w:cs="Tahoma"/>
          <w:bCs/>
          <w:sz w:val="18"/>
          <w:lang w:val="it-IT"/>
        </w:rPr>
        <w:t xml:space="preserve"> </w:t>
      </w:r>
      <w:r w:rsidRPr="007B74B7">
        <w:rPr>
          <w:rFonts w:ascii="Tahoma" w:hAnsi="Tahoma" w:cs="Tahoma"/>
          <w:bCs/>
          <w:sz w:val="18"/>
          <w:lang w:val="it-IT"/>
        </w:rPr>
        <w:t>Tali giorni possono essere utilizzati per creare voucher per i servizi disponibili, ad esempio DDPS o SDPS.</w:t>
      </w:r>
      <w:r w:rsidR="008D782D" w:rsidRPr="007B74B7">
        <w:rPr>
          <w:rFonts w:ascii="Tahoma" w:hAnsi="Tahoma" w:cs="Tahoma"/>
          <w:bCs/>
          <w:sz w:val="18"/>
          <w:lang w:val="it-IT"/>
        </w:rPr>
        <w:t xml:space="preserve"> </w:t>
      </w:r>
      <w:r w:rsidRPr="007B74B7">
        <w:rPr>
          <w:rFonts w:ascii="Tahoma" w:hAnsi="Tahoma" w:cs="Tahoma"/>
          <w:bCs/>
          <w:sz w:val="18"/>
          <w:lang w:val="it-IT"/>
        </w:rPr>
        <w:t>*L</w:t>
      </w:r>
      <w:r w:rsidR="007A1415" w:rsidRPr="007B74B7">
        <w:rPr>
          <w:rFonts w:ascii="Tahoma" w:hAnsi="Tahoma" w:cs="Tahoma"/>
          <w:bCs/>
          <w:sz w:val="18"/>
          <w:lang w:val="it-IT"/>
        </w:rPr>
        <w:t>’</w:t>
      </w:r>
      <w:r w:rsidRPr="007B74B7">
        <w:rPr>
          <w:rFonts w:ascii="Tahoma" w:hAnsi="Tahoma" w:cs="Tahoma"/>
          <w:bCs/>
          <w:sz w:val="18"/>
          <w:lang w:val="it-IT"/>
        </w:rPr>
        <w:t>idoneità delle società a riconvertire i giorni in giorni Voucher Corsi è limitata sulla base del numero di giorni disponibili a livello di Giorni Planning Services.</w:t>
      </w:r>
      <w:r w:rsidR="008D782D" w:rsidRPr="007B74B7">
        <w:rPr>
          <w:rFonts w:ascii="Tahoma" w:hAnsi="Tahoma" w:cs="Tahoma"/>
          <w:bCs/>
          <w:sz w:val="18"/>
          <w:lang w:val="it-IT"/>
        </w:rPr>
        <w:t xml:space="preserve"> </w:t>
      </w:r>
      <w:r w:rsidRPr="007B74B7">
        <w:rPr>
          <w:rFonts w:ascii="Tahoma" w:hAnsi="Tahoma" w:cs="Tahoma"/>
          <w:bCs/>
          <w:sz w:val="18"/>
          <w:lang w:val="it-IT"/>
        </w:rPr>
        <w:t>Qualora una società desideri riconvertire 10 giorni, ma nel pool sono disponibili solo 8 Giorni Planning Services, potranno essere riconvertiti solo 8 giorni.</w:t>
      </w:r>
      <w:r w:rsidR="008D782D" w:rsidRPr="007B74B7">
        <w:rPr>
          <w:rFonts w:ascii="Tahoma" w:hAnsi="Tahoma" w:cs="Tahoma"/>
          <w:bCs/>
          <w:sz w:val="18"/>
          <w:lang w:val="it-IT"/>
        </w:rPr>
        <w:t xml:space="preserve"> </w:t>
      </w:r>
    </w:p>
    <w:p w:rsidR="00F528E5" w:rsidRPr="007B74B7" w:rsidRDefault="00F528E5" w:rsidP="00F528E5">
      <w:pPr>
        <w:pStyle w:val="AppendixBodyText"/>
        <w:spacing w:after="0"/>
        <w:rPr>
          <w:lang w:val="it-IT"/>
        </w:rPr>
      </w:pPr>
    </w:p>
    <w:p w:rsidR="00023FE7" w:rsidRPr="007B74B7" w:rsidRDefault="00023FE7" w:rsidP="00F528E5">
      <w:pPr>
        <w:pStyle w:val="AppendixBodyText"/>
        <w:spacing w:after="0"/>
        <w:rPr>
          <w:lang w:val="it-IT"/>
        </w:rPr>
      </w:pPr>
      <w:r w:rsidRPr="007B74B7">
        <w:rPr>
          <w:rFonts w:ascii="Tahoma" w:hAnsi="Tahoma" w:cs="Tahoma"/>
          <w:bCs/>
          <w:sz w:val="18"/>
          <w:lang w:val="it-IT"/>
        </w:rPr>
        <w:t>Le società con contratti Volume Licensing idonei che non hanno soddisfatto la soglia minima per ricevere i Planning Services, ma che soddisfano o superano i criteri per la conversione dei giorni Voucher Corsi potranno convertire tali giorni come illustrato sopra.</w:t>
      </w:r>
    </w:p>
    <w:p w:rsidR="00023FE7" w:rsidRPr="007B74B7" w:rsidRDefault="00023FE7" w:rsidP="00077CE5">
      <w:pPr>
        <w:pStyle w:val="AppendixBodyText"/>
        <w:spacing w:after="0"/>
        <w:rPr>
          <w:lang w:val="it-IT"/>
        </w:rPr>
      </w:pPr>
    </w:p>
    <w:p w:rsidR="00023FE7" w:rsidRPr="007B74B7" w:rsidRDefault="000D4ECA">
      <w:pPr>
        <w:pStyle w:val="AppendixBodyText"/>
        <w:rPr>
          <w:lang w:val="it-IT"/>
        </w:rPr>
      </w:pPr>
      <w:r w:rsidRPr="007B74B7">
        <w:rPr>
          <w:rFonts w:ascii="Tahoma" w:hAnsi="Tahoma" w:cs="Tahoma"/>
          <w:sz w:val="18"/>
          <w:lang w:val="it-IT"/>
        </w:rPr>
        <w:t>I Planning Services potranno essere forniti alla società da Partner Microsoft qualificati o da Microsoft Consulting Services.</w:t>
      </w:r>
      <w:r w:rsidR="008D782D" w:rsidRPr="007B74B7">
        <w:rPr>
          <w:rFonts w:ascii="Tahoma" w:hAnsi="Tahoma" w:cs="Tahoma"/>
          <w:sz w:val="18"/>
          <w:lang w:val="it-IT"/>
        </w:rPr>
        <w:t xml:space="preserve"> </w:t>
      </w:r>
      <w:r w:rsidRPr="007B74B7">
        <w:rPr>
          <w:rFonts w:ascii="Tahoma" w:hAnsi="Tahoma" w:cs="Tahoma"/>
          <w:sz w:val="18"/>
          <w:lang w:val="it-IT"/>
        </w:rPr>
        <w:t>L</w:t>
      </w:r>
      <w:r w:rsidR="007A1415" w:rsidRPr="007B74B7">
        <w:rPr>
          <w:rFonts w:ascii="Tahoma" w:hAnsi="Tahoma" w:cs="Tahoma"/>
          <w:sz w:val="18"/>
          <w:lang w:val="it-IT"/>
        </w:rPr>
        <w:t>’</w:t>
      </w:r>
      <w:r w:rsidRPr="007B74B7">
        <w:rPr>
          <w:rFonts w:ascii="Tahoma" w:hAnsi="Tahoma" w:cs="Tahoma"/>
          <w:sz w:val="18"/>
          <w:lang w:val="it-IT"/>
        </w:rPr>
        <w:t>elenco dei Provider Qualificati è visibile al seguente indirizzo: http://directory.partners.extranet.microsoft.com/psbproviders</w:t>
      </w:r>
      <w:r w:rsidR="008D782D" w:rsidRPr="007B74B7">
        <w:rPr>
          <w:rFonts w:ascii="Tahoma" w:hAnsi="Tahoma" w:cs="Tahoma"/>
          <w:sz w:val="18"/>
          <w:lang w:val="it-IT"/>
        </w:rPr>
        <w:t xml:space="preserve"> </w:t>
      </w:r>
    </w:p>
    <w:p w:rsidR="00EC05F0" w:rsidRPr="007B74B7" w:rsidRDefault="00EC05F0">
      <w:pPr>
        <w:rPr>
          <w:lang w:val="it-IT"/>
        </w:rPr>
      </w:pPr>
    </w:p>
    <w:p w:rsidR="00023FE7" w:rsidRPr="007B74B7" w:rsidRDefault="000D4ECA" w:rsidP="005A141F">
      <w:pPr>
        <w:pStyle w:val="AppendixBodyText"/>
        <w:spacing w:after="0"/>
        <w:rPr>
          <w:lang w:val="it-IT"/>
        </w:rPr>
      </w:pPr>
      <w:r w:rsidRPr="007B74B7">
        <w:rPr>
          <w:rFonts w:ascii="Tahoma" w:hAnsi="Tahoma" w:cs="Tahoma"/>
          <w:sz w:val="18"/>
          <w:lang w:val="it-IT"/>
        </w:rPr>
        <w:t>Gli engagement Planning Services forniscono servizi di consulenza che coprono un ambito di lavoro predeterminato, il</w:t>
      </w:r>
      <w:r w:rsidR="00544F15" w:rsidRPr="007B74B7">
        <w:rPr>
          <w:rFonts w:ascii="Tahoma" w:hAnsi="Tahoma" w:cs="Tahoma"/>
          <w:sz w:val="18"/>
          <w:lang w:val="it-IT"/>
        </w:rPr>
        <w:t> </w:t>
      </w:r>
      <w:r w:rsidRPr="007B74B7">
        <w:rPr>
          <w:rFonts w:ascii="Tahoma" w:hAnsi="Tahoma" w:cs="Tahoma"/>
          <w:sz w:val="18"/>
          <w:lang w:val="it-IT"/>
        </w:rPr>
        <w:t>cui esito è un piano di distribuzione di alto livello; la distribuzione effettiva del software non può essere inclusa.</w:t>
      </w:r>
    </w:p>
    <w:p w:rsidR="00023FE7" w:rsidRPr="007B74B7" w:rsidRDefault="00023FE7" w:rsidP="005A141F">
      <w:pPr>
        <w:pStyle w:val="AppendixBodyText"/>
        <w:spacing w:after="0"/>
        <w:rPr>
          <w:lang w:val="it-IT"/>
        </w:rPr>
      </w:pPr>
    </w:p>
    <w:p w:rsidR="00AC1997" w:rsidRPr="007B74B7" w:rsidRDefault="000D4ECA" w:rsidP="002F529F">
      <w:pPr>
        <w:pStyle w:val="AppendixBodyText"/>
        <w:numPr>
          <w:ilvl w:val="0"/>
          <w:numId w:val="1"/>
        </w:numPr>
        <w:tabs>
          <w:tab w:val="clear" w:pos="720"/>
          <w:tab w:val="num" w:pos="1440"/>
        </w:tabs>
        <w:ind w:left="1440"/>
        <w:rPr>
          <w:lang w:val="it-IT"/>
        </w:rPr>
      </w:pPr>
      <w:r w:rsidRPr="007B74B7">
        <w:rPr>
          <w:rFonts w:ascii="Tahoma" w:hAnsi="Tahoma" w:cs="Tahoma"/>
          <w:bCs/>
          <w:sz w:val="18"/>
          <w:lang w:val="it-IT"/>
        </w:rPr>
        <w:t>I Planning Services non sono disponibili in tutte le lingue.</w:t>
      </w:r>
    </w:p>
    <w:p w:rsidR="00AC1997" w:rsidRPr="007B74B7" w:rsidRDefault="000D4ECA" w:rsidP="002F529F">
      <w:pPr>
        <w:pStyle w:val="AppendixBodyText"/>
        <w:numPr>
          <w:ilvl w:val="0"/>
          <w:numId w:val="1"/>
        </w:numPr>
        <w:tabs>
          <w:tab w:val="clear" w:pos="720"/>
          <w:tab w:val="num" w:pos="1440"/>
        </w:tabs>
        <w:ind w:left="1440"/>
        <w:rPr>
          <w:spacing w:val="-2"/>
          <w:lang w:val="it-IT"/>
        </w:rPr>
      </w:pPr>
      <w:r w:rsidRPr="007B74B7">
        <w:rPr>
          <w:rFonts w:ascii="Tahoma" w:hAnsi="Tahoma" w:cs="Tahoma"/>
          <w:bCs/>
          <w:color w:val="000000"/>
          <w:spacing w:val="-2"/>
          <w:sz w:val="18"/>
          <w:lang w:val="it-IT"/>
        </w:rPr>
        <w:t>I voucher Planning Services possono essere riscattati solo dalla società idonea a ricevere il vantaggio.</w:t>
      </w:r>
    </w:p>
    <w:p w:rsidR="00AC1997" w:rsidRPr="007B74B7" w:rsidRDefault="000D4ECA" w:rsidP="002F529F">
      <w:pPr>
        <w:pStyle w:val="AppendixBodyText"/>
        <w:numPr>
          <w:ilvl w:val="0"/>
          <w:numId w:val="1"/>
        </w:numPr>
        <w:tabs>
          <w:tab w:val="clear" w:pos="720"/>
          <w:tab w:val="num" w:pos="1440"/>
        </w:tabs>
        <w:ind w:left="1440"/>
        <w:rPr>
          <w:lang w:val="it-IT"/>
        </w:rPr>
      </w:pPr>
      <w:r w:rsidRPr="007B74B7">
        <w:rPr>
          <w:rFonts w:ascii="Tahoma" w:hAnsi="Tahoma" w:cs="Tahoma"/>
          <w:bCs/>
          <w:color w:val="000000"/>
          <w:sz w:val="18"/>
          <w:lang w:val="it-IT"/>
        </w:rPr>
        <w:t>I voucher Planning Services non potranno essere scambiati con contante, somme di denaro o altri corrispettivi.</w:t>
      </w:r>
    </w:p>
    <w:p w:rsidR="00AC1997" w:rsidRPr="007B74B7" w:rsidRDefault="00AC1997" w:rsidP="002F529F">
      <w:pPr>
        <w:pStyle w:val="AppendixBodyText"/>
        <w:numPr>
          <w:ilvl w:val="0"/>
          <w:numId w:val="1"/>
        </w:numPr>
        <w:tabs>
          <w:tab w:val="clear" w:pos="720"/>
          <w:tab w:val="num" w:pos="1440"/>
        </w:tabs>
        <w:ind w:left="1440"/>
        <w:rPr>
          <w:lang w:val="it-IT"/>
        </w:rPr>
      </w:pPr>
      <w:r w:rsidRPr="007B74B7">
        <w:rPr>
          <w:rFonts w:ascii="Tahoma" w:hAnsi="Tahoma" w:cs="Tahoma"/>
          <w:bCs/>
          <w:color w:val="000000"/>
          <w:sz w:val="18"/>
          <w:lang w:val="it-IT"/>
        </w:rPr>
        <w:t>Le società interessate ad acquisire servizi aggiuntivi oltre a quelli coperti dall</w:t>
      </w:r>
      <w:r w:rsidR="007A1415" w:rsidRPr="007B74B7">
        <w:rPr>
          <w:rFonts w:ascii="Tahoma" w:hAnsi="Tahoma" w:cs="Tahoma"/>
          <w:bCs/>
          <w:color w:val="000000"/>
          <w:sz w:val="18"/>
          <w:lang w:val="it-IT"/>
        </w:rPr>
        <w:t>’</w:t>
      </w:r>
      <w:r w:rsidRPr="007B74B7">
        <w:rPr>
          <w:rFonts w:ascii="Tahoma" w:hAnsi="Tahoma" w:cs="Tahoma"/>
          <w:color w:val="000000"/>
          <w:sz w:val="18"/>
          <w:szCs w:val="18"/>
          <w:lang w:val="it-IT"/>
        </w:rPr>
        <w:t>ambito di lavoro per l</w:t>
      </w:r>
      <w:r w:rsidR="007A1415" w:rsidRPr="007B74B7">
        <w:rPr>
          <w:rFonts w:ascii="Tahoma" w:hAnsi="Tahoma" w:cs="Tahoma"/>
          <w:color w:val="000000"/>
          <w:sz w:val="18"/>
          <w:szCs w:val="18"/>
          <w:lang w:val="it-IT"/>
        </w:rPr>
        <w:t>’</w:t>
      </w:r>
      <w:r w:rsidRPr="007B74B7">
        <w:rPr>
          <w:rFonts w:ascii="Tahoma" w:hAnsi="Tahoma" w:cs="Tahoma"/>
          <w:color w:val="000000"/>
          <w:sz w:val="18"/>
          <w:szCs w:val="18"/>
          <w:lang w:val="it-IT"/>
        </w:rPr>
        <w:t>engagement relativo al voucher assegnato (secondo quanto definito dal tipo di voucher e dal livello di servizio)</w:t>
      </w:r>
      <w:r w:rsidRPr="007B74B7">
        <w:rPr>
          <w:rFonts w:ascii="Tahoma" w:hAnsi="Tahoma" w:cs="Tahoma"/>
          <w:bCs/>
          <w:color w:val="000000"/>
          <w:sz w:val="18"/>
          <w:lang w:val="it-IT"/>
        </w:rPr>
        <w:t xml:space="preserve"> potranno pagare il provider al di fuori di questo programma.</w:t>
      </w:r>
    </w:p>
    <w:p w:rsidR="00AC1997" w:rsidRPr="007B74B7" w:rsidRDefault="00AC1997" w:rsidP="002F529F">
      <w:pPr>
        <w:pStyle w:val="AppendixBodyText"/>
        <w:numPr>
          <w:ilvl w:val="0"/>
          <w:numId w:val="1"/>
        </w:numPr>
        <w:tabs>
          <w:tab w:val="clear" w:pos="720"/>
          <w:tab w:val="num" w:pos="1440"/>
        </w:tabs>
        <w:ind w:left="1440"/>
        <w:rPr>
          <w:lang w:val="it-IT"/>
        </w:rPr>
      </w:pPr>
      <w:r w:rsidRPr="007B74B7">
        <w:rPr>
          <w:rFonts w:ascii="Tahoma" w:hAnsi="Tahoma" w:cs="Tahoma"/>
          <w:color w:val="000000"/>
          <w:sz w:val="18"/>
          <w:lang w:val="it-IT"/>
        </w:rPr>
        <w:t>La riduzione della copertura SA qualificante in seguito a resi o altre modifiche apportate alla fatturazione</w:t>
      </w:r>
      <w:r w:rsidRPr="007B74B7">
        <w:rPr>
          <w:rFonts w:ascii="Tahoma" w:hAnsi="Tahoma" w:cs="Tahoma"/>
          <w:bCs/>
          <w:color w:val="000000"/>
          <w:sz w:val="18"/>
          <w:lang w:val="it-IT"/>
        </w:rPr>
        <w:t>,</w:t>
      </w:r>
      <w:r w:rsidRPr="007B74B7">
        <w:rPr>
          <w:rFonts w:ascii="Tahoma" w:hAnsi="Tahoma" w:cs="Tahoma"/>
          <w:color w:val="000000"/>
          <w:sz w:val="18"/>
          <w:lang w:val="it-IT"/>
        </w:rPr>
        <w:t xml:space="preserve"> ove ammessa, </w:t>
      </w:r>
      <w:r w:rsidRPr="007B74B7">
        <w:rPr>
          <w:rFonts w:ascii="Tahoma" w:hAnsi="Tahoma" w:cs="Tahoma"/>
          <w:bCs/>
          <w:color w:val="000000"/>
          <w:sz w:val="18"/>
          <w:lang w:val="it-IT"/>
        </w:rPr>
        <w:t>potrà</w:t>
      </w:r>
      <w:r w:rsidRPr="007B74B7">
        <w:rPr>
          <w:rFonts w:ascii="Tahoma" w:hAnsi="Tahoma" w:cs="Tahoma"/>
          <w:color w:val="000000"/>
          <w:sz w:val="18"/>
          <w:lang w:val="it-IT"/>
        </w:rPr>
        <w:t xml:space="preserve"> diminuire i giorni di idoneità ai Planning Services della </w:t>
      </w:r>
      <w:r w:rsidRPr="007B74B7">
        <w:rPr>
          <w:rFonts w:ascii="Tahoma" w:hAnsi="Tahoma" w:cs="Tahoma"/>
          <w:bCs/>
          <w:color w:val="000000"/>
          <w:sz w:val="18"/>
          <w:lang w:val="it-IT"/>
        </w:rPr>
        <w:t>società.</w:t>
      </w:r>
    </w:p>
    <w:p w:rsidR="00762183" w:rsidRPr="00BD7CEA" w:rsidRDefault="00AC1997" w:rsidP="007358C5">
      <w:pPr>
        <w:pStyle w:val="AppendixBodyText"/>
        <w:numPr>
          <w:ilvl w:val="0"/>
          <w:numId w:val="22"/>
        </w:numPr>
        <w:tabs>
          <w:tab w:val="num" w:pos="1440"/>
        </w:tabs>
        <w:ind w:left="1440"/>
      </w:pPr>
      <w:r w:rsidRPr="007B74B7">
        <w:rPr>
          <w:rFonts w:ascii="Tahoma" w:hAnsi="Tahoma" w:cs="Tahoma"/>
          <w:bCs/>
          <w:color w:val="000000"/>
          <w:sz w:val="18"/>
          <w:lang w:val="it-IT"/>
        </w:rPr>
        <w:t xml:space="preserve">I voucher sono validi solo con </w:t>
      </w:r>
      <w:r w:rsidRPr="007B74B7">
        <w:rPr>
          <w:rFonts w:ascii="Tahoma" w:hAnsi="Tahoma" w:cs="Tahoma"/>
          <w:color w:val="000000"/>
          <w:sz w:val="18"/>
          <w:lang w:val="it-IT"/>
        </w:rPr>
        <w:t xml:space="preserve">Provider qualificati </w:t>
      </w:r>
      <w:r w:rsidRPr="007B74B7">
        <w:rPr>
          <w:rFonts w:ascii="Tahoma" w:hAnsi="Tahoma" w:cs="Tahoma"/>
          <w:bCs/>
          <w:color w:val="000000"/>
          <w:sz w:val="18"/>
          <w:lang w:val="it-IT"/>
        </w:rPr>
        <w:t xml:space="preserve">per il tipo di servizio specifico per il quale il voucher </w:t>
      </w:r>
      <w:r w:rsidRPr="007B74B7">
        <w:rPr>
          <w:rFonts w:ascii="Tahoma" w:hAnsi="Tahoma" w:cs="Tahoma"/>
          <w:bCs/>
          <w:color w:val="000000"/>
          <w:sz w:val="18"/>
          <w:szCs w:val="18"/>
          <w:lang w:val="it-IT"/>
        </w:rPr>
        <w:t xml:space="preserve">viene riscattato. </w:t>
      </w:r>
      <w:r w:rsidRPr="007B74B7">
        <w:rPr>
          <w:rFonts w:ascii="Tahoma" w:hAnsi="Tahoma" w:cs="Tahoma"/>
          <w:color w:val="000000"/>
          <w:sz w:val="18"/>
          <w:szCs w:val="18"/>
          <w:lang w:val="it-IT"/>
        </w:rPr>
        <w:t>Il voucher può essere utilizzato con qualsiasi Provider Qualificato a livello mondiale. </w:t>
      </w:r>
      <w:r w:rsidRPr="00BD7CEA">
        <w:rPr>
          <w:rFonts w:ascii="Tahoma" w:hAnsi="Tahoma" w:cs="Tahoma"/>
          <w:color w:val="000000"/>
          <w:sz w:val="18"/>
          <w:szCs w:val="18"/>
        </w:rPr>
        <w:t>La partecipazione potrebbe variare.</w:t>
      </w:r>
    </w:p>
    <w:p w:rsidR="0083748D" w:rsidRPr="007B74B7" w:rsidRDefault="0083748D" w:rsidP="002F529F">
      <w:pPr>
        <w:pStyle w:val="AppendixBodyText"/>
        <w:numPr>
          <w:ilvl w:val="0"/>
          <w:numId w:val="1"/>
        </w:numPr>
        <w:tabs>
          <w:tab w:val="clear" w:pos="720"/>
          <w:tab w:val="num" w:pos="1440"/>
        </w:tabs>
        <w:ind w:left="1440"/>
        <w:rPr>
          <w:lang w:val="it-IT"/>
        </w:rPr>
      </w:pPr>
      <w:r w:rsidRPr="007B74B7">
        <w:rPr>
          <w:rFonts w:ascii="Tahoma" w:hAnsi="Tahoma" w:cs="Tahoma"/>
          <w:color w:val="000000"/>
          <w:sz w:val="18"/>
          <w:szCs w:val="18"/>
          <w:lang w:val="it-IT"/>
        </w:rPr>
        <w:t>I voucher dovranno essere assegnati durante il periodo della copertura Software Assurance.</w:t>
      </w:r>
    </w:p>
    <w:p w:rsidR="0083748D" w:rsidRPr="007B74B7" w:rsidRDefault="0083748D" w:rsidP="002F529F">
      <w:pPr>
        <w:pStyle w:val="AppendixBodyText"/>
        <w:numPr>
          <w:ilvl w:val="0"/>
          <w:numId w:val="1"/>
        </w:numPr>
        <w:tabs>
          <w:tab w:val="clear" w:pos="720"/>
          <w:tab w:val="num" w:pos="1440"/>
        </w:tabs>
        <w:ind w:left="1440"/>
        <w:rPr>
          <w:lang w:val="it-IT"/>
        </w:rPr>
      </w:pPr>
      <w:r w:rsidRPr="007B74B7">
        <w:rPr>
          <w:rFonts w:ascii="Tahoma" w:hAnsi="Tahoma" w:cs="Tahoma"/>
          <w:color w:val="000000"/>
          <w:sz w:val="18"/>
          <w:szCs w:val="18"/>
          <w:lang w:val="it-IT"/>
        </w:rPr>
        <w:t>I voucher scadranno dopo 180 giorni dalla data di assegnazione, indipendentemente dalla data di</w:t>
      </w:r>
      <w:r w:rsidR="00544F15" w:rsidRPr="007B74B7">
        <w:rPr>
          <w:rFonts w:ascii="Tahoma" w:hAnsi="Tahoma" w:cs="Tahoma"/>
          <w:color w:val="000000"/>
          <w:sz w:val="18"/>
          <w:szCs w:val="18"/>
          <w:lang w:val="it-IT"/>
        </w:rPr>
        <w:t> </w:t>
      </w:r>
      <w:r w:rsidRPr="007B74B7">
        <w:rPr>
          <w:rFonts w:ascii="Tahoma" w:hAnsi="Tahoma" w:cs="Tahoma"/>
          <w:color w:val="000000"/>
          <w:sz w:val="18"/>
          <w:szCs w:val="18"/>
          <w:lang w:val="it-IT"/>
        </w:rPr>
        <w:t>scadenza della copertura Software Assurance. Tutti i servizi dovranno essere forniti (voucher riscattato) prima della scadenza dei voucher. Per i voucher, la cui data di scadenza è precedente a</w:t>
      </w:r>
      <w:r w:rsidR="00544F15" w:rsidRPr="007B74B7">
        <w:rPr>
          <w:rFonts w:ascii="Tahoma" w:hAnsi="Tahoma" w:cs="Tahoma"/>
          <w:color w:val="000000"/>
          <w:sz w:val="18"/>
          <w:szCs w:val="18"/>
          <w:lang w:val="it-IT"/>
        </w:rPr>
        <w:t> </w:t>
      </w:r>
      <w:r w:rsidRPr="007B74B7">
        <w:rPr>
          <w:rFonts w:ascii="Tahoma" w:hAnsi="Tahoma" w:cs="Tahoma"/>
          <w:color w:val="000000"/>
          <w:sz w:val="18"/>
          <w:szCs w:val="18"/>
          <w:lang w:val="it-IT"/>
        </w:rPr>
        <w:t>quella della copertura Software Assurance, verrà ripristinato il pool disponibile di giorni Planning Services.</w:t>
      </w:r>
    </w:p>
    <w:p w:rsidR="00AC1997" w:rsidRPr="007B74B7" w:rsidRDefault="00AC1997" w:rsidP="002F529F">
      <w:pPr>
        <w:pStyle w:val="AppendixBodyText"/>
        <w:numPr>
          <w:ilvl w:val="0"/>
          <w:numId w:val="21"/>
        </w:numPr>
        <w:tabs>
          <w:tab w:val="num" w:pos="1440"/>
        </w:tabs>
        <w:rPr>
          <w:lang w:val="it-IT"/>
        </w:rPr>
      </w:pPr>
      <w:r w:rsidRPr="007B74B7">
        <w:rPr>
          <w:rFonts w:ascii="Tahoma" w:hAnsi="Tahoma" w:cs="Tahoma"/>
          <w:bCs/>
          <w:color w:val="000000"/>
          <w:sz w:val="18"/>
          <w:szCs w:val="18"/>
          <w:lang w:val="it-IT"/>
        </w:rPr>
        <w:t>Microsoft non è responsabile</w:t>
      </w:r>
      <w:r w:rsidRPr="007B74B7">
        <w:rPr>
          <w:rFonts w:ascii="Tahoma" w:hAnsi="Tahoma" w:cs="Tahoma"/>
          <w:bCs/>
          <w:color w:val="000000"/>
          <w:sz w:val="18"/>
          <w:lang w:val="it-IT"/>
        </w:rPr>
        <w:t xml:space="preserve"> dei voucher persi, rubati, collocati fuori posto o maltrattati.</w:t>
      </w:r>
    </w:p>
    <w:p w:rsidR="00AC1997" w:rsidRPr="007B74B7" w:rsidRDefault="00AC1997" w:rsidP="002F529F">
      <w:pPr>
        <w:pStyle w:val="AppendixBodyText"/>
        <w:numPr>
          <w:ilvl w:val="0"/>
          <w:numId w:val="21"/>
        </w:numPr>
        <w:tabs>
          <w:tab w:val="num" w:pos="1440"/>
        </w:tabs>
        <w:rPr>
          <w:lang w:val="it-IT"/>
        </w:rPr>
      </w:pPr>
      <w:r w:rsidRPr="007B74B7">
        <w:rPr>
          <w:rFonts w:ascii="Tahoma" w:hAnsi="Tahoma" w:cs="Tahoma"/>
          <w:bCs/>
          <w:color w:val="000000"/>
          <w:sz w:val="18"/>
          <w:lang w:val="it-IT"/>
        </w:rPr>
        <w:t xml:space="preserve">I servizi erogati con i voucher vengono </w:t>
      </w:r>
      <w:r w:rsidRPr="007B74B7">
        <w:rPr>
          <w:rFonts w:ascii="Tahoma" w:hAnsi="Tahoma" w:cs="Tahoma"/>
          <w:color w:val="000000"/>
          <w:sz w:val="18"/>
          <w:lang w:val="it-IT"/>
        </w:rPr>
        <w:t>forniti ai sensi di un contratto tra la Società e il Provider Qualificato; Microsoft non è responsabile dell</w:t>
      </w:r>
      <w:r w:rsidR="007A1415" w:rsidRPr="007B74B7">
        <w:rPr>
          <w:rFonts w:ascii="Tahoma" w:hAnsi="Tahoma" w:cs="Tahoma"/>
          <w:color w:val="000000"/>
          <w:sz w:val="18"/>
          <w:lang w:val="it-IT"/>
        </w:rPr>
        <w:t>’</w:t>
      </w:r>
      <w:r w:rsidRPr="007B74B7">
        <w:rPr>
          <w:rFonts w:ascii="Tahoma" w:hAnsi="Tahoma" w:cs="Tahoma"/>
          <w:color w:val="000000"/>
          <w:sz w:val="18"/>
          <w:lang w:val="it-IT"/>
        </w:rPr>
        <w:t>eventuale funzionamento o mancato funzionamento dei servizi da parte del Provider Qualificato.</w:t>
      </w:r>
    </w:p>
    <w:p w:rsidR="00F643B6" w:rsidRPr="007B74B7" w:rsidRDefault="00AC1997" w:rsidP="007358C5">
      <w:pPr>
        <w:pStyle w:val="AppendixBodyText"/>
        <w:numPr>
          <w:ilvl w:val="0"/>
          <w:numId w:val="71"/>
        </w:numPr>
        <w:rPr>
          <w:lang w:val="it-IT"/>
        </w:rPr>
      </w:pPr>
      <w:r w:rsidRPr="007B74B7">
        <w:rPr>
          <w:rFonts w:ascii="Tahoma" w:hAnsi="Tahoma" w:cs="Tahoma"/>
          <w:bCs/>
          <w:color w:val="000000"/>
          <w:sz w:val="18"/>
          <w:lang w:val="it-IT"/>
        </w:rPr>
        <w:t>Accettando un engagement Planning Services, le società</w:t>
      </w:r>
      <w:r w:rsidRPr="007B74B7">
        <w:rPr>
          <w:rFonts w:ascii="Tahoma" w:hAnsi="Tahoma" w:cs="Tahoma"/>
          <w:bCs/>
          <w:sz w:val="18"/>
          <w:lang w:val="it-IT"/>
        </w:rPr>
        <w:t xml:space="preserve"> danno atto che non appena lo completeranno, riceveranno un sondaggio per il controllo della qualità.</w:t>
      </w:r>
    </w:p>
    <w:p w:rsidR="0008036A" w:rsidRPr="007B74B7" w:rsidRDefault="00F643B6" w:rsidP="007358C5">
      <w:pPr>
        <w:pStyle w:val="AppendixBodyText"/>
        <w:numPr>
          <w:ilvl w:val="0"/>
          <w:numId w:val="71"/>
        </w:numPr>
        <w:rPr>
          <w:lang w:val="it-IT"/>
        </w:rPr>
      </w:pPr>
      <w:r w:rsidRPr="007B74B7">
        <w:rPr>
          <w:rFonts w:ascii="Tahoma" w:hAnsi="Tahoma" w:cs="Tahoma"/>
          <w:bCs/>
          <w:color w:val="000000"/>
          <w:sz w:val="18"/>
          <w:szCs w:val="18"/>
          <w:lang w:val="it-IT"/>
        </w:rPr>
        <w:t>Le tabelle riportate sopra mostrano i giorni di servizio disponibili sulla base di un</w:t>
      </w:r>
      <w:r w:rsidR="007A1415" w:rsidRPr="007B74B7">
        <w:rPr>
          <w:rFonts w:ascii="Tahoma" w:hAnsi="Tahoma" w:cs="Tahoma"/>
          <w:bCs/>
          <w:color w:val="000000"/>
          <w:sz w:val="18"/>
          <w:szCs w:val="18"/>
          <w:lang w:val="it-IT"/>
        </w:rPr>
        <w:t>’</w:t>
      </w:r>
      <w:r w:rsidRPr="007B74B7">
        <w:rPr>
          <w:rFonts w:ascii="Tahoma" w:hAnsi="Tahoma" w:cs="Tahoma"/>
          <w:bCs/>
          <w:color w:val="000000"/>
          <w:sz w:val="18"/>
          <w:szCs w:val="18"/>
          <w:lang w:val="it-IT"/>
        </w:rPr>
        <w:t xml:space="preserve">iscrizione o di un contratto triennale completo. Le società che acquistano una copertura Software Assurance di durata annuale </w:t>
      </w:r>
      <w:r w:rsidRPr="007B74B7">
        <w:rPr>
          <w:rFonts w:ascii="Tahoma" w:hAnsi="Tahoma" w:cs="Tahoma"/>
          <w:color w:val="000000"/>
          <w:sz w:val="18"/>
          <w:szCs w:val="18"/>
          <w:lang w:val="it-IT"/>
        </w:rPr>
        <w:t>riceveranno un terzo del numero dichiarato di giorni di servizio. Le società che acquistano una copertura Software Assurance di durata biennale riceveranno due terzi del numero dichiarato di giorni di servizio.</w:t>
      </w:r>
      <w:r w:rsidR="008D782D" w:rsidRPr="007B74B7">
        <w:rPr>
          <w:rFonts w:ascii="Tahoma" w:hAnsi="Tahoma" w:cs="Tahoma"/>
          <w:color w:val="000000"/>
          <w:sz w:val="18"/>
          <w:szCs w:val="18"/>
          <w:lang w:val="it-IT"/>
        </w:rPr>
        <w:t xml:space="preserve"> </w:t>
      </w:r>
    </w:p>
    <w:p w:rsidR="00023FE7" w:rsidRPr="007B74B7" w:rsidRDefault="00023FE7">
      <w:pPr>
        <w:pStyle w:val="AppendixBodyText"/>
        <w:rPr>
          <w:lang w:val="it-IT"/>
        </w:rPr>
      </w:pPr>
      <w:r w:rsidRPr="007B74B7">
        <w:rPr>
          <w:rFonts w:ascii="Tahoma" w:hAnsi="Tahoma" w:cs="Tahoma"/>
          <w:bCs/>
          <w:color w:val="000000"/>
          <w:sz w:val="18"/>
          <w:lang w:val="it-IT"/>
        </w:rPr>
        <w:lastRenderedPageBreak/>
        <w:t>I deliverable completati inviati a Microsoft dal Provider Qualificato al termine dell</w:t>
      </w:r>
      <w:r w:rsidR="007A1415" w:rsidRPr="007B74B7">
        <w:rPr>
          <w:rFonts w:ascii="Tahoma" w:hAnsi="Tahoma" w:cs="Tahoma"/>
          <w:bCs/>
          <w:color w:val="000000"/>
          <w:sz w:val="18"/>
          <w:lang w:val="it-IT"/>
        </w:rPr>
        <w:t>’</w:t>
      </w:r>
      <w:r w:rsidRPr="007B74B7">
        <w:rPr>
          <w:rFonts w:ascii="Tahoma" w:hAnsi="Tahoma" w:cs="Tahoma"/>
          <w:bCs/>
          <w:color w:val="000000"/>
          <w:sz w:val="18"/>
          <w:lang w:val="it-IT"/>
        </w:rPr>
        <w:t>engagement potranno essere utilizzati da Microsoft per il controllo della qualità e a tale scopo potranno essere condivisi con il team dell</w:t>
      </w:r>
      <w:r w:rsidR="007A1415" w:rsidRPr="007B74B7">
        <w:rPr>
          <w:rFonts w:ascii="Tahoma" w:hAnsi="Tahoma" w:cs="Tahoma"/>
          <w:bCs/>
          <w:color w:val="000000"/>
          <w:sz w:val="18"/>
          <w:lang w:val="it-IT"/>
        </w:rPr>
        <w:t>’</w:t>
      </w:r>
      <w:r w:rsidRPr="007B74B7">
        <w:rPr>
          <w:rFonts w:ascii="Tahoma" w:hAnsi="Tahoma" w:cs="Tahoma"/>
          <w:bCs/>
          <w:color w:val="000000"/>
          <w:sz w:val="18"/>
          <w:lang w:val="it-IT"/>
        </w:rPr>
        <w:t>account Microsoft della società.</w:t>
      </w:r>
    </w:p>
    <w:p w:rsidR="00023FE7" w:rsidRPr="007B74B7" w:rsidRDefault="00023FE7" w:rsidP="005A141F">
      <w:pPr>
        <w:pStyle w:val="AppendixBodyText"/>
        <w:spacing w:after="0"/>
        <w:rPr>
          <w:lang w:val="it-IT"/>
        </w:rPr>
      </w:pPr>
    </w:p>
    <w:p w:rsidR="00023FE7" w:rsidRPr="007B74B7" w:rsidRDefault="00023FE7">
      <w:pPr>
        <w:pStyle w:val="Heading3"/>
        <w:rPr>
          <w:lang w:val="it-IT"/>
        </w:rPr>
      </w:pPr>
      <w:bookmarkStart w:id="778" w:name="_Toc328145999"/>
      <w:bookmarkStart w:id="779" w:name="_Toc336338230"/>
      <w:bookmarkStart w:id="780" w:name="_Toc353376010"/>
      <w:r w:rsidRPr="007B74B7">
        <w:rPr>
          <w:rFonts w:ascii="Tahoma" w:hAnsi="Tahoma"/>
          <w:sz w:val="24"/>
          <w:lang w:val="it-IT"/>
        </w:rPr>
        <w:t>Windows 8 Enterprise</w:t>
      </w:r>
      <w:bookmarkEnd w:id="778"/>
      <w:bookmarkEnd w:id="779"/>
      <w:bookmarkEnd w:id="780"/>
      <w:r w:rsidRPr="007B74B7">
        <w:rPr>
          <w:rFonts w:ascii="Tahoma" w:hAnsi="Tahoma"/>
          <w:sz w:val="24"/>
          <w:lang w:val="it-IT"/>
        </w:rPr>
        <w:t xml:space="preserve"> </w:t>
      </w:r>
    </w:p>
    <w:p w:rsidR="00023FE7" w:rsidRPr="007B74B7" w:rsidRDefault="00023FE7" w:rsidP="00077CE5">
      <w:pPr>
        <w:pStyle w:val="AppendixBodyText"/>
        <w:spacing w:after="0"/>
        <w:rPr>
          <w:lang w:val="it-IT"/>
        </w:rPr>
      </w:pPr>
    </w:p>
    <w:p w:rsidR="005A141F" w:rsidRPr="007B74B7" w:rsidRDefault="00324479" w:rsidP="005A141F">
      <w:pPr>
        <w:spacing w:after="60"/>
        <w:jc w:val="both"/>
        <w:rPr>
          <w:lang w:val="it-IT"/>
        </w:rPr>
      </w:pPr>
      <w:r w:rsidRPr="007B74B7">
        <w:rPr>
          <w:rFonts w:cs="Tahoma"/>
          <w:b/>
          <w:szCs w:val="18"/>
          <w:lang w:val="it-IT"/>
        </w:rPr>
        <w:t>Società con Software Assurance idonee</w:t>
      </w:r>
    </w:p>
    <w:p w:rsidR="00324479" w:rsidRPr="007B74B7" w:rsidRDefault="00324479" w:rsidP="00324479">
      <w:pPr>
        <w:jc w:val="both"/>
        <w:rPr>
          <w:lang w:val="it-IT"/>
        </w:rPr>
      </w:pPr>
      <w:r w:rsidRPr="007B74B7">
        <w:rPr>
          <w:rFonts w:cs="Tahoma"/>
          <w:szCs w:val="18"/>
          <w:lang w:val="it-IT"/>
        </w:rPr>
        <w:t>Le società con copertura Software Assurance attiva per il sistema operativo desktop Windows sono idonee a ricevere questo vantaggio. La copertura Software Assurance per il sistema operativo desktop Windows su un dispositivo con licenza offre alle società la possibilità di utilizzare Windows 8 Enterprise anziché Windows 8 Pro su tale dispositivo.</w:t>
      </w:r>
    </w:p>
    <w:p w:rsidR="00324479" w:rsidRPr="007B74B7" w:rsidRDefault="00324479" w:rsidP="00324479">
      <w:pPr>
        <w:jc w:val="both"/>
        <w:rPr>
          <w:lang w:val="it-IT"/>
        </w:rPr>
      </w:pPr>
    </w:p>
    <w:p w:rsidR="00324479" w:rsidRPr="007B74B7" w:rsidRDefault="00324479" w:rsidP="00324479">
      <w:pPr>
        <w:jc w:val="both"/>
        <w:rPr>
          <w:lang w:val="it-IT"/>
        </w:rPr>
      </w:pPr>
      <w:r w:rsidRPr="007B74B7">
        <w:rPr>
          <w:rFonts w:cs="Tahoma"/>
          <w:szCs w:val="18"/>
          <w:lang w:val="it-IT"/>
        </w:rPr>
        <w:t xml:space="preserve">Le società Software Assurance idonee dispongono dei diritti di utilizzare Windows 8 Enterprise come descritto nei Diritti di Utilizzo del Prodotto. Le società non possono trasferire Windows 8 Enterprise dal dispositivo concesso in licenza a un altro dispositivo, se non in combinazione con la riassegnazione consentita della copertura Software Assurance. </w:t>
      </w:r>
    </w:p>
    <w:p w:rsidR="00324479" w:rsidRPr="007B74B7" w:rsidRDefault="00324479" w:rsidP="00324479">
      <w:pPr>
        <w:jc w:val="both"/>
        <w:rPr>
          <w:lang w:val="it-IT"/>
        </w:rPr>
      </w:pPr>
    </w:p>
    <w:p w:rsidR="005A141F" w:rsidRPr="007B74B7" w:rsidRDefault="00324479" w:rsidP="005A141F">
      <w:pPr>
        <w:spacing w:after="60"/>
        <w:jc w:val="both"/>
        <w:rPr>
          <w:lang w:val="it-IT"/>
        </w:rPr>
      </w:pPr>
      <w:r w:rsidRPr="007B74B7">
        <w:rPr>
          <w:rFonts w:cs="Tahoma"/>
          <w:b/>
          <w:szCs w:val="18"/>
          <w:lang w:val="it-IT"/>
        </w:rPr>
        <w:t>Società con i Vantaggi dei Servizi Online idonee</w:t>
      </w:r>
    </w:p>
    <w:p w:rsidR="00324479" w:rsidRPr="007B74B7" w:rsidRDefault="0071258F" w:rsidP="00324479">
      <w:pPr>
        <w:jc w:val="both"/>
        <w:rPr>
          <w:lang w:val="it-IT"/>
        </w:rPr>
      </w:pPr>
      <w:r w:rsidRPr="007B74B7">
        <w:rPr>
          <w:rFonts w:cs="Tahoma"/>
          <w:szCs w:val="18"/>
          <w:lang w:val="it-IT"/>
        </w:rPr>
        <w:t>Le società con Windows Intune (Per Dispositivo) dispongono dei diritti di utilizzare Windows 8 Enterprise come descritto nei Diritti di Utilizzo del Prodotto. Vedere l</w:t>
      </w:r>
      <w:r w:rsidR="007A1415" w:rsidRPr="007B74B7">
        <w:rPr>
          <w:rFonts w:cs="Tahoma"/>
          <w:szCs w:val="18"/>
          <w:lang w:val="it-IT"/>
        </w:rPr>
        <w:t>’</w:t>
      </w:r>
      <w:r w:rsidRPr="007B74B7">
        <w:rPr>
          <w:rFonts w:cs="Tahoma"/>
          <w:szCs w:val="18"/>
          <w:lang w:val="it-IT"/>
        </w:rPr>
        <w:t>Articolo Note del Prodotto della presente Lista dei Prodotti per le condizioni applicabili all</w:t>
      </w:r>
      <w:r w:rsidR="007A1415" w:rsidRPr="007B74B7">
        <w:rPr>
          <w:rFonts w:cs="Tahoma"/>
          <w:szCs w:val="18"/>
          <w:lang w:val="it-IT"/>
        </w:rPr>
        <w:t>’</w:t>
      </w:r>
      <w:r w:rsidRPr="007B74B7">
        <w:rPr>
          <w:rFonts w:cs="Tahoma"/>
          <w:szCs w:val="18"/>
          <w:lang w:val="it-IT"/>
        </w:rPr>
        <w:t>acquisto e alla riassegnazione di licenze per Windows Intune (Per Dispositivo).</w:t>
      </w:r>
    </w:p>
    <w:p w:rsidR="005A141F" w:rsidRPr="007B74B7" w:rsidDel="008900EB" w:rsidRDefault="005A141F" w:rsidP="00324479">
      <w:pPr>
        <w:jc w:val="both"/>
        <w:rPr>
          <w:lang w:val="it-IT"/>
        </w:rPr>
      </w:pPr>
    </w:p>
    <w:p w:rsidR="00324479" w:rsidRPr="007B74B7" w:rsidRDefault="00324479" w:rsidP="00324479">
      <w:pPr>
        <w:spacing w:after="60"/>
        <w:rPr>
          <w:lang w:val="it-IT"/>
        </w:rPr>
      </w:pPr>
      <w:r w:rsidRPr="007B74B7">
        <w:rPr>
          <w:rFonts w:cs="Tahoma"/>
          <w:szCs w:val="18"/>
          <w:lang w:val="it-IT"/>
        </w:rPr>
        <w:t>Le società che dispongono di Software Assurance e di Windows Intune (Per Dispositivo) sono autorizzate a utilizzare l</w:t>
      </w:r>
      <w:r w:rsidR="007A1415" w:rsidRPr="007B74B7">
        <w:rPr>
          <w:rFonts w:cs="Tahoma"/>
          <w:szCs w:val="18"/>
          <w:lang w:val="it-IT"/>
        </w:rPr>
        <w:t>’</w:t>
      </w:r>
      <w:r w:rsidRPr="007B74B7">
        <w:rPr>
          <w:rFonts w:cs="Tahoma"/>
          <w:szCs w:val="18"/>
          <w:lang w:val="it-IT"/>
        </w:rPr>
        <w:t>edizione MUI (Multilingual User Interface) delle versioni precedenti del sistema operativo desktop Windows al posto di Windows 8 Enterprise.</w:t>
      </w:r>
    </w:p>
    <w:p w:rsidR="00870095" w:rsidRPr="007B74B7" w:rsidRDefault="00870095" w:rsidP="005A141F">
      <w:pPr>
        <w:pStyle w:val="Heading3"/>
        <w:spacing w:after="60"/>
        <w:rPr>
          <w:lang w:val="it-IT"/>
        </w:rPr>
      </w:pPr>
    </w:p>
    <w:p w:rsidR="00870095" w:rsidRPr="007B74B7" w:rsidRDefault="00870095" w:rsidP="005A141F">
      <w:pPr>
        <w:pStyle w:val="Heading3"/>
        <w:spacing w:after="60"/>
        <w:rPr>
          <w:lang w:val="it-IT"/>
        </w:rPr>
      </w:pPr>
      <w:bookmarkStart w:id="781" w:name="_Toc336338231"/>
      <w:bookmarkStart w:id="782" w:name="_Toc353376011"/>
      <w:r w:rsidRPr="007B74B7">
        <w:rPr>
          <w:rFonts w:ascii="Tahoma" w:hAnsi="Tahoma"/>
          <w:sz w:val="18"/>
          <w:lang w:val="it-IT"/>
        </w:rPr>
        <w:t>Windows 8 Enterprise Sideloading</w:t>
      </w:r>
      <w:bookmarkEnd w:id="781"/>
      <w:bookmarkEnd w:id="782"/>
    </w:p>
    <w:p w:rsidR="00810479" w:rsidRPr="007B74B7" w:rsidRDefault="00870095" w:rsidP="00991DD4">
      <w:pPr>
        <w:jc w:val="both"/>
        <w:rPr>
          <w:lang w:val="it-IT"/>
        </w:rPr>
      </w:pPr>
      <w:r w:rsidRPr="007B74B7">
        <w:rPr>
          <w:rFonts w:cs="Tahoma"/>
          <w:szCs w:val="18"/>
          <w:lang w:val="it-IT"/>
        </w:rPr>
        <w:t>Informazioni sul prodotto Windows 8 Enterprise Sideloading sono disponibili nell</w:t>
      </w:r>
      <w:r w:rsidR="007A1415" w:rsidRPr="007B74B7">
        <w:rPr>
          <w:rFonts w:cs="Tahoma"/>
          <w:szCs w:val="18"/>
          <w:lang w:val="it-IT"/>
        </w:rPr>
        <w:t>’</w:t>
      </w:r>
      <w:r w:rsidRPr="007B74B7">
        <w:rPr>
          <w:rFonts w:cs="Tahoma"/>
          <w:szCs w:val="18"/>
          <w:lang w:val="it-IT"/>
        </w:rPr>
        <w:t>Articolo “Note del Prodotto” del presente documento.</w:t>
      </w:r>
    </w:p>
    <w:p w:rsidR="00BD1A6A" w:rsidRPr="007B74B7" w:rsidRDefault="00BD1A6A">
      <w:pPr>
        <w:rPr>
          <w:lang w:val="it-IT"/>
        </w:rPr>
      </w:pPr>
      <w:bookmarkStart w:id="783" w:name="_Toc336338232"/>
    </w:p>
    <w:p w:rsidR="00EA1BE9" w:rsidRPr="007B74B7" w:rsidRDefault="00EA1BE9" w:rsidP="005A141F">
      <w:pPr>
        <w:pStyle w:val="Heading3"/>
        <w:spacing w:after="60"/>
        <w:rPr>
          <w:lang w:val="it-IT"/>
        </w:rPr>
      </w:pPr>
      <w:bookmarkStart w:id="784" w:name="_Toc353376012"/>
      <w:r w:rsidRPr="007B74B7">
        <w:rPr>
          <w:rFonts w:ascii="Tahoma" w:hAnsi="Tahoma"/>
          <w:sz w:val="18"/>
          <w:lang w:val="it-IT"/>
        </w:rPr>
        <w:t>Licenza “Subscription” per Windows Companion</w:t>
      </w:r>
      <w:bookmarkEnd w:id="783"/>
      <w:bookmarkEnd w:id="784"/>
    </w:p>
    <w:p w:rsidR="00EA1BE9" w:rsidRPr="007B74B7" w:rsidRDefault="00EA1BE9" w:rsidP="00870095">
      <w:pPr>
        <w:jc w:val="both"/>
        <w:rPr>
          <w:lang w:val="it-IT"/>
        </w:rPr>
      </w:pPr>
      <w:r w:rsidRPr="007B74B7">
        <w:rPr>
          <w:rFonts w:cs="Tahoma"/>
          <w:szCs w:val="18"/>
          <w:lang w:val="it-IT"/>
        </w:rPr>
        <w:t>La nota relativa alla Licenza “Subscription” per Windows Companion è disponibile nell</w:t>
      </w:r>
      <w:r w:rsidR="007A1415" w:rsidRPr="007B74B7">
        <w:rPr>
          <w:rFonts w:cs="Tahoma"/>
          <w:szCs w:val="18"/>
          <w:lang w:val="it-IT"/>
        </w:rPr>
        <w:t>’</w:t>
      </w:r>
      <w:r w:rsidRPr="007B74B7">
        <w:rPr>
          <w:rFonts w:cs="Tahoma"/>
          <w:szCs w:val="18"/>
          <w:lang w:val="it-IT"/>
        </w:rPr>
        <w:t>Articolo “Note del Prodotto” del presente documento.</w:t>
      </w:r>
    </w:p>
    <w:p w:rsidR="00870095" w:rsidRPr="007B74B7" w:rsidRDefault="00870095" w:rsidP="003C56F1">
      <w:pPr>
        <w:jc w:val="both"/>
        <w:rPr>
          <w:lang w:val="it-IT"/>
        </w:rPr>
      </w:pPr>
    </w:p>
    <w:p w:rsidR="00023FE7" w:rsidRPr="007B74B7" w:rsidRDefault="00023FE7">
      <w:pPr>
        <w:pStyle w:val="Heading3"/>
        <w:rPr>
          <w:lang w:val="it-IT"/>
        </w:rPr>
      </w:pPr>
      <w:bookmarkStart w:id="785" w:name="_Toc328146000"/>
      <w:bookmarkStart w:id="786" w:name="_Toc336338233"/>
      <w:bookmarkStart w:id="787" w:name="_Toc353376013"/>
      <w:r w:rsidRPr="007B74B7">
        <w:rPr>
          <w:rFonts w:ascii="Tahoma" w:hAnsi="Tahoma" w:cs="Tahoma"/>
          <w:sz w:val="24"/>
          <w:lang w:val="it-IT"/>
        </w:rPr>
        <w:t>Voucher Corsi</w:t>
      </w:r>
      <w:bookmarkEnd w:id="785"/>
      <w:bookmarkEnd w:id="786"/>
      <w:bookmarkEnd w:id="787"/>
    </w:p>
    <w:p w:rsidR="00023FE7" w:rsidRPr="007B74B7" w:rsidRDefault="00023FE7" w:rsidP="003C56F1">
      <w:pPr>
        <w:pStyle w:val="AppendixBodyText"/>
        <w:spacing w:after="0"/>
        <w:rPr>
          <w:lang w:val="it-IT"/>
        </w:rPr>
      </w:pPr>
    </w:p>
    <w:p w:rsidR="00023FE7" w:rsidRPr="007B74B7" w:rsidRDefault="008A15A8" w:rsidP="00F528E5">
      <w:pPr>
        <w:pStyle w:val="AppendixBodyText"/>
        <w:spacing w:after="0"/>
        <w:rPr>
          <w:rFonts w:ascii="Tahoma" w:hAnsi="Tahoma" w:cs="Tahoma"/>
          <w:spacing w:val="-4"/>
          <w:sz w:val="18"/>
          <w:szCs w:val="18"/>
          <w:lang w:val="it-IT"/>
        </w:rPr>
      </w:pPr>
      <w:r w:rsidRPr="007B74B7">
        <w:rPr>
          <w:rFonts w:ascii="Tahoma" w:hAnsi="Tahoma" w:cs="Tahoma"/>
          <w:spacing w:val="-4"/>
          <w:sz w:val="18"/>
          <w:szCs w:val="18"/>
          <w:lang w:val="it-IT"/>
        </w:rPr>
        <w:t>Le società che non siano società con Contratti Academic Select License, Select Plus for Academic, Open Value Subscription</w:t>
      </w:r>
      <w:r w:rsidR="00FD7C0D" w:rsidRPr="007B74B7">
        <w:rPr>
          <w:rFonts w:ascii="Tahoma" w:hAnsi="Tahoma" w:cs="Tahoma"/>
          <w:spacing w:val="-4"/>
          <w:sz w:val="18"/>
          <w:szCs w:val="18"/>
          <w:lang w:val="it-IT"/>
        </w:rPr>
        <w:t xml:space="preserve"> – </w:t>
      </w:r>
      <w:r w:rsidRPr="007B74B7">
        <w:rPr>
          <w:rFonts w:ascii="Tahoma" w:hAnsi="Tahoma" w:cs="Tahoma"/>
          <w:spacing w:val="-4"/>
          <w:sz w:val="18"/>
          <w:szCs w:val="18"/>
          <w:lang w:val="it-IT"/>
        </w:rPr>
        <w:t>Education Solutions, Campus e School, ma con Partecipazione a Software Assurance per i prodotti del pool di applicazioni o sistemi, sono idonee a ricevere i voucher corsi di Microsoft.</w:t>
      </w:r>
      <w:r w:rsidR="008D782D" w:rsidRPr="007B74B7">
        <w:rPr>
          <w:rFonts w:ascii="Tahoma" w:hAnsi="Tahoma" w:cs="Tahoma"/>
          <w:spacing w:val="-4"/>
          <w:sz w:val="18"/>
          <w:szCs w:val="18"/>
          <w:lang w:val="it-IT"/>
        </w:rPr>
        <w:t xml:space="preserve"> </w:t>
      </w:r>
      <w:r w:rsidRPr="007B74B7">
        <w:rPr>
          <w:rFonts w:ascii="Tahoma" w:hAnsi="Tahoma" w:cs="Tahoma"/>
          <w:spacing w:val="-4"/>
          <w:sz w:val="18"/>
          <w:szCs w:val="18"/>
          <w:lang w:val="it-IT"/>
        </w:rPr>
        <w:t>I voucher autorizzano le società a ricevere corsi tenuti da un Partner Microsoft in possesso di una Competenza Learning (Microsoft Learning Partner) per un numero specifico di giorni.</w:t>
      </w:r>
      <w:r w:rsidR="008D782D" w:rsidRPr="007B74B7">
        <w:rPr>
          <w:rFonts w:ascii="Tahoma" w:hAnsi="Tahoma" w:cs="Tahoma"/>
          <w:spacing w:val="-4"/>
          <w:sz w:val="18"/>
          <w:szCs w:val="18"/>
          <w:lang w:val="it-IT"/>
        </w:rPr>
        <w:t xml:space="preserve"> </w:t>
      </w:r>
      <w:r w:rsidRPr="007B74B7">
        <w:rPr>
          <w:rFonts w:ascii="Tahoma" w:hAnsi="Tahoma" w:cs="Tahoma"/>
          <w:spacing w:val="-4"/>
          <w:sz w:val="18"/>
          <w:szCs w:val="18"/>
          <w:lang w:val="it-IT"/>
        </w:rPr>
        <w:t>Il numero di giorni consentiti varia in base al programma e al numero di licenze qualificanti per le quali è stata acquistata la copertura Software Assurance.</w:t>
      </w:r>
      <w:r w:rsidR="008D782D" w:rsidRPr="007B74B7">
        <w:rPr>
          <w:rFonts w:ascii="Tahoma" w:hAnsi="Tahoma" w:cs="Tahoma"/>
          <w:spacing w:val="-4"/>
          <w:sz w:val="18"/>
          <w:szCs w:val="18"/>
          <w:lang w:val="it-IT"/>
        </w:rPr>
        <w:t xml:space="preserve"> </w:t>
      </w:r>
      <w:r w:rsidRPr="007B74B7">
        <w:rPr>
          <w:rFonts w:ascii="Tahoma" w:hAnsi="Tahoma" w:cs="Tahoma"/>
          <w:spacing w:val="-4"/>
          <w:sz w:val="18"/>
          <w:szCs w:val="18"/>
          <w:lang w:val="it-IT"/>
        </w:rPr>
        <w:t>Dopo che il Gestore del Vantaggio dei Voucher Corsi ha attivato il vantaggio Voucher Corsi tramite lo strumento Volume Licensing Service Center (VLSC), i Voucher Corsi possono essere assegnati a singoli utenti designati dal Gestore del Vantaggio dei Voucher Corsi della società.</w:t>
      </w:r>
    </w:p>
    <w:p w:rsidR="00CA3658" w:rsidRPr="007B74B7" w:rsidRDefault="00CA3658" w:rsidP="00F528E5">
      <w:pPr>
        <w:pStyle w:val="AppendixBodyText"/>
        <w:spacing w:after="0"/>
        <w:rPr>
          <w:rFonts w:ascii="Tahoma" w:hAnsi="Tahoma" w:cs="Tahoma"/>
          <w:spacing w:val="-4"/>
          <w:sz w:val="18"/>
          <w:szCs w:val="18"/>
          <w:lang w:val="it-IT"/>
        </w:rPr>
      </w:pPr>
    </w:p>
    <w:p w:rsidR="00CA3658" w:rsidRPr="007B74B7" w:rsidRDefault="00CA3658" w:rsidP="00F528E5">
      <w:pPr>
        <w:pStyle w:val="AppendixBodyText"/>
        <w:spacing w:after="0"/>
        <w:rPr>
          <w:spacing w:val="-4"/>
          <w:lang w:val="it-IT"/>
        </w:rPr>
      </w:pPr>
    </w:p>
    <w:tbl>
      <w:tblPr>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F76ED4" w:rsidRPr="00BD7CEA" w:rsidTr="00544F15">
        <w:trPr>
          <w:cantSplit/>
          <w:trHeight w:val="531"/>
        </w:trPr>
        <w:tc>
          <w:tcPr>
            <w:tcW w:w="3002" w:type="dxa"/>
            <w:shd w:val="clear" w:color="auto" w:fill="FFCC99"/>
            <w:vAlign w:val="center"/>
          </w:tcPr>
          <w:p w:rsidR="00F76ED4" w:rsidRPr="00BD7CEA" w:rsidRDefault="00167C0C" w:rsidP="00167C0C">
            <w:pPr>
              <w:pStyle w:val="AppendixTableHeadings"/>
              <w:rPr>
                <w:rFonts w:ascii="Tahoma" w:hAnsi="Tahoma" w:cs="Tahoma"/>
                <w:sz w:val="20"/>
                <w:szCs w:val="20"/>
              </w:rPr>
            </w:pPr>
            <w:r w:rsidRPr="007B74B7">
              <w:rPr>
                <w:lang w:val="it-IT"/>
              </w:rPr>
              <w:br w:type="page"/>
            </w:r>
            <w:r w:rsidR="00F76ED4" w:rsidRPr="00BD7CEA">
              <w:rPr>
                <w:rFonts w:ascii="Tahoma" w:hAnsi="Tahoma" w:cs="Tahoma"/>
                <w:sz w:val="20"/>
                <w:szCs w:val="20"/>
              </w:rPr>
              <w:t>Programma</w:t>
            </w:r>
          </w:p>
        </w:tc>
        <w:tc>
          <w:tcPr>
            <w:tcW w:w="3150" w:type="dxa"/>
            <w:shd w:val="clear" w:color="auto" w:fill="FFCC99"/>
            <w:vAlign w:val="center"/>
          </w:tcPr>
          <w:p w:rsidR="00F76ED4" w:rsidRPr="007B74B7" w:rsidRDefault="00F76ED4" w:rsidP="00167C0C">
            <w:pPr>
              <w:pStyle w:val="AppendixTableHeadings"/>
              <w:rPr>
                <w:rFonts w:ascii="Tahoma" w:hAnsi="Tahoma" w:cs="Tahoma"/>
                <w:sz w:val="20"/>
                <w:szCs w:val="20"/>
                <w:lang w:val="it-IT"/>
              </w:rPr>
            </w:pPr>
            <w:r w:rsidRPr="007B74B7">
              <w:rPr>
                <w:rFonts w:ascii="Tahoma" w:hAnsi="Tahoma" w:cs="Tahoma"/>
                <w:sz w:val="20"/>
                <w:szCs w:val="20"/>
                <w:lang w:val="it-IT"/>
              </w:rPr>
              <w:t>Prodotti del Pool di Applicazioni Office System</w:t>
            </w:r>
            <w:r w:rsidRPr="007B74B7">
              <w:rPr>
                <w:rFonts w:ascii="Tahoma" w:hAnsi="Tahoma" w:cs="Tahoma"/>
                <w:b w:val="0"/>
                <w:i/>
                <w:sz w:val="20"/>
                <w:szCs w:val="20"/>
                <w:lang w:val="it-IT"/>
              </w:rPr>
              <w:t xml:space="preserve"> </w:t>
            </w:r>
          </w:p>
        </w:tc>
        <w:tc>
          <w:tcPr>
            <w:tcW w:w="3240" w:type="dxa"/>
            <w:shd w:val="clear" w:color="auto" w:fill="FFCC99"/>
            <w:vAlign w:val="center"/>
          </w:tcPr>
          <w:p w:rsidR="00F76ED4" w:rsidRPr="00BD7CEA" w:rsidRDefault="00F76ED4" w:rsidP="00167C0C">
            <w:pPr>
              <w:pStyle w:val="AppendixTableHeadings"/>
              <w:rPr>
                <w:rFonts w:ascii="Tahoma" w:hAnsi="Tahoma" w:cs="Tahoma"/>
                <w:sz w:val="20"/>
                <w:szCs w:val="20"/>
              </w:rPr>
            </w:pPr>
            <w:r w:rsidRPr="00BD7CEA">
              <w:rPr>
                <w:rFonts w:ascii="Tahoma" w:hAnsi="Tahoma" w:cs="Tahoma"/>
                <w:sz w:val="20"/>
                <w:szCs w:val="20"/>
              </w:rPr>
              <w:t>Pool di Sistemi</w:t>
            </w:r>
          </w:p>
        </w:tc>
      </w:tr>
      <w:tr w:rsidR="00F76ED4" w:rsidRPr="007B74B7" w:rsidTr="00544F15">
        <w:trPr>
          <w:cantSplit/>
          <w:trHeight w:val="236"/>
        </w:trPr>
        <w:tc>
          <w:tcPr>
            <w:tcW w:w="3002" w:type="dxa"/>
            <w:vAlign w:val="center"/>
          </w:tcPr>
          <w:p w:rsidR="00F76ED4" w:rsidRPr="00BD7CEA" w:rsidRDefault="00F76ED4" w:rsidP="00167C0C">
            <w:pPr>
              <w:pStyle w:val="AppendixTableText"/>
              <w:rPr>
                <w:rFonts w:ascii="Tahoma" w:hAnsi="Tahoma" w:cs="Tahoma"/>
              </w:rPr>
            </w:pPr>
            <w:r w:rsidRPr="00BD7CEA">
              <w:rPr>
                <w:rFonts w:ascii="Tahoma" w:hAnsi="Tahoma" w:cs="Tahoma"/>
              </w:rPr>
              <w:t>Open Value</w:t>
            </w:r>
          </w:p>
        </w:tc>
        <w:tc>
          <w:tcPr>
            <w:tcW w:w="3150" w:type="dxa"/>
            <w:vAlign w:val="center"/>
          </w:tcPr>
          <w:p w:rsidR="00F76ED4" w:rsidRPr="007B74B7" w:rsidRDefault="00F76ED4" w:rsidP="00167C0C">
            <w:pPr>
              <w:pStyle w:val="AppendixTableText"/>
              <w:rPr>
                <w:rFonts w:ascii="Tahoma" w:hAnsi="Tahoma" w:cs="Tahoma"/>
                <w:lang w:val="it-IT"/>
              </w:rPr>
            </w:pPr>
            <w:r w:rsidRPr="007B74B7">
              <w:rPr>
                <w:rFonts w:ascii="Tahoma" w:hAnsi="Tahoma" w:cs="Tahoma"/>
                <w:lang w:val="it-IT"/>
              </w:rPr>
              <w:t xml:space="preserve">2 giorni per 50 licenze </w:t>
            </w:r>
            <w:r w:rsidR="00544F15" w:rsidRPr="007B74B7">
              <w:rPr>
                <w:rFonts w:ascii="Tahoma" w:hAnsi="Tahoma" w:cs="Tahoma"/>
                <w:lang w:val="it-IT"/>
              </w:rPr>
              <w:br/>
            </w:r>
            <w:r w:rsidRPr="007B74B7">
              <w:rPr>
                <w:rFonts w:ascii="Tahoma" w:hAnsi="Tahoma" w:cs="Tahoma"/>
                <w:lang w:val="it-IT"/>
              </w:rPr>
              <w:t>(massimo 20 giorni)</w:t>
            </w:r>
          </w:p>
        </w:tc>
        <w:tc>
          <w:tcPr>
            <w:tcW w:w="3240" w:type="dxa"/>
            <w:vAlign w:val="center"/>
          </w:tcPr>
          <w:p w:rsidR="00F76ED4" w:rsidRPr="007B74B7" w:rsidRDefault="00F76ED4" w:rsidP="00167C0C">
            <w:pPr>
              <w:pStyle w:val="AppendixTableText"/>
              <w:rPr>
                <w:lang w:val="it-IT"/>
              </w:rPr>
            </w:pPr>
            <w:r w:rsidRPr="007B74B7">
              <w:rPr>
                <w:rFonts w:ascii="Tahoma" w:hAnsi="Tahoma" w:cs="Tahoma"/>
                <w:lang w:val="it-IT"/>
              </w:rPr>
              <w:t>1 giorno per 50 licenze</w:t>
            </w:r>
          </w:p>
          <w:p w:rsidR="00F76ED4" w:rsidRPr="007B74B7" w:rsidRDefault="00F76ED4" w:rsidP="00167C0C">
            <w:pPr>
              <w:pStyle w:val="AppendixTableText"/>
              <w:rPr>
                <w:rFonts w:ascii="Tahoma" w:hAnsi="Tahoma" w:cs="Tahoma"/>
                <w:lang w:val="it-IT"/>
              </w:rPr>
            </w:pPr>
            <w:r w:rsidRPr="007B74B7">
              <w:rPr>
                <w:rFonts w:ascii="Tahoma" w:hAnsi="Tahoma" w:cs="Tahoma"/>
                <w:lang w:val="it-IT"/>
              </w:rPr>
              <w:t>(massimo 10 giorni)</w:t>
            </w:r>
          </w:p>
        </w:tc>
      </w:tr>
      <w:tr w:rsidR="00F76ED4" w:rsidRPr="00BD7CEA" w:rsidTr="00544F15">
        <w:trPr>
          <w:cantSplit/>
          <w:trHeight w:val="236"/>
        </w:trPr>
        <w:tc>
          <w:tcPr>
            <w:tcW w:w="3002" w:type="dxa"/>
            <w:vAlign w:val="center"/>
          </w:tcPr>
          <w:p w:rsidR="00F76ED4" w:rsidRPr="00BD7CEA" w:rsidRDefault="00F76ED4" w:rsidP="00167C0C">
            <w:pPr>
              <w:pStyle w:val="AppendixTableHeadings"/>
            </w:pPr>
            <w:r w:rsidRPr="00BD7CEA">
              <w:rPr>
                <w:rFonts w:ascii="Tahoma" w:hAnsi="Tahoma" w:cs="Tahoma"/>
                <w:b w:val="0"/>
              </w:rPr>
              <w:t>SAM</w:t>
            </w:r>
          </w:p>
          <w:p w:rsidR="00F76ED4" w:rsidRPr="00BD7CEA" w:rsidRDefault="00F76ED4" w:rsidP="00167C0C">
            <w:pPr>
              <w:pStyle w:val="AppendixTableHeadings"/>
              <w:rPr>
                <w:rFonts w:ascii="Tahoma" w:hAnsi="Tahoma" w:cs="Tahoma"/>
                <w:b w:val="0"/>
              </w:rPr>
            </w:pPr>
            <w:r w:rsidRPr="00BD7CEA">
              <w:rPr>
                <w:rFonts w:ascii="Tahoma" w:hAnsi="Tahoma" w:cs="Tahoma"/>
                <w:b w:val="0"/>
              </w:rPr>
              <w:t>1</w:t>
            </w:r>
            <w:r w:rsidR="00167C0C" w:rsidRPr="00BD7CEA">
              <w:rPr>
                <w:rFonts w:ascii="Tahoma" w:hAnsi="Tahoma" w:cs="Tahoma"/>
                <w:b w:val="0"/>
              </w:rPr>
              <w:t xml:space="preserve"> </w:t>
            </w:r>
            <w:r w:rsidR="00167C0C" w:rsidRPr="00BD7CEA">
              <w:rPr>
                <w:rFonts w:ascii="Tahoma" w:hAnsi="Tahoma" w:cs="Tahoma"/>
              </w:rPr>
              <w:t xml:space="preserve">– </w:t>
            </w:r>
            <w:r w:rsidRPr="00BD7CEA">
              <w:rPr>
                <w:rFonts w:ascii="Tahoma" w:hAnsi="Tahoma" w:cs="Tahoma"/>
                <w:b w:val="0"/>
              </w:rPr>
              <w:t>249</w:t>
            </w:r>
          </w:p>
        </w:tc>
        <w:tc>
          <w:tcPr>
            <w:tcW w:w="3150" w:type="dxa"/>
            <w:vAlign w:val="center"/>
          </w:tcPr>
          <w:p w:rsidR="00F76ED4" w:rsidRPr="00BD7CEA" w:rsidRDefault="00F76ED4" w:rsidP="00167C0C">
            <w:pPr>
              <w:pStyle w:val="AppendixTableText"/>
              <w:rPr>
                <w:rFonts w:ascii="Tahoma" w:hAnsi="Tahoma" w:cs="Tahoma"/>
              </w:rPr>
            </w:pPr>
            <w:r w:rsidRPr="00BD7CEA">
              <w:rPr>
                <w:rFonts w:ascii="Tahoma" w:hAnsi="Tahoma" w:cs="Tahoma"/>
              </w:rPr>
              <w:t>2 giorni per 50 licenze</w:t>
            </w:r>
          </w:p>
        </w:tc>
        <w:tc>
          <w:tcPr>
            <w:tcW w:w="3240" w:type="dxa"/>
            <w:vAlign w:val="center"/>
          </w:tcPr>
          <w:p w:rsidR="00F76ED4" w:rsidRPr="00BD7CEA" w:rsidRDefault="00F76ED4" w:rsidP="00167C0C">
            <w:pPr>
              <w:pStyle w:val="AppendixTableText"/>
            </w:pPr>
            <w:r w:rsidRPr="00BD7CEA">
              <w:rPr>
                <w:rFonts w:ascii="Tahoma" w:hAnsi="Tahoma" w:cs="Tahoma"/>
              </w:rPr>
              <w:t>1 giorno per 50 licenze</w:t>
            </w:r>
          </w:p>
          <w:p w:rsidR="00F76ED4" w:rsidRPr="00BD7CEA" w:rsidRDefault="00F76ED4" w:rsidP="00167C0C">
            <w:pPr>
              <w:pStyle w:val="AppendixTableText"/>
              <w:rPr>
                <w:rFonts w:ascii="Tahoma" w:hAnsi="Tahoma" w:cs="Tahoma"/>
              </w:rPr>
            </w:pPr>
          </w:p>
        </w:tc>
      </w:tr>
      <w:tr w:rsidR="00F76ED4" w:rsidRPr="00BD7CEA" w:rsidTr="00544F15">
        <w:trPr>
          <w:cantSplit/>
          <w:trHeight w:val="236"/>
        </w:trPr>
        <w:tc>
          <w:tcPr>
            <w:tcW w:w="3002" w:type="dxa"/>
            <w:vAlign w:val="center"/>
          </w:tcPr>
          <w:p w:rsidR="00F76ED4" w:rsidRPr="00BD7CEA" w:rsidRDefault="00F76ED4" w:rsidP="00167C0C">
            <w:pPr>
              <w:pStyle w:val="AppendixTableHeadings"/>
            </w:pPr>
            <w:r w:rsidRPr="00BD7CEA">
              <w:rPr>
                <w:rFonts w:ascii="Tahoma" w:hAnsi="Tahoma" w:cs="Tahoma"/>
                <w:b w:val="0"/>
              </w:rPr>
              <w:t>SAM</w:t>
            </w:r>
          </w:p>
          <w:p w:rsidR="00F76ED4" w:rsidRPr="00BD7CEA" w:rsidRDefault="00F76ED4" w:rsidP="00D513B9">
            <w:pPr>
              <w:pStyle w:val="AppendixTableText"/>
              <w:rPr>
                <w:rFonts w:ascii="Tahoma" w:hAnsi="Tahoma" w:cs="Tahoma"/>
              </w:rPr>
            </w:pPr>
            <w:r w:rsidRPr="00BD7CEA">
              <w:rPr>
                <w:rFonts w:ascii="Tahoma" w:hAnsi="Tahoma" w:cs="Tahoma"/>
              </w:rPr>
              <w:t>250</w:t>
            </w:r>
            <w:r w:rsidR="00167C0C" w:rsidRPr="00BD7CEA">
              <w:rPr>
                <w:rFonts w:ascii="Tahoma" w:hAnsi="Tahoma" w:cs="Tahoma"/>
              </w:rPr>
              <w:t xml:space="preserve"> – </w:t>
            </w:r>
            <w:r w:rsidRPr="00BD7CEA">
              <w:rPr>
                <w:rFonts w:ascii="Tahoma" w:hAnsi="Tahoma" w:cs="Tahoma"/>
              </w:rPr>
              <w:t>2</w:t>
            </w:r>
            <w:r w:rsidR="00D513B9">
              <w:rPr>
                <w:rFonts w:ascii="Tahoma" w:hAnsi="Tahoma" w:cs="Tahoma"/>
              </w:rPr>
              <w:t>.</w:t>
            </w:r>
            <w:r w:rsidRPr="00BD7CEA">
              <w:rPr>
                <w:rFonts w:ascii="Tahoma" w:hAnsi="Tahoma" w:cs="Tahoma"/>
              </w:rPr>
              <w:t xml:space="preserve">399 </w:t>
            </w:r>
          </w:p>
        </w:tc>
        <w:tc>
          <w:tcPr>
            <w:tcW w:w="3150" w:type="dxa"/>
            <w:vAlign w:val="center"/>
          </w:tcPr>
          <w:p w:rsidR="00F76ED4" w:rsidRPr="00BD7CEA" w:rsidRDefault="00F76ED4" w:rsidP="00167C0C">
            <w:pPr>
              <w:pStyle w:val="AppendixTableText"/>
            </w:pPr>
            <w:r w:rsidRPr="00BD7CEA">
              <w:rPr>
                <w:rFonts w:ascii="Tahoma" w:hAnsi="Tahoma" w:cs="Tahoma"/>
              </w:rPr>
              <w:t>20 giorni per</w:t>
            </w:r>
          </w:p>
          <w:p w:rsidR="00F76ED4" w:rsidRPr="00BD7CEA" w:rsidRDefault="00F76ED4" w:rsidP="00167C0C">
            <w:pPr>
              <w:pStyle w:val="AppendixTableText"/>
              <w:rPr>
                <w:rFonts w:ascii="Tahoma" w:hAnsi="Tahoma" w:cs="Tahoma"/>
              </w:rPr>
            </w:pPr>
            <w:r w:rsidRPr="00BD7CEA">
              <w:rPr>
                <w:rFonts w:ascii="Tahoma" w:hAnsi="Tahoma" w:cs="Tahoma"/>
              </w:rPr>
              <w:t>iscrizione idonea</w:t>
            </w:r>
          </w:p>
        </w:tc>
        <w:tc>
          <w:tcPr>
            <w:tcW w:w="3240" w:type="dxa"/>
            <w:vAlign w:val="center"/>
          </w:tcPr>
          <w:p w:rsidR="00F76ED4" w:rsidRPr="00BD7CEA" w:rsidRDefault="00F76ED4" w:rsidP="00167C0C">
            <w:pPr>
              <w:pStyle w:val="AppendixTableText"/>
            </w:pPr>
            <w:r w:rsidRPr="00BD7CEA">
              <w:rPr>
                <w:rFonts w:ascii="Tahoma" w:hAnsi="Tahoma" w:cs="Tahoma"/>
              </w:rPr>
              <w:t>10 giorni per</w:t>
            </w:r>
          </w:p>
          <w:p w:rsidR="00F76ED4" w:rsidRPr="00BD7CEA" w:rsidRDefault="00F76ED4" w:rsidP="00167C0C">
            <w:pPr>
              <w:pStyle w:val="AppendixTableText"/>
              <w:rPr>
                <w:rFonts w:ascii="Tahoma" w:hAnsi="Tahoma" w:cs="Tahoma"/>
              </w:rPr>
            </w:pPr>
            <w:r w:rsidRPr="00BD7CEA">
              <w:rPr>
                <w:rFonts w:ascii="Tahoma" w:hAnsi="Tahoma" w:cs="Tahoma"/>
              </w:rPr>
              <w:t>iscrizione idonea</w:t>
            </w:r>
          </w:p>
        </w:tc>
      </w:tr>
      <w:tr w:rsidR="00CA3658" w:rsidRPr="00BD7CEA" w:rsidTr="00212786">
        <w:trPr>
          <w:cantSplit/>
          <w:trHeight w:val="531"/>
        </w:trPr>
        <w:tc>
          <w:tcPr>
            <w:tcW w:w="3002" w:type="dxa"/>
            <w:shd w:val="clear" w:color="auto" w:fill="FFCC99"/>
            <w:vAlign w:val="center"/>
          </w:tcPr>
          <w:p w:rsidR="00CA3658" w:rsidRPr="00BD7CEA" w:rsidRDefault="00CA3658" w:rsidP="00212786">
            <w:pPr>
              <w:pStyle w:val="AppendixTableHeadings"/>
              <w:rPr>
                <w:rFonts w:ascii="Tahoma" w:hAnsi="Tahoma" w:cs="Tahoma"/>
                <w:sz w:val="20"/>
                <w:szCs w:val="20"/>
              </w:rPr>
            </w:pPr>
            <w:r w:rsidRPr="00BD7CEA">
              <w:br w:type="page"/>
            </w:r>
            <w:r w:rsidRPr="00BD7CEA">
              <w:rPr>
                <w:rFonts w:ascii="Tahoma" w:hAnsi="Tahoma" w:cs="Tahoma"/>
                <w:sz w:val="20"/>
                <w:szCs w:val="20"/>
              </w:rPr>
              <w:t>Programma</w:t>
            </w:r>
          </w:p>
        </w:tc>
        <w:tc>
          <w:tcPr>
            <w:tcW w:w="3150" w:type="dxa"/>
            <w:shd w:val="clear" w:color="auto" w:fill="FFCC99"/>
            <w:vAlign w:val="center"/>
          </w:tcPr>
          <w:p w:rsidR="00CA3658" w:rsidRPr="007B74B7" w:rsidRDefault="00CA3658" w:rsidP="00212786">
            <w:pPr>
              <w:pStyle w:val="AppendixTableHeadings"/>
              <w:rPr>
                <w:rFonts w:ascii="Tahoma" w:hAnsi="Tahoma" w:cs="Tahoma"/>
                <w:sz w:val="20"/>
                <w:szCs w:val="20"/>
                <w:lang w:val="it-IT"/>
              </w:rPr>
            </w:pPr>
            <w:r w:rsidRPr="007B74B7">
              <w:rPr>
                <w:rFonts w:ascii="Tahoma" w:hAnsi="Tahoma" w:cs="Tahoma"/>
                <w:sz w:val="20"/>
                <w:szCs w:val="20"/>
                <w:lang w:val="it-IT"/>
              </w:rPr>
              <w:t>Prodotti del Pool di Applicazioni Office System</w:t>
            </w:r>
            <w:r w:rsidRPr="007B74B7">
              <w:rPr>
                <w:rFonts w:ascii="Tahoma" w:hAnsi="Tahoma" w:cs="Tahoma"/>
                <w:b w:val="0"/>
                <w:i/>
                <w:sz w:val="20"/>
                <w:szCs w:val="20"/>
                <w:lang w:val="it-IT"/>
              </w:rPr>
              <w:t xml:space="preserve"> </w:t>
            </w:r>
          </w:p>
        </w:tc>
        <w:tc>
          <w:tcPr>
            <w:tcW w:w="3240" w:type="dxa"/>
            <w:shd w:val="clear" w:color="auto" w:fill="FFCC99"/>
            <w:vAlign w:val="center"/>
          </w:tcPr>
          <w:p w:rsidR="00CA3658" w:rsidRPr="00BD7CEA" w:rsidRDefault="00CA3658" w:rsidP="00212786">
            <w:pPr>
              <w:pStyle w:val="AppendixTableHeadings"/>
              <w:rPr>
                <w:rFonts w:ascii="Tahoma" w:hAnsi="Tahoma" w:cs="Tahoma"/>
                <w:sz w:val="20"/>
                <w:szCs w:val="20"/>
              </w:rPr>
            </w:pPr>
            <w:r w:rsidRPr="00BD7CEA">
              <w:rPr>
                <w:rFonts w:ascii="Tahoma" w:hAnsi="Tahoma" w:cs="Tahoma"/>
                <w:sz w:val="20"/>
                <w:szCs w:val="20"/>
              </w:rPr>
              <w:t>Pool di Sistemi</w:t>
            </w:r>
          </w:p>
        </w:tc>
      </w:tr>
      <w:tr w:rsidR="00F76ED4" w:rsidRPr="00BD7CEA" w:rsidTr="00544F15">
        <w:trPr>
          <w:cantSplit/>
          <w:trHeight w:val="236"/>
        </w:trPr>
        <w:tc>
          <w:tcPr>
            <w:tcW w:w="3002" w:type="dxa"/>
            <w:vAlign w:val="center"/>
          </w:tcPr>
          <w:p w:rsidR="00F76ED4" w:rsidRPr="00BD7CEA" w:rsidRDefault="00F76ED4" w:rsidP="00167C0C">
            <w:pPr>
              <w:pStyle w:val="AppendixTableHeadings"/>
            </w:pPr>
            <w:r w:rsidRPr="00BD7CEA">
              <w:rPr>
                <w:rFonts w:ascii="Tahoma" w:hAnsi="Tahoma" w:cs="Tahoma"/>
                <w:b w:val="0"/>
              </w:rPr>
              <w:lastRenderedPageBreak/>
              <w:t>SAM</w:t>
            </w:r>
          </w:p>
          <w:p w:rsidR="00F76ED4" w:rsidRPr="00BD7CEA" w:rsidRDefault="00F76ED4" w:rsidP="00D513B9">
            <w:pPr>
              <w:pStyle w:val="AppendixTableText"/>
              <w:rPr>
                <w:rFonts w:ascii="Tahoma" w:hAnsi="Tahoma" w:cs="Tahoma"/>
                <w:i/>
              </w:rPr>
            </w:pPr>
            <w:r w:rsidRPr="00BD7CEA">
              <w:rPr>
                <w:rFonts w:ascii="Tahoma" w:hAnsi="Tahoma" w:cs="Tahoma"/>
              </w:rPr>
              <w:t>2</w:t>
            </w:r>
            <w:r w:rsidR="00D513B9">
              <w:rPr>
                <w:rFonts w:ascii="Tahoma" w:hAnsi="Tahoma" w:cs="Tahoma"/>
              </w:rPr>
              <w:t>.</w:t>
            </w:r>
            <w:r w:rsidRPr="00BD7CEA">
              <w:rPr>
                <w:rFonts w:ascii="Tahoma" w:hAnsi="Tahoma" w:cs="Tahoma"/>
              </w:rPr>
              <w:t>400</w:t>
            </w:r>
            <w:r w:rsidR="00167C0C" w:rsidRPr="00BD7CEA">
              <w:rPr>
                <w:rFonts w:ascii="Tahoma" w:hAnsi="Tahoma" w:cs="Tahoma"/>
              </w:rPr>
              <w:t xml:space="preserve"> – </w:t>
            </w:r>
            <w:r w:rsidRPr="00BD7CEA">
              <w:rPr>
                <w:rFonts w:ascii="Tahoma" w:hAnsi="Tahoma" w:cs="Tahoma"/>
              </w:rPr>
              <w:t>5</w:t>
            </w:r>
            <w:r w:rsidR="00D513B9">
              <w:rPr>
                <w:rFonts w:ascii="Tahoma" w:hAnsi="Tahoma" w:cs="Tahoma"/>
              </w:rPr>
              <w:t>.</w:t>
            </w:r>
            <w:r w:rsidRPr="00BD7CEA">
              <w:rPr>
                <w:rFonts w:ascii="Tahoma" w:hAnsi="Tahoma" w:cs="Tahoma"/>
              </w:rPr>
              <w:t>999</w:t>
            </w:r>
          </w:p>
        </w:tc>
        <w:tc>
          <w:tcPr>
            <w:tcW w:w="3150" w:type="dxa"/>
            <w:vAlign w:val="center"/>
          </w:tcPr>
          <w:p w:rsidR="00F76ED4" w:rsidRPr="00BD7CEA" w:rsidRDefault="00F76ED4" w:rsidP="00167C0C">
            <w:pPr>
              <w:pStyle w:val="AppendixTableText"/>
            </w:pPr>
            <w:r w:rsidRPr="00BD7CEA">
              <w:rPr>
                <w:rFonts w:ascii="Tahoma" w:hAnsi="Tahoma" w:cs="Tahoma"/>
              </w:rPr>
              <w:t xml:space="preserve">30 giorni* </w:t>
            </w:r>
          </w:p>
          <w:p w:rsidR="00F76ED4" w:rsidRPr="00BD7CEA" w:rsidRDefault="00F76ED4" w:rsidP="00167C0C">
            <w:pPr>
              <w:pStyle w:val="AppendixTableText"/>
              <w:rPr>
                <w:rFonts w:ascii="Tahoma" w:hAnsi="Tahoma" w:cs="Tahoma"/>
              </w:rPr>
            </w:pPr>
          </w:p>
        </w:tc>
        <w:tc>
          <w:tcPr>
            <w:tcW w:w="3240" w:type="dxa"/>
            <w:vAlign w:val="center"/>
          </w:tcPr>
          <w:p w:rsidR="00F76ED4" w:rsidRPr="00BD7CEA" w:rsidRDefault="00F76ED4" w:rsidP="00167C0C">
            <w:pPr>
              <w:pStyle w:val="AppendixTableText"/>
            </w:pPr>
            <w:r w:rsidRPr="00BD7CEA">
              <w:rPr>
                <w:rFonts w:ascii="Tahoma" w:hAnsi="Tahoma" w:cs="Tahoma"/>
              </w:rPr>
              <w:t xml:space="preserve">15 giorni* </w:t>
            </w:r>
          </w:p>
          <w:p w:rsidR="00F76ED4" w:rsidRPr="00BD7CEA" w:rsidRDefault="00F76ED4" w:rsidP="00167C0C">
            <w:pPr>
              <w:pStyle w:val="AppendixTableText"/>
              <w:rPr>
                <w:rFonts w:ascii="Tahoma" w:hAnsi="Tahoma" w:cs="Tahoma"/>
              </w:rPr>
            </w:pPr>
          </w:p>
        </w:tc>
      </w:tr>
      <w:tr w:rsidR="00F76ED4" w:rsidRPr="00BD7CEA" w:rsidTr="00544F15">
        <w:trPr>
          <w:cantSplit/>
          <w:trHeight w:val="236"/>
        </w:trPr>
        <w:tc>
          <w:tcPr>
            <w:tcW w:w="3002" w:type="dxa"/>
            <w:vAlign w:val="center"/>
          </w:tcPr>
          <w:p w:rsidR="00F76ED4" w:rsidRPr="00BD7CEA" w:rsidRDefault="00F76ED4" w:rsidP="00167C0C">
            <w:pPr>
              <w:pStyle w:val="AppendixTableHeadings"/>
            </w:pPr>
            <w:r w:rsidRPr="00BD7CEA">
              <w:rPr>
                <w:rFonts w:ascii="Tahoma" w:hAnsi="Tahoma" w:cs="Tahoma"/>
                <w:b w:val="0"/>
              </w:rPr>
              <w:t>SAM</w:t>
            </w:r>
          </w:p>
          <w:p w:rsidR="00F76ED4" w:rsidRPr="00BD7CEA" w:rsidRDefault="00F76ED4" w:rsidP="00D513B9">
            <w:pPr>
              <w:pStyle w:val="AppendixTableText"/>
              <w:rPr>
                <w:rFonts w:ascii="Tahoma" w:hAnsi="Tahoma" w:cs="Tahoma"/>
                <w:i/>
              </w:rPr>
            </w:pPr>
            <w:r w:rsidRPr="00BD7CEA">
              <w:rPr>
                <w:rFonts w:ascii="Tahoma" w:hAnsi="Tahoma" w:cs="Tahoma"/>
              </w:rPr>
              <w:t>6</w:t>
            </w:r>
            <w:r w:rsidR="00D513B9">
              <w:rPr>
                <w:rFonts w:ascii="Tahoma" w:hAnsi="Tahoma" w:cs="Tahoma"/>
              </w:rPr>
              <w:t>.</w:t>
            </w:r>
            <w:r w:rsidRPr="00BD7CEA">
              <w:rPr>
                <w:rFonts w:ascii="Tahoma" w:hAnsi="Tahoma" w:cs="Tahoma"/>
              </w:rPr>
              <w:t>000</w:t>
            </w:r>
            <w:r w:rsidR="00167C0C" w:rsidRPr="00BD7CEA">
              <w:rPr>
                <w:rFonts w:ascii="Tahoma" w:hAnsi="Tahoma" w:cs="Tahoma"/>
              </w:rPr>
              <w:t xml:space="preserve"> – </w:t>
            </w:r>
            <w:r w:rsidRPr="00BD7CEA">
              <w:rPr>
                <w:rFonts w:ascii="Tahoma" w:hAnsi="Tahoma" w:cs="Tahoma"/>
              </w:rPr>
              <w:t>14</w:t>
            </w:r>
            <w:r w:rsidR="00D513B9">
              <w:rPr>
                <w:rFonts w:ascii="Tahoma" w:hAnsi="Tahoma" w:cs="Tahoma"/>
              </w:rPr>
              <w:t>.</w:t>
            </w:r>
            <w:r w:rsidRPr="00BD7CEA">
              <w:rPr>
                <w:rFonts w:ascii="Tahoma" w:hAnsi="Tahoma" w:cs="Tahoma"/>
              </w:rPr>
              <w:t>999</w:t>
            </w:r>
          </w:p>
        </w:tc>
        <w:tc>
          <w:tcPr>
            <w:tcW w:w="3150" w:type="dxa"/>
            <w:vAlign w:val="center"/>
          </w:tcPr>
          <w:p w:rsidR="00F76ED4" w:rsidRPr="00BD7CEA" w:rsidRDefault="00F76ED4" w:rsidP="00167C0C">
            <w:pPr>
              <w:pStyle w:val="AppendixTableText"/>
            </w:pPr>
            <w:r w:rsidRPr="00BD7CEA">
              <w:rPr>
                <w:rFonts w:ascii="Tahoma" w:hAnsi="Tahoma" w:cs="Tahoma"/>
              </w:rPr>
              <w:t xml:space="preserve">50 giorni* </w:t>
            </w:r>
          </w:p>
          <w:p w:rsidR="00F76ED4" w:rsidRPr="00BD7CEA" w:rsidRDefault="00F76ED4" w:rsidP="00167C0C">
            <w:pPr>
              <w:pStyle w:val="AppendixTableText"/>
              <w:rPr>
                <w:rFonts w:ascii="Tahoma" w:hAnsi="Tahoma" w:cs="Tahoma"/>
              </w:rPr>
            </w:pPr>
          </w:p>
        </w:tc>
        <w:tc>
          <w:tcPr>
            <w:tcW w:w="3240" w:type="dxa"/>
            <w:vAlign w:val="center"/>
          </w:tcPr>
          <w:p w:rsidR="00F76ED4" w:rsidRPr="00BD7CEA" w:rsidRDefault="00F76ED4" w:rsidP="00167C0C">
            <w:pPr>
              <w:pStyle w:val="AppendixTableText"/>
            </w:pPr>
            <w:r w:rsidRPr="00BD7CEA">
              <w:rPr>
                <w:rFonts w:ascii="Tahoma" w:hAnsi="Tahoma" w:cs="Tahoma"/>
              </w:rPr>
              <w:t xml:space="preserve">25 giorni* </w:t>
            </w:r>
          </w:p>
          <w:p w:rsidR="00F76ED4" w:rsidRPr="00BD7CEA" w:rsidRDefault="00F76ED4" w:rsidP="00167C0C">
            <w:pPr>
              <w:pStyle w:val="AppendixTableText"/>
              <w:rPr>
                <w:rFonts w:ascii="Tahoma" w:hAnsi="Tahoma" w:cs="Tahoma"/>
              </w:rPr>
            </w:pPr>
          </w:p>
        </w:tc>
      </w:tr>
      <w:tr w:rsidR="00F76ED4" w:rsidRPr="00BD7CEA" w:rsidTr="00544F15">
        <w:trPr>
          <w:cantSplit/>
          <w:trHeight w:val="236"/>
        </w:trPr>
        <w:tc>
          <w:tcPr>
            <w:tcW w:w="3002" w:type="dxa"/>
            <w:vAlign w:val="center"/>
          </w:tcPr>
          <w:p w:rsidR="00F76ED4" w:rsidRPr="00BD7CEA" w:rsidRDefault="00F76ED4" w:rsidP="00167C0C">
            <w:pPr>
              <w:pStyle w:val="AppendixTableHeadings"/>
            </w:pPr>
            <w:r w:rsidRPr="00BD7CEA">
              <w:rPr>
                <w:rFonts w:ascii="Tahoma" w:hAnsi="Tahoma" w:cs="Tahoma"/>
                <w:b w:val="0"/>
              </w:rPr>
              <w:t>SAM</w:t>
            </w:r>
          </w:p>
          <w:p w:rsidR="00F76ED4" w:rsidRPr="00BD7CEA" w:rsidRDefault="00F76ED4" w:rsidP="00D513B9">
            <w:pPr>
              <w:pStyle w:val="AppendixTableText"/>
              <w:rPr>
                <w:rFonts w:ascii="Tahoma" w:hAnsi="Tahoma" w:cs="Tahoma"/>
                <w:i/>
              </w:rPr>
            </w:pPr>
            <w:r w:rsidRPr="00BD7CEA">
              <w:rPr>
                <w:rFonts w:ascii="Tahoma" w:hAnsi="Tahoma" w:cs="Tahoma"/>
              </w:rPr>
              <w:t>15</w:t>
            </w:r>
            <w:r w:rsidR="00D513B9">
              <w:rPr>
                <w:rFonts w:ascii="Tahoma" w:hAnsi="Tahoma" w:cs="Tahoma"/>
              </w:rPr>
              <w:t>.</w:t>
            </w:r>
            <w:r w:rsidRPr="00BD7CEA">
              <w:rPr>
                <w:rFonts w:ascii="Tahoma" w:hAnsi="Tahoma" w:cs="Tahoma"/>
              </w:rPr>
              <w:t>000 – 29</w:t>
            </w:r>
            <w:r w:rsidR="00D513B9">
              <w:rPr>
                <w:rFonts w:ascii="Tahoma" w:hAnsi="Tahoma" w:cs="Tahoma"/>
              </w:rPr>
              <w:t>.</w:t>
            </w:r>
            <w:r w:rsidRPr="00BD7CEA">
              <w:rPr>
                <w:rFonts w:ascii="Tahoma" w:hAnsi="Tahoma" w:cs="Tahoma"/>
              </w:rPr>
              <w:t>999</w:t>
            </w:r>
          </w:p>
        </w:tc>
        <w:tc>
          <w:tcPr>
            <w:tcW w:w="3150" w:type="dxa"/>
            <w:vAlign w:val="center"/>
          </w:tcPr>
          <w:p w:rsidR="00F76ED4" w:rsidRPr="00BD7CEA" w:rsidRDefault="00F76ED4" w:rsidP="00167C0C">
            <w:pPr>
              <w:pStyle w:val="AppendixTableText"/>
            </w:pPr>
            <w:r w:rsidRPr="00BD7CEA">
              <w:rPr>
                <w:rFonts w:ascii="Tahoma" w:hAnsi="Tahoma" w:cs="Tahoma"/>
              </w:rPr>
              <w:t xml:space="preserve">110 giorni* </w:t>
            </w:r>
          </w:p>
          <w:p w:rsidR="00F76ED4" w:rsidRPr="00BD7CEA" w:rsidRDefault="00F76ED4" w:rsidP="00167C0C">
            <w:pPr>
              <w:pStyle w:val="AppendixTableText"/>
              <w:rPr>
                <w:rFonts w:ascii="Tahoma" w:hAnsi="Tahoma" w:cs="Tahoma"/>
              </w:rPr>
            </w:pPr>
          </w:p>
        </w:tc>
        <w:tc>
          <w:tcPr>
            <w:tcW w:w="3240" w:type="dxa"/>
            <w:vAlign w:val="center"/>
          </w:tcPr>
          <w:p w:rsidR="00F76ED4" w:rsidRPr="00BD7CEA" w:rsidRDefault="00F76ED4" w:rsidP="00167C0C">
            <w:pPr>
              <w:pStyle w:val="AppendixTableText"/>
            </w:pPr>
            <w:r w:rsidRPr="00BD7CEA">
              <w:rPr>
                <w:rFonts w:ascii="Tahoma" w:hAnsi="Tahoma" w:cs="Tahoma"/>
              </w:rPr>
              <w:t xml:space="preserve">55 giorni* </w:t>
            </w:r>
          </w:p>
          <w:p w:rsidR="00F76ED4" w:rsidRPr="00BD7CEA" w:rsidRDefault="00F76ED4" w:rsidP="00167C0C">
            <w:pPr>
              <w:pStyle w:val="AppendixTableText"/>
              <w:rPr>
                <w:rFonts w:ascii="Tahoma" w:hAnsi="Tahoma" w:cs="Tahoma"/>
              </w:rPr>
            </w:pPr>
          </w:p>
        </w:tc>
      </w:tr>
      <w:tr w:rsidR="00F76ED4" w:rsidRPr="00BD7CEA" w:rsidTr="00544F15">
        <w:trPr>
          <w:cantSplit/>
          <w:trHeight w:val="236"/>
        </w:trPr>
        <w:tc>
          <w:tcPr>
            <w:tcW w:w="3002" w:type="dxa"/>
            <w:vAlign w:val="center"/>
          </w:tcPr>
          <w:p w:rsidR="00F76ED4" w:rsidRPr="00BD7CEA" w:rsidRDefault="00F76ED4" w:rsidP="00167C0C">
            <w:pPr>
              <w:pStyle w:val="AppendixTableHeadings"/>
            </w:pPr>
            <w:r w:rsidRPr="00BD7CEA">
              <w:rPr>
                <w:rFonts w:ascii="Tahoma" w:hAnsi="Tahoma" w:cs="Tahoma"/>
                <w:b w:val="0"/>
              </w:rPr>
              <w:t>SAM</w:t>
            </w:r>
          </w:p>
          <w:p w:rsidR="00F76ED4" w:rsidRPr="00BD7CEA" w:rsidRDefault="00F76ED4" w:rsidP="00D513B9">
            <w:pPr>
              <w:pStyle w:val="AppendixTableText"/>
              <w:rPr>
                <w:rFonts w:ascii="Tahoma" w:hAnsi="Tahoma" w:cs="Tahoma"/>
                <w:i/>
              </w:rPr>
            </w:pPr>
            <w:r w:rsidRPr="00BD7CEA">
              <w:rPr>
                <w:rFonts w:ascii="Tahoma" w:hAnsi="Tahoma" w:cs="Tahoma"/>
              </w:rPr>
              <w:t>30</w:t>
            </w:r>
            <w:r w:rsidR="00D513B9">
              <w:rPr>
                <w:rFonts w:ascii="Tahoma" w:hAnsi="Tahoma" w:cs="Tahoma"/>
              </w:rPr>
              <w:t>.</w:t>
            </w:r>
            <w:r w:rsidRPr="00BD7CEA">
              <w:rPr>
                <w:rFonts w:ascii="Tahoma" w:hAnsi="Tahoma" w:cs="Tahoma"/>
              </w:rPr>
              <w:t>000 – 49</w:t>
            </w:r>
            <w:r w:rsidR="00D513B9">
              <w:rPr>
                <w:rFonts w:ascii="Tahoma" w:hAnsi="Tahoma" w:cs="Tahoma"/>
              </w:rPr>
              <w:t>.</w:t>
            </w:r>
            <w:r w:rsidRPr="00BD7CEA">
              <w:rPr>
                <w:rFonts w:ascii="Tahoma" w:hAnsi="Tahoma" w:cs="Tahoma"/>
              </w:rPr>
              <w:t>999</w:t>
            </w:r>
          </w:p>
        </w:tc>
        <w:tc>
          <w:tcPr>
            <w:tcW w:w="3150" w:type="dxa"/>
            <w:vAlign w:val="center"/>
          </w:tcPr>
          <w:p w:rsidR="00F76ED4" w:rsidRPr="00BD7CEA" w:rsidRDefault="00F76ED4" w:rsidP="00167C0C">
            <w:pPr>
              <w:pStyle w:val="AppendixTableText"/>
            </w:pPr>
            <w:r w:rsidRPr="00BD7CEA">
              <w:rPr>
                <w:rFonts w:ascii="Tahoma" w:hAnsi="Tahoma" w:cs="Tahoma"/>
              </w:rPr>
              <w:t xml:space="preserve">160 giorni* </w:t>
            </w:r>
          </w:p>
          <w:p w:rsidR="00F76ED4" w:rsidRPr="00BD7CEA" w:rsidRDefault="00F76ED4" w:rsidP="00167C0C">
            <w:pPr>
              <w:pStyle w:val="AppendixTableText"/>
              <w:rPr>
                <w:rFonts w:ascii="Tahoma" w:hAnsi="Tahoma" w:cs="Tahoma"/>
              </w:rPr>
            </w:pPr>
          </w:p>
        </w:tc>
        <w:tc>
          <w:tcPr>
            <w:tcW w:w="3240" w:type="dxa"/>
            <w:vAlign w:val="center"/>
          </w:tcPr>
          <w:p w:rsidR="00F76ED4" w:rsidRPr="00BD7CEA" w:rsidRDefault="00F76ED4" w:rsidP="00167C0C">
            <w:pPr>
              <w:pStyle w:val="AppendixTableText"/>
            </w:pPr>
            <w:r w:rsidRPr="00BD7CEA">
              <w:rPr>
                <w:rFonts w:ascii="Tahoma" w:hAnsi="Tahoma" w:cs="Tahoma"/>
              </w:rPr>
              <w:t>80 giorni*</w:t>
            </w:r>
          </w:p>
          <w:p w:rsidR="00F76ED4" w:rsidRPr="00BD7CEA" w:rsidRDefault="00F76ED4" w:rsidP="00167C0C">
            <w:pPr>
              <w:pStyle w:val="AppendixTableText"/>
              <w:rPr>
                <w:rFonts w:ascii="Tahoma" w:hAnsi="Tahoma" w:cs="Tahoma"/>
              </w:rPr>
            </w:pPr>
          </w:p>
        </w:tc>
      </w:tr>
      <w:tr w:rsidR="00F76ED4" w:rsidRPr="00BD7CEA" w:rsidTr="00544F15">
        <w:trPr>
          <w:cantSplit/>
          <w:trHeight w:val="236"/>
        </w:trPr>
        <w:tc>
          <w:tcPr>
            <w:tcW w:w="3002" w:type="dxa"/>
            <w:vAlign w:val="center"/>
          </w:tcPr>
          <w:p w:rsidR="00F76ED4" w:rsidRPr="00BD7CEA" w:rsidRDefault="00F76ED4" w:rsidP="00167C0C">
            <w:pPr>
              <w:pStyle w:val="AppendixTableHeadings"/>
            </w:pPr>
            <w:r w:rsidRPr="00BD7CEA">
              <w:rPr>
                <w:rFonts w:ascii="Tahoma" w:hAnsi="Tahoma" w:cs="Tahoma"/>
                <w:b w:val="0"/>
              </w:rPr>
              <w:t>SAM</w:t>
            </w:r>
          </w:p>
          <w:p w:rsidR="00F76ED4" w:rsidRPr="00BD7CEA" w:rsidRDefault="00F76ED4" w:rsidP="00D513B9">
            <w:pPr>
              <w:pStyle w:val="AppendixTableText"/>
              <w:rPr>
                <w:rFonts w:ascii="Tahoma" w:hAnsi="Tahoma" w:cs="Tahoma"/>
                <w:i/>
              </w:rPr>
            </w:pPr>
            <w:r w:rsidRPr="00BD7CEA">
              <w:rPr>
                <w:rFonts w:ascii="Tahoma" w:hAnsi="Tahoma" w:cs="Tahoma"/>
              </w:rPr>
              <w:t>50</w:t>
            </w:r>
            <w:r w:rsidR="00D513B9">
              <w:rPr>
                <w:rFonts w:ascii="Tahoma" w:hAnsi="Tahoma" w:cs="Tahoma"/>
              </w:rPr>
              <w:t>.</w:t>
            </w:r>
            <w:r w:rsidRPr="00BD7CEA">
              <w:rPr>
                <w:rFonts w:ascii="Tahoma" w:hAnsi="Tahoma" w:cs="Tahoma"/>
              </w:rPr>
              <w:t>000 – 99</w:t>
            </w:r>
            <w:r w:rsidR="00D513B9">
              <w:rPr>
                <w:rFonts w:ascii="Tahoma" w:hAnsi="Tahoma" w:cs="Tahoma"/>
              </w:rPr>
              <w:t>.</w:t>
            </w:r>
            <w:r w:rsidRPr="00BD7CEA">
              <w:rPr>
                <w:rFonts w:ascii="Tahoma" w:hAnsi="Tahoma" w:cs="Tahoma"/>
              </w:rPr>
              <w:t>999</w:t>
            </w:r>
          </w:p>
        </w:tc>
        <w:tc>
          <w:tcPr>
            <w:tcW w:w="3150" w:type="dxa"/>
            <w:vAlign w:val="center"/>
          </w:tcPr>
          <w:p w:rsidR="00F76ED4" w:rsidRPr="00BD7CEA" w:rsidRDefault="00F76ED4" w:rsidP="00167C0C">
            <w:pPr>
              <w:pStyle w:val="AppendixTableText"/>
            </w:pPr>
            <w:r w:rsidRPr="00BD7CEA">
              <w:rPr>
                <w:rFonts w:ascii="Tahoma" w:hAnsi="Tahoma" w:cs="Tahoma"/>
              </w:rPr>
              <w:t>250 giorni*</w:t>
            </w:r>
          </w:p>
          <w:p w:rsidR="00F76ED4" w:rsidRPr="00BD7CEA" w:rsidRDefault="00F76ED4" w:rsidP="00167C0C">
            <w:pPr>
              <w:pStyle w:val="AppendixTableText"/>
              <w:rPr>
                <w:rFonts w:ascii="Tahoma" w:hAnsi="Tahoma" w:cs="Tahoma"/>
              </w:rPr>
            </w:pPr>
          </w:p>
        </w:tc>
        <w:tc>
          <w:tcPr>
            <w:tcW w:w="3240" w:type="dxa"/>
            <w:vAlign w:val="center"/>
          </w:tcPr>
          <w:p w:rsidR="00F76ED4" w:rsidRPr="00BD7CEA" w:rsidRDefault="00F76ED4" w:rsidP="00167C0C">
            <w:pPr>
              <w:pStyle w:val="AppendixTableText"/>
            </w:pPr>
            <w:r w:rsidRPr="00BD7CEA">
              <w:rPr>
                <w:rFonts w:ascii="Tahoma" w:hAnsi="Tahoma" w:cs="Tahoma"/>
              </w:rPr>
              <w:t xml:space="preserve">125 giorni* </w:t>
            </w:r>
          </w:p>
          <w:p w:rsidR="00F76ED4" w:rsidRPr="00BD7CEA" w:rsidRDefault="00F76ED4" w:rsidP="00167C0C">
            <w:pPr>
              <w:pStyle w:val="AppendixTableText"/>
              <w:rPr>
                <w:rFonts w:ascii="Tahoma" w:hAnsi="Tahoma" w:cs="Tahoma"/>
              </w:rPr>
            </w:pPr>
          </w:p>
        </w:tc>
      </w:tr>
      <w:tr w:rsidR="00F76ED4" w:rsidRPr="00BD7CEA" w:rsidTr="00544F15">
        <w:trPr>
          <w:cantSplit/>
          <w:trHeight w:val="236"/>
        </w:trPr>
        <w:tc>
          <w:tcPr>
            <w:tcW w:w="3002" w:type="dxa"/>
            <w:vAlign w:val="center"/>
          </w:tcPr>
          <w:p w:rsidR="00F76ED4" w:rsidRPr="00BD7CEA" w:rsidRDefault="00F76ED4" w:rsidP="00167C0C">
            <w:pPr>
              <w:pStyle w:val="AppendixTableHeadings"/>
            </w:pPr>
            <w:r w:rsidRPr="00BD7CEA">
              <w:rPr>
                <w:rFonts w:ascii="Tahoma" w:hAnsi="Tahoma" w:cs="Tahoma"/>
                <w:b w:val="0"/>
              </w:rPr>
              <w:t>SAM</w:t>
            </w:r>
          </w:p>
          <w:p w:rsidR="00F76ED4" w:rsidRPr="00BD7CEA" w:rsidRDefault="00F76ED4" w:rsidP="00D513B9">
            <w:pPr>
              <w:pStyle w:val="AppendixTableHeadings"/>
              <w:rPr>
                <w:rFonts w:ascii="Tahoma" w:hAnsi="Tahoma" w:cs="Tahoma"/>
                <w:b w:val="0"/>
              </w:rPr>
            </w:pPr>
            <w:r w:rsidRPr="00BD7CEA">
              <w:rPr>
                <w:rFonts w:ascii="Tahoma" w:hAnsi="Tahoma" w:cs="Tahoma"/>
                <w:b w:val="0"/>
              </w:rPr>
              <w:t>100</w:t>
            </w:r>
            <w:r w:rsidR="00D513B9">
              <w:rPr>
                <w:rFonts w:ascii="Tahoma" w:hAnsi="Tahoma" w:cs="Tahoma"/>
                <w:b w:val="0"/>
              </w:rPr>
              <w:t>.</w:t>
            </w:r>
            <w:r w:rsidRPr="00BD7CEA">
              <w:rPr>
                <w:rFonts w:ascii="Tahoma" w:hAnsi="Tahoma" w:cs="Tahoma"/>
                <w:b w:val="0"/>
              </w:rPr>
              <w:t>000 – 199</w:t>
            </w:r>
            <w:r w:rsidR="00D513B9">
              <w:rPr>
                <w:rFonts w:ascii="Tahoma" w:hAnsi="Tahoma" w:cs="Tahoma"/>
                <w:b w:val="0"/>
              </w:rPr>
              <w:t>.</w:t>
            </w:r>
            <w:r w:rsidRPr="00BD7CEA">
              <w:rPr>
                <w:rFonts w:ascii="Tahoma" w:hAnsi="Tahoma" w:cs="Tahoma"/>
                <w:b w:val="0"/>
              </w:rPr>
              <w:t>999</w:t>
            </w:r>
          </w:p>
        </w:tc>
        <w:tc>
          <w:tcPr>
            <w:tcW w:w="3150" w:type="dxa"/>
            <w:vAlign w:val="center"/>
          </w:tcPr>
          <w:p w:rsidR="00F76ED4" w:rsidRPr="00BD7CEA" w:rsidRDefault="00F76ED4" w:rsidP="00167C0C">
            <w:pPr>
              <w:pStyle w:val="AppendixTableText"/>
            </w:pPr>
            <w:r w:rsidRPr="00BD7CEA">
              <w:rPr>
                <w:rFonts w:ascii="Tahoma" w:hAnsi="Tahoma" w:cs="Tahoma"/>
              </w:rPr>
              <w:t>400 giorni*</w:t>
            </w:r>
          </w:p>
          <w:p w:rsidR="00F76ED4" w:rsidRPr="00BD7CEA" w:rsidRDefault="00F76ED4" w:rsidP="00167C0C">
            <w:pPr>
              <w:pStyle w:val="AppendixTableText"/>
              <w:rPr>
                <w:rFonts w:ascii="Tahoma" w:hAnsi="Tahoma" w:cs="Tahoma"/>
              </w:rPr>
            </w:pPr>
          </w:p>
        </w:tc>
        <w:tc>
          <w:tcPr>
            <w:tcW w:w="3240" w:type="dxa"/>
            <w:vAlign w:val="center"/>
          </w:tcPr>
          <w:p w:rsidR="00F76ED4" w:rsidRPr="00BD7CEA" w:rsidRDefault="00F76ED4" w:rsidP="00167C0C">
            <w:pPr>
              <w:pStyle w:val="AppendixTableText"/>
            </w:pPr>
            <w:r w:rsidRPr="00BD7CEA">
              <w:rPr>
                <w:rFonts w:ascii="Tahoma" w:hAnsi="Tahoma" w:cs="Tahoma"/>
              </w:rPr>
              <w:t>200 giorni*</w:t>
            </w:r>
          </w:p>
          <w:p w:rsidR="00F76ED4" w:rsidRPr="00BD7CEA" w:rsidRDefault="00F76ED4" w:rsidP="00167C0C">
            <w:pPr>
              <w:pStyle w:val="AppendixTableText"/>
              <w:rPr>
                <w:rFonts w:ascii="Tahoma" w:hAnsi="Tahoma" w:cs="Tahoma"/>
              </w:rPr>
            </w:pPr>
          </w:p>
        </w:tc>
      </w:tr>
      <w:tr w:rsidR="00F76ED4" w:rsidRPr="00BD7CEA" w:rsidTr="00544F15">
        <w:trPr>
          <w:cantSplit/>
          <w:trHeight w:val="236"/>
        </w:trPr>
        <w:tc>
          <w:tcPr>
            <w:tcW w:w="3002" w:type="dxa"/>
            <w:vAlign w:val="center"/>
          </w:tcPr>
          <w:p w:rsidR="00F76ED4" w:rsidRPr="00BD7CEA" w:rsidRDefault="00F76ED4" w:rsidP="00167C0C">
            <w:pPr>
              <w:pStyle w:val="AppendixTableHeadings"/>
            </w:pPr>
            <w:r w:rsidRPr="00BD7CEA">
              <w:rPr>
                <w:rFonts w:ascii="Tahoma" w:hAnsi="Tahoma" w:cs="Tahoma"/>
                <w:b w:val="0"/>
              </w:rPr>
              <w:t>SAM</w:t>
            </w:r>
          </w:p>
          <w:p w:rsidR="00F76ED4" w:rsidRPr="00BD7CEA" w:rsidRDefault="00F76ED4" w:rsidP="00D513B9">
            <w:pPr>
              <w:pStyle w:val="AppendixTableHeadings"/>
              <w:rPr>
                <w:rFonts w:ascii="Tahoma" w:hAnsi="Tahoma" w:cs="Tahoma"/>
                <w:b w:val="0"/>
              </w:rPr>
            </w:pPr>
            <w:r w:rsidRPr="00BD7CEA">
              <w:rPr>
                <w:rFonts w:ascii="Tahoma" w:hAnsi="Tahoma" w:cs="Tahoma"/>
                <w:b w:val="0"/>
              </w:rPr>
              <w:t>200</w:t>
            </w:r>
            <w:r w:rsidR="00D513B9">
              <w:rPr>
                <w:rFonts w:ascii="Tahoma" w:hAnsi="Tahoma" w:cs="Tahoma"/>
                <w:b w:val="0"/>
              </w:rPr>
              <w:t>.</w:t>
            </w:r>
            <w:r w:rsidRPr="00BD7CEA">
              <w:rPr>
                <w:rFonts w:ascii="Tahoma" w:hAnsi="Tahoma" w:cs="Tahoma"/>
                <w:b w:val="0"/>
              </w:rPr>
              <w:t>000 – 399</w:t>
            </w:r>
            <w:r w:rsidR="00D513B9">
              <w:rPr>
                <w:rFonts w:ascii="Tahoma" w:hAnsi="Tahoma" w:cs="Tahoma"/>
                <w:b w:val="0"/>
              </w:rPr>
              <w:t>.</w:t>
            </w:r>
            <w:r w:rsidRPr="00BD7CEA">
              <w:rPr>
                <w:rFonts w:ascii="Tahoma" w:hAnsi="Tahoma" w:cs="Tahoma"/>
                <w:b w:val="0"/>
              </w:rPr>
              <w:t>999</w:t>
            </w:r>
          </w:p>
        </w:tc>
        <w:tc>
          <w:tcPr>
            <w:tcW w:w="3150" w:type="dxa"/>
            <w:vAlign w:val="center"/>
          </w:tcPr>
          <w:p w:rsidR="00F76ED4" w:rsidRPr="00BD7CEA" w:rsidRDefault="00F76ED4" w:rsidP="00167C0C">
            <w:pPr>
              <w:pStyle w:val="AppendixTableText"/>
            </w:pPr>
            <w:r w:rsidRPr="00BD7CEA">
              <w:rPr>
                <w:rFonts w:ascii="Tahoma" w:hAnsi="Tahoma" w:cs="Tahoma"/>
              </w:rPr>
              <w:t>600 giorni*</w:t>
            </w:r>
          </w:p>
          <w:p w:rsidR="00F76ED4" w:rsidRPr="00BD7CEA" w:rsidRDefault="00F76ED4" w:rsidP="00167C0C">
            <w:pPr>
              <w:pStyle w:val="AppendixTableText"/>
              <w:rPr>
                <w:rFonts w:ascii="Tahoma" w:hAnsi="Tahoma" w:cs="Tahoma"/>
              </w:rPr>
            </w:pPr>
          </w:p>
        </w:tc>
        <w:tc>
          <w:tcPr>
            <w:tcW w:w="3240" w:type="dxa"/>
            <w:vAlign w:val="center"/>
          </w:tcPr>
          <w:p w:rsidR="00F76ED4" w:rsidRPr="00BD7CEA" w:rsidRDefault="00F76ED4" w:rsidP="00167C0C">
            <w:pPr>
              <w:pStyle w:val="AppendixTableText"/>
            </w:pPr>
            <w:r w:rsidRPr="00BD7CEA">
              <w:rPr>
                <w:rFonts w:ascii="Tahoma" w:hAnsi="Tahoma" w:cs="Tahoma"/>
              </w:rPr>
              <w:t>300 giorni*</w:t>
            </w:r>
          </w:p>
          <w:p w:rsidR="00F76ED4" w:rsidRPr="00BD7CEA" w:rsidRDefault="00F76ED4" w:rsidP="00167C0C">
            <w:pPr>
              <w:pStyle w:val="AppendixTableText"/>
              <w:rPr>
                <w:rFonts w:ascii="Tahoma" w:hAnsi="Tahoma" w:cs="Tahoma"/>
              </w:rPr>
            </w:pPr>
          </w:p>
        </w:tc>
      </w:tr>
      <w:tr w:rsidR="00F76ED4" w:rsidRPr="00BD7CEA" w:rsidTr="00544F15">
        <w:trPr>
          <w:cantSplit/>
          <w:trHeight w:val="236"/>
        </w:trPr>
        <w:tc>
          <w:tcPr>
            <w:tcW w:w="3002" w:type="dxa"/>
            <w:vAlign w:val="center"/>
          </w:tcPr>
          <w:p w:rsidR="00F76ED4" w:rsidRPr="00BD7CEA" w:rsidRDefault="00F76ED4" w:rsidP="00167C0C">
            <w:pPr>
              <w:pStyle w:val="AppendixTableHeadings"/>
            </w:pPr>
            <w:r w:rsidRPr="00BD7CEA">
              <w:rPr>
                <w:rFonts w:ascii="Tahoma" w:hAnsi="Tahoma" w:cs="Tahoma"/>
                <w:b w:val="0"/>
              </w:rPr>
              <w:t>SAM</w:t>
            </w:r>
          </w:p>
          <w:p w:rsidR="00F76ED4" w:rsidRPr="00BD7CEA" w:rsidRDefault="00F76ED4" w:rsidP="00D513B9">
            <w:pPr>
              <w:pStyle w:val="AppendixTableHeadings"/>
              <w:rPr>
                <w:rFonts w:ascii="Tahoma" w:hAnsi="Tahoma" w:cs="Tahoma"/>
                <w:b w:val="0"/>
              </w:rPr>
            </w:pPr>
            <w:r w:rsidRPr="00BD7CEA">
              <w:rPr>
                <w:rFonts w:ascii="Tahoma" w:hAnsi="Tahoma" w:cs="Tahoma"/>
                <w:b w:val="0"/>
              </w:rPr>
              <w:t>400</w:t>
            </w:r>
            <w:r w:rsidR="00D513B9">
              <w:rPr>
                <w:rFonts w:ascii="Tahoma" w:hAnsi="Tahoma" w:cs="Tahoma"/>
                <w:b w:val="0"/>
              </w:rPr>
              <w:t>.</w:t>
            </w:r>
            <w:r w:rsidRPr="00BD7CEA">
              <w:rPr>
                <w:rFonts w:ascii="Tahoma" w:hAnsi="Tahoma" w:cs="Tahoma"/>
                <w:b w:val="0"/>
              </w:rPr>
              <w:t>000 – 599</w:t>
            </w:r>
            <w:r w:rsidR="00D513B9">
              <w:rPr>
                <w:rFonts w:ascii="Tahoma" w:hAnsi="Tahoma" w:cs="Tahoma"/>
                <w:b w:val="0"/>
              </w:rPr>
              <w:t>.</w:t>
            </w:r>
            <w:r w:rsidRPr="00BD7CEA">
              <w:rPr>
                <w:rFonts w:ascii="Tahoma" w:hAnsi="Tahoma" w:cs="Tahoma"/>
                <w:b w:val="0"/>
              </w:rPr>
              <w:t>999</w:t>
            </w:r>
          </w:p>
        </w:tc>
        <w:tc>
          <w:tcPr>
            <w:tcW w:w="3150" w:type="dxa"/>
            <w:vAlign w:val="center"/>
          </w:tcPr>
          <w:p w:rsidR="00F76ED4" w:rsidRPr="00BD7CEA" w:rsidRDefault="00F76ED4" w:rsidP="00167C0C">
            <w:pPr>
              <w:pStyle w:val="AppendixTableText"/>
            </w:pPr>
            <w:r w:rsidRPr="00BD7CEA">
              <w:rPr>
                <w:rFonts w:ascii="Tahoma" w:hAnsi="Tahoma" w:cs="Tahoma"/>
              </w:rPr>
              <w:t>800 giorni*</w:t>
            </w:r>
          </w:p>
          <w:p w:rsidR="00F76ED4" w:rsidRPr="00BD7CEA" w:rsidRDefault="00F76ED4" w:rsidP="00167C0C">
            <w:pPr>
              <w:pStyle w:val="AppendixTableText"/>
              <w:rPr>
                <w:rFonts w:ascii="Tahoma" w:hAnsi="Tahoma" w:cs="Tahoma"/>
              </w:rPr>
            </w:pPr>
          </w:p>
        </w:tc>
        <w:tc>
          <w:tcPr>
            <w:tcW w:w="3240" w:type="dxa"/>
            <w:vAlign w:val="center"/>
          </w:tcPr>
          <w:p w:rsidR="00F76ED4" w:rsidRPr="00BD7CEA" w:rsidRDefault="00F76ED4" w:rsidP="00167C0C">
            <w:pPr>
              <w:pStyle w:val="AppendixTableText"/>
            </w:pPr>
            <w:r w:rsidRPr="00BD7CEA">
              <w:rPr>
                <w:rFonts w:ascii="Tahoma" w:hAnsi="Tahoma" w:cs="Tahoma"/>
              </w:rPr>
              <w:t>400 giorni*</w:t>
            </w:r>
          </w:p>
          <w:p w:rsidR="00F76ED4" w:rsidRPr="00BD7CEA" w:rsidRDefault="00F76ED4" w:rsidP="00167C0C">
            <w:pPr>
              <w:pStyle w:val="AppendixTableText"/>
              <w:rPr>
                <w:rFonts w:ascii="Tahoma" w:hAnsi="Tahoma" w:cs="Tahoma"/>
              </w:rPr>
            </w:pPr>
          </w:p>
        </w:tc>
      </w:tr>
      <w:tr w:rsidR="00F76ED4" w:rsidRPr="00BD7CEA" w:rsidTr="00544F15">
        <w:trPr>
          <w:cantSplit/>
          <w:trHeight w:val="236"/>
        </w:trPr>
        <w:tc>
          <w:tcPr>
            <w:tcW w:w="3002" w:type="dxa"/>
            <w:vAlign w:val="center"/>
          </w:tcPr>
          <w:p w:rsidR="00F76ED4" w:rsidRPr="00BD7CEA" w:rsidRDefault="00F76ED4" w:rsidP="00167C0C">
            <w:pPr>
              <w:pStyle w:val="AppendixTableHeadings"/>
            </w:pPr>
            <w:r w:rsidRPr="00BD7CEA">
              <w:rPr>
                <w:rFonts w:ascii="Tahoma" w:hAnsi="Tahoma" w:cs="Tahoma"/>
                <w:b w:val="0"/>
              </w:rPr>
              <w:t>SAM</w:t>
            </w:r>
          </w:p>
          <w:p w:rsidR="00F76ED4" w:rsidRPr="00BD7CEA" w:rsidRDefault="00F76ED4" w:rsidP="00D513B9">
            <w:pPr>
              <w:pStyle w:val="AppendixTableHeadings"/>
              <w:rPr>
                <w:rFonts w:ascii="Tahoma" w:hAnsi="Tahoma" w:cs="Tahoma"/>
                <w:b w:val="0"/>
              </w:rPr>
            </w:pPr>
            <w:r w:rsidRPr="00BD7CEA">
              <w:rPr>
                <w:rFonts w:ascii="Tahoma" w:hAnsi="Tahoma" w:cs="Tahoma"/>
                <w:b w:val="0"/>
              </w:rPr>
              <w:t>600</w:t>
            </w:r>
            <w:r w:rsidR="00D513B9">
              <w:rPr>
                <w:rFonts w:ascii="Tahoma" w:hAnsi="Tahoma" w:cs="Tahoma"/>
                <w:b w:val="0"/>
              </w:rPr>
              <w:t>.</w:t>
            </w:r>
            <w:r w:rsidRPr="00BD7CEA">
              <w:rPr>
                <w:rFonts w:ascii="Tahoma" w:hAnsi="Tahoma" w:cs="Tahoma"/>
                <w:b w:val="0"/>
              </w:rPr>
              <w:t>000 +</w:t>
            </w:r>
          </w:p>
        </w:tc>
        <w:tc>
          <w:tcPr>
            <w:tcW w:w="3150" w:type="dxa"/>
            <w:vAlign w:val="center"/>
          </w:tcPr>
          <w:p w:rsidR="00F76ED4" w:rsidRPr="00BD7CEA" w:rsidRDefault="00F76ED4" w:rsidP="00167C0C">
            <w:pPr>
              <w:pStyle w:val="AppendixTableText"/>
            </w:pPr>
            <w:r w:rsidRPr="00BD7CEA">
              <w:rPr>
                <w:rFonts w:ascii="Tahoma" w:hAnsi="Tahoma" w:cs="Tahoma"/>
              </w:rPr>
              <w:t xml:space="preserve">1400 giorni* </w:t>
            </w:r>
          </w:p>
          <w:p w:rsidR="00F76ED4" w:rsidRPr="00BD7CEA" w:rsidRDefault="00F76ED4" w:rsidP="00167C0C">
            <w:pPr>
              <w:pStyle w:val="AppendixTableText"/>
              <w:rPr>
                <w:rFonts w:ascii="Tahoma" w:hAnsi="Tahoma" w:cs="Tahoma"/>
              </w:rPr>
            </w:pPr>
          </w:p>
        </w:tc>
        <w:tc>
          <w:tcPr>
            <w:tcW w:w="3240" w:type="dxa"/>
            <w:vAlign w:val="center"/>
          </w:tcPr>
          <w:p w:rsidR="00F76ED4" w:rsidRPr="00BD7CEA" w:rsidRDefault="00F76ED4" w:rsidP="00167C0C">
            <w:pPr>
              <w:pStyle w:val="AppendixTableText"/>
            </w:pPr>
            <w:r w:rsidRPr="00BD7CEA">
              <w:rPr>
                <w:rFonts w:ascii="Tahoma" w:hAnsi="Tahoma" w:cs="Tahoma"/>
              </w:rPr>
              <w:t>700 giorni*</w:t>
            </w:r>
          </w:p>
          <w:p w:rsidR="00F76ED4" w:rsidRPr="00BD7CEA" w:rsidRDefault="00F76ED4" w:rsidP="00167C0C">
            <w:pPr>
              <w:pStyle w:val="AppendixTableText"/>
              <w:rPr>
                <w:rFonts w:ascii="Tahoma" w:hAnsi="Tahoma" w:cs="Tahoma"/>
              </w:rPr>
            </w:pPr>
          </w:p>
        </w:tc>
      </w:tr>
    </w:tbl>
    <w:p w:rsidR="00F528E5" w:rsidRPr="00BD7CEA" w:rsidRDefault="00F528E5" w:rsidP="003C56F1">
      <w:pPr>
        <w:pStyle w:val="AppendixBodyText"/>
        <w:spacing w:after="0"/>
      </w:pPr>
    </w:p>
    <w:p w:rsidR="00E762F8" w:rsidRPr="007B74B7" w:rsidRDefault="00023FE7">
      <w:pPr>
        <w:pStyle w:val="AppendixFlushBulletedList"/>
        <w:tabs>
          <w:tab w:val="clear" w:pos="360"/>
          <w:tab w:val="num" w:pos="0"/>
        </w:tabs>
        <w:ind w:left="0" w:firstLine="0"/>
        <w:rPr>
          <w:lang w:val="it-IT"/>
        </w:rPr>
      </w:pPr>
      <w:r w:rsidRPr="007B74B7">
        <w:rPr>
          <w:rFonts w:ascii="Tahoma" w:hAnsi="Tahoma" w:cs="Tahoma"/>
          <w:sz w:val="18"/>
          <w:szCs w:val="18"/>
          <w:lang w:val="it-IT"/>
        </w:rPr>
        <w:t>Il numero minimo di licenze per l</w:t>
      </w:r>
      <w:r w:rsidR="007A1415" w:rsidRPr="007B74B7">
        <w:rPr>
          <w:rFonts w:ascii="Tahoma" w:hAnsi="Tahoma" w:cs="Tahoma"/>
          <w:sz w:val="18"/>
          <w:szCs w:val="18"/>
          <w:lang w:val="it-IT"/>
        </w:rPr>
        <w:t>’</w:t>
      </w:r>
      <w:r w:rsidRPr="007B74B7">
        <w:rPr>
          <w:rFonts w:ascii="Tahoma" w:hAnsi="Tahoma" w:cs="Tahoma"/>
          <w:sz w:val="18"/>
          <w:szCs w:val="18"/>
          <w:lang w:val="it-IT"/>
        </w:rPr>
        <w:t>acquisto di Software Assurance, necessario per l</w:t>
      </w:r>
      <w:r w:rsidR="007A1415" w:rsidRPr="007B74B7">
        <w:rPr>
          <w:rFonts w:ascii="Tahoma" w:hAnsi="Tahoma" w:cs="Tahoma"/>
          <w:sz w:val="18"/>
          <w:szCs w:val="18"/>
          <w:lang w:val="it-IT"/>
        </w:rPr>
        <w:t>’</w:t>
      </w:r>
      <w:r w:rsidRPr="007B74B7">
        <w:rPr>
          <w:rFonts w:ascii="Tahoma" w:hAnsi="Tahoma" w:cs="Tahoma"/>
          <w:sz w:val="18"/>
          <w:szCs w:val="18"/>
          <w:lang w:val="it-IT"/>
        </w:rPr>
        <w:t>idoneità a Voucher Corsi, varia in base al programma.</w:t>
      </w:r>
    </w:p>
    <w:p w:rsidR="00C65D66" w:rsidRPr="007B74B7" w:rsidRDefault="00C65D66" w:rsidP="00C65D66">
      <w:pPr>
        <w:tabs>
          <w:tab w:val="left" w:pos="10440"/>
        </w:tabs>
        <w:spacing w:before="120"/>
        <w:ind w:right="306"/>
        <w:rPr>
          <w:lang w:val="it-IT"/>
        </w:rPr>
      </w:pPr>
      <w:r w:rsidRPr="007B74B7">
        <w:rPr>
          <w:rFonts w:eastAsia="Calibri" w:cs="Tahoma"/>
          <w:b/>
          <w:i/>
          <w:color w:val="000000"/>
          <w:sz w:val="16"/>
          <w:szCs w:val="16"/>
          <w:lang w:val="it-IT"/>
        </w:rPr>
        <w:t>Nota:</w:t>
      </w:r>
      <w:r w:rsidRPr="007B74B7">
        <w:rPr>
          <w:rFonts w:eastAsia="Calibri" w:cs="Tahoma"/>
          <w:i/>
          <w:color w:val="000000"/>
          <w:sz w:val="16"/>
          <w:szCs w:val="16"/>
          <w:lang w:val="it-IT"/>
        </w:rPr>
        <w:t xml:space="preserve"> i crediti per i corsi disponibili sulla base di un</w:t>
      </w:r>
      <w:r w:rsidR="007A1415" w:rsidRPr="007B74B7">
        <w:rPr>
          <w:rFonts w:eastAsia="Calibri" w:cs="Tahoma"/>
          <w:i/>
          <w:color w:val="000000"/>
          <w:sz w:val="16"/>
          <w:szCs w:val="16"/>
          <w:lang w:val="it-IT"/>
        </w:rPr>
        <w:t>’</w:t>
      </w:r>
      <w:r w:rsidRPr="007B74B7">
        <w:rPr>
          <w:rFonts w:eastAsia="Calibri" w:cs="Tahoma"/>
          <w:i/>
          <w:color w:val="000000"/>
          <w:sz w:val="16"/>
          <w:szCs w:val="16"/>
          <w:lang w:val="it-IT"/>
        </w:rPr>
        <w:t>iscrizione o di un contratto triennale completo (vedere di seguito per i</w:t>
      </w:r>
      <w:r w:rsidR="0068201E" w:rsidRPr="007B74B7">
        <w:rPr>
          <w:rFonts w:eastAsia="Calibri" w:cs="Tahoma"/>
          <w:i/>
          <w:color w:val="000000"/>
          <w:sz w:val="16"/>
          <w:szCs w:val="16"/>
          <w:lang w:val="it-IT"/>
        </w:rPr>
        <w:t> </w:t>
      </w:r>
      <w:r w:rsidRPr="007B74B7">
        <w:rPr>
          <w:rFonts w:eastAsia="Calibri" w:cs="Tahoma"/>
          <w:i/>
          <w:color w:val="000000"/>
          <w:sz w:val="16"/>
          <w:szCs w:val="16"/>
          <w:lang w:val="it-IT"/>
        </w:rPr>
        <w:t>dettagli).</w:t>
      </w:r>
      <w:r w:rsidR="008D782D" w:rsidRPr="007B74B7">
        <w:rPr>
          <w:rFonts w:eastAsia="Calibri" w:cs="Tahoma"/>
          <w:i/>
          <w:color w:val="000000"/>
          <w:sz w:val="16"/>
          <w:szCs w:val="16"/>
          <w:lang w:val="it-IT"/>
        </w:rPr>
        <w:t xml:space="preserve"> </w:t>
      </w:r>
    </w:p>
    <w:p w:rsidR="00C65D66" w:rsidRPr="007B74B7" w:rsidRDefault="00C65D66" w:rsidP="00C65D66">
      <w:pPr>
        <w:spacing w:after="60"/>
        <w:rPr>
          <w:lang w:val="it-IT"/>
        </w:rPr>
      </w:pPr>
      <w:r w:rsidRPr="007B74B7">
        <w:rPr>
          <w:rFonts w:eastAsia="Calibri" w:cs="Tahoma"/>
          <w:i/>
          <w:color w:val="000000"/>
          <w:sz w:val="16"/>
          <w:szCs w:val="16"/>
          <w:lang w:val="it-IT"/>
        </w:rPr>
        <w:t>Consultare la tabella con le Applicazioni Office System</w:t>
      </w:r>
    </w:p>
    <w:p w:rsidR="00EC05F0" w:rsidRPr="007B74B7" w:rsidRDefault="00C65D66" w:rsidP="00F76ED4">
      <w:pPr>
        <w:tabs>
          <w:tab w:val="left" w:pos="10440"/>
        </w:tabs>
        <w:ind w:right="302"/>
        <w:rPr>
          <w:lang w:val="it-IT"/>
        </w:rPr>
      </w:pPr>
      <w:r w:rsidRPr="007B74B7">
        <w:rPr>
          <w:rFonts w:eastAsia="Calibri" w:cs="Tahoma"/>
          <w:i/>
          <w:color w:val="000000"/>
          <w:sz w:val="16"/>
          <w:szCs w:val="16"/>
          <w:lang w:val="it-IT"/>
        </w:rPr>
        <w:t>*Numero di giorni in base all</w:t>
      </w:r>
      <w:r w:rsidR="007A1415" w:rsidRPr="007B74B7">
        <w:rPr>
          <w:rFonts w:eastAsia="Calibri" w:cs="Tahoma"/>
          <w:i/>
          <w:color w:val="000000"/>
          <w:sz w:val="16"/>
          <w:szCs w:val="16"/>
          <w:lang w:val="it-IT"/>
        </w:rPr>
        <w:t>’</w:t>
      </w:r>
      <w:r w:rsidRPr="007B74B7">
        <w:rPr>
          <w:rFonts w:eastAsia="Calibri" w:cs="Tahoma"/>
          <w:i/>
          <w:color w:val="000000"/>
          <w:sz w:val="16"/>
          <w:szCs w:val="16"/>
          <w:lang w:val="it-IT"/>
        </w:rPr>
        <w:t>iscrizione o al contratto idoneo.</w:t>
      </w:r>
    </w:p>
    <w:p w:rsidR="009D26EE" w:rsidRPr="007B74B7" w:rsidRDefault="009D26EE" w:rsidP="003C56F1">
      <w:pPr>
        <w:pStyle w:val="AppendixBodyText"/>
        <w:spacing w:after="0"/>
        <w:rPr>
          <w:lang w:val="it-IT"/>
        </w:rPr>
      </w:pPr>
    </w:p>
    <w:p w:rsidR="009D26EE" w:rsidRPr="007B74B7" w:rsidRDefault="009D26EE" w:rsidP="007358C5">
      <w:pPr>
        <w:pStyle w:val="AppendixBodyText"/>
        <w:numPr>
          <w:ilvl w:val="0"/>
          <w:numId w:val="29"/>
        </w:numPr>
        <w:spacing w:afterLines="60" w:after="144"/>
        <w:rPr>
          <w:lang w:val="it-IT"/>
        </w:rPr>
      </w:pPr>
      <w:r w:rsidRPr="007B74B7">
        <w:rPr>
          <w:rFonts w:ascii="Tahoma" w:hAnsi="Tahoma" w:cs="Tahoma"/>
          <w:bCs/>
          <w:sz w:val="18"/>
          <w:szCs w:val="18"/>
          <w:lang w:val="it-IT"/>
        </w:rPr>
        <w:t>Non tutti i corsi sono disponibili in tutte le lingue.</w:t>
      </w:r>
    </w:p>
    <w:p w:rsidR="009D26EE" w:rsidRPr="007B74B7" w:rsidRDefault="009D26EE" w:rsidP="007358C5">
      <w:pPr>
        <w:pStyle w:val="AppendixBodyText"/>
        <w:numPr>
          <w:ilvl w:val="0"/>
          <w:numId w:val="29"/>
        </w:numPr>
        <w:spacing w:afterLines="60" w:after="144"/>
        <w:rPr>
          <w:lang w:val="it-IT"/>
        </w:rPr>
      </w:pPr>
      <w:r w:rsidRPr="007B74B7">
        <w:rPr>
          <w:rFonts w:ascii="Tahoma" w:hAnsi="Tahoma" w:cs="Tahoma"/>
          <w:bCs/>
          <w:sz w:val="18"/>
          <w:szCs w:val="18"/>
          <w:lang w:val="it-IT"/>
        </w:rPr>
        <w:t>Si applicano i criteri locali stabiliti dal Microsoft Learning Partner.</w:t>
      </w:r>
    </w:p>
    <w:p w:rsidR="009D26EE" w:rsidRPr="007B74B7" w:rsidRDefault="009D26EE" w:rsidP="007358C5">
      <w:pPr>
        <w:pStyle w:val="AppendixBodyText"/>
        <w:numPr>
          <w:ilvl w:val="0"/>
          <w:numId w:val="29"/>
        </w:numPr>
        <w:spacing w:afterLines="60" w:after="144"/>
        <w:rPr>
          <w:lang w:val="it-IT"/>
        </w:rPr>
      </w:pPr>
      <w:r w:rsidRPr="007B74B7">
        <w:rPr>
          <w:rFonts w:ascii="Tahoma" w:hAnsi="Tahoma" w:cs="Tahoma"/>
          <w:bCs/>
          <w:sz w:val="18"/>
          <w:szCs w:val="18"/>
          <w:lang w:val="it-IT"/>
        </w:rPr>
        <w:t>I Gestori dei vantaggi hanno la possibilità di revocare un voucher assegnato fino alla data di</w:t>
      </w:r>
      <w:r w:rsidR="0068201E" w:rsidRPr="007B74B7">
        <w:rPr>
          <w:rFonts w:ascii="Tahoma" w:hAnsi="Tahoma" w:cs="Tahoma"/>
          <w:bCs/>
          <w:sz w:val="18"/>
          <w:szCs w:val="18"/>
          <w:lang w:val="it-IT"/>
        </w:rPr>
        <w:t> </w:t>
      </w:r>
      <w:r w:rsidRPr="007B74B7">
        <w:rPr>
          <w:rFonts w:ascii="Tahoma" w:hAnsi="Tahoma" w:cs="Tahoma"/>
          <w:bCs/>
          <w:sz w:val="18"/>
          <w:szCs w:val="18"/>
          <w:lang w:val="it-IT"/>
        </w:rPr>
        <w:t>annullamento della lezione stabilita dal Microsoft Learning Partner.</w:t>
      </w:r>
    </w:p>
    <w:p w:rsidR="009D26EE" w:rsidRPr="007B74B7" w:rsidRDefault="009D26EE" w:rsidP="007358C5">
      <w:pPr>
        <w:pStyle w:val="AppendixBodyText"/>
        <w:numPr>
          <w:ilvl w:val="0"/>
          <w:numId w:val="29"/>
        </w:numPr>
        <w:spacing w:afterLines="60" w:after="144"/>
        <w:rPr>
          <w:lang w:val="it-IT"/>
        </w:rPr>
      </w:pPr>
      <w:r w:rsidRPr="007B74B7">
        <w:rPr>
          <w:rFonts w:ascii="Tahoma" w:hAnsi="Tahoma" w:cs="Tahoma"/>
          <w:bCs/>
          <w:sz w:val="18"/>
          <w:szCs w:val="18"/>
          <w:lang w:val="it-IT"/>
        </w:rPr>
        <w:t>I giorni dei corsi non coperti dal voucher dovranno essere pagati dalla persona che riceve il corso.</w:t>
      </w:r>
    </w:p>
    <w:p w:rsidR="009D26EE" w:rsidRPr="007B74B7" w:rsidRDefault="009D26EE" w:rsidP="007358C5">
      <w:pPr>
        <w:pStyle w:val="AppendixBodyText"/>
        <w:numPr>
          <w:ilvl w:val="0"/>
          <w:numId w:val="29"/>
        </w:numPr>
        <w:spacing w:afterLines="60" w:after="144"/>
        <w:rPr>
          <w:lang w:val="it-IT"/>
        </w:rPr>
      </w:pPr>
      <w:r w:rsidRPr="007B74B7">
        <w:rPr>
          <w:rFonts w:ascii="Tahoma" w:hAnsi="Tahoma" w:cs="Tahoma"/>
          <w:bCs/>
          <w:sz w:val="18"/>
          <w:szCs w:val="18"/>
          <w:lang w:val="it-IT"/>
        </w:rPr>
        <w:t>I giorni coperti dai voucher che superano la quantità di giorni assegnata a una particolare lezione saranno restituiti al pool di giorni disponibili per essere riallocati dai Gestori dei vantaggi.</w:t>
      </w:r>
    </w:p>
    <w:p w:rsidR="009D26EE" w:rsidRPr="007B74B7" w:rsidRDefault="009D26EE" w:rsidP="007358C5">
      <w:pPr>
        <w:pStyle w:val="AppendixBodyText"/>
        <w:numPr>
          <w:ilvl w:val="0"/>
          <w:numId w:val="29"/>
        </w:numPr>
        <w:spacing w:afterLines="60" w:after="144"/>
        <w:rPr>
          <w:lang w:val="it-IT"/>
        </w:rPr>
      </w:pPr>
      <w:r w:rsidRPr="007B74B7">
        <w:rPr>
          <w:rFonts w:ascii="Tahoma" w:hAnsi="Tahoma" w:cs="Tahoma"/>
          <w:bCs/>
          <w:sz w:val="18"/>
          <w:szCs w:val="18"/>
          <w:lang w:val="it-IT"/>
        </w:rPr>
        <w:t>La quantità di giorni coperti dai voucher per i corsi rapidi è equivalente al numero di giorni necessari per la fornitura normale del corso.</w:t>
      </w:r>
    </w:p>
    <w:p w:rsidR="009D26EE" w:rsidRPr="007B74B7" w:rsidRDefault="009D26EE" w:rsidP="007358C5">
      <w:pPr>
        <w:pStyle w:val="AppendixBodyText"/>
        <w:numPr>
          <w:ilvl w:val="0"/>
          <w:numId w:val="29"/>
        </w:numPr>
        <w:spacing w:afterLines="60" w:after="144"/>
        <w:rPr>
          <w:lang w:val="it-IT"/>
        </w:rPr>
      </w:pPr>
      <w:r w:rsidRPr="007B74B7">
        <w:rPr>
          <w:rFonts w:ascii="Tahoma" w:hAnsi="Tahoma" w:cs="Tahoma"/>
          <w:bCs/>
          <w:sz w:val="18"/>
          <w:szCs w:val="18"/>
          <w:lang w:val="it-IT"/>
        </w:rPr>
        <w:t>Il voucher è riscattabile solo per i giorni di corsi approvati tenuti da un istruttore presso i Microsoft Learning Partner qualificati.</w:t>
      </w:r>
      <w:r w:rsidR="008D782D" w:rsidRPr="007B74B7">
        <w:rPr>
          <w:rFonts w:ascii="Tahoma" w:hAnsi="Tahoma" w:cs="Tahoma"/>
          <w:bCs/>
          <w:sz w:val="18"/>
          <w:szCs w:val="18"/>
          <w:lang w:val="it-IT"/>
        </w:rPr>
        <w:t xml:space="preserve"> </w:t>
      </w:r>
      <w:r w:rsidRPr="007B74B7">
        <w:rPr>
          <w:rFonts w:ascii="Tahoma" w:hAnsi="Tahoma" w:cs="Tahoma"/>
          <w:bCs/>
          <w:sz w:val="18"/>
          <w:szCs w:val="18"/>
          <w:lang w:val="it-IT"/>
        </w:rPr>
        <w:t>I corsi personalizzati a differenza dei corsi rapidi approvati non sono idonei ad essere coperti da questi voucher.</w:t>
      </w:r>
      <w:r w:rsidR="008D782D" w:rsidRPr="007B74B7">
        <w:rPr>
          <w:rFonts w:ascii="Tahoma" w:hAnsi="Tahoma" w:cs="Tahoma"/>
          <w:bCs/>
          <w:sz w:val="18"/>
          <w:szCs w:val="18"/>
          <w:lang w:val="it-IT"/>
        </w:rPr>
        <w:t xml:space="preserve"> </w:t>
      </w:r>
      <w:r w:rsidRPr="007B74B7">
        <w:rPr>
          <w:rFonts w:ascii="Tahoma" w:hAnsi="Tahoma" w:cs="Tahoma"/>
          <w:bCs/>
          <w:sz w:val="18"/>
          <w:szCs w:val="18"/>
          <w:lang w:val="it-IT"/>
        </w:rPr>
        <w:t>Per informazioni sui corsi approvati, visitare la pagina http://www.microsoft.com/learning/sa/training.mspx.</w:t>
      </w:r>
    </w:p>
    <w:p w:rsidR="009D26EE" w:rsidRPr="007B74B7" w:rsidRDefault="009D26EE" w:rsidP="007358C5">
      <w:pPr>
        <w:pStyle w:val="AppendixBodyText"/>
        <w:numPr>
          <w:ilvl w:val="0"/>
          <w:numId w:val="29"/>
        </w:numPr>
        <w:spacing w:afterLines="60" w:after="144"/>
        <w:rPr>
          <w:lang w:val="it-IT"/>
        </w:rPr>
      </w:pPr>
      <w:r w:rsidRPr="007B74B7">
        <w:rPr>
          <w:rFonts w:ascii="Tahoma" w:hAnsi="Tahoma" w:cs="Tahoma"/>
          <w:bCs/>
          <w:sz w:val="18"/>
          <w:szCs w:val="18"/>
          <w:lang w:val="it-IT"/>
        </w:rPr>
        <w:t>I voucher non possono essere utilizzati per coprire corrispettivi correlati alla mancata presenza di</w:t>
      </w:r>
      <w:r w:rsidR="0068201E" w:rsidRPr="007B74B7">
        <w:rPr>
          <w:rFonts w:ascii="Tahoma" w:hAnsi="Tahoma" w:cs="Tahoma"/>
          <w:bCs/>
          <w:sz w:val="18"/>
          <w:szCs w:val="18"/>
          <w:lang w:val="it-IT"/>
        </w:rPr>
        <w:t> </w:t>
      </w:r>
      <w:r w:rsidRPr="007B74B7">
        <w:rPr>
          <w:rFonts w:ascii="Tahoma" w:hAnsi="Tahoma" w:cs="Tahoma"/>
          <w:bCs/>
          <w:sz w:val="18"/>
          <w:szCs w:val="18"/>
          <w:lang w:val="it-IT"/>
        </w:rPr>
        <w:t>una società a un corso riservato.</w:t>
      </w:r>
      <w:r w:rsidR="008D782D" w:rsidRPr="007B74B7">
        <w:rPr>
          <w:rFonts w:ascii="Tahoma" w:hAnsi="Tahoma" w:cs="Tahoma"/>
          <w:bCs/>
          <w:sz w:val="18"/>
          <w:szCs w:val="18"/>
          <w:lang w:val="it-IT"/>
        </w:rPr>
        <w:t xml:space="preserve"> </w:t>
      </w:r>
      <w:r w:rsidRPr="007B74B7">
        <w:rPr>
          <w:rFonts w:ascii="Tahoma" w:hAnsi="Tahoma" w:cs="Tahoma"/>
          <w:bCs/>
          <w:sz w:val="18"/>
          <w:szCs w:val="18"/>
          <w:lang w:val="it-IT"/>
        </w:rPr>
        <w:t xml:space="preserve">Tutti i corrispettivi relativi alle mancate presenze sono responsabilità della società. </w:t>
      </w:r>
    </w:p>
    <w:p w:rsidR="009D26EE" w:rsidRPr="007B74B7" w:rsidRDefault="009D26EE" w:rsidP="007358C5">
      <w:pPr>
        <w:pStyle w:val="AppendixBodyText"/>
        <w:numPr>
          <w:ilvl w:val="0"/>
          <w:numId w:val="29"/>
        </w:numPr>
        <w:spacing w:afterLines="60" w:after="144"/>
        <w:rPr>
          <w:lang w:val="it-IT"/>
        </w:rPr>
      </w:pPr>
      <w:r w:rsidRPr="007B74B7">
        <w:rPr>
          <w:rFonts w:ascii="Tahoma" w:hAnsi="Tahoma" w:cs="Tahoma"/>
          <w:bCs/>
          <w:sz w:val="18"/>
          <w:szCs w:val="18"/>
          <w:lang w:val="it-IT"/>
        </w:rPr>
        <w:t>I voucher potranno essere riscattati solo da singole persone approvate dalla società a utilizzare il</w:t>
      </w:r>
      <w:r w:rsidR="0068201E" w:rsidRPr="007B74B7">
        <w:rPr>
          <w:rFonts w:ascii="Tahoma" w:hAnsi="Tahoma" w:cs="Tahoma"/>
          <w:bCs/>
          <w:sz w:val="18"/>
          <w:szCs w:val="18"/>
          <w:lang w:val="it-IT"/>
        </w:rPr>
        <w:t> </w:t>
      </w:r>
      <w:r w:rsidRPr="007B74B7">
        <w:rPr>
          <w:rFonts w:ascii="Tahoma" w:hAnsi="Tahoma" w:cs="Tahoma"/>
          <w:bCs/>
          <w:sz w:val="18"/>
          <w:szCs w:val="18"/>
          <w:lang w:val="it-IT"/>
        </w:rPr>
        <w:t xml:space="preserve">voucher. </w:t>
      </w:r>
    </w:p>
    <w:p w:rsidR="009D26EE" w:rsidRPr="007B74B7" w:rsidRDefault="009D26EE" w:rsidP="007358C5">
      <w:pPr>
        <w:pStyle w:val="AppendixBodyText"/>
        <w:numPr>
          <w:ilvl w:val="0"/>
          <w:numId w:val="29"/>
        </w:numPr>
        <w:spacing w:afterLines="60" w:after="144"/>
        <w:rPr>
          <w:lang w:val="it-IT"/>
        </w:rPr>
      </w:pPr>
      <w:r w:rsidRPr="007B74B7">
        <w:rPr>
          <w:rFonts w:ascii="Tahoma" w:hAnsi="Tahoma" w:cs="Tahoma"/>
          <w:bCs/>
          <w:sz w:val="18"/>
          <w:szCs w:val="18"/>
          <w:lang w:val="it-IT"/>
        </w:rPr>
        <w:t>I voucher non potranno essere scambiati con contante, somme di denaro o altri corrispettivi.</w:t>
      </w:r>
    </w:p>
    <w:p w:rsidR="009D26EE" w:rsidRPr="007B74B7" w:rsidRDefault="009D26EE" w:rsidP="007358C5">
      <w:pPr>
        <w:pStyle w:val="AppendixBodyText"/>
        <w:numPr>
          <w:ilvl w:val="0"/>
          <w:numId w:val="29"/>
        </w:numPr>
        <w:spacing w:afterLines="60" w:after="144"/>
        <w:rPr>
          <w:lang w:val="it-IT"/>
        </w:rPr>
      </w:pPr>
      <w:r w:rsidRPr="007B74B7">
        <w:rPr>
          <w:rFonts w:ascii="Tahoma" w:hAnsi="Tahoma" w:cs="Tahoma"/>
          <w:bCs/>
          <w:sz w:val="18"/>
          <w:szCs w:val="18"/>
          <w:lang w:val="it-IT"/>
        </w:rPr>
        <w:t>I voucher dovranno essere assegnati durante il periodo della copertura Software Assurance.</w:t>
      </w:r>
    </w:p>
    <w:p w:rsidR="009D26EE" w:rsidRPr="007B74B7" w:rsidRDefault="009D26EE" w:rsidP="007358C5">
      <w:pPr>
        <w:pStyle w:val="AppendixBodyText"/>
        <w:numPr>
          <w:ilvl w:val="0"/>
          <w:numId w:val="29"/>
        </w:numPr>
        <w:spacing w:afterLines="60" w:after="144"/>
        <w:rPr>
          <w:lang w:val="it-IT"/>
        </w:rPr>
      </w:pPr>
      <w:r w:rsidRPr="007B74B7">
        <w:rPr>
          <w:rFonts w:ascii="Tahoma" w:hAnsi="Tahoma" w:cs="Tahoma"/>
          <w:bCs/>
          <w:sz w:val="18"/>
          <w:szCs w:val="18"/>
          <w:lang w:val="it-IT"/>
        </w:rPr>
        <w:t xml:space="preserve">I voucher scadranno dopo 180 giorni dalla data di assegnazione, indipendentemente dalla data di scadenza della copertura Software Assurance. Tutti i servizi dovranno essere erogati (formazione </w:t>
      </w:r>
      <w:r w:rsidRPr="007B74B7">
        <w:rPr>
          <w:rFonts w:ascii="Tahoma" w:hAnsi="Tahoma" w:cs="Tahoma"/>
          <w:bCs/>
          <w:sz w:val="18"/>
          <w:szCs w:val="18"/>
          <w:lang w:val="it-IT"/>
        </w:rPr>
        <w:lastRenderedPageBreak/>
        <w:t>fornita e voucher riscattato) prima della scadenza dei voucher. Per i voucher, la cui data di scadenza è precedente a quella della copertura Software Assurance, verrà ripristinato il pool disponibile di giorni Voucher Corsi.</w:t>
      </w:r>
    </w:p>
    <w:p w:rsidR="00982A40" w:rsidRPr="007B74B7" w:rsidRDefault="00982A40" w:rsidP="007358C5">
      <w:pPr>
        <w:numPr>
          <w:ilvl w:val="0"/>
          <w:numId w:val="29"/>
        </w:numPr>
        <w:spacing w:afterLines="60" w:after="144"/>
        <w:rPr>
          <w:lang w:val="it-IT"/>
        </w:rPr>
      </w:pPr>
      <w:r w:rsidRPr="007B74B7">
        <w:rPr>
          <w:rFonts w:cs="Tahoma"/>
          <w:bCs/>
          <w:szCs w:val="18"/>
          <w:lang w:val="it-IT"/>
        </w:rPr>
        <w:t>Ad eccezione delle Sessioni Dimostrative, un giorno Voucher Corsi corrisponde all</w:t>
      </w:r>
      <w:r w:rsidR="007A1415" w:rsidRPr="007B74B7">
        <w:rPr>
          <w:rFonts w:cs="Tahoma"/>
          <w:bCs/>
          <w:szCs w:val="18"/>
          <w:lang w:val="it-IT"/>
        </w:rPr>
        <w:t>’</w:t>
      </w:r>
      <w:r w:rsidRPr="007B74B7">
        <w:rPr>
          <w:rFonts w:cs="Tahoma"/>
          <w:bCs/>
          <w:szCs w:val="18"/>
          <w:lang w:val="it-IT"/>
        </w:rPr>
        <w:t xml:space="preserve">equivalente </w:t>
      </w:r>
      <w:r w:rsidR="0068201E" w:rsidRPr="007B74B7">
        <w:rPr>
          <w:rFonts w:cs="Tahoma"/>
          <w:bCs/>
          <w:szCs w:val="18"/>
          <w:lang w:val="it-IT"/>
        </w:rPr>
        <w:br/>
      </w:r>
      <w:r w:rsidRPr="007B74B7">
        <w:rPr>
          <w:rFonts w:cs="Tahoma"/>
          <w:bCs/>
          <w:szCs w:val="18"/>
          <w:lang w:val="it-IT"/>
        </w:rPr>
        <w:t>di un giorno della sessione di formazione.</w:t>
      </w:r>
      <w:r w:rsidR="008D782D" w:rsidRPr="007B74B7">
        <w:rPr>
          <w:rFonts w:cs="Tahoma"/>
          <w:bCs/>
          <w:szCs w:val="18"/>
          <w:lang w:val="it-IT"/>
        </w:rPr>
        <w:t xml:space="preserve"> </w:t>
      </w:r>
      <w:r w:rsidRPr="007B74B7">
        <w:rPr>
          <w:rFonts w:cs="Tahoma"/>
          <w:bCs/>
          <w:szCs w:val="18"/>
          <w:lang w:val="it-IT"/>
        </w:rPr>
        <w:t>Per le Sessioni Dimostrative un giorno Voucher Corsi corrisponde a una Sessione Dimostrativa.</w:t>
      </w:r>
    </w:p>
    <w:p w:rsidR="00982A40" w:rsidRPr="007B74B7" w:rsidRDefault="00982A40" w:rsidP="007358C5">
      <w:pPr>
        <w:numPr>
          <w:ilvl w:val="0"/>
          <w:numId w:val="29"/>
        </w:numPr>
        <w:spacing w:afterLines="60" w:after="144"/>
        <w:rPr>
          <w:lang w:val="it-IT"/>
        </w:rPr>
      </w:pPr>
      <w:r w:rsidRPr="007B74B7">
        <w:rPr>
          <w:rFonts w:cs="Tahoma"/>
          <w:bCs/>
          <w:szCs w:val="18"/>
          <w:lang w:val="it-IT"/>
        </w:rPr>
        <w:t>Le società dovranno riscattare i Voucher Corsi di quattro o più gruppi di Sessioni Dimostrative.</w:t>
      </w:r>
    </w:p>
    <w:p w:rsidR="00982A40" w:rsidRPr="007B74B7" w:rsidRDefault="00982A40" w:rsidP="007358C5">
      <w:pPr>
        <w:numPr>
          <w:ilvl w:val="0"/>
          <w:numId w:val="29"/>
        </w:numPr>
        <w:spacing w:afterLines="60" w:after="144"/>
        <w:rPr>
          <w:lang w:val="it-IT"/>
        </w:rPr>
      </w:pPr>
      <w:r w:rsidRPr="007B74B7">
        <w:rPr>
          <w:rFonts w:cs="Tahoma"/>
          <w:bCs/>
          <w:szCs w:val="18"/>
          <w:lang w:val="it-IT"/>
        </w:rPr>
        <w:t>I Voucher Corsi riscattati per le Sessioni Dimostrative, diversamente dai Voucher Corsi riscattati per altre sessioni di formazione, non sono limitati a una sola persona.</w:t>
      </w:r>
    </w:p>
    <w:p w:rsidR="009D26EE" w:rsidRPr="007B74B7" w:rsidRDefault="009D26EE" w:rsidP="007358C5">
      <w:pPr>
        <w:pStyle w:val="AppendixBodyText"/>
        <w:numPr>
          <w:ilvl w:val="0"/>
          <w:numId w:val="29"/>
        </w:numPr>
        <w:spacing w:afterLines="60" w:after="144"/>
        <w:rPr>
          <w:lang w:val="it-IT"/>
        </w:rPr>
      </w:pPr>
      <w:r w:rsidRPr="007B74B7">
        <w:rPr>
          <w:rFonts w:ascii="Tahoma" w:hAnsi="Tahoma" w:cs="Tahoma"/>
          <w:bCs/>
          <w:sz w:val="18"/>
          <w:szCs w:val="18"/>
          <w:lang w:val="it-IT"/>
        </w:rPr>
        <w:t xml:space="preserve">I voucher potranno essere utilizzati per riservare il corso con un solo Microsoft Learning Partner qualificato alla volta. </w:t>
      </w:r>
    </w:p>
    <w:p w:rsidR="009D26EE" w:rsidRPr="007B74B7" w:rsidRDefault="009D26EE" w:rsidP="007358C5">
      <w:pPr>
        <w:pStyle w:val="AppendixBodyText"/>
        <w:numPr>
          <w:ilvl w:val="0"/>
          <w:numId w:val="29"/>
        </w:numPr>
        <w:spacing w:afterLines="60" w:after="144"/>
        <w:rPr>
          <w:lang w:val="it-IT"/>
        </w:rPr>
      </w:pPr>
      <w:r w:rsidRPr="007B74B7">
        <w:rPr>
          <w:rFonts w:ascii="Tahoma" w:hAnsi="Tahoma" w:cs="Tahoma"/>
          <w:bCs/>
          <w:sz w:val="18"/>
          <w:szCs w:val="18"/>
          <w:lang w:val="it-IT"/>
        </w:rPr>
        <w:t>Il Microsoft Learning Partner si riserva il diritto di annullare una lezione in conformità ai criteri di</w:t>
      </w:r>
      <w:r w:rsidR="0068201E" w:rsidRPr="007B74B7">
        <w:rPr>
          <w:rFonts w:ascii="Tahoma" w:hAnsi="Tahoma" w:cs="Tahoma"/>
          <w:bCs/>
          <w:sz w:val="18"/>
          <w:szCs w:val="18"/>
          <w:lang w:val="it-IT"/>
        </w:rPr>
        <w:t> </w:t>
      </w:r>
      <w:r w:rsidRPr="007B74B7">
        <w:rPr>
          <w:rFonts w:ascii="Tahoma" w:hAnsi="Tahoma" w:cs="Tahoma"/>
          <w:bCs/>
          <w:sz w:val="18"/>
          <w:szCs w:val="18"/>
          <w:lang w:val="it-IT"/>
        </w:rPr>
        <w:t>annullamento locali.</w:t>
      </w:r>
    </w:p>
    <w:p w:rsidR="009D26EE" w:rsidRPr="00BD7CEA" w:rsidRDefault="009D26EE" w:rsidP="007358C5">
      <w:pPr>
        <w:pStyle w:val="AppendixBodyText"/>
        <w:numPr>
          <w:ilvl w:val="0"/>
          <w:numId w:val="29"/>
        </w:numPr>
        <w:spacing w:afterLines="60" w:after="144"/>
      </w:pPr>
      <w:r w:rsidRPr="007B74B7">
        <w:rPr>
          <w:rFonts w:ascii="Tahoma" w:hAnsi="Tahoma" w:cs="Tahoma"/>
          <w:bCs/>
          <w:sz w:val="18"/>
          <w:szCs w:val="18"/>
          <w:lang w:val="it-IT"/>
        </w:rPr>
        <w:t xml:space="preserve">I voucher sono validi per i Microsoft Learning Partner che partecipano. Potranno essere utilizzati con qualsiasi Microsoft Learning Partner qualificato a livello mondiale. </w:t>
      </w:r>
      <w:r w:rsidRPr="00BD7CEA">
        <w:rPr>
          <w:rFonts w:ascii="Tahoma" w:hAnsi="Tahoma" w:cs="Tahoma"/>
          <w:bCs/>
          <w:sz w:val="18"/>
          <w:szCs w:val="18"/>
        </w:rPr>
        <w:t>La partecipazione può variare.</w:t>
      </w:r>
    </w:p>
    <w:p w:rsidR="009D26EE" w:rsidRPr="007B74B7" w:rsidRDefault="009D26EE" w:rsidP="007358C5">
      <w:pPr>
        <w:pStyle w:val="AppendixBodyText"/>
        <w:numPr>
          <w:ilvl w:val="0"/>
          <w:numId w:val="29"/>
        </w:numPr>
        <w:spacing w:afterLines="60" w:after="144"/>
        <w:rPr>
          <w:lang w:val="it-IT"/>
        </w:rPr>
      </w:pPr>
      <w:r w:rsidRPr="007B74B7">
        <w:rPr>
          <w:rFonts w:ascii="Tahoma" w:hAnsi="Tahoma" w:cs="Tahoma"/>
          <w:bCs/>
          <w:sz w:val="18"/>
          <w:szCs w:val="18"/>
          <w:lang w:val="it-IT"/>
        </w:rPr>
        <w:t>Le società dovranno fornire al Microsoft Learning Partner le informazioni relative ai voucher da</w:t>
      </w:r>
      <w:r w:rsidR="0068201E" w:rsidRPr="007B74B7">
        <w:rPr>
          <w:rFonts w:ascii="Tahoma" w:hAnsi="Tahoma" w:cs="Tahoma"/>
          <w:bCs/>
          <w:sz w:val="18"/>
          <w:szCs w:val="18"/>
          <w:lang w:val="it-IT"/>
        </w:rPr>
        <w:t> </w:t>
      </w:r>
      <w:r w:rsidRPr="007B74B7">
        <w:rPr>
          <w:rFonts w:ascii="Tahoma" w:hAnsi="Tahoma" w:cs="Tahoma"/>
          <w:bCs/>
          <w:sz w:val="18"/>
          <w:szCs w:val="18"/>
          <w:lang w:val="it-IT"/>
        </w:rPr>
        <w:t>applicare nei confronti del corso prima del termine del corso stesso allo scopo di utilizzare i</w:t>
      </w:r>
      <w:r w:rsidR="0068201E" w:rsidRPr="007B74B7">
        <w:rPr>
          <w:rFonts w:ascii="Tahoma" w:hAnsi="Tahoma" w:cs="Tahoma"/>
          <w:bCs/>
          <w:sz w:val="18"/>
          <w:szCs w:val="18"/>
          <w:lang w:val="it-IT"/>
        </w:rPr>
        <w:t> </w:t>
      </w:r>
      <w:r w:rsidRPr="007B74B7">
        <w:rPr>
          <w:rFonts w:ascii="Tahoma" w:hAnsi="Tahoma" w:cs="Tahoma"/>
          <w:bCs/>
          <w:sz w:val="18"/>
          <w:szCs w:val="18"/>
          <w:lang w:val="it-IT"/>
        </w:rPr>
        <w:t>voucher come forma di pagamento.</w:t>
      </w:r>
      <w:r w:rsidR="008D782D" w:rsidRPr="007B74B7">
        <w:rPr>
          <w:rFonts w:ascii="Tahoma" w:hAnsi="Tahoma" w:cs="Tahoma"/>
          <w:bCs/>
          <w:sz w:val="18"/>
          <w:szCs w:val="18"/>
          <w:lang w:val="it-IT"/>
        </w:rPr>
        <w:t xml:space="preserve"> </w:t>
      </w:r>
    </w:p>
    <w:p w:rsidR="009D26EE" w:rsidRPr="007B74B7" w:rsidRDefault="009D26EE" w:rsidP="007358C5">
      <w:pPr>
        <w:pStyle w:val="AppendixBodyText"/>
        <w:numPr>
          <w:ilvl w:val="0"/>
          <w:numId w:val="29"/>
        </w:numPr>
        <w:spacing w:afterLines="60" w:after="144"/>
        <w:rPr>
          <w:lang w:val="it-IT"/>
        </w:rPr>
      </w:pPr>
      <w:r w:rsidRPr="007B74B7">
        <w:rPr>
          <w:rFonts w:ascii="Tahoma" w:hAnsi="Tahoma" w:cs="Tahoma"/>
          <w:bCs/>
          <w:sz w:val="18"/>
          <w:szCs w:val="18"/>
          <w:lang w:val="it-IT"/>
        </w:rPr>
        <w:t>Microsoft non è responsabile dei voucher persi, rubati, collocati fuori posto o maltrattati.</w:t>
      </w:r>
    </w:p>
    <w:p w:rsidR="009D26EE" w:rsidRPr="007B74B7" w:rsidRDefault="009D26EE" w:rsidP="007358C5">
      <w:pPr>
        <w:pStyle w:val="AppendixBodyText"/>
        <w:numPr>
          <w:ilvl w:val="0"/>
          <w:numId w:val="29"/>
        </w:numPr>
        <w:spacing w:afterLines="60" w:after="144"/>
        <w:rPr>
          <w:lang w:val="it-IT"/>
        </w:rPr>
      </w:pPr>
      <w:r w:rsidRPr="007B74B7">
        <w:rPr>
          <w:rFonts w:ascii="Tahoma" w:hAnsi="Tahoma" w:cs="Tahoma"/>
          <w:bCs/>
          <w:sz w:val="18"/>
          <w:szCs w:val="18"/>
          <w:lang w:val="it-IT"/>
        </w:rPr>
        <w:t>La riduzione del numero di licenze qualificanti per cui è stata acquistata la copertura Software Assurance in seguito a resi e altre modifiche apportate alla fatturazione, ove ammessa, potrà diminuire l</w:t>
      </w:r>
      <w:r w:rsidR="007A1415" w:rsidRPr="007B74B7">
        <w:rPr>
          <w:rFonts w:ascii="Tahoma" w:hAnsi="Tahoma" w:cs="Tahoma"/>
          <w:bCs/>
          <w:sz w:val="18"/>
          <w:szCs w:val="18"/>
          <w:lang w:val="it-IT"/>
        </w:rPr>
        <w:t>’</w:t>
      </w:r>
      <w:r w:rsidRPr="007B74B7">
        <w:rPr>
          <w:rFonts w:ascii="Tahoma" w:hAnsi="Tahoma" w:cs="Tahoma"/>
          <w:bCs/>
          <w:sz w:val="18"/>
          <w:szCs w:val="18"/>
          <w:lang w:val="it-IT"/>
        </w:rPr>
        <w:t>idoneità dei livelli di servizio dei Voucher Corsi della società.</w:t>
      </w:r>
    </w:p>
    <w:p w:rsidR="009D26EE" w:rsidRPr="007B74B7" w:rsidRDefault="009D26EE" w:rsidP="007358C5">
      <w:pPr>
        <w:pStyle w:val="AppendixBodyText"/>
        <w:numPr>
          <w:ilvl w:val="0"/>
          <w:numId w:val="29"/>
        </w:numPr>
        <w:spacing w:afterLines="60" w:after="144"/>
        <w:rPr>
          <w:lang w:val="it-IT"/>
        </w:rPr>
      </w:pPr>
      <w:r w:rsidRPr="007B74B7">
        <w:rPr>
          <w:rFonts w:ascii="Tahoma" w:hAnsi="Tahoma" w:cs="Tahoma"/>
          <w:bCs/>
          <w:sz w:val="18"/>
          <w:szCs w:val="18"/>
          <w:lang w:val="it-IT"/>
        </w:rPr>
        <w:t>I voucher possono essere riscattati solo dalla società idonea a ricevere il vantaggio.</w:t>
      </w:r>
    </w:p>
    <w:p w:rsidR="009D26EE" w:rsidRPr="007B74B7" w:rsidRDefault="009D26EE" w:rsidP="007358C5">
      <w:pPr>
        <w:pStyle w:val="AppendixBodyText"/>
        <w:numPr>
          <w:ilvl w:val="0"/>
          <w:numId w:val="29"/>
        </w:numPr>
        <w:spacing w:afterLines="60" w:after="144"/>
        <w:rPr>
          <w:lang w:val="it-IT"/>
        </w:rPr>
      </w:pPr>
      <w:r w:rsidRPr="007B74B7">
        <w:rPr>
          <w:rFonts w:ascii="Tahoma" w:hAnsi="Tahoma" w:cs="Tahoma"/>
          <w:bCs/>
          <w:sz w:val="18"/>
          <w:szCs w:val="18"/>
          <w:lang w:val="it-IT"/>
        </w:rPr>
        <w:t>I servizi erogati con i voucher vengono forniti ai sensi di un contratto tra la Società e il Provider Qualificato; Microsoft non è responsabile dell</w:t>
      </w:r>
      <w:r w:rsidR="007A1415" w:rsidRPr="007B74B7">
        <w:rPr>
          <w:rFonts w:ascii="Tahoma" w:hAnsi="Tahoma" w:cs="Tahoma"/>
          <w:bCs/>
          <w:sz w:val="18"/>
          <w:szCs w:val="18"/>
          <w:lang w:val="it-IT"/>
        </w:rPr>
        <w:t>’</w:t>
      </w:r>
      <w:r w:rsidRPr="007B74B7">
        <w:rPr>
          <w:rFonts w:ascii="Tahoma" w:hAnsi="Tahoma" w:cs="Tahoma"/>
          <w:bCs/>
          <w:sz w:val="18"/>
          <w:szCs w:val="18"/>
          <w:lang w:val="it-IT"/>
        </w:rPr>
        <w:t>eventuale funzionamento o mancato funzionamento dei servizi da parte del Provider Qualificato.</w:t>
      </w:r>
    </w:p>
    <w:p w:rsidR="00973A93" w:rsidRPr="007B74B7" w:rsidRDefault="009D26EE" w:rsidP="007358C5">
      <w:pPr>
        <w:pStyle w:val="AppendixBodyText"/>
        <w:numPr>
          <w:ilvl w:val="0"/>
          <w:numId w:val="29"/>
        </w:numPr>
        <w:spacing w:after="0"/>
        <w:rPr>
          <w:spacing w:val="-4"/>
          <w:lang w:val="it-IT"/>
        </w:rPr>
      </w:pPr>
      <w:r w:rsidRPr="007B74B7">
        <w:rPr>
          <w:rFonts w:ascii="Tahoma" w:hAnsi="Tahoma" w:cs="Tahoma"/>
          <w:bCs/>
          <w:spacing w:val="-4"/>
          <w:sz w:val="18"/>
          <w:szCs w:val="18"/>
          <w:lang w:val="it-IT"/>
        </w:rPr>
        <w:t>La tabella riportata sopra mostra i crediti per i corsi disponibili sulla base di un</w:t>
      </w:r>
      <w:r w:rsidR="007A1415" w:rsidRPr="007B74B7">
        <w:rPr>
          <w:rFonts w:ascii="Tahoma" w:hAnsi="Tahoma" w:cs="Tahoma"/>
          <w:bCs/>
          <w:spacing w:val="-4"/>
          <w:sz w:val="18"/>
          <w:szCs w:val="18"/>
          <w:lang w:val="it-IT"/>
        </w:rPr>
        <w:t>’</w:t>
      </w:r>
      <w:r w:rsidRPr="007B74B7">
        <w:rPr>
          <w:rFonts w:ascii="Tahoma" w:hAnsi="Tahoma" w:cs="Tahoma"/>
          <w:bCs/>
          <w:spacing w:val="-4"/>
          <w:sz w:val="18"/>
          <w:szCs w:val="18"/>
          <w:lang w:val="it-IT"/>
        </w:rPr>
        <w:t>iscrizione o di un contratto triennale completo.</w:t>
      </w:r>
      <w:r w:rsidR="008D782D" w:rsidRPr="007B74B7">
        <w:rPr>
          <w:rFonts w:ascii="Tahoma" w:hAnsi="Tahoma" w:cs="Tahoma"/>
          <w:bCs/>
          <w:spacing w:val="-4"/>
          <w:sz w:val="18"/>
          <w:szCs w:val="18"/>
          <w:lang w:val="it-IT"/>
        </w:rPr>
        <w:t xml:space="preserve"> </w:t>
      </w:r>
      <w:r w:rsidRPr="007B74B7">
        <w:rPr>
          <w:rFonts w:ascii="Tahoma" w:hAnsi="Tahoma" w:cs="Tahoma"/>
          <w:bCs/>
          <w:spacing w:val="-4"/>
          <w:sz w:val="18"/>
          <w:szCs w:val="18"/>
          <w:lang w:val="it-IT"/>
        </w:rPr>
        <w:t>Le società che acquistano una copertura Software Assurance annuale riceveranno un terzo del numero dichiarato di crediti per i corsi.</w:t>
      </w:r>
      <w:r w:rsidR="008D782D" w:rsidRPr="007B74B7">
        <w:rPr>
          <w:rFonts w:ascii="Tahoma" w:hAnsi="Tahoma" w:cs="Tahoma"/>
          <w:bCs/>
          <w:spacing w:val="-4"/>
          <w:sz w:val="18"/>
          <w:szCs w:val="18"/>
          <w:lang w:val="it-IT"/>
        </w:rPr>
        <w:t xml:space="preserve"> </w:t>
      </w:r>
      <w:r w:rsidRPr="007B74B7">
        <w:rPr>
          <w:rFonts w:ascii="Tahoma" w:hAnsi="Tahoma" w:cs="Tahoma"/>
          <w:bCs/>
          <w:spacing w:val="-4"/>
          <w:sz w:val="18"/>
          <w:szCs w:val="18"/>
          <w:lang w:val="it-IT"/>
        </w:rPr>
        <w:t>Le società che acquistano una copertura Software Assurance biennale riceveranno due terzi del numero dichiarato di crediti per i corsi.</w:t>
      </w:r>
      <w:bookmarkStart w:id="788" w:name="_Toc336338234"/>
    </w:p>
    <w:p w:rsidR="005A141F" w:rsidRPr="007B74B7" w:rsidRDefault="005A141F" w:rsidP="005A141F">
      <w:pPr>
        <w:pStyle w:val="AppendixBodyText"/>
        <w:spacing w:after="0"/>
        <w:rPr>
          <w:lang w:val="it-IT"/>
        </w:rPr>
      </w:pPr>
    </w:p>
    <w:p w:rsidR="008F7246" w:rsidRPr="007B74B7" w:rsidRDefault="008F7246" w:rsidP="005A141F">
      <w:pPr>
        <w:pStyle w:val="AppendixBodyText"/>
        <w:spacing w:after="0"/>
        <w:rPr>
          <w:lang w:val="it-IT"/>
        </w:rPr>
      </w:pPr>
    </w:p>
    <w:p w:rsidR="00023FE7" w:rsidRPr="007B74B7" w:rsidRDefault="00023FE7">
      <w:pPr>
        <w:pStyle w:val="Heading3"/>
        <w:rPr>
          <w:lang w:val="it-IT"/>
        </w:rPr>
      </w:pPr>
      <w:bookmarkStart w:id="789" w:name="_Toc353376014"/>
      <w:r w:rsidRPr="007B74B7">
        <w:rPr>
          <w:rFonts w:ascii="Tahoma" w:hAnsi="Tahoma" w:cs="Tahoma"/>
          <w:sz w:val="24"/>
          <w:lang w:val="it-IT"/>
        </w:rPr>
        <w:t>E-Learning</w:t>
      </w:r>
      <w:bookmarkEnd w:id="788"/>
      <w:bookmarkEnd w:id="789"/>
    </w:p>
    <w:p w:rsidR="00023FE7" w:rsidRPr="007B74B7" w:rsidRDefault="00023FE7" w:rsidP="002D25C8">
      <w:pPr>
        <w:rPr>
          <w:lang w:val="it-IT"/>
        </w:rPr>
      </w:pPr>
    </w:p>
    <w:p w:rsidR="003C56F1" w:rsidRPr="007B74B7" w:rsidRDefault="00324479" w:rsidP="008A7860">
      <w:pPr>
        <w:tabs>
          <w:tab w:val="num" w:pos="360"/>
        </w:tabs>
        <w:spacing w:after="60"/>
        <w:rPr>
          <w:lang w:val="it-IT"/>
        </w:rPr>
      </w:pPr>
      <w:r w:rsidRPr="007B74B7">
        <w:rPr>
          <w:rFonts w:cs="Tahoma"/>
          <w:b/>
          <w:szCs w:val="18"/>
          <w:lang w:val="it-IT"/>
        </w:rPr>
        <w:t>Società con Software Assurance idonee</w:t>
      </w:r>
    </w:p>
    <w:p w:rsidR="00324479" w:rsidRPr="007B74B7" w:rsidRDefault="00324479" w:rsidP="002D25C8">
      <w:pPr>
        <w:tabs>
          <w:tab w:val="num" w:pos="360"/>
        </w:tabs>
        <w:rPr>
          <w:lang w:val="it-IT"/>
        </w:rPr>
      </w:pPr>
      <w:r w:rsidRPr="007B74B7">
        <w:rPr>
          <w:rFonts w:cs="Tahoma"/>
          <w:szCs w:val="18"/>
          <w:lang w:val="it-IT"/>
        </w:rPr>
        <w:t xml:space="preserve">Le società con copertura Software Assurance per i prodotti qualificanti del pool di server, sistemi o applicazioni sono idonee a utilizzare il relativo vantaggio E-Learning per Applicazioni, Sistemi e Server durante il periodo di validità della copertura Software Assurance. </w:t>
      </w:r>
    </w:p>
    <w:p w:rsidR="004069D6" w:rsidRPr="007B74B7" w:rsidRDefault="004069D6" w:rsidP="008A7860">
      <w:pPr>
        <w:tabs>
          <w:tab w:val="num" w:pos="360"/>
        </w:tabs>
        <w:spacing w:after="60"/>
        <w:rPr>
          <w:rFonts w:cs="Tahoma"/>
          <w:b/>
          <w:szCs w:val="18"/>
          <w:lang w:val="it-IT"/>
        </w:rPr>
      </w:pPr>
    </w:p>
    <w:p w:rsidR="008A7860" w:rsidRPr="007B74B7" w:rsidRDefault="00324479" w:rsidP="008A7860">
      <w:pPr>
        <w:tabs>
          <w:tab w:val="num" w:pos="360"/>
        </w:tabs>
        <w:spacing w:after="60"/>
        <w:rPr>
          <w:lang w:val="it-IT"/>
        </w:rPr>
      </w:pPr>
      <w:r w:rsidRPr="007B74B7">
        <w:rPr>
          <w:rFonts w:cs="Tahoma"/>
          <w:b/>
          <w:szCs w:val="18"/>
          <w:lang w:val="it-IT"/>
        </w:rPr>
        <w:t>Società con i Vantaggi dei Servizi Online idonee</w:t>
      </w:r>
    </w:p>
    <w:p w:rsidR="00324479" w:rsidRPr="007B74B7" w:rsidRDefault="00324479" w:rsidP="002D25C8">
      <w:pPr>
        <w:tabs>
          <w:tab w:val="num" w:pos="360"/>
        </w:tabs>
        <w:rPr>
          <w:lang w:val="it-IT"/>
        </w:rPr>
      </w:pPr>
      <w:r w:rsidRPr="007B74B7">
        <w:rPr>
          <w:rFonts w:cs="Tahoma"/>
          <w:szCs w:val="18"/>
          <w:lang w:val="it-IT"/>
        </w:rPr>
        <w:t>Le società con Windows Intune (Per Dispositivo) sono idonee a utilizzare il vantaggio Systems E-Learning durante il</w:t>
      </w:r>
      <w:r w:rsidR="0068201E" w:rsidRPr="007B74B7">
        <w:rPr>
          <w:rFonts w:cs="Tahoma"/>
          <w:szCs w:val="18"/>
          <w:lang w:val="it-IT"/>
        </w:rPr>
        <w:t> </w:t>
      </w:r>
      <w:r w:rsidRPr="007B74B7">
        <w:rPr>
          <w:rFonts w:cs="Tahoma"/>
          <w:szCs w:val="18"/>
          <w:lang w:val="it-IT"/>
        </w:rPr>
        <w:t>periodo di validità della loro iscrizione.</w:t>
      </w:r>
      <w:r w:rsidR="008D782D" w:rsidRPr="007B74B7">
        <w:rPr>
          <w:rFonts w:cs="Tahoma"/>
          <w:szCs w:val="18"/>
          <w:lang w:val="it-IT"/>
        </w:rPr>
        <w:t xml:space="preserve"> </w:t>
      </w:r>
      <w:r w:rsidRPr="007B74B7">
        <w:rPr>
          <w:rFonts w:cs="Tahoma"/>
          <w:szCs w:val="18"/>
          <w:lang w:val="it-IT"/>
        </w:rPr>
        <w:t>Analogamente, le società in possesso di Office 365 sono idonee a utilizzare il</w:t>
      </w:r>
      <w:r w:rsidR="0068201E" w:rsidRPr="007B74B7">
        <w:rPr>
          <w:rFonts w:cs="Tahoma"/>
          <w:szCs w:val="18"/>
          <w:lang w:val="it-IT"/>
        </w:rPr>
        <w:t> </w:t>
      </w:r>
      <w:r w:rsidRPr="007B74B7">
        <w:rPr>
          <w:rFonts w:cs="Tahoma"/>
          <w:szCs w:val="18"/>
          <w:lang w:val="it-IT"/>
        </w:rPr>
        <w:t xml:space="preserve">vantaggio E-Learning per Applicazioni durante il periodo di validità della rispettiva iscrizione. </w:t>
      </w:r>
    </w:p>
    <w:p w:rsidR="00324479" w:rsidRPr="007B74B7" w:rsidRDefault="00324479" w:rsidP="002D25C8">
      <w:pPr>
        <w:tabs>
          <w:tab w:val="num" w:pos="360"/>
        </w:tabs>
        <w:rPr>
          <w:lang w:val="it-IT"/>
        </w:rPr>
      </w:pPr>
    </w:p>
    <w:p w:rsidR="00CA3658" w:rsidRPr="007B74B7" w:rsidRDefault="00CA3658" w:rsidP="002D25C8">
      <w:pPr>
        <w:tabs>
          <w:tab w:val="num" w:pos="360"/>
        </w:tabs>
        <w:rPr>
          <w:lang w:val="it-IT"/>
        </w:rPr>
      </w:pPr>
    </w:p>
    <w:p w:rsidR="00324479" w:rsidRPr="007B74B7" w:rsidRDefault="00324479" w:rsidP="002D25C8">
      <w:pPr>
        <w:rPr>
          <w:spacing w:val="-2"/>
          <w:lang w:val="it-IT"/>
        </w:rPr>
      </w:pPr>
      <w:r w:rsidRPr="007B74B7">
        <w:rPr>
          <w:rFonts w:cs="Tahoma"/>
          <w:spacing w:val="-2"/>
          <w:szCs w:val="18"/>
          <w:lang w:val="it-IT"/>
        </w:rPr>
        <w:t>Le società idonee riceveranno un codice di accesso (per Applicazioni, Sistemi, Server, Windows Intune (Per Dispositivo) e Office 365) per ogni iscrizione/contratto qualificante.</w:t>
      </w:r>
      <w:r w:rsidR="008D782D" w:rsidRPr="007B74B7">
        <w:rPr>
          <w:rFonts w:cs="Tahoma"/>
          <w:spacing w:val="-2"/>
          <w:szCs w:val="18"/>
          <w:lang w:val="it-IT"/>
        </w:rPr>
        <w:t xml:space="preserve"> </w:t>
      </w:r>
      <w:r w:rsidRPr="007B74B7">
        <w:rPr>
          <w:rFonts w:cs="Tahoma"/>
          <w:spacing w:val="-2"/>
          <w:szCs w:val="18"/>
          <w:lang w:val="it-IT"/>
        </w:rPr>
        <w:t xml:space="preserve">Le società potranno inoltre scaricare file E-learning di solo contenuto, conformi a SCORM (per Applicazioni e Sistemi) da VLSC per importarli in Learning Management System </w:t>
      </w:r>
      <w:r w:rsidRPr="007B74B7">
        <w:rPr>
          <w:rFonts w:cs="Tahoma"/>
          <w:spacing w:val="-2"/>
          <w:szCs w:val="18"/>
          <w:lang w:val="it-IT"/>
        </w:rPr>
        <w:lastRenderedPageBreak/>
        <w:t>(LMS).</w:t>
      </w:r>
      <w:r w:rsidR="008D782D" w:rsidRPr="007B74B7">
        <w:rPr>
          <w:rFonts w:cs="Tahoma"/>
          <w:spacing w:val="-2"/>
          <w:szCs w:val="18"/>
          <w:lang w:val="it-IT"/>
        </w:rPr>
        <w:t xml:space="preserve"> </w:t>
      </w:r>
      <w:r w:rsidRPr="007B74B7">
        <w:rPr>
          <w:rFonts w:cs="Tahoma"/>
          <w:spacing w:val="-2"/>
          <w:szCs w:val="18"/>
          <w:lang w:val="it-IT"/>
        </w:rPr>
        <w:t>Per scaricare i file da VLSC non è necessario alcun codice di accesso. Le società con Contratto Enterprise e Select potranno ottenere contenuto conforme a SCORM (per Applicazioni e Sistemi) tramite download o DVD, mentre le società Open e Open Value lo potranno ottenere (per Applicazioni e Sistemi) solo tramite DVD.</w:t>
      </w:r>
    </w:p>
    <w:p w:rsidR="00324479" w:rsidRPr="007B74B7" w:rsidRDefault="00324479" w:rsidP="002D25C8">
      <w:pPr>
        <w:rPr>
          <w:lang w:val="it-IT"/>
        </w:rPr>
      </w:pPr>
    </w:p>
    <w:p w:rsidR="00324479" w:rsidRPr="007B74B7" w:rsidRDefault="00324479" w:rsidP="002D25C8">
      <w:pPr>
        <w:rPr>
          <w:spacing w:val="-4"/>
          <w:lang w:val="it-IT"/>
        </w:rPr>
      </w:pPr>
      <w:r w:rsidRPr="007B74B7">
        <w:rPr>
          <w:rFonts w:cs="Tahoma"/>
          <w:spacing w:val="-4"/>
          <w:szCs w:val="18"/>
          <w:lang w:val="it-IT"/>
        </w:rPr>
        <w:t>Il numero massimo di utenti per i quali una società potrà utilizzare il corso di E-Learning è uguale al numero di copie</w:t>
      </w:r>
      <w:r w:rsidR="0068201E" w:rsidRPr="007B74B7">
        <w:rPr>
          <w:rFonts w:cs="Tahoma"/>
          <w:spacing w:val="-4"/>
          <w:szCs w:val="18"/>
          <w:lang w:val="it-IT"/>
        </w:rPr>
        <w:t> </w:t>
      </w:r>
      <w:r w:rsidRPr="007B74B7">
        <w:rPr>
          <w:rFonts w:cs="Tahoma"/>
          <w:spacing w:val="-4"/>
          <w:szCs w:val="18"/>
          <w:lang w:val="it-IT"/>
        </w:rPr>
        <w:t>con licenza dei prodotti qualificanti che la società ha inserito nell</w:t>
      </w:r>
      <w:r w:rsidR="007A1415" w:rsidRPr="007B74B7">
        <w:rPr>
          <w:rFonts w:cs="Tahoma"/>
          <w:spacing w:val="-4"/>
          <w:szCs w:val="18"/>
          <w:lang w:val="it-IT"/>
        </w:rPr>
        <w:t>’</w:t>
      </w:r>
      <w:r w:rsidRPr="007B74B7">
        <w:rPr>
          <w:rFonts w:cs="Tahoma"/>
          <w:spacing w:val="-4"/>
          <w:szCs w:val="18"/>
          <w:lang w:val="it-IT"/>
        </w:rPr>
        <w:t>iscrizione per Software Assurance o degli abbonamenti per le famiglie di prodotti Windows</w:t>
      </w:r>
      <w:r w:rsidR="00700C4B" w:rsidRPr="007B74B7">
        <w:rPr>
          <w:rFonts w:cs="Tahoma"/>
          <w:spacing w:val="-4"/>
          <w:szCs w:val="18"/>
          <w:vertAlign w:val="superscript"/>
          <w:lang w:val="it-IT"/>
        </w:rPr>
        <w:t>®</w:t>
      </w:r>
      <w:r w:rsidRPr="007B74B7">
        <w:rPr>
          <w:rFonts w:cs="Tahoma"/>
          <w:spacing w:val="-4"/>
          <w:szCs w:val="18"/>
          <w:lang w:val="it-IT"/>
        </w:rPr>
        <w:t xml:space="preserve"> Intune o Office 365 acquistate. Le società dovranno designare un utente per ciascuna licenza qualificante.</w:t>
      </w:r>
      <w:r w:rsidR="008D782D" w:rsidRPr="007B74B7">
        <w:rPr>
          <w:rFonts w:cs="Tahoma"/>
          <w:spacing w:val="-4"/>
          <w:szCs w:val="18"/>
          <w:lang w:val="it-IT"/>
        </w:rPr>
        <w:t xml:space="preserve"> </w:t>
      </w:r>
      <w:r w:rsidRPr="007B74B7">
        <w:rPr>
          <w:rFonts w:cs="Tahoma"/>
          <w:spacing w:val="-4"/>
          <w:szCs w:val="18"/>
          <w:lang w:val="it-IT"/>
        </w:rPr>
        <w:t>L</w:t>
      </w:r>
      <w:r w:rsidR="007A1415" w:rsidRPr="007B74B7">
        <w:rPr>
          <w:rFonts w:cs="Tahoma"/>
          <w:spacing w:val="-4"/>
          <w:szCs w:val="18"/>
          <w:lang w:val="it-IT"/>
        </w:rPr>
        <w:t>’</w:t>
      </w:r>
      <w:r w:rsidRPr="007B74B7">
        <w:rPr>
          <w:rFonts w:cs="Tahoma"/>
          <w:spacing w:val="-4"/>
          <w:szCs w:val="18"/>
          <w:lang w:val="it-IT"/>
        </w:rPr>
        <w:t>accesso non può essere trasferito da un utente a un altro.</w:t>
      </w:r>
      <w:r w:rsidR="008D782D" w:rsidRPr="007B74B7">
        <w:rPr>
          <w:rFonts w:cs="Tahoma"/>
          <w:spacing w:val="-4"/>
          <w:szCs w:val="18"/>
          <w:lang w:val="it-IT"/>
        </w:rPr>
        <w:t xml:space="preserve"> </w:t>
      </w:r>
      <w:r w:rsidRPr="007B74B7">
        <w:rPr>
          <w:rFonts w:cs="Tahoma"/>
          <w:spacing w:val="-4"/>
          <w:szCs w:val="18"/>
          <w:lang w:val="it-IT"/>
        </w:rPr>
        <w:t>Al momento del lancio di un corso individuale ciascun utente qualificato avrà a disposizione fino a 12 mesi per completarlo prima che l</w:t>
      </w:r>
      <w:r w:rsidR="007A1415" w:rsidRPr="007B74B7">
        <w:rPr>
          <w:rFonts w:cs="Tahoma"/>
          <w:spacing w:val="-4"/>
          <w:szCs w:val="18"/>
          <w:lang w:val="it-IT"/>
        </w:rPr>
        <w:t>’</w:t>
      </w:r>
      <w:r w:rsidRPr="007B74B7">
        <w:rPr>
          <w:rFonts w:cs="Tahoma"/>
          <w:spacing w:val="-4"/>
          <w:szCs w:val="18"/>
          <w:lang w:val="it-IT"/>
        </w:rPr>
        <w:t>accesso scada, a condizione che il corso sia avviato prima della data di scadenza della copertura Software Assurance o della licenza “subscription”.</w:t>
      </w:r>
    </w:p>
    <w:p w:rsidR="00324479" w:rsidRPr="007B74B7" w:rsidRDefault="00324479" w:rsidP="002D25C8">
      <w:pPr>
        <w:tabs>
          <w:tab w:val="num" w:pos="360"/>
        </w:tabs>
        <w:rPr>
          <w:lang w:val="it-IT"/>
        </w:rPr>
      </w:pPr>
    </w:p>
    <w:p w:rsidR="00324479" w:rsidRPr="007B74B7" w:rsidRDefault="00324479" w:rsidP="002D25C8">
      <w:pPr>
        <w:tabs>
          <w:tab w:val="num" w:pos="0"/>
        </w:tabs>
        <w:rPr>
          <w:lang w:val="it-IT"/>
        </w:rPr>
      </w:pPr>
      <w:r w:rsidRPr="007B74B7">
        <w:rPr>
          <w:rFonts w:cs="Tahoma"/>
          <w:szCs w:val="18"/>
          <w:lang w:val="it-IT"/>
        </w:rPr>
        <w:t>Le società idonee potranno acquistare i kit di E-learning presso un centro di rifornimento regionale qualora l</w:t>
      </w:r>
      <w:r w:rsidR="007A1415" w:rsidRPr="007B74B7">
        <w:rPr>
          <w:rFonts w:cs="Tahoma"/>
          <w:szCs w:val="18"/>
          <w:lang w:val="it-IT"/>
        </w:rPr>
        <w:t>’</w:t>
      </w:r>
      <w:r w:rsidRPr="007B74B7">
        <w:rPr>
          <w:rFonts w:cs="Tahoma"/>
          <w:szCs w:val="18"/>
          <w:lang w:val="it-IT"/>
        </w:rPr>
        <w:t xml:space="preserve">opzione online non sia sufficiente. </w:t>
      </w:r>
    </w:p>
    <w:p w:rsidR="00324479" w:rsidRPr="007B74B7" w:rsidRDefault="00324479" w:rsidP="002D25C8">
      <w:pPr>
        <w:tabs>
          <w:tab w:val="num" w:pos="0"/>
        </w:tabs>
        <w:rPr>
          <w:lang w:val="it-IT"/>
        </w:rPr>
      </w:pPr>
      <w:r w:rsidRPr="007B74B7">
        <w:rPr>
          <w:rFonts w:cs="Tahoma"/>
          <w:szCs w:val="18"/>
          <w:lang w:val="it-IT"/>
        </w:rPr>
        <w:t>La distribuzione e l</w:t>
      </w:r>
      <w:r w:rsidR="007A1415" w:rsidRPr="007B74B7">
        <w:rPr>
          <w:rFonts w:cs="Tahoma"/>
          <w:szCs w:val="18"/>
          <w:lang w:val="it-IT"/>
        </w:rPr>
        <w:t>’</w:t>
      </w:r>
      <w:r w:rsidRPr="007B74B7">
        <w:rPr>
          <w:rFonts w:cs="Tahoma"/>
          <w:szCs w:val="18"/>
          <w:lang w:val="it-IT"/>
        </w:rPr>
        <w:t>utilizzo dei corsi di E-Learning da parte della società sono soggetti alle condizioni del relativo contratto di licenza.</w:t>
      </w:r>
      <w:r w:rsidR="008D782D" w:rsidRPr="007B74B7">
        <w:rPr>
          <w:rFonts w:cs="Tahoma"/>
          <w:szCs w:val="18"/>
          <w:lang w:val="it-IT"/>
        </w:rPr>
        <w:t xml:space="preserve"> </w:t>
      </w:r>
    </w:p>
    <w:p w:rsidR="00324479" w:rsidRPr="007B74B7" w:rsidRDefault="00324479" w:rsidP="002D25C8">
      <w:pPr>
        <w:tabs>
          <w:tab w:val="num" w:pos="0"/>
        </w:tabs>
        <w:rPr>
          <w:lang w:val="it-IT"/>
        </w:rPr>
      </w:pPr>
    </w:p>
    <w:p w:rsidR="008A7860" w:rsidRPr="007B74B7" w:rsidRDefault="008A7860" w:rsidP="008A7860">
      <w:pPr>
        <w:spacing w:after="60"/>
        <w:rPr>
          <w:lang w:val="it-IT"/>
        </w:rPr>
      </w:pPr>
      <w:r w:rsidRPr="007B74B7">
        <w:rPr>
          <w:rFonts w:cs="Tahoma"/>
          <w:b/>
          <w:szCs w:val="18"/>
          <w:lang w:val="it-IT"/>
        </w:rPr>
        <w:t>Applicazioni di E-Learning</w:t>
      </w:r>
    </w:p>
    <w:p w:rsidR="00324479" w:rsidRPr="007B74B7" w:rsidRDefault="00324479" w:rsidP="002D25C8">
      <w:pPr>
        <w:rPr>
          <w:lang w:val="it-IT"/>
        </w:rPr>
      </w:pPr>
      <w:r w:rsidRPr="007B74B7">
        <w:rPr>
          <w:rFonts w:cs="Tahoma"/>
          <w:szCs w:val="18"/>
          <w:lang w:val="it-IT"/>
        </w:rPr>
        <w:t xml:space="preserve">Le società </w:t>
      </w:r>
      <w:r w:rsidRPr="007B74B7">
        <w:rPr>
          <w:rFonts w:cs="Tahoma"/>
          <w:color w:val="000000"/>
          <w:szCs w:val="18"/>
          <w:lang w:val="it-IT"/>
        </w:rPr>
        <w:t>con famiglie di prodotti Office 365 ProPlus,</w:t>
      </w:r>
      <w:r w:rsidRPr="007B74B7">
        <w:rPr>
          <w:rFonts w:cs="Tahoma"/>
          <w:szCs w:val="18"/>
          <w:lang w:val="it-IT"/>
        </w:rPr>
        <w:t xml:space="preserve"> Office 365 e copertura Software Assurance per i prodotti Applicativi qualificanti sono idonee a utilizzare corsi di E-Learning in hosting e contenuto conforme a SCORM.</w:t>
      </w:r>
      <w:r w:rsidR="008D782D" w:rsidRPr="007B74B7">
        <w:rPr>
          <w:rFonts w:cs="Tahoma"/>
          <w:szCs w:val="18"/>
          <w:lang w:val="it-IT"/>
        </w:rPr>
        <w:t xml:space="preserve"> </w:t>
      </w:r>
    </w:p>
    <w:p w:rsidR="00324479" w:rsidRPr="007B74B7" w:rsidRDefault="00324479" w:rsidP="002D25C8">
      <w:pPr>
        <w:rPr>
          <w:lang w:val="it-IT"/>
        </w:rPr>
      </w:pPr>
    </w:p>
    <w:p w:rsidR="008A7860" w:rsidRPr="007B74B7" w:rsidRDefault="008A7860" w:rsidP="008A7860">
      <w:pPr>
        <w:spacing w:after="60"/>
        <w:rPr>
          <w:lang w:val="it-IT"/>
        </w:rPr>
      </w:pPr>
      <w:r w:rsidRPr="007B74B7">
        <w:rPr>
          <w:rFonts w:cs="Tahoma"/>
          <w:b/>
          <w:szCs w:val="18"/>
          <w:lang w:val="it-IT"/>
        </w:rPr>
        <w:t>Sistemi di E-Learning</w:t>
      </w:r>
    </w:p>
    <w:p w:rsidR="00324479" w:rsidRPr="007B74B7" w:rsidRDefault="00324479" w:rsidP="002D25C8">
      <w:pPr>
        <w:rPr>
          <w:lang w:val="it-IT"/>
        </w:rPr>
      </w:pPr>
      <w:r w:rsidRPr="007B74B7">
        <w:rPr>
          <w:rFonts w:cs="Tahoma"/>
          <w:szCs w:val="18"/>
          <w:lang w:val="it-IT"/>
        </w:rPr>
        <w:t>Le società con Windows Intune (Per Dispositivo) e copertura Software Assurance per i prodotti Sistemi qualificanti sono idonee a utilizzare i corsi di E-Learning Client ospitati e contenuto conforme a SCORM.</w:t>
      </w:r>
      <w:r w:rsidR="008D782D" w:rsidRPr="007B74B7">
        <w:rPr>
          <w:rFonts w:cs="Tahoma"/>
          <w:szCs w:val="18"/>
          <w:lang w:val="it-IT"/>
        </w:rPr>
        <w:t xml:space="preserve"> </w:t>
      </w:r>
    </w:p>
    <w:p w:rsidR="00324479" w:rsidRPr="007B74B7" w:rsidRDefault="00324479" w:rsidP="002D25C8">
      <w:pPr>
        <w:rPr>
          <w:lang w:val="it-IT"/>
        </w:rPr>
      </w:pPr>
    </w:p>
    <w:p w:rsidR="008A7860" w:rsidRPr="007B74B7" w:rsidRDefault="008A7860" w:rsidP="008A7860">
      <w:pPr>
        <w:spacing w:after="60"/>
        <w:rPr>
          <w:lang w:val="it-IT"/>
        </w:rPr>
      </w:pPr>
      <w:r w:rsidRPr="007B74B7">
        <w:rPr>
          <w:rFonts w:cs="Tahoma"/>
          <w:b/>
          <w:szCs w:val="18"/>
          <w:lang w:val="it-IT"/>
        </w:rPr>
        <w:t>Server di E-Learning</w:t>
      </w:r>
    </w:p>
    <w:p w:rsidR="00324479" w:rsidRPr="007B74B7" w:rsidRDefault="00324479" w:rsidP="002D25C8">
      <w:pPr>
        <w:rPr>
          <w:lang w:val="it-IT"/>
        </w:rPr>
      </w:pPr>
      <w:r w:rsidRPr="007B74B7">
        <w:rPr>
          <w:rFonts w:cs="Tahoma"/>
          <w:szCs w:val="18"/>
          <w:lang w:val="it-IT"/>
        </w:rPr>
        <w:t xml:space="preserve">Le società con copertura Software Assurance per i prodotti Server qualificanti sono idonee a utilizzare i corsi di </w:t>
      </w:r>
      <w:r w:rsidR="0068201E" w:rsidRPr="007B74B7">
        <w:rPr>
          <w:rFonts w:cs="Tahoma"/>
          <w:szCs w:val="18"/>
          <w:lang w:val="it-IT"/>
        </w:rPr>
        <w:br/>
      </w:r>
      <w:r w:rsidRPr="007B74B7">
        <w:rPr>
          <w:rFonts w:cs="Tahoma"/>
          <w:szCs w:val="18"/>
          <w:lang w:val="it-IT"/>
        </w:rPr>
        <w:t>E-Learning Server ospitati.</w:t>
      </w:r>
      <w:r w:rsidR="008D782D" w:rsidRPr="007B74B7">
        <w:rPr>
          <w:rFonts w:cs="Tahoma"/>
          <w:szCs w:val="18"/>
          <w:lang w:val="it-IT"/>
        </w:rPr>
        <w:t xml:space="preserve"> </w:t>
      </w:r>
    </w:p>
    <w:p w:rsidR="00023FE7" w:rsidRPr="007B74B7" w:rsidRDefault="00023FE7" w:rsidP="002D25C8">
      <w:pPr>
        <w:rPr>
          <w:lang w:val="it-IT"/>
        </w:rPr>
      </w:pPr>
    </w:p>
    <w:p w:rsidR="00023FE7" w:rsidRPr="007B74B7" w:rsidRDefault="00023FE7" w:rsidP="002D25C8">
      <w:pPr>
        <w:pStyle w:val="Heading3"/>
        <w:rPr>
          <w:lang w:val="it-IT"/>
        </w:rPr>
      </w:pPr>
      <w:bookmarkStart w:id="790" w:name="_Toc336338235"/>
      <w:bookmarkStart w:id="791" w:name="_Toc353376015"/>
      <w:r w:rsidRPr="007B74B7">
        <w:rPr>
          <w:rFonts w:ascii="Tahoma" w:hAnsi="Tahoma" w:cs="Tahoma"/>
          <w:sz w:val="24"/>
          <w:lang w:val="it-IT"/>
        </w:rPr>
        <w:t>Home Use Program</w:t>
      </w:r>
      <w:bookmarkEnd w:id="790"/>
      <w:bookmarkEnd w:id="791"/>
    </w:p>
    <w:p w:rsidR="00023FE7" w:rsidRPr="007B74B7" w:rsidRDefault="00023FE7" w:rsidP="002D25C8">
      <w:pPr>
        <w:rPr>
          <w:lang w:val="it-IT"/>
        </w:rPr>
      </w:pPr>
    </w:p>
    <w:p w:rsidR="00023FE7" w:rsidRPr="007B74B7" w:rsidRDefault="00023FE7" w:rsidP="002D25C8">
      <w:pPr>
        <w:pStyle w:val="AppendixBodyText"/>
        <w:spacing w:after="0"/>
        <w:rPr>
          <w:lang w:val="it-IT"/>
        </w:rPr>
      </w:pPr>
      <w:r w:rsidRPr="007B74B7">
        <w:rPr>
          <w:rFonts w:ascii="Tahoma" w:hAnsi="Tahoma" w:cs="Tahoma"/>
          <w:sz w:val="18"/>
          <w:szCs w:val="18"/>
          <w:lang w:val="it-IT"/>
        </w:rPr>
        <w:t>Le società con copertura Software Assurance attiva per i prodotti applicativi desktop qualificanti sono idonee a</w:t>
      </w:r>
      <w:r w:rsidR="0068201E" w:rsidRPr="007B74B7">
        <w:rPr>
          <w:rFonts w:ascii="Tahoma" w:hAnsi="Tahoma" w:cs="Tahoma"/>
          <w:sz w:val="18"/>
          <w:szCs w:val="18"/>
          <w:lang w:val="it-IT"/>
        </w:rPr>
        <w:t> </w:t>
      </w:r>
      <w:r w:rsidRPr="007B74B7">
        <w:rPr>
          <w:rFonts w:ascii="Tahoma" w:hAnsi="Tahoma" w:cs="Tahoma"/>
          <w:color w:val="000000"/>
          <w:sz w:val="18"/>
          <w:szCs w:val="18"/>
          <w:lang w:val="it-IT"/>
        </w:rPr>
        <w:t>partecipare al programma Home Use Program**.</w:t>
      </w:r>
      <w:r w:rsidR="008D782D" w:rsidRPr="007B74B7">
        <w:rPr>
          <w:rFonts w:ascii="Tahoma" w:hAnsi="Tahoma" w:cs="Tahoma"/>
          <w:color w:val="000000"/>
          <w:sz w:val="18"/>
          <w:szCs w:val="18"/>
          <w:lang w:val="it-IT"/>
        </w:rPr>
        <w:t xml:space="preserve"> </w:t>
      </w:r>
      <w:r w:rsidRPr="007B74B7">
        <w:rPr>
          <w:rFonts w:ascii="Tahoma" w:hAnsi="Tahoma" w:cs="Tahoma"/>
          <w:color w:val="000000"/>
          <w:sz w:val="18"/>
          <w:szCs w:val="18"/>
          <w:lang w:val="it-IT"/>
        </w:rPr>
        <w:t>Ai sensi del programma Home Use Program i dipendenti delle</w:t>
      </w:r>
      <w:r w:rsidR="0068201E" w:rsidRPr="007B74B7">
        <w:rPr>
          <w:rFonts w:ascii="Tahoma" w:hAnsi="Tahoma" w:cs="Tahoma"/>
          <w:color w:val="000000"/>
          <w:sz w:val="18"/>
          <w:szCs w:val="18"/>
          <w:lang w:val="it-IT"/>
        </w:rPr>
        <w:t> </w:t>
      </w:r>
      <w:r w:rsidRPr="007B74B7">
        <w:rPr>
          <w:rFonts w:ascii="Tahoma" w:hAnsi="Tahoma" w:cs="Tahoma"/>
          <w:color w:val="000000"/>
          <w:sz w:val="18"/>
          <w:szCs w:val="18"/>
          <w:lang w:val="it-IT"/>
        </w:rPr>
        <w:t>società, che utilizzano le applicazioni con licenza qualificanti, potranno acquistare una licenza singola per il corrispondente software Home Use Program da installare su un computer domestico. Le condizioni di licenza per tale</w:t>
      </w:r>
      <w:r w:rsidR="0068201E" w:rsidRPr="007B74B7">
        <w:rPr>
          <w:rFonts w:ascii="Tahoma" w:hAnsi="Tahoma" w:cs="Tahoma"/>
          <w:color w:val="000000"/>
          <w:sz w:val="18"/>
          <w:szCs w:val="18"/>
          <w:lang w:val="it-IT"/>
        </w:rPr>
        <w:t> </w:t>
      </w:r>
      <w:r w:rsidRPr="007B74B7">
        <w:rPr>
          <w:rFonts w:ascii="Tahoma" w:hAnsi="Tahoma" w:cs="Tahoma"/>
          <w:color w:val="000000"/>
          <w:sz w:val="18"/>
          <w:szCs w:val="18"/>
          <w:lang w:val="it-IT"/>
        </w:rPr>
        <w:t>software consentono all</w:t>
      </w:r>
      <w:r w:rsidR="007A1415" w:rsidRPr="007B74B7">
        <w:rPr>
          <w:rFonts w:ascii="Tahoma" w:hAnsi="Tahoma" w:cs="Tahoma"/>
          <w:color w:val="000000"/>
          <w:sz w:val="18"/>
          <w:szCs w:val="18"/>
          <w:lang w:val="it-IT"/>
        </w:rPr>
        <w:t>’</w:t>
      </w:r>
      <w:r w:rsidRPr="007B74B7">
        <w:rPr>
          <w:rFonts w:ascii="Tahoma" w:hAnsi="Tahoma" w:cs="Tahoma"/>
          <w:color w:val="000000"/>
          <w:sz w:val="18"/>
          <w:szCs w:val="18"/>
          <w:lang w:val="it-IT"/>
        </w:rPr>
        <w:t>utente principale del computer domestico di installare e utilizzare un</w:t>
      </w:r>
      <w:r w:rsidR="007A1415" w:rsidRPr="007B74B7">
        <w:rPr>
          <w:rFonts w:ascii="Tahoma" w:hAnsi="Tahoma" w:cs="Tahoma"/>
          <w:color w:val="000000"/>
          <w:sz w:val="18"/>
          <w:szCs w:val="18"/>
          <w:lang w:val="it-IT"/>
        </w:rPr>
        <w:t>’</w:t>
      </w:r>
      <w:r w:rsidRPr="007B74B7">
        <w:rPr>
          <w:rFonts w:ascii="Tahoma" w:hAnsi="Tahoma" w:cs="Tahoma"/>
          <w:color w:val="000000"/>
          <w:sz w:val="18"/>
          <w:szCs w:val="18"/>
          <w:lang w:val="it-IT"/>
        </w:rPr>
        <w:t>altra copia su un dispositivo portatile.</w:t>
      </w:r>
      <w:r w:rsidR="008D782D" w:rsidRPr="007B74B7">
        <w:rPr>
          <w:rFonts w:ascii="Tahoma" w:hAnsi="Tahoma" w:cs="Tahoma"/>
          <w:color w:val="000000"/>
          <w:sz w:val="18"/>
          <w:szCs w:val="18"/>
          <w:lang w:val="it-IT"/>
        </w:rPr>
        <w:t xml:space="preserve"> </w:t>
      </w:r>
      <w:r w:rsidRPr="007B74B7">
        <w:rPr>
          <w:rFonts w:ascii="Tahoma" w:hAnsi="Tahoma" w:cs="Tahoma"/>
          <w:color w:val="000000"/>
          <w:sz w:val="18"/>
          <w:szCs w:val="18"/>
          <w:lang w:val="it-IT"/>
        </w:rPr>
        <w:t>A condizione che i dipendenti ricevano in primo luogo le product key appropriate per Home Use Program da Microsoft, le società potranno consentire ai loro dipendenti di installare il software corrispondente per Home Use Program, acquistato dalle società dei rispettivi contratti Volume License, sui computer e i dispositivi portatili dei dipendenti presso la sede delle società. Qualora una nuova versione sia rilasciata durante il periodo di</w:t>
      </w:r>
      <w:r w:rsidR="0068201E" w:rsidRPr="007B74B7">
        <w:rPr>
          <w:rFonts w:ascii="Tahoma" w:hAnsi="Tahoma" w:cs="Tahoma"/>
          <w:color w:val="000000"/>
          <w:sz w:val="18"/>
          <w:szCs w:val="18"/>
          <w:lang w:val="it-IT"/>
        </w:rPr>
        <w:t> </w:t>
      </w:r>
      <w:r w:rsidRPr="007B74B7">
        <w:rPr>
          <w:rFonts w:ascii="Tahoma" w:hAnsi="Tahoma" w:cs="Tahoma"/>
          <w:color w:val="000000"/>
          <w:sz w:val="18"/>
          <w:szCs w:val="18"/>
          <w:lang w:val="it-IT"/>
        </w:rPr>
        <w:t>utilizzo qualificato, gli utenti principali possono acquistare la versione più recente in sostituzione della versione attualmente installata.</w:t>
      </w:r>
      <w:r w:rsidR="008D782D" w:rsidRPr="007B74B7">
        <w:rPr>
          <w:rFonts w:ascii="Tahoma" w:hAnsi="Tahoma" w:cs="Tahoma"/>
          <w:color w:val="000000"/>
          <w:sz w:val="18"/>
          <w:szCs w:val="18"/>
          <w:lang w:val="it-IT"/>
        </w:rPr>
        <w:t xml:space="preserve"> </w:t>
      </w:r>
      <w:r w:rsidRPr="007B74B7">
        <w:rPr>
          <w:rFonts w:ascii="Tahoma" w:hAnsi="Tahoma" w:cs="Tahoma"/>
          <w:color w:val="000000"/>
          <w:sz w:val="18"/>
          <w:szCs w:val="18"/>
          <w:lang w:val="it-IT"/>
        </w:rPr>
        <w:t>Fare riferimento alla tabella o alle singole sezioni sui prodotti riportate di seguito per conoscere le applicazioni desktop che qualificano le società per la partecipazione al programma Home Use Program.</w:t>
      </w:r>
      <w:r w:rsidR="008D782D" w:rsidRPr="007B74B7">
        <w:rPr>
          <w:rFonts w:ascii="Tahoma" w:hAnsi="Tahoma" w:cs="Tahoma"/>
          <w:color w:val="000000"/>
          <w:sz w:val="18"/>
          <w:szCs w:val="18"/>
          <w:lang w:val="it-IT"/>
        </w:rPr>
        <w:t xml:space="preserve"> </w:t>
      </w:r>
      <w:r w:rsidRPr="007B74B7">
        <w:rPr>
          <w:rFonts w:ascii="Tahoma" w:hAnsi="Tahoma" w:cs="Tahoma"/>
          <w:color w:val="000000"/>
          <w:sz w:val="18"/>
          <w:szCs w:val="18"/>
          <w:lang w:val="it-IT"/>
        </w:rPr>
        <w:t>Le applicazioni desktop disponibili nel programma Home Use Program sono indicate anche nella tabella che segue*.</w:t>
      </w:r>
    </w:p>
    <w:p w:rsidR="00023FE7" w:rsidRPr="007B74B7" w:rsidRDefault="00023FE7" w:rsidP="002D25C8">
      <w:pPr>
        <w:pStyle w:val="AppendixFlushBulletedList"/>
        <w:tabs>
          <w:tab w:val="clear" w:pos="360"/>
        </w:tabs>
        <w:ind w:left="0" w:firstLine="0"/>
        <w:rPr>
          <w:lang w:val="it-IT"/>
        </w:rPr>
      </w:pPr>
      <w:r w:rsidRPr="007B74B7">
        <w:rPr>
          <w:rFonts w:ascii="Tahoma" w:hAnsi="Tahoma" w:cs="Tahoma"/>
          <w:sz w:val="18"/>
          <w:szCs w:val="18"/>
          <w:lang w:val="it-IT"/>
        </w:rPr>
        <w:t>L</w:t>
      </w:r>
      <w:r w:rsidR="007A1415" w:rsidRPr="007B74B7">
        <w:rPr>
          <w:rFonts w:ascii="Tahoma" w:hAnsi="Tahoma" w:cs="Tahoma"/>
          <w:sz w:val="18"/>
          <w:szCs w:val="18"/>
          <w:lang w:val="it-IT"/>
        </w:rPr>
        <w:t>’</w:t>
      </w:r>
      <w:r w:rsidRPr="007B74B7">
        <w:rPr>
          <w:rFonts w:ascii="Tahoma" w:hAnsi="Tahoma" w:cs="Tahoma"/>
          <w:sz w:val="18"/>
          <w:szCs w:val="18"/>
          <w:lang w:val="it-IT"/>
        </w:rPr>
        <w:t>idoneità delle società a partecipare al programma Home Use Program termina alla scadenza o alla risoluzione della</w:t>
      </w:r>
      <w:r w:rsidR="0068201E" w:rsidRPr="007B74B7">
        <w:rPr>
          <w:rFonts w:ascii="Tahoma" w:hAnsi="Tahoma" w:cs="Tahoma"/>
          <w:sz w:val="18"/>
          <w:szCs w:val="18"/>
          <w:lang w:val="it-IT"/>
        </w:rPr>
        <w:t> </w:t>
      </w:r>
      <w:r w:rsidRPr="007B74B7">
        <w:rPr>
          <w:rFonts w:ascii="Tahoma" w:hAnsi="Tahoma" w:cs="Tahoma"/>
          <w:sz w:val="18"/>
          <w:szCs w:val="18"/>
          <w:lang w:val="it-IT"/>
        </w:rPr>
        <w:t>copertura Software Assurance relativa alle applicazioni desktop qualificanti.</w:t>
      </w:r>
      <w:r w:rsidR="008D782D" w:rsidRPr="007B74B7">
        <w:rPr>
          <w:rFonts w:ascii="Tahoma" w:hAnsi="Tahoma" w:cs="Tahoma"/>
          <w:sz w:val="18"/>
          <w:szCs w:val="18"/>
          <w:lang w:val="it-IT"/>
        </w:rPr>
        <w:t xml:space="preserve"> </w:t>
      </w:r>
      <w:r w:rsidRPr="007B74B7">
        <w:rPr>
          <w:rFonts w:ascii="Tahoma" w:hAnsi="Tahoma" w:cs="Tahoma"/>
          <w:sz w:val="18"/>
          <w:szCs w:val="18"/>
          <w:lang w:val="it-IT"/>
        </w:rPr>
        <w:t xml:space="preserve">Microsoft potrà interrompere la partecipazione di una società al programma Home Use Program, immediatamente e senza alcuna comunicazione, in caso di utilizzo abusivo del codice del programma della società per accedere in modo non autorizzato al sito Web del programma Home Use Program o per entrare in possesso di licenze non concesse tramite il sito del programma. </w:t>
      </w:r>
    </w:p>
    <w:p w:rsidR="00023FE7" w:rsidRPr="007B74B7" w:rsidRDefault="00023FE7" w:rsidP="002D25C8">
      <w:pPr>
        <w:pStyle w:val="AppendixFlushBulletedList"/>
        <w:tabs>
          <w:tab w:val="clear" w:pos="360"/>
        </w:tabs>
        <w:ind w:left="0" w:firstLine="0"/>
        <w:rPr>
          <w:lang w:val="it-IT"/>
        </w:rPr>
      </w:pPr>
      <w:r w:rsidRPr="007B74B7">
        <w:rPr>
          <w:rFonts w:ascii="Tahoma" w:hAnsi="Tahoma" w:cs="Tahoma"/>
          <w:sz w:val="18"/>
          <w:szCs w:val="18"/>
          <w:lang w:val="it-IT"/>
        </w:rPr>
        <w:t>Il numero di licenze Home Use Program acquistabili per qualsiasi applicazione desktop è limitato al numero di licenze per le corrispondenti applicazioni desktop qualificanti per le quali la società acquista Software Assurance.</w:t>
      </w:r>
      <w:r w:rsidR="008D782D" w:rsidRPr="007B74B7">
        <w:rPr>
          <w:rFonts w:ascii="Tahoma" w:hAnsi="Tahoma" w:cs="Tahoma"/>
          <w:sz w:val="18"/>
          <w:szCs w:val="18"/>
          <w:lang w:val="it-IT"/>
        </w:rPr>
        <w:t xml:space="preserve"> </w:t>
      </w:r>
      <w:r w:rsidRPr="007B74B7">
        <w:rPr>
          <w:rFonts w:ascii="Tahoma" w:hAnsi="Tahoma" w:cs="Tahoma"/>
          <w:sz w:val="18"/>
          <w:szCs w:val="18"/>
          <w:lang w:val="it-IT"/>
        </w:rPr>
        <w:t>Ai sensi del</w:t>
      </w:r>
      <w:r w:rsidR="007462CD" w:rsidRPr="007B74B7">
        <w:rPr>
          <w:rFonts w:ascii="Tahoma" w:hAnsi="Tahoma" w:cs="Tahoma"/>
          <w:sz w:val="18"/>
          <w:szCs w:val="18"/>
          <w:lang w:val="it-IT"/>
        </w:rPr>
        <w:t> </w:t>
      </w:r>
      <w:r w:rsidRPr="007B74B7">
        <w:rPr>
          <w:rFonts w:ascii="Tahoma" w:hAnsi="Tahoma" w:cs="Tahoma"/>
          <w:sz w:val="18"/>
          <w:szCs w:val="18"/>
          <w:lang w:val="it-IT"/>
        </w:rPr>
        <w:t>programma Home Use Program i diritti sull</w:t>
      </w:r>
      <w:r w:rsidR="007A1415" w:rsidRPr="007B74B7">
        <w:rPr>
          <w:rFonts w:ascii="Tahoma" w:hAnsi="Tahoma" w:cs="Tahoma"/>
          <w:sz w:val="18"/>
          <w:szCs w:val="18"/>
          <w:lang w:val="it-IT"/>
        </w:rPr>
        <w:t>’</w:t>
      </w:r>
      <w:r w:rsidRPr="007B74B7">
        <w:rPr>
          <w:rFonts w:ascii="Tahoma" w:hAnsi="Tahoma" w:cs="Tahoma"/>
          <w:sz w:val="18"/>
          <w:szCs w:val="18"/>
          <w:lang w:val="it-IT"/>
        </w:rPr>
        <w:t>utilizzo concessi a una società sono collegati alla continuazione del</w:t>
      </w:r>
      <w:r w:rsidR="007462CD" w:rsidRPr="007B74B7">
        <w:rPr>
          <w:rFonts w:ascii="Tahoma" w:hAnsi="Tahoma" w:cs="Tahoma"/>
          <w:sz w:val="18"/>
          <w:szCs w:val="18"/>
          <w:lang w:val="it-IT"/>
        </w:rPr>
        <w:t> </w:t>
      </w:r>
      <w:r w:rsidRPr="007B74B7">
        <w:rPr>
          <w:rFonts w:ascii="Tahoma" w:hAnsi="Tahoma" w:cs="Tahoma"/>
          <w:sz w:val="18"/>
          <w:szCs w:val="18"/>
          <w:lang w:val="it-IT"/>
        </w:rPr>
        <w:t>rapporto di lavoro con la Società e terminano con la risoluzione del rapporto di lavoro, con la risoluzione o la scadenza della copertura Software Assurance per la copia dell</w:t>
      </w:r>
      <w:r w:rsidR="007A1415" w:rsidRPr="007B74B7">
        <w:rPr>
          <w:rFonts w:ascii="Tahoma" w:hAnsi="Tahoma" w:cs="Tahoma"/>
          <w:sz w:val="18"/>
          <w:szCs w:val="18"/>
          <w:lang w:val="it-IT"/>
        </w:rPr>
        <w:t>’</w:t>
      </w:r>
      <w:r w:rsidRPr="007B74B7">
        <w:rPr>
          <w:rFonts w:ascii="Tahoma" w:hAnsi="Tahoma" w:cs="Tahoma"/>
          <w:sz w:val="18"/>
          <w:szCs w:val="18"/>
          <w:lang w:val="it-IT"/>
        </w:rPr>
        <w:t>applicazione desktop corrispondente che il dipendente utilizza in ufficio, quando il dipendente non usa più la copia con licenza del software o in occasione dell</w:t>
      </w:r>
      <w:r w:rsidR="007A1415" w:rsidRPr="007B74B7">
        <w:rPr>
          <w:rFonts w:ascii="Tahoma" w:hAnsi="Tahoma" w:cs="Tahoma"/>
          <w:sz w:val="18"/>
          <w:szCs w:val="18"/>
          <w:lang w:val="it-IT"/>
        </w:rPr>
        <w:t>’</w:t>
      </w:r>
      <w:r w:rsidRPr="007B74B7">
        <w:rPr>
          <w:rFonts w:ascii="Tahoma" w:hAnsi="Tahoma" w:cs="Tahoma"/>
          <w:sz w:val="18"/>
          <w:szCs w:val="18"/>
          <w:lang w:val="it-IT"/>
        </w:rPr>
        <w:t>installazione e</w:t>
      </w:r>
      <w:r w:rsidR="007462CD" w:rsidRPr="007B74B7">
        <w:rPr>
          <w:rFonts w:ascii="Tahoma" w:hAnsi="Tahoma" w:cs="Tahoma"/>
          <w:sz w:val="18"/>
          <w:szCs w:val="18"/>
          <w:lang w:val="it-IT"/>
        </w:rPr>
        <w:t> </w:t>
      </w:r>
      <w:r w:rsidRPr="007B74B7">
        <w:rPr>
          <w:rFonts w:ascii="Tahoma" w:hAnsi="Tahoma" w:cs="Tahoma"/>
          <w:sz w:val="18"/>
          <w:szCs w:val="18"/>
          <w:lang w:val="it-IT"/>
        </w:rPr>
        <w:t>dell</w:t>
      </w:r>
      <w:r w:rsidR="007A1415" w:rsidRPr="007B74B7">
        <w:rPr>
          <w:rFonts w:ascii="Tahoma" w:hAnsi="Tahoma" w:cs="Tahoma"/>
          <w:sz w:val="18"/>
          <w:szCs w:val="18"/>
          <w:lang w:val="it-IT"/>
        </w:rPr>
        <w:t>’</w:t>
      </w:r>
      <w:r w:rsidRPr="007B74B7">
        <w:rPr>
          <w:rFonts w:ascii="Tahoma" w:hAnsi="Tahoma" w:cs="Tahoma"/>
          <w:sz w:val="18"/>
          <w:szCs w:val="18"/>
          <w:lang w:val="it-IT"/>
        </w:rPr>
        <w:t>impiego da parte del dipendente di una versione precedente o successiva dell</w:t>
      </w:r>
      <w:r w:rsidR="007A1415" w:rsidRPr="007B74B7">
        <w:rPr>
          <w:rFonts w:ascii="Tahoma" w:hAnsi="Tahoma" w:cs="Tahoma"/>
          <w:sz w:val="18"/>
          <w:szCs w:val="18"/>
          <w:lang w:val="it-IT"/>
        </w:rPr>
        <w:t>’</w:t>
      </w:r>
      <w:r w:rsidRPr="007B74B7">
        <w:rPr>
          <w:rFonts w:ascii="Tahoma" w:hAnsi="Tahoma" w:cs="Tahoma"/>
          <w:sz w:val="18"/>
          <w:szCs w:val="18"/>
          <w:lang w:val="it-IT"/>
        </w:rPr>
        <w:t>applicazione desktop in conformità alla licenza Home Use Program.</w:t>
      </w:r>
    </w:p>
    <w:p w:rsidR="00023FE7" w:rsidRPr="007B74B7" w:rsidRDefault="00023FE7" w:rsidP="002D25C8">
      <w:pPr>
        <w:pStyle w:val="AppendixFlushBulletedList"/>
        <w:tabs>
          <w:tab w:val="clear" w:pos="360"/>
        </w:tabs>
        <w:ind w:left="0" w:firstLine="0"/>
        <w:rPr>
          <w:lang w:val="it-IT"/>
        </w:rPr>
      </w:pPr>
    </w:p>
    <w:p w:rsidR="00023FE7" w:rsidRPr="007B74B7" w:rsidRDefault="00023FE7" w:rsidP="002D25C8">
      <w:pPr>
        <w:pStyle w:val="AppendixFlushBulletedList"/>
        <w:tabs>
          <w:tab w:val="clear" w:pos="360"/>
        </w:tabs>
        <w:ind w:left="0" w:firstLine="0"/>
        <w:rPr>
          <w:lang w:val="it-IT"/>
        </w:rPr>
      </w:pPr>
      <w:r w:rsidRPr="007B74B7">
        <w:rPr>
          <w:rFonts w:ascii="Tahoma" w:hAnsi="Tahoma" w:cs="Tahoma"/>
          <w:sz w:val="18"/>
          <w:szCs w:val="18"/>
          <w:lang w:val="it-IT"/>
        </w:rPr>
        <w:lastRenderedPageBreak/>
        <w:t>Le società non sono responsabili della conformità dei singoli dipendenti alle condizioni di licenza con l</w:t>
      </w:r>
      <w:r w:rsidR="007A1415" w:rsidRPr="007B74B7">
        <w:rPr>
          <w:rFonts w:ascii="Tahoma" w:hAnsi="Tahoma" w:cs="Tahoma"/>
          <w:sz w:val="18"/>
          <w:szCs w:val="18"/>
          <w:lang w:val="it-IT"/>
        </w:rPr>
        <w:t>’</w:t>
      </w:r>
      <w:r w:rsidRPr="007B74B7">
        <w:rPr>
          <w:rFonts w:ascii="Tahoma" w:hAnsi="Tahoma" w:cs="Tahoma"/>
          <w:sz w:val="18"/>
          <w:szCs w:val="18"/>
          <w:lang w:val="it-IT"/>
        </w:rPr>
        <w:t>utente finale per il programma Home Use Program.</w:t>
      </w:r>
      <w:r w:rsidR="008D782D" w:rsidRPr="007B74B7">
        <w:rPr>
          <w:rFonts w:ascii="Tahoma" w:hAnsi="Tahoma" w:cs="Tahoma"/>
          <w:sz w:val="18"/>
          <w:szCs w:val="18"/>
          <w:lang w:val="it-IT"/>
        </w:rPr>
        <w:t xml:space="preserve"> </w:t>
      </w:r>
      <w:r w:rsidRPr="007B74B7">
        <w:rPr>
          <w:rFonts w:ascii="Tahoma" w:hAnsi="Tahoma" w:cs="Tahoma"/>
          <w:sz w:val="18"/>
          <w:szCs w:val="18"/>
          <w:lang w:val="it-IT"/>
        </w:rPr>
        <w:t>Tali condizioni vengono stipulate tra Microsoft e il dipendente della società e</w:t>
      </w:r>
      <w:r w:rsidR="007462CD" w:rsidRPr="007B74B7">
        <w:rPr>
          <w:rFonts w:ascii="Tahoma" w:hAnsi="Tahoma" w:cs="Tahoma"/>
          <w:sz w:val="18"/>
          <w:szCs w:val="18"/>
          <w:lang w:val="it-IT"/>
        </w:rPr>
        <w:t> </w:t>
      </w:r>
      <w:r w:rsidRPr="007B74B7">
        <w:rPr>
          <w:rFonts w:ascii="Tahoma" w:hAnsi="Tahoma" w:cs="Tahoma"/>
          <w:sz w:val="18"/>
          <w:szCs w:val="18"/>
          <w:lang w:val="it-IT"/>
        </w:rPr>
        <w:t>sono diverse dai diritti offerti ai sensi dei contratti Volume Licensing delle società, ad esempio il dipendente potrà installare solo una copia del software HUP. Microsoft invita le società a limitare l</w:t>
      </w:r>
      <w:r w:rsidR="007A1415" w:rsidRPr="007B74B7">
        <w:rPr>
          <w:rFonts w:ascii="Tahoma" w:hAnsi="Tahoma" w:cs="Tahoma"/>
          <w:sz w:val="18"/>
          <w:szCs w:val="18"/>
          <w:lang w:val="it-IT"/>
        </w:rPr>
        <w:t>’</w:t>
      </w:r>
      <w:r w:rsidRPr="007B74B7">
        <w:rPr>
          <w:rFonts w:ascii="Tahoma" w:hAnsi="Tahoma" w:cs="Tahoma"/>
          <w:sz w:val="18"/>
          <w:szCs w:val="18"/>
          <w:lang w:val="it-IT"/>
        </w:rPr>
        <w:t>accesso al programma Home Use Program ai dipendenti e a informare tali dipendenti che dovranno interrompere l</w:t>
      </w:r>
      <w:r w:rsidR="007A1415" w:rsidRPr="007B74B7">
        <w:rPr>
          <w:rFonts w:ascii="Tahoma" w:hAnsi="Tahoma" w:cs="Tahoma"/>
          <w:sz w:val="18"/>
          <w:szCs w:val="18"/>
          <w:lang w:val="it-IT"/>
        </w:rPr>
        <w:t>’</w:t>
      </w:r>
      <w:r w:rsidRPr="007B74B7">
        <w:rPr>
          <w:rFonts w:ascii="Tahoma" w:hAnsi="Tahoma" w:cs="Tahoma"/>
          <w:sz w:val="18"/>
          <w:szCs w:val="18"/>
          <w:lang w:val="it-IT"/>
        </w:rPr>
        <w:t>utilizzo del software Home Use Program alla scadenza della copertura Software Assurance o alla risoluzione del rapporto di lavoro.</w:t>
      </w:r>
    </w:p>
    <w:p w:rsidR="00023FE7" w:rsidRPr="007B74B7" w:rsidRDefault="00023FE7" w:rsidP="002D25C8">
      <w:pPr>
        <w:pStyle w:val="AppendixFlushBulletedList"/>
        <w:tabs>
          <w:tab w:val="clear" w:pos="360"/>
        </w:tabs>
        <w:ind w:left="0" w:firstLine="0"/>
        <w:rPr>
          <w:lang w:val="it-IT"/>
        </w:rPr>
      </w:pPr>
    </w:p>
    <w:p w:rsidR="00023FE7" w:rsidRPr="007B74B7" w:rsidRDefault="00023FE7" w:rsidP="002D25C8">
      <w:pPr>
        <w:rPr>
          <w:lang w:val="it-IT"/>
        </w:rPr>
      </w:pPr>
      <w:r w:rsidRPr="007B74B7">
        <w:rPr>
          <w:rFonts w:cs="Tahoma"/>
          <w:color w:val="000000"/>
          <w:szCs w:val="18"/>
          <w:lang w:val="it-IT"/>
        </w:rPr>
        <w:t>La partecipazione al programma potrà implicare il pagamento di alcune imposte da parte della società e dei suoi dipendenti.</w:t>
      </w:r>
      <w:r w:rsidR="008D782D" w:rsidRPr="007B74B7">
        <w:rPr>
          <w:rFonts w:cs="Tahoma"/>
          <w:color w:val="000000"/>
          <w:szCs w:val="18"/>
          <w:lang w:val="it-IT"/>
        </w:rPr>
        <w:t xml:space="preserve"> </w:t>
      </w:r>
      <w:r w:rsidRPr="007B74B7">
        <w:rPr>
          <w:rFonts w:cs="Tahoma"/>
          <w:color w:val="000000"/>
          <w:szCs w:val="18"/>
          <w:lang w:val="it-IT"/>
        </w:rPr>
        <w:t xml:space="preserve">La società potrà desiderare di rivolgersi a un consulente fiscale prima di utilizzare tale vantaggio. Microsoft non si assume alcuna responsabilità riguardo alla conformità alle obbligazioni che la società o i suoi dipendenti potranno avere circa la relazione rapporto di lavoro-vantaggio, le imposte o le segnalazioni. </w:t>
      </w:r>
      <w:r w:rsidRPr="007B74B7">
        <w:rPr>
          <w:lang w:val="it-IT"/>
        </w:rPr>
        <w:t>Ulteriori condizioni che si applicano ai dipendenti che risiedono in Nuova Zelanda sono stabilite di seguito:</w:t>
      </w:r>
    </w:p>
    <w:p w:rsidR="00023FE7" w:rsidRPr="007B74B7" w:rsidRDefault="00023FE7" w:rsidP="00F93617">
      <w:pPr>
        <w:rPr>
          <w:lang w:val="it-IT"/>
        </w:rPr>
      </w:pPr>
    </w:p>
    <w:p w:rsidR="00023FE7" w:rsidRPr="007B74B7" w:rsidRDefault="00023FE7" w:rsidP="00E215F4">
      <w:pPr>
        <w:numPr>
          <w:ilvl w:val="0"/>
          <w:numId w:val="12"/>
        </w:numPr>
        <w:tabs>
          <w:tab w:val="left" w:pos="1440"/>
        </w:tabs>
        <w:spacing w:afterLines="60" w:after="144"/>
        <w:ind w:left="1440"/>
        <w:rPr>
          <w:lang w:val="it-IT"/>
        </w:rPr>
      </w:pPr>
      <w:r w:rsidRPr="007B74B7">
        <w:rPr>
          <w:lang w:val="it-IT"/>
        </w:rPr>
        <w:t>Le società non dovranno richiedere alcun pagamento o compenso ai dipendenti in relazione all</w:t>
      </w:r>
      <w:r w:rsidR="007A1415" w:rsidRPr="007B74B7">
        <w:rPr>
          <w:lang w:val="it-IT"/>
        </w:rPr>
        <w:t>’</w:t>
      </w:r>
      <w:r w:rsidRPr="007B74B7">
        <w:rPr>
          <w:lang w:val="it-IT"/>
        </w:rPr>
        <w:t>HUP né dovranno svolgere o omettere di svolgere azioni che avrebbero come conseguenza l</w:t>
      </w:r>
      <w:r w:rsidR="007A1415" w:rsidRPr="007B74B7">
        <w:rPr>
          <w:lang w:val="it-IT"/>
        </w:rPr>
        <w:t>’</w:t>
      </w:r>
      <w:r w:rsidRPr="007B74B7">
        <w:rPr>
          <w:lang w:val="it-IT"/>
        </w:rPr>
        <w:t xml:space="preserve">aumento del costo totale dei vantaggi HUP per qualsiasi dipendente residente in Nuova Zelanda al di là di qualsiasi importo addebitato da Microsoft. </w:t>
      </w:r>
    </w:p>
    <w:p w:rsidR="00023FE7" w:rsidRPr="007B74B7" w:rsidRDefault="00023FE7" w:rsidP="00F93617">
      <w:pPr>
        <w:numPr>
          <w:ilvl w:val="0"/>
          <w:numId w:val="12"/>
        </w:numPr>
        <w:tabs>
          <w:tab w:val="left" w:pos="1440"/>
        </w:tabs>
        <w:ind w:left="1440"/>
        <w:rPr>
          <w:lang w:val="it-IT"/>
        </w:rPr>
      </w:pPr>
      <w:r w:rsidRPr="007B74B7">
        <w:rPr>
          <w:lang w:val="it-IT"/>
        </w:rPr>
        <w:t xml:space="preserve">Le società dovranno indennizzare e garantire che Microsoft e le relative consociate siano indennizzate e sollevate da qualsiasi costo, spesa, perdita o danno riportato da Microsoft o dalle sue consociate derivante dalla mancata conformità alle obbligazioni previste nella presente sezione. </w:t>
      </w:r>
    </w:p>
    <w:p w:rsidR="00023FE7" w:rsidRPr="007B74B7" w:rsidRDefault="00023FE7" w:rsidP="00F93617">
      <w:pPr>
        <w:rPr>
          <w:lang w:val="it-IT"/>
        </w:rPr>
      </w:pPr>
    </w:p>
    <w:p w:rsidR="00023FE7" w:rsidRPr="007B74B7" w:rsidRDefault="00023FE7" w:rsidP="002D25C8">
      <w:pPr>
        <w:rPr>
          <w:lang w:val="it-IT"/>
        </w:rPr>
      </w:pPr>
      <w:r w:rsidRPr="007B74B7">
        <w:rPr>
          <w:rFonts w:cs="Tahoma"/>
          <w:szCs w:val="18"/>
          <w:lang w:val="it-IT"/>
        </w:rPr>
        <w:t>L</w:t>
      </w:r>
      <w:r w:rsidR="007A1415" w:rsidRPr="007B74B7">
        <w:rPr>
          <w:rFonts w:cs="Tahoma"/>
          <w:szCs w:val="18"/>
          <w:lang w:val="it-IT"/>
        </w:rPr>
        <w:t>’</w:t>
      </w:r>
      <w:r w:rsidRPr="007B74B7">
        <w:rPr>
          <w:rFonts w:cs="Tahoma"/>
          <w:szCs w:val="18"/>
          <w:lang w:val="it-IT"/>
        </w:rPr>
        <w:t>elenco di applicazioni desktop qualificanti è soggetto a modifica in qualsiasi momento e senza alcuna comunicazione e varia in base alla regione o all</w:t>
      </w:r>
      <w:r w:rsidR="007A1415" w:rsidRPr="007B74B7">
        <w:rPr>
          <w:rFonts w:cs="Tahoma"/>
          <w:szCs w:val="18"/>
          <w:lang w:val="it-IT"/>
        </w:rPr>
        <w:t>’</w:t>
      </w:r>
      <w:r w:rsidRPr="007B74B7">
        <w:rPr>
          <w:rFonts w:cs="Tahoma"/>
          <w:szCs w:val="18"/>
          <w:lang w:val="it-IT"/>
        </w:rPr>
        <w:t>offerta. La disponibilità del software Home Use Program è soggetta a modifica in</w:t>
      </w:r>
      <w:r w:rsidR="007462CD" w:rsidRPr="007B74B7">
        <w:rPr>
          <w:rFonts w:cs="Tahoma"/>
          <w:szCs w:val="18"/>
          <w:lang w:val="it-IT"/>
        </w:rPr>
        <w:t> </w:t>
      </w:r>
      <w:r w:rsidRPr="007B74B7">
        <w:rPr>
          <w:rFonts w:cs="Tahoma"/>
          <w:szCs w:val="18"/>
          <w:lang w:val="it-IT"/>
        </w:rPr>
        <w:t>qualsiasi momento e senza alcuna comunicazione e varia in base alla regione, all</w:t>
      </w:r>
      <w:r w:rsidR="007A1415" w:rsidRPr="007B74B7">
        <w:rPr>
          <w:rFonts w:cs="Tahoma"/>
          <w:szCs w:val="18"/>
          <w:lang w:val="it-IT"/>
        </w:rPr>
        <w:t>’</w:t>
      </w:r>
      <w:r w:rsidRPr="007B74B7">
        <w:rPr>
          <w:rFonts w:cs="Tahoma"/>
          <w:szCs w:val="18"/>
          <w:lang w:val="it-IT"/>
        </w:rPr>
        <w:t>offerta, all</w:t>
      </w:r>
      <w:r w:rsidR="007A1415" w:rsidRPr="007B74B7">
        <w:rPr>
          <w:rFonts w:cs="Tahoma"/>
          <w:szCs w:val="18"/>
          <w:lang w:val="it-IT"/>
        </w:rPr>
        <w:t>’</w:t>
      </w:r>
      <w:r w:rsidRPr="007B74B7">
        <w:rPr>
          <w:rFonts w:cs="Tahoma"/>
          <w:szCs w:val="18"/>
          <w:lang w:val="it-IT"/>
        </w:rPr>
        <w:t>applicazione, alla</w:t>
      </w:r>
      <w:r w:rsidR="007462CD" w:rsidRPr="007B74B7">
        <w:rPr>
          <w:rFonts w:cs="Tahoma"/>
          <w:szCs w:val="18"/>
          <w:lang w:val="it-IT"/>
        </w:rPr>
        <w:t> </w:t>
      </w:r>
      <w:r w:rsidRPr="007B74B7">
        <w:rPr>
          <w:rFonts w:cs="Tahoma"/>
          <w:szCs w:val="18"/>
          <w:lang w:val="it-IT"/>
        </w:rPr>
        <w:t>versione e alla lingua.</w:t>
      </w:r>
    </w:p>
    <w:p w:rsidR="00023FE7" w:rsidRPr="007B74B7" w:rsidRDefault="00023FE7" w:rsidP="002D25C8">
      <w:pPr>
        <w:rPr>
          <w:lang w:val="it-IT"/>
        </w:rPr>
      </w:pPr>
    </w:p>
    <w:p w:rsidR="00023FE7" w:rsidRPr="007B74B7" w:rsidRDefault="00502827" w:rsidP="008F7246">
      <w:pPr>
        <w:rPr>
          <w:lang w:val="it-IT"/>
        </w:rPr>
      </w:pPr>
      <w:r w:rsidRPr="007B74B7">
        <w:rPr>
          <w:rFonts w:cs="Tahoma"/>
          <w:szCs w:val="18"/>
          <w:lang w:val="it-IT"/>
        </w:rPr>
        <w:t>In Microsoft Office Professional Plus HUP sono inclusi i seguenti programmi Microsoft Office:</w:t>
      </w:r>
    </w:p>
    <w:p w:rsidR="00023FE7" w:rsidRPr="007B74B7" w:rsidRDefault="00023FE7" w:rsidP="008F7246">
      <w:pPr>
        <w:rPr>
          <w:lang w:val="it-IT"/>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BD7CEA" w:rsidTr="00BF1889">
        <w:trPr>
          <w:trHeight w:val="60"/>
        </w:trPr>
        <w:tc>
          <w:tcPr>
            <w:tcW w:w="4437" w:type="dxa"/>
            <w:shd w:val="clear" w:color="auto" w:fill="FABF8F"/>
            <w:tcMar>
              <w:top w:w="0" w:type="dxa"/>
              <w:left w:w="108" w:type="dxa"/>
              <w:bottom w:w="0" w:type="dxa"/>
              <w:right w:w="108" w:type="dxa"/>
            </w:tcMar>
            <w:vAlign w:val="center"/>
          </w:tcPr>
          <w:p w:rsidR="00CA6072" w:rsidRPr="00BD7CEA" w:rsidRDefault="00CA6072" w:rsidP="008F7246">
            <w:pPr>
              <w:pStyle w:val="appendixtableheadings0"/>
            </w:pPr>
            <w:r w:rsidRPr="00BD7CEA">
              <w:rPr>
                <w:rFonts w:ascii="Tahoma" w:hAnsi="Tahoma" w:cs="Tahoma"/>
                <w:color w:val="000000"/>
                <w:sz w:val="20"/>
                <w:szCs w:val="20"/>
              </w:rPr>
              <w:t>Componenti Office Professional Plus per</w:t>
            </w:r>
            <w:r w:rsidR="007462CD" w:rsidRPr="00BD7CEA">
              <w:rPr>
                <w:rFonts w:ascii="Tahoma" w:hAnsi="Tahoma" w:cs="Tahoma"/>
                <w:color w:val="000000"/>
                <w:sz w:val="20"/>
                <w:szCs w:val="20"/>
              </w:rPr>
              <w:t> </w:t>
            </w:r>
            <w:r w:rsidRPr="00BD7CEA">
              <w:rPr>
                <w:rFonts w:ascii="Tahoma" w:hAnsi="Tahoma" w:cs="Tahoma"/>
                <w:color w:val="000000"/>
                <w:sz w:val="20"/>
                <w:szCs w:val="20"/>
              </w:rPr>
              <w:t xml:space="preserve">HUP </w:t>
            </w:r>
          </w:p>
          <w:p w:rsidR="00023FE7" w:rsidRPr="00BD7CEA" w:rsidRDefault="00023FE7" w:rsidP="008F7246">
            <w:pPr>
              <w:pStyle w:val="appendixtableheadings0"/>
              <w:rPr>
                <w:rFonts w:ascii="Tahoma" w:hAnsi="Tahoma" w:cs="Tahoma"/>
                <w:color w:val="000000"/>
                <w:sz w:val="20"/>
                <w:szCs w:val="20"/>
              </w:rPr>
            </w:pPr>
          </w:p>
        </w:tc>
      </w:tr>
      <w:tr w:rsidR="00023FE7" w:rsidRPr="00BD7CEA" w:rsidTr="00BF1889">
        <w:trPr>
          <w:trHeight w:val="438"/>
        </w:trPr>
        <w:tc>
          <w:tcPr>
            <w:tcW w:w="4437" w:type="dxa"/>
            <w:tcMar>
              <w:top w:w="0" w:type="dxa"/>
              <w:left w:w="108" w:type="dxa"/>
              <w:bottom w:w="0" w:type="dxa"/>
              <w:right w:w="108" w:type="dxa"/>
            </w:tcMar>
            <w:vAlign w:val="center"/>
          </w:tcPr>
          <w:p w:rsidR="00CA6072" w:rsidRPr="00BD7CEA" w:rsidRDefault="00CA6072" w:rsidP="008F7246">
            <w:pPr>
              <w:pStyle w:val="appendixtabletext0"/>
            </w:pPr>
            <w:r w:rsidRPr="00BD7CEA">
              <w:rPr>
                <w:rFonts w:ascii="Tahoma" w:hAnsi="Tahoma" w:cs="Tahoma"/>
                <w:color w:val="000000"/>
              </w:rPr>
              <w:t>Word 2013</w:t>
            </w:r>
          </w:p>
          <w:p w:rsidR="00CA6072" w:rsidRPr="00BD7CEA" w:rsidRDefault="00CA6072" w:rsidP="008F7246">
            <w:pPr>
              <w:pStyle w:val="appendixtabletext0"/>
            </w:pPr>
            <w:r w:rsidRPr="00BD7CEA">
              <w:rPr>
                <w:rFonts w:ascii="Tahoma" w:hAnsi="Tahoma" w:cs="Tahoma"/>
                <w:color w:val="000000"/>
              </w:rPr>
              <w:t>Excel</w:t>
            </w:r>
            <w:r w:rsidR="00700C4B" w:rsidRPr="00BD7CEA">
              <w:rPr>
                <w:rFonts w:ascii="Tahoma" w:hAnsi="Tahoma" w:cs="Tahoma"/>
                <w:color w:val="000000"/>
                <w:vertAlign w:val="superscript"/>
              </w:rPr>
              <w:t>®</w:t>
            </w:r>
            <w:r w:rsidRPr="00BD7CEA">
              <w:rPr>
                <w:rFonts w:ascii="Tahoma" w:hAnsi="Tahoma" w:cs="Tahoma"/>
                <w:color w:val="000000"/>
              </w:rPr>
              <w:t xml:space="preserve"> 2013</w:t>
            </w:r>
          </w:p>
          <w:p w:rsidR="00CA6072" w:rsidRPr="00BD7CEA" w:rsidRDefault="00CA6072" w:rsidP="008F7246">
            <w:pPr>
              <w:pStyle w:val="appendixtabletext0"/>
            </w:pPr>
            <w:r w:rsidRPr="00BD7CEA">
              <w:rPr>
                <w:rFonts w:ascii="Tahoma" w:hAnsi="Tahoma" w:cs="Tahoma"/>
                <w:color w:val="000000"/>
              </w:rPr>
              <w:t>PowerPoint</w:t>
            </w:r>
            <w:r w:rsidR="00700C4B" w:rsidRPr="00BD7CEA">
              <w:rPr>
                <w:rFonts w:ascii="Tahoma" w:hAnsi="Tahoma" w:cs="Tahoma"/>
                <w:color w:val="000000"/>
                <w:vertAlign w:val="superscript"/>
              </w:rPr>
              <w:t>®</w:t>
            </w:r>
            <w:r w:rsidRPr="00BD7CEA">
              <w:rPr>
                <w:rFonts w:ascii="Tahoma" w:hAnsi="Tahoma" w:cs="Tahoma"/>
                <w:color w:val="000000"/>
              </w:rPr>
              <w:t xml:space="preserve"> 2013</w:t>
            </w:r>
          </w:p>
          <w:p w:rsidR="00CA6072" w:rsidRPr="00BD7CEA" w:rsidRDefault="00CA6072" w:rsidP="008F7246">
            <w:pPr>
              <w:pStyle w:val="appendixtabletext0"/>
            </w:pPr>
            <w:r w:rsidRPr="00BD7CEA">
              <w:rPr>
                <w:rFonts w:ascii="Tahoma" w:hAnsi="Tahoma" w:cs="Tahoma"/>
                <w:color w:val="000000"/>
              </w:rPr>
              <w:t>Outlook</w:t>
            </w:r>
            <w:r w:rsidR="00700C4B" w:rsidRPr="00BD7CEA">
              <w:rPr>
                <w:rFonts w:ascii="Tahoma" w:hAnsi="Tahoma" w:cs="Tahoma"/>
                <w:color w:val="000000"/>
                <w:vertAlign w:val="superscript"/>
              </w:rPr>
              <w:t>®</w:t>
            </w:r>
            <w:r w:rsidRPr="00BD7CEA">
              <w:rPr>
                <w:rFonts w:ascii="Tahoma" w:hAnsi="Tahoma" w:cs="Tahoma"/>
                <w:color w:val="000000"/>
              </w:rPr>
              <w:t xml:space="preserve"> 2013</w:t>
            </w:r>
          </w:p>
          <w:p w:rsidR="00CA6072" w:rsidRPr="00BD7CEA" w:rsidRDefault="00CA6072" w:rsidP="008F7246">
            <w:pPr>
              <w:pStyle w:val="appendixtabletext0"/>
            </w:pPr>
            <w:r w:rsidRPr="00BD7CEA">
              <w:rPr>
                <w:rFonts w:ascii="Tahoma" w:hAnsi="Tahoma" w:cs="Tahoma"/>
                <w:color w:val="000000"/>
              </w:rPr>
              <w:t>Publisher 2013</w:t>
            </w:r>
          </w:p>
          <w:p w:rsidR="00CA6072" w:rsidRPr="00BD7CEA" w:rsidRDefault="00CA6072" w:rsidP="008F7246">
            <w:pPr>
              <w:pStyle w:val="appendixtabletext0"/>
            </w:pPr>
            <w:r w:rsidRPr="00BD7CEA">
              <w:rPr>
                <w:rFonts w:ascii="Tahoma" w:hAnsi="Tahoma" w:cs="Tahoma"/>
                <w:color w:val="000000"/>
              </w:rPr>
              <w:t>Access</w:t>
            </w:r>
            <w:r w:rsidR="00700C4B" w:rsidRPr="00BD7CEA">
              <w:rPr>
                <w:rFonts w:ascii="Tahoma" w:hAnsi="Tahoma" w:cs="Tahoma"/>
                <w:color w:val="000000"/>
                <w:vertAlign w:val="superscript"/>
              </w:rPr>
              <w:t>®</w:t>
            </w:r>
            <w:r w:rsidRPr="00BD7CEA">
              <w:rPr>
                <w:rFonts w:ascii="Tahoma" w:hAnsi="Tahoma" w:cs="Tahoma"/>
                <w:color w:val="000000"/>
              </w:rPr>
              <w:t xml:space="preserve"> 2013</w:t>
            </w:r>
          </w:p>
          <w:p w:rsidR="00CA6072" w:rsidRPr="00BD7CEA" w:rsidRDefault="00CA6072" w:rsidP="008F7246">
            <w:pPr>
              <w:pStyle w:val="appendixtabletext0"/>
            </w:pPr>
            <w:r w:rsidRPr="00BD7CEA">
              <w:rPr>
                <w:rFonts w:ascii="Tahoma" w:hAnsi="Tahoma" w:cs="Tahoma"/>
                <w:color w:val="000000"/>
              </w:rPr>
              <w:t>OneNote</w:t>
            </w:r>
            <w:r w:rsidR="00700C4B" w:rsidRPr="00BD7CEA">
              <w:rPr>
                <w:rFonts w:ascii="Tahoma" w:hAnsi="Tahoma" w:cs="Tahoma"/>
                <w:color w:val="000000"/>
                <w:vertAlign w:val="superscript"/>
              </w:rPr>
              <w:t>®</w:t>
            </w:r>
            <w:r w:rsidRPr="00BD7CEA">
              <w:rPr>
                <w:rFonts w:ascii="Tahoma" w:hAnsi="Tahoma" w:cs="Tahoma"/>
                <w:color w:val="000000"/>
              </w:rPr>
              <w:t xml:space="preserve"> 2013</w:t>
            </w:r>
          </w:p>
          <w:p w:rsidR="00CA6072" w:rsidRPr="00BD7CEA" w:rsidRDefault="00CA6072" w:rsidP="008F7246">
            <w:pPr>
              <w:pStyle w:val="appendixtabletext0"/>
            </w:pPr>
            <w:r w:rsidRPr="00BD7CEA">
              <w:rPr>
                <w:rFonts w:ascii="Tahoma" w:hAnsi="Tahoma" w:cs="Tahoma"/>
                <w:color w:val="000000"/>
              </w:rPr>
              <w:t>InfoPath</w:t>
            </w:r>
            <w:r w:rsidR="00700C4B" w:rsidRPr="00BD7CEA">
              <w:rPr>
                <w:rFonts w:ascii="Tahoma" w:hAnsi="Tahoma" w:cs="Tahoma"/>
                <w:color w:val="000000"/>
                <w:vertAlign w:val="superscript"/>
              </w:rPr>
              <w:t>®</w:t>
            </w:r>
            <w:r w:rsidRPr="00BD7CEA">
              <w:rPr>
                <w:rFonts w:ascii="Tahoma" w:hAnsi="Tahoma" w:cs="Tahoma"/>
                <w:color w:val="000000"/>
              </w:rPr>
              <w:t xml:space="preserve"> 2013</w:t>
            </w:r>
          </w:p>
          <w:p w:rsidR="002D25C8" w:rsidRPr="00BD7CEA" w:rsidRDefault="00B9674D" w:rsidP="004069D6">
            <w:pPr>
              <w:pStyle w:val="appendixtabletext0"/>
              <w:rPr>
                <w:rFonts w:ascii="Tahoma" w:hAnsi="Tahoma" w:cs="Tahoma"/>
                <w:color w:val="000000"/>
              </w:rPr>
            </w:pPr>
            <w:r w:rsidRPr="00BD7CEA">
              <w:rPr>
                <w:rFonts w:ascii="Tahoma" w:hAnsi="Tahoma" w:cs="Tahoma"/>
                <w:color w:val="000000"/>
              </w:rPr>
              <w:t>Lync 2013</w:t>
            </w:r>
          </w:p>
        </w:tc>
      </w:tr>
    </w:tbl>
    <w:p w:rsidR="007462CD" w:rsidRPr="00BD7CEA" w:rsidRDefault="007462CD"/>
    <w:tbl>
      <w:tblPr>
        <w:tblW w:w="0" w:type="auto"/>
        <w:tblInd w:w="711" w:type="dxa"/>
        <w:tblCellMar>
          <w:left w:w="0" w:type="dxa"/>
          <w:right w:w="0" w:type="dxa"/>
        </w:tblCellMar>
        <w:tblLook w:val="04A0" w:firstRow="1" w:lastRow="0" w:firstColumn="1" w:lastColumn="0" w:noHBand="0" w:noVBand="1"/>
      </w:tblPr>
      <w:tblGrid>
        <w:gridCol w:w="4399"/>
        <w:gridCol w:w="3787"/>
      </w:tblGrid>
      <w:tr w:rsidR="00CA6072" w:rsidRPr="007B74B7" w:rsidTr="00CA3658">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BD7CEA" w:rsidRDefault="00CA6072" w:rsidP="001B035A">
            <w:pPr>
              <w:pStyle w:val="appendixtableheadings0"/>
              <w:rPr>
                <w:rFonts w:ascii="Tahoma" w:hAnsi="Tahoma" w:cs="Tahoma"/>
                <w:color w:val="000000"/>
                <w:sz w:val="20"/>
                <w:szCs w:val="20"/>
              </w:rPr>
            </w:pPr>
            <w:r w:rsidRPr="00BD7CEA">
              <w:rPr>
                <w:rFonts w:ascii="Tahoma" w:hAnsi="Tahoma" w:cs="Tahoma"/>
                <w:color w:val="000000"/>
                <w:sz w:val="20"/>
                <w:szCs w:val="20"/>
              </w:rPr>
              <w:t>Applicazioni Desktop Qualificanti</w:t>
            </w:r>
          </w:p>
        </w:tc>
        <w:tc>
          <w:tcPr>
            <w:tcW w:w="37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7B74B7" w:rsidRDefault="00CA6072" w:rsidP="001B035A">
            <w:pPr>
              <w:pStyle w:val="appendixtableheadings0"/>
              <w:rPr>
                <w:rFonts w:ascii="Tahoma" w:hAnsi="Tahoma" w:cs="Tahoma"/>
                <w:color w:val="000000"/>
                <w:sz w:val="20"/>
                <w:szCs w:val="20"/>
                <w:lang w:val="it-IT"/>
              </w:rPr>
            </w:pPr>
            <w:r w:rsidRPr="007B74B7">
              <w:rPr>
                <w:rFonts w:ascii="Tahoma" w:hAnsi="Tahoma" w:cs="Tahoma"/>
                <w:color w:val="000000"/>
                <w:sz w:val="20"/>
                <w:szCs w:val="20"/>
                <w:lang w:val="it-IT"/>
              </w:rPr>
              <w:t xml:space="preserve">Licenza per Home Use </w:t>
            </w:r>
            <w:r w:rsidRPr="007B74B7">
              <w:rPr>
                <w:rFonts w:ascii="Tahoma" w:hAnsi="Tahoma" w:cs="Tahoma"/>
                <w:color w:val="000000"/>
                <w:sz w:val="20"/>
                <w:szCs w:val="20"/>
                <w:lang w:val="it-IT"/>
              </w:rPr>
              <w:br/>
              <w:t>Program Corrispondente</w:t>
            </w:r>
          </w:p>
        </w:tc>
      </w:tr>
      <w:tr w:rsidR="004D700D" w:rsidRPr="00BD7CEA" w:rsidTr="00CA3658">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BD7CEA" w:rsidRDefault="004D700D" w:rsidP="001B035A">
            <w:pPr>
              <w:pStyle w:val="appendixtabletext0"/>
            </w:pPr>
            <w:r w:rsidRPr="00BD7CEA">
              <w:rPr>
                <w:rFonts w:ascii="Tahoma" w:hAnsi="Tahoma" w:cs="Tahoma"/>
                <w:color w:val="000000"/>
              </w:rPr>
              <w:t>Office Standard 2010/2013</w:t>
            </w:r>
          </w:p>
          <w:p w:rsidR="004D700D" w:rsidRPr="00BD7CEA" w:rsidRDefault="004D700D" w:rsidP="001B035A">
            <w:pPr>
              <w:pStyle w:val="appendixtabletext0"/>
            </w:pPr>
            <w:r w:rsidRPr="00BD7CEA">
              <w:rPr>
                <w:rFonts w:ascii="Tahoma" w:hAnsi="Tahoma" w:cs="Tahoma"/>
                <w:color w:val="000000"/>
              </w:rPr>
              <w:t>Office Professional Plus 2010/2013</w:t>
            </w:r>
          </w:p>
          <w:p w:rsidR="004D700D" w:rsidRPr="00BD7CEA" w:rsidRDefault="004D700D" w:rsidP="00C37E9D">
            <w:pPr>
              <w:pStyle w:val="appendixtabletext0"/>
              <w:rPr>
                <w:rFonts w:ascii="Tahoma" w:hAnsi="Tahoma" w:cs="Tahoma"/>
                <w:color w:val="000000"/>
              </w:rPr>
            </w:pPr>
            <w:r w:rsidRPr="00BD7CEA">
              <w:rPr>
                <w:rFonts w:ascii="Tahoma" w:hAnsi="Tahoma" w:cs="Tahoma"/>
                <w:color w:val="000000"/>
              </w:rPr>
              <w:t xml:space="preserve">Office per Mac 2008 / Office per Mac Standard 2011 </w:t>
            </w:r>
          </w:p>
        </w:tc>
        <w:tc>
          <w:tcPr>
            <w:tcW w:w="3787"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BD7CEA" w:rsidRDefault="004D700D" w:rsidP="00735622">
            <w:pPr>
              <w:pStyle w:val="appendixtabletext0"/>
            </w:pPr>
            <w:r w:rsidRPr="00BD7CEA">
              <w:rPr>
                <w:rFonts w:ascii="Tahoma" w:hAnsi="Tahoma" w:cs="Tahoma"/>
                <w:color w:val="000000"/>
              </w:rPr>
              <w:t>Office Professional Plus 2013 HUP</w:t>
            </w:r>
          </w:p>
          <w:p w:rsidR="004D700D" w:rsidRPr="00BD7CEA" w:rsidRDefault="004D700D" w:rsidP="00735622">
            <w:pPr>
              <w:pStyle w:val="appendixtabletext0"/>
            </w:pPr>
            <w:r w:rsidRPr="00BD7CEA">
              <w:rPr>
                <w:rFonts w:ascii="Tahoma" w:hAnsi="Tahoma" w:cs="Tahoma"/>
                <w:color w:val="000000"/>
              </w:rPr>
              <w:t>o</w:t>
            </w:r>
          </w:p>
          <w:p w:rsidR="004D700D" w:rsidRPr="00BD7CEA" w:rsidRDefault="00E316C2" w:rsidP="00C37E9D">
            <w:pPr>
              <w:pStyle w:val="appendixtabletext0"/>
              <w:rPr>
                <w:rFonts w:ascii="Tahoma" w:hAnsi="Tahoma" w:cs="Tahoma"/>
                <w:color w:val="000000"/>
              </w:rPr>
            </w:pPr>
            <w:r w:rsidRPr="00BD7CEA">
              <w:rPr>
                <w:rFonts w:ascii="Tahoma" w:hAnsi="Tahoma" w:cs="Tahoma"/>
                <w:color w:val="000000"/>
              </w:rPr>
              <w:t>Office per Mac Home &amp; Business 2011 HUP</w:t>
            </w:r>
          </w:p>
        </w:tc>
      </w:tr>
      <w:tr w:rsidR="004D700D" w:rsidRPr="00BD7CEA" w:rsidTr="00CA3658">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BD7CEA" w:rsidRDefault="004D700D" w:rsidP="001B035A">
            <w:pPr>
              <w:pStyle w:val="appendixtabletext0"/>
            </w:pPr>
            <w:r w:rsidRPr="00BD7CEA">
              <w:rPr>
                <w:rFonts w:ascii="Tahoma" w:hAnsi="Tahoma" w:cs="Tahoma"/>
                <w:color w:val="000000"/>
              </w:rPr>
              <w:t>Access 2010/2013</w:t>
            </w:r>
          </w:p>
          <w:p w:rsidR="004D700D" w:rsidRPr="00BD7CEA" w:rsidRDefault="004D700D" w:rsidP="001B035A">
            <w:pPr>
              <w:pStyle w:val="appendixtabletext0"/>
            </w:pPr>
            <w:r w:rsidRPr="00BD7CEA">
              <w:rPr>
                <w:rFonts w:ascii="Tahoma" w:hAnsi="Tahoma" w:cs="Tahoma"/>
                <w:color w:val="000000"/>
              </w:rPr>
              <w:t>Excel 2010/2013</w:t>
            </w:r>
          </w:p>
          <w:p w:rsidR="004D700D" w:rsidRPr="00BD7CEA" w:rsidRDefault="004D700D" w:rsidP="001B035A">
            <w:pPr>
              <w:pStyle w:val="appendixtabletext0"/>
            </w:pPr>
            <w:r w:rsidRPr="00BD7CEA">
              <w:rPr>
                <w:rFonts w:ascii="Tahoma" w:hAnsi="Tahoma" w:cs="Tahoma"/>
                <w:color w:val="000000"/>
              </w:rPr>
              <w:t>PowerPoint 2010/2013</w:t>
            </w:r>
          </w:p>
          <w:p w:rsidR="004D700D" w:rsidRPr="00BD7CEA" w:rsidRDefault="004D700D" w:rsidP="001B035A">
            <w:pPr>
              <w:pStyle w:val="appendixtabletext0"/>
            </w:pPr>
            <w:r w:rsidRPr="00BD7CEA">
              <w:rPr>
                <w:rFonts w:ascii="Tahoma" w:hAnsi="Tahoma" w:cs="Tahoma"/>
                <w:color w:val="000000"/>
              </w:rPr>
              <w:t>InfoPath 2010/2013</w:t>
            </w:r>
          </w:p>
          <w:p w:rsidR="004D700D" w:rsidRPr="00BD7CEA" w:rsidRDefault="004D700D" w:rsidP="001B035A">
            <w:pPr>
              <w:pStyle w:val="appendixtabletext0"/>
            </w:pPr>
            <w:r w:rsidRPr="00BD7CEA">
              <w:rPr>
                <w:rFonts w:ascii="Tahoma" w:hAnsi="Tahoma" w:cs="Tahoma"/>
                <w:color w:val="000000"/>
              </w:rPr>
              <w:t>OneNote 2010/2013</w:t>
            </w:r>
          </w:p>
          <w:p w:rsidR="004D700D" w:rsidRPr="00BD7CEA" w:rsidRDefault="004D700D" w:rsidP="001B035A">
            <w:pPr>
              <w:pStyle w:val="appendixtabletext0"/>
            </w:pPr>
            <w:r w:rsidRPr="00BD7CEA">
              <w:rPr>
                <w:rFonts w:ascii="Tahoma" w:hAnsi="Tahoma" w:cs="Tahoma"/>
                <w:color w:val="000000"/>
              </w:rPr>
              <w:t>Outlook 2010/2013</w:t>
            </w:r>
          </w:p>
          <w:p w:rsidR="004D700D" w:rsidRPr="00BD7CEA" w:rsidRDefault="004D700D" w:rsidP="001B035A">
            <w:pPr>
              <w:pStyle w:val="appendixtabletext0"/>
            </w:pPr>
            <w:r w:rsidRPr="00BD7CEA">
              <w:rPr>
                <w:rFonts w:ascii="Tahoma" w:hAnsi="Tahoma" w:cs="Tahoma"/>
                <w:color w:val="000000"/>
              </w:rPr>
              <w:t>Publisher 2010/2013</w:t>
            </w:r>
          </w:p>
          <w:p w:rsidR="004D700D" w:rsidRPr="00BD7CEA" w:rsidRDefault="004D700D" w:rsidP="00737AED">
            <w:pPr>
              <w:pStyle w:val="appendixtabletext0"/>
            </w:pPr>
            <w:r w:rsidRPr="00BD7CEA">
              <w:rPr>
                <w:rFonts w:ascii="Tahoma" w:hAnsi="Tahoma" w:cs="Tahoma"/>
                <w:color w:val="000000"/>
              </w:rPr>
              <w:t>Word 2010/2013</w:t>
            </w:r>
          </w:p>
          <w:p w:rsidR="00737AED" w:rsidRPr="00BD7CEA" w:rsidRDefault="00737AED" w:rsidP="00737AED">
            <w:pPr>
              <w:pStyle w:val="appendixtabletext0"/>
              <w:rPr>
                <w:rFonts w:ascii="Tahoma" w:hAnsi="Tahoma" w:cs="Tahoma"/>
                <w:color w:val="000000"/>
              </w:rPr>
            </w:pPr>
          </w:p>
        </w:tc>
        <w:tc>
          <w:tcPr>
            <w:tcW w:w="3787"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BD7CEA" w:rsidRDefault="004D700D" w:rsidP="00735622">
            <w:pPr>
              <w:pStyle w:val="appendixtabletext0"/>
            </w:pPr>
            <w:r w:rsidRPr="00BD7CEA">
              <w:rPr>
                <w:rFonts w:ascii="Tahoma" w:hAnsi="Tahoma" w:cs="Tahoma"/>
                <w:color w:val="000000"/>
              </w:rPr>
              <w:t>Office Professional Plus 2013 HUP</w:t>
            </w:r>
          </w:p>
          <w:p w:rsidR="004D700D" w:rsidRPr="00BD7CEA" w:rsidRDefault="004D700D" w:rsidP="00735622">
            <w:pPr>
              <w:pStyle w:val="appendixtabletext0"/>
            </w:pPr>
            <w:r w:rsidRPr="00BD7CEA">
              <w:rPr>
                <w:rFonts w:ascii="Tahoma" w:hAnsi="Tahoma" w:cs="Tahoma"/>
                <w:color w:val="000000"/>
              </w:rPr>
              <w:t>o</w:t>
            </w:r>
          </w:p>
          <w:p w:rsidR="004D700D" w:rsidRPr="00BD7CEA" w:rsidRDefault="00E316C2" w:rsidP="00C37E9D">
            <w:pPr>
              <w:pStyle w:val="appendixtabletext0"/>
              <w:rPr>
                <w:rFonts w:ascii="Tahoma" w:hAnsi="Tahoma" w:cs="Tahoma"/>
                <w:color w:val="000000"/>
              </w:rPr>
            </w:pPr>
            <w:r w:rsidRPr="00BD7CEA">
              <w:rPr>
                <w:rFonts w:ascii="Tahoma" w:hAnsi="Tahoma" w:cs="Tahoma"/>
                <w:color w:val="000000"/>
              </w:rPr>
              <w:t>Office per Mac Home &amp; Business 2011 HUP</w:t>
            </w:r>
          </w:p>
        </w:tc>
      </w:tr>
      <w:tr w:rsidR="00CA6072" w:rsidRPr="00BD7CEA" w:rsidTr="00CA3658">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BD7CEA" w:rsidRDefault="00CA6072" w:rsidP="001B035A">
            <w:pPr>
              <w:pStyle w:val="appendixtabletext0"/>
            </w:pPr>
            <w:r w:rsidRPr="00BD7CEA">
              <w:rPr>
                <w:rFonts w:ascii="Tahoma" w:hAnsi="Tahoma" w:cs="Tahoma"/>
                <w:color w:val="000000"/>
              </w:rPr>
              <w:lastRenderedPageBreak/>
              <w:t xml:space="preserve">Visio Standard 2010/2013 </w:t>
            </w:r>
          </w:p>
          <w:p w:rsidR="00502827" w:rsidRPr="00BD7CEA" w:rsidRDefault="00CA6072" w:rsidP="00502827">
            <w:pPr>
              <w:pStyle w:val="appendixtabletext0"/>
            </w:pPr>
            <w:r w:rsidRPr="00BD7CEA">
              <w:rPr>
                <w:rFonts w:ascii="Tahoma" w:hAnsi="Tahoma" w:cs="Tahoma"/>
                <w:color w:val="000000"/>
              </w:rPr>
              <w:t>Visio Professional 2010/2013</w:t>
            </w:r>
            <w:r w:rsidRPr="00BD7CEA">
              <w:rPr>
                <w:rFonts w:ascii="Tahoma" w:hAnsi="Tahoma" w:cs="Tahoma"/>
                <w:strike/>
                <w:color w:val="000000"/>
              </w:rPr>
              <w:t xml:space="preserve"> </w:t>
            </w:r>
          </w:p>
          <w:p w:rsidR="00502827" w:rsidRPr="00BD7CEA" w:rsidRDefault="00502827" w:rsidP="00502827">
            <w:pPr>
              <w:pStyle w:val="appendixtabletext0"/>
              <w:rPr>
                <w:rFonts w:ascii="Tahoma" w:hAnsi="Tahoma" w:cs="Tahoma"/>
                <w:color w:val="000000"/>
              </w:rPr>
            </w:pPr>
          </w:p>
        </w:tc>
        <w:tc>
          <w:tcPr>
            <w:tcW w:w="3787"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BD7CEA" w:rsidRDefault="00CA6072" w:rsidP="001B035A">
            <w:pPr>
              <w:pStyle w:val="appendixtabletext0"/>
            </w:pPr>
            <w:r w:rsidRPr="00BD7CEA">
              <w:rPr>
                <w:rFonts w:ascii="Tahoma" w:hAnsi="Tahoma" w:cs="Tahoma"/>
                <w:color w:val="000000"/>
              </w:rPr>
              <w:t>Visio Professional 2013 HUP</w:t>
            </w:r>
          </w:p>
          <w:p w:rsidR="00CA6072" w:rsidRPr="00BD7CEA" w:rsidRDefault="00CA6072" w:rsidP="001B035A">
            <w:pPr>
              <w:pStyle w:val="appendixtabletext0"/>
              <w:rPr>
                <w:rFonts w:ascii="Tahoma" w:hAnsi="Tahoma" w:cs="Tahoma"/>
                <w:color w:val="000000"/>
              </w:rPr>
            </w:pPr>
          </w:p>
        </w:tc>
      </w:tr>
      <w:tr w:rsidR="00CA6072" w:rsidRPr="00BD7CEA" w:rsidTr="00CA3658">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BD7CEA" w:rsidRDefault="00CA6072" w:rsidP="001B035A">
            <w:pPr>
              <w:pStyle w:val="appendixtabletext0"/>
            </w:pPr>
            <w:r w:rsidRPr="00BD7CEA">
              <w:rPr>
                <w:rFonts w:ascii="Tahoma" w:hAnsi="Tahoma" w:cs="Tahoma"/>
                <w:color w:val="000000"/>
              </w:rPr>
              <w:t>Project Standard 2010/2013</w:t>
            </w:r>
          </w:p>
          <w:p w:rsidR="00CA6072" w:rsidRPr="00BD7CEA" w:rsidRDefault="00CA6072" w:rsidP="001E3357">
            <w:pPr>
              <w:pStyle w:val="appendixtabletext0"/>
            </w:pPr>
            <w:r w:rsidRPr="00BD7CEA">
              <w:rPr>
                <w:rFonts w:ascii="Tahoma" w:hAnsi="Tahoma" w:cs="Tahoma"/>
                <w:color w:val="000000"/>
              </w:rPr>
              <w:t>Project Professional 2010/2013</w:t>
            </w:r>
          </w:p>
          <w:p w:rsidR="00737AED" w:rsidRPr="00BD7CEA" w:rsidRDefault="00737AED" w:rsidP="001E3357">
            <w:pPr>
              <w:pStyle w:val="appendixtabletext0"/>
              <w:rPr>
                <w:rFonts w:ascii="Tahoma" w:hAnsi="Tahoma" w:cs="Tahoma"/>
                <w:color w:val="000000"/>
              </w:rPr>
            </w:pPr>
          </w:p>
        </w:tc>
        <w:tc>
          <w:tcPr>
            <w:tcW w:w="3787"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BD7CEA" w:rsidRDefault="00CA6072" w:rsidP="001B035A">
            <w:pPr>
              <w:pStyle w:val="appendixtabletext0"/>
            </w:pPr>
            <w:r w:rsidRPr="00BD7CEA">
              <w:rPr>
                <w:rFonts w:ascii="Tahoma" w:hAnsi="Tahoma" w:cs="Tahoma"/>
                <w:color w:val="000000"/>
              </w:rPr>
              <w:t>Project Standard 2013 HUP</w:t>
            </w:r>
          </w:p>
          <w:p w:rsidR="00CA6072" w:rsidRPr="00BD7CEA" w:rsidRDefault="00CA6072" w:rsidP="001B035A">
            <w:pPr>
              <w:pStyle w:val="appendixtabletext0"/>
              <w:rPr>
                <w:rFonts w:ascii="Tahoma" w:hAnsi="Tahoma" w:cs="Tahoma"/>
                <w:color w:val="000000"/>
              </w:rPr>
            </w:pPr>
            <w:r w:rsidRPr="00BD7CEA">
              <w:rPr>
                <w:rFonts w:ascii="Tahoma" w:hAnsi="Tahoma" w:cs="Tahoma"/>
                <w:color w:val="000000"/>
              </w:rPr>
              <w:t xml:space="preserve"> </w:t>
            </w:r>
          </w:p>
        </w:tc>
      </w:tr>
    </w:tbl>
    <w:p w:rsidR="00023FE7" w:rsidRPr="007B74B7" w:rsidRDefault="00023FE7">
      <w:pPr>
        <w:pStyle w:val="AppendixBodyText"/>
        <w:ind w:left="630"/>
        <w:rPr>
          <w:lang w:val="it-IT"/>
        </w:rPr>
      </w:pPr>
      <w:r w:rsidRPr="007B74B7">
        <w:rPr>
          <w:rFonts w:ascii="Tahoma" w:hAnsi="Tahoma" w:cs="Tahoma"/>
          <w:b/>
          <w:i/>
          <w:sz w:val="16"/>
          <w:szCs w:val="16"/>
          <w:lang w:val="it-IT"/>
        </w:rPr>
        <w:t>*</w:t>
      </w:r>
      <w:r w:rsidR="007462CD" w:rsidRPr="007B74B7">
        <w:rPr>
          <w:rFonts w:ascii="Tahoma" w:hAnsi="Tahoma" w:cs="Tahoma"/>
          <w:b/>
          <w:i/>
          <w:sz w:val="16"/>
          <w:szCs w:val="16"/>
          <w:lang w:val="it-IT"/>
        </w:rPr>
        <w:t xml:space="preserve"> </w:t>
      </w:r>
      <w:r w:rsidRPr="007B74B7">
        <w:rPr>
          <w:rFonts w:ascii="Tahoma" w:hAnsi="Tahoma" w:cs="Tahoma"/>
          <w:i/>
          <w:sz w:val="16"/>
          <w:szCs w:val="16"/>
          <w:lang w:val="it-IT"/>
        </w:rPr>
        <w:t>La disponibilità del software Home Use Program varia in base alla regione, all</w:t>
      </w:r>
      <w:r w:rsidR="007A1415" w:rsidRPr="007B74B7">
        <w:rPr>
          <w:rFonts w:ascii="Tahoma" w:hAnsi="Tahoma" w:cs="Tahoma"/>
          <w:i/>
          <w:sz w:val="16"/>
          <w:szCs w:val="16"/>
          <w:lang w:val="it-IT"/>
        </w:rPr>
        <w:t>’</w:t>
      </w:r>
      <w:r w:rsidRPr="007B74B7">
        <w:rPr>
          <w:rFonts w:ascii="Tahoma" w:hAnsi="Tahoma" w:cs="Tahoma"/>
          <w:i/>
          <w:sz w:val="16"/>
          <w:szCs w:val="16"/>
          <w:lang w:val="it-IT"/>
        </w:rPr>
        <w:t xml:space="preserve">offerta e alla lingua. </w:t>
      </w:r>
    </w:p>
    <w:p w:rsidR="00023FE7" w:rsidRPr="007B74B7" w:rsidRDefault="00023FE7">
      <w:pPr>
        <w:pStyle w:val="AppendixBodyText"/>
        <w:ind w:left="630"/>
        <w:rPr>
          <w:lang w:val="it-IT"/>
        </w:rPr>
      </w:pPr>
      <w:r w:rsidRPr="007B74B7">
        <w:rPr>
          <w:rFonts w:ascii="Tahoma" w:hAnsi="Tahoma" w:cs="Tahoma"/>
          <w:i/>
          <w:sz w:val="16"/>
          <w:szCs w:val="16"/>
          <w:lang w:val="it-IT"/>
        </w:rPr>
        <w:t>Ulteriori informazioni, tra cui i dettagli relativi alla disponibilità futura del software aggiuntivo Home Use Program, sono reperibili all</w:t>
      </w:r>
      <w:r w:rsidR="007A1415" w:rsidRPr="007B74B7">
        <w:rPr>
          <w:rFonts w:ascii="Tahoma" w:hAnsi="Tahoma" w:cs="Tahoma"/>
          <w:i/>
          <w:sz w:val="16"/>
          <w:szCs w:val="16"/>
          <w:lang w:val="it-IT"/>
        </w:rPr>
        <w:t>’</w:t>
      </w:r>
      <w:r w:rsidRPr="007B74B7">
        <w:rPr>
          <w:rFonts w:ascii="Tahoma" w:hAnsi="Tahoma" w:cs="Tahoma"/>
          <w:i/>
          <w:sz w:val="16"/>
          <w:szCs w:val="16"/>
          <w:lang w:val="it-IT"/>
        </w:rPr>
        <w:t xml:space="preserve">indirizzo </w:t>
      </w:r>
      <w:hyperlink r:id="rId26" w:history="1">
        <w:r w:rsidRPr="007B74B7">
          <w:rPr>
            <w:rStyle w:val="Hyperlink"/>
            <w:rFonts w:ascii="Tahoma" w:hAnsi="Tahoma" w:cs="Tahoma"/>
            <w:i/>
            <w:sz w:val="16"/>
            <w:szCs w:val="16"/>
            <w:lang w:val="it-IT"/>
          </w:rPr>
          <w:t>http://www.microsoft.com/licensing</w:t>
        </w:r>
      </w:hyperlink>
      <w:r w:rsidRPr="007B74B7">
        <w:rPr>
          <w:rFonts w:ascii="Tahoma" w:hAnsi="Tahoma" w:cs="Tahoma"/>
          <w:i/>
          <w:sz w:val="16"/>
          <w:szCs w:val="16"/>
          <w:lang w:val="it-IT"/>
        </w:rPr>
        <w:t>.</w:t>
      </w:r>
    </w:p>
    <w:p w:rsidR="00023FE7" w:rsidRPr="007B74B7" w:rsidRDefault="00023FE7">
      <w:pPr>
        <w:pStyle w:val="AppendixBodyText"/>
        <w:ind w:left="630"/>
        <w:rPr>
          <w:lang w:val="it-IT"/>
        </w:rPr>
      </w:pPr>
      <w:r w:rsidRPr="007B74B7">
        <w:rPr>
          <w:rFonts w:ascii="Tahoma" w:hAnsi="Tahoma" w:cs="Tahoma"/>
          <w:i/>
          <w:sz w:val="16"/>
          <w:szCs w:val="16"/>
          <w:lang w:val="it-IT"/>
        </w:rPr>
        <w:t>** Nota per le società con Contratti Campus e School e Open Value Subscription-Education Solutions: fare riferimento ai</w:t>
      </w:r>
      <w:r w:rsidR="007462CD" w:rsidRPr="007B74B7">
        <w:rPr>
          <w:rFonts w:ascii="Tahoma" w:hAnsi="Tahoma" w:cs="Tahoma"/>
          <w:i/>
          <w:sz w:val="16"/>
          <w:szCs w:val="16"/>
          <w:lang w:val="it-IT"/>
        </w:rPr>
        <w:t> </w:t>
      </w:r>
      <w:r w:rsidRPr="007B74B7">
        <w:rPr>
          <w:rFonts w:ascii="Tahoma" w:hAnsi="Tahoma" w:cs="Tahoma"/>
          <w:i/>
          <w:sz w:val="16"/>
          <w:szCs w:val="16"/>
          <w:lang w:val="it-IT"/>
        </w:rPr>
        <w:t>contratti CASA (3.5 o versione superiore) o OVS-ES per conoscere ulteriori regole specifiche del programma.</w:t>
      </w:r>
    </w:p>
    <w:p w:rsidR="00023FE7" w:rsidRPr="007B74B7" w:rsidRDefault="00023FE7" w:rsidP="00BD1A6A">
      <w:pPr>
        <w:ind w:left="630"/>
        <w:rPr>
          <w:lang w:val="it-IT"/>
        </w:rPr>
      </w:pPr>
      <w:r w:rsidRPr="007B74B7">
        <w:rPr>
          <w:rFonts w:cs="Tahoma"/>
          <w:i/>
          <w:sz w:val="16"/>
          <w:szCs w:val="16"/>
          <w:lang w:val="it-IT"/>
        </w:rPr>
        <w:t xml:space="preserve">*** SharePoint Designer è ora un prodotto gratuito disponibile per il download facendo clic sul seguente collegamento </w:t>
      </w:r>
      <w:hyperlink r:id="rId27" w:history="1">
        <w:r w:rsidRPr="007B74B7">
          <w:rPr>
            <w:rStyle w:val="Hyperlink"/>
            <w:rFonts w:cs="Tahoma"/>
            <w:i/>
            <w:sz w:val="16"/>
            <w:szCs w:val="16"/>
            <w:lang w:val="it-IT"/>
          </w:rPr>
          <w:t>http://www.microsoft.com/spd</w:t>
        </w:r>
      </w:hyperlink>
    </w:p>
    <w:p w:rsidR="00CA395A" w:rsidRPr="007B74B7" w:rsidRDefault="00CA395A" w:rsidP="008A15A8">
      <w:pPr>
        <w:outlineLvl w:val="2"/>
        <w:rPr>
          <w:lang w:val="it-IT"/>
        </w:rPr>
      </w:pPr>
      <w:bookmarkStart w:id="792" w:name="_Toc281378922"/>
    </w:p>
    <w:p w:rsidR="008A15A8" w:rsidRPr="007B74B7" w:rsidRDefault="008A15A8" w:rsidP="002D25C8">
      <w:pPr>
        <w:outlineLvl w:val="2"/>
        <w:rPr>
          <w:lang w:val="it-IT"/>
        </w:rPr>
      </w:pPr>
      <w:r w:rsidRPr="007B74B7">
        <w:rPr>
          <w:rFonts w:eastAsia="Calibri" w:cs="Tahoma"/>
          <w:b/>
          <w:bCs/>
          <w:sz w:val="24"/>
          <w:szCs w:val="20"/>
          <w:lang w:val="it-IT"/>
        </w:rPr>
        <w:t>Enterprise Source Licensing Program</w:t>
      </w:r>
      <w:bookmarkEnd w:id="792"/>
      <w:r w:rsidRPr="007B74B7">
        <w:rPr>
          <w:rFonts w:eastAsia="Calibri" w:cs="Tahoma"/>
          <w:b/>
          <w:bCs/>
          <w:sz w:val="24"/>
          <w:szCs w:val="20"/>
          <w:lang w:val="it-IT"/>
        </w:rPr>
        <w:t xml:space="preserve"> </w:t>
      </w:r>
    </w:p>
    <w:p w:rsidR="001C20C9" w:rsidRPr="007B74B7" w:rsidRDefault="001C20C9" w:rsidP="002D25C8">
      <w:pPr>
        <w:outlineLvl w:val="2"/>
        <w:rPr>
          <w:lang w:val="it-IT"/>
        </w:rPr>
      </w:pPr>
    </w:p>
    <w:p w:rsidR="008A15A8" w:rsidRPr="007B74B7" w:rsidRDefault="008A15A8" w:rsidP="002D25C8">
      <w:pPr>
        <w:rPr>
          <w:lang w:val="it-IT"/>
        </w:rPr>
      </w:pPr>
      <w:r w:rsidRPr="007B74B7">
        <w:rPr>
          <w:rFonts w:eastAsia="Calibri" w:cs="Tahoma"/>
          <w:szCs w:val="18"/>
          <w:lang w:val="it-IT"/>
        </w:rPr>
        <w:t>Le società con Partecipazione a Software Assurance e con 1.500 o una quantità superiore di desktop con licenza nel</w:t>
      </w:r>
      <w:r w:rsidR="007462CD" w:rsidRPr="007B74B7">
        <w:rPr>
          <w:rFonts w:eastAsia="Calibri" w:cs="Tahoma"/>
          <w:szCs w:val="18"/>
          <w:lang w:val="it-IT"/>
        </w:rPr>
        <w:t> </w:t>
      </w:r>
      <w:r w:rsidRPr="007B74B7">
        <w:rPr>
          <w:rFonts w:eastAsia="Calibri" w:cs="Tahoma"/>
          <w:szCs w:val="18"/>
          <w:lang w:val="it-IT"/>
        </w:rPr>
        <w:t>pool di sistemi potranno essere idonee a partecipare al programma Enterprise Source Licensing Program (ESLP) durante il periodo di validità della copertura Software Assurance.</w:t>
      </w:r>
      <w:r w:rsidR="008D782D" w:rsidRPr="007B74B7">
        <w:rPr>
          <w:rFonts w:eastAsia="Calibri" w:cs="Tahoma"/>
          <w:szCs w:val="18"/>
          <w:lang w:val="it-IT"/>
        </w:rPr>
        <w:t xml:space="preserve"> </w:t>
      </w:r>
      <w:r w:rsidRPr="007B74B7">
        <w:rPr>
          <w:rFonts w:eastAsia="Calibri" w:cs="Tahoma"/>
          <w:szCs w:val="18"/>
          <w:lang w:val="it-IT"/>
        </w:rPr>
        <w:t>Il programma ESLP consente l</w:t>
      </w:r>
      <w:r w:rsidR="007A1415" w:rsidRPr="007B74B7">
        <w:rPr>
          <w:rFonts w:eastAsia="Calibri" w:cs="Tahoma"/>
          <w:szCs w:val="18"/>
          <w:lang w:val="it-IT"/>
        </w:rPr>
        <w:t>’</w:t>
      </w:r>
      <w:r w:rsidRPr="007B74B7">
        <w:rPr>
          <w:rFonts w:eastAsia="Calibri" w:cs="Tahoma"/>
          <w:szCs w:val="18"/>
          <w:lang w:val="it-IT"/>
        </w:rPr>
        <w:t>accesso al codice sorgente di Microsoft Windows per sviluppo e supporto interno.</w:t>
      </w:r>
      <w:r w:rsidR="008D782D" w:rsidRPr="007B74B7">
        <w:rPr>
          <w:rFonts w:eastAsia="Calibri" w:cs="Tahoma"/>
          <w:szCs w:val="18"/>
          <w:lang w:val="it-IT"/>
        </w:rPr>
        <w:t xml:space="preserve"> </w:t>
      </w:r>
      <w:r w:rsidRPr="007B74B7">
        <w:rPr>
          <w:rFonts w:eastAsia="Calibri" w:cs="Tahoma"/>
          <w:szCs w:val="18"/>
          <w:lang w:val="it-IT"/>
        </w:rPr>
        <w:t>Il programma ESLP non è disponibile in tutti i paesi e</w:t>
      </w:r>
      <w:r w:rsidR="007462CD" w:rsidRPr="007B74B7">
        <w:rPr>
          <w:rFonts w:eastAsia="Calibri" w:cs="Tahoma"/>
          <w:szCs w:val="18"/>
          <w:lang w:val="it-IT"/>
        </w:rPr>
        <w:t> </w:t>
      </w:r>
      <w:r w:rsidRPr="007B74B7">
        <w:rPr>
          <w:rFonts w:eastAsia="Calibri" w:cs="Tahoma"/>
          <w:szCs w:val="18"/>
          <w:lang w:val="it-IT"/>
        </w:rPr>
        <w:t>il vantaggio è concesso per contratto/iscrizione.</w:t>
      </w:r>
    </w:p>
    <w:p w:rsidR="00DF400D" w:rsidRPr="007B74B7" w:rsidRDefault="00DF400D" w:rsidP="002D25C8">
      <w:pPr>
        <w:rPr>
          <w:lang w:val="it-IT"/>
        </w:rPr>
      </w:pPr>
    </w:p>
    <w:p w:rsidR="008A15A8" w:rsidRPr="007B74B7" w:rsidRDefault="008A15A8" w:rsidP="002D25C8">
      <w:pPr>
        <w:rPr>
          <w:lang w:val="it-IT"/>
        </w:rPr>
      </w:pPr>
      <w:r w:rsidRPr="007B74B7">
        <w:rPr>
          <w:rFonts w:eastAsia="Calibri" w:cs="Tahoma"/>
          <w:szCs w:val="18"/>
          <w:lang w:val="it-IT"/>
        </w:rPr>
        <w:t>Il modulo di applicazione può essere scaricato dal sito Web Volume Licensing Service Center (VLSC). L</w:t>
      </w:r>
      <w:r w:rsidR="007A1415" w:rsidRPr="007B74B7">
        <w:rPr>
          <w:rFonts w:eastAsia="Calibri" w:cs="Tahoma"/>
          <w:szCs w:val="18"/>
          <w:lang w:val="it-IT"/>
        </w:rPr>
        <w:t>’</w:t>
      </w:r>
      <w:r w:rsidRPr="007B74B7">
        <w:rPr>
          <w:rFonts w:eastAsia="Calibri" w:cs="Tahoma"/>
          <w:szCs w:val="18"/>
          <w:lang w:val="it-IT"/>
        </w:rPr>
        <w:t>idoneità</w:t>
      </w:r>
      <w:r w:rsidR="007462CD" w:rsidRPr="007B74B7">
        <w:rPr>
          <w:rFonts w:eastAsia="Calibri" w:cs="Tahoma"/>
          <w:szCs w:val="18"/>
          <w:lang w:val="it-IT"/>
        </w:rPr>
        <w:t> </w:t>
      </w:r>
      <w:r w:rsidRPr="007B74B7">
        <w:rPr>
          <w:rFonts w:eastAsia="Calibri" w:cs="Tahoma"/>
          <w:szCs w:val="18"/>
          <w:lang w:val="it-IT"/>
        </w:rPr>
        <w:t>e</w:t>
      </w:r>
      <w:r w:rsidR="007462CD" w:rsidRPr="007B74B7">
        <w:rPr>
          <w:rFonts w:eastAsia="Calibri" w:cs="Tahoma"/>
          <w:szCs w:val="18"/>
          <w:lang w:val="it-IT"/>
        </w:rPr>
        <w:t> </w:t>
      </w:r>
      <w:r w:rsidRPr="007B74B7">
        <w:rPr>
          <w:rFonts w:eastAsia="Calibri" w:cs="Tahoma"/>
          <w:szCs w:val="18"/>
          <w:lang w:val="it-IT"/>
        </w:rPr>
        <w:t>le</w:t>
      </w:r>
      <w:r w:rsidR="007462CD" w:rsidRPr="007B74B7">
        <w:rPr>
          <w:rFonts w:eastAsia="Calibri" w:cs="Tahoma"/>
          <w:szCs w:val="18"/>
          <w:lang w:val="it-IT"/>
        </w:rPr>
        <w:t> </w:t>
      </w:r>
      <w:r w:rsidRPr="007B74B7">
        <w:rPr>
          <w:rFonts w:eastAsia="Calibri" w:cs="Tahoma"/>
          <w:szCs w:val="18"/>
          <w:lang w:val="it-IT"/>
        </w:rPr>
        <w:t xml:space="preserve">aree di disponibilità sono soggette alle condizioni di Microsoft (per dettagli, visitare la pagina </w:t>
      </w:r>
      <w:hyperlink r:id="rId28" w:history="1">
        <w:r w:rsidRPr="007B74B7">
          <w:rPr>
            <w:rFonts w:eastAsia="Calibri" w:cs="Tahoma"/>
            <w:color w:val="0000FF"/>
            <w:szCs w:val="18"/>
            <w:u w:val="single"/>
            <w:lang w:val="it-IT"/>
          </w:rPr>
          <w:t>www.microsoft.com/resources/sharedsource/Licensing/Enterprise.mspx</w:t>
        </w:r>
      </w:hyperlink>
      <w:r w:rsidRPr="007B74B7">
        <w:rPr>
          <w:rFonts w:eastAsia="Calibri" w:cs="Tahoma"/>
          <w:szCs w:val="18"/>
          <w:lang w:val="it-IT"/>
        </w:rPr>
        <w:t>). I programmi Academic sono idonei per</w:t>
      </w:r>
      <w:r w:rsidR="007462CD" w:rsidRPr="007B74B7">
        <w:rPr>
          <w:rFonts w:eastAsia="Calibri" w:cs="Tahoma"/>
          <w:szCs w:val="18"/>
          <w:lang w:val="it-IT"/>
        </w:rPr>
        <w:t> </w:t>
      </w:r>
      <w:r w:rsidRPr="007B74B7">
        <w:rPr>
          <w:rFonts w:eastAsia="Calibri" w:cs="Tahoma"/>
          <w:szCs w:val="18"/>
          <w:lang w:val="it-IT"/>
        </w:rPr>
        <w:t>l</w:t>
      </w:r>
      <w:r w:rsidR="007A1415" w:rsidRPr="007B74B7">
        <w:rPr>
          <w:rFonts w:eastAsia="Calibri" w:cs="Tahoma"/>
          <w:szCs w:val="18"/>
          <w:lang w:val="it-IT"/>
        </w:rPr>
        <w:t>’</w:t>
      </w:r>
      <w:r w:rsidRPr="007B74B7">
        <w:rPr>
          <w:rFonts w:eastAsia="Calibri" w:cs="Tahoma"/>
          <w:szCs w:val="18"/>
          <w:lang w:val="it-IT"/>
        </w:rPr>
        <w:t>accesso al programma Microsoft Research Source Licensing Program.</w:t>
      </w:r>
    </w:p>
    <w:p w:rsidR="008A15A8" w:rsidRPr="007B74B7" w:rsidRDefault="008A15A8" w:rsidP="002D25C8">
      <w:pPr>
        <w:pStyle w:val="Heading3"/>
        <w:rPr>
          <w:lang w:val="it-IT"/>
        </w:rPr>
      </w:pPr>
    </w:p>
    <w:p w:rsidR="00023FE7" w:rsidRPr="007B74B7" w:rsidRDefault="00023FE7" w:rsidP="002D25C8">
      <w:pPr>
        <w:pStyle w:val="Heading3"/>
        <w:rPr>
          <w:lang w:val="it-IT"/>
        </w:rPr>
      </w:pPr>
      <w:bookmarkStart w:id="793" w:name="_Toc336338236"/>
      <w:bookmarkStart w:id="794" w:name="_Toc353376016"/>
      <w:r w:rsidRPr="007B74B7">
        <w:rPr>
          <w:rFonts w:ascii="Tahoma" w:hAnsi="Tahoma" w:cs="Tahoma"/>
          <w:sz w:val="24"/>
          <w:lang w:val="it-IT"/>
        </w:rPr>
        <w:t>Supporto per la Risoluzione dei Problemi 24x7</w:t>
      </w:r>
      <w:bookmarkEnd w:id="793"/>
      <w:bookmarkEnd w:id="794"/>
    </w:p>
    <w:p w:rsidR="00023FE7" w:rsidRPr="007B74B7" w:rsidRDefault="00023FE7" w:rsidP="002D25C8">
      <w:pPr>
        <w:rPr>
          <w:lang w:val="it-IT"/>
        </w:rPr>
      </w:pPr>
    </w:p>
    <w:p w:rsidR="00324479" w:rsidRPr="007B74B7" w:rsidRDefault="00324479" w:rsidP="002D25C8">
      <w:pPr>
        <w:rPr>
          <w:lang w:val="it-IT"/>
        </w:rPr>
      </w:pPr>
      <w:r w:rsidRPr="007B74B7">
        <w:rPr>
          <w:rFonts w:cs="Tahoma"/>
          <w:szCs w:val="18"/>
          <w:lang w:val="it-IT"/>
        </w:rPr>
        <w:t>Le società che non siano società con contratti Campus e School e Open Value Subscription</w:t>
      </w:r>
      <w:r w:rsidR="00FD7C0D" w:rsidRPr="007B74B7">
        <w:rPr>
          <w:rFonts w:cs="Tahoma"/>
          <w:szCs w:val="18"/>
          <w:lang w:val="it-IT"/>
        </w:rPr>
        <w:t xml:space="preserve"> – </w:t>
      </w:r>
      <w:r w:rsidRPr="007B74B7">
        <w:rPr>
          <w:rFonts w:cs="Tahoma"/>
          <w:szCs w:val="18"/>
          <w:lang w:val="it-IT"/>
        </w:rPr>
        <w:t>Education Solutions, ma con copertura Software Assurance, sono idonee a beneficiare del Supporto per la Risoluzione dei Problemi 24x7 durante il periodo di validità della copertura.</w:t>
      </w:r>
      <w:r w:rsidR="008D782D" w:rsidRPr="007B74B7">
        <w:rPr>
          <w:rFonts w:cs="Tahoma"/>
          <w:szCs w:val="18"/>
          <w:lang w:val="it-IT"/>
        </w:rPr>
        <w:t xml:space="preserve"> </w:t>
      </w:r>
    </w:p>
    <w:p w:rsidR="00023FE7" w:rsidRPr="007B74B7" w:rsidRDefault="00023FE7" w:rsidP="002D25C8">
      <w:pPr>
        <w:pStyle w:val="AppendixBodyText"/>
        <w:spacing w:after="0"/>
        <w:rPr>
          <w:lang w:val="it-IT"/>
        </w:rPr>
      </w:pPr>
    </w:p>
    <w:p w:rsidR="00023FE7" w:rsidRPr="007B74B7" w:rsidRDefault="00023FE7" w:rsidP="002D25C8">
      <w:pPr>
        <w:pStyle w:val="AppendixBodyText"/>
        <w:spacing w:after="0"/>
        <w:rPr>
          <w:lang w:val="it-IT"/>
        </w:rPr>
      </w:pPr>
      <w:r w:rsidRPr="007B74B7">
        <w:rPr>
          <w:rFonts w:ascii="Tahoma" w:hAnsi="Tahoma" w:cs="Tahoma"/>
          <w:sz w:val="18"/>
          <w:szCs w:val="18"/>
          <w:lang w:val="it-IT"/>
        </w:rPr>
        <w:t>Il servizio Supporto per la Risoluzione dei Problemi 24x7 fornisce assistenza quando, durante l</w:t>
      </w:r>
      <w:r w:rsidR="007A1415" w:rsidRPr="007B74B7">
        <w:rPr>
          <w:rFonts w:ascii="Tahoma" w:hAnsi="Tahoma" w:cs="Tahoma"/>
          <w:sz w:val="18"/>
          <w:szCs w:val="18"/>
          <w:lang w:val="it-IT"/>
        </w:rPr>
        <w:t>’</w:t>
      </w:r>
      <w:r w:rsidRPr="007B74B7">
        <w:rPr>
          <w:rFonts w:ascii="Tahoma" w:hAnsi="Tahoma" w:cs="Tahoma"/>
          <w:sz w:val="18"/>
          <w:szCs w:val="18"/>
          <w:lang w:val="it-IT"/>
        </w:rPr>
        <w:t>utilizzo dei prodotti Microsoft, si verificano problemi con sintomi specifici, la cui causa sia ragionevolmente attribuibile ai prodotti Microsoft.</w:t>
      </w:r>
      <w:r w:rsidR="008D782D" w:rsidRPr="007B74B7">
        <w:rPr>
          <w:rFonts w:ascii="Tahoma" w:hAnsi="Tahoma" w:cs="Tahoma"/>
          <w:sz w:val="18"/>
          <w:szCs w:val="18"/>
          <w:lang w:val="it-IT"/>
        </w:rPr>
        <w:t xml:space="preserve"> </w:t>
      </w:r>
      <w:r w:rsidRPr="007B74B7">
        <w:rPr>
          <w:rFonts w:ascii="Tahoma" w:hAnsi="Tahoma" w:cs="Tahoma"/>
          <w:sz w:val="18"/>
          <w:szCs w:val="18"/>
          <w:lang w:val="it-IT"/>
        </w:rPr>
        <w:t>Microsoft porrà in essere sforzi ragionevoli per fornire assistenza alle società in caso di richieste di supporto, conformemente ai criteri di Supporto dei Prodotti Microsoft.</w:t>
      </w:r>
      <w:r w:rsidR="008D782D" w:rsidRPr="007B74B7">
        <w:rPr>
          <w:rFonts w:ascii="Tahoma" w:hAnsi="Tahoma" w:cs="Tahoma"/>
          <w:sz w:val="18"/>
          <w:szCs w:val="18"/>
          <w:lang w:val="it-IT"/>
        </w:rPr>
        <w:t xml:space="preserve"> </w:t>
      </w:r>
      <w:r w:rsidRPr="007B74B7">
        <w:rPr>
          <w:rFonts w:ascii="Tahoma" w:hAnsi="Tahoma" w:cs="Tahoma"/>
          <w:sz w:val="18"/>
          <w:szCs w:val="18"/>
          <w:lang w:val="it-IT"/>
        </w:rPr>
        <w:t>Microsoft si riserva il diritto di rifiutare richieste</w:t>
      </w:r>
      <w:r w:rsidR="00487D97" w:rsidRPr="007B74B7">
        <w:rPr>
          <w:rFonts w:ascii="Tahoma" w:hAnsi="Tahoma" w:cs="Tahoma"/>
          <w:sz w:val="18"/>
          <w:szCs w:val="18"/>
          <w:lang w:val="it-IT"/>
        </w:rPr>
        <w:t> </w:t>
      </w:r>
      <w:r w:rsidRPr="007B74B7">
        <w:rPr>
          <w:rFonts w:ascii="Tahoma" w:hAnsi="Tahoma" w:cs="Tahoma"/>
          <w:sz w:val="18"/>
          <w:szCs w:val="18"/>
          <w:lang w:val="it-IT"/>
        </w:rPr>
        <w:t xml:space="preserve">irragionevoli di servizi di supporto e potrà talvolta richiedere alle società di stipulare un ulteriore </w:t>
      </w:r>
      <w:r w:rsidR="00487D97" w:rsidRPr="007B74B7">
        <w:rPr>
          <w:rFonts w:ascii="Tahoma" w:hAnsi="Tahoma" w:cs="Tahoma"/>
          <w:sz w:val="18"/>
          <w:szCs w:val="18"/>
          <w:lang w:val="it-IT"/>
        </w:rPr>
        <w:br/>
      </w:r>
      <w:r w:rsidRPr="007B74B7">
        <w:rPr>
          <w:rFonts w:ascii="Tahoma" w:hAnsi="Tahoma" w:cs="Tahoma"/>
          <w:sz w:val="18"/>
          <w:szCs w:val="18"/>
          <w:lang w:val="it-IT"/>
        </w:rPr>
        <w:t xml:space="preserve">contratto di servizio a un costo aggiuntivo. </w:t>
      </w:r>
    </w:p>
    <w:p w:rsidR="00023FE7" w:rsidRPr="007B74B7" w:rsidRDefault="00023FE7" w:rsidP="002D25C8">
      <w:pPr>
        <w:pStyle w:val="AppendixBodyText"/>
        <w:spacing w:after="0"/>
        <w:rPr>
          <w:lang w:val="it-IT"/>
        </w:rPr>
      </w:pPr>
    </w:p>
    <w:p w:rsidR="00023FE7" w:rsidRPr="007B74B7" w:rsidRDefault="00023FE7" w:rsidP="002D25C8">
      <w:pPr>
        <w:pStyle w:val="AppendixBodyText"/>
        <w:spacing w:after="0"/>
        <w:rPr>
          <w:lang w:val="it-IT"/>
        </w:rPr>
      </w:pPr>
      <w:r w:rsidRPr="007B74B7">
        <w:rPr>
          <w:rFonts w:ascii="Tahoma" w:hAnsi="Tahoma" w:cs="Tahoma"/>
          <w:sz w:val="18"/>
          <w:szCs w:val="18"/>
          <w:lang w:val="it-IT"/>
        </w:rPr>
        <w:t>Microsoft può aggiungere il supporto per i nuovi prodotti o interrompere il supporto per i prodotti già esistenti. Potrebbero esservi casi nei quali l</w:t>
      </w:r>
      <w:r w:rsidR="007A1415" w:rsidRPr="007B74B7">
        <w:rPr>
          <w:rFonts w:ascii="Tahoma" w:hAnsi="Tahoma" w:cs="Tahoma"/>
          <w:sz w:val="18"/>
          <w:szCs w:val="18"/>
          <w:lang w:val="it-IT"/>
        </w:rPr>
        <w:t>’</w:t>
      </w:r>
      <w:r w:rsidRPr="007B74B7">
        <w:rPr>
          <w:rFonts w:ascii="Tahoma" w:hAnsi="Tahoma" w:cs="Tahoma"/>
          <w:sz w:val="18"/>
          <w:szCs w:val="18"/>
          <w:lang w:val="it-IT"/>
        </w:rPr>
        <w:t>implementazione, da parte della società, dei prodotti Microsoft non possa di fatto</w:t>
      </w:r>
      <w:r w:rsidR="007462CD" w:rsidRPr="007B74B7">
        <w:rPr>
          <w:rFonts w:ascii="Tahoma" w:hAnsi="Tahoma" w:cs="Tahoma"/>
          <w:sz w:val="18"/>
          <w:szCs w:val="18"/>
          <w:lang w:val="it-IT"/>
        </w:rPr>
        <w:t> </w:t>
      </w:r>
      <w:r w:rsidRPr="007B74B7">
        <w:rPr>
          <w:rFonts w:ascii="Tahoma" w:hAnsi="Tahoma" w:cs="Tahoma"/>
          <w:sz w:val="18"/>
          <w:szCs w:val="18"/>
          <w:lang w:val="it-IT"/>
        </w:rPr>
        <w:t>essere oggetto di supporto. Qualora giunga a tale conclusione, Microsoft informerà la società, essendo tale comunicazione parte della fornitura dei servizi di supporto. Qualora la società non modifichi l</w:t>
      </w:r>
      <w:r w:rsidR="007A1415" w:rsidRPr="007B74B7">
        <w:rPr>
          <w:rFonts w:ascii="Tahoma" w:hAnsi="Tahoma" w:cs="Tahoma"/>
          <w:sz w:val="18"/>
          <w:szCs w:val="18"/>
          <w:lang w:val="it-IT"/>
        </w:rPr>
        <w:t>’</w:t>
      </w:r>
      <w:r w:rsidRPr="007B74B7">
        <w:rPr>
          <w:rFonts w:ascii="Tahoma" w:hAnsi="Tahoma" w:cs="Tahoma"/>
          <w:sz w:val="18"/>
          <w:szCs w:val="18"/>
          <w:lang w:val="it-IT"/>
        </w:rPr>
        <w:t>implementazione al fine</w:t>
      </w:r>
      <w:r w:rsidR="00487D97" w:rsidRPr="007B74B7">
        <w:rPr>
          <w:rFonts w:ascii="Tahoma" w:hAnsi="Tahoma" w:cs="Tahoma"/>
          <w:sz w:val="18"/>
          <w:szCs w:val="18"/>
          <w:lang w:val="it-IT"/>
        </w:rPr>
        <w:t> </w:t>
      </w:r>
      <w:r w:rsidRPr="007B74B7">
        <w:rPr>
          <w:rFonts w:ascii="Tahoma" w:hAnsi="Tahoma" w:cs="Tahoma"/>
          <w:sz w:val="18"/>
          <w:szCs w:val="18"/>
          <w:lang w:val="it-IT"/>
        </w:rPr>
        <w:t>di poterla rendere effettivamente oggetto di supporto entro i 30 giorni successivi a tale comunicazione, Microsoft</w:t>
      </w:r>
      <w:r w:rsidR="00487D97" w:rsidRPr="007B74B7">
        <w:rPr>
          <w:rFonts w:ascii="Tahoma" w:hAnsi="Tahoma" w:cs="Tahoma"/>
          <w:sz w:val="18"/>
          <w:szCs w:val="18"/>
          <w:lang w:val="it-IT"/>
        </w:rPr>
        <w:t> </w:t>
      </w:r>
      <w:r w:rsidRPr="007B74B7">
        <w:rPr>
          <w:rFonts w:ascii="Tahoma" w:hAnsi="Tahoma" w:cs="Tahoma"/>
          <w:sz w:val="18"/>
          <w:szCs w:val="18"/>
          <w:lang w:val="it-IT"/>
        </w:rPr>
        <w:t xml:space="preserve">non avrà alcuna obbligazione di fornire ulteriori servizi di supporto per tale implementazione. Tuttavia, Microsoft continuerà a fornire supporto per le altre implementazioni delle società coperte dalle condizioni. </w:t>
      </w:r>
    </w:p>
    <w:p w:rsidR="00DF400D" w:rsidRPr="007B74B7" w:rsidRDefault="00DF400D" w:rsidP="002D25C8">
      <w:pPr>
        <w:pStyle w:val="AppendixBodyText"/>
        <w:spacing w:after="0"/>
        <w:rPr>
          <w:lang w:val="it-IT"/>
        </w:rPr>
      </w:pPr>
    </w:p>
    <w:p w:rsidR="00CA3658" w:rsidRPr="007B74B7" w:rsidRDefault="00CA3658" w:rsidP="002D25C8">
      <w:pPr>
        <w:pStyle w:val="AppendixBodyText"/>
        <w:spacing w:after="0"/>
        <w:rPr>
          <w:lang w:val="it-IT"/>
        </w:rPr>
      </w:pPr>
    </w:p>
    <w:p w:rsidR="00CA3658" w:rsidRPr="007B74B7" w:rsidRDefault="00CA3658" w:rsidP="002D25C8">
      <w:pPr>
        <w:pStyle w:val="AppendixBodyText"/>
        <w:spacing w:after="0"/>
        <w:rPr>
          <w:lang w:val="it-IT"/>
        </w:rPr>
      </w:pPr>
    </w:p>
    <w:p w:rsidR="00CA3658" w:rsidRPr="007B74B7" w:rsidRDefault="00CA3658" w:rsidP="002D25C8">
      <w:pPr>
        <w:pStyle w:val="AppendixBodyText"/>
        <w:spacing w:after="0"/>
        <w:rPr>
          <w:lang w:val="it-IT"/>
        </w:rPr>
      </w:pPr>
    </w:p>
    <w:p w:rsidR="00023FE7" w:rsidRPr="007B74B7" w:rsidRDefault="00023FE7" w:rsidP="002D25C8">
      <w:pPr>
        <w:pStyle w:val="AppendixBodyText"/>
        <w:spacing w:after="0"/>
        <w:rPr>
          <w:spacing w:val="-2"/>
          <w:lang w:val="it-IT"/>
        </w:rPr>
      </w:pPr>
      <w:r w:rsidRPr="007B74B7">
        <w:rPr>
          <w:rFonts w:ascii="Tahoma" w:hAnsi="Tahoma" w:cs="Tahoma"/>
          <w:spacing w:val="-2"/>
          <w:sz w:val="18"/>
          <w:szCs w:val="18"/>
          <w:lang w:val="it-IT"/>
        </w:rPr>
        <w:t>Una richiesta di assistenza break-fix, definita anche intervento, è costituita da un</w:t>
      </w:r>
      <w:r w:rsidR="007A1415" w:rsidRPr="007B74B7">
        <w:rPr>
          <w:rFonts w:ascii="Tahoma" w:hAnsi="Tahoma" w:cs="Tahoma"/>
          <w:spacing w:val="-2"/>
          <w:sz w:val="18"/>
          <w:szCs w:val="18"/>
          <w:lang w:val="it-IT"/>
        </w:rPr>
        <w:t>’</w:t>
      </w:r>
      <w:r w:rsidRPr="007B74B7">
        <w:rPr>
          <w:rFonts w:ascii="Tahoma" w:hAnsi="Tahoma" w:cs="Tahoma"/>
          <w:spacing w:val="-2"/>
          <w:sz w:val="18"/>
          <w:szCs w:val="18"/>
          <w:lang w:val="it-IT"/>
        </w:rPr>
        <w:t>unica problematica di assistenza e dal</w:t>
      </w:r>
      <w:r w:rsidR="00487D97" w:rsidRPr="007B74B7">
        <w:rPr>
          <w:rFonts w:ascii="Tahoma" w:hAnsi="Tahoma" w:cs="Tahoma"/>
          <w:sz w:val="18"/>
          <w:szCs w:val="18"/>
          <w:lang w:val="it-IT"/>
        </w:rPr>
        <w:t> </w:t>
      </w:r>
      <w:r w:rsidRPr="007B74B7">
        <w:rPr>
          <w:rFonts w:ascii="Tahoma" w:hAnsi="Tahoma" w:cs="Tahoma"/>
          <w:spacing w:val="-2"/>
          <w:sz w:val="18"/>
          <w:szCs w:val="18"/>
          <w:lang w:val="it-IT"/>
        </w:rPr>
        <w:t>corrispondente impegno necessario per risolverla.</w:t>
      </w:r>
      <w:r w:rsidR="008D782D" w:rsidRPr="007B74B7">
        <w:rPr>
          <w:rFonts w:ascii="Tahoma" w:hAnsi="Tahoma" w:cs="Tahoma"/>
          <w:spacing w:val="-2"/>
          <w:sz w:val="18"/>
          <w:szCs w:val="18"/>
          <w:lang w:val="it-IT"/>
        </w:rPr>
        <w:t xml:space="preserve"> </w:t>
      </w:r>
      <w:r w:rsidRPr="007B74B7">
        <w:rPr>
          <w:rFonts w:ascii="Tahoma" w:hAnsi="Tahoma" w:cs="Tahoma"/>
          <w:spacing w:val="-2"/>
          <w:sz w:val="18"/>
          <w:szCs w:val="18"/>
          <w:lang w:val="it-IT"/>
        </w:rPr>
        <w:t>Un</w:t>
      </w:r>
      <w:r w:rsidR="007A1415" w:rsidRPr="007B74B7">
        <w:rPr>
          <w:rFonts w:ascii="Tahoma" w:hAnsi="Tahoma" w:cs="Tahoma"/>
          <w:spacing w:val="-2"/>
          <w:sz w:val="18"/>
          <w:szCs w:val="18"/>
          <w:lang w:val="it-IT"/>
        </w:rPr>
        <w:t>’</w:t>
      </w:r>
      <w:r w:rsidRPr="007B74B7">
        <w:rPr>
          <w:rFonts w:ascii="Tahoma" w:hAnsi="Tahoma" w:cs="Tahoma"/>
          <w:spacing w:val="-2"/>
          <w:sz w:val="18"/>
          <w:szCs w:val="18"/>
          <w:lang w:val="it-IT"/>
        </w:rPr>
        <w:t>unica problematica di assistenza è altresì un problema che non</w:t>
      </w:r>
      <w:r w:rsidR="00487D97" w:rsidRPr="007B74B7">
        <w:rPr>
          <w:rFonts w:ascii="Tahoma" w:hAnsi="Tahoma" w:cs="Tahoma"/>
          <w:sz w:val="18"/>
          <w:szCs w:val="18"/>
          <w:lang w:val="it-IT"/>
        </w:rPr>
        <w:t> </w:t>
      </w:r>
      <w:r w:rsidRPr="007B74B7">
        <w:rPr>
          <w:rFonts w:ascii="Tahoma" w:hAnsi="Tahoma" w:cs="Tahoma"/>
          <w:spacing w:val="-2"/>
          <w:sz w:val="18"/>
          <w:szCs w:val="18"/>
          <w:lang w:val="it-IT"/>
        </w:rPr>
        <w:t>può essere suddiviso in problematiche subordinate.</w:t>
      </w:r>
      <w:r w:rsidR="008D782D" w:rsidRPr="007B74B7">
        <w:rPr>
          <w:rFonts w:ascii="Tahoma" w:hAnsi="Tahoma" w:cs="Tahoma"/>
          <w:spacing w:val="-2"/>
          <w:sz w:val="18"/>
          <w:szCs w:val="18"/>
          <w:lang w:val="it-IT"/>
        </w:rPr>
        <w:t xml:space="preserve"> </w:t>
      </w:r>
      <w:r w:rsidRPr="007B74B7">
        <w:rPr>
          <w:rFonts w:ascii="Tahoma" w:hAnsi="Tahoma" w:cs="Tahoma"/>
          <w:spacing w:val="-2"/>
          <w:sz w:val="18"/>
          <w:szCs w:val="18"/>
          <w:lang w:val="it-IT"/>
        </w:rPr>
        <w:t>Se un problema è composto da problematiche subordinate, ogn</w:t>
      </w:r>
      <w:r w:rsidR="00487D97" w:rsidRPr="007B74B7">
        <w:rPr>
          <w:rFonts w:ascii="Tahoma" w:hAnsi="Tahoma" w:cs="Tahoma"/>
          <w:sz w:val="18"/>
          <w:szCs w:val="18"/>
          <w:lang w:val="it-IT"/>
        </w:rPr>
        <w:t> </w:t>
      </w:r>
      <w:r w:rsidRPr="007B74B7">
        <w:rPr>
          <w:rFonts w:ascii="Tahoma" w:hAnsi="Tahoma" w:cs="Tahoma"/>
          <w:spacing w:val="-2"/>
          <w:sz w:val="18"/>
          <w:szCs w:val="18"/>
          <w:lang w:val="it-IT"/>
        </w:rPr>
        <w:t>problematica dovrà essere considerata un intervento distinto.</w:t>
      </w:r>
      <w:r w:rsidR="008D782D" w:rsidRPr="007B74B7">
        <w:rPr>
          <w:rFonts w:ascii="Tahoma" w:hAnsi="Tahoma" w:cs="Tahoma"/>
          <w:spacing w:val="-2"/>
          <w:sz w:val="18"/>
          <w:szCs w:val="18"/>
          <w:lang w:val="it-IT"/>
        </w:rPr>
        <w:t xml:space="preserve"> </w:t>
      </w:r>
      <w:r w:rsidRPr="007B74B7">
        <w:rPr>
          <w:rFonts w:ascii="Tahoma" w:hAnsi="Tahoma" w:cs="Tahoma"/>
          <w:spacing w:val="-2"/>
          <w:sz w:val="18"/>
          <w:szCs w:val="18"/>
          <w:lang w:val="it-IT"/>
        </w:rPr>
        <w:t xml:space="preserve">In determinate situazioni Microsoft potrà fornire </w:t>
      </w:r>
      <w:r w:rsidRPr="007B74B7">
        <w:rPr>
          <w:rFonts w:ascii="Tahoma" w:hAnsi="Tahoma" w:cs="Tahoma"/>
          <w:spacing w:val="-2"/>
          <w:sz w:val="18"/>
          <w:szCs w:val="18"/>
          <w:lang w:val="it-IT"/>
        </w:rPr>
        <w:lastRenderedPageBreak/>
        <w:t>alle</w:t>
      </w:r>
      <w:r w:rsidR="00487D97" w:rsidRPr="007B74B7">
        <w:rPr>
          <w:rFonts w:ascii="Tahoma" w:hAnsi="Tahoma" w:cs="Tahoma"/>
          <w:sz w:val="18"/>
          <w:szCs w:val="18"/>
          <w:lang w:val="it-IT"/>
        </w:rPr>
        <w:t> </w:t>
      </w:r>
      <w:r w:rsidRPr="007B74B7">
        <w:rPr>
          <w:rFonts w:ascii="Tahoma" w:hAnsi="Tahoma" w:cs="Tahoma"/>
          <w:spacing w:val="-2"/>
          <w:sz w:val="18"/>
          <w:szCs w:val="18"/>
          <w:lang w:val="it-IT"/>
        </w:rPr>
        <w:t>società una modifica al codice del prodotto software Microsoft disponibile sul mercato per risolvere problemi critici (“Hotfix”) in risposta alla richiesta di assistenza. Le Hotfix vengono sviluppate per risolvere problemi specifici delle società e non vengono sottoposte a un ciclo completo di test.</w:t>
      </w:r>
      <w:r w:rsidR="008D782D" w:rsidRPr="007B74B7">
        <w:rPr>
          <w:rFonts w:ascii="Tahoma" w:hAnsi="Tahoma" w:cs="Tahoma"/>
          <w:spacing w:val="-2"/>
          <w:sz w:val="18"/>
          <w:szCs w:val="18"/>
          <w:lang w:val="it-IT"/>
        </w:rPr>
        <w:t xml:space="preserve"> </w:t>
      </w:r>
      <w:r w:rsidRPr="007B74B7">
        <w:rPr>
          <w:rFonts w:ascii="Tahoma" w:hAnsi="Tahoma" w:cs="Tahoma"/>
          <w:spacing w:val="-2"/>
          <w:sz w:val="18"/>
          <w:szCs w:val="18"/>
          <w:lang w:val="it-IT"/>
        </w:rPr>
        <w:t>Salvo diversamente specificato nel presente documento, le</w:t>
      </w:r>
      <w:r w:rsidR="007462CD" w:rsidRPr="007B74B7">
        <w:rPr>
          <w:rFonts w:ascii="Tahoma" w:hAnsi="Tahoma" w:cs="Tahoma"/>
          <w:spacing w:val="-2"/>
          <w:sz w:val="18"/>
          <w:szCs w:val="18"/>
          <w:lang w:val="it-IT"/>
        </w:rPr>
        <w:t> </w:t>
      </w:r>
      <w:r w:rsidRPr="007B74B7">
        <w:rPr>
          <w:rFonts w:ascii="Tahoma" w:hAnsi="Tahoma" w:cs="Tahoma"/>
          <w:spacing w:val="-2"/>
          <w:sz w:val="18"/>
          <w:szCs w:val="18"/>
          <w:lang w:val="it-IT"/>
        </w:rPr>
        <w:t>Hotfix non potranno essere distribuite a terzi non consociati senza il preventivo consenso scritto di Microsoft.</w:t>
      </w:r>
    </w:p>
    <w:p w:rsidR="00023FE7" w:rsidRPr="007B74B7" w:rsidRDefault="00023FE7" w:rsidP="002D25C8">
      <w:pPr>
        <w:pStyle w:val="AppendixBodyText"/>
        <w:spacing w:after="0"/>
        <w:rPr>
          <w:lang w:val="it-IT"/>
        </w:rPr>
      </w:pPr>
    </w:p>
    <w:p w:rsidR="00023FE7" w:rsidRPr="007B74B7" w:rsidRDefault="00023FE7" w:rsidP="002D25C8">
      <w:pPr>
        <w:pStyle w:val="AppendixBodyText"/>
        <w:spacing w:after="0"/>
        <w:rPr>
          <w:spacing w:val="-2"/>
          <w:lang w:val="it-IT"/>
        </w:rPr>
      </w:pPr>
      <w:r w:rsidRPr="007B74B7">
        <w:rPr>
          <w:rFonts w:ascii="Tahoma" w:hAnsi="Tahoma" w:cs="Tahoma"/>
          <w:spacing w:val="-2"/>
          <w:sz w:val="18"/>
          <w:szCs w:val="18"/>
          <w:lang w:val="it-IT"/>
        </w:rPr>
        <w:t xml:space="preserve">I prodotti disponibili tramite Contratti Multilicenza e che usufruiscono del Supporto Mainstream come stabilito nei </w:t>
      </w:r>
      <w:hyperlink r:id="rId29" w:history="1">
        <w:r w:rsidRPr="007B74B7">
          <w:rPr>
            <w:rStyle w:val="Hyperlink"/>
            <w:rFonts w:ascii="Tahoma" w:hAnsi="Tahoma" w:cs="Tahoma"/>
            <w:spacing w:val="-2"/>
            <w:sz w:val="18"/>
            <w:szCs w:val="18"/>
            <w:lang w:val="it-IT"/>
          </w:rPr>
          <w:t>Criteri per il Ciclo di Vita del Supporto di Microsoft</w:t>
        </w:r>
      </w:hyperlink>
      <w:r w:rsidRPr="007B74B7">
        <w:rPr>
          <w:rFonts w:ascii="Tahoma" w:hAnsi="Tahoma" w:cs="Tahoma"/>
          <w:spacing w:val="-2"/>
          <w:sz w:val="18"/>
          <w:szCs w:val="18"/>
          <w:lang w:val="it-IT"/>
        </w:rPr>
        <w:t xml:space="preserve"> </w:t>
      </w:r>
      <w:r w:rsidRPr="007B74B7">
        <w:rPr>
          <w:rFonts w:ascii="Tahoma" w:hAnsi="Tahoma" w:cs="Tahoma"/>
          <w:color w:val="000000"/>
          <w:spacing w:val="-2"/>
          <w:sz w:val="18"/>
          <w:szCs w:val="18"/>
          <w:lang w:val="it-IT"/>
        </w:rPr>
        <w:t>sono idonei a ricevere il Supporto per la Risoluzione dei Problemi 24x7.</w:t>
      </w:r>
      <w:r w:rsidR="008D782D" w:rsidRPr="007B74B7">
        <w:rPr>
          <w:rFonts w:ascii="Tahoma" w:hAnsi="Tahoma" w:cs="Tahoma"/>
          <w:color w:val="000000"/>
          <w:spacing w:val="-2"/>
          <w:sz w:val="18"/>
          <w:szCs w:val="18"/>
          <w:lang w:val="it-IT"/>
        </w:rPr>
        <w:t xml:space="preserve"> </w:t>
      </w:r>
      <w:r w:rsidRPr="007B74B7">
        <w:rPr>
          <w:rFonts w:ascii="Tahoma" w:hAnsi="Tahoma" w:cs="Tahoma"/>
          <w:color w:val="000000"/>
          <w:spacing w:val="-2"/>
          <w:sz w:val="18"/>
          <w:szCs w:val="18"/>
          <w:lang w:val="it-IT"/>
        </w:rPr>
        <w:t>L</w:t>
      </w:r>
      <w:r w:rsidR="007A1415" w:rsidRPr="007B74B7">
        <w:rPr>
          <w:rFonts w:ascii="Tahoma" w:hAnsi="Tahoma" w:cs="Tahoma"/>
          <w:color w:val="000000"/>
          <w:spacing w:val="-2"/>
          <w:sz w:val="18"/>
          <w:szCs w:val="18"/>
          <w:lang w:val="it-IT"/>
        </w:rPr>
        <w:t>’</w:t>
      </w:r>
      <w:r w:rsidRPr="007B74B7">
        <w:rPr>
          <w:rFonts w:ascii="Tahoma" w:hAnsi="Tahoma" w:cs="Tahoma"/>
          <w:color w:val="000000"/>
          <w:spacing w:val="-2"/>
          <w:sz w:val="18"/>
          <w:szCs w:val="18"/>
          <w:lang w:val="it-IT"/>
        </w:rPr>
        <w:t>idoneità del prodotto a ricevere supporto telefonico è collegata alla disponibilità dell</w:t>
      </w:r>
      <w:r w:rsidR="007A1415" w:rsidRPr="007B74B7">
        <w:rPr>
          <w:rFonts w:ascii="Tahoma" w:hAnsi="Tahoma" w:cs="Tahoma"/>
          <w:color w:val="000000"/>
          <w:spacing w:val="-2"/>
          <w:sz w:val="18"/>
          <w:szCs w:val="18"/>
          <w:lang w:val="it-IT"/>
        </w:rPr>
        <w:t>’</w:t>
      </w:r>
      <w:r w:rsidRPr="007B74B7">
        <w:rPr>
          <w:rFonts w:ascii="Tahoma" w:hAnsi="Tahoma" w:cs="Tahoma"/>
          <w:color w:val="000000"/>
          <w:spacing w:val="-2"/>
          <w:sz w:val="18"/>
          <w:szCs w:val="18"/>
          <w:lang w:val="it-IT"/>
        </w:rPr>
        <w:t>offerta Software Assurance per il prodotto stesso. Per i prodotti per i quali non è disponibile alcuna opzione Software Assurance per il server, ma per le CAL, la spesa SA relativa alle CAL prende in considerazione gli interventi da utilizzare per i prodotti idonei nella modalità indicata di seguito nella sezione Premi per Interventi Tramite Supporto Telefonico.</w:t>
      </w:r>
      <w:r w:rsidR="008D782D" w:rsidRPr="007B74B7">
        <w:rPr>
          <w:rFonts w:ascii="Tahoma" w:hAnsi="Tahoma" w:cs="Tahoma"/>
          <w:color w:val="000000"/>
          <w:spacing w:val="-2"/>
          <w:sz w:val="18"/>
          <w:szCs w:val="18"/>
          <w:lang w:val="it-IT"/>
        </w:rPr>
        <w:t xml:space="preserve"> </w:t>
      </w:r>
      <w:r w:rsidRPr="007B74B7">
        <w:rPr>
          <w:rFonts w:ascii="Tahoma" w:hAnsi="Tahoma" w:cs="Tahoma"/>
          <w:color w:val="000000"/>
          <w:spacing w:val="-2"/>
          <w:sz w:val="18"/>
          <w:szCs w:val="18"/>
          <w:lang w:val="it-IT"/>
        </w:rPr>
        <w:t>Per consultare i criteri di assistenza e supporto, fare riferimento alla sezione specifica del prodotto.</w:t>
      </w:r>
      <w:r w:rsidR="008D782D" w:rsidRPr="007B74B7">
        <w:rPr>
          <w:rFonts w:ascii="Tahoma" w:hAnsi="Tahoma" w:cs="Tahoma"/>
          <w:color w:val="000000"/>
          <w:spacing w:val="-2"/>
          <w:sz w:val="18"/>
          <w:szCs w:val="18"/>
          <w:lang w:val="it-IT"/>
        </w:rPr>
        <w:t xml:space="preserve"> </w:t>
      </w:r>
      <w:r w:rsidRPr="007B74B7">
        <w:rPr>
          <w:rFonts w:ascii="Tahoma" w:hAnsi="Tahoma" w:cs="Tahoma"/>
          <w:color w:val="000000"/>
          <w:spacing w:val="-2"/>
          <w:sz w:val="18"/>
          <w:szCs w:val="18"/>
          <w:lang w:val="it-IT"/>
        </w:rPr>
        <w:t>Sono idonee anche le versioni precedenti dei prodotti per cui è previsto il Supporto Mainstream e che le società scelgono di utilizzare al posto della versione con licenza in uso.</w:t>
      </w:r>
      <w:r w:rsidR="008D782D" w:rsidRPr="007B74B7">
        <w:rPr>
          <w:rFonts w:ascii="Tahoma" w:hAnsi="Tahoma" w:cs="Tahoma"/>
          <w:color w:val="000000"/>
          <w:spacing w:val="-2"/>
          <w:sz w:val="18"/>
          <w:szCs w:val="18"/>
          <w:lang w:val="it-IT"/>
        </w:rPr>
        <w:t xml:space="preserve"> </w:t>
      </w:r>
      <w:r w:rsidRPr="007B74B7">
        <w:rPr>
          <w:rFonts w:ascii="Tahoma" w:hAnsi="Tahoma" w:cs="Tahoma"/>
          <w:color w:val="000000"/>
          <w:spacing w:val="-2"/>
          <w:sz w:val="18"/>
          <w:szCs w:val="18"/>
          <w:lang w:val="it-IT"/>
        </w:rPr>
        <w:t>Sono esclusi la Developer Edition di tutti i server, i prodotti HED e gli Abbonamenti MSDN.</w:t>
      </w:r>
    </w:p>
    <w:p w:rsidR="00023FE7" w:rsidRPr="007B74B7" w:rsidRDefault="00023FE7" w:rsidP="002D25C8">
      <w:pPr>
        <w:pStyle w:val="AppendixBodyText"/>
        <w:spacing w:after="0"/>
        <w:rPr>
          <w:lang w:val="it-IT"/>
        </w:rPr>
      </w:pPr>
    </w:p>
    <w:p w:rsidR="00023FE7" w:rsidRPr="007B74B7" w:rsidRDefault="00023FE7" w:rsidP="002D25C8">
      <w:pPr>
        <w:pStyle w:val="AppendixBodyText"/>
        <w:spacing w:after="0"/>
        <w:rPr>
          <w:lang w:val="it-IT"/>
        </w:rPr>
      </w:pPr>
      <w:r w:rsidRPr="007B74B7">
        <w:rPr>
          <w:rFonts w:ascii="Tahoma" w:hAnsi="Tahoma" w:cs="Tahoma"/>
          <w:sz w:val="18"/>
          <w:szCs w:val="18"/>
          <w:lang w:val="it-IT"/>
        </w:rPr>
        <w:t>Microsoft potrà utilizzare qualsiasi informazione tecnica ottenuta tramite la fornitura di servizi correlati ai suoi prodotti per la risoluzione dei problemi, il miglioramento delle funzionalità dei prodotti e i fix, nonché per la knowledge base di Microsoft. Microsoft accetta di non citare la società o divulgare informazioni riservate di quest</w:t>
      </w:r>
      <w:r w:rsidR="007A1415" w:rsidRPr="007B74B7">
        <w:rPr>
          <w:rFonts w:ascii="Tahoma" w:hAnsi="Tahoma" w:cs="Tahoma"/>
          <w:sz w:val="18"/>
          <w:szCs w:val="18"/>
          <w:lang w:val="it-IT"/>
        </w:rPr>
        <w:t>’</w:t>
      </w:r>
      <w:r w:rsidRPr="007B74B7">
        <w:rPr>
          <w:rFonts w:ascii="Tahoma" w:hAnsi="Tahoma" w:cs="Tahoma"/>
          <w:sz w:val="18"/>
          <w:szCs w:val="18"/>
          <w:lang w:val="it-IT"/>
        </w:rPr>
        <w:t>ultima in alcun articolo della knowledge base. Microsoft non è obbligata a limitare gli incarichi di lavoro futuri delle persone che hanno avuto accesso alle informazioni riservate della società. Inoltre, la società, Microsoft e tali persone sono libere di utilizzare le informazioni che tali persone ricordano relativamente all</w:t>
      </w:r>
      <w:r w:rsidR="007A1415" w:rsidRPr="007B74B7">
        <w:rPr>
          <w:rFonts w:ascii="Tahoma" w:hAnsi="Tahoma" w:cs="Tahoma"/>
          <w:sz w:val="18"/>
          <w:szCs w:val="18"/>
          <w:lang w:val="it-IT"/>
        </w:rPr>
        <w:t>’</w:t>
      </w:r>
      <w:r w:rsidRPr="007B74B7">
        <w:rPr>
          <w:rFonts w:ascii="Tahoma" w:hAnsi="Tahoma" w:cs="Tahoma"/>
          <w:sz w:val="18"/>
          <w:szCs w:val="18"/>
          <w:lang w:val="it-IT"/>
        </w:rPr>
        <w:t>information technology, inclusi idee, concetti, know-how o</w:t>
      </w:r>
      <w:r w:rsidR="007412FF" w:rsidRPr="007B74B7">
        <w:rPr>
          <w:rFonts w:ascii="Tahoma" w:hAnsi="Tahoma" w:cs="Tahoma"/>
          <w:sz w:val="18"/>
          <w:szCs w:val="18"/>
          <w:lang w:val="it-IT"/>
        </w:rPr>
        <w:t> </w:t>
      </w:r>
      <w:r w:rsidRPr="007B74B7">
        <w:rPr>
          <w:rFonts w:ascii="Tahoma" w:hAnsi="Tahoma" w:cs="Tahoma"/>
          <w:sz w:val="18"/>
          <w:szCs w:val="18"/>
          <w:lang w:val="it-IT"/>
        </w:rPr>
        <w:t>tecniche, a condizione che le informazioni riservate dell</w:t>
      </w:r>
      <w:r w:rsidR="007A1415" w:rsidRPr="007B74B7">
        <w:rPr>
          <w:rFonts w:ascii="Tahoma" w:hAnsi="Tahoma" w:cs="Tahoma"/>
          <w:sz w:val="18"/>
          <w:szCs w:val="18"/>
          <w:lang w:val="it-IT"/>
        </w:rPr>
        <w:t>’</w:t>
      </w:r>
      <w:r w:rsidRPr="007B74B7">
        <w:rPr>
          <w:rFonts w:ascii="Tahoma" w:hAnsi="Tahoma" w:cs="Tahoma"/>
          <w:sz w:val="18"/>
          <w:szCs w:val="18"/>
          <w:lang w:val="it-IT"/>
        </w:rPr>
        <w:t>altra parte non siano divulgate durante tale utilizzo.</w:t>
      </w:r>
    </w:p>
    <w:p w:rsidR="00023FE7" w:rsidRPr="007B74B7" w:rsidRDefault="00023FE7" w:rsidP="002D25C8">
      <w:pPr>
        <w:pStyle w:val="AppendixBodyText"/>
        <w:spacing w:after="0"/>
        <w:rPr>
          <w:lang w:val="it-IT"/>
        </w:rPr>
      </w:pPr>
    </w:p>
    <w:p w:rsidR="00023FE7" w:rsidRPr="007B74B7" w:rsidRDefault="00023FE7" w:rsidP="002D25C8">
      <w:pPr>
        <w:pStyle w:val="AppendixBodyText"/>
        <w:spacing w:after="0"/>
        <w:rPr>
          <w:lang w:val="it-IT"/>
        </w:rPr>
      </w:pPr>
      <w:r w:rsidRPr="007B74B7">
        <w:rPr>
          <w:rFonts w:ascii="Tahoma" w:hAnsi="Tahoma" w:cs="Tahoma"/>
          <w:sz w:val="18"/>
          <w:szCs w:val="18"/>
          <w:lang w:val="it-IT"/>
        </w:rPr>
        <w:t>Il diritto della società di utilizzare eventuali fix, che Microsoft potrà rendere disponibili nel corso dell</w:t>
      </w:r>
      <w:r w:rsidR="007A1415" w:rsidRPr="007B74B7">
        <w:rPr>
          <w:rFonts w:ascii="Tahoma" w:hAnsi="Tahoma" w:cs="Tahoma"/>
          <w:sz w:val="18"/>
          <w:szCs w:val="18"/>
          <w:lang w:val="it-IT"/>
        </w:rPr>
        <w:t>’</w:t>
      </w:r>
      <w:r w:rsidRPr="007B74B7">
        <w:rPr>
          <w:rFonts w:ascii="Tahoma" w:hAnsi="Tahoma" w:cs="Tahoma"/>
          <w:sz w:val="18"/>
          <w:szCs w:val="18"/>
          <w:lang w:val="it-IT"/>
        </w:rPr>
        <w:t>erogazione dei servizi, è disciplinato dal contratto di licenza per il prodotto al quale il fix fa riferimento, oppure, nel caso in cui il fix non sia fornito per un prodotto specifico, da altre condizioni definite da Microsoft. Tutti i fix forniti sono concessi in licenza alla società.</w:t>
      </w:r>
    </w:p>
    <w:p w:rsidR="00023FE7" w:rsidRPr="007B74B7" w:rsidRDefault="00023FE7" w:rsidP="002D25C8">
      <w:pPr>
        <w:pStyle w:val="AppendixBodyText"/>
        <w:spacing w:after="0"/>
        <w:rPr>
          <w:lang w:val="it-IT"/>
        </w:rPr>
      </w:pPr>
    </w:p>
    <w:p w:rsidR="00023FE7" w:rsidRPr="007B74B7" w:rsidRDefault="00023FE7" w:rsidP="002D25C8">
      <w:pPr>
        <w:pStyle w:val="AppendixBodyText"/>
        <w:spacing w:after="0"/>
        <w:rPr>
          <w:lang w:val="it-IT"/>
        </w:rPr>
      </w:pPr>
      <w:r w:rsidRPr="007B74B7">
        <w:rPr>
          <w:rFonts w:ascii="Tahoma" w:hAnsi="Tahoma" w:cs="Tahoma"/>
          <w:sz w:val="18"/>
          <w:szCs w:val="18"/>
          <w:lang w:val="it-IT"/>
        </w:rPr>
        <w:t>Il supporto tecnico può essere avviato formulando le richieste di intervento in formato elettronico, tramite Web o per</w:t>
      </w:r>
      <w:r w:rsidR="007412FF" w:rsidRPr="007B74B7">
        <w:rPr>
          <w:rFonts w:ascii="Tahoma" w:hAnsi="Tahoma" w:cs="Tahoma"/>
          <w:sz w:val="18"/>
          <w:szCs w:val="18"/>
          <w:lang w:val="it-IT"/>
        </w:rPr>
        <w:t> </w:t>
      </w:r>
      <w:r w:rsidRPr="007B74B7">
        <w:rPr>
          <w:rFonts w:ascii="Tahoma" w:hAnsi="Tahoma" w:cs="Tahoma"/>
          <w:sz w:val="18"/>
          <w:szCs w:val="18"/>
          <w:lang w:val="it-IT"/>
        </w:rPr>
        <w:t>telefono. Disposizioni diverse si applicano a ciascun tipo di strumento.</w:t>
      </w:r>
      <w:r w:rsidR="008D782D" w:rsidRPr="007B74B7">
        <w:rPr>
          <w:rFonts w:ascii="Tahoma" w:hAnsi="Tahoma" w:cs="Tahoma"/>
          <w:sz w:val="18"/>
          <w:szCs w:val="18"/>
          <w:lang w:val="it-IT"/>
        </w:rPr>
        <w:t xml:space="preserve"> </w:t>
      </w:r>
      <w:r w:rsidRPr="007B74B7">
        <w:rPr>
          <w:rFonts w:ascii="Tahoma" w:hAnsi="Tahoma" w:cs="Tahoma"/>
          <w:sz w:val="18"/>
          <w:szCs w:val="18"/>
          <w:lang w:val="it-IT"/>
        </w:rPr>
        <w:t>Il Supporto per la Risoluzione dei Problemi 24x7 assegna alle società un determinato numero di interventi e fornisce loro i contatti a cui rivolgersi per richiedere tali interventi.</w:t>
      </w:r>
    </w:p>
    <w:p w:rsidR="00023FE7" w:rsidRPr="007B74B7" w:rsidRDefault="00023FE7" w:rsidP="002D25C8">
      <w:pPr>
        <w:pStyle w:val="AppendixBodyText"/>
        <w:spacing w:after="0"/>
        <w:rPr>
          <w:lang w:val="it-IT"/>
        </w:rPr>
      </w:pPr>
    </w:p>
    <w:p w:rsidR="00023FE7" w:rsidRPr="007B74B7" w:rsidRDefault="00023FE7" w:rsidP="00DA2788">
      <w:pPr>
        <w:spacing w:after="60"/>
        <w:rPr>
          <w:lang w:val="it-IT"/>
        </w:rPr>
      </w:pPr>
      <w:bookmarkStart w:id="795" w:name="_Toc240899163"/>
      <w:r w:rsidRPr="007B74B7">
        <w:rPr>
          <w:rFonts w:cs="Tahoma"/>
          <w:b/>
          <w:szCs w:val="20"/>
          <w:lang w:val="it-IT"/>
        </w:rPr>
        <w:t>Premi per Interventi Tramite Supporto Telefonico</w:t>
      </w:r>
      <w:bookmarkEnd w:id="795"/>
    </w:p>
    <w:p w:rsidR="00023FE7" w:rsidRPr="007B74B7" w:rsidRDefault="00023FE7" w:rsidP="002D25C8">
      <w:pPr>
        <w:pStyle w:val="AppendixBodyText"/>
        <w:spacing w:after="0"/>
        <w:rPr>
          <w:lang w:val="it-IT"/>
        </w:rPr>
      </w:pPr>
      <w:r w:rsidRPr="007B74B7">
        <w:rPr>
          <w:rFonts w:ascii="Tahoma" w:hAnsi="Tahoma" w:cs="Tahoma"/>
          <w:sz w:val="18"/>
          <w:szCs w:val="18"/>
          <w:lang w:val="it-IT"/>
        </w:rPr>
        <w:t>Il numero di interventi per cui è consentito richiedere il supporto telefonico varia da società a società, in base alla spesa sostenuta per Software Assurance (SA) e all</w:t>
      </w:r>
      <w:r w:rsidR="007A1415" w:rsidRPr="007B74B7">
        <w:rPr>
          <w:rFonts w:ascii="Tahoma" w:hAnsi="Tahoma" w:cs="Tahoma"/>
          <w:sz w:val="18"/>
          <w:szCs w:val="18"/>
          <w:lang w:val="it-IT"/>
        </w:rPr>
        <w:t>’</w:t>
      </w:r>
      <w:r w:rsidRPr="007B74B7">
        <w:rPr>
          <w:rFonts w:ascii="Tahoma" w:hAnsi="Tahoma" w:cs="Tahoma"/>
          <w:sz w:val="18"/>
          <w:szCs w:val="18"/>
          <w:lang w:val="it-IT"/>
        </w:rPr>
        <w:t>opzione di pagamento.</w:t>
      </w:r>
      <w:r w:rsidR="008D782D" w:rsidRPr="007B74B7">
        <w:rPr>
          <w:rFonts w:ascii="Tahoma" w:hAnsi="Tahoma" w:cs="Tahoma"/>
          <w:sz w:val="18"/>
          <w:szCs w:val="18"/>
          <w:lang w:val="it-IT"/>
        </w:rPr>
        <w:t xml:space="preserve"> </w:t>
      </w:r>
      <w:r w:rsidRPr="007B74B7">
        <w:rPr>
          <w:rFonts w:ascii="Tahoma" w:hAnsi="Tahoma" w:cs="Tahoma"/>
          <w:sz w:val="18"/>
          <w:lang w:val="it-IT"/>
        </w:rPr>
        <w:t>A questo proposito, “spesa SA” non significa letteralmente i soldi effettivi spesi dalla società.</w:t>
      </w:r>
      <w:r w:rsidR="008D782D" w:rsidRPr="007B74B7">
        <w:rPr>
          <w:rFonts w:ascii="Tahoma" w:hAnsi="Tahoma" w:cs="Tahoma"/>
          <w:sz w:val="18"/>
          <w:lang w:val="it-IT"/>
        </w:rPr>
        <w:t xml:space="preserve"> </w:t>
      </w:r>
      <w:r w:rsidRPr="007B74B7">
        <w:rPr>
          <w:rFonts w:ascii="Tahoma" w:hAnsi="Tahoma" w:cs="Tahoma"/>
          <w:sz w:val="18"/>
          <w:lang w:val="it-IT"/>
        </w:rPr>
        <w:t>Si tratta, invece, dell</w:t>
      </w:r>
      <w:r w:rsidR="007A1415" w:rsidRPr="007B74B7">
        <w:rPr>
          <w:rFonts w:ascii="Tahoma" w:hAnsi="Tahoma" w:cs="Tahoma"/>
          <w:sz w:val="18"/>
          <w:lang w:val="it-IT"/>
        </w:rPr>
        <w:t>’</w:t>
      </w:r>
      <w:r w:rsidRPr="007B74B7">
        <w:rPr>
          <w:rFonts w:ascii="Tahoma" w:hAnsi="Tahoma" w:cs="Tahoma"/>
          <w:sz w:val="18"/>
          <w:lang w:val="it-IT"/>
        </w:rPr>
        <w:t>importo approssimativo speso dal</w:t>
      </w:r>
      <w:r w:rsidR="007412FF" w:rsidRPr="007B74B7">
        <w:rPr>
          <w:rFonts w:ascii="Tahoma" w:hAnsi="Tahoma" w:cs="Tahoma"/>
          <w:sz w:val="18"/>
          <w:lang w:val="it-IT"/>
        </w:rPr>
        <w:t> </w:t>
      </w:r>
      <w:r w:rsidRPr="007B74B7">
        <w:rPr>
          <w:rFonts w:ascii="Tahoma" w:hAnsi="Tahoma" w:cs="Tahoma"/>
          <w:sz w:val="18"/>
          <w:lang w:val="it-IT"/>
        </w:rPr>
        <w:t xml:space="preserve">cliente nella copertura Software Assurance per questi prodotti. Per le </w:t>
      </w:r>
      <w:r w:rsidRPr="007B74B7">
        <w:rPr>
          <w:rFonts w:ascii="Tahoma" w:hAnsi="Tahoma" w:cs="Tahoma"/>
          <w:sz w:val="18"/>
          <w:szCs w:val="18"/>
          <w:lang w:val="it-IT"/>
        </w:rPr>
        <w:t>società che partecipano ai programmi “subscription”, rappresenta l</w:t>
      </w:r>
      <w:r w:rsidR="007A1415" w:rsidRPr="007B74B7">
        <w:rPr>
          <w:rFonts w:ascii="Tahoma" w:hAnsi="Tahoma" w:cs="Tahoma"/>
          <w:sz w:val="18"/>
          <w:szCs w:val="18"/>
          <w:lang w:val="it-IT"/>
        </w:rPr>
        <w:t>’</w:t>
      </w:r>
      <w:r w:rsidRPr="007B74B7">
        <w:rPr>
          <w:rFonts w:ascii="Tahoma" w:hAnsi="Tahoma" w:cs="Tahoma"/>
          <w:sz w:val="18"/>
          <w:szCs w:val="18"/>
          <w:lang w:val="it-IT"/>
        </w:rPr>
        <w:t>importo approssimativo della spesa totale che la società ha dovuto affrontare per ottenere in licenza tali prodotti ai sensi della sua iscrizione o del suo contratto.</w:t>
      </w:r>
      <w:r w:rsidR="008D782D" w:rsidRPr="007B74B7">
        <w:rPr>
          <w:rFonts w:ascii="Tahoma" w:hAnsi="Tahoma" w:cs="Tahoma"/>
          <w:sz w:val="18"/>
          <w:szCs w:val="18"/>
          <w:lang w:val="it-IT"/>
        </w:rPr>
        <w:t xml:space="preserve"> </w:t>
      </w:r>
      <w:r w:rsidRPr="007B74B7">
        <w:rPr>
          <w:rFonts w:ascii="Tahoma" w:hAnsi="Tahoma" w:cs="Tahoma"/>
          <w:sz w:val="18"/>
          <w:szCs w:val="18"/>
          <w:lang w:val="it-IT"/>
        </w:rPr>
        <w:t>L</w:t>
      </w:r>
      <w:r w:rsidR="007A1415" w:rsidRPr="007B74B7">
        <w:rPr>
          <w:rFonts w:ascii="Tahoma" w:hAnsi="Tahoma" w:cs="Tahoma"/>
          <w:sz w:val="18"/>
          <w:szCs w:val="18"/>
          <w:lang w:val="it-IT"/>
        </w:rPr>
        <w:t>’</w:t>
      </w:r>
      <w:r w:rsidRPr="007B74B7">
        <w:rPr>
          <w:rFonts w:ascii="Tahoma" w:hAnsi="Tahoma" w:cs="Tahoma"/>
          <w:sz w:val="18"/>
          <w:szCs w:val="18"/>
          <w:lang w:val="it-IT"/>
        </w:rPr>
        <w:t>intervento gratuito è assegnato ai sensi dell</w:t>
      </w:r>
      <w:r w:rsidR="007A1415" w:rsidRPr="007B74B7">
        <w:rPr>
          <w:rFonts w:ascii="Tahoma" w:hAnsi="Tahoma" w:cs="Tahoma"/>
          <w:sz w:val="18"/>
          <w:szCs w:val="18"/>
          <w:lang w:val="it-IT"/>
        </w:rPr>
        <w:t>’</w:t>
      </w:r>
      <w:r w:rsidRPr="007B74B7">
        <w:rPr>
          <w:rFonts w:ascii="Tahoma" w:hAnsi="Tahoma" w:cs="Tahoma"/>
          <w:sz w:val="18"/>
          <w:szCs w:val="18"/>
          <w:lang w:val="it-IT"/>
        </w:rPr>
        <w:t>iscrizione Enterprise e Select, della registrazione Select Plus e del contratto Open Value con copertura SA, su almeno un prodotto software Server qualificante.</w:t>
      </w:r>
    </w:p>
    <w:p w:rsidR="00F42FB8" w:rsidRPr="007B74B7" w:rsidRDefault="00F42FB8" w:rsidP="002D25C8">
      <w:pPr>
        <w:pStyle w:val="AppendixBodyText"/>
        <w:spacing w:after="0"/>
        <w:rPr>
          <w:lang w:val="it-IT"/>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613BBB" w:rsidRPr="007B74B7" w:rsidTr="002A6416">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BD7CEA" w:rsidRDefault="00613BBB" w:rsidP="00F42FB8">
            <w:pPr>
              <w:pStyle w:val="AppendixBodyText"/>
              <w:rPr>
                <w:rFonts w:ascii="Tahoma" w:hAnsi="Tahoma" w:cs="Tahoma"/>
                <w:b/>
                <w:bCs/>
              </w:rPr>
            </w:pPr>
            <w:r w:rsidRPr="00BD7CEA">
              <w:rPr>
                <w:rFonts w:ascii="Tahoma" w:hAnsi="Tahoma" w:cs="Tahoma"/>
                <w:b/>
                <w:bCs/>
              </w:rPr>
              <w:t>Denominazione Valuta</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BD7CEA" w:rsidRDefault="00613BBB" w:rsidP="00F42FB8">
            <w:pPr>
              <w:pStyle w:val="AppendixBodyText"/>
              <w:rPr>
                <w:rFonts w:ascii="Tahoma" w:hAnsi="Tahoma" w:cs="Tahoma"/>
                <w:b/>
                <w:bCs/>
              </w:rPr>
            </w:pPr>
            <w:r w:rsidRPr="00BD7CEA">
              <w:rPr>
                <w:rFonts w:ascii="Tahoma" w:hAnsi="Tahoma" w:cs="Tahoma"/>
                <w:b/>
                <w:bCs/>
              </w:rPr>
              <w:t>Codice Valuta</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BD7CEA" w:rsidRDefault="007412FF" w:rsidP="00F42FB8">
            <w:pPr>
              <w:pStyle w:val="AppendixBodyText"/>
            </w:pPr>
            <w:r w:rsidRPr="00BD7CEA">
              <w:rPr>
                <w:rFonts w:ascii="Tahoma" w:hAnsi="Tahoma" w:cs="Tahoma"/>
                <w:b/>
                <w:bCs/>
              </w:rPr>
              <w:t>Server /</w:t>
            </w:r>
            <w:r w:rsidR="00613BBB" w:rsidRPr="00BD7CEA">
              <w:rPr>
                <w:rFonts w:ascii="Tahoma" w:hAnsi="Tahoma" w:cs="Tahoma"/>
                <w:b/>
                <w:bCs/>
              </w:rPr>
              <w:t>CAL</w:t>
            </w:r>
          </w:p>
          <w:p w:rsidR="00613BBB" w:rsidRPr="00BD7CEA" w:rsidRDefault="00613BBB" w:rsidP="00F42FB8">
            <w:pPr>
              <w:pStyle w:val="AppendixBodyText"/>
              <w:rPr>
                <w:rFonts w:ascii="Tahoma" w:hAnsi="Tahoma" w:cs="Tahoma"/>
                <w:b/>
                <w:bCs/>
              </w:rPr>
            </w:pPr>
            <w:r w:rsidRPr="00BD7CEA">
              <w:rPr>
                <w:rFonts w:ascii="Tahoma" w:hAnsi="Tahoma" w:cs="Tahoma"/>
                <w:b/>
                <w:bCs/>
              </w:rPr>
              <w:t>Server/CAL</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7B74B7" w:rsidRDefault="00613BBB" w:rsidP="00F42FB8">
            <w:pPr>
              <w:pStyle w:val="AppendixBodyText"/>
              <w:rPr>
                <w:lang w:val="it-IT"/>
              </w:rPr>
            </w:pPr>
            <w:r w:rsidRPr="007B74B7">
              <w:rPr>
                <w:rFonts w:ascii="Tahoma" w:hAnsi="Tahoma" w:cs="Tahoma"/>
                <w:b/>
                <w:bCs/>
                <w:lang w:val="it-IT"/>
              </w:rPr>
              <w:t>Incrementi Premi Interventi</w:t>
            </w:r>
          </w:p>
          <w:p w:rsidR="00613BBB" w:rsidRPr="007B74B7" w:rsidRDefault="00613BBB" w:rsidP="00F42FB8">
            <w:pPr>
              <w:pStyle w:val="AppendixBodyText"/>
              <w:rPr>
                <w:rFonts w:ascii="Tahoma" w:hAnsi="Tahoma" w:cs="Tahoma"/>
                <w:b/>
                <w:bCs/>
                <w:lang w:val="it-IT"/>
              </w:rPr>
            </w:pPr>
            <w:r w:rsidRPr="007B74B7">
              <w:rPr>
                <w:rFonts w:ascii="Tahoma" w:hAnsi="Tahoma" w:cs="Tahoma"/>
                <w:b/>
                <w:bCs/>
                <w:lang w:val="it-IT"/>
              </w:rPr>
              <w:t>Server/CAL</w:t>
            </w:r>
          </w:p>
        </w:tc>
      </w:tr>
      <w:tr w:rsidR="00613BBB" w:rsidRPr="00BD7CEA" w:rsidTr="002A6416">
        <w:trPr>
          <w:trHeight w:val="236"/>
        </w:trPr>
        <w:tc>
          <w:tcPr>
            <w:tcW w:w="1809" w:type="dxa"/>
            <w:vAlign w:val="bottom"/>
          </w:tcPr>
          <w:p w:rsidR="00613BBB" w:rsidRPr="00BD7CEA" w:rsidRDefault="00613BBB" w:rsidP="00F42FB8">
            <w:pPr>
              <w:pStyle w:val="AppendixBodyText"/>
              <w:rPr>
                <w:rFonts w:ascii="Tahoma" w:hAnsi="Tahoma" w:cs="Tahoma"/>
                <w:sz w:val="18"/>
                <w:szCs w:val="18"/>
              </w:rPr>
            </w:pPr>
            <w:r w:rsidRPr="00BD7CEA">
              <w:rPr>
                <w:rFonts w:ascii="Tahoma" w:hAnsi="Tahoma" w:cs="Tahoma"/>
                <w:sz w:val="18"/>
                <w:szCs w:val="18"/>
              </w:rPr>
              <w:t>Dollaro statunitense</w:t>
            </w:r>
          </w:p>
        </w:tc>
        <w:tc>
          <w:tcPr>
            <w:tcW w:w="1350" w:type="dxa"/>
            <w:vAlign w:val="bottom"/>
          </w:tcPr>
          <w:p w:rsidR="00613BBB" w:rsidRPr="00BD7CEA" w:rsidRDefault="00613BBB" w:rsidP="00F42FB8">
            <w:pPr>
              <w:pStyle w:val="AppendixBodyText"/>
              <w:rPr>
                <w:rFonts w:ascii="Tahoma" w:hAnsi="Tahoma" w:cs="Tahoma"/>
                <w:sz w:val="18"/>
                <w:szCs w:val="18"/>
              </w:rPr>
            </w:pPr>
            <w:r w:rsidRPr="00BD7CEA">
              <w:rPr>
                <w:rFonts w:ascii="Tahoma" w:hAnsi="Tahoma" w:cs="Tahoma"/>
                <w:sz w:val="18"/>
                <w:szCs w:val="18"/>
              </w:rPr>
              <w:t>USD</w:t>
            </w:r>
          </w:p>
        </w:tc>
        <w:tc>
          <w:tcPr>
            <w:tcW w:w="2673" w:type="dxa"/>
            <w:vAlign w:val="bottom"/>
          </w:tcPr>
          <w:p w:rsidR="00613BBB" w:rsidRPr="00BD7CEA" w:rsidRDefault="00613BBB" w:rsidP="00F42FB8">
            <w:pPr>
              <w:pStyle w:val="AppendixBodyText"/>
              <w:rPr>
                <w:rFonts w:ascii="Tahoma" w:hAnsi="Tahoma" w:cs="Tahoma"/>
                <w:sz w:val="18"/>
                <w:szCs w:val="18"/>
              </w:rPr>
            </w:pPr>
            <w:r w:rsidRPr="00BD7CEA">
              <w:rPr>
                <w:rFonts w:ascii="Tahoma" w:hAnsi="Tahoma" w:cs="Tahoma"/>
                <w:sz w:val="18"/>
                <w:szCs w:val="18"/>
              </w:rPr>
              <w:t>$20,000</w:t>
            </w:r>
          </w:p>
        </w:tc>
        <w:tc>
          <w:tcPr>
            <w:tcW w:w="2889" w:type="dxa"/>
            <w:vAlign w:val="bottom"/>
          </w:tcPr>
          <w:p w:rsidR="00613BBB" w:rsidRPr="00BD7CEA" w:rsidRDefault="00613BBB" w:rsidP="00592AE0">
            <w:pPr>
              <w:pStyle w:val="AppendixBodyText"/>
              <w:rPr>
                <w:rFonts w:ascii="Tahoma" w:hAnsi="Tahoma" w:cs="Tahoma"/>
                <w:sz w:val="18"/>
                <w:szCs w:val="18"/>
              </w:rPr>
            </w:pPr>
            <w:r w:rsidRPr="00BD7CEA">
              <w:rPr>
                <w:rFonts w:ascii="Tahoma" w:hAnsi="Tahoma" w:cs="Tahoma"/>
                <w:sz w:val="18"/>
                <w:szCs w:val="18"/>
              </w:rPr>
              <w:t>$200</w:t>
            </w:r>
            <w:r w:rsidR="00592AE0">
              <w:rPr>
                <w:rFonts w:ascii="Tahoma" w:hAnsi="Tahoma" w:cs="Tahoma"/>
                <w:sz w:val="18"/>
                <w:szCs w:val="18"/>
              </w:rPr>
              <w:t>.</w:t>
            </w:r>
            <w:r w:rsidRPr="00BD7CEA">
              <w:rPr>
                <w:rFonts w:ascii="Tahoma" w:hAnsi="Tahoma" w:cs="Tahoma"/>
                <w:sz w:val="18"/>
                <w:szCs w:val="18"/>
              </w:rPr>
              <w:t>000</w:t>
            </w:r>
          </w:p>
        </w:tc>
      </w:tr>
      <w:tr w:rsidR="00613BBB" w:rsidRPr="00BD7CEA" w:rsidTr="002A6416">
        <w:trPr>
          <w:trHeight w:val="236"/>
        </w:trPr>
        <w:tc>
          <w:tcPr>
            <w:tcW w:w="1809" w:type="dxa"/>
            <w:vAlign w:val="bottom"/>
          </w:tcPr>
          <w:p w:rsidR="00613BBB" w:rsidRPr="00BD7CEA" w:rsidRDefault="00613BBB" w:rsidP="00F42FB8">
            <w:pPr>
              <w:pStyle w:val="AppendixBodyText"/>
              <w:rPr>
                <w:rFonts w:ascii="Tahoma" w:hAnsi="Tahoma" w:cs="Tahoma"/>
                <w:sz w:val="18"/>
                <w:szCs w:val="18"/>
              </w:rPr>
            </w:pPr>
            <w:r w:rsidRPr="00BD7CEA">
              <w:rPr>
                <w:rFonts w:ascii="Tahoma" w:hAnsi="Tahoma" w:cs="Tahoma"/>
                <w:sz w:val="18"/>
                <w:szCs w:val="18"/>
              </w:rPr>
              <w:t>Dollaro australiano</w:t>
            </w:r>
          </w:p>
        </w:tc>
        <w:tc>
          <w:tcPr>
            <w:tcW w:w="1350" w:type="dxa"/>
            <w:vAlign w:val="bottom"/>
          </w:tcPr>
          <w:p w:rsidR="00613BBB" w:rsidRPr="00BD7CEA" w:rsidRDefault="00613BBB" w:rsidP="00F42FB8">
            <w:pPr>
              <w:pStyle w:val="AppendixBodyText"/>
              <w:rPr>
                <w:rFonts w:ascii="Tahoma" w:hAnsi="Tahoma" w:cs="Tahoma"/>
                <w:sz w:val="18"/>
                <w:szCs w:val="18"/>
              </w:rPr>
            </w:pPr>
            <w:r w:rsidRPr="00BD7CEA">
              <w:rPr>
                <w:rFonts w:ascii="Tahoma" w:hAnsi="Tahoma" w:cs="Tahoma"/>
                <w:sz w:val="18"/>
                <w:szCs w:val="18"/>
              </w:rPr>
              <w:t>AUD</w:t>
            </w:r>
          </w:p>
        </w:tc>
        <w:tc>
          <w:tcPr>
            <w:tcW w:w="2673" w:type="dxa"/>
            <w:vAlign w:val="bottom"/>
          </w:tcPr>
          <w:p w:rsidR="00613BBB" w:rsidRPr="00BD7CEA" w:rsidRDefault="00613BBB" w:rsidP="00F42FB8">
            <w:pPr>
              <w:pStyle w:val="AppendixBodyText"/>
              <w:rPr>
                <w:rFonts w:ascii="Tahoma" w:hAnsi="Tahoma" w:cs="Tahoma"/>
                <w:sz w:val="18"/>
                <w:szCs w:val="18"/>
              </w:rPr>
            </w:pPr>
            <w:r w:rsidRPr="00BD7CEA">
              <w:rPr>
                <w:rFonts w:ascii="Tahoma" w:hAnsi="Tahoma" w:cs="Tahoma"/>
                <w:sz w:val="18"/>
                <w:szCs w:val="18"/>
              </w:rPr>
              <w:t>30,000</w:t>
            </w:r>
          </w:p>
        </w:tc>
        <w:tc>
          <w:tcPr>
            <w:tcW w:w="2889" w:type="dxa"/>
            <w:vAlign w:val="bottom"/>
          </w:tcPr>
          <w:p w:rsidR="00613BBB" w:rsidRPr="00BD7CEA" w:rsidRDefault="00613BBB" w:rsidP="00592AE0">
            <w:pPr>
              <w:pStyle w:val="AppendixBodyText"/>
              <w:rPr>
                <w:rFonts w:ascii="Tahoma" w:hAnsi="Tahoma" w:cs="Tahoma"/>
                <w:sz w:val="18"/>
                <w:szCs w:val="18"/>
              </w:rPr>
            </w:pPr>
            <w:r w:rsidRPr="00BD7CEA">
              <w:rPr>
                <w:rFonts w:ascii="Tahoma" w:hAnsi="Tahoma" w:cs="Tahoma"/>
                <w:sz w:val="18"/>
                <w:szCs w:val="18"/>
              </w:rPr>
              <w:t>300</w:t>
            </w:r>
            <w:r w:rsidR="00592AE0">
              <w:rPr>
                <w:rFonts w:ascii="Tahoma" w:hAnsi="Tahoma" w:cs="Tahoma"/>
                <w:sz w:val="18"/>
                <w:szCs w:val="18"/>
              </w:rPr>
              <w:t>.</w:t>
            </w:r>
            <w:r w:rsidRPr="00BD7CEA">
              <w:rPr>
                <w:rFonts w:ascii="Tahoma" w:hAnsi="Tahoma" w:cs="Tahoma"/>
                <w:sz w:val="18"/>
                <w:szCs w:val="18"/>
              </w:rPr>
              <w:t>000</w:t>
            </w:r>
          </w:p>
        </w:tc>
      </w:tr>
      <w:tr w:rsidR="00613BBB" w:rsidRPr="00BD7CEA" w:rsidTr="002A6416">
        <w:trPr>
          <w:trHeight w:val="236"/>
        </w:trPr>
        <w:tc>
          <w:tcPr>
            <w:tcW w:w="1809" w:type="dxa"/>
            <w:vAlign w:val="bottom"/>
          </w:tcPr>
          <w:p w:rsidR="00613BBB" w:rsidRPr="00BD7CEA" w:rsidRDefault="00613BBB" w:rsidP="00F42FB8">
            <w:pPr>
              <w:pStyle w:val="AppendixBodyText"/>
              <w:rPr>
                <w:rFonts w:ascii="Tahoma" w:hAnsi="Tahoma" w:cs="Tahoma"/>
                <w:sz w:val="18"/>
                <w:szCs w:val="18"/>
              </w:rPr>
            </w:pPr>
            <w:r w:rsidRPr="00BD7CEA">
              <w:rPr>
                <w:rFonts w:ascii="Tahoma" w:hAnsi="Tahoma" w:cs="Tahoma"/>
                <w:sz w:val="18"/>
                <w:szCs w:val="18"/>
              </w:rPr>
              <w:t>Dollaro canadese</w:t>
            </w:r>
          </w:p>
        </w:tc>
        <w:tc>
          <w:tcPr>
            <w:tcW w:w="1350" w:type="dxa"/>
            <w:vAlign w:val="bottom"/>
          </w:tcPr>
          <w:p w:rsidR="00613BBB" w:rsidRPr="00BD7CEA" w:rsidRDefault="00613BBB" w:rsidP="00F42FB8">
            <w:pPr>
              <w:pStyle w:val="AppendixBodyText"/>
              <w:rPr>
                <w:rFonts w:ascii="Tahoma" w:hAnsi="Tahoma" w:cs="Tahoma"/>
                <w:sz w:val="18"/>
                <w:szCs w:val="18"/>
              </w:rPr>
            </w:pPr>
            <w:r w:rsidRPr="00BD7CEA">
              <w:rPr>
                <w:rFonts w:ascii="Tahoma" w:hAnsi="Tahoma" w:cs="Tahoma"/>
                <w:sz w:val="18"/>
                <w:szCs w:val="18"/>
              </w:rPr>
              <w:t>CAD</w:t>
            </w:r>
          </w:p>
        </w:tc>
        <w:tc>
          <w:tcPr>
            <w:tcW w:w="2673" w:type="dxa"/>
            <w:vAlign w:val="bottom"/>
          </w:tcPr>
          <w:p w:rsidR="00613BBB" w:rsidRPr="00BD7CEA" w:rsidRDefault="00613BBB" w:rsidP="00592AE0">
            <w:pPr>
              <w:pStyle w:val="AppendixBodyText"/>
              <w:rPr>
                <w:rFonts w:ascii="Tahoma" w:hAnsi="Tahoma" w:cs="Tahoma"/>
                <w:sz w:val="18"/>
                <w:szCs w:val="18"/>
              </w:rPr>
            </w:pPr>
            <w:r w:rsidRPr="00BD7CEA">
              <w:rPr>
                <w:rFonts w:ascii="Tahoma" w:hAnsi="Tahoma" w:cs="Tahoma"/>
                <w:sz w:val="18"/>
                <w:szCs w:val="18"/>
              </w:rPr>
              <w:t>27</w:t>
            </w:r>
            <w:r w:rsidR="00592AE0">
              <w:rPr>
                <w:rFonts w:ascii="Tahoma" w:hAnsi="Tahoma" w:cs="Tahoma"/>
                <w:sz w:val="18"/>
                <w:szCs w:val="18"/>
              </w:rPr>
              <w:t>.</w:t>
            </w:r>
            <w:r w:rsidRPr="00BD7CEA">
              <w:rPr>
                <w:rFonts w:ascii="Tahoma" w:hAnsi="Tahoma" w:cs="Tahoma"/>
                <w:sz w:val="18"/>
                <w:szCs w:val="18"/>
              </w:rPr>
              <w:t>000</w:t>
            </w:r>
          </w:p>
        </w:tc>
        <w:tc>
          <w:tcPr>
            <w:tcW w:w="2889" w:type="dxa"/>
            <w:vAlign w:val="bottom"/>
          </w:tcPr>
          <w:p w:rsidR="00613BBB" w:rsidRPr="00BD7CEA" w:rsidRDefault="00613BBB" w:rsidP="00592AE0">
            <w:pPr>
              <w:pStyle w:val="AppendixBodyText"/>
              <w:rPr>
                <w:rFonts w:ascii="Tahoma" w:hAnsi="Tahoma" w:cs="Tahoma"/>
                <w:sz w:val="18"/>
                <w:szCs w:val="18"/>
              </w:rPr>
            </w:pPr>
            <w:r w:rsidRPr="00BD7CEA">
              <w:rPr>
                <w:rFonts w:ascii="Tahoma" w:hAnsi="Tahoma" w:cs="Tahoma"/>
                <w:sz w:val="18"/>
                <w:szCs w:val="18"/>
              </w:rPr>
              <w:t>270</w:t>
            </w:r>
            <w:r w:rsidR="00592AE0">
              <w:rPr>
                <w:rFonts w:ascii="Tahoma" w:hAnsi="Tahoma" w:cs="Tahoma"/>
                <w:sz w:val="18"/>
                <w:szCs w:val="18"/>
              </w:rPr>
              <w:t>.</w:t>
            </w:r>
            <w:r w:rsidRPr="00BD7CEA">
              <w:rPr>
                <w:rFonts w:ascii="Tahoma" w:hAnsi="Tahoma" w:cs="Tahoma"/>
                <w:sz w:val="18"/>
                <w:szCs w:val="18"/>
              </w:rPr>
              <w:t>000</w:t>
            </w:r>
          </w:p>
        </w:tc>
      </w:tr>
      <w:tr w:rsidR="00613BBB" w:rsidRPr="00BD7CEA" w:rsidTr="002A6416">
        <w:trPr>
          <w:trHeight w:val="236"/>
        </w:trPr>
        <w:tc>
          <w:tcPr>
            <w:tcW w:w="1809" w:type="dxa"/>
            <w:vAlign w:val="bottom"/>
          </w:tcPr>
          <w:p w:rsidR="00613BBB" w:rsidRPr="00BD7CEA" w:rsidRDefault="00613BBB" w:rsidP="00F42FB8">
            <w:pPr>
              <w:pStyle w:val="AppendixBodyText"/>
              <w:rPr>
                <w:rFonts w:ascii="Tahoma" w:hAnsi="Tahoma" w:cs="Tahoma"/>
                <w:sz w:val="18"/>
                <w:szCs w:val="18"/>
              </w:rPr>
            </w:pPr>
            <w:r w:rsidRPr="00BD7CEA">
              <w:rPr>
                <w:rFonts w:ascii="Tahoma" w:hAnsi="Tahoma" w:cs="Tahoma"/>
                <w:sz w:val="18"/>
                <w:szCs w:val="18"/>
              </w:rPr>
              <w:t>Franco svizzero</w:t>
            </w:r>
          </w:p>
        </w:tc>
        <w:tc>
          <w:tcPr>
            <w:tcW w:w="1350" w:type="dxa"/>
            <w:vAlign w:val="bottom"/>
          </w:tcPr>
          <w:p w:rsidR="00613BBB" w:rsidRPr="00BD7CEA" w:rsidRDefault="00613BBB" w:rsidP="00F42FB8">
            <w:pPr>
              <w:pStyle w:val="AppendixBodyText"/>
              <w:rPr>
                <w:rFonts w:ascii="Tahoma" w:hAnsi="Tahoma" w:cs="Tahoma"/>
                <w:sz w:val="18"/>
                <w:szCs w:val="18"/>
              </w:rPr>
            </w:pPr>
            <w:r w:rsidRPr="00BD7CEA">
              <w:rPr>
                <w:rFonts w:ascii="Tahoma" w:hAnsi="Tahoma" w:cs="Tahoma"/>
                <w:sz w:val="18"/>
                <w:szCs w:val="18"/>
              </w:rPr>
              <w:t>CHF</w:t>
            </w:r>
          </w:p>
        </w:tc>
        <w:tc>
          <w:tcPr>
            <w:tcW w:w="2673" w:type="dxa"/>
            <w:vAlign w:val="bottom"/>
          </w:tcPr>
          <w:p w:rsidR="00613BBB" w:rsidRPr="00BD7CEA" w:rsidRDefault="00613BBB" w:rsidP="00592AE0">
            <w:pPr>
              <w:pStyle w:val="AppendixBodyText"/>
              <w:rPr>
                <w:rFonts w:ascii="Tahoma" w:hAnsi="Tahoma" w:cs="Tahoma"/>
                <w:sz w:val="18"/>
                <w:szCs w:val="18"/>
              </w:rPr>
            </w:pPr>
            <w:r w:rsidRPr="00BD7CEA">
              <w:rPr>
                <w:rFonts w:ascii="Tahoma" w:hAnsi="Tahoma" w:cs="Tahoma"/>
                <w:sz w:val="18"/>
                <w:szCs w:val="18"/>
              </w:rPr>
              <w:t>S Fr. 33</w:t>
            </w:r>
            <w:r w:rsidR="00592AE0">
              <w:rPr>
                <w:rFonts w:ascii="Tahoma" w:hAnsi="Tahoma" w:cs="Tahoma"/>
                <w:sz w:val="18"/>
                <w:szCs w:val="18"/>
              </w:rPr>
              <w:t>.</w:t>
            </w:r>
            <w:r w:rsidRPr="00BD7CEA">
              <w:rPr>
                <w:rFonts w:ascii="Tahoma" w:hAnsi="Tahoma" w:cs="Tahoma"/>
                <w:sz w:val="18"/>
                <w:szCs w:val="18"/>
              </w:rPr>
              <w:t>000</w:t>
            </w:r>
          </w:p>
        </w:tc>
        <w:tc>
          <w:tcPr>
            <w:tcW w:w="2889" w:type="dxa"/>
            <w:vAlign w:val="bottom"/>
          </w:tcPr>
          <w:p w:rsidR="00613BBB" w:rsidRPr="00BD7CEA" w:rsidRDefault="00613BBB" w:rsidP="00F42FB8">
            <w:pPr>
              <w:pStyle w:val="AppendixBodyText"/>
              <w:rPr>
                <w:rFonts w:ascii="Tahoma" w:hAnsi="Tahoma" w:cs="Tahoma"/>
                <w:sz w:val="18"/>
                <w:szCs w:val="18"/>
              </w:rPr>
            </w:pPr>
            <w:r w:rsidRPr="00BD7CEA">
              <w:rPr>
                <w:rFonts w:ascii="Tahoma" w:hAnsi="Tahoma" w:cs="Tahoma"/>
                <w:sz w:val="18"/>
                <w:szCs w:val="18"/>
              </w:rPr>
              <w:t>S Fr. 330,000</w:t>
            </w:r>
          </w:p>
        </w:tc>
      </w:tr>
      <w:tr w:rsidR="00613BBB" w:rsidRPr="00BD7CEA" w:rsidTr="002A6416">
        <w:trPr>
          <w:trHeight w:val="236"/>
        </w:trPr>
        <w:tc>
          <w:tcPr>
            <w:tcW w:w="1809" w:type="dxa"/>
            <w:vAlign w:val="bottom"/>
          </w:tcPr>
          <w:p w:rsidR="00613BBB" w:rsidRPr="00BD7CEA" w:rsidRDefault="00613BBB" w:rsidP="00F42FB8">
            <w:pPr>
              <w:pStyle w:val="AppendixBodyText"/>
              <w:rPr>
                <w:rFonts w:ascii="Tahoma" w:hAnsi="Tahoma" w:cs="Tahoma"/>
                <w:sz w:val="18"/>
                <w:szCs w:val="18"/>
              </w:rPr>
            </w:pPr>
            <w:r w:rsidRPr="00BD7CEA">
              <w:rPr>
                <w:rFonts w:ascii="Tahoma" w:hAnsi="Tahoma" w:cs="Tahoma"/>
                <w:sz w:val="18"/>
                <w:szCs w:val="18"/>
              </w:rPr>
              <w:t>Renminbi cinese</w:t>
            </w:r>
          </w:p>
        </w:tc>
        <w:tc>
          <w:tcPr>
            <w:tcW w:w="1350" w:type="dxa"/>
            <w:vAlign w:val="bottom"/>
          </w:tcPr>
          <w:p w:rsidR="00613BBB" w:rsidRPr="00BD7CEA" w:rsidRDefault="00613BBB" w:rsidP="00F42FB8">
            <w:pPr>
              <w:pStyle w:val="AppendixBodyText"/>
              <w:rPr>
                <w:rFonts w:ascii="Tahoma" w:hAnsi="Tahoma" w:cs="Tahoma"/>
                <w:sz w:val="18"/>
                <w:szCs w:val="18"/>
              </w:rPr>
            </w:pPr>
            <w:r w:rsidRPr="00BD7CEA">
              <w:rPr>
                <w:rFonts w:ascii="Tahoma" w:hAnsi="Tahoma" w:cs="Tahoma"/>
                <w:sz w:val="18"/>
                <w:szCs w:val="18"/>
              </w:rPr>
              <w:t>CNY</w:t>
            </w:r>
          </w:p>
        </w:tc>
        <w:tc>
          <w:tcPr>
            <w:tcW w:w="2673" w:type="dxa"/>
            <w:vAlign w:val="bottom"/>
          </w:tcPr>
          <w:p w:rsidR="00613BBB" w:rsidRPr="00BD7CEA" w:rsidRDefault="00613BBB" w:rsidP="00F42FB8">
            <w:pPr>
              <w:pStyle w:val="AppendixBodyText"/>
              <w:rPr>
                <w:rFonts w:ascii="Tahoma" w:hAnsi="Tahoma" w:cs="Tahoma"/>
                <w:sz w:val="18"/>
                <w:szCs w:val="18"/>
              </w:rPr>
            </w:pPr>
            <w:r w:rsidRPr="00BD7CEA">
              <w:rPr>
                <w:rFonts w:ascii="Tahoma" w:hAnsi="Tahoma" w:cs="Tahoma"/>
                <w:sz w:val="18"/>
                <w:szCs w:val="18"/>
              </w:rPr>
              <w:t>CRC 165.000</w:t>
            </w:r>
          </w:p>
        </w:tc>
        <w:tc>
          <w:tcPr>
            <w:tcW w:w="2889" w:type="dxa"/>
            <w:vAlign w:val="bottom"/>
          </w:tcPr>
          <w:p w:rsidR="00613BBB" w:rsidRPr="00BD7CEA" w:rsidRDefault="00613BBB" w:rsidP="00F42FB8">
            <w:pPr>
              <w:pStyle w:val="AppendixBodyText"/>
              <w:rPr>
                <w:rFonts w:ascii="Tahoma" w:hAnsi="Tahoma" w:cs="Tahoma"/>
                <w:sz w:val="18"/>
                <w:szCs w:val="18"/>
              </w:rPr>
            </w:pPr>
            <w:r w:rsidRPr="00BD7CEA">
              <w:rPr>
                <w:rFonts w:ascii="Tahoma" w:hAnsi="Tahoma" w:cs="Tahoma"/>
                <w:sz w:val="18"/>
                <w:szCs w:val="18"/>
              </w:rPr>
              <w:t>CRC 1.650.000</w:t>
            </w:r>
          </w:p>
        </w:tc>
      </w:tr>
      <w:tr w:rsidR="00613BBB" w:rsidRPr="00BD7CEA" w:rsidTr="002A6416">
        <w:trPr>
          <w:trHeight w:val="236"/>
        </w:trPr>
        <w:tc>
          <w:tcPr>
            <w:tcW w:w="1809" w:type="dxa"/>
            <w:vAlign w:val="bottom"/>
          </w:tcPr>
          <w:p w:rsidR="00613BBB" w:rsidRPr="00BD7CEA" w:rsidRDefault="00613BBB" w:rsidP="00F42FB8">
            <w:pPr>
              <w:pStyle w:val="AppendixBodyText"/>
              <w:rPr>
                <w:rFonts w:ascii="Tahoma" w:hAnsi="Tahoma" w:cs="Tahoma"/>
                <w:sz w:val="18"/>
                <w:szCs w:val="18"/>
              </w:rPr>
            </w:pPr>
            <w:r w:rsidRPr="00BD7CEA">
              <w:rPr>
                <w:rFonts w:ascii="Tahoma" w:hAnsi="Tahoma" w:cs="Tahoma"/>
                <w:sz w:val="18"/>
                <w:szCs w:val="18"/>
              </w:rPr>
              <w:t>Corone Danesi</w:t>
            </w:r>
          </w:p>
        </w:tc>
        <w:tc>
          <w:tcPr>
            <w:tcW w:w="1350" w:type="dxa"/>
            <w:vAlign w:val="bottom"/>
          </w:tcPr>
          <w:p w:rsidR="00613BBB" w:rsidRPr="00BD7CEA" w:rsidRDefault="00613BBB" w:rsidP="00F42FB8">
            <w:pPr>
              <w:pStyle w:val="AppendixBodyText"/>
              <w:rPr>
                <w:rFonts w:ascii="Tahoma" w:hAnsi="Tahoma" w:cs="Tahoma"/>
                <w:sz w:val="18"/>
                <w:szCs w:val="18"/>
              </w:rPr>
            </w:pPr>
            <w:r w:rsidRPr="00BD7CEA">
              <w:rPr>
                <w:rFonts w:ascii="Tahoma" w:hAnsi="Tahoma" w:cs="Tahoma"/>
                <w:sz w:val="18"/>
                <w:szCs w:val="18"/>
              </w:rPr>
              <w:t>DKK</w:t>
            </w:r>
          </w:p>
        </w:tc>
        <w:tc>
          <w:tcPr>
            <w:tcW w:w="2673" w:type="dxa"/>
            <w:vAlign w:val="bottom"/>
          </w:tcPr>
          <w:p w:rsidR="00613BBB" w:rsidRPr="00BD7CEA" w:rsidRDefault="00613BBB" w:rsidP="00F42FB8">
            <w:pPr>
              <w:pStyle w:val="AppendixBodyText"/>
              <w:rPr>
                <w:rFonts w:ascii="Tahoma" w:hAnsi="Tahoma" w:cs="Tahoma"/>
                <w:sz w:val="18"/>
                <w:szCs w:val="18"/>
              </w:rPr>
            </w:pPr>
            <w:r w:rsidRPr="00BD7CEA">
              <w:rPr>
                <w:rFonts w:ascii="Tahoma" w:hAnsi="Tahoma" w:cs="Tahoma"/>
                <w:sz w:val="18"/>
                <w:szCs w:val="18"/>
              </w:rPr>
              <w:t>kr 160.000</w:t>
            </w:r>
          </w:p>
        </w:tc>
        <w:tc>
          <w:tcPr>
            <w:tcW w:w="2889" w:type="dxa"/>
            <w:vAlign w:val="bottom"/>
          </w:tcPr>
          <w:p w:rsidR="00613BBB" w:rsidRPr="00BD7CEA" w:rsidRDefault="00613BBB" w:rsidP="00F42FB8">
            <w:pPr>
              <w:pStyle w:val="AppendixBodyText"/>
              <w:rPr>
                <w:rFonts w:ascii="Tahoma" w:hAnsi="Tahoma" w:cs="Tahoma"/>
                <w:sz w:val="18"/>
                <w:szCs w:val="18"/>
              </w:rPr>
            </w:pPr>
            <w:r w:rsidRPr="00BD7CEA">
              <w:rPr>
                <w:rFonts w:ascii="Tahoma" w:hAnsi="Tahoma" w:cs="Tahoma"/>
                <w:sz w:val="18"/>
                <w:szCs w:val="18"/>
              </w:rPr>
              <w:t>kr 1.600.000</w:t>
            </w:r>
          </w:p>
        </w:tc>
      </w:tr>
      <w:tr w:rsidR="00613BBB" w:rsidRPr="00BD7CEA" w:rsidTr="002A6416">
        <w:trPr>
          <w:trHeight w:val="236"/>
        </w:trPr>
        <w:tc>
          <w:tcPr>
            <w:tcW w:w="1809" w:type="dxa"/>
            <w:vAlign w:val="bottom"/>
          </w:tcPr>
          <w:p w:rsidR="00613BBB" w:rsidRPr="00BD7CEA" w:rsidRDefault="00613BBB" w:rsidP="00F42FB8">
            <w:pPr>
              <w:pStyle w:val="AppendixBodyText"/>
              <w:rPr>
                <w:rFonts w:ascii="Tahoma" w:hAnsi="Tahoma" w:cs="Tahoma"/>
                <w:sz w:val="18"/>
                <w:szCs w:val="18"/>
              </w:rPr>
            </w:pPr>
            <w:r w:rsidRPr="00BD7CEA">
              <w:rPr>
                <w:rFonts w:ascii="Tahoma" w:hAnsi="Tahoma" w:cs="Tahoma"/>
                <w:sz w:val="18"/>
                <w:szCs w:val="18"/>
              </w:rPr>
              <w:t>EURO</w:t>
            </w:r>
          </w:p>
        </w:tc>
        <w:tc>
          <w:tcPr>
            <w:tcW w:w="1350" w:type="dxa"/>
            <w:vAlign w:val="bottom"/>
          </w:tcPr>
          <w:p w:rsidR="00613BBB" w:rsidRPr="00BD7CEA" w:rsidRDefault="00613BBB" w:rsidP="00F42FB8">
            <w:pPr>
              <w:pStyle w:val="AppendixBodyText"/>
              <w:rPr>
                <w:rFonts w:ascii="Tahoma" w:hAnsi="Tahoma" w:cs="Tahoma"/>
                <w:sz w:val="18"/>
                <w:szCs w:val="18"/>
              </w:rPr>
            </w:pPr>
            <w:r w:rsidRPr="00BD7CEA">
              <w:rPr>
                <w:rFonts w:ascii="Tahoma" w:hAnsi="Tahoma" w:cs="Tahoma"/>
                <w:sz w:val="18"/>
                <w:szCs w:val="18"/>
              </w:rPr>
              <w:t>EUR</w:t>
            </w:r>
          </w:p>
        </w:tc>
        <w:tc>
          <w:tcPr>
            <w:tcW w:w="2673" w:type="dxa"/>
            <w:vAlign w:val="bottom"/>
          </w:tcPr>
          <w:p w:rsidR="00613BBB" w:rsidRPr="00BD7CEA" w:rsidRDefault="00613BBB" w:rsidP="00592AE0">
            <w:pPr>
              <w:pStyle w:val="AppendixBodyText"/>
              <w:rPr>
                <w:rFonts w:ascii="Tahoma" w:hAnsi="Tahoma" w:cs="Tahoma"/>
                <w:sz w:val="18"/>
                <w:szCs w:val="18"/>
              </w:rPr>
            </w:pPr>
            <w:r w:rsidRPr="00BD7CEA">
              <w:rPr>
                <w:rFonts w:ascii="Tahoma" w:hAnsi="Tahoma" w:cs="Tahoma"/>
                <w:sz w:val="18"/>
                <w:szCs w:val="18"/>
              </w:rPr>
              <w:t>21</w:t>
            </w:r>
            <w:r w:rsidR="00592AE0">
              <w:rPr>
                <w:rFonts w:ascii="Tahoma" w:hAnsi="Tahoma" w:cs="Tahoma"/>
                <w:sz w:val="18"/>
                <w:szCs w:val="18"/>
              </w:rPr>
              <w:t>.</w:t>
            </w:r>
            <w:r w:rsidRPr="00BD7CEA">
              <w:rPr>
                <w:rFonts w:ascii="Tahoma" w:hAnsi="Tahoma" w:cs="Tahoma"/>
                <w:sz w:val="18"/>
                <w:szCs w:val="18"/>
              </w:rPr>
              <w:t>500</w:t>
            </w:r>
          </w:p>
        </w:tc>
        <w:tc>
          <w:tcPr>
            <w:tcW w:w="2889" w:type="dxa"/>
            <w:vAlign w:val="bottom"/>
          </w:tcPr>
          <w:p w:rsidR="00613BBB" w:rsidRPr="00BD7CEA" w:rsidRDefault="00613BBB" w:rsidP="00592AE0">
            <w:pPr>
              <w:pStyle w:val="AppendixBodyText"/>
              <w:rPr>
                <w:rFonts w:ascii="Tahoma" w:hAnsi="Tahoma" w:cs="Tahoma"/>
                <w:sz w:val="18"/>
                <w:szCs w:val="18"/>
              </w:rPr>
            </w:pPr>
            <w:r w:rsidRPr="00BD7CEA">
              <w:rPr>
                <w:rFonts w:ascii="Tahoma" w:hAnsi="Tahoma" w:cs="Tahoma"/>
                <w:sz w:val="18"/>
                <w:szCs w:val="18"/>
              </w:rPr>
              <w:t>215</w:t>
            </w:r>
            <w:r w:rsidR="00592AE0">
              <w:rPr>
                <w:rFonts w:ascii="Tahoma" w:hAnsi="Tahoma" w:cs="Tahoma"/>
                <w:sz w:val="18"/>
                <w:szCs w:val="18"/>
              </w:rPr>
              <w:t>.</w:t>
            </w:r>
            <w:r w:rsidRPr="00BD7CEA">
              <w:rPr>
                <w:rFonts w:ascii="Tahoma" w:hAnsi="Tahoma" w:cs="Tahoma"/>
                <w:sz w:val="18"/>
                <w:szCs w:val="18"/>
              </w:rPr>
              <w:t>000</w:t>
            </w:r>
          </w:p>
        </w:tc>
      </w:tr>
      <w:tr w:rsidR="00613BBB" w:rsidRPr="00BD7CEA" w:rsidTr="002A6416">
        <w:trPr>
          <w:trHeight w:val="236"/>
        </w:trPr>
        <w:tc>
          <w:tcPr>
            <w:tcW w:w="1809" w:type="dxa"/>
            <w:vAlign w:val="bottom"/>
          </w:tcPr>
          <w:p w:rsidR="00613BBB" w:rsidRPr="00BD7CEA" w:rsidRDefault="00613BBB" w:rsidP="00F42FB8">
            <w:pPr>
              <w:pStyle w:val="AppendixBodyText"/>
              <w:rPr>
                <w:rFonts w:ascii="Tahoma" w:hAnsi="Tahoma" w:cs="Tahoma"/>
                <w:sz w:val="18"/>
                <w:szCs w:val="18"/>
              </w:rPr>
            </w:pPr>
            <w:r w:rsidRPr="00BD7CEA">
              <w:rPr>
                <w:rFonts w:ascii="Tahoma" w:hAnsi="Tahoma" w:cs="Tahoma"/>
                <w:sz w:val="18"/>
                <w:szCs w:val="18"/>
              </w:rPr>
              <w:t>Sterlina britannica</w:t>
            </w:r>
          </w:p>
        </w:tc>
        <w:tc>
          <w:tcPr>
            <w:tcW w:w="1350" w:type="dxa"/>
            <w:vAlign w:val="bottom"/>
          </w:tcPr>
          <w:p w:rsidR="00613BBB" w:rsidRPr="00BD7CEA" w:rsidRDefault="00613BBB" w:rsidP="00F42FB8">
            <w:pPr>
              <w:pStyle w:val="AppendixBodyText"/>
              <w:rPr>
                <w:rFonts w:ascii="Tahoma" w:hAnsi="Tahoma" w:cs="Tahoma"/>
                <w:sz w:val="18"/>
                <w:szCs w:val="18"/>
              </w:rPr>
            </w:pPr>
            <w:r w:rsidRPr="00BD7CEA">
              <w:rPr>
                <w:rFonts w:ascii="Tahoma" w:hAnsi="Tahoma" w:cs="Tahoma"/>
                <w:sz w:val="18"/>
                <w:szCs w:val="18"/>
              </w:rPr>
              <w:t>GBP</w:t>
            </w:r>
          </w:p>
        </w:tc>
        <w:tc>
          <w:tcPr>
            <w:tcW w:w="2673" w:type="dxa"/>
            <w:vAlign w:val="bottom"/>
          </w:tcPr>
          <w:p w:rsidR="00613BBB" w:rsidRPr="00BD7CEA" w:rsidRDefault="00613BBB" w:rsidP="00592AE0">
            <w:pPr>
              <w:pStyle w:val="AppendixBodyText"/>
              <w:rPr>
                <w:rFonts w:ascii="Tahoma" w:hAnsi="Tahoma" w:cs="Tahoma"/>
                <w:sz w:val="18"/>
                <w:szCs w:val="18"/>
              </w:rPr>
            </w:pPr>
            <w:r w:rsidRPr="00BD7CEA">
              <w:rPr>
                <w:rFonts w:ascii="Tahoma" w:hAnsi="Tahoma" w:cs="Tahoma"/>
                <w:sz w:val="18"/>
                <w:szCs w:val="18"/>
              </w:rPr>
              <w:t>£13</w:t>
            </w:r>
            <w:r w:rsidR="00592AE0">
              <w:rPr>
                <w:rFonts w:ascii="Tahoma" w:hAnsi="Tahoma" w:cs="Tahoma"/>
                <w:sz w:val="18"/>
                <w:szCs w:val="18"/>
              </w:rPr>
              <w:t>.</w:t>
            </w:r>
            <w:r w:rsidRPr="00BD7CEA">
              <w:rPr>
                <w:rFonts w:ascii="Tahoma" w:hAnsi="Tahoma" w:cs="Tahoma"/>
                <w:sz w:val="18"/>
                <w:szCs w:val="18"/>
              </w:rPr>
              <w:t>500</w:t>
            </w:r>
          </w:p>
        </w:tc>
        <w:tc>
          <w:tcPr>
            <w:tcW w:w="2889" w:type="dxa"/>
            <w:vAlign w:val="bottom"/>
          </w:tcPr>
          <w:p w:rsidR="00613BBB" w:rsidRPr="00BD7CEA" w:rsidRDefault="00613BBB" w:rsidP="00592AE0">
            <w:pPr>
              <w:pStyle w:val="AppendixBodyText"/>
              <w:rPr>
                <w:rFonts w:ascii="Tahoma" w:hAnsi="Tahoma" w:cs="Tahoma"/>
                <w:sz w:val="18"/>
                <w:szCs w:val="18"/>
              </w:rPr>
            </w:pPr>
            <w:r w:rsidRPr="00BD7CEA">
              <w:rPr>
                <w:rFonts w:ascii="Tahoma" w:hAnsi="Tahoma" w:cs="Tahoma"/>
                <w:sz w:val="18"/>
                <w:szCs w:val="18"/>
              </w:rPr>
              <w:t>£135</w:t>
            </w:r>
            <w:r w:rsidR="00592AE0">
              <w:rPr>
                <w:rFonts w:ascii="Tahoma" w:hAnsi="Tahoma" w:cs="Tahoma"/>
                <w:sz w:val="18"/>
                <w:szCs w:val="18"/>
              </w:rPr>
              <w:t>.</w:t>
            </w:r>
            <w:r w:rsidRPr="00BD7CEA">
              <w:rPr>
                <w:rFonts w:ascii="Tahoma" w:hAnsi="Tahoma" w:cs="Tahoma"/>
                <w:sz w:val="18"/>
                <w:szCs w:val="18"/>
              </w:rPr>
              <w:t>000</w:t>
            </w:r>
          </w:p>
        </w:tc>
      </w:tr>
      <w:tr w:rsidR="00613BBB" w:rsidRPr="00BD7CEA" w:rsidTr="002A6416">
        <w:trPr>
          <w:trHeight w:val="236"/>
        </w:trPr>
        <w:tc>
          <w:tcPr>
            <w:tcW w:w="1809" w:type="dxa"/>
            <w:vAlign w:val="bottom"/>
          </w:tcPr>
          <w:p w:rsidR="00613BBB" w:rsidRPr="00BD7CEA" w:rsidRDefault="00613BBB" w:rsidP="00F42FB8">
            <w:pPr>
              <w:pStyle w:val="AppendixBodyText"/>
              <w:rPr>
                <w:rFonts w:ascii="Tahoma" w:hAnsi="Tahoma" w:cs="Tahoma"/>
                <w:sz w:val="18"/>
                <w:szCs w:val="18"/>
              </w:rPr>
            </w:pPr>
            <w:r w:rsidRPr="00BD7CEA">
              <w:rPr>
                <w:rFonts w:ascii="Tahoma" w:hAnsi="Tahoma" w:cs="Tahoma"/>
                <w:sz w:val="18"/>
                <w:szCs w:val="18"/>
              </w:rPr>
              <w:lastRenderedPageBreak/>
              <w:t>Yen Giapponesi</w:t>
            </w:r>
          </w:p>
        </w:tc>
        <w:tc>
          <w:tcPr>
            <w:tcW w:w="1350" w:type="dxa"/>
            <w:vAlign w:val="bottom"/>
          </w:tcPr>
          <w:p w:rsidR="00613BBB" w:rsidRPr="00BD7CEA" w:rsidRDefault="00613BBB" w:rsidP="00F42FB8">
            <w:pPr>
              <w:pStyle w:val="AppendixBodyText"/>
              <w:rPr>
                <w:rFonts w:ascii="Tahoma" w:hAnsi="Tahoma" w:cs="Tahoma"/>
                <w:sz w:val="18"/>
                <w:szCs w:val="18"/>
              </w:rPr>
            </w:pPr>
            <w:r w:rsidRPr="00BD7CEA">
              <w:rPr>
                <w:rFonts w:ascii="Tahoma" w:hAnsi="Tahoma" w:cs="Tahoma"/>
                <w:sz w:val="18"/>
                <w:szCs w:val="18"/>
              </w:rPr>
              <w:t>JPY</w:t>
            </w:r>
          </w:p>
        </w:tc>
        <w:tc>
          <w:tcPr>
            <w:tcW w:w="2673" w:type="dxa"/>
            <w:vAlign w:val="bottom"/>
          </w:tcPr>
          <w:p w:rsidR="00613BBB" w:rsidRPr="00BD7CEA" w:rsidRDefault="00613BBB" w:rsidP="00F42FB8">
            <w:pPr>
              <w:pStyle w:val="AppendixBodyText"/>
              <w:rPr>
                <w:rFonts w:ascii="Tahoma" w:hAnsi="Tahoma" w:cs="Tahoma"/>
                <w:sz w:val="18"/>
                <w:szCs w:val="18"/>
              </w:rPr>
            </w:pPr>
            <w:r w:rsidRPr="00BD7CEA">
              <w:rPr>
                <w:rFonts w:ascii="Tahoma" w:hAnsi="Tahoma" w:cs="Tahoma"/>
                <w:sz w:val="18"/>
                <w:szCs w:val="18"/>
              </w:rPr>
              <w:t>JPY 2.400.000</w:t>
            </w:r>
          </w:p>
        </w:tc>
        <w:tc>
          <w:tcPr>
            <w:tcW w:w="2889" w:type="dxa"/>
            <w:vAlign w:val="bottom"/>
          </w:tcPr>
          <w:p w:rsidR="00613BBB" w:rsidRPr="00BD7CEA" w:rsidRDefault="00613BBB" w:rsidP="00F42FB8">
            <w:pPr>
              <w:pStyle w:val="AppendixBodyText"/>
              <w:rPr>
                <w:rFonts w:ascii="Tahoma" w:hAnsi="Tahoma" w:cs="Tahoma"/>
                <w:sz w:val="18"/>
                <w:szCs w:val="18"/>
              </w:rPr>
            </w:pPr>
            <w:r w:rsidRPr="00BD7CEA">
              <w:rPr>
                <w:rFonts w:ascii="Tahoma" w:hAnsi="Tahoma" w:cs="Tahoma"/>
                <w:sz w:val="18"/>
                <w:szCs w:val="18"/>
              </w:rPr>
              <w:t>JPY 24.000.000</w:t>
            </w:r>
          </w:p>
        </w:tc>
      </w:tr>
      <w:tr w:rsidR="00613BBB" w:rsidRPr="00BD7CEA" w:rsidTr="002A6416">
        <w:trPr>
          <w:trHeight w:val="236"/>
        </w:trPr>
        <w:tc>
          <w:tcPr>
            <w:tcW w:w="1809" w:type="dxa"/>
            <w:vAlign w:val="bottom"/>
          </w:tcPr>
          <w:p w:rsidR="00613BBB" w:rsidRPr="00BD7CEA" w:rsidRDefault="00613BBB" w:rsidP="00F42FB8">
            <w:pPr>
              <w:pStyle w:val="AppendixBodyText"/>
              <w:rPr>
                <w:rFonts w:ascii="Tahoma" w:hAnsi="Tahoma" w:cs="Tahoma"/>
                <w:sz w:val="18"/>
                <w:szCs w:val="18"/>
              </w:rPr>
            </w:pPr>
            <w:r w:rsidRPr="00BD7CEA">
              <w:rPr>
                <w:rFonts w:ascii="Tahoma" w:hAnsi="Tahoma" w:cs="Tahoma"/>
                <w:sz w:val="18"/>
                <w:szCs w:val="18"/>
              </w:rPr>
              <w:t>Won Coreani</w:t>
            </w:r>
          </w:p>
        </w:tc>
        <w:tc>
          <w:tcPr>
            <w:tcW w:w="1350" w:type="dxa"/>
            <w:vAlign w:val="bottom"/>
          </w:tcPr>
          <w:p w:rsidR="00613BBB" w:rsidRPr="00BD7CEA" w:rsidRDefault="00613BBB" w:rsidP="00F42FB8">
            <w:pPr>
              <w:pStyle w:val="AppendixBodyText"/>
              <w:rPr>
                <w:rFonts w:ascii="Tahoma" w:hAnsi="Tahoma" w:cs="Tahoma"/>
                <w:sz w:val="18"/>
                <w:szCs w:val="18"/>
              </w:rPr>
            </w:pPr>
            <w:r w:rsidRPr="00BD7CEA">
              <w:rPr>
                <w:rFonts w:ascii="Tahoma" w:hAnsi="Tahoma" w:cs="Tahoma"/>
                <w:sz w:val="18"/>
                <w:szCs w:val="18"/>
              </w:rPr>
              <w:t>KRW</w:t>
            </w:r>
          </w:p>
        </w:tc>
        <w:tc>
          <w:tcPr>
            <w:tcW w:w="2673" w:type="dxa"/>
            <w:vAlign w:val="bottom"/>
          </w:tcPr>
          <w:p w:rsidR="00613BBB" w:rsidRPr="00BD7CEA" w:rsidRDefault="00613BBB" w:rsidP="00F42FB8">
            <w:pPr>
              <w:pStyle w:val="AppendixBodyText"/>
              <w:rPr>
                <w:rFonts w:ascii="Tahoma" w:hAnsi="Tahoma" w:cs="Tahoma"/>
                <w:sz w:val="18"/>
                <w:szCs w:val="18"/>
              </w:rPr>
            </w:pPr>
            <w:r w:rsidRPr="00BD7CEA">
              <w:rPr>
                <w:rFonts w:ascii="Tahoma" w:hAnsi="Tahoma" w:cs="Tahoma"/>
                <w:sz w:val="18"/>
                <w:szCs w:val="18"/>
              </w:rPr>
              <w:t>KWD 24.000.000</w:t>
            </w:r>
          </w:p>
        </w:tc>
        <w:tc>
          <w:tcPr>
            <w:tcW w:w="2889" w:type="dxa"/>
            <w:vAlign w:val="bottom"/>
          </w:tcPr>
          <w:p w:rsidR="00613BBB" w:rsidRPr="00BD7CEA" w:rsidRDefault="00613BBB" w:rsidP="00F42FB8">
            <w:pPr>
              <w:pStyle w:val="AppendixBodyText"/>
              <w:rPr>
                <w:rFonts w:ascii="Tahoma" w:hAnsi="Tahoma" w:cs="Tahoma"/>
                <w:sz w:val="18"/>
                <w:szCs w:val="18"/>
              </w:rPr>
            </w:pPr>
            <w:r w:rsidRPr="00BD7CEA">
              <w:rPr>
                <w:rFonts w:ascii="Tahoma" w:hAnsi="Tahoma" w:cs="Tahoma"/>
                <w:sz w:val="18"/>
                <w:szCs w:val="18"/>
              </w:rPr>
              <w:t>KWD 240.000.000</w:t>
            </w:r>
          </w:p>
        </w:tc>
      </w:tr>
      <w:tr w:rsidR="00613BBB" w:rsidRPr="00BD7CEA" w:rsidTr="002A6416">
        <w:trPr>
          <w:trHeight w:val="236"/>
        </w:trPr>
        <w:tc>
          <w:tcPr>
            <w:tcW w:w="1809" w:type="dxa"/>
            <w:vAlign w:val="bottom"/>
          </w:tcPr>
          <w:p w:rsidR="00613BBB" w:rsidRPr="00BD7CEA" w:rsidRDefault="00613BBB" w:rsidP="00F42FB8">
            <w:pPr>
              <w:pStyle w:val="AppendixBodyText"/>
              <w:rPr>
                <w:rFonts w:ascii="Tahoma" w:hAnsi="Tahoma" w:cs="Tahoma"/>
                <w:sz w:val="18"/>
                <w:szCs w:val="18"/>
              </w:rPr>
            </w:pPr>
            <w:r w:rsidRPr="00BD7CEA">
              <w:rPr>
                <w:rFonts w:ascii="Tahoma" w:hAnsi="Tahoma" w:cs="Tahoma"/>
                <w:sz w:val="18"/>
                <w:szCs w:val="18"/>
              </w:rPr>
              <w:t>Corone Norvegesi</w:t>
            </w:r>
          </w:p>
        </w:tc>
        <w:tc>
          <w:tcPr>
            <w:tcW w:w="1350" w:type="dxa"/>
            <w:vAlign w:val="bottom"/>
          </w:tcPr>
          <w:p w:rsidR="00613BBB" w:rsidRPr="00BD7CEA" w:rsidRDefault="00613BBB" w:rsidP="00F42FB8">
            <w:pPr>
              <w:pStyle w:val="AppendixBodyText"/>
              <w:rPr>
                <w:rFonts w:ascii="Tahoma" w:hAnsi="Tahoma" w:cs="Tahoma"/>
                <w:sz w:val="18"/>
                <w:szCs w:val="18"/>
              </w:rPr>
            </w:pPr>
            <w:r w:rsidRPr="00BD7CEA">
              <w:rPr>
                <w:rFonts w:ascii="Tahoma" w:hAnsi="Tahoma" w:cs="Tahoma"/>
                <w:sz w:val="18"/>
                <w:szCs w:val="18"/>
              </w:rPr>
              <w:t>NOK</w:t>
            </w:r>
          </w:p>
        </w:tc>
        <w:tc>
          <w:tcPr>
            <w:tcW w:w="2673" w:type="dxa"/>
            <w:vAlign w:val="bottom"/>
          </w:tcPr>
          <w:p w:rsidR="00613BBB" w:rsidRPr="00BD7CEA" w:rsidRDefault="00613BBB" w:rsidP="00F42FB8">
            <w:pPr>
              <w:pStyle w:val="AppendixBodyText"/>
              <w:rPr>
                <w:rFonts w:ascii="Tahoma" w:hAnsi="Tahoma" w:cs="Tahoma"/>
                <w:sz w:val="18"/>
                <w:szCs w:val="18"/>
              </w:rPr>
            </w:pPr>
            <w:r w:rsidRPr="00BD7CEA">
              <w:rPr>
                <w:rFonts w:ascii="Tahoma" w:hAnsi="Tahoma" w:cs="Tahoma"/>
                <w:sz w:val="18"/>
                <w:szCs w:val="18"/>
              </w:rPr>
              <w:t>kr 165.000</w:t>
            </w:r>
          </w:p>
        </w:tc>
        <w:tc>
          <w:tcPr>
            <w:tcW w:w="2889" w:type="dxa"/>
            <w:vAlign w:val="bottom"/>
          </w:tcPr>
          <w:p w:rsidR="00613BBB" w:rsidRPr="00BD7CEA" w:rsidRDefault="00613BBB" w:rsidP="00F42FB8">
            <w:pPr>
              <w:pStyle w:val="AppendixBodyText"/>
              <w:rPr>
                <w:rFonts w:ascii="Tahoma" w:hAnsi="Tahoma" w:cs="Tahoma"/>
                <w:sz w:val="18"/>
                <w:szCs w:val="18"/>
              </w:rPr>
            </w:pPr>
            <w:r w:rsidRPr="00BD7CEA">
              <w:rPr>
                <w:rFonts w:ascii="Tahoma" w:hAnsi="Tahoma" w:cs="Tahoma"/>
                <w:sz w:val="18"/>
                <w:szCs w:val="18"/>
              </w:rPr>
              <w:t>kr 1.650.000</w:t>
            </w:r>
          </w:p>
        </w:tc>
      </w:tr>
      <w:tr w:rsidR="00613BBB" w:rsidRPr="00BD7CEA" w:rsidTr="002A6416">
        <w:trPr>
          <w:trHeight w:val="236"/>
        </w:trPr>
        <w:tc>
          <w:tcPr>
            <w:tcW w:w="1809" w:type="dxa"/>
            <w:vAlign w:val="bottom"/>
          </w:tcPr>
          <w:p w:rsidR="00613BBB" w:rsidRPr="00BD7CEA" w:rsidRDefault="00613BBB" w:rsidP="00F42FB8">
            <w:pPr>
              <w:pStyle w:val="AppendixBodyText"/>
              <w:rPr>
                <w:rFonts w:ascii="Tahoma" w:hAnsi="Tahoma" w:cs="Tahoma"/>
                <w:sz w:val="18"/>
                <w:szCs w:val="18"/>
              </w:rPr>
            </w:pPr>
            <w:r w:rsidRPr="00BD7CEA">
              <w:rPr>
                <w:rFonts w:ascii="Tahoma" w:hAnsi="Tahoma" w:cs="Tahoma"/>
                <w:sz w:val="18"/>
                <w:szCs w:val="18"/>
              </w:rPr>
              <w:t>Dollaro neozelandese</w:t>
            </w:r>
          </w:p>
        </w:tc>
        <w:tc>
          <w:tcPr>
            <w:tcW w:w="1350" w:type="dxa"/>
            <w:vAlign w:val="bottom"/>
          </w:tcPr>
          <w:p w:rsidR="00613BBB" w:rsidRPr="00BD7CEA" w:rsidRDefault="00613BBB" w:rsidP="00F42FB8">
            <w:pPr>
              <w:pStyle w:val="AppendixBodyText"/>
              <w:rPr>
                <w:rFonts w:ascii="Tahoma" w:hAnsi="Tahoma" w:cs="Tahoma"/>
                <w:sz w:val="18"/>
                <w:szCs w:val="18"/>
              </w:rPr>
            </w:pPr>
            <w:r w:rsidRPr="00BD7CEA">
              <w:rPr>
                <w:rFonts w:ascii="Tahoma" w:hAnsi="Tahoma" w:cs="Tahoma"/>
                <w:sz w:val="18"/>
                <w:szCs w:val="18"/>
              </w:rPr>
              <w:t>NZD</w:t>
            </w:r>
          </w:p>
        </w:tc>
        <w:tc>
          <w:tcPr>
            <w:tcW w:w="2673" w:type="dxa"/>
            <w:vAlign w:val="bottom"/>
          </w:tcPr>
          <w:p w:rsidR="00613BBB" w:rsidRPr="00BD7CEA" w:rsidRDefault="00613BBB" w:rsidP="00592AE0">
            <w:pPr>
              <w:pStyle w:val="AppendixBodyText"/>
              <w:rPr>
                <w:rFonts w:ascii="Tahoma" w:hAnsi="Tahoma" w:cs="Tahoma"/>
                <w:sz w:val="18"/>
                <w:szCs w:val="18"/>
              </w:rPr>
            </w:pPr>
            <w:r w:rsidRPr="00BD7CEA">
              <w:rPr>
                <w:rFonts w:ascii="Tahoma" w:hAnsi="Tahoma" w:cs="Tahoma"/>
                <w:sz w:val="18"/>
                <w:szCs w:val="18"/>
              </w:rPr>
              <w:t>35</w:t>
            </w:r>
            <w:r w:rsidR="00592AE0">
              <w:rPr>
                <w:rFonts w:ascii="Tahoma" w:hAnsi="Tahoma" w:cs="Tahoma"/>
                <w:sz w:val="18"/>
                <w:szCs w:val="18"/>
              </w:rPr>
              <w:t>.</w:t>
            </w:r>
            <w:r w:rsidRPr="00BD7CEA">
              <w:rPr>
                <w:rFonts w:ascii="Tahoma" w:hAnsi="Tahoma" w:cs="Tahoma"/>
                <w:sz w:val="18"/>
                <w:szCs w:val="18"/>
              </w:rPr>
              <w:t>000</w:t>
            </w:r>
          </w:p>
        </w:tc>
        <w:tc>
          <w:tcPr>
            <w:tcW w:w="2889" w:type="dxa"/>
            <w:vAlign w:val="bottom"/>
          </w:tcPr>
          <w:p w:rsidR="00613BBB" w:rsidRPr="00BD7CEA" w:rsidRDefault="00613BBB" w:rsidP="00592AE0">
            <w:pPr>
              <w:pStyle w:val="AppendixBodyText"/>
              <w:rPr>
                <w:rFonts w:ascii="Tahoma" w:hAnsi="Tahoma" w:cs="Tahoma"/>
                <w:sz w:val="18"/>
                <w:szCs w:val="18"/>
              </w:rPr>
            </w:pPr>
            <w:r w:rsidRPr="00BD7CEA">
              <w:rPr>
                <w:rFonts w:ascii="Tahoma" w:hAnsi="Tahoma" w:cs="Tahoma"/>
                <w:sz w:val="18"/>
                <w:szCs w:val="18"/>
              </w:rPr>
              <w:t>350</w:t>
            </w:r>
            <w:r w:rsidR="00592AE0">
              <w:rPr>
                <w:rFonts w:ascii="Tahoma" w:hAnsi="Tahoma" w:cs="Tahoma"/>
                <w:sz w:val="18"/>
                <w:szCs w:val="18"/>
              </w:rPr>
              <w:t>.</w:t>
            </w:r>
            <w:r w:rsidRPr="00BD7CEA">
              <w:rPr>
                <w:rFonts w:ascii="Tahoma" w:hAnsi="Tahoma" w:cs="Tahoma"/>
                <w:sz w:val="18"/>
                <w:szCs w:val="18"/>
              </w:rPr>
              <w:t>000</w:t>
            </w:r>
          </w:p>
        </w:tc>
      </w:tr>
      <w:tr w:rsidR="00613BBB" w:rsidRPr="00BD7CEA" w:rsidTr="002A6416">
        <w:trPr>
          <w:trHeight w:val="236"/>
        </w:trPr>
        <w:tc>
          <w:tcPr>
            <w:tcW w:w="1809" w:type="dxa"/>
            <w:vAlign w:val="bottom"/>
          </w:tcPr>
          <w:p w:rsidR="00613BBB" w:rsidRPr="00BD7CEA" w:rsidRDefault="00613BBB" w:rsidP="00F42FB8">
            <w:pPr>
              <w:pStyle w:val="AppendixBodyText"/>
              <w:rPr>
                <w:rFonts w:ascii="Tahoma" w:hAnsi="Tahoma" w:cs="Tahoma"/>
                <w:sz w:val="18"/>
                <w:szCs w:val="18"/>
              </w:rPr>
            </w:pPr>
            <w:r w:rsidRPr="00BD7CEA">
              <w:rPr>
                <w:rFonts w:ascii="Tahoma" w:hAnsi="Tahoma" w:cs="Tahoma"/>
                <w:sz w:val="18"/>
                <w:szCs w:val="18"/>
              </w:rPr>
              <w:t>Corone Svedesi</w:t>
            </w:r>
          </w:p>
        </w:tc>
        <w:tc>
          <w:tcPr>
            <w:tcW w:w="1350" w:type="dxa"/>
            <w:vAlign w:val="bottom"/>
          </w:tcPr>
          <w:p w:rsidR="00613BBB" w:rsidRPr="00BD7CEA" w:rsidRDefault="00613BBB" w:rsidP="00F42FB8">
            <w:pPr>
              <w:pStyle w:val="AppendixBodyText"/>
              <w:rPr>
                <w:rFonts w:ascii="Tahoma" w:hAnsi="Tahoma" w:cs="Tahoma"/>
                <w:sz w:val="18"/>
                <w:szCs w:val="18"/>
              </w:rPr>
            </w:pPr>
            <w:r w:rsidRPr="00BD7CEA">
              <w:rPr>
                <w:rFonts w:ascii="Tahoma" w:hAnsi="Tahoma" w:cs="Tahoma"/>
                <w:sz w:val="18"/>
                <w:szCs w:val="18"/>
              </w:rPr>
              <w:t>SEK</w:t>
            </w:r>
          </w:p>
        </w:tc>
        <w:tc>
          <w:tcPr>
            <w:tcW w:w="2673" w:type="dxa"/>
            <w:vAlign w:val="bottom"/>
          </w:tcPr>
          <w:p w:rsidR="00613BBB" w:rsidRPr="00BD7CEA" w:rsidRDefault="00613BBB" w:rsidP="00F42FB8">
            <w:pPr>
              <w:pStyle w:val="AppendixBodyText"/>
              <w:rPr>
                <w:rFonts w:ascii="Tahoma" w:hAnsi="Tahoma" w:cs="Tahoma"/>
                <w:sz w:val="18"/>
                <w:szCs w:val="18"/>
              </w:rPr>
            </w:pPr>
            <w:r w:rsidRPr="00BD7CEA">
              <w:rPr>
                <w:rFonts w:ascii="Tahoma" w:hAnsi="Tahoma" w:cs="Tahoma"/>
                <w:sz w:val="18"/>
                <w:szCs w:val="18"/>
              </w:rPr>
              <w:t>kr 200.000</w:t>
            </w:r>
          </w:p>
        </w:tc>
        <w:tc>
          <w:tcPr>
            <w:tcW w:w="2889" w:type="dxa"/>
            <w:vAlign w:val="bottom"/>
          </w:tcPr>
          <w:p w:rsidR="00613BBB" w:rsidRPr="00BD7CEA" w:rsidRDefault="00613BBB" w:rsidP="00F42FB8">
            <w:pPr>
              <w:pStyle w:val="AppendixBodyText"/>
              <w:rPr>
                <w:rFonts w:ascii="Tahoma" w:hAnsi="Tahoma" w:cs="Tahoma"/>
                <w:sz w:val="18"/>
                <w:szCs w:val="18"/>
              </w:rPr>
            </w:pPr>
            <w:r w:rsidRPr="00BD7CEA">
              <w:rPr>
                <w:rFonts w:ascii="Tahoma" w:hAnsi="Tahoma" w:cs="Tahoma"/>
                <w:sz w:val="18"/>
                <w:szCs w:val="18"/>
              </w:rPr>
              <w:t>kr 2.000.000</w:t>
            </w:r>
          </w:p>
        </w:tc>
      </w:tr>
      <w:tr w:rsidR="00613BBB" w:rsidRPr="00BD7CEA" w:rsidTr="002A6416">
        <w:trPr>
          <w:trHeight w:val="236"/>
        </w:trPr>
        <w:tc>
          <w:tcPr>
            <w:tcW w:w="1809" w:type="dxa"/>
            <w:vAlign w:val="bottom"/>
          </w:tcPr>
          <w:p w:rsidR="00613BBB" w:rsidRPr="00BD7CEA" w:rsidRDefault="00613BBB" w:rsidP="00F42FB8">
            <w:pPr>
              <w:pStyle w:val="AppendixBodyText"/>
              <w:rPr>
                <w:rFonts w:ascii="Tahoma" w:hAnsi="Tahoma" w:cs="Tahoma"/>
                <w:sz w:val="18"/>
                <w:szCs w:val="18"/>
              </w:rPr>
            </w:pPr>
            <w:r w:rsidRPr="00BD7CEA">
              <w:rPr>
                <w:rFonts w:ascii="Tahoma" w:hAnsi="Tahoma" w:cs="Tahoma"/>
                <w:sz w:val="18"/>
                <w:szCs w:val="18"/>
              </w:rPr>
              <w:t>Nuovo dollaro taiwanese</w:t>
            </w:r>
          </w:p>
        </w:tc>
        <w:tc>
          <w:tcPr>
            <w:tcW w:w="1350" w:type="dxa"/>
            <w:vAlign w:val="bottom"/>
          </w:tcPr>
          <w:p w:rsidR="00613BBB" w:rsidRPr="00BD7CEA" w:rsidRDefault="00613BBB" w:rsidP="00F42FB8">
            <w:pPr>
              <w:pStyle w:val="AppendixBodyText"/>
              <w:rPr>
                <w:rFonts w:ascii="Tahoma" w:hAnsi="Tahoma" w:cs="Tahoma"/>
                <w:sz w:val="18"/>
                <w:szCs w:val="18"/>
              </w:rPr>
            </w:pPr>
            <w:r w:rsidRPr="00BD7CEA">
              <w:rPr>
                <w:rFonts w:ascii="Tahoma" w:hAnsi="Tahoma" w:cs="Tahoma"/>
                <w:sz w:val="18"/>
                <w:szCs w:val="18"/>
              </w:rPr>
              <w:t>TWD</w:t>
            </w:r>
          </w:p>
        </w:tc>
        <w:tc>
          <w:tcPr>
            <w:tcW w:w="2673" w:type="dxa"/>
            <w:vAlign w:val="bottom"/>
          </w:tcPr>
          <w:p w:rsidR="00613BBB" w:rsidRPr="00BD7CEA" w:rsidRDefault="00613BBB" w:rsidP="00F42FB8">
            <w:pPr>
              <w:pStyle w:val="AppendixBodyText"/>
              <w:rPr>
                <w:rFonts w:ascii="Tahoma" w:hAnsi="Tahoma" w:cs="Tahoma"/>
                <w:sz w:val="18"/>
                <w:szCs w:val="18"/>
              </w:rPr>
            </w:pPr>
            <w:r w:rsidRPr="00BD7CEA">
              <w:rPr>
                <w:rFonts w:ascii="Tahoma" w:hAnsi="Tahoma" w:cs="Tahoma"/>
                <w:sz w:val="18"/>
                <w:szCs w:val="18"/>
              </w:rPr>
              <w:t>NTD 700.000</w:t>
            </w:r>
          </w:p>
        </w:tc>
        <w:tc>
          <w:tcPr>
            <w:tcW w:w="2889" w:type="dxa"/>
            <w:vAlign w:val="bottom"/>
          </w:tcPr>
          <w:p w:rsidR="00613BBB" w:rsidRPr="00BD7CEA" w:rsidRDefault="00613BBB" w:rsidP="00F42FB8">
            <w:pPr>
              <w:pStyle w:val="AppendixBodyText"/>
              <w:rPr>
                <w:rFonts w:ascii="Tahoma" w:hAnsi="Tahoma" w:cs="Tahoma"/>
                <w:sz w:val="18"/>
                <w:szCs w:val="18"/>
              </w:rPr>
            </w:pPr>
            <w:r w:rsidRPr="00BD7CEA">
              <w:rPr>
                <w:rFonts w:ascii="Tahoma" w:hAnsi="Tahoma" w:cs="Tahoma"/>
                <w:sz w:val="18"/>
                <w:szCs w:val="18"/>
              </w:rPr>
              <w:t>NTD 7.000.000</w:t>
            </w:r>
          </w:p>
        </w:tc>
      </w:tr>
      <w:tr w:rsidR="004B4C79" w:rsidRPr="00BD7CEA" w:rsidTr="002A6416">
        <w:trPr>
          <w:trHeight w:val="236"/>
        </w:trPr>
        <w:tc>
          <w:tcPr>
            <w:tcW w:w="1809" w:type="dxa"/>
          </w:tcPr>
          <w:p w:rsidR="004B4C79" w:rsidRPr="00BD7CEA" w:rsidRDefault="004B4C79" w:rsidP="00F42FB8">
            <w:pPr>
              <w:pStyle w:val="AppendixBodyText"/>
              <w:rPr>
                <w:rFonts w:ascii="Tahoma" w:hAnsi="Tahoma" w:cs="Tahoma"/>
                <w:sz w:val="18"/>
                <w:szCs w:val="18"/>
              </w:rPr>
            </w:pPr>
            <w:r w:rsidRPr="00BD7CEA">
              <w:rPr>
                <w:rFonts w:ascii="Tahoma" w:hAnsi="Tahoma" w:cs="Tahoma"/>
                <w:sz w:val="18"/>
                <w:szCs w:val="18"/>
              </w:rPr>
              <w:t>Rupia indiana</w:t>
            </w:r>
          </w:p>
        </w:tc>
        <w:tc>
          <w:tcPr>
            <w:tcW w:w="1350" w:type="dxa"/>
          </w:tcPr>
          <w:p w:rsidR="004B4C79" w:rsidRPr="00BD7CEA" w:rsidRDefault="004B4C79" w:rsidP="00F42FB8">
            <w:pPr>
              <w:pStyle w:val="AppendixBodyText"/>
              <w:rPr>
                <w:rFonts w:ascii="Tahoma" w:hAnsi="Tahoma" w:cs="Tahoma"/>
                <w:sz w:val="18"/>
                <w:szCs w:val="18"/>
              </w:rPr>
            </w:pPr>
            <w:r w:rsidRPr="00BD7CEA">
              <w:rPr>
                <w:rFonts w:ascii="Tahoma" w:hAnsi="Tahoma" w:cs="Tahoma"/>
                <w:sz w:val="18"/>
                <w:szCs w:val="18"/>
              </w:rPr>
              <w:t>INR</w:t>
            </w:r>
          </w:p>
        </w:tc>
        <w:tc>
          <w:tcPr>
            <w:tcW w:w="2673" w:type="dxa"/>
          </w:tcPr>
          <w:p w:rsidR="004B4C79" w:rsidRPr="00BD7CEA" w:rsidRDefault="004B4C79" w:rsidP="00F42FB8">
            <w:pPr>
              <w:pStyle w:val="AppendixBodyText"/>
              <w:rPr>
                <w:rFonts w:ascii="Tahoma" w:hAnsi="Tahoma" w:cs="Tahoma"/>
                <w:sz w:val="18"/>
                <w:szCs w:val="18"/>
              </w:rPr>
            </w:pPr>
            <w:r w:rsidRPr="00BD7CEA">
              <w:rPr>
                <w:rFonts w:ascii="Tahoma" w:hAnsi="Tahoma" w:cs="Tahoma"/>
                <w:sz w:val="18"/>
                <w:szCs w:val="18"/>
              </w:rPr>
              <w:t>INR 1.000.000</w:t>
            </w:r>
          </w:p>
        </w:tc>
        <w:tc>
          <w:tcPr>
            <w:tcW w:w="2889" w:type="dxa"/>
          </w:tcPr>
          <w:p w:rsidR="004B4C79" w:rsidRPr="00BD7CEA" w:rsidRDefault="004B4C79" w:rsidP="00F42FB8">
            <w:pPr>
              <w:pStyle w:val="AppendixBodyText"/>
              <w:rPr>
                <w:rFonts w:ascii="Tahoma" w:hAnsi="Tahoma" w:cs="Tahoma"/>
                <w:sz w:val="18"/>
                <w:szCs w:val="18"/>
              </w:rPr>
            </w:pPr>
            <w:r w:rsidRPr="00BD7CEA">
              <w:rPr>
                <w:rFonts w:ascii="Tahoma" w:hAnsi="Tahoma" w:cs="Tahoma"/>
                <w:sz w:val="18"/>
                <w:szCs w:val="18"/>
              </w:rPr>
              <w:t>INR 10.000.000</w:t>
            </w:r>
          </w:p>
        </w:tc>
      </w:tr>
      <w:tr w:rsidR="004B4C79" w:rsidRPr="00BD7CEA" w:rsidTr="002A6416">
        <w:trPr>
          <w:trHeight w:val="236"/>
        </w:trPr>
        <w:tc>
          <w:tcPr>
            <w:tcW w:w="1809" w:type="dxa"/>
          </w:tcPr>
          <w:p w:rsidR="004B4C79" w:rsidRPr="00BD7CEA" w:rsidRDefault="004B4C79" w:rsidP="00F42FB8">
            <w:pPr>
              <w:pStyle w:val="AppendixBodyText"/>
              <w:rPr>
                <w:rFonts w:ascii="Tahoma" w:hAnsi="Tahoma" w:cs="Tahoma"/>
                <w:sz w:val="18"/>
                <w:szCs w:val="18"/>
              </w:rPr>
            </w:pPr>
            <w:r w:rsidRPr="00BD7CEA">
              <w:rPr>
                <w:rFonts w:ascii="Tahoma" w:hAnsi="Tahoma" w:cs="Tahoma"/>
                <w:sz w:val="18"/>
                <w:szCs w:val="18"/>
              </w:rPr>
              <w:t>Rublo russo</w:t>
            </w:r>
          </w:p>
        </w:tc>
        <w:tc>
          <w:tcPr>
            <w:tcW w:w="1350" w:type="dxa"/>
          </w:tcPr>
          <w:p w:rsidR="004B4C79" w:rsidRPr="00BD7CEA" w:rsidRDefault="004B4C79" w:rsidP="00F42FB8">
            <w:pPr>
              <w:pStyle w:val="AppendixBodyText"/>
              <w:rPr>
                <w:rFonts w:ascii="Tahoma" w:hAnsi="Tahoma" w:cs="Tahoma"/>
                <w:sz w:val="18"/>
                <w:szCs w:val="18"/>
              </w:rPr>
            </w:pPr>
            <w:r w:rsidRPr="00BD7CEA">
              <w:rPr>
                <w:rFonts w:ascii="Tahoma" w:hAnsi="Tahoma" w:cs="Tahoma"/>
                <w:sz w:val="18"/>
                <w:szCs w:val="18"/>
              </w:rPr>
              <w:t>RUB</w:t>
            </w:r>
          </w:p>
        </w:tc>
        <w:tc>
          <w:tcPr>
            <w:tcW w:w="2673" w:type="dxa"/>
          </w:tcPr>
          <w:p w:rsidR="004B4C79" w:rsidRPr="00BD7CEA" w:rsidRDefault="004B4C79" w:rsidP="00F42FB8">
            <w:pPr>
              <w:pStyle w:val="AppendixBodyText"/>
              <w:rPr>
                <w:rFonts w:ascii="Tahoma" w:hAnsi="Tahoma" w:cs="Tahoma"/>
                <w:sz w:val="18"/>
                <w:szCs w:val="18"/>
              </w:rPr>
            </w:pPr>
            <w:r w:rsidRPr="00BD7CEA">
              <w:rPr>
                <w:rFonts w:ascii="Tahoma" w:hAnsi="Tahoma" w:cs="Tahoma"/>
                <w:sz w:val="18"/>
                <w:szCs w:val="18"/>
              </w:rPr>
              <w:t>RUB 660.000</w:t>
            </w:r>
          </w:p>
        </w:tc>
        <w:tc>
          <w:tcPr>
            <w:tcW w:w="2889" w:type="dxa"/>
          </w:tcPr>
          <w:p w:rsidR="004B4C79" w:rsidRPr="00BD7CEA" w:rsidRDefault="004B4C79" w:rsidP="00F42FB8">
            <w:pPr>
              <w:pStyle w:val="AppendixBodyText"/>
              <w:rPr>
                <w:rFonts w:ascii="Tahoma" w:hAnsi="Tahoma" w:cs="Tahoma"/>
                <w:sz w:val="18"/>
                <w:szCs w:val="18"/>
              </w:rPr>
            </w:pPr>
            <w:r w:rsidRPr="00BD7CEA">
              <w:rPr>
                <w:rFonts w:ascii="Tahoma" w:hAnsi="Tahoma" w:cs="Tahoma"/>
                <w:sz w:val="18"/>
                <w:szCs w:val="18"/>
              </w:rPr>
              <w:t>RUB 6.600.000</w:t>
            </w:r>
          </w:p>
        </w:tc>
      </w:tr>
    </w:tbl>
    <w:p w:rsidR="00023FE7" w:rsidRPr="00BD7CEA" w:rsidRDefault="00023FE7" w:rsidP="00F93617">
      <w:pPr>
        <w:pStyle w:val="AppendixBodyText"/>
        <w:spacing w:after="0"/>
      </w:pPr>
    </w:p>
    <w:p w:rsidR="00023FE7" w:rsidRPr="007B74B7" w:rsidRDefault="00023FE7" w:rsidP="00F42FB8">
      <w:pPr>
        <w:pStyle w:val="AppendixBodyText"/>
        <w:spacing w:after="0"/>
        <w:rPr>
          <w:lang w:val="it-IT"/>
        </w:rPr>
      </w:pPr>
      <w:r w:rsidRPr="007B74B7">
        <w:rPr>
          <w:rFonts w:ascii="Tahoma" w:hAnsi="Tahoma" w:cs="Tahoma"/>
          <w:sz w:val="18"/>
          <w:szCs w:val="18"/>
          <w:lang w:val="it-IT"/>
        </w:rPr>
        <w:t>Gli interventi basati sulla spesa SA sono concessi in base alla spesa SA per server e desktop, ai sensi di un</w:t>
      </w:r>
      <w:r w:rsidR="007A1415" w:rsidRPr="007B74B7">
        <w:rPr>
          <w:rFonts w:ascii="Tahoma" w:hAnsi="Tahoma" w:cs="Tahoma"/>
          <w:sz w:val="18"/>
          <w:szCs w:val="18"/>
          <w:lang w:val="it-IT"/>
        </w:rPr>
        <w:t>’</w:t>
      </w:r>
      <w:r w:rsidRPr="007B74B7">
        <w:rPr>
          <w:rFonts w:ascii="Tahoma" w:hAnsi="Tahoma" w:cs="Tahoma"/>
          <w:sz w:val="18"/>
          <w:szCs w:val="18"/>
          <w:lang w:val="it-IT"/>
        </w:rPr>
        <w:t>iscrizione Enterprise o Select qualificante, della registrazione Select Plus, del Contratto Open Value o del Numero di Autorizzazione Open License.</w:t>
      </w:r>
      <w:r w:rsidR="008D782D" w:rsidRPr="007B74B7">
        <w:rPr>
          <w:rFonts w:ascii="Tahoma" w:hAnsi="Tahoma" w:cs="Tahoma"/>
          <w:sz w:val="18"/>
          <w:szCs w:val="18"/>
          <w:lang w:val="it-IT"/>
        </w:rPr>
        <w:t xml:space="preserve"> </w:t>
      </w:r>
      <w:r w:rsidRPr="007B74B7">
        <w:rPr>
          <w:rFonts w:ascii="Tahoma" w:hAnsi="Tahoma" w:cs="Tahoma"/>
          <w:sz w:val="18"/>
          <w:szCs w:val="18"/>
          <w:lang w:val="it-IT"/>
        </w:rPr>
        <w:t>Indicativamente, per ogni $ 20.000 di spesa SA per Server e CAL, Microsoft concede un</w:t>
      </w:r>
      <w:r w:rsidR="007412FF" w:rsidRPr="007B74B7">
        <w:rPr>
          <w:rFonts w:ascii="Tahoma" w:hAnsi="Tahoma" w:cs="Tahoma"/>
          <w:sz w:val="18"/>
          <w:szCs w:val="18"/>
          <w:lang w:val="it-IT"/>
        </w:rPr>
        <w:t> </w:t>
      </w:r>
      <w:r w:rsidRPr="007B74B7">
        <w:rPr>
          <w:rFonts w:ascii="Tahoma" w:hAnsi="Tahoma" w:cs="Tahoma"/>
          <w:sz w:val="18"/>
          <w:szCs w:val="18"/>
          <w:lang w:val="it-IT"/>
        </w:rPr>
        <w:t>intervento.</w:t>
      </w:r>
      <w:r w:rsidR="008D782D" w:rsidRPr="007B74B7">
        <w:rPr>
          <w:rFonts w:ascii="Tahoma" w:hAnsi="Tahoma" w:cs="Tahoma"/>
          <w:sz w:val="18"/>
          <w:szCs w:val="18"/>
          <w:lang w:val="it-IT"/>
        </w:rPr>
        <w:t xml:space="preserve"> </w:t>
      </w:r>
      <w:r w:rsidRPr="007B74B7">
        <w:rPr>
          <w:rFonts w:ascii="Tahoma" w:hAnsi="Tahoma" w:cs="Tahoma"/>
          <w:sz w:val="18"/>
          <w:szCs w:val="18"/>
          <w:lang w:val="it-IT"/>
        </w:rPr>
        <w:t>Per circa $ 200.000 di spesa SA per Sistemi e Pool di Applicazioni, Microsoft concede un intervento.</w:t>
      </w:r>
      <w:r w:rsidR="008D782D" w:rsidRPr="007B74B7">
        <w:rPr>
          <w:rFonts w:ascii="Tahoma" w:hAnsi="Tahoma" w:cs="Tahoma"/>
          <w:sz w:val="18"/>
          <w:szCs w:val="18"/>
          <w:lang w:val="it-IT"/>
        </w:rPr>
        <w:t xml:space="preserve"> </w:t>
      </w:r>
      <w:r w:rsidRPr="007B74B7">
        <w:rPr>
          <w:rFonts w:ascii="Tahoma" w:hAnsi="Tahoma" w:cs="Tahoma"/>
          <w:sz w:val="18"/>
          <w:szCs w:val="18"/>
          <w:lang w:val="it-IT"/>
        </w:rPr>
        <w:t>La seguente tabella mostra le somme equivalenti, approssimative, in valuta per i premi basate sulla spesa SA, in caso di contratti stipulati in valute diverse dall</w:t>
      </w:r>
      <w:r w:rsidR="007A1415" w:rsidRPr="007B74B7">
        <w:rPr>
          <w:rFonts w:ascii="Tahoma" w:hAnsi="Tahoma" w:cs="Tahoma"/>
          <w:sz w:val="18"/>
          <w:szCs w:val="18"/>
          <w:lang w:val="it-IT"/>
        </w:rPr>
        <w:t>’</w:t>
      </w:r>
      <w:r w:rsidRPr="007B74B7">
        <w:rPr>
          <w:rFonts w:ascii="Tahoma" w:hAnsi="Tahoma" w:cs="Tahoma"/>
          <w:sz w:val="18"/>
          <w:szCs w:val="18"/>
          <w:lang w:val="it-IT"/>
        </w:rPr>
        <w:t>USD.</w:t>
      </w:r>
      <w:r w:rsidR="008D782D" w:rsidRPr="007B74B7">
        <w:rPr>
          <w:rFonts w:ascii="Tahoma" w:hAnsi="Tahoma" w:cs="Tahoma"/>
          <w:sz w:val="18"/>
          <w:szCs w:val="18"/>
          <w:lang w:val="it-IT"/>
        </w:rPr>
        <w:t xml:space="preserve"> </w:t>
      </w:r>
      <w:r w:rsidRPr="007B74B7">
        <w:rPr>
          <w:rFonts w:ascii="Tahoma" w:hAnsi="Tahoma" w:cs="Tahoma"/>
          <w:sz w:val="18"/>
          <w:szCs w:val="18"/>
          <w:lang w:val="it-IT"/>
        </w:rPr>
        <w:t>A causa delle fluttuazioni dei tassi di cambio, i valori riportati nella tabella sono soggetti a variazione.</w:t>
      </w:r>
    </w:p>
    <w:p w:rsidR="00023FE7" w:rsidRPr="007B74B7" w:rsidRDefault="00023FE7" w:rsidP="00F42FB8">
      <w:pPr>
        <w:pStyle w:val="AppendixBodyText"/>
        <w:spacing w:after="0"/>
        <w:rPr>
          <w:lang w:val="it-IT"/>
        </w:rPr>
      </w:pPr>
    </w:p>
    <w:p w:rsidR="00023FE7" w:rsidRPr="007B74B7" w:rsidRDefault="00023FE7" w:rsidP="00F42FB8">
      <w:pPr>
        <w:pStyle w:val="AppendixBodyText"/>
        <w:spacing w:after="0"/>
        <w:rPr>
          <w:lang w:val="it-IT"/>
        </w:rPr>
      </w:pPr>
      <w:r w:rsidRPr="007B74B7">
        <w:rPr>
          <w:rFonts w:ascii="Tahoma" w:hAnsi="Tahoma" w:cs="Tahoma"/>
          <w:sz w:val="18"/>
          <w:szCs w:val="18"/>
          <w:lang w:val="it-IT"/>
        </w:rPr>
        <w:t>Gli interventi sono concessi nel corso di validità della copertura Software Assurance, a seconda dell</w:t>
      </w:r>
      <w:r w:rsidR="007A1415" w:rsidRPr="007B74B7">
        <w:rPr>
          <w:rFonts w:ascii="Tahoma" w:hAnsi="Tahoma" w:cs="Tahoma"/>
          <w:sz w:val="18"/>
          <w:szCs w:val="18"/>
          <w:lang w:val="it-IT"/>
        </w:rPr>
        <w:t>’</w:t>
      </w:r>
      <w:r w:rsidRPr="007B74B7">
        <w:rPr>
          <w:rFonts w:ascii="Tahoma" w:hAnsi="Tahoma" w:cs="Tahoma"/>
          <w:sz w:val="18"/>
          <w:szCs w:val="18"/>
          <w:lang w:val="it-IT"/>
        </w:rPr>
        <w:t>opzione di pagamento.</w:t>
      </w:r>
      <w:r w:rsidR="008D782D" w:rsidRPr="007B74B7">
        <w:rPr>
          <w:rFonts w:ascii="Tahoma" w:hAnsi="Tahoma" w:cs="Tahoma"/>
          <w:sz w:val="18"/>
          <w:szCs w:val="18"/>
          <w:lang w:val="it-IT"/>
        </w:rPr>
        <w:t xml:space="preserve"> </w:t>
      </w:r>
      <w:r w:rsidRPr="007B74B7">
        <w:rPr>
          <w:rFonts w:ascii="Tahoma" w:hAnsi="Tahoma" w:cs="Tahoma"/>
          <w:sz w:val="18"/>
          <w:szCs w:val="18"/>
          <w:lang w:val="it-IT"/>
        </w:rPr>
        <w:t>I contratti con pagamenti dilazionati prevedono anch</w:t>
      </w:r>
      <w:r w:rsidR="007A1415" w:rsidRPr="007B74B7">
        <w:rPr>
          <w:rFonts w:ascii="Tahoma" w:hAnsi="Tahoma" w:cs="Tahoma"/>
          <w:sz w:val="18"/>
          <w:szCs w:val="18"/>
          <w:lang w:val="it-IT"/>
        </w:rPr>
        <w:t>’</w:t>
      </w:r>
      <w:r w:rsidRPr="007B74B7">
        <w:rPr>
          <w:rFonts w:ascii="Tahoma" w:hAnsi="Tahoma" w:cs="Tahoma"/>
          <w:sz w:val="18"/>
          <w:szCs w:val="18"/>
          <w:lang w:val="it-IT"/>
        </w:rPr>
        <w:t>essi l</w:t>
      </w:r>
      <w:r w:rsidR="007A1415" w:rsidRPr="007B74B7">
        <w:rPr>
          <w:rFonts w:ascii="Tahoma" w:hAnsi="Tahoma" w:cs="Tahoma"/>
          <w:sz w:val="18"/>
          <w:szCs w:val="18"/>
          <w:lang w:val="it-IT"/>
        </w:rPr>
        <w:t>’</w:t>
      </w:r>
      <w:r w:rsidRPr="007B74B7">
        <w:rPr>
          <w:rFonts w:ascii="Tahoma" w:hAnsi="Tahoma" w:cs="Tahoma"/>
          <w:sz w:val="18"/>
          <w:szCs w:val="18"/>
          <w:lang w:val="it-IT"/>
        </w:rPr>
        <w:t>assegnazione di interventi durante il loro periodo di validità; i contratti che prevedono pagamenti in soluzione unica beneficiano dei premi in via anticipata.</w:t>
      </w:r>
      <w:r w:rsidR="008D782D" w:rsidRPr="007B74B7">
        <w:rPr>
          <w:rFonts w:ascii="Tahoma" w:hAnsi="Tahoma" w:cs="Tahoma"/>
          <w:sz w:val="18"/>
          <w:szCs w:val="18"/>
          <w:lang w:val="it-IT"/>
        </w:rPr>
        <w:t xml:space="preserve"> </w:t>
      </w:r>
      <w:r w:rsidRPr="007B74B7">
        <w:rPr>
          <w:rFonts w:ascii="Tahoma" w:hAnsi="Tahoma" w:cs="Tahoma"/>
          <w:sz w:val="18"/>
          <w:szCs w:val="18"/>
          <w:lang w:val="it-IT"/>
        </w:rPr>
        <w:t>Gli acquisti effettuati dopo l</w:t>
      </w:r>
      <w:r w:rsidR="007A1415" w:rsidRPr="007B74B7">
        <w:rPr>
          <w:rFonts w:ascii="Tahoma" w:hAnsi="Tahoma" w:cs="Tahoma"/>
          <w:sz w:val="18"/>
          <w:szCs w:val="18"/>
          <w:lang w:val="it-IT"/>
        </w:rPr>
        <w:t>’</w:t>
      </w:r>
      <w:r w:rsidRPr="007B74B7">
        <w:rPr>
          <w:rFonts w:ascii="Tahoma" w:hAnsi="Tahoma" w:cs="Tahoma"/>
          <w:sz w:val="18"/>
          <w:szCs w:val="18"/>
          <w:lang w:val="it-IT"/>
        </w:rPr>
        <w:t>ordine iniziale comporteranno un nuovo calcolo degli interventi assegnati e della concessione annuale.</w:t>
      </w:r>
      <w:r w:rsidR="008D782D" w:rsidRPr="007B74B7">
        <w:rPr>
          <w:rFonts w:ascii="Tahoma" w:hAnsi="Tahoma" w:cs="Tahoma"/>
          <w:sz w:val="18"/>
          <w:szCs w:val="18"/>
          <w:lang w:val="it-IT"/>
        </w:rPr>
        <w:t xml:space="preserve"> </w:t>
      </w:r>
      <w:r w:rsidRPr="007B74B7">
        <w:rPr>
          <w:rFonts w:ascii="Tahoma" w:hAnsi="Tahoma" w:cs="Tahoma"/>
          <w:sz w:val="18"/>
          <w:szCs w:val="18"/>
          <w:lang w:val="it-IT"/>
        </w:rPr>
        <w:t>Gli interventi con Supporto Telefonico non utilizzati scadranno al termine della copertura Software Assurance.</w:t>
      </w:r>
      <w:r w:rsidR="008D782D" w:rsidRPr="007B74B7">
        <w:rPr>
          <w:rFonts w:ascii="Tahoma" w:hAnsi="Tahoma" w:cs="Tahoma"/>
          <w:sz w:val="18"/>
          <w:szCs w:val="18"/>
          <w:lang w:val="it-IT"/>
        </w:rPr>
        <w:t xml:space="preserve"> </w:t>
      </w:r>
      <w:r w:rsidRPr="007B74B7">
        <w:rPr>
          <w:rFonts w:ascii="Tahoma" w:hAnsi="Tahoma" w:cs="Tahoma"/>
          <w:sz w:val="18"/>
          <w:szCs w:val="18"/>
          <w:lang w:val="it-IT"/>
        </w:rPr>
        <w:t>Gli Interventi con Supporto Telefonico non potranno essere trasferiti tra iscrizioni o contratti diversi.</w:t>
      </w:r>
    </w:p>
    <w:p w:rsidR="00023FE7" w:rsidRPr="007B74B7" w:rsidRDefault="00023FE7" w:rsidP="00F42FB8">
      <w:pPr>
        <w:pStyle w:val="AppendixBodyText"/>
        <w:spacing w:after="0"/>
        <w:rPr>
          <w:lang w:val="it-IT"/>
        </w:rPr>
      </w:pPr>
    </w:p>
    <w:p w:rsidR="00023FE7" w:rsidRPr="007B74B7" w:rsidRDefault="00023FE7" w:rsidP="00F42FB8">
      <w:pPr>
        <w:pStyle w:val="AppendixBodyText"/>
        <w:spacing w:after="0"/>
        <w:rPr>
          <w:spacing w:val="-4"/>
          <w:lang w:val="it-IT"/>
        </w:rPr>
      </w:pPr>
      <w:r w:rsidRPr="007B74B7">
        <w:rPr>
          <w:rFonts w:ascii="Tahoma" w:hAnsi="Tahoma" w:cs="Tahoma"/>
          <w:spacing w:val="-4"/>
          <w:sz w:val="18"/>
          <w:szCs w:val="18"/>
          <w:lang w:val="it-IT"/>
        </w:rPr>
        <w:t>L</w:t>
      </w:r>
      <w:r w:rsidR="007A1415" w:rsidRPr="007B74B7">
        <w:rPr>
          <w:rFonts w:ascii="Tahoma" w:hAnsi="Tahoma" w:cs="Tahoma"/>
          <w:spacing w:val="-4"/>
          <w:sz w:val="18"/>
          <w:szCs w:val="18"/>
          <w:lang w:val="it-IT"/>
        </w:rPr>
        <w:t>’</w:t>
      </w:r>
      <w:r w:rsidRPr="007B74B7">
        <w:rPr>
          <w:rFonts w:ascii="Tahoma" w:hAnsi="Tahoma" w:cs="Tahoma"/>
          <w:spacing w:val="-4"/>
          <w:sz w:val="18"/>
          <w:szCs w:val="18"/>
          <w:lang w:val="it-IT"/>
        </w:rPr>
        <w:t>accesso al supporto telefonico locale è disponibile durante le ore lavorative*</w:t>
      </w:r>
      <w:r w:rsidRPr="007B74B7">
        <w:rPr>
          <w:rFonts w:ascii="Tahoma" w:hAnsi="Tahoma" w:cs="Tahoma"/>
          <w:spacing w:val="-4"/>
          <w:sz w:val="18"/>
          <w:szCs w:val="18"/>
          <w:vertAlign w:val="superscript"/>
          <w:lang w:val="it-IT"/>
        </w:rPr>
        <w:t>(1)</w:t>
      </w:r>
      <w:r w:rsidRPr="007B74B7">
        <w:rPr>
          <w:rFonts w:ascii="Tahoma" w:hAnsi="Tahoma" w:cs="Tahoma"/>
          <w:spacing w:val="-4"/>
          <w:sz w:val="18"/>
          <w:szCs w:val="18"/>
          <w:lang w:val="it-IT"/>
        </w:rPr>
        <w:t>.</w:t>
      </w:r>
      <w:r w:rsidR="008D782D" w:rsidRPr="007B74B7">
        <w:rPr>
          <w:rFonts w:ascii="Tahoma" w:hAnsi="Tahoma" w:cs="Tahoma"/>
          <w:spacing w:val="-4"/>
          <w:sz w:val="18"/>
          <w:szCs w:val="18"/>
          <w:lang w:val="it-IT"/>
        </w:rPr>
        <w:t xml:space="preserve"> </w:t>
      </w:r>
      <w:r w:rsidRPr="007B74B7">
        <w:rPr>
          <w:rFonts w:ascii="Tahoma" w:hAnsi="Tahoma" w:cs="Tahoma"/>
          <w:spacing w:val="-4"/>
          <w:sz w:val="18"/>
          <w:szCs w:val="18"/>
          <w:lang w:val="it-IT"/>
        </w:rPr>
        <w:t>Il supporto telefonico dopo le ore lavorative verrà fornito attraverso centri di supporto regionali e internazionali.</w:t>
      </w:r>
      <w:r w:rsidR="008D782D" w:rsidRPr="007B74B7">
        <w:rPr>
          <w:rFonts w:ascii="Tahoma" w:hAnsi="Tahoma" w:cs="Tahoma"/>
          <w:spacing w:val="-4"/>
          <w:sz w:val="18"/>
          <w:szCs w:val="18"/>
          <w:lang w:val="it-IT"/>
        </w:rPr>
        <w:t xml:space="preserve"> </w:t>
      </w:r>
      <w:r w:rsidRPr="007B74B7">
        <w:rPr>
          <w:rFonts w:ascii="Tahoma" w:hAnsi="Tahoma" w:cs="Tahoma"/>
          <w:spacing w:val="-4"/>
          <w:sz w:val="18"/>
          <w:szCs w:val="18"/>
          <w:lang w:val="it-IT"/>
        </w:rPr>
        <w:t>Il supporto telefonico dopo le ore lavorative può essere utilizzato esclusivamente per richieste di supporto con impatto commerciale critico.</w:t>
      </w:r>
      <w:r w:rsidR="008D782D" w:rsidRPr="007B74B7">
        <w:rPr>
          <w:rFonts w:ascii="Tahoma" w:hAnsi="Tahoma" w:cs="Tahoma"/>
          <w:spacing w:val="-4"/>
          <w:sz w:val="18"/>
          <w:szCs w:val="18"/>
          <w:lang w:val="it-IT"/>
        </w:rPr>
        <w:t xml:space="preserve"> </w:t>
      </w:r>
      <w:r w:rsidRPr="007B74B7">
        <w:rPr>
          <w:rFonts w:ascii="Tahoma" w:hAnsi="Tahoma" w:cs="Tahoma"/>
          <w:spacing w:val="-4"/>
          <w:sz w:val="18"/>
          <w:szCs w:val="18"/>
          <w:lang w:val="it-IT"/>
        </w:rPr>
        <w:t>Le ore lavorative sono definite su base regionale. I rappresentanti Microsoft delle società forniranno indicazioni sulle ore lavorative previste nella</w:t>
      </w:r>
      <w:r w:rsidR="007412FF" w:rsidRPr="007B74B7">
        <w:rPr>
          <w:rFonts w:ascii="Tahoma" w:hAnsi="Tahoma" w:cs="Tahoma"/>
          <w:spacing w:val="-4"/>
          <w:sz w:val="18"/>
          <w:szCs w:val="18"/>
          <w:lang w:val="it-IT"/>
        </w:rPr>
        <w:t> </w:t>
      </w:r>
      <w:r w:rsidRPr="007B74B7">
        <w:rPr>
          <w:rFonts w:ascii="Tahoma" w:hAnsi="Tahoma" w:cs="Tahoma"/>
          <w:spacing w:val="-4"/>
          <w:sz w:val="18"/>
          <w:szCs w:val="18"/>
          <w:lang w:val="it-IT"/>
        </w:rPr>
        <w:t>regione o nel paese della società.</w:t>
      </w:r>
      <w:r w:rsidR="008D782D" w:rsidRPr="007B74B7">
        <w:rPr>
          <w:rFonts w:ascii="Tahoma" w:hAnsi="Tahoma" w:cs="Tahoma"/>
          <w:spacing w:val="-4"/>
          <w:sz w:val="18"/>
          <w:szCs w:val="18"/>
          <w:lang w:val="it-IT"/>
        </w:rPr>
        <w:t xml:space="preserve"> </w:t>
      </w:r>
      <w:r w:rsidRPr="007B74B7">
        <w:rPr>
          <w:rFonts w:ascii="Tahoma" w:hAnsi="Tahoma" w:cs="Tahoma"/>
          <w:spacing w:val="-4"/>
          <w:sz w:val="18"/>
          <w:szCs w:val="18"/>
          <w:lang w:val="it-IT"/>
        </w:rPr>
        <w:t xml:space="preserve">Non in tutte le regioni il supporto telefonico è disponibile in tutte le lingue. </w:t>
      </w:r>
    </w:p>
    <w:p w:rsidR="00023FE7" w:rsidRPr="007B74B7" w:rsidRDefault="00023FE7" w:rsidP="00077CE5">
      <w:pPr>
        <w:pStyle w:val="AppendixBodyText"/>
        <w:spacing w:after="0"/>
        <w:rPr>
          <w:lang w:val="it-IT"/>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081"/>
      </w:tblGrid>
      <w:tr w:rsidR="00023FE7" w:rsidRPr="007B74B7" w:rsidTr="002A6416">
        <w:trPr>
          <w:cantSplit/>
          <w:trHeight w:val="20"/>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7B74B7" w:rsidRDefault="00023FE7">
            <w:pPr>
              <w:pStyle w:val="AppendixBodyText"/>
              <w:rPr>
                <w:rFonts w:ascii="Tahoma" w:hAnsi="Tahoma" w:cs="Tahoma"/>
                <w:b/>
                <w:bCs/>
                <w:vertAlign w:val="superscript"/>
                <w:lang w:val="it-IT"/>
              </w:rPr>
            </w:pPr>
            <w:r w:rsidRPr="007B74B7">
              <w:rPr>
                <w:rFonts w:ascii="Tahoma" w:hAnsi="Tahoma" w:cs="Tahoma"/>
                <w:b/>
                <w:bCs/>
                <w:lang w:val="it-IT"/>
              </w:rPr>
              <w:t>*(1) Variazioni delle Ore Lavorative in Base alla Regione</w:t>
            </w:r>
          </w:p>
        </w:tc>
      </w:tr>
      <w:tr w:rsidR="00023FE7" w:rsidRPr="00BD7CEA" w:rsidTr="002A6416">
        <w:trPr>
          <w:cantSplit/>
          <w:trHeight w:val="20"/>
        </w:trPr>
        <w:tc>
          <w:tcPr>
            <w:tcW w:w="2629" w:type="dxa"/>
            <w:tcBorders>
              <w:top w:val="single" w:sz="8" w:space="0" w:color="auto"/>
            </w:tcBorders>
          </w:tcPr>
          <w:p w:rsidR="00023FE7" w:rsidRPr="00BD7CEA" w:rsidRDefault="00023FE7">
            <w:pPr>
              <w:pStyle w:val="AppendixBodyText"/>
              <w:rPr>
                <w:rFonts w:ascii="Tahoma" w:hAnsi="Tahoma" w:cs="Tahoma"/>
                <w:sz w:val="18"/>
                <w:szCs w:val="18"/>
              </w:rPr>
            </w:pPr>
            <w:r w:rsidRPr="00BD7CEA">
              <w:rPr>
                <w:rFonts w:ascii="Tahoma" w:hAnsi="Tahoma" w:cs="Tahoma"/>
                <w:sz w:val="18"/>
                <w:szCs w:val="18"/>
              </w:rPr>
              <w:t>Americhe</w:t>
            </w:r>
          </w:p>
        </w:tc>
        <w:tc>
          <w:tcPr>
            <w:tcW w:w="2081" w:type="dxa"/>
            <w:tcBorders>
              <w:top w:val="single" w:sz="8" w:space="0" w:color="auto"/>
            </w:tcBorders>
          </w:tcPr>
          <w:p w:rsidR="00023FE7" w:rsidRPr="00BD7CEA" w:rsidRDefault="00023FE7">
            <w:pPr>
              <w:pStyle w:val="AppendixBodyText"/>
              <w:rPr>
                <w:rFonts w:ascii="Tahoma" w:hAnsi="Tahoma" w:cs="Tahoma"/>
                <w:sz w:val="18"/>
                <w:szCs w:val="18"/>
              </w:rPr>
            </w:pPr>
            <w:r w:rsidRPr="00BD7CEA">
              <w:rPr>
                <w:rFonts w:ascii="Tahoma" w:hAnsi="Tahoma" w:cs="Tahoma"/>
                <w:sz w:val="18"/>
                <w:szCs w:val="18"/>
              </w:rPr>
              <w:t>L-V 6-18 (PST)</w:t>
            </w:r>
          </w:p>
        </w:tc>
      </w:tr>
      <w:tr w:rsidR="00023FE7" w:rsidRPr="00BD7CEA" w:rsidTr="002A6416">
        <w:trPr>
          <w:cantSplit/>
          <w:trHeight w:val="20"/>
        </w:trPr>
        <w:tc>
          <w:tcPr>
            <w:tcW w:w="2629" w:type="dxa"/>
          </w:tcPr>
          <w:p w:rsidR="00023FE7" w:rsidRPr="00BD7CEA" w:rsidRDefault="00023FE7">
            <w:pPr>
              <w:pStyle w:val="AppendixBodyText"/>
              <w:rPr>
                <w:rFonts w:ascii="Tahoma" w:hAnsi="Tahoma" w:cs="Tahoma"/>
                <w:sz w:val="18"/>
                <w:szCs w:val="18"/>
              </w:rPr>
            </w:pPr>
            <w:r w:rsidRPr="00BD7CEA">
              <w:rPr>
                <w:rFonts w:ascii="Tahoma" w:hAnsi="Tahoma" w:cs="Tahoma"/>
                <w:sz w:val="18"/>
                <w:szCs w:val="18"/>
              </w:rPr>
              <w:t>EMEA</w:t>
            </w:r>
          </w:p>
        </w:tc>
        <w:tc>
          <w:tcPr>
            <w:tcW w:w="2081" w:type="dxa"/>
          </w:tcPr>
          <w:p w:rsidR="00023FE7" w:rsidRPr="00BD7CEA" w:rsidRDefault="00023FE7">
            <w:pPr>
              <w:pStyle w:val="AppendixBodyText"/>
              <w:rPr>
                <w:rFonts w:ascii="Tahoma" w:hAnsi="Tahoma" w:cs="Tahoma"/>
                <w:sz w:val="18"/>
                <w:szCs w:val="18"/>
              </w:rPr>
            </w:pPr>
            <w:r w:rsidRPr="00BD7CEA">
              <w:rPr>
                <w:rFonts w:ascii="Tahoma" w:hAnsi="Tahoma" w:cs="Tahoma"/>
                <w:sz w:val="18"/>
                <w:szCs w:val="18"/>
              </w:rPr>
              <w:t>L-V 8-18 (GMT)</w:t>
            </w:r>
          </w:p>
        </w:tc>
      </w:tr>
      <w:tr w:rsidR="00023FE7" w:rsidRPr="00BD7CEA" w:rsidTr="002A6416">
        <w:trPr>
          <w:cantSplit/>
          <w:trHeight w:val="20"/>
        </w:trPr>
        <w:tc>
          <w:tcPr>
            <w:tcW w:w="2629" w:type="dxa"/>
          </w:tcPr>
          <w:p w:rsidR="00023FE7" w:rsidRPr="00BD7CEA" w:rsidRDefault="00023FE7">
            <w:pPr>
              <w:pStyle w:val="AppendixBodyText"/>
              <w:rPr>
                <w:rFonts w:ascii="Tahoma" w:hAnsi="Tahoma" w:cs="Tahoma"/>
                <w:sz w:val="18"/>
                <w:szCs w:val="18"/>
              </w:rPr>
            </w:pPr>
            <w:r w:rsidRPr="00BD7CEA">
              <w:rPr>
                <w:rFonts w:ascii="Tahoma" w:hAnsi="Tahoma" w:cs="Tahoma"/>
                <w:sz w:val="18"/>
                <w:szCs w:val="18"/>
              </w:rPr>
              <w:t>Australia/Nuova Zelanda</w:t>
            </w:r>
          </w:p>
        </w:tc>
        <w:tc>
          <w:tcPr>
            <w:tcW w:w="2081" w:type="dxa"/>
          </w:tcPr>
          <w:p w:rsidR="00023FE7" w:rsidRPr="00BD7CEA" w:rsidRDefault="00023FE7">
            <w:pPr>
              <w:pStyle w:val="AppendixBodyText"/>
              <w:rPr>
                <w:rFonts w:ascii="Tahoma" w:hAnsi="Tahoma" w:cs="Tahoma"/>
                <w:sz w:val="18"/>
                <w:szCs w:val="18"/>
              </w:rPr>
            </w:pPr>
            <w:r w:rsidRPr="00BD7CEA">
              <w:rPr>
                <w:rFonts w:ascii="Tahoma" w:hAnsi="Tahoma" w:cs="Tahoma"/>
                <w:sz w:val="18"/>
                <w:szCs w:val="18"/>
              </w:rPr>
              <w:t>L-V 7-18</w:t>
            </w:r>
          </w:p>
        </w:tc>
      </w:tr>
      <w:tr w:rsidR="00023FE7" w:rsidRPr="00BD7CEA" w:rsidTr="002A6416">
        <w:trPr>
          <w:cantSplit/>
          <w:trHeight w:val="20"/>
        </w:trPr>
        <w:tc>
          <w:tcPr>
            <w:tcW w:w="2629" w:type="dxa"/>
          </w:tcPr>
          <w:p w:rsidR="00023FE7" w:rsidRPr="00BD7CEA" w:rsidRDefault="00023FE7">
            <w:pPr>
              <w:pStyle w:val="AppendixBodyText"/>
              <w:rPr>
                <w:rFonts w:ascii="Tahoma" w:hAnsi="Tahoma" w:cs="Tahoma"/>
                <w:sz w:val="18"/>
                <w:szCs w:val="18"/>
              </w:rPr>
            </w:pPr>
            <w:r w:rsidRPr="00BD7CEA">
              <w:rPr>
                <w:rFonts w:ascii="Tahoma" w:hAnsi="Tahoma" w:cs="Tahoma"/>
                <w:sz w:val="18"/>
                <w:szCs w:val="18"/>
              </w:rPr>
              <w:t>Giappone</w:t>
            </w:r>
          </w:p>
        </w:tc>
        <w:tc>
          <w:tcPr>
            <w:tcW w:w="2081" w:type="dxa"/>
          </w:tcPr>
          <w:p w:rsidR="00023FE7" w:rsidRPr="00BD7CEA" w:rsidRDefault="00023FE7">
            <w:pPr>
              <w:pStyle w:val="AppendixBodyText"/>
              <w:rPr>
                <w:rFonts w:ascii="Tahoma" w:hAnsi="Tahoma" w:cs="Tahoma"/>
                <w:sz w:val="18"/>
                <w:szCs w:val="18"/>
              </w:rPr>
            </w:pPr>
            <w:r w:rsidRPr="00BD7CEA">
              <w:rPr>
                <w:rFonts w:ascii="Tahoma" w:hAnsi="Tahoma" w:cs="Tahoma"/>
                <w:sz w:val="18"/>
                <w:szCs w:val="18"/>
              </w:rPr>
              <w:t>L-V 9.30-19</w:t>
            </w:r>
          </w:p>
        </w:tc>
      </w:tr>
      <w:tr w:rsidR="00023FE7" w:rsidRPr="00BD7CEA" w:rsidTr="002A6416">
        <w:trPr>
          <w:cantSplit/>
          <w:trHeight w:val="20"/>
        </w:trPr>
        <w:tc>
          <w:tcPr>
            <w:tcW w:w="2629" w:type="dxa"/>
          </w:tcPr>
          <w:p w:rsidR="00023FE7" w:rsidRPr="00BD7CEA" w:rsidRDefault="00023FE7">
            <w:pPr>
              <w:pStyle w:val="AppendixBodyText"/>
              <w:rPr>
                <w:rFonts w:ascii="Tahoma" w:hAnsi="Tahoma" w:cs="Tahoma"/>
                <w:sz w:val="18"/>
                <w:szCs w:val="18"/>
              </w:rPr>
            </w:pPr>
            <w:r w:rsidRPr="00BD7CEA">
              <w:rPr>
                <w:rFonts w:ascii="Tahoma" w:hAnsi="Tahoma" w:cs="Tahoma"/>
                <w:sz w:val="18"/>
                <w:szCs w:val="18"/>
              </w:rPr>
              <w:t>Asia</w:t>
            </w:r>
          </w:p>
        </w:tc>
        <w:tc>
          <w:tcPr>
            <w:tcW w:w="2081" w:type="dxa"/>
          </w:tcPr>
          <w:p w:rsidR="00023FE7" w:rsidRPr="00BD7CEA" w:rsidRDefault="00023FE7">
            <w:pPr>
              <w:pStyle w:val="AppendixBodyText"/>
              <w:rPr>
                <w:rFonts w:ascii="Tahoma" w:hAnsi="Tahoma" w:cs="Tahoma"/>
                <w:sz w:val="18"/>
                <w:szCs w:val="18"/>
              </w:rPr>
            </w:pPr>
            <w:r w:rsidRPr="00BD7CEA">
              <w:rPr>
                <w:rFonts w:ascii="Tahoma" w:hAnsi="Tahoma" w:cs="Tahoma"/>
                <w:sz w:val="18"/>
                <w:szCs w:val="18"/>
              </w:rPr>
              <w:t>L-V 9-18</w:t>
            </w:r>
          </w:p>
        </w:tc>
      </w:tr>
    </w:tbl>
    <w:p w:rsidR="00CA3658" w:rsidRDefault="00CA3658" w:rsidP="00DA2788">
      <w:pPr>
        <w:spacing w:after="60"/>
        <w:rPr>
          <w:rFonts w:cs="Tahoma"/>
          <w:b/>
          <w:szCs w:val="20"/>
        </w:rPr>
      </w:pPr>
      <w:bookmarkStart w:id="796" w:name="_Toc240899164"/>
    </w:p>
    <w:p w:rsidR="00CA3658" w:rsidRDefault="00CA3658" w:rsidP="00DA2788">
      <w:pPr>
        <w:spacing w:after="60"/>
        <w:rPr>
          <w:rFonts w:cs="Tahoma"/>
          <w:b/>
          <w:szCs w:val="20"/>
        </w:rPr>
      </w:pPr>
    </w:p>
    <w:p w:rsidR="00CA3658" w:rsidRDefault="00CA3658" w:rsidP="00DA2788">
      <w:pPr>
        <w:spacing w:after="60"/>
        <w:rPr>
          <w:rFonts w:cs="Tahoma"/>
          <w:b/>
          <w:szCs w:val="20"/>
        </w:rPr>
      </w:pPr>
    </w:p>
    <w:p w:rsidR="00CA3658" w:rsidRDefault="00CA3658" w:rsidP="00DA2788">
      <w:pPr>
        <w:spacing w:after="60"/>
        <w:rPr>
          <w:rFonts w:cs="Tahoma"/>
          <w:b/>
          <w:szCs w:val="20"/>
        </w:rPr>
      </w:pPr>
    </w:p>
    <w:p w:rsidR="00CA3658" w:rsidRDefault="00CA3658" w:rsidP="00DA2788">
      <w:pPr>
        <w:spacing w:after="60"/>
        <w:rPr>
          <w:rFonts w:cs="Tahoma"/>
          <w:b/>
          <w:szCs w:val="20"/>
        </w:rPr>
      </w:pPr>
    </w:p>
    <w:p w:rsidR="00023FE7" w:rsidRPr="00BD7CEA" w:rsidRDefault="00023FE7" w:rsidP="00DA2788">
      <w:pPr>
        <w:spacing w:after="60"/>
      </w:pPr>
      <w:r w:rsidRPr="00BD7CEA">
        <w:rPr>
          <w:rFonts w:cs="Tahoma"/>
          <w:b/>
          <w:szCs w:val="20"/>
        </w:rPr>
        <w:t>Interventi basati sul Web</w:t>
      </w:r>
      <w:bookmarkEnd w:id="796"/>
      <w:r w:rsidRPr="00BD7CEA">
        <w:rPr>
          <w:rFonts w:cs="Tahoma"/>
          <w:b/>
          <w:szCs w:val="20"/>
        </w:rPr>
        <w:t xml:space="preserve"> </w:t>
      </w:r>
    </w:p>
    <w:p w:rsidR="00023FE7" w:rsidRPr="007B74B7" w:rsidRDefault="00023FE7" w:rsidP="00F42FB8">
      <w:pPr>
        <w:pStyle w:val="AppendixBodyText"/>
        <w:spacing w:after="0"/>
        <w:rPr>
          <w:lang w:val="it-IT"/>
        </w:rPr>
      </w:pPr>
      <w:r w:rsidRPr="007B74B7">
        <w:rPr>
          <w:rFonts w:ascii="Tahoma" w:hAnsi="Tahoma" w:cs="Tahoma"/>
          <w:sz w:val="18"/>
          <w:szCs w:val="18"/>
          <w:lang w:val="it-IT"/>
        </w:rPr>
        <w:t>Le società che non siano società con contratti Academic Select License, Select Plus for Academic, Academic Open License, Campus, School, Open Value Subscription</w:t>
      </w:r>
      <w:r w:rsidR="00FD7C0D" w:rsidRPr="007B74B7">
        <w:rPr>
          <w:rFonts w:ascii="Tahoma" w:hAnsi="Tahoma" w:cs="Tahoma"/>
          <w:sz w:val="18"/>
          <w:szCs w:val="18"/>
          <w:lang w:val="it-IT"/>
        </w:rPr>
        <w:t xml:space="preserve"> – </w:t>
      </w:r>
      <w:r w:rsidRPr="007B74B7">
        <w:rPr>
          <w:rFonts w:ascii="Tahoma" w:hAnsi="Tahoma" w:cs="Tahoma"/>
          <w:sz w:val="18"/>
          <w:szCs w:val="18"/>
          <w:lang w:val="it-IT"/>
        </w:rPr>
        <w:t xml:space="preserve">Education Solutions e Open License e con Edizioni Standard ed Enterprise dei prodotti software server che rientrano nella copertura Software Assurance hanno accesso ai servizi </w:t>
      </w:r>
      <w:r w:rsidRPr="007B74B7">
        <w:rPr>
          <w:rFonts w:ascii="Tahoma" w:hAnsi="Tahoma" w:cs="Tahoma"/>
          <w:sz w:val="18"/>
          <w:szCs w:val="18"/>
          <w:lang w:val="it-IT"/>
        </w:rPr>
        <w:lastRenderedPageBreak/>
        <w:t>di</w:t>
      </w:r>
      <w:r w:rsidR="007412FF" w:rsidRPr="007B74B7">
        <w:rPr>
          <w:rFonts w:ascii="Tahoma" w:hAnsi="Tahoma" w:cs="Tahoma"/>
          <w:sz w:val="18"/>
          <w:szCs w:val="18"/>
          <w:lang w:val="it-IT"/>
        </w:rPr>
        <w:t> </w:t>
      </w:r>
      <w:r w:rsidRPr="007B74B7">
        <w:rPr>
          <w:rFonts w:ascii="Tahoma" w:hAnsi="Tahoma" w:cs="Tahoma"/>
          <w:sz w:val="18"/>
          <w:szCs w:val="18"/>
          <w:lang w:val="it-IT"/>
        </w:rPr>
        <w:t>Supporto per la Risoluzione dei Problemi basati sul Web, in base alle necessità.</w:t>
      </w:r>
      <w:r w:rsidR="008D782D" w:rsidRPr="007B74B7">
        <w:rPr>
          <w:rFonts w:ascii="Tahoma" w:hAnsi="Tahoma" w:cs="Tahoma"/>
          <w:sz w:val="18"/>
          <w:szCs w:val="18"/>
          <w:lang w:val="it-IT"/>
        </w:rPr>
        <w:t xml:space="preserve"> </w:t>
      </w:r>
      <w:r w:rsidRPr="007B74B7">
        <w:rPr>
          <w:rFonts w:ascii="Tahoma" w:hAnsi="Tahoma" w:cs="Tahoma"/>
          <w:sz w:val="18"/>
          <w:szCs w:val="18"/>
          <w:lang w:val="it-IT"/>
        </w:rPr>
        <w:t>L</w:t>
      </w:r>
      <w:r w:rsidR="007A1415" w:rsidRPr="007B74B7">
        <w:rPr>
          <w:rFonts w:ascii="Tahoma" w:hAnsi="Tahoma" w:cs="Tahoma"/>
          <w:sz w:val="18"/>
          <w:szCs w:val="18"/>
          <w:lang w:val="it-IT"/>
        </w:rPr>
        <w:t>’</w:t>
      </w:r>
      <w:r w:rsidRPr="007B74B7">
        <w:rPr>
          <w:rFonts w:ascii="Tahoma" w:hAnsi="Tahoma" w:cs="Tahoma"/>
          <w:sz w:val="18"/>
          <w:szCs w:val="18"/>
          <w:lang w:val="it-IT"/>
        </w:rPr>
        <w:t>accesso ai siti di supporto elettronico è disponibile 24 ore al giorno, 7 giorni su 7, ma le risposte vengono fornite durante le Ore Lavorative.</w:t>
      </w:r>
      <w:r w:rsidR="008D782D" w:rsidRPr="007B74B7">
        <w:rPr>
          <w:rFonts w:ascii="Tahoma" w:hAnsi="Tahoma" w:cs="Tahoma"/>
          <w:sz w:val="18"/>
          <w:szCs w:val="18"/>
          <w:lang w:val="it-IT"/>
        </w:rPr>
        <w:t xml:space="preserve"> </w:t>
      </w:r>
      <w:r w:rsidRPr="007B74B7">
        <w:rPr>
          <w:rFonts w:ascii="Tahoma" w:hAnsi="Tahoma" w:cs="Tahoma"/>
          <w:sz w:val="18"/>
          <w:szCs w:val="18"/>
          <w:lang w:val="it-IT"/>
        </w:rPr>
        <w:t>Pertanto, si consiglia di non ricorrere agli Interventi basati sul Web in caso di situazioni con impatto commerciale critico, che richiedono un</w:t>
      </w:r>
      <w:r w:rsidR="007A1415" w:rsidRPr="007B74B7">
        <w:rPr>
          <w:rFonts w:ascii="Tahoma" w:hAnsi="Tahoma" w:cs="Tahoma"/>
          <w:sz w:val="18"/>
          <w:szCs w:val="18"/>
          <w:lang w:val="it-IT"/>
        </w:rPr>
        <w:t>’</w:t>
      </w:r>
      <w:r w:rsidRPr="007B74B7">
        <w:rPr>
          <w:rFonts w:ascii="Tahoma" w:hAnsi="Tahoma" w:cs="Tahoma"/>
          <w:sz w:val="18"/>
          <w:szCs w:val="18"/>
          <w:lang w:val="it-IT"/>
        </w:rPr>
        <w:t>assistenza immediata. Consultare le Variazioni delle Ore Lavorative in Base alla Regione nel</w:t>
      </w:r>
      <w:r w:rsidR="00487D97" w:rsidRPr="007B74B7">
        <w:rPr>
          <w:rFonts w:ascii="Tahoma" w:hAnsi="Tahoma" w:cs="Tahoma"/>
          <w:sz w:val="18"/>
          <w:szCs w:val="18"/>
          <w:lang w:val="it-IT"/>
        </w:rPr>
        <w:t> </w:t>
      </w:r>
      <w:r w:rsidRPr="007B74B7">
        <w:rPr>
          <w:rFonts w:ascii="Tahoma" w:hAnsi="Tahoma" w:cs="Tahoma"/>
          <w:sz w:val="18"/>
          <w:szCs w:val="18"/>
          <w:lang w:val="it-IT"/>
        </w:rPr>
        <w:t>precedente articolo “Premi per Interventi Tramite Supporto Telefonico”.</w:t>
      </w:r>
    </w:p>
    <w:p w:rsidR="00023FE7" w:rsidRPr="007B74B7" w:rsidRDefault="00023FE7" w:rsidP="00F42FB8">
      <w:pPr>
        <w:pStyle w:val="AppendixBodyText"/>
        <w:spacing w:after="0"/>
        <w:rPr>
          <w:lang w:val="it-IT"/>
        </w:rPr>
      </w:pPr>
    </w:p>
    <w:p w:rsidR="00023FE7" w:rsidRPr="007B74B7" w:rsidRDefault="00023FE7" w:rsidP="00F42FB8">
      <w:pPr>
        <w:pStyle w:val="AppendixBodyText"/>
        <w:spacing w:after="0"/>
        <w:rPr>
          <w:lang w:val="it-IT"/>
        </w:rPr>
      </w:pPr>
      <w:r w:rsidRPr="007B74B7">
        <w:rPr>
          <w:rFonts w:ascii="Tahoma" w:hAnsi="Tahoma" w:cs="Tahoma"/>
          <w:sz w:val="18"/>
          <w:szCs w:val="18"/>
          <w:lang w:val="it-IT"/>
        </w:rPr>
        <w:t>Gli interventi avviati tramite Telefono verranno computati ai fini del saldo degli interventi telefonici disponibili al momento della risoluzione del problema.</w:t>
      </w:r>
      <w:r w:rsidR="008D782D" w:rsidRPr="007B74B7">
        <w:rPr>
          <w:rFonts w:ascii="Tahoma" w:hAnsi="Tahoma" w:cs="Tahoma"/>
          <w:sz w:val="18"/>
          <w:szCs w:val="18"/>
          <w:lang w:val="it-IT"/>
        </w:rPr>
        <w:t xml:space="preserve"> </w:t>
      </w:r>
      <w:r w:rsidRPr="007B74B7">
        <w:rPr>
          <w:rFonts w:ascii="Tahoma" w:hAnsi="Tahoma" w:cs="Tahoma"/>
          <w:sz w:val="18"/>
          <w:szCs w:val="18"/>
          <w:lang w:val="it-IT"/>
        </w:rPr>
        <w:t>Gli interventi avviati via Web sono effettuati in base alle necessità e gestiti attraverso il Web, la posta elettronica e altri mezzi elettronici.</w:t>
      </w:r>
      <w:r w:rsidR="008D782D" w:rsidRPr="007B74B7">
        <w:rPr>
          <w:rFonts w:ascii="Tahoma" w:hAnsi="Tahoma" w:cs="Tahoma"/>
          <w:sz w:val="18"/>
          <w:szCs w:val="18"/>
          <w:lang w:val="it-IT"/>
        </w:rPr>
        <w:t xml:space="preserve"> </w:t>
      </w:r>
      <w:r w:rsidRPr="007B74B7">
        <w:rPr>
          <w:rFonts w:ascii="Tahoma" w:hAnsi="Tahoma" w:cs="Tahoma"/>
          <w:sz w:val="18"/>
          <w:szCs w:val="18"/>
          <w:lang w:val="it-IT"/>
        </w:rPr>
        <w:t>Gli interventi avviati tramite il Web e successivamente convertiti in interventi telefonici dalla società verranno computati ai fini del saldo degli interventi telefonici disponibili al momento della risoluzione del problema.</w:t>
      </w:r>
      <w:r w:rsidR="008D782D" w:rsidRPr="007B74B7">
        <w:rPr>
          <w:rFonts w:ascii="Tahoma" w:hAnsi="Tahoma" w:cs="Tahoma"/>
          <w:sz w:val="18"/>
          <w:szCs w:val="18"/>
          <w:lang w:val="it-IT"/>
        </w:rPr>
        <w:t xml:space="preserve"> </w:t>
      </w:r>
      <w:r w:rsidRPr="007B74B7">
        <w:rPr>
          <w:rFonts w:ascii="Tahoma" w:hAnsi="Tahoma" w:cs="Tahoma"/>
          <w:sz w:val="18"/>
          <w:szCs w:val="18"/>
          <w:lang w:val="it-IT"/>
        </w:rPr>
        <w:t>Gli interventi avviati sul Web e di cui Microsoft esegua successivamente il</w:t>
      </w:r>
      <w:r w:rsidR="007412FF" w:rsidRPr="007B74B7">
        <w:rPr>
          <w:rFonts w:ascii="Tahoma" w:hAnsi="Tahoma" w:cs="Tahoma"/>
          <w:sz w:val="18"/>
          <w:szCs w:val="18"/>
          <w:lang w:val="it-IT"/>
        </w:rPr>
        <w:t> </w:t>
      </w:r>
      <w:r w:rsidRPr="007B74B7">
        <w:rPr>
          <w:rFonts w:ascii="Tahoma" w:hAnsi="Tahoma" w:cs="Tahoma"/>
          <w:sz w:val="18"/>
          <w:szCs w:val="18"/>
          <w:lang w:val="it-IT"/>
        </w:rPr>
        <w:t>follow-up via telefono non conteranno ai fini del computo del saldo degli interventi telefonici disponibili se la risoluzione prosegue via Web, tramite posta elettronica o con altri mezzi elettronici.</w:t>
      </w:r>
      <w:r w:rsidR="008D782D" w:rsidRPr="007B74B7">
        <w:rPr>
          <w:rFonts w:ascii="Tahoma" w:hAnsi="Tahoma" w:cs="Tahoma"/>
          <w:sz w:val="18"/>
          <w:szCs w:val="18"/>
          <w:lang w:val="it-IT"/>
        </w:rPr>
        <w:t xml:space="preserve"> </w:t>
      </w:r>
    </w:p>
    <w:p w:rsidR="00023FE7" w:rsidRPr="007B74B7" w:rsidRDefault="00023FE7" w:rsidP="00F42FB8">
      <w:pPr>
        <w:pStyle w:val="AppendixBodyText"/>
        <w:spacing w:after="0"/>
        <w:rPr>
          <w:lang w:val="it-IT"/>
        </w:rPr>
      </w:pPr>
    </w:p>
    <w:p w:rsidR="00023FE7" w:rsidRPr="007B74B7" w:rsidRDefault="00023FE7" w:rsidP="00F42FB8">
      <w:pPr>
        <w:pStyle w:val="AppendixBodyText"/>
        <w:spacing w:after="0"/>
        <w:rPr>
          <w:lang w:val="it-IT"/>
        </w:rPr>
      </w:pPr>
      <w:r w:rsidRPr="007B74B7">
        <w:rPr>
          <w:rFonts w:ascii="Tahoma" w:hAnsi="Tahoma" w:cs="Tahoma"/>
          <w:sz w:val="18"/>
          <w:szCs w:val="18"/>
          <w:lang w:val="it-IT"/>
        </w:rPr>
        <w:t>Per il Supporto Web relativo agli interventi riguardanti sia il software server che le relative CAL è necessario disporre di Software Assurance. Per le copie concesse in licenza del software server che rientra nella copertura Software Assurance, le società potranno sottoporre esclusivamente richieste di Supporto per la Risoluzione dei Problemi basate</w:t>
      </w:r>
      <w:r w:rsidR="007412FF" w:rsidRPr="007B74B7">
        <w:rPr>
          <w:rFonts w:ascii="Tahoma" w:hAnsi="Tahoma" w:cs="Tahoma"/>
          <w:sz w:val="18"/>
          <w:szCs w:val="18"/>
          <w:lang w:val="it-IT"/>
        </w:rPr>
        <w:t> </w:t>
      </w:r>
      <w:r w:rsidRPr="007B74B7">
        <w:rPr>
          <w:rFonts w:ascii="Tahoma" w:hAnsi="Tahoma" w:cs="Tahoma"/>
          <w:sz w:val="18"/>
          <w:szCs w:val="18"/>
          <w:lang w:val="it-IT"/>
        </w:rPr>
        <w:t>sul Web.</w:t>
      </w:r>
    </w:p>
    <w:p w:rsidR="00023FE7" w:rsidRPr="007B74B7" w:rsidRDefault="00023FE7" w:rsidP="00F42FB8">
      <w:pPr>
        <w:pStyle w:val="AppendixBodyText"/>
        <w:spacing w:after="0"/>
        <w:rPr>
          <w:lang w:val="it-IT"/>
        </w:rPr>
      </w:pPr>
    </w:p>
    <w:p w:rsidR="00023FE7" w:rsidRPr="007B74B7" w:rsidRDefault="00023FE7" w:rsidP="00F42FB8">
      <w:pPr>
        <w:pStyle w:val="AppendixBodyText"/>
        <w:spacing w:after="0"/>
        <w:rPr>
          <w:lang w:val="it-IT"/>
        </w:rPr>
      </w:pPr>
      <w:r w:rsidRPr="007B74B7">
        <w:rPr>
          <w:rFonts w:ascii="Tahoma" w:hAnsi="Tahoma" w:cs="Tahoma"/>
          <w:sz w:val="18"/>
          <w:szCs w:val="18"/>
          <w:lang w:val="it-IT"/>
        </w:rPr>
        <w:t>Gli interventi con Supporto Web non sono trasferibili tra licenze.</w:t>
      </w:r>
      <w:r w:rsidR="008D782D" w:rsidRPr="007B74B7">
        <w:rPr>
          <w:rFonts w:ascii="Tahoma" w:hAnsi="Tahoma" w:cs="Tahoma"/>
          <w:sz w:val="18"/>
          <w:szCs w:val="18"/>
          <w:lang w:val="it-IT"/>
        </w:rPr>
        <w:t xml:space="preserve"> </w:t>
      </w:r>
      <w:r w:rsidRPr="007B74B7">
        <w:rPr>
          <w:rFonts w:ascii="Tahoma" w:hAnsi="Tahoma" w:cs="Tahoma"/>
          <w:sz w:val="18"/>
          <w:szCs w:val="18"/>
          <w:lang w:val="it-IT"/>
        </w:rPr>
        <w:t>Consultare i diritti di utilizzo del prodotto per ulteriori informazioni sull</w:t>
      </w:r>
      <w:r w:rsidR="007A1415" w:rsidRPr="007B74B7">
        <w:rPr>
          <w:rFonts w:ascii="Tahoma" w:hAnsi="Tahoma" w:cs="Tahoma"/>
          <w:sz w:val="18"/>
          <w:szCs w:val="18"/>
          <w:lang w:val="it-IT"/>
        </w:rPr>
        <w:t>’</w:t>
      </w:r>
      <w:r w:rsidRPr="007B74B7">
        <w:rPr>
          <w:rFonts w:ascii="Tahoma" w:hAnsi="Tahoma" w:cs="Tahoma"/>
          <w:sz w:val="18"/>
          <w:szCs w:val="18"/>
          <w:lang w:val="it-IT"/>
        </w:rPr>
        <w:t>assegnazione o riassegnazione delle licenze ai server fisici.</w:t>
      </w:r>
    </w:p>
    <w:p w:rsidR="00697E59" w:rsidRPr="007B74B7" w:rsidRDefault="00697E59" w:rsidP="00F42FB8">
      <w:pPr>
        <w:rPr>
          <w:lang w:val="it-IT"/>
        </w:rPr>
      </w:pPr>
      <w:bookmarkStart w:id="797" w:name="_Toc240899165"/>
    </w:p>
    <w:p w:rsidR="00023FE7" w:rsidRPr="007B74B7" w:rsidRDefault="00023FE7" w:rsidP="00F93617">
      <w:pPr>
        <w:spacing w:after="60"/>
        <w:rPr>
          <w:lang w:val="it-IT"/>
        </w:rPr>
      </w:pPr>
      <w:r w:rsidRPr="007B74B7">
        <w:rPr>
          <w:rFonts w:cs="Tahoma"/>
          <w:b/>
          <w:szCs w:val="20"/>
          <w:lang w:val="it-IT"/>
        </w:rPr>
        <w:t>Contatti di Supporto</w:t>
      </w:r>
      <w:bookmarkEnd w:id="797"/>
    </w:p>
    <w:p w:rsidR="00023FE7" w:rsidRPr="007B74B7" w:rsidRDefault="00023FE7" w:rsidP="00F42FB8">
      <w:pPr>
        <w:pStyle w:val="AppendixBodyText"/>
        <w:spacing w:after="0"/>
        <w:rPr>
          <w:lang w:val="it-IT"/>
        </w:rPr>
      </w:pPr>
      <w:r w:rsidRPr="007B74B7">
        <w:rPr>
          <w:rFonts w:ascii="Tahoma" w:hAnsi="Tahoma" w:cs="Tahoma"/>
          <w:sz w:val="18"/>
          <w:szCs w:val="18"/>
          <w:lang w:val="it-IT"/>
        </w:rPr>
        <w:t>Il numero di contatti di supporto consentiti varia in base al programma Volume License e al numero di licenze indicato in Software Assurance, come mostrato di seguito.</w:t>
      </w:r>
      <w:r w:rsidR="008D782D" w:rsidRPr="007B74B7">
        <w:rPr>
          <w:rFonts w:ascii="Tahoma" w:hAnsi="Tahoma" w:cs="Tahoma"/>
          <w:sz w:val="18"/>
          <w:szCs w:val="18"/>
          <w:lang w:val="it-IT"/>
        </w:rPr>
        <w:t xml:space="preserve"> </w:t>
      </w:r>
      <w:r w:rsidRPr="007B74B7">
        <w:rPr>
          <w:rFonts w:ascii="Tahoma" w:hAnsi="Tahoma" w:cs="Tahoma"/>
          <w:sz w:val="18"/>
          <w:szCs w:val="18"/>
          <w:lang w:val="it-IT"/>
        </w:rPr>
        <w:t>I contatti dovranno essere persone designate, tra cui anche soggetti esterni all</w:t>
      </w:r>
      <w:r w:rsidR="007A1415" w:rsidRPr="007B74B7">
        <w:rPr>
          <w:rFonts w:ascii="Tahoma" w:hAnsi="Tahoma" w:cs="Tahoma"/>
          <w:sz w:val="18"/>
          <w:szCs w:val="18"/>
          <w:lang w:val="it-IT"/>
        </w:rPr>
        <w:t>’</w:t>
      </w:r>
      <w:r w:rsidRPr="007B74B7">
        <w:rPr>
          <w:rFonts w:ascii="Tahoma" w:hAnsi="Tahoma" w:cs="Tahoma"/>
          <w:sz w:val="18"/>
          <w:szCs w:val="18"/>
          <w:lang w:val="it-IT"/>
        </w:rPr>
        <w:t>organizzazione della società.</w:t>
      </w:r>
      <w:r w:rsidR="008D782D" w:rsidRPr="007B74B7">
        <w:rPr>
          <w:rFonts w:ascii="Tahoma" w:hAnsi="Tahoma" w:cs="Tahoma"/>
          <w:sz w:val="18"/>
          <w:szCs w:val="18"/>
          <w:lang w:val="it-IT"/>
        </w:rPr>
        <w:t xml:space="preserve"> </w:t>
      </w:r>
      <w:r w:rsidRPr="007B74B7">
        <w:rPr>
          <w:rFonts w:ascii="Tahoma" w:hAnsi="Tahoma" w:cs="Tahoma"/>
          <w:sz w:val="18"/>
          <w:szCs w:val="18"/>
          <w:lang w:val="it-IT"/>
        </w:rPr>
        <w:t>Tuttavia, non sarà possibile indicare tra i contatti il nome di</w:t>
      </w:r>
      <w:r w:rsidR="00487D97" w:rsidRPr="007B74B7">
        <w:rPr>
          <w:rFonts w:ascii="Tahoma" w:hAnsi="Tahoma" w:cs="Tahoma"/>
          <w:sz w:val="18"/>
          <w:szCs w:val="18"/>
          <w:lang w:val="it-IT"/>
        </w:rPr>
        <w:t> </w:t>
      </w:r>
      <w:r w:rsidRPr="007B74B7">
        <w:rPr>
          <w:rFonts w:ascii="Tahoma" w:hAnsi="Tahoma" w:cs="Tahoma"/>
          <w:sz w:val="18"/>
          <w:szCs w:val="18"/>
          <w:lang w:val="it-IT"/>
        </w:rPr>
        <w:t>un</w:t>
      </w:r>
      <w:r w:rsidR="007A1415" w:rsidRPr="007B74B7">
        <w:rPr>
          <w:rFonts w:ascii="Tahoma" w:hAnsi="Tahoma" w:cs="Tahoma"/>
          <w:sz w:val="18"/>
          <w:szCs w:val="18"/>
          <w:lang w:val="it-IT"/>
        </w:rPr>
        <w:t>’</w:t>
      </w:r>
      <w:r w:rsidRPr="007B74B7">
        <w:rPr>
          <w:rFonts w:ascii="Tahoma" w:hAnsi="Tahoma" w:cs="Tahoma"/>
          <w:sz w:val="18"/>
          <w:szCs w:val="18"/>
          <w:lang w:val="it-IT"/>
        </w:rPr>
        <w:t>organizzazione, di un dipartimento o di un gruppo.</w:t>
      </w:r>
    </w:p>
    <w:p w:rsidR="00077CE5" w:rsidRPr="007B74B7" w:rsidRDefault="00077CE5" w:rsidP="00F93617">
      <w:pPr>
        <w:pStyle w:val="AppendixBodyText"/>
        <w:spacing w:after="0"/>
        <w:rPr>
          <w:lang w:val="it-IT"/>
        </w:rPr>
      </w:pPr>
    </w:p>
    <w:p w:rsidR="002A5CC2" w:rsidRPr="007B74B7" w:rsidRDefault="002A5CC2">
      <w:pPr>
        <w:pStyle w:val="AppendixBodyText"/>
        <w:rPr>
          <w:lang w:val="it-IT"/>
        </w:rPr>
      </w:pPr>
    </w:p>
    <w:tbl>
      <w:tblPr>
        <w:tblW w:w="963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070"/>
        <w:gridCol w:w="1080"/>
        <w:gridCol w:w="1080"/>
        <w:gridCol w:w="1350"/>
        <w:gridCol w:w="1350"/>
        <w:gridCol w:w="1350"/>
        <w:gridCol w:w="1350"/>
      </w:tblGrid>
      <w:tr w:rsidR="007412FF" w:rsidRPr="007B74B7" w:rsidTr="007412FF">
        <w:trPr>
          <w:trHeight w:val="178"/>
        </w:trPr>
        <w:tc>
          <w:tcPr>
            <w:tcW w:w="20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BD7CEA" w:rsidRDefault="00023FE7">
            <w:pPr>
              <w:pStyle w:val="AppendixBodyText"/>
              <w:rPr>
                <w:rFonts w:ascii="Tahoma" w:hAnsi="Tahoma" w:cs="Tahoma"/>
                <w:b/>
                <w:bCs/>
              </w:rPr>
            </w:pPr>
            <w:r w:rsidRPr="00BD7CEA">
              <w:rPr>
                <w:rFonts w:ascii="Tahoma" w:hAnsi="Tahoma" w:cs="Tahoma"/>
                <w:b/>
                <w:bCs/>
              </w:rPr>
              <w:t>Benefici</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BD7CEA" w:rsidRDefault="00023FE7">
            <w:pPr>
              <w:pStyle w:val="AppendixBodyText"/>
              <w:rPr>
                <w:rFonts w:ascii="Tahoma" w:hAnsi="Tahoma" w:cs="Tahoma"/>
                <w:b/>
                <w:bCs/>
              </w:rPr>
            </w:pPr>
            <w:r w:rsidRPr="00BD7CEA">
              <w:rPr>
                <w:rFonts w:ascii="Tahoma" w:hAnsi="Tahoma" w:cs="Tahoma"/>
                <w:b/>
                <w:bCs/>
              </w:rPr>
              <w:t>Licenza Open</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BD7CEA" w:rsidRDefault="00023FE7" w:rsidP="007412FF">
            <w:pPr>
              <w:pStyle w:val="AppendixBodyText"/>
              <w:spacing w:before="120" w:after="120"/>
              <w:ind w:left="-9"/>
              <w:rPr>
                <w:rFonts w:ascii="Tahoma" w:hAnsi="Tahoma" w:cs="Tahoma"/>
                <w:b/>
              </w:rPr>
            </w:pPr>
            <w:r w:rsidRPr="00BD7CEA">
              <w:rPr>
                <w:rFonts w:ascii="Tahoma" w:hAnsi="Tahoma" w:cs="Tahoma"/>
                <w:b/>
                <w:bCs/>
              </w:rPr>
              <w:t>Open Value(1)</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7B74B7" w:rsidRDefault="00023FE7">
            <w:pPr>
              <w:pStyle w:val="AppendixBodyText"/>
              <w:rPr>
                <w:lang w:val="it-IT"/>
              </w:rPr>
            </w:pPr>
            <w:r w:rsidRPr="007B74B7">
              <w:rPr>
                <w:rFonts w:ascii="Tahoma" w:hAnsi="Tahoma" w:cs="Tahoma"/>
                <w:b/>
                <w:bCs/>
                <w:lang w:val="it-IT"/>
              </w:rPr>
              <w:t>Licenza Select / Select Plus</w:t>
            </w:r>
            <w:r w:rsidR="007412FF" w:rsidRPr="007B74B7">
              <w:rPr>
                <w:rFonts w:ascii="Tahoma" w:hAnsi="Tahoma" w:cs="Tahoma"/>
                <w:b/>
                <w:bCs/>
                <w:lang w:val="it-IT"/>
              </w:rPr>
              <w:t> </w:t>
            </w:r>
            <w:r w:rsidRPr="007B74B7">
              <w:rPr>
                <w:rFonts w:ascii="Tahoma" w:hAnsi="Tahoma" w:cs="Tahoma"/>
                <w:b/>
                <w:bCs/>
                <w:lang w:val="it-IT"/>
              </w:rPr>
              <w:t>/ EA</w:t>
            </w:r>
          </w:p>
          <w:p w:rsidR="00023FE7" w:rsidRPr="007B74B7" w:rsidRDefault="00023FE7">
            <w:pPr>
              <w:pStyle w:val="AppendixBodyText"/>
              <w:rPr>
                <w:rFonts w:ascii="Tahoma" w:hAnsi="Tahoma" w:cs="Tahoma"/>
                <w:b/>
                <w:bCs/>
                <w:lang w:val="it-IT"/>
              </w:rPr>
            </w:pPr>
            <w:r w:rsidRPr="007B74B7">
              <w:rPr>
                <w:rFonts w:ascii="Tahoma" w:hAnsi="Tahoma" w:cs="Tahoma"/>
                <w:b/>
                <w:bCs/>
                <w:lang w:val="it-IT"/>
              </w:rPr>
              <w:t>Prezzo di riferimento</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7B74B7" w:rsidRDefault="00023FE7">
            <w:pPr>
              <w:pStyle w:val="AppendixBodyText"/>
              <w:rPr>
                <w:lang w:val="it-IT"/>
              </w:rPr>
            </w:pPr>
            <w:r w:rsidRPr="007B74B7">
              <w:rPr>
                <w:rFonts w:ascii="Tahoma" w:hAnsi="Tahoma" w:cs="Tahoma"/>
                <w:b/>
                <w:bCs/>
                <w:lang w:val="it-IT"/>
              </w:rPr>
              <w:t>Licenza Select / Select Plus</w:t>
            </w:r>
            <w:r w:rsidR="007412FF" w:rsidRPr="007B74B7">
              <w:rPr>
                <w:rFonts w:ascii="Tahoma" w:hAnsi="Tahoma" w:cs="Tahoma"/>
                <w:b/>
                <w:bCs/>
                <w:lang w:val="it-IT"/>
              </w:rPr>
              <w:t> </w:t>
            </w:r>
            <w:r w:rsidRPr="007B74B7">
              <w:rPr>
                <w:rFonts w:ascii="Tahoma" w:hAnsi="Tahoma" w:cs="Tahoma"/>
                <w:b/>
                <w:bCs/>
                <w:lang w:val="it-IT"/>
              </w:rPr>
              <w:t>/ EA</w:t>
            </w:r>
          </w:p>
          <w:p w:rsidR="00023FE7" w:rsidRPr="007B74B7" w:rsidRDefault="00023FE7" w:rsidP="007412FF">
            <w:pPr>
              <w:pStyle w:val="AppendixBodyText"/>
              <w:ind w:right="-9"/>
              <w:rPr>
                <w:rFonts w:ascii="Tahoma" w:hAnsi="Tahoma" w:cs="Tahoma"/>
                <w:b/>
                <w:bCs/>
                <w:lang w:val="it-IT"/>
              </w:rPr>
            </w:pPr>
            <w:r w:rsidRPr="007B74B7">
              <w:rPr>
                <w:rFonts w:ascii="Tahoma" w:hAnsi="Tahoma" w:cs="Tahoma"/>
                <w:b/>
                <w:bCs/>
                <w:lang w:val="it-IT"/>
              </w:rPr>
              <w:t>Prezzo di riferimento</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7B74B7" w:rsidRDefault="00023FE7">
            <w:pPr>
              <w:pStyle w:val="AppendixBodyText"/>
              <w:rPr>
                <w:lang w:val="it-IT"/>
              </w:rPr>
            </w:pPr>
            <w:r w:rsidRPr="007B74B7">
              <w:rPr>
                <w:rFonts w:ascii="Tahoma" w:hAnsi="Tahoma" w:cs="Tahoma"/>
                <w:b/>
                <w:bCs/>
                <w:lang w:val="it-IT"/>
              </w:rPr>
              <w:t>Licenza Select / Select Plus</w:t>
            </w:r>
            <w:r w:rsidR="007412FF" w:rsidRPr="007B74B7">
              <w:rPr>
                <w:rFonts w:ascii="Tahoma" w:hAnsi="Tahoma" w:cs="Tahoma"/>
                <w:b/>
                <w:bCs/>
                <w:lang w:val="it-IT"/>
              </w:rPr>
              <w:t> </w:t>
            </w:r>
            <w:r w:rsidRPr="007B74B7">
              <w:rPr>
                <w:rFonts w:ascii="Tahoma" w:hAnsi="Tahoma" w:cs="Tahoma"/>
                <w:b/>
                <w:bCs/>
                <w:lang w:val="it-IT"/>
              </w:rPr>
              <w:t>/ EA</w:t>
            </w:r>
          </w:p>
          <w:p w:rsidR="00023FE7" w:rsidRPr="007B74B7" w:rsidRDefault="00023FE7">
            <w:pPr>
              <w:pStyle w:val="AppendixBodyText"/>
              <w:rPr>
                <w:rFonts w:ascii="Tahoma" w:hAnsi="Tahoma" w:cs="Tahoma"/>
                <w:b/>
                <w:bCs/>
                <w:lang w:val="it-IT"/>
              </w:rPr>
            </w:pPr>
            <w:r w:rsidRPr="007B74B7">
              <w:rPr>
                <w:rFonts w:ascii="Tahoma" w:hAnsi="Tahoma" w:cs="Tahoma"/>
                <w:b/>
                <w:bCs/>
                <w:lang w:val="it-IT"/>
              </w:rPr>
              <w:t>Prezzo di riferimento</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7B74B7" w:rsidRDefault="00023FE7">
            <w:pPr>
              <w:pStyle w:val="AppendixBodyText"/>
              <w:rPr>
                <w:lang w:val="it-IT"/>
              </w:rPr>
            </w:pPr>
            <w:r w:rsidRPr="007B74B7">
              <w:rPr>
                <w:rFonts w:ascii="Tahoma" w:hAnsi="Tahoma" w:cs="Tahoma"/>
                <w:b/>
                <w:bCs/>
                <w:lang w:val="it-IT"/>
              </w:rPr>
              <w:t>Licenza Select / Select Plus</w:t>
            </w:r>
            <w:r w:rsidR="007412FF" w:rsidRPr="007B74B7">
              <w:rPr>
                <w:rFonts w:ascii="Tahoma" w:hAnsi="Tahoma" w:cs="Tahoma"/>
                <w:b/>
                <w:bCs/>
                <w:lang w:val="it-IT"/>
              </w:rPr>
              <w:t> </w:t>
            </w:r>
            <w:r w:rsidRPr="007B74B7">
              <w:rPr>
                <w:rFonts w:ascii="Tahoma" w:hAnsi="Tahoma" w:cs="Tahoma"/>
                <w:b/>
                <w:bCs/>
                <w:lang w:val="it-IT"/>
              </w:rPr>
              <w:t>/ EA</w:t>
            </w:r>
          </w:p>
          <w:p w:rsidR="00023FE7" w:rsidRPr="007B74B7" w:rsidRDefault="00023FE7">
            <w:pPr>
              <w:pStyle w:val="AppendixBodyText"/>
              <w:rPr>
                <w:rFonts w:ascii="Tahoma" w:hAnsi="Tahoma" w:cs="Tahoma"/>
                <w:b/>
                <w:bCs/>
                <w:lang w:val="it-IT"/>
              </w:rPr>
            </w:pPr>
            <w:r w:rsidRPr="007B74B7">
              <w:rPr>
                <w:rFonts w:ascii="Tahoma" w:hAnsi="Tahoma" w:cs="Tahoma"/>
                <w:b/>
                <w:bCs/>
                <w:lang w:val="it-IT"/>
              </w:rPr>
              <w:t>Prezzo di riferimento</w:t>
            </w:r>
          </w:p>
        </w:tc>
      </w:tr>
      <w:tr w:rsidR="007412FF" w:rsidRPr="00BD7CEA" w:rsidTr="007412FF">
        <w:trPr>
          <w:trHeight w:val="236"/>
        </w:trPr>
        <w:tc>
          <w:tcPr>
            <w:tcW w:w="2070" w:type="dxa"/>
            <w:vAlign w:val="center"/>
          </w:tcPr>
          <w:p w:rsidR="00023FE7" w:rsidRPr="007B74B7" w:rsidRDefault="00023FE7" w:rsidP="007412FF">
            <w:pPr>
              <w:pStyle w:val="AppendixBodyText"/>
              <w:rPr>
                <w:rFonts w:ascii="Tahoma" w:hAnsi="Tahoma" w:cs="Tahoma"/>
                <w:sz w:val="18"/>
                <w:szCs w:val="18"/>
                <w:lang w:val="it-IT"/>
              </w:rPr>
            </w:pPr>
            <w:r w:rsidRPr="007B74B7">
              <w:rPr>
                <w:rFonts w:ascii="Tahoma" w:hAnsi="Tahoma" w:cs="Tahoma"/>
                <w:sz w:val="18"/>
                <w:szCs w:val="18"/>
                <w:lang w:val="it-IT"/>
              </w:rPr>
              <w:t>N. di Contatti di Supporto Telefonico per la Risoluzione dei</w:t>
            </w:r>
            <w:r w:rsidR="007412FF" w:rsidRPr="007B74B7">
              <w:rPr>
                <w:rFonts w:ascii="Tahoma" w:hAnsi="Tahoma" w:cs="Tahoma"/>
                <w:sz w:val="18"/>
                <w:szCs w:val="18"/>
                <w:lang w:val="it-IT"/>
              </w:rPr>
              <w:t> </w:t>
            </w:r>
            <w:r w:rsidRPr="007B74B7">
              <w:rPr>
                <w:rFonts w:ascii="Tahoma" w:hAnsi="Tahoma" w:cs="Tahoma"/>
                <w:sz w:val="18"/>
                <w:szCs w:val="18"/>
                <w:lang w:val="it-IT"/>
              </w:rPr>
              <w:t>Problemi</w:t>
            </w:r>
          </w:p>
        </w:tc>
        <w:tc>
          <w:tcPr>
            <w:tcW w:w="1080" w:type="dxa"/>
            <w:vAlign w:val="center"/>
          </w:tcPr>
          <w:p w:rsidR="00023FE7" w:rsidRPr="00BD7CEA" w:rsidRDefault="00620185">
            <w:pPr>
              <w:pStyle w:val="AppendixBodyText"/>
              <w:rPr>
                <w:rFonts w:ascii="Tahoma" w:hAnsi="Tahoma" w:cs="Tahoma"/>
                <w:sz w:val="18"/>
                <w:szCs w:val="18"/>
              </w:rPr>
            </w:pPr>
            <w:r w:rsidRPr="00BD7CEA">
              <w:rPr>
                <w:rFonts w:ascii="Tahoma" w:hAnsi="Tahoma" w:cs="Tahoma"/>
                <w:sz w:val="18"/>
                <w:szCs w:val="18"/>
              </w:rPr>
              <w:t>In Base alle Necessità</w:t>
            </w:r>
          </w:p>
        </w:tc>
        <w:tc>
          <w:tcPr>
            <w:tcW w:w="1080" w:type="dxa"/>
            <w:vAlign w:val="center"/>
          </w:tcPr>
          <w:p w:rsidR="00023FE7" w:rsidRPr="00BD7CEA" w:rsidRDefault="00023FE7">
            <w:pPr>
              <w:pStyle w:val="AppendixBodyText"/>
              <w:rPr>
                <w:rFonts w:ascii="Tahoma" w:hAnsi="Tahoma" w:cs="Tahoma"/>
                <w:sz w:val="18"/>
                <w:szCs w:val="18"/>
              </w:rPr>
            </w:pPr>
            <w:r w:rsidRPr="00BD7CEA">
              <w:rPr>
                <w:rFonts w:ascii="Tahoma" w:hAnsi="Tahoma" w:cs="Tahoma"/>
                <w:sz w:val="18"/>
                <w:szCs w:val="18"/>
              </w:rPr>
              <w:t>In Base alle Necessità</w:t>
            </w:r>
          </w:p>
        </w:tc>
        <w:tc>
          <w:tcPr>
            <w:tcW w:w="1350" w:type="dxa"/>
            <w:vAlign w:val="center"/>
          </w:tcPr>
          <w:p w:rsidR="00023FE7" w:rsidRPr="00BD7CEA" w:rsidRDefault="00023FE7">
            <w:pPr>
              <w:pStyle w:val="AppendixBodyText"/>
              <w:rPr>
                <w:rFonts w:ascii="Tahoma" w:hAnsi="Tahoma" w:cs="Tahoma"/>
                <w:sz w:val="18"/>
                <w:szCs w:val="18"/>
              </w:rPr>
            </w:pPr>
            <w:r w:rsidRPr="00BD7CEA">
              <w:rPr>
                <w:rFonts w:ascii="Tahoma" w:hAnsi="Tahoma" w:cs="Tahoma"/>
                <w:sz w:val="18"/>
                <w:szCs w:val="18"/>
              </w:rPr>
              <w:t>In Base alle Necessità</w:t>
            </w:r>
          </w:p>
        </w:tc>
        <w:tc>
          <w:tcPr>
            <w:tcW w:w="1350" w:type="dxa"/>
            <w:vAlign w:val="center"/>
          </w:tcPr>
          <w:p w:rsidR="00023FE7" w:rsidRPr="00BD7CEA" w:rsidRDefault="00023FE7">
            <w:pPr>
              <w:pStyle w:val="AppendixBodyText"/>
              <w:rPr>
                <w:rFonts w:ascii="Tahoma" w:hAnsi="Tahoma" w:cs="Tahoma"/>
                <w:sz w:val="18"/>
                <w:szCs w:val="18"/>
              </w:rPr>
            </w:pPr>
            <w:r w:rsidRPr="00BD7CEA">
              <w:rPr>
                <w:rFonts w:ascii="Tahoma" w:hAnsi="Tahoma" w:cs="Tahoma"/>
                <w:sz w:val="18"/>
                <w:szCs w:val="18"/>
              </w:rPr>
              <w:t>In Base alle Necessità</w:t>
            </w:r>
          </w:p>
        </w:tc>
        <w:tc>
          <w:tcPr>
            <w:tcW w:w="1350" w:type="dxa"/>
            <w:vAlign w:val="center"/>
          </w:tcPr>
          <w:p w:rsidR="00023FE7" w:rsidRPr="00BD7CEA" w:rsidRDefault="00023FE7">
            <w:pPr>
              <w:pStyle w:val="AppendixBodyText"/>
              <w:rPr>
                <w:rFonts w:ascii="Tahoma" w:hAnsi="Tahoma" w:cs="Tahoma"/>
                <w:sz w:val="18"/>
                <w:szCs w:val="18"/>
              </w:rPr>
            </w:pPr>
            <w:r w:rsidRPr="00BD7CEA">
              <w:rPr>
                <w:rFonts w:ascii="Tahoma" w:hAnsi="Tahoma" w:cs="Tahoma"/>
                <w:sz w:val="18"/>
                <w:szCs w:val="18"/>
              </w:rPr>
              <w:t>In Base alle Necessità</w:t>
            </w:r>
          </w:p>
        </w:tc>
        <w:tc>
          <w:tcPr>
            <w:tcW w:w="1350" w:type="dxa"/>
            <w:vAlign w:val="center"/>
          </w:tcPr>
          <w:p w:rsidR="00023FE7" w:rsidRPr="00BD7CEA" w:rsidRDefault="00023FE7">
            <w:pPr>
              <w:pStyle w:val="AppendixBodyText"/>
              <w:rPr>
                <w:rFonts w:ascii="Tahoma" w:hAnsi="Tahoma" w:cs="Tahoma"/>
                <w:sz w:val="18"/>
                <w:szCs w:val="18"/>
              </w:rPr>
            </w:pPr>
            <w:r w:rsidRPr="00BD7CEA">
              <w:rPr>
                <w:rFonts w:ascii="Tahoma" w:hAnsi="Tahoma" w:cs="Tahoma"/>
                <w:sz w:val="18"/>
                <w:szCs w:val="18"/>
              </w:rPr>
              <w:t>In Base alle Necessità</w:t>
            </w:r>
          </w:p>
        </w:tc>
      </w:tr>
      <w:tr w:rsidR="007412FF" w:rsidRPr="00BD7CEA" w:rsidTr="007412FF">
        <w:trPr>
          <w:trHeight w:val="236"/>
        </w:trPr>
        <w:tc>
          <w:tcPr>
            <w:tcW w:w="2070" w:type="dxa"/>
            <w:vAlign w:val="center"/>
          </w:tcPr>
          <w:p w:rsidR="00023FE7" w:rsidRPr="007B74B7" w:rsidRDefault="00023FE7">
            <w:pPr>
              <w:pStyle w:val="AppendixBodyText"/>
              <w:rPr>
                <w:rFonts w:ascii="Tahoma" w:hAnsi="Tahoma" w:cs="Tahoma"/>
                <w:sz w:val="18"/>
                <w:szCs w:val="18"/>
                <w:lang w:val="it-IT"/>
              </w:rPr>
            </w:pPr>
            <w:r w:rsidRPr="007B74B7">
              <w:rPr>
                <w:rFonts w:ascii="Tahoma" w:hAnsi="Tahoma" w:cs="Tahoma"/>
                <w:sz w:val="18"/>
                <w:szCs w:val="18"/>
                <w:lang w:val="it-IT"/>
              </w:rPr>
              <w:t>N. di Contatti Autorizzati per il Supporto Web</w:t>
            </w:r>
          </w:p>
        </w:tc>
        <w:tc>
          <w:tcPr>
            <w:tcW w:w="1080" w:type="dxa"/>
            <w:vAlign w:val="center"/>
          </w:tcPr>
          <w:p w:rsidR="00023FE7" w:rsidRPr="00BD7CEA" w:rsidRDefault="00023FE7">
            <w:pPr>
              <w:pStyle w:val="AppendixBodyText"/>
              <w:rPr>
                <w:rFonts w:ascii="Tahoma" w:hAnsi="Tahoma" w:cs="Tahoma"/>
                <w:sz w:val="18"/>
                <w:szCs w:val="18"/>
              </w:rPr>
            </w:pPr>
            <w:r w:rsidRPr="00BD7CEA">
              <w:rPr>
                <w:rFonts w:ascii="Tahoma" w:hAnsi="Tahoma" w:cs="Tahoma"/>
                <w:sz w:val="18"/>
                <w:szCs w:val="18"/>
              </w:rPr>
              <w:t>ND</w:t>
            </w:r>
          </w:p>
        </w:tc>
        <w:tc>
          <w:tcPr>
            <w:tcW w:w="1080" w:type="dxa"/>
            <w:vAlign w:val="center"/>
          </w:tcPr>
          <w:p w:rsidR="00023FE7" w:rsidRPr="00BD7CEA" w:rsidRDefault="00023FE7">
            <w:pPr>
              <w:pStyle w:val="AppendixBodyText"/>
              <w:rPr>
                <w:rFonts w:ascii="Tahoma" w:hAnsi="Tahoma" w:cs="Tahoma"/>
                <w:sz w:val="18"/>
                <w:szCs w:val="18"/>
              </w:rPr>
            </w:pPr>
            <w:r w:rsidRPr="00BD7CEA">
              <w:rPr>
                <w:rFonts w:ascii="Tahoma" w:hAnsi="Tahoma" w:cs="Tahoma"/>
                <w:sz w:val="18"/>
                <w:szCs w:val="18"/>
              </w:rPr>
              <w:t>1</w:t>
            </w:r>
          </w:p>
        </w:tc>
        <w:tc>
          <w:tcPr>
            <w:tcW w:w="1350" w:type="dxa"/>
            <w:vAlign w:val="center"/>
          </w:tcPr>
          <w:p w:rsidR="00023FE7" w:rsidRPr="00BD7CEA" w:rsidRDefault="00023FE7">
            <w:pPr>
              <w:pStyle w:val="AppendixBodyText"/>
              <w:rPr>
                <w:rFonts w:ascii="Tahoma" w:hAnsi="Tahoma" w:cs="Tahoma"/>
                <w:sz w:val="18"/>
                <w:szCs w:val="18"/>
              </w:rPr>
            </w:pPr>
            <w:r w:rsidRPr="00BD7CEA">
              <w:rPr>
                <w:rFonts w:ascii="Tahoma" w:hAnsi="Tahoma" w:cs="Tahoma"/>
                <w:sz w:val="18"/>
                <w:szCs w:val="18"/>
              </w:rPr>
              <w:t>2</w:t>
            </w:r>
          </w:p>
        </w:tc>
        <w:tc>
          <w:tcPr>
            <w:tcW w:w="1350" w:type="dxa"/>
            <w:vAlign w:val="center"/>
          </w:tcPr>
          <w:p w:rsidR="00023FE7" w:rsidRPr="00BD7CEA" w:rsidRDefault="00023FE7">
            <w:pPr>
              <w:pStyle w:val="AppendixBodyText"/>
              <w:rPr>
                <w:rFonts w:ascii="Tahoma" w:hAnsi="Tahoma" w:cs="Tahoma"/>
                <w:sz w:val="18"/>
                <w:szCs w:val="18"/>
              </w:rPr>
            </w:pPr>
            <w:r w:rsidRPr="00BD7CEA">
              <w:rPr>
                <w:rFonts w:ascii="Tahoma" w:hAnsi="Tahoma" w:cs="Tahoma"/>
                <w:sz w:val="18"/>
                <w:szCs w:val="18"/>
              </w:rPr>
              <w:t>4</w:t>
            </w:r>
          </w:p>
        </w:tc>
        <w:tc>
          <w:tcPr>
            <w:tcW w:w="1350" w:type="dxa"/>
            <w:vAlign w:val="center"/>
          </w:tcPr>
          <w:p w:rsidR="00023FE7" w:rsidRPr="00BD7CEA" w:rsidRDefault="00023FE7">
            <w:pPr>
              <w:pStyle w:val="AppendixBodyText"/>
              <w:rPr>
                <w:rFonts w:ascii="Tahoma" w:hAnsi="Tahoma" w:cs="Tahoma"/>
                <w:sz w:val="18"/>
                <w:szCs w:val="18"/>
              </w:rPr>
            </w:pPr>
            <w:r w:rsidRPr="00BD7CEA">
              <w:rPr>
                <w:rFonts w:ascii="Tahoma" w:hAnsi="Tahoma" w:cs="Tahoma"/>
                <w:sz w:val="18"/>
                <w:szCs w:val="18"/>
              </w:rPr>
              <w:t>8</w:t>
            </w:r>
          </w:p>
        </w:tc>
        <w:tc>
          <w:tcPr>
            <w:tcW w:w="1350" w:type="dxa"/>
            <w:vAlign w:val="center"/>
          </w:tcPr>
          <w:p w:rsidR="00023FE7" w:rsidRPr="00BD7CEA" w:rsidRDefault="00023FE7">
            <w:pPr>
              <w:pStyle w:val="AppendixBodyText"/>
              <w:rPr>
                <w:rFonts w:ascii="Tahoma" w:hAnsi="Tahoma" w:cs="Tahoma"/>
                <w:sz w:val="18"/>
                <w:szCs w:val="18"/>
              </w:rPr>
            </w:pPr>
            <w:r w:rsidRPr="00BD7CEA">
              <w:rPr>
                <w:rFonts w:ascii="Tahoma" w:hAnsi="Tahoma" w:cs="Tahoma"/>
                <w:sz w:val="18"/>
                <w:szCs w:val="18"/>
              </w:rPr>
              <w:t>16</w:t>
            </w:r>
          </w:p>
        </w:tc>
      </w:tr>
    </w:tbl>
    <w:p w:rsidR="00023FE7" w:rsidRPr="00BD7CEA" w:rsidRDefault="00023FE7" w:rsidP="00F42FB8">
      <w:pPr>
        <w:pStyle w:val="AppendixBodyText"/>
        <w:spacing w:after="0"/>
      </w:pPr>
    </w:p>
    <w:p w:rsidR="001C20C9" w:rsidRPr="007B74B7" w:rsidRDefault="00023FE7" w:rsidP="00F93617">
      <w:pPr>
        <w:spacing w:after="60"/>
        <w:rPr>
          <w:lang w:val="it-IT"/>
        </w:rPr>
      </w:pPr>
      <w:bookmarkStart w:id="798" w:name="_Toc240899166"/>
      <w:r w:rsidRPr="007B74B7">
        <w:rPr>
          <w:rFonts w:cs="Tahoma"/>
          <w:b/>
          <w:szCs w:val="20"/>
          <w:lang w:val="it-IT"/>
        </w:rPr>
        <w:t>Livello di Servizio per le Società con Copertura Software Assurance</w:t>
      </w:r>
      <w:bookmarkEnd w:id="798"/>
    </w:p>
    <w:p w:rsidR="00023FE7" w:rsidRPr="007B74B7" w:rsidRDefault="00023FE7" w:rsidP="00F42FB8">
      <w:pPr>
        <w:pStyle w:val="AppendixBodyText"/>
        <w:spacing w:after="0"/>
        <w:rPr>
          <w:lang w:val="it-IT"/>
        </w:rPr>
      </w:pPr>
    </w:p>
    <w:p w:rsidR="00023FE7" w:rsidRPr="007B74B7" w:rsidRDefault="00023FE7" w:rsidP="00F93617">
      <w:pPr>
        <w:pStyle w:val="AppendixBodyText"/>
        <w:spacing w:after="0"/>
        <w:rPr>
          <w:lang w:val="it-IT"/>
        </w:rPr>
      </w:pPr>
      <w:r w:rsidRPr="007B74B7">
        <w:rPr>
          <w:rFonts w:ascii="Tahoma" w:hAnsi="Tahoma" w:cs="Tahoma"/>
          <w:sz w:val="18"/>
          <w:szCs w:val="18"/>
          <w:lang w:val="it-IT"/>
        </w:rPr>
        <w:t>Le richieste di supporto potranno essere formulate telefonicamente o inviate in formato elettronico dalle persone di</w:t>
      </w:r>
      <w:r w:rsidR="00BE1A9B" w:rsidRPr="007B74B7">
        <w:rPr>
          <w:rFonts w:ascii="Tahoma" w:hAnsi="Tahoma" w:cs="Tahoma"/>
          <w:sz w:val="18"/>
          <w:szCs w:val="18"/>
          <w:lang w:val="it-IT"/>
        </w:rPr>
        <w:t> </w:t>
      </w:r>
      <w:r w:rsidRPr="007B74B7">
        <w:rPr>
          <w:rFonts w:ascii="Tahoma" w:hAnsi="Tahoma" w:cs="Tahoma"/>
          <w:sz w:val="18"/>
          <w:szCs w:val="18"/>
          <w:lang w:val="it-IT"/>
        </w:rPr>
        <w:t xml:space="preserve">contatto designate dalla società, a eccezione delle richieste con Severity A e B, che dovranno essere formulate, invece, solo telefonicamente, come descritto di seguito. </w:t>
      </w:r>
    </w:p>
    <w:p w:rsidR="00F42FB8" w:rsidRPr="007B74B7" w:rsidRDefault="00F42FB8" w:rsidP="00F93617">
      <w:pPr>
        <w:pStyle w:val="AppendixBodyText"/>
        <w:spacing w:after="0"/>
        <w:rPr>
          <w:lang w:val="it-IT"/>
        </w:rPr>
      </w:pPr>
    </w:p>
    <w:p w:rsidR="00023FE7" w:rsidRPr="007B74B7" w:rsidRDefault="00023FE7" w:rsidP="00F42FB8">
      <w:pPr>
        <w:pStyle w:val="AppendixBodyText"/>
        <w:spacing w:after="0"/>
        <w:rPr>
          <w:lang w:val="it-IT"/>
        </w:rPr>
      </w:pPr>
    </w:p>
    <w:p w:rsidR="00212786" w:rsidRPr="007B74B7" w:rsidRDefault="00212786" w:rsidP="00F93617">
      <w:pPr>
        <w:pStyle w:val="AppendixBodyText"/>
        <w:spacing w:after="0"/>
        <w:rPr>
          <w:rFonts w:ascii="Tahoma" w:hAnsi="Tahoma" w:cs="Tahoma"/>
          <w:sz w:val="18"/>
          <w:szCs w:val="18"/>
          <w:lang w:val="it-IT"/>
        </w:rPr>
      </w:pPr>
    </w:p>
    <w:p w:rsidR="00023FE7" w:rsidRPr="007B74B7" w:rsidRDefault="00023FE7" w:rsidP="00F93617">
      <w:pPr>
        <w:pStyle w:val="AppendixBodyText"/>
        <w:spacing w:after="0"/>
        <w:rPr>
          <w:lang w:val="it-IT"/>
        </w:rPr>
      </w:pPr>
      <w:r w:rsidRPr="007B74B7">
        <w:rPr>
          <w:rFonts w:ascii="Tahoma" w:hAnsi="Tahoma" w:cs="Tahoma"/>
          <w:sz w:val="18"/>
          <w:szCs w:val="18"/>
          <w:lang w:val="it-IT"/>
        </w:rPr>
        <w:t>Le società avranno la responsabilità di indicare il livello di gravità iniziale in collaborazione con Microsoft. Potranno tuttavia richiedere di modificare il livello di gravità in qualsiasi momento.</w:t>
      </w:r>
      <w:r w:rsidR="008D782D" w:rsidRPr="007B74B7">
        <w:rPr>
          <w:rFonts w:ascii="Tahoma" w:hAnsi="Tahoma" w:cs="Tahoma"/>
          <w:sz w:val="18"/>
          <w:szCs w:val="18"/>
          <w:lang w:val="it-IT"/>
        </w:rPr>
        <w:t xml:space="preserve"> </w:t>
      </w:r>
      <w:r w:rsidRPr="007B74B7">
        <w:rPr>
          <w:rFonts w:ascii="Tahoma" w:hAnsi="Tahoma" w:cs="Tahoma"/>
          <w:sz w:val="18"/>
          <w:szCs w:val="18"/>
          <w:lang w:val="it-IT"/>
        </w:rPr>
        <w:t>La gravità dell</w:t>
      </w:r>
      <w:r w:rsidR="007A1415" w:rsidRPr="007B74B7">
        <w:rPr>
          <w:rFonts w:ascii="Tahoma" w:hAnsi="Tahoma" w:cs="Tahoma"/>
          <w:sz w:val="18"/>
          <w:szCs w:val="18"/>
          <w:lang w:val="it-IT"/>
        </w:rPr>
        <w:t>’</w:t>
      </w:r>
      <w:r w:rsidRPr="007B74B7">
        <w:rPr>
          <w:rFonts w:ascii="Tahoma" w:hAnsi="Tahoma" w:cs="Tahoma"/>
          <w:sz w:val="18"/>
          <w:szCs w:val="18"/>
          <w:lang w:val="it-IT"/>
        </w:rPr>
        <w:t xml:space="preserve">intervento determinerà </w:t>
      </w:r>
      <w:r w:rsidR="00BE1A9B" w:rsidRPr="007B74B7">
        <w:rPr>
          <w:rFonts w:ascii="Tahoma" w:hAnsi="Tahoma" w:cs="Tahoma"/>
          <w:sz w:val="18"/>
          <w:szCs w:val="18"/>
          <w:lang w:val="it-IT"/>
        </w:rPr>
        <w:t>I </w:t>
      </w:r>
      <w:r w:rsidRPr="007B74B7">
        <w:rPr>
          <w:rFonts w:ascii="Tahoma" w:hAnsi="Tahoma" w:cs="Tahoma"/>
          <w:sz w:val="18"/>
          <w:szCs w:val="18"/>
          <w:lang w:val="it-IT"/>
        </w:rPr>
        <w:t>livelli</w:t>
      </w:r>
      <w:r w:rsidR="00BE1A9B" w:rsidRPr="007B74B7">
        <w:rPr>
          <w:rFonts w:ascii="Tahoma" w:hAnsi="Tahoma" w:cs="Tahoma"/>
          <w:sz w:val="18"/>
          <w:szCs w:val="18"/>
          <w:lang w:val="it-IT"/>
        </w:rPr>
        <w:t> </w:t>
      </w:r>
      <w:r w:rsidRPr="007B74B7">
        <w:rPr>
          <w:rFonts w:ascii="Tahoma" w:hAnsi="Tahoma" w:cs="Tahoma"/>
          <w:sz w:val="18"/>
          <w:szCs w:val="18"/>
          <w:lang w:val="it-IT"/>
        </w:rPr>
        <w:t>di risposta da parte di Microsoft. I tempi di risposta previsti e le responsabilità delle società sono definiti nella</w:t>
      </w:r>
      <w:r w:rsidR="00BE1A9B" w:rsidRPr="007B74B7">
        <w:rPr>
          <w:rFonts w:ascii="Tahoma" w:hAnsi="Tahoma" w:cs="Tahoma"/>
          <w:sz w:val="18"/>
          <w:szCs w:val="18"/>
          <w:lang w:val="it-IT"/>
        </w:rPr>
        <w:t> </w:t>
      </w:r>
      <w:r w:rsidRPr="007B74B7">
        <w:rPr>
          <w:rFonts w:ascii="Tahoma" w:hAnsi="Tahoma" w:cs="Tahoma"/>
          <w:sz w:val="18"/>
          <w:szCs w:val="18"/>
          <w:lang w:val="it-IT"/>
        </w:rPr>
        <w:t>seguente tabella:</w:t>
      </w:r>
    </w:p>
    <w:p w:rsidR="00F42FB8" w:rsidRPr="007B74B7" w:rsidRDefault="00F42FB8" w:rsidP="00CA3658">
      <w:pPr>
        <w:pStyle w:val="AppendixBodyText"/>
        <w:spacing w:after="0"/>
        <w:rPr>
          <w:lang w:val="it-IT"/>
        </w:rPr>
      </w:pPr>
    </w:p>
    <w:p w:rsidR="00023FE7" w:rsidRPr="007B74B7" w:rsidRDefault="00023FE7" w:rsidP="00CA3658">
      <w:pPr>
        <w:pStyle w:val="AppendixBodyText"/>
        <w:spacing w:after="0"/>
        <w:rPr>
          <w:lang w:val="it-IT"/>
        </w:rPr>
      </w:pPr>
    </w:p>
    <w:tbl>
      <w:tblPr>
        <w:tblW w:w="9540" w:type="dxa"/>
        <w:tblInd w:w="108" w:type="dxa"/>
        <w:tblLayout w:type="fixed"/>
        <w:tblCellMar>
          <w:left w:w="0" w:type="dxa"/>
          <w:right w:w="0" w:type="dxa"/>
        </w:tblCellMar>
        <w:tblLook w:val="0000" w:firstRow="0" w:lastRow="0" w:firstColumn="0" w:lastColumn="0" w:noHBand="0" w:noVBand="0"/>
      </w:tblPr>
      <w:tblGrid>
        <w:gridCol w:w="1350"/>
        <w:gridCol w:w="2502"/>
        <w:gridCol w:w="2808"/>
        <w:gridCol w:w="2880"/>
      </w:tblGrid>
      <w:tr w:rsidR="00023FE7" w:rsidRPr="00BD7CEA" w:rsidTr="00BE1A9B">
        <w:trPr>
          <w:trHeight w:val="477"/>
          <w:tblHeader/>
        </w:trPr>
        <w:tc>
          <w:tcPr>
            <w:tcW w:w="135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BD7CEA" w:rsidRDefault="00023FE7">
            <w:pPr>
              <w:pStyle w:val="AppendixBodyText"/>
              <w:spacing w:after="0"/>
              <w:jc w:val="center"/>
              <w:rPr>
                <w:rFonts w:ascii="Tahoma" w:hAnsi="Tahoma" w:cs="Tahoma"/>
                <w:b/>
                <w:bCs/>
              </w:rPr>
            </w:pPr>
            <w:r w:rsidRPr="00BD7CEA">
              <w:rPr>
                <w:rFonts w:ascii="Tahoma" w:hAnsi="Tahoma" w:cs="Tahoma"/>
                <w:b/>
                <w:bCs/>
              </w:rPr>
              <w:t>Severity</w:t>
            </w:r>
          </w:p>
        </w:tc>
        <w:tc>
          <w:tcPr>
            <w:tcW w:w="2502"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BD7CEA" w:rsidRDefault="00023FE7">
            <w:pPr>
              <w:pStyle w:val="AppendixBodyText"/>
              <w:spacing w:after="0"/>
              <w:jc w:val="center"/>
              <w:rPr>
                <w:rFonts w:ascii="Tahoma" w:hAnsi="Tahoma" w:cs="Tahoma"/>
                <w:b/>
                <w:bCs/>
              </w:rPr>
            </w:pPr>
            <w:r w:rsidRPr="00BD7CEA">
              <w:rPr>
                <w:rFonts w:ascii="Tahoma" w:hAnsi="Tahoma" w:cs="Tahoma"/>
                <w:b/>
                <w:bCs/>
              </w:rPr>
              <w:t>Situazione</w:t>
            </w:r>
          </w:p>
        </w:tc>
        <w:tc>
          <w:tcPr>
            <w:tcW w:w="280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BD7CEA" w:rsidRDefault="00023FE7">
            <w:pPr>
              <w:pStyle w:val="AppendixBodyText"/>
              <w:spacing w:after="0"/>
              <w:jc w:val="center"/>
              <w:rPr>
                <w:rFonts w:ascii="Tahoma" w:hAnsi="Tahoma" w:cs="Tahoma"/>
                <w:b/>
                <w:bCs/>
              </w:rPr>
            </w:pPr>
            <w:r w:rsidRPr="00BD7CEA">
              <w:rPr>
                <w:rFonts w:ascii="Tahoma" w:hAnsi="Tahoma" w:cs="Tahoma"/>
                <w:b/>
                <w:bCs/>
              </w:rPr>
              <w:t>Risposta Microsoft Prevista</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BD7CEA" w:rsidRDefault="00023FE7">
            <w:pPr>
              <w:pStyle w:val="AppendixBodyText"/>
              <w:spacing w:after="0"/>
              <w:jc w:val="center"/>
              <w:rPr>
                <w:rFonts w:ascii="Tahoma" w:hAnsi="Tahoma" w:cs="Tahoma"/>
                <w:b/>
                <w:bCs/>
              </w:rPr>
            </w:pPr>
            <w:r w:rsidRPr="00BD7CEA">
              <w:rPr>
                <w:rFonts w:ascii="Tahoma" w:hAnsi="Tahoma" w:cs="Tahoma"/>
                <w:b/>
                <w:bCs/>
              </w:rPr>
              <w:t>Risposta della Società Prevista</w:t>
            </w:r>
          </w:p>
        </w:tc>
      </w:tr>
      <w:tr w:rsidR="00023FE7" w:rsidRPr="00BD7CEA" w:rsidTr="00BE1A9B">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BD7CEA" w:rsidRDefault="00023FE7">
            <w:pPr>
              <w:pStyle w:val="AppendixBodyText"/>
              <w:rPr>
                <w:rFonts w:ascii="Tahoma" w:hAnsi="Tahoma" w:cs="Tahoma"/>
                <w:sz w:val="18"/>
                <w:szCs w:val="18"/>
              </w:rPr>
            </w:pPr>
            <w:r w:rsidRPr="00BD7CEA">
              <w:rPr>
                <w:rFonts w:ascii="Tahoma" w:hAnsi="Tahoma" w:cs="Tahoma"/>
                <w:sz w:val="18"/>
                <w:szCs w:val="18"/>
              </w:rPr>
              <w:t xml:space="preserve">A Formulazione telefonica </w:t>
            </w:r>
          </w:p>
        </w:tc>
        <w:tc>
          <w:tcPr>
            <w:tcW w:w="2502" w:type="dxa"/>
            <w:tcBorders>
              <w:top w:val="nil"/>
              <w:left w:val="nil"/>
              <w:bottom w:val="single" w:sz="8" w:space="0" w:color="auto"/>
              <w:right w:val="single" w:sz="8" w:space="0" w:color="auto"/>
            </w:tcBorders>
            <w:tcMar>
              <w:top w:w="0" w:type="dxa"/>
              <w:left w:w="108" w:type="dxa"/>
              <w:bottom w:w="0" w:type="dxa"/>
              <w:right w:w="108" w:type="dxa"/>
            </w:tcMar>
          </w:tcPr>
          <w:p w:rsidR="00023FE7" w:rsidRPr="00BD7CEA" w:rsidRDefault="00023FE7" w:rsidP="0027028A">
            <w:pPr>
              <w:pStyle w:val="AppendixBodyText"/>
              <w:numPr>
                <w:ilvl w:val="0"/>
                <w:numId w:val="2"/>
              </w:numPr>
              <w:tabs>
                <w:tab w:val="clear" w:pos="1440"/>
                <w:tab w:val="num" w:pos="612"/>
              </w:tabs>
              <w:ind w:left="612"/>
            </w:pPr>
            <w:r w:rsidRPr="00BD7CEA">
              <w:rPr>
                <w:rFonts w:ascii="Tahoma" w:hAnsi="Tahoma" w:cs="Tahoma"/>
                <w:sz w:val="18"/>
                <w:szCs w:val="18"/>
              </w:rPr>
              <w:t xml:space="preserve">Impatto commerciale critico </w:t>
            </w:r>
          </w:p>
          <w:p w:rsidR="00023FE7" w:rsidRPr="007B74B7" w:rsidRDefault="00023FE7" w:rsidP="0027028A">
            <w:pPr>
              <w:pStyle w:val="AppendixBodyText"/>
              <w:numPr>
                <w:ilvl w:val="0"/>
                <w:numId w:val="2"/>
              </w:numPr>
              <w:tabs>
                <w:tab w:val="clear" w:pos="1440"/>
                <w:tab w:val="num" w:pos="612"/>
              </w:tabs>
              <w:ind w:left="612"/>
              <w:rPr>
                <w:rFonts w:ascii="Tahoma" w:hAnsi="Tahoma" w:cs="Tahoma"/>
                <w:sz w:val="18"/>
                <w:szCs w:val="18"/>
                <w:lang w:val="it-IT"/>
              </w:rPr>
            </w:pPr>
            <w:r w:rsidRPr="007B74B7">
              <w:rPr>
                <w:rFonts w:ascii="Tahoma" w:hAnsi="Tahoma" w:cs="Tahoma"/>
                <w:sz w:val="18"/>
                <w:szCs w:val="18"/>
                <w:lang w:val="it-IT"/>
              </w:rPr>
              <w:t>Perdita o degradazione significativa dei servizi della società</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7B74B7" w:rsidRDefault="00023FE7" w:rsidP="0027028A">
            <w:pPr>
              <w:pStyle w:val="AppendixBodyText"/>
              <w:numPr>
                <w:ilvl w:val="0"/>
                <w:numId w:val="2"/>
              </w:numPr>
              <w:tabs>
                <w:tab w:val="clear" w:pos="1440"/>
                <w:tab w:val="num" w:pos="522"/>
              </w:tabs>
              <w:ind w:left="522"/>
              <w:rPr>
                <w:lang w:val="it-IT"/>
              </w:rPr>
            </w:pPr>
            <w:r w:rsidRPr="007B74B7">
              <w:rPr>
                <w:rFonts w:ascii="Tahoma" w:hAnsi="Tahoma" w:cs="Tahoma"/>
                <w:sz w:val="18"/>
                <w:szCs w:val="18"/>
                <w:lang w:val="it-IT"/>
              </w:rPr>
              <w:t xml:space="preserve"> Risposta alla prima chiamata entro 2 ore lavorative, in base all</w:t>
            </w:r>
            <w:r w:rsidR="007A1415" w:rsidRPr="007B74B7">
              <w:rPr>
                <w:rFonts w:ascii="Tahoma" w:hAnsi="Tahoma" w:cs="Tahoma"/>
                <w:sz w:val="18"/>
                <w:szCs w:val="18"/>
                <w:lang w:val="it-IT"/>
              </w:rPr>
              <w:t>’</w:t>
            </w:r>
            <w:r w:rsidRPr="007B74B7">
              <w:rPr>
                <w:rFonts w:ascii="Tahoma" w:hAnsi="Tahoma" w:cs="Tahoma"/>
                <w:sz w:val="18"/>
                <w:szCs w:val="18"/>
                <w:lang w:val="it-IT"/>
              </w:rPr>
              <w:t>offerta di supporto</w:t>
            </w:r>
          </w:p>
          <w:p w:rsidR="00023FE7" w:rsidRPr="007B74B7" w:rsidRDefault="00023FE7" w:rsidP="0027028A">
            <w:pPr>
              <w:pStyle w:val="AppendixBodyText"/>
              <w:numPr>
                <w:ilvl w:val="0"/>
                <w:numId w:val="2"/>
              </w:numPr>
              <w:tabs>
                <w:tab w:val="clear" w:pos="1440"/>
                <w:tab w:val="num" w:pos="522"/>
              </w:tabs>
              <w:ind w:left="522"/>
              <w:rPr>
                <w:lang w:val="it-IT"/>
              </w:rPr>
            </w:pPr>
            <w:r w:rsidRPr="007B74B7">
              <w:rPr>
                <w:rFonts w:ascii="Tahoma" w:hAnsi="Tahoma" w:cs="Tahoma"/>
                <w:sz w:val="18"/>
                <w:szCs w:val="18"/>
                <w:lang w:val="it-IT"/>
              </w:rPr>
              <w:t>Risorse Microsoft presso la sede della società, come richiesto.</w:t>
            </w:r>
          </w:p>
          <w:p w:rsidR="00023FE7" w:rsidRPr="00BD7CEA" w:rsidRDefault="00023FE7" w:rsidP="0027028A">
            <w:pPr>
              <w:pStyle w:val="AppendixBodyText"/>
              <w:numPr>
                <w:ilvl w:val="0"/>
                <w:numId w:val="2"/>
              </w:numPr>
              <w:tabs>
                <w:tab w:val="clear" w:pos="1440"/>
                <w:tab w:val="num" w:pos="522"/>
              </w:tabs>
              <w:ind w:left="522"/>
            </w:pPr>
            <w:r w:rsidRPr="00BD7CEA">
              <w:rPr>
                <w:rFonts w:ascii="Tahoma" w:hAnsi="Tahoma" w:cs="Tahoma"/>
                <w:sz w:val="18"/>
                <w:szCs w:val="18"/>
              </w:rPr>
              <w:t>Impegno continuo 24x7</w:t>
            </w:r>
          </w:p>
          <w:p w:rsidR="00023FE7" w:rsidRPr="007B74B7" w:rsidRDefault="00023FE7" w:rsidP="0027028A">
            <w:pPr>
              <w:pStyle w:val="AppendixBodyText"/>
              <w:numPr>
                <w:ilvl w:val="0"/>
                <w:numId w:val="2"/>
              </w:numPr>
              <w:tabs>
                <w:tab w:val="clear" w:pos="1440"/>
                <w:tab w:val="num" w:pos="522"/>
              </w:tabs>
              <w:ind w:left="522"/>
              <w:rPr>
                <w:rFonts w:ascii="Tahoma" w:hAnsi="Tahoma" w:cs="Tahoma"/>
                <w:sz w:val="18"/>
                <w:szCs w:val="18"/>
                <w:lang w:val="it-IT"/>
              </w:rPr>
            </w:pPr>
            <w:r w:rsidRPr="007B74B7">
              <w:rPr>
                <w:rFonts w:ascii="Tahoma" w:hAnsi="Tahoma" w:cs="Tahoma"/>
                <w:sz w:val="18"/>
                <w:szCs w:val="18"/>
                <w:lang w:val="it-IT"/>
              </w:rPr>
              <w:t>Comunicazione del Senior Management di Microsoft, in base all</w:t>
            </w:r>
            <w:r w:rsidR="007A1415" w:rsidRPr="007B74B7">
              <w:rPr>
                <w:rFonts w:ascii="Tahoma" w:hAnsi="Tahoma" w:cs="Tahoma"/>
                <w:sz w:val="18"/>
                <w:szCs w:val="18"/>
                <w:lang w:val="it-IT"/>
              </w:rPr>
              <w:t>’</w:t>
            </w:r>
            <w:r w:rsidRPr="007B74B7">
              <w:rPr>
                <w:rFonts w:ascii="Tahoma" w:hAnsi="Tahoma" w:cs="Tahoma"/>
                <w:sz w:val="18"/>
                <w:szCs w:val="18"/>
                <w:lang w:val="it-IT"/>
              </w:rPr>
              <w:t>offerta di supporto</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7B74B7" w:rsidRDefault="00023FE7" w:rsidP="0027028A">
            <w:pPr>
              <w:pStyle w:val="AppendixBodyText"/>
              <w:numPr>
                <w:ilvl w:val="0"/>
                <w:numId w:val="2"/>
              </w:numPr>
              <w:tabs>
                <w:tab w:val="clear" w:pos="1440"/>
              </w:tabs>
              <w:ind w:left="432"/>
              <w:rPr>
                <w:lang w:val="it-IT"/>
              </w:rPr>
            </w:pPr>
            <w:r w:rsidRPr="007B74B7">
              <w:rPr>
                <w:rFonts w:ascii="Tahoma" w:hAnsi="Tahoma" w:cs="Tahoma"/>
                <w:sz w:val="18"/>
                <w:szCs w:val="18"/>
                <w:lang w:val="it-IT"/>
              </w:rPr>
              <w:t>Allocazione delle risorse appropriate per sostenere l</w:t>
            </w:r>
            <w:r w:rsidR="007A1415" w:rsidRPr="007B74B7">
              <w:rPr>
                <w:rFonts w:ascii="Tahoma" w:hAnsi="Tahoma" w:cs="Tahoma"/>
                <w:sz w:val="18"/>
                <w:szCs w:val="18"/>
                <w:lang w:val="it-IT"/>
              </w:rPr>
              <w:t>’</w:t>
            </w:r>
            <w:r w:rsidRPr="007B74B7">
              <w:rPr>
                <w:rFonts w:ascii="Tahoma" w:hAnsi="Tahoma" w:cs="Tahoma"/>
                <w:sz w:val="18"/>
                <w:szCs w:val="18"/>
                <w:lang w:val="it-IT"/>
              </w:rPr>
              <w:t>impegno continuo 24x7</w:t>
            </w:r>
            <w:r w:rsidRPr="007B74B7">
              <w:rPr>
                <w:rFonts w:ascii="Tahoma" w:hAnsi="Tahoma" w:cs="Tahoma"/>
                <w:sz w:val="18"/>
                <w:szCs w:val="18"/>
                <w:vertAlign w:val="superscript"/>
                <w:lang w:val="it-IT"/>
              </w:rPr>
              <w:t>2</w:t>
            </w:r>
          </w:p>
          <w:p w:rsidR="00023FE7" w:rsidRPr="007B74B7" w:rsidRDefault="00023FE7" w:rsidP="0027028A">
            <w:pPr>
              <w:pStyle w:val="AppendixBodyText"/>
              <w:numPr>
                <w:ilvl w:val="0"/>
                <w:numId w:val="2"/>
              </w:numPr>
              <w:tabs>
                <w:tab w:val="clear" w:pos="1440"/>
              </w:tabs>
              <w:ind w:left="432"/>
              <w:rPr>
                <w:lang w:val="it-IT"/>
              </w:rPr>
            </w:pPr>
            <w:r w:rsidRPr="007B74B7">
              <w:rPr>
                <w:rFonts w:ascii="Tahoma" w:hAnsi="Tahoma" w:cs="Tahoma"/>
                <w:sz w:val="18"/>
                <w:szCs w:val="18"/>
                <w:lang w:val="it-IT"/>
              </w:rPr>
              <w:t>Accesso e risposte rapide dall</w:t>
            </w:r>
            <w:r w:rsidR="007A1415" w:rsidRPr="007B74B7">
              <w:rPr>
                <w:rFonts w:ascii="Tahoma" w:hAnsi="Tahoma" w:cs="Tahoma"/>
                <w:sz w:val="18"/>
                <w:szCs w:val="18"/>
                <w:lang w:val="it-IT"/>
              </w:rPr>
              <w:t>’</w:t>
            </w:r>
            <w:r w:rsidRPr="007B74B7">
              <w:rPr>
                <w:rFonts w:ascii="Tahoma" w:hAnsi="Tahoma" w:cs="Tahoma"/>
                <w:sz w:val="18"/>
                <w:szCs w:val="18"/>
                <w:lang w:val="it-IT"/>
              </w:rPr>
              <w:t>autorità di controllo delle modifiche</w:t>
            </w:r>
          </w:p>
          <w:p w:rsidR="00023FE7" w:rsidRPr="00BD7CEA" w:rsidRDefault="00023FE7" w:rsidP="0027028A">
            <w:pPr>
              <w:pStyle w:val="AppendixBodyText"/>
              <w:numPr>
                <w:ilvl w:val="0"/>
                <w:numId w:val="2"/>
              </w:numPr>
              <w:tabs>
                <w:tab w:val="clear" w:pos="1440"/>
              </w:tabs>
              <w:ind w:left="432"/>
              <w:rPr>
                <w:rFonts w:ascii="Tahoma" w:hAnsi="Tahoma" w:cs="Tahoma"/>
                <w:sz w:val="18"/>
                <w:szCs w:val="18"/>
              </w:rPr>
            </w:pPr>
            <w:r w:rsidRPr="00BD7CEA">
              <w:rPr>
                <w:rFonts w:ascii="Tahoma" w:hAnsi="Tahoma" w:cs="Tahoma"/>
                <w:sz w:val="18"/>
                <w:szCs w:val="18"/>
              </w:rPr>
              <w:t>Comunicazione della direzione</w:t>
            </w:r>
          </w:p>
        </w:tc>
      </w:tr>
      <w:tr w:rsidR="00023FE7" w:rsidRPr="007B74B7" w:rsidTr="00BE1A9B">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BD7CEA" w:rsidRDefault="00023FE7">
            <w:pPr>
              <w:pStyle w:val="AppendixBodyText"/>
              <w:rPr>
                <w:rFonts w:ascii="Tahoma" w:hAnsi="Tahoma" w:cs="Tahoma"/>
                <w:sz w:val="18"/>
                <w:szCs w:val="18"/>
              </w:rPr>
            </w:pPr>
            <w:r w:rsidRPr="00BD7CEA">
              <w:rPr>
                <w:rFonts w:ascii="Tahoma" w:hAnsi="Tahoma" w:cs="Tahoma"/>
                <w:sz w:val="18"/>
                <w:szCs w:val="18"/>
              </w:rPr>
              <w:t xml:space="preserve">B Formulazione telefonica </w:t>
            </w:r>
          </w:p>
        </w:tc>
        <w:tc>
          <w:tcPr>
            <w:tcW w:w="2502" w:type="dxa"/>
            <w:tcBorders>
              <w:top w:val="nil"/>
              <w:left w:val="nil"/>
              <w:bottom w:val="single" w:sz="8" w:space="0" w:color="auto"/>
              <w:right w:val="single" w:sz="8" w:space="0" w:color="auto"/>
            </w:tcBorders>
            <w:tcMar>
              <w:top w:w="0" w:type="dxa"/>
              <w:left w:w="108" w:type="dxa"/>
              <w:bottom w:w="0" w:type="dxa"/>
              <w:right w:w="108" w:type="dxa"/>
            </w:tcMar>
          </w:tcPr>
          <w:p w:rsidR="00023FE7" w:rsidRPr="00BD7CEA" w:rsidRDefault="00023FE7" w:rsidP="0027028A">
            <w:pPr>
              <w:pStyle w:val="AppendixBodyText"/>
              <w:numPr>
                <w:ilvl w:val="0"/>
                <w:numId w:val="2"/>
              </w:numPr>
              <w:tabs>
                <w:tab w:val="clear" w:pos="1440"/>
                <w:tab w:val="num" w:pos="612"/>
              </w:tabs>
              <w:ind w:left="612"/>
            </w:pPr>
            <w:r w:rsidRPr="00BD7CEA">
              <w:rPr>
                <w:rFonts w:ascii="Tahoma" w:hAnsi="Tahoma" w:cs="Tahoma"/>
                <w:sz w:val="18"/>
                <w:szCs w:val="18"/>
              </w:rPr>
              <w:t xml:space="preserve">Impatto commerciale moderato: </w:t>
            </w:r>
          </w:p>
          <w:p w:rsidR="00023FE7" w:rsidRPr="007B74B7" w:rsidRDefault="00023FE7" w:rsidP="00BE1A9B">
            <w:pPr>
              <w:pStyle w:val="AppendixBodyText"/>
              <w:numPr>
                <w:ilvl w:val="0"/>
                <w:numId w:val="2"/>
              </w:numPr>
              <w:tabs>
                <w:tab w:val="clear" w:pos="1440"/>
                <w:tab w:val="num" w:pos="612"/>
              </w:tabs>
              <w:ind w:left="612"/>
              <w:rPr>
                <w:rFonts w:ascii="Tahoma" w:hAnsi="Tahoma" w:cs="Tahoma"/>
                <w:sz w:val="18"/>
                <w:szCs w:val="18"/>
                <w:lang w:val="it-IT"/>
              </w:rPr>
            </w:pPr>
            <w:r w:rsidRPr="007B74B7">
              <w:rPr>
                <w:rFonts w:ascii="Tahoma" w:hAnsi="Tahoma" w:cs="Tahoma"/>
                <w:sz w:val="18"/>
                <w:szCs w:val="18"/>
                <w:lang w:val="it-IT"/>
              </w:rPr>
              <w:t>Perdita o degradazione moderata dei servizi della società e</w:t>
            </w:r>
            <w:r w:rsidR="00BE1A9B" w:rsidRPr="007B74B7">
              <w:rPr>
                <w:rFonts w:ascii="Tahoma" w:hAnsi="Tahoma" w:cs="Tahoma"/>
                <w:sz w:val="18"/>
                <w:szCs w:val="18"/>
                <w:lang w:val="it-IT"/>
              </w:rPr>
              <w:t> </w:t>
            </w:r>
            <w:r w:rsidRPr="007B74B7">
              <w:rPr>
                <w:rFonts w:ascii="Tahoma" w:hAnsi="Tahoma" w:cs="Tahoma"/>
                <w:sz w:val="18"/>
                <w:szCs w:val="18"/>
                <w:lang w:val="it-IT"/>
              </w:rPr>
              <w:t>possibilità di continuare il lavoro in modo meno efficiente.</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7B74B7" w:rsidRDefault="00023FE7" w:rsidP="0027028A">
            <w:pPr>
              <w:pStyle w:val="AppendixBodyText"/>
              <w:numPr>
                <w:ilvl w:val="0"/>
                <w:numId w:val="2"/>
              </w:numPr>
              <w:tabs>
                <w:tab w:val="num" w:pos="522"/>
              </w:tabs>
              <w:ind w:left="522"/>
              <w:rPr>
                <w:lang w:val="it-IT"/>
              </w:rPr>
            </w:pPr>
            <w:r w:rsidRPr="007B74B7">
              <w:rPr>
                <w:rFonts w:ascii="Tahoma" w:hAnsi="Tahoma" w:cs="Tahoma"/>
                <w:sz w:val="18"/>
                <w:szCs w:val="18"/>
                <w:lang w:val="it-IT"/>
              </w:rPr>
              <w:t>Risposta alla prima chiamata entro 4 ore lavorative, in base all</w:t>
            </w:r>
            <w:r w:rsidR="007A1415" w:rsidRPr="007B74B7">
              <w:rPr>
                <w:rFonts w:ascii="Tahoma" w:hAnsi="Tahoma" w:cs="Tahoma"/>
                <w:sz w:val="18"/>
                <w:szCs w:val="18"/>
                <w:lang w:val="it-IT"/>
              </w:rPr>
              <w:t>’</w:t>
            </w:r>
            <w:r w:rsidRPr="007B74B7">
              <w:rPr>
                <w:rFonts w:ascii="Tahoma" w:hAnsi="Tahoma" w:cs="Tahoma"/>
                <w:sz w:val="18"/>
                <w:szCs w:val="18"/>
                <w:lang w:val="it-IT"/>
              </w:rPr>
              <w:t>offerta di supporto</w:t>
            </w:r>
          </w:p>
          <w:p w:rsidR="00023FE7" w:rsidRPr="007B74B7" w:rsidRDefault="00023FE7" w:rsidP="0027028A">
            <w:pPr>
              <w:pStyle w:val="AppendixBodyText"/>
              <w:numPr>
                <w:ilvl w:val="0"/>
                <w:numId w:val="2"/>
              </w:numPr>
              <w:tabs>
                <w:tab w:val="num" w:pos="522"/>
              </w:tabs>
              <w:ind w:left="522"/>
              <w:rPr>
                <w:lang w:val="it-IT"/>
              </w:rPr>
            </w:pPr>
            <w:r w:rsidRPr="007B74B7">
              <w:rPr>
                <w:rFonts w:ascii="Tahoma" w:hAnsi="Tahoma" w:cs="Tahoma"/>
                <w:sz w:val="18"/>
                <w:szCs w:val="18"/>
                <w:lang w:val="it-IT"/>
              </w:rPr>
              <w:t xml:space="preserve">Impegno solo durante le </w:t>
            </w:r>
            <w:r w:rsidRPr="007B74B7">
              <w:rPr>
                <w:rFonts w:ascii="Tahoma" w:hAnsi="Tahoma" w:cs="Tahoma"/>
                <w:bCs/>
                <w:sz w:val="18"/>
                <w:szCs w:val="18"/>
                <w:lang w:val="it-IT"/>
              </w:rPr>
              <w:t>Ore</w:t>
            </w:r>
            <w:r w:rsidRPr="007B74B7">
              <w:rPr>
                <w:rFonts w:ascii="Tahoma" w:hAnsi="Tahoma" w:cs="Tahoma"/>
                <w:sz w:val="18"/>
                <w:szCs w:val="18"/>
                <w:vertAlign w:val="superscript"/>
                <w:lang w:val="it-IT"/>
              </w:rPr>
              <w:t>1</w:t>
            </w:r>
            <w:r w:rsidRPr="007B74B7">
              <w:rPr>
                <w:rFonts w:ascii="Tahoma" w:hAnsi="Tahoma" w:cs="Tahoma"/>
                <w:bCs/>
                <w:sz w:val="18"/>
                <w:szCs w:val="18"/>
                <w:lang w:val="it-IT"/>
              </w:rPr>
              <w:t xml:space="preserve"> Lavorative</w:t>
            </w:r>
          </w:p>
          <w:p w:rsidR="00023FE7" w:rsidRPr="007B74B7" w:rsidRDefault="00023FE7">
            <w:pPr>
              <w:pStyle w:val="AppendixBodyText"/>
              <w:tabs>
                <w:tab w:val="num" w:pos="522"/>
              </w:tabs>
              <w:ind w:left="522" w:hanging="360"/>
              <w:rPr>
                <w:rFonts w:ascii="Tahoma" w:hAnsi="Tahoma" w:cs="Tahoma"/>
                <w:sz w:val="18"/>
                <w:szCs w:val="18"/>
                <w:lang w:val="it-IT"/>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7B74B7" w:rsidRDefault="00023FE7" w:rsidP="0027028A">
            <w:pPr>
              <w:pStyle w:val="AppendixBodyText"/>
              <w:numPr>
                <w:ilvl w:val="0"/>
                <w:numId w:val="2"/>
              </w:numPr>
              <w:tabs>
                <w:tab w:val="clear" w:pos="1440"/>
                <w:tab w:val="num" w:pos="432"/>
              </w:tabs>
              <w:ind w:left="432" w:hanging="270"/>
              <w:rPr>
                <w:lang w:val="it-IT"/>
              </w:rPr>
            </w:pPr>
            <w:r w:rsidRPr="007B74B7">
              <w:rPr>
                <w:rFonts w:ascii="Tahoma" w:hAnsi="Tahoma" w:cs="Tahoma"/>
                <w:sz w:val="18"/>
                <w:szCs w:val="18"/>
                <w:lang w:val="it-IT"/>
              </w:rPr>
              <w:t>Allocazione di risorse appropriate per sostenere l</w:t>
            </w:r>
            <w:r w:rsidR="007A1415" w:rsidRPr="007B74B7">
              <w:rPr>
                <w:rFonts w:ascii="Tahoma" w:hAnsi="Tahoma" w:cs="Tahoma"/>
                <w:sz w:val="18"/>
                <w:szCs w:val="18"/>
                <w:lang w:val="it-IT"/>
              </w:rPr>
              <w:t>’</w:t>
            </w:r>
            <w:r w:rsidRPr="007B74B7">
              <w:rPr>
                <w:rFonts w:ascii="Tahoma" w:hAnsi="Tahoma" w:cs="Tahoma"/>
                <w:sz w:val="18"/>
                <w:szCs w:val="18"/>
                <w:lang w:val="it-IT"/>
              </w:rPr>
              <w:t>impegno continuo durante le</w:t>
            </w:r>
            <w:r w:rsidRPr="007B74B7">
              <w:rPr>
                <w:rFonts w:ascii="Tahoma" w:hAnsi="Tahoma" w:cs="Tahoma"/>
                <w:sz w:val="18"/>
                <w:szCs w:val="18"/>
                <w:vertAlign w:val="superscript"/>
                <w:lang w:val="it-IT"/>
              </w:rPr>
              <w:t xml:space="preserve"> </w:t>
            </w:r>
            <w:r w:rsidRPr="007B74B7">
              <w:rPr>
                <w:rFonts w:ascii="Tahoma" w:hAnsi="Tahoma" w:cs="Tahoma"/>
                <w:sz w:val="18"/>
                <w:szCs w:val="18"/>
                <w:lang w:val="it-IT"/>
              </w:rPr>
              <w:t>Ore Lavorative</w:t>
            </w:r>
          </w:p>
          <w:p w:rsidR="00023FE7" w:rsidRPr="007B74B7" w:rsidRDefault="00023FE7" w:rsidP="0027028A">
            <w:pPr>
              <w:pStyle w:val="AppendixBodyText"/>
              <w:numPr>
                <w:ilvl w:val="0"/>
                <w:numId w:val="2"/>
              </w:numPr>
              <w:tabs>
                <w:tab w:val="clear" w:pos="1440"/>
                <w:tab w:val="num" w:pos="432"/>
              </w:tabs>
              <w:ind w:left="432" w:hanging="270"/>
              <w:rPr>
                <w:rFonts w:ascii="Tahoma" w:hAnsi="Tahoma" w:cs="Tahoma"/>
                <w:sz w:val="18"/>
                <w:szCs w:val="18"/>
                <w:lang w:val="it-IT"/>
              </w:rPr>
            </w:pPr>
            <w:r w:rsidRPr="007B74B7">
              <w:rPr>
                <w:rFonts w:ascii="Tahoma" w:hAnsi="Tahoma" w:cs="Tahoma"/>
                <w:sz w:val="18"/>
                <w:szCs w:val="18"/>
                <w:lang w:val="it-IT"/>
              </w:rPr>
              <w:t>Accesso e risposta dall</w:t>
            </w:r>
            <w:r w:rsidR="007A1415" w:rsidRPr="007B74B7">
              <w:rPr>
                <w:rFonts w:ascii="Tahoma" w:hAnsi="Tahoma" w:cs="Tahoma"/>
                <w:sz w:val="18"/>
                <w:szCs w:val="18"/>
                <w:lang w:val="it-IT"/>
              </w:rPr>
              <w:t>’</w:t>
            </w:r>
            <w:r w:rsidRPr="007B74B7">
              <w:rPr>
                <w:rFonts w:ascii="Tahoma" w:hAnsi="Tahoma" w:cs="Tahoma"/>
                <w:sz w:val="18"/>
                <w:szCs w:val="18"/>
                <w:lang w:val="it-IT"/>
              </w:rPr>
              <w:t>autorità preposta al controllo delle modifiche entro 4 Ore Lavorative</w:t>
            </w:r>
          </w:p>
        </w:tc>
      </w:tr>
      <w:tr w:rsidR="00023FE7" w:rsidRPr="00BD7CEA" w:rsidTr="00BE1A9B">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7B74B7" w:rsidRDefault="00023FE7" w:rsidP="00BE1A9B">
            <w:pPr>
              <w:pStyle w:val="AppendixBodyText"/>
              <w:rPr>
                <w:rFonts w:ascii="Tahoma" w:hAnsi="Tahoma" w:cs="Tahoma"/>
                <w:sz w:val="18"/>
                <w:szCs w:val="18"/>
                <w:lang w:val="it-IT"/>
              </w:rPr>
            </w:pPr>
            <w:r w:rsidRPr="007B74B7">
              <w:rPr>
                <w:rFonts w:ascii="Tahoma" w:hAnsi="Tahoma" w:cs="Tahoma"/>
                <w:sz w:val="18"/>
                <w:szCs w:val="18"/>
                <w:lang w:val="it-IT"/>
              </w:rPr>
              <w:t>C Formulazione telefonica o</w:t>
            </w:r>
            <w:r w:rsidR="00BE1A9B" w:rsidRPr="007B74B7">
              <w:rPr>
                <w:rFonts w:ascii="Tahoma" w:hAnsi="Tahoma" w:cs="Tahoma"/>
                <w:sz w:val="18"/>
                <w:szCs w:val="18"/>
                <w:lang w:val="it-IT"/>
              </w:rPr>
              <w:t> </w:t>
            </w:r>
            <w:r w:rsidRPr="007B74B7">
              <w:rPr>
                <w:rFonts w:ascii="Tahoma" w:hAnsi="Tahoma" w:cs="Tahoma"/>
                <w:sz w:val="18"/>
                <w:szCs w:val="18"/>
                <w:lang w:val="it-IT"/>
              </w:rPr>
              <w:t>invio tramite Web</w:t>
            </w:r>
          </w:p>
        </w:tc>
        <w:tc>
          <w:tcPr>
            <w:tcW w:w="2502" w:type="dxa"/>
            <w:tcBorders>
              <w:top w:val="nil"/>
              <w:left w:val="nil"/>
              <w:bottom w:val="single" w:sz="8" w:space="0" w:color="auto"/>
              <w:right w:val="single" w:sz="8" w:space="0" w:color="auto"/>
            </w:tcBorders>
            <w:tcMar>
              <w:top w:w="0" w:type="dxa"/>
              <w:left w:w="108" w:type="dxa"/>
              <w:bottom w:w="0" w:type="dxa"/>
              <w:right w:w="108" w:type="dxa"/>
            </w:tcMar>
          </w:tcPr>
          <w:p w:rsidR="00023FE7" w:rsidRPr="00BD7CEA" w:rsidRDefault="00023FE7" w:rsidP="0027028A">
            <w:pPr>
              <w:pStyle w:val="AppendixBodyText"/>
              <w:numPr>
                <w:ilvl w:val="0"/>
                <w:numId w:val="2"/>
              </w:numPr>
              <w:tabs>
                <w:tab w:val="clear" w:pos="1440"/>
                <w:tab w:val="num" w:pos="612"/>
              </w:tabs>
              <w:ind w:left="612"/>
            </w:pPr>
            <w:r w:rsidRPr="00BD7CEA">
              <w:rPr>
                <w:rFonts w:ascii="Tahoma" w:hAnsi="Tahoma" w:cs="Tahoma"/>
                <w:sz w:val="18"/>
                <w:szCs w:val="18"/>
              </w:rPr>
              <w:t xml:space="preserve">Impatto commerciale minimo </w:t>
            </w:r>
          </w:p>
          <w:p w:rsidR="00023FE7" w:rsidRPr="007B74B7" w:rsidRDefault="00023FE7" w:rsidP="0027028A">
            <w:pPr>
              <w:pStyle w:val="AppendixBodyText"/>
              <w:numPr>
                <w:ilvl w:val="0"/>
                <w:numId w:val="2"/>
              </w:numPr>
              <w:tabs>
                <w:tab w:val="clear" w:pos="1440"/>
                <w:tab w:val="num" w:pos="612"/>
              </w:tabs>
              <w:ind w:left="612"/>
              <w:rPr>
                <w:rFonts w:ascii="Tahoma" w:hAnsi="Tahoma" w:cs="Tahoma"/>
                <w:sz w:val="18"/>
                <w:szCs w:val="18"/>
                <w:lang w:val="it-IT"/>
              </w:rPr>
            </w:pPr>
            <w:r w:rsidRPr="007B74B7">
              <w:rPr>
                <w:rFonts w:ascii="Tahoma" w:hAnsi="Tahoma" w:cs="Tahoma"/>
                <w:sz w:val="18"/>
                <w:szCs w:val="18"/>
                <w:lang w:val="it-IT"/>
              </w:rPr>
              <w:t>Funzionamento della società sostanzialmente nella norma, in alcuni casi con qualche minimo impedimento dei servizi.</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7B74B7" w:rsidRDefault="00023FE7" w:rsidP="0027028A">
            <w:pPr>
              <w:pStyle w:val="AppendixBodyText"/>
              <w:numPr>
                <w:ilvl w:val="0"/>
                <w:numId w:val="2"/>
              </w:numPr>
              <w:tabs>
                <w:tab w:val="num" w:pos="522"/>
              </w:tabs>
              <w:ind w:left="522"/>
              <w:rPr>
                <w:lang w:val="it-IT"/>
              </w:rPr>
            </w:pPr>
            <w:r w:rsidRPr="007B74B7">
              <w:rPr>
                <w:rFonts w:ascii="Tahoma" w:hAnsi="Tahoma" w:cs="Tahoma"/>
                <w:sz w:val="18"/>
                <w:szCs w:val="18"/>
                <w:lang w:val="it-IT"/>
              </w:rPr>
              <w:t>Risposta alla prima chiamata entro 1 giorno lavorativo, in base all</w:t>
            </w:r>
            <w:r w:rsidR="007A1415" w:rsidRPr="007B74B7">
              <w:rPr>
                <w:rFonts w:ascii="Tahoma" w:hAnsi="Tahoma" w:cs="Tahoma"/>
                <w:sz w:val="18"/>
                <w:szCs w:val="18"/>
                <w:lang w:val="it-IT"/>
              </w:rPr>
              <w:t>’</w:t>
            </w:r>
            <w:r w:rsidRPr="007B74B7">
              <w:rPr>
                <w:rFonts w:ascii="Tahoma" w:hAnsi="Tahoma" w:cs="Tahoma"/>
                <w:sz w:val="18"/>
                <w:szCs w:val="18"/>
                <w:lang w:val="it-IT"/>
              </w:rPr>
              <w:t>offerta di supporto</w:t>
            </w:r>
          </w:p>
          <w:p w:rsidR="00023FE7" w:rsidRPr="007B74B7" w:rsidRDefault="00023FE7" w:rsidP="0027028A">
            <w:pPr>
              <w:pStyle w:val="AppendixBodyText"/>
              <w:numPr>
                <w:ilvl w:val="0"/>
                <w:numId w:val="2"/>
              </w:numPr>
              <w:tabs>
                <w:tab w:val="num" w:pos="522"/>
              </w:tabs>
              <w:ind w:left="522"/>
              <w:rPr>
                <w:lang w:val="it-IT"/>
              </w:rPr>
            </w:pPr>
            <w:r w:rsidRPr="007B74B7">
              <w:rPr>
                <w:rFonts w:ascii="Tahoma" w:hAnsi="Tahoma" w:cs="Tahoma"/>
                <w:sz w:val="18"/>
                <w:szCs w:val="18"/>
                <w:lang w:val="it-IT"/>
              </w:rPr>
              <w:t xml:space="preserve">Impegno solo durante le </w:t>
            </w:r>
            <w:r w:rsidRPr="007B74B7">
              <w:rPr>
                <w:rFonts w:ascii="Tahoma" w:hAnsi="Tahoma" w:cs="Tahoma"/>
                <w:bCs/>
                <w:sz w:val="18"/>
                <w:szCs w:val="18"/>
                <w:lang w:val="it-IT"/>
              </w:rPr>
              <w:t>Ore Lavorative</w:t>
            </w:r>
          </w:p>
          <w:p w:rsidR="00023FE7" w:rsidRPr="007B74B7" w:rsidRDefault="00023FE7">
            <w:pPr>
              <w:pStyle w:val="AppendixBodyText"/>
              <w:tabs>
                <w:tab w:val="num" w:pos="522"/>
              </w:tabs>
              <w:ind w:left="522" w:hanging="360"/>
              <w:rPr>
                <w:rFonts w:ascii="Tahoma" w:hAnsi="Tahoma" w:cs="Tahoma"/>
                <w:sz w:val="18"/>
                <w:szCs w:val="18"/>
                <w:lang w:val="it-IT"/>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7B74B7" w:rsidRDefault="00023FE7" w:rsidP="0027028A">
            <w:pPr>
              <w:pStyle w:val="AppendixBodyText"/>
              <w:numPr>
                <w:ilvl w:val="0"/>
                <w:numId w:val="2"/>
              </w:numPr>
              <w:tabs>
                <w:tab w:val="clear" w:pos="1440"/>
                <w:tab w:val="num" w:pos="432"/>
              </w:tabs>
              <w:ind w:left="432"/>
              <w:rPr>
                <w:lang w:val="it-IT"/>
              </w:rPr>
            </w:pPr>
            <w:r w:rsidRPr="007B74B7">
              <w:rPr>
                <w:rFonts w:ascii="Tahoma" w:hAnsi="Tahoma" w:cs="Tahoma"/>
                <w:sz w:val="18"/>
                <w:szCs w:val="18"/>
                <w:lang w:val="it-IT"/>
              </w:rPr>
              <w:t>Informazioni accurate da parte di chi segue il caso</w:t>
            </w:r>
          </w:p>
          <w:p w:rsidR="00023FE7" w:rsidRPr="00BD7CEA" w:rsidRDefault="00023FE7" w:rsidP="0027028A">
            <w:pPr>
              <w:pStyle w:val="AppendixBodyText"/>
              <w:numPr>
                <w:ilvl w:val="0"/>
                <w:numId w:val="2"/>
              </w:numPr>
              <w:tabs>
                <w:tab w:val="clear" w:pos="1440"/>
                <w:tab w:val="num" w:pos="432"/>
              </w:tabs>
              <w:ind w:left="432"/>
              <w:rPr>
                <w:rFonts w:ascii="Tahoma" w:hAnsi="Tahoma" w:cs="Tahoma"/>
                <w:sz w:val="18"/>
                <w:szCs w:val="18"/>
              </w:rPr>
            </w:pPr>
            <w:r w:rsidRPr="00BD7CEA">
              <w:rPr>
                <w:rFonts w:ascii="Tahoma" w:hAnsi="Tahoma" w:cs="Tahoma"/>
                <w:sz w:val="18"/>
                <w:szCs w:val="18"/>
              </w:rPr>
              <w:t>Risposta entro 1 giorno lavorativo.</w:t>
            </w:r>
          </w:p>
        </w:tc>
      </w:tr>
    </w:tbl>
    <w:p w:rsidR="00023FE7" w:rsidRPr="007B74B7" w:rsidRDefault="00023FE7">
      <w:pPr>
        <w:pStyle w:val="AppendixBodyText"/>
        <w:ind w:left="90" w:right="2160"/>
        <w:rPr>
          <w:lang w:val="it-IT"/>
        </w:rPr>
      </w:pPr>
      <w:r w:rsidRPr="007B74B7">
        <w:rPr>
          <w:rFonts w:ascii="Tahoma" w:hAnsi="Tahoma" w:cs="Tahoma"/>
          <w:i/>
          <w:sz w:val="16"/>
          <w:szCs w:val="16"/>
          <w:vertAlign w:val="superscript"/>
          <w:lang w:val="it-IT"/>
        </w:rPr>
        <w:t>1</w:t>
      </w:r>
      <w:r w:rsidRPr="007B74B7">
        <w:rPr>
          <w:rFonts w:ascii="Tahoma" w:hAnsi="Tahoma" w:cs="Tahoma"/>
          <w:i/>
          <w:sz w:val="16"/>
          <w:szCs w:val="16"/>
          <w:lang w:val="it-IT"/>
        </w:rPr>
        <w:t xml:space="preserve"> Contattare il rappresentante Microsoft per informazioni sulle ore lavorative locali.</w:t>
      </w:r>
    </w:p>
    <w:p w:rsidR="00023FE7" w:rsidRPr="007B74B7" w:rsidRDefault="00023FE7">
      <w:pPr>
        <w:pStyle w:val="AppendixBodyText"/>
        <w:ind w:left="90" w:right="2160"/>
        <w:rPr>
          <w:lang w:val="it-IT"/>
        </w:rPr>
      </w:pPr>
      <w:r w:rsidRPr="007B74B7">
        <w:rPr>
          <w:rFonts w:ascii="Tahoma" w:hAnsi="Tahoma" w:cs="Tahoma"/>
          <w:i/>
          <w:sz w:val="16"/>
          <w:szCs w:val="16"/>
          <w:vertAlign w:val="superscript"/>
          <w:lang w:val="it-IT"/>
        </w:rPr>
        <w:t>2</w:t>
      </w:r>
      <w:r w:rsidRPr="007B74B7">
        <w:rPr>
          <w:rFonts w:ascii="Tahoma" w:hAnsi="Tahoma" w:cs="Tahoma"/>
          <w:i/>
          <w:sz w:val="16"/>
          <w:szCs w:val="16"/>
          <w:lang w:val="it-IT"/>
        </w:rPr>
        <w:t xml:space="preserve"> È possibile che Microsoft riduca il livello di gravità se la società non è in grado di fornire risorse o risposte adeguate a supporto dell</w:t>
      </w:r>
      <w:r w:rsidR="007A1415" w:rsidRPr="007B74B7">
        <w:rPr>
          <w:rFonts w:ascii="Tahoma" w:hAnsi="Tahoma" w:cs="Tahoma"/>
          <w:i/>
          <w:sz w:val="16"/>
          <w:szCs w:val="16"/>
          <w:lang w:val="it-IT"/>
        </w:rPr>
        <w:t>’</w:t>
      </w:r>
      <w:r w:rsidRPr="007B74B7">
        <w:rPr>
          <w:rFonts w:ascii="Tahoma" w:hAnsi="Tahoma" w:cs="Tahoma"/>
          <w:i/>
          <w:sz w:val="16"/>
          <w:szCs w:val="16"/>
          <w:lang w:val="it-IT"/>
        </w:rPr>
        <w:t>impegno di Microsoft volto a risolvere il problema.</w:t>
      </w:r>
    </w:p>
    <w:p w:rsidR="00023FE7" w:rsidRPr="007B74B7" w:rsidRDefault="00023FE7" w:rsidP="00F42FB8">
      <w:pPr>
        <w:pStyle w:val="AppendixBodyText"/>
        <w:spacing w:after="0"/>
        <w:ind w:right="2160"/>
        <w:rPr>
          <w:lang w:val="it-IT"/>
        </w:rPr>
      </w:pPr>
    </w:p>
    <w:p w:rsidR="00023FE7" w:rsidRPr="007B74B7" w:rsidRDefault="00023FE7" w:rsidP="00F42FB8">
      <w:pPr>
        <w:pStyle w:val="AppendixBodyText"/>
        <w:spacing w:after="0"/>
        <w:rPr>
          <w:lang w:val="it-IT"/>
        </w:rPr>
      </w:pPr>
      <w:r w:rsidRPr="007B74B7">
        <w:rPr>
          <w:rFonts w:ascii="Tahoma" w:hAnsi="Tahoma" w:cs="Tahoma"/>
          <w:bCs/>
          <w:sz w:val="18"/>
          <w:szCs w:val="18"/>
          <w:lang w:val="it-IT"/>
        </w:rPr>
        <w:t>È possibile che alle società sia chiesto di eseguire attività di individuazione e risoluzione dei problemi, in base a</w:t>
      </w:r>
      <w:r w:rsidR="00703F84" w:rsidRPr="007B74B7">
        <w:rPr>
          <w:rFonts w:ascii="Tahoma" w:hAnsi="Tahoma" w:cs="Tahoma"/>
          <w:bCs/>
          <w:sz w:val="18"/>
          <w:szCs w:val="18"/>
          <w:lang w:val="it-IT"/>
        </w:rPr>
        <w:t> </w:t>
      </w:r>
      <w:r w:rsidRPr="007B74B7">
        <w:rPr>
          <w:rFonts w:ascii="Tahoma" w:hAnsi="Tahoma" w:cs="Tahoma"/>
          <w:bCs/>
          <w:sz w:val="18"/>
          <w:szCs w:val="18"/>
          <w:lang w:val="it-IT"/>
        </w:rPr>
        <w:t>quanto richiesto da Microsoft. Le attività di individuazione e risoluzione dei problemi possono includere attività quali</w:t>
      </w:r>
      <w:r w:rsidR="00703F84" w:rsidRPr="007B74B7">
        <w:rPr>
          <w:rFonts w:ascii="Tahoma" w:hAnsi="Tahoma" w:cs="Tahoma"/>
          <w:bCs/>
          <w:sz w:val="18"/>
          <w:szCs w:val="18"/>
          <w:lang w:val="it-IT"/>
        </w:rPr>
        <w:t> </w:t>
      </w:r>
      <w:r w:rsidRPr="007B74B7">
        <w:rPr>
          <w:rFonts w:ascii="Tahoma" w:hAnsi="Tahoma" w:cs="Tahoma"/>
          <w:bCs/>
          <w:sz w:val="18"/>
          <w:szCs w:val="18"/>
          <w:lang w:val="it-IT"/>
        </w:rPr>
        <w:t>l</w:t>
      </w:r>
      <w:r w:rsidR="007A1415" w:rsidRPr="007B74B7">
        <w:rPr>
          <w:rFonts w:ascii="Tahoma" w:hAnsi="Tahoma" w:cs="Tahoma"/>
          <w:bCs/>
          <w:sz w:val="18"/>
          <w:szCs w:val="18"/>
          <w:lang w:val="it-IT"/>
        </w:rPr>
        <w:t>’</w:t>
      </w:r>
      <w:r w:rsidRPr="007B74B7">
        <w:rPr>
          <w:rFonts w:ascii="Tahoma" w:hAnsi="Tahoma" w:cs="Tahoma"/>
          <w:bCs/>
          <w:sz w:val="18"/>
          <w:szCs w:val="18"/>
          <w:lang w:val="it-IT"/>
        </w:rPr>
        <w:t>esecuzione di procedure di network trace, l</w:t>
      </w:r>
      <w:r w:rsidR="007A1415" w:rsidRPr="007B74B7">
        <w:rPr>
          <w:rFonts w:ascii="Tahoma" w:hAnsi="Tahoma" w:cs="Tahoma"/>
          <w:bCs/>
          <w:sz w:val="18"/>
          <w:szCs w:val="18"/>
          <w:lang w:val="it-IT"/>
        </w:rPr>
        <w:t>’</w:t>
      </w:r>
      <w:r w:rsidRPr="007B74B7">
        <w:rPr>
          <w:rFonts w:ascii="Tahoma" w:hAnsi="Tahoma" w:cs="Tahoma"/>
          <w:bCs/>
          <w:sz w:val="18"/>
          <w:szCs w:val="18"/>
          <w:lang w:val="it-IT"/>
        </w:rPr>
        <w:t>acquisizione di messaggi di errore, la raccolta di informazioni sulla configurazione, la modifica della configurazione dei prodotti, l</w:t>
      </w:r>
      <w:r w:rsidR="007A1415" w:rsidRPr="007B74B7">
        <w:rPr>
          <w:rFonts w:ascii="Tahoma" w:hAnsi="Tahoma" w:cs="Tahoma"/>
          <w:bCs/>
          <w:sz w:val="18"/>
          <w:szCs w:val="18"/>
          <w:lang w:val="it-IT"/>
        </w:rPr>
        <w:t>’</w:t>
      </w:r>
      <w:r w:rsidRPr="007B74B7">
        <w:rPr>
          <w:rFonts w:ascii="Tahoma" w:hAnsi="Tahoma" w:cs="Tahoma"/>
          <w:bCs/>
          <w:sz w:val="18"/>
          <w:szCs w:val="18"/>
          <w:lang w:val="it-IT"/>
        </w:rPr>
        <w:t xml:space="preserve">installazione di nuove versioni del software o nuovi componenti oppure la modifica dei processi. </w:t>
      </w:r>
    </w:p>
    <w:p w:rsidR="00077CE5" w:rsidRPr="007B74B7" w:rsidRDefault="00077CE5" w:rsidP="00F42FB8">
      <w:pPr>
        <w:pStyle w:val="AppendixBodyText"/>
        <w:spacing w:after="0"/>
        <w:rPr>
          <w:lang w:val="it-IT"/>
        </w:rPr>
      </w:pPr>
    </w:p>
    <w:p w:rsidR="00023FE7" w:rsidRPr="007B74B7" w:rsidRDefault="00023FE7" w:rsidP="00F42FB8">
      <w:pPr>
        <w:pStyle w:val="AppendixBodyText"/>
        <w:spacing w:after="0"/>
        <w:rPr>
          <w:lang w:val="it-IT"/>
        </w:rPr>
      </w:pPr>
      <w:r w:rsidRPr="007B74B7">
        <w:rPr>
          <w:rFonts w:ascii="Tahoma" w:hAnsi="Tahoma" w:cs="Tahoma"/>
          <w:bCs/>
          <w:sz w:val="18"/>
          <w:szCs w:val="18"/>
          <w:lang w:val="it-IT"/>
        </w:rPr>
        <w:t>Le società sono responsabili dell</w:t>
      </w:r>
      <w:r w:rsidR="007A1415" w:rsidRPr="007B74B7">
        <w:rPr>
          <w:rFonts w:ascii="Tahoma" w:hAnsi="Tahoma" w:cs="Tahoma"/>
          <w:bCs/>
          <w:sz w:val="18"/>
          <w:szCs w:val="18"/>
          <w:lang w:val="it-IT"/>
        </w:rPr>
        <w:t>’</w:t>
      </w:r>
      <w:r w:rsidRPr="007B74B7">
        <w:rPr>
          <w:rFonts w:ascii="Tahoma" w:hAnsi="Tahoma" w:cs="Tahoma"/>
          <w:bCs/>
          <w:sz w:val="18"/>
          <w:szCs w:val="18"/>
          <w:lang w:val="it-IT"/>
        </w:rPr>
        <w:t>implementazione delle procedure necessarie per salvaguardare l</w:t>
      </w:r>
      <w:r w:rsidR="007A1415" w:rsidRPr="007B74B7">
        <w:rPr>
          <w:rFonts w:ascii="Tahoma" w:hAnsi="Tahoma" w:cs="Tahoma"/>
          <w:bCs/>
          <w:sz w:val="18"/>
          <w:szCs w:val="18"/>
          <w:lang w:val="it-IT"/>
        </w:rPr>
        <w:t>’</w:t>
      </w:r>
      <w:r w:rsidRPr="007B74B7">
        <w:rPr>
          <w:rFonts w:ascii="Tahoma" w:hAnsi="Tahoma" w:cs="Tahoma"/>
          <w:bCs/>
          <w:sz w:val="18"/>
          <w:szCs w:val="18"/>
          <w:lang w:val="it-IT"/>
        </w:rPr>
        <w:t>integrità e la protezione del software e dei dati di loro proprietà da accessi non autorizzati, nonché del ripristino di file perduti o</w:t>
      </w:r>
      <w:r w:rsidR="00BE1A9B" w:rsidRPr="007B74B7">
        <w:rPr>
          <w:rFonts w:ascii="Tahoma" w:hAnsi="Tahoma" w:cs="Tahoma"/>
          <w:bCs/>
          <w:sz w:val="18"/>
          <w:szCs w:val="18"/>
          <w:lang w:val="it-IT"/>
        </w:rPr>
        <w:t> </w:t>
      </w:r>
      <w:r w:rsidRPr="007B74B7">
        <w:rPr>
          <w:rFonts w:ascii="Tahoma" w:hAnsi="Tahoma" w:cs="Tahoma"/>
          <w:bCs/>
          <w:sz w:val="18"/>
          <w:szCs w:val="18"/>
          <w:lang w:val="it-IT"/>
        </w:rPr>
        <w:t>alterati in seguito a errori irreversibili.</w:t>
      </w:r>
    </w:p>
    <w:p w:rsidR="00077CE5" w:rsidRPr="007B74B7" w:rsidRDefault="00077CE5" w:rsidP="00F42FB8">
      <w:pPr>
        <w:pStyle w:val="AppendixBodyText"/>
        <w:spacing w:after="0"/>
        <w:rPr>
          <w:lang w:val="it-IT"/>
        </w:rPr>
      </w:pPr>
    </w:p>
    <w:p w:rsidR="00023FE7" w:rsidRPr="007B74B7" w:rsidRDefault="00023FE7" w:rsidP="00F42FB8">
      <w:pPr>
        <w:pStyle w:val="AppendixBodyText"/>
        <w:spacing w:after="0"/>
        <w:rPr>
          <w:lang w:val="it-IT"/>
        </w:rPr>
      </w:pPr>
      <w:r w:rsidRPr="007B74B7">
        <w:rPr>
          <w:rFonts w:ascii="Tahoma" w:hAnsi="Tahoma" w:cs="Tahoma"/>
          <w:bCs/>
          <w:sz w:val="18"/>
          <w:szCs w:val="18"/>
          <w:lang w:val="it-IT"/>
        </w:rPr>
        <w:t>Questo beneficio di supporto è legato all</w:t>
      </w:r>
      <w:r w:rsidR="007A1415" w:rsidRPr="007B74B7">
        <w:rPr>
          <w:rFonts w:ascii="Tahoma" w:hAnsi="Tahoma" w:cs="Tahoma"/>
          <w:bCs/>
          <w:sz w:val="18"/>
          <w:szCs w:val="18"/>
          <w:lang w:val="it-IT"/>
        </w:rPr>
        <w:t>’</w:t>
      </w:r>
      <w:r w:rsidRPr="007B74B7">
        <w:rPr>
          <w:rFonts w:ascii="Tahoma" w:hAnsi="Tahoma" w:cs="Tahoma"/>
          <w:bCs/>
          <w:sz w:val="18"/>
          <w:szCs w:val="18"/>
          <w:lang w:val="it-IT"/>
        </w:rPr>
        <w:t>investimento SA, non alla versione. Le società possono acquistare la versione più recente per utilizzare una versione precedente con diritti di downgrade, ma sono idonee a beneficiare del supporto per tale prodotto soltanto se quest</w:t>
      </w:r>
      <w:r w:rsidR="007A1415" w:rsidRPr="007B74B7">
        <w:rPr>
          <w:rFonts w:ascii="Tahoma" w:hAnsi="Tahoma" w:cs="Tahoma"/>
          <w:bCs/>
          <w:sz w:val="18"/>
          <w:szCs w:val="18"/>
          <w:lang w:val="it-IT"/>
        </w:rPr>
        <w:t>’</w:t>
      </w:r>
      <w:r w:rsidRPr="007B74B7">
        <w:rPr>
          <w:rFonts w:ascii="Tahoma" w:hAnsi="Tahoma" w:cs="Tahoma"/>
          <w:bCs/>
          <w:sz w:val="18"/>
          <w:szCs w:val="18"/>
          <w:lang w:val="it-IT"/>
        </w:rPr>
        <w:t xml:space="preserve">ultimo rientra tra i prodotti supportati indicati nel sito Web per il ciclo </w:t>
      </w:r>
      <w:r w:rsidRPr="007B74B7">
        <w:rPr>
          <w:rFonts w:ascii="Tahoma" w:hAnsi="Tahoma" w:cs="Tahoma"/>
          <w:bCs/>
          <w:sz w:val="18"/>
          <w:szCs w:val="18"/>
          <w:lang w:val="it-IT"/>
        </w:rPr>
        <w:lastRenderedPageBreak/>
        <w:t>di vita dei prodotti Microsoft. L</w:t>
      </w:r>
      <w:r w:rsidR="007A1415" w:rsidRPr="007B74B7">
        <w:rPr>
          <w:rFonts w:ascii="Tahoma" w:hAnsi="Tahoma" w:cs="Tahoma"/>
          <w:bCs/>
          <w:sz w:val="18"/>
          <w:szCs w:val="18"/>
          <w:lang w:val="it-IT"/>
        </w:rPr>
        <w:t>’</w:t>
      </w:r>
      <w:r w:rsidRPr="007B74B7">
        <w:rPr>
          <w:rFonts w:ascii="Tahoma" w:hAnsi="Tahoma" w:cs="Tahoma"/>
          <w:bCs/>
          <w:sz w:val="18"/>
          <w:szCs w:val="18"/>
          <w:lang w:val="it-IT"/>
        </w:rPr>
        <w:t>attuale sito Web per il ciclo di vita dei prodotti Microsoft è consultabile all</w:t>
      </w:r>
      <w:r w:rsidR="007A1415" w:rsidRPr="007B74B7">
        <w:rPr>
          <w:rFonts w:ascii="Tahoma" w:hAnsi="Tahoma" w:cs="Tahoma"/>
          <w:bCs/>
          <w:sz w:val="18"/>
          <w:szCs w:val="18"/>
          <w:lang w:val="it-IT"/>
        </w:rPr>
        <w:t>’</w:t>
      </w:r>
      <w:r w:rsidRPr="007B74B7">
        <w:rPr>
          <w:rFonts w:ascii="Tahoma" w:hAnsi="Tahoma" w:cs="Tahoma"/>
          <w:bCs/>
          <w:sz w:val="18"/>
          <w:szCs w:val="18"/>
          <w:lang w:val="it-IT"/>
        </w:rPr>
        <w:t xml:space="preserve">indirizzo </w:t>
      </w:r>
      <w:hyperlink r:id="rId30" w:history="1">
        <w:r w:rsidRPr="007B74B7">
          <w:rPr>
            <w:rStyle w:val="Hyperlink"/>
            <w:rFonts w:ascii="Tahoma" w:hAnsi="Tahoma" w:cs="Tahoma"/>
            <w:bCs/>
            <w:sz w:val="18"/>
            <w:szCs w:val="18"/>
            <w:lang w:val="it-IT"/>
          </w:rPr>
          <w:t>http://support.microsoft.com/common/international.aspx?rdpath=dm;en-us;lifecycle</w:t>
        </w:r>
      </w:hyperlink>
      <w:r w:rsidRPr="007B74B7">
        <w:rPr>
          <w:rFonts w:ascii="Tahoma" w:hAnsi="Tahoma" w:cs="Tahoma"/>
          <w:bCs/>
          <w:sz w:val="18"/>
          <w:szCs w:val="18"/>
          <w:lang w:val="it-IT"/>
        </w:rPr>
        <w:t xml:space="preserve">. </w:t>
      </w:r>
    </w:p>
    <w:p w:rsidR="00023FE7" w:rsidRPr="007B74B7" w:rsidRDefault="00023FE7" w:rsidP="00F42FB8">
      <w:pPr>
        <w:pStyle w:val="AppendixBodyText"/>
        <w:spacing w:after="0"/>
        <w:rPr>
          <w:lang w:val="it-IT"/>
        </w:rPr>
      </w:pPr>
    </w:p>
    <w:p w:rsidR="00077CE5" w:rsidRPr="007B74B7" w:rsidRDefault="00AF539A" w:rsidP="00DA2788">
      <w:pPr>
        <w:pStyle w:val="AppendixBodyText"/>
        <w:rPr>
          <w:lang w:val="it-IT"/>
        </w:rPr>
      </w:pPr>
      <w:r w:rsidRPr="007B74B7">
        <w:rPr>
          <w:rFonts w:ascii="Tahoma" w:hAnsi="Tahoma" w:cs="Tahoma"/>
          <w:b/>
          <w:bCs/>
          <w:color w:val="000000"/>
          <w:sz w:val="18"/>
          <w:szCs w:val="18"/>
          <w:lang w:val="it-IT"/>
        </w:rPr>
        <w:t>Conversione degli Interventi di Supporto per la Risoluzione dei Problemi 24x7 Software Assurance in</w:t>
      </w:r>
      <w:r w:rsidR="00703F84" w:rsidRPr="007B74B7">
        <w:rPr>
          <w:rFonts w:ascii="Tahoma" w:hAnsi="Tahoma" w:cs="Tahoma"/>
          <w:b/>
          <w:bCs/>
          <w:color w:val="000000"/>
          <w:sz w:val="18"/>
          <w:szCs w:val="18"/>
          <w:lang w:val="it-IT"/>
        </w:rPr>
        <w:t> </w:t>
      </w:r>
      <w:r w:rsidRPr="007B74B7">
        <w:rPr>
          <w:rFonts w:ascii="Tahoma" w:hAnsi="Tahoma" w:cs="Tahoma"/>
          <w:b/>
          <w:bCs/>
          <w:color w:val="000000"/>
          <w:sz w:val="18"/>
          <w:szCs w:val="18"/>
          <w:lang w:val="it-IT"/>
        </w:rPr>
        <w:t>Servizi di Supporto Tecnico Microsoft Premier</w:t>
      </w:r>
    </w:p>
    <w:p w:rsidR="00077CE5" w:rsidRPr="007B74B7" w:rsidRDefault="00AF539A" w:rsidP="00DA2788">
      <w:pPr>
        <w:pStyle w:val="AppendixBodyText"/>
        <w:spacing w:after="0"/>
        <w:rPr>
          <w:lang w:val="it-IT"/>
        </w:rPr>
      </w:pPr>
      <w:r w:rsidRPr="007B74B7">
        <w:rPr>
          <w:rFonts w:ascii="Tahoma" w:hAnsi="Tahoma" w:cs="Tahoma"/>
          <w:color w:val="000000"/>
          <w:sz w:val="18"/>
          <w:szCs w:val="18"/>
          <w:lang w:val="it-IT"/>
        </w:rPr>
        <w:t>Le società possono scegliere di convertire gli Interventi di Supporto per la Risoluzione dei Problemi 24x7 Software Assurance (Interventi SA PRS o “SAB”) in:</w:t>
      </w:r>
    </w:p>
    <w:p w:rsidR="00077CE5" w:rsidRPr="007B74B7" w:rsidRDefault="00077CE5" w:rsidP="00DA2788">
      <w:pPr>
        <w:pStyle w:val="AppendixBodyText"/>
        <w:spacing w:after="0"/>
        <w:rPr>
          <w:lang w:val="it-IT"/>
        </w:rPr>
      </w:pPr>
    </w:p>
    <w:p w:rsidR="00AF539A" w:rsidRPr="007B74B7" w:rsidRDefault="00AF539A" w:rsidP="007358C5">
      <w:pPr>
        <w:pStyle w:val="AppendixBodyText"/>
        <w:numPr>
          <w:ilvl w:val="0"/>
          <w:numId w:val="28"/>
        </w:numPr>
        <w:tabs>
          <w:tab w:val="left" w:pos="1440"/>
        </w:tabs>
        <w:ind w:left="1440"/>
        <w:rPr>
          <w:lang w:val="it-IT"/>
        </w:rPr>
      </w:pPr>
      <w:r w:rsidRPr="007B74B7">
        <w:rPr>
          <w:rFonts w:ascii="Tahoma" w:hAnsi="Tahoma" w:cs="Tahoma"/>
          <w:color w:val="000000"/>
          <w:sz w:val="18"/>
          <w:szCs w:val="18"/>
          <w:lang w:val="it-IT"/>
        </w:rPr>
        <w:t>ore di Supporto per la Risoluzione dei Problemi Premier</w:t>
      </w:r>
    </w:p>
    <w:p w:rsidR="00AF539A" w:rsidRPr="00BD7CEA" w:rsidRDefault="00AF539A" w:rsidP="007358C5">
      <w:pPr>
        <w:pStyle w:val="AppendixBodyText"/>
        <w:numPr>
          <w:ilvl w:val="0"/>
          <w:numId w:val="28"/>
        </w:numPr>
        <w:tabs>
          <w:tab w:val="left" w:pos="1440"/>
        </w:tabs>
        <w:ind w:left="1440"/>
      </w:pPr>
      <w:r w:rsidRPr="00BD7CEA">
        <w:rPr>
          <w:rFonts w:ascii="Tahoma" w:hAnsi="Tahoma" w:cs="Tahoma"/>
          <w:color w:val="000000"/>
          <w:sz w:val="18"/>
          <w:szCs w:val="18"/>
        </w:rPr>
        <w:t>ore Dedicated Support Engineer (DSE)</w:t>
      </w:r>
    </w:p>
    <w:p w:rsidR="00077CE5" w:rsidRPr="00BD7CEA" w:rsidRDefault="00077CE5" w:rsidP="00DA2788">
      <w:pPr>
        <w:pStyle w:val="AppendixBodyText"/>
        <w:tabs>
          <w:tab w:val="left" w:pos="1440"/>
        </w:tabs>
        <w:spacing w:after="0"/>
      </w:pPr>
    </w:p>
    <w:p w:rsidR="00AF539A" w:rsidRPr="007B74B7" w:rsidRDefault="00AF539A" w:rsidP="00F42FB8">
      <w:pPr>
        <w:rPr>
          <w:lang w:val="it-IT"/>
        </w:rPr>
      </w:pPr>
      <w:r w:rsidRPr="007B74B7">
        <w:rPr>
          <w:rFonts w:cs="Tahoma"/>
          <w:color w:val="000000"/>
          <w:szCs w:val="18"/>
          <w:lang w:val="it-IT"/>
        </w:rPr>
        <w:t>Questi servizi sono da utilizzare conformemente al loro piano di servizi Premier all</w:t>
      </w:r>
      <w:r w:rsidR="007A1415" w:rsidRPr="007B74B7">
        <w:rPr>
          <w:rFonts w:cs="Tahoma"/>
          <w:color w:val="000000"/>
          <w:szCs w:val="18"/>
          <w:lang w:val="it-IT"/>
        </w:rPr>
        <w:t>’</w:t>
      </w:r>
      <w:r w:rsidRPr="007B74B7">
        <w:rPr>
          <w:rFonts w:cs="Tahoma"/>
          <w:color w:val="000000"/>
          <w:szCs w:val="18"/>
          <w:lang w:val="it-IT"/>
        </w:rPr>
        <w:t>atto del trasferimento. Tale conversione si basa su un calcolo in valuta locale, che sarà effettuato dal relativo Account Team Premier. Le società potrebbero dover acquistare ore aggiuntive di Support Account Management prima di convertire gli interventi SA PRS. Gli interventi SA PRS convertiti in Premier sono considerate ore di Supporto per la Risoluzione dei Problemi Premier e soggetti alla Descrizione dei Servizi Premier. Una volta convertiti, gli interventi non possono più essere reintegrati nell</w:t>
      </w:r>
      <w:r w:rsidR="007A1415" w:rsidRPr="007B74B7">
        <w:rPr>
          <w:rFonts w:cs="Tahoma"/>
          <w:color w:val="000000"/>
          <w:szCs w:val="18"/>
          <w:lang w:val="it-IT"/>
        </w:rPr>
        <w:t>’</w:t>
      </w:r>
      <w:r w:rsidRPr="007B74B7">
        <w:rPr>
          <w:rFonts w:cs="Tahoma"/>
          <w:color w:val="000000"/>
          <w:szCs w:val="18"/>
          <w:lang w:val="it-IT"/>
        </w:rPr>
        <w:t>assegnazione SA della società.</w:t>
      </w:r>
    </w:p>
    <w:p w:rsidR="00023FE7" w:rsidRPr="007B74B7" w:rsidRDefault="00023FE7" w:rsidP="00F42FB8">
      <w:pPr>
        <w:pStyle w:val="AppendixBodyText"/>
        <w:spacing w:after="0"/>
        <w:rPr>
          <w:lang w:val="it-IT"/>
        </w:rPr>
      </w:pPr>
    </w:p>
    <w:p w:rsidR="00077CE5" w:rsidRPr="007B74B7" w:rsidRDefault="00077CE5" w:rsidP="00DA2788">
      <w:pPr>
        <w:pStyle w:val="AppendixBodyText"/>
        <w:rPr>
          <w:lang w:val="it-IT"/>
        </w:rPr>
      </w:pPr>
      <w:r w:rsidRPr="007B74B7">
        <w:rPr>
          <w:rFonts w:ascii="Tahoma" w:hAnsi="Tahoma" w:cs="Tahoma"/>
          <w:b/>
          <w:color w:val="000000"/>
          <w:sz w:val="18"/>
          <w:lang w:val="it-IT"/>
        </w:rPr>
        <w:t>Ulteriori disposizioni di carattere commerciale</w:t>
      </w:r>
    </w:p>
    <w:p w:rsidR="00023FE7" w:rsidRPr="007B74B7" w:rsidRDefault="00023FE7" w:rsidP="00F42FB8">
      <w:pPr>
        <w:pStyle w:val="AppendixBodyText"/>
        <w:spacing w:after="0"/>
        <w:rPr>
          <w:lang w:val="it-IT"/>
        </w:rPr>
      </w:pPr>
      <w:r w:rsidRPr="007B74B7">
        <w:rPr>
          <w:rFonts w:ascii="Tahoma" w:hAnsi="Tahoma" w:cs="Tahoma"/>
          <w:sz w:val="18"/>
          <w:szCs w:val="18"/>
          <w:lang w:val="it-IT"/>
        </w:rPr>
        <w:t>La spesa SA non potrà essere cumulata tra iscrizioni Enterprise o Select, registrazioni Select Plus o Contratti Open Value per qualificarsi per premi aggiuntivi.</w:t>
      </w:r>
      <w:r w:rsidR="008D782D" w:rsidRPr="007B74B7">
        <w:rPr>
          <w:rFonts w:ascii="Tahoma" w:hAnsi="Tahoma" w:cs="Tahoma"/>
          <w:sz w:val="18"/>
          <w:szCs w:val="18"/>
          <w:lang w:val="it-IT"/>
        </w:rPr>
        <w:t xml:space="preserve"> </w:t>
      </w:r>
      <w:r w:rsidRPr="007B74B7">
        <w:rPr>
          <w:rFonts w:ascii="Tahoma" w:hAnsi="Tahoma" w:cs="Tahoma"/>
          <w:sz w:val="18"/>
          <w:szCs w:val="18"/>
          <w:lang w:val="it-IT"/>
        </w:rPr>
        <w:t>La spesa di ciascuna iscrizione o contratto è utilizzata per determinare il</w:t>
      </w:r>
      <w:r w:rsidR="00703F84" w:rsidRPr="007B74B7">
        <w:rPr>
          <w:rFonts w:ascii="Tahoma" w:hAnsi="Tahoma" w:cs="Tahoma"/>
          <w:sz w:val="18"/>
          <w:szCs w:val="18"/>
          <w:lang w:val="it-IT"/>
        </w:rPr>
        <w:t> </w:t>
      </w:r>
      <w:r w:rsidRPr="007B74B7">
        <w:rPr>
          <w:rFonts w:ascii="Tahoma" w:hAnsi="Tahoma" w:cs="Tahoma"/>
          <w:sz w:val="18"/>
          <w:szCs w:val="18"/>
          <w:lang w:val="it-IT"/>
        </w:rPr>
        <w:t>premio relativo a quell</w:t>
      </w:r>
      <w:r w:rsidR="007A1415" w:rsidRPr="007B74B7">
        <w:rPr>
          <w:rFonts w:ascii="Tahoma" w:hAnsi="Tahoma" w:cs="Tahoma"/>
          <w:sz w:val="18"/>
          <w:szCs w:val="18"/>
          <w:lang w:val="it-IT"/>
        </w:rPr>
        <w:t>’</w:t>
      </w:r>
      <w:r w:rsidRPr="007B74B7">
        <w:rPr>
          <w:rFonts w:ascii="Tahoma" w:hAnsi="Tahoma" w:cs="Tahoma"/>
          <w:sz w:val="18"/>
          <w:szCs w:val="18"/>
          <w:lang w:val="it-IT"/>
        </w:rPr>
        <w:t>iscrizione o contratto.</w:t>
      </w:r>
    </w:p>
    <w:p w:rsidR="00077CE5" w:rsidRPr="007B74B7" w:rsidRDefault="00077CE5" w:rsidP="00F42FB8">
      <w:pPr>
        <w:pStyle w:val="AppendixBodyText"/>
        <w:spacing w:after="0"/>
        <w:rPr>
          <w:lang w:val="it-IT"/>
        </w:rPr>
      </w:pPr>
    </w:p>
    <w:p w:rsidR="00023FE7" w:rsidRPr="007B74B7" w:rsidRDefault="00023FE7" w:rsidP="00F42FB8">
      <w:pPr>
        <w:pStyle w:val="AppendixBodyText"/>
        <w:tabs>
          <w:tab w:val="left" w:pos="1440"/>
        </w:tabs>
        <w:spacing w:after="0"/>
        <w:rPr>
          <w:lang w:val="it-IT"/>
        </w:rPr>
      </w:pPr>
      <w:r w:rsidRPr="007B74B7">
        <w:rPr>
          <w:rFonts w:ascii="Tahoma" w:hAnsi="Tahoma" w:cs="Tahoma"/>
          <w:sz w:val="18"/>
          <w:szCs w:val="18"/>
          <w:lang w:val="it-IT"/>
        </w:rPr>
        <w:t>La riduzione della spesa SA in seguito a resi o altre modifiche apportate alla fatturazione</w:t>
      </w:r>
      <w:r w:rsidRPr="007B74B7">
        <w:rPr>
          <w:rFonts w:ascii="Tahoma" w:hAnsi="Tahoma" w:cs="Tahoma"/>
          <w:bCs/>
          <w:sz w:val="18"/>
          <w:szCs w:val="18"/>
          <w:lang w:val="it-IT"/>
        </w:rPr>
        <w:t>,</w:t>
      </w:r>
      <w:r w:rsidRPr="007B74B7">
        <w:rPr>
          <w:rFonts w:ascii="Tahoma" w:hAnsi="Tahoma" w:cs="Tahoma"/>
          <w:sz w:val="18"/>
          <w:szCs w:val="18"/>
          <w:lang w:val="it-IT"/>
        </w:rPr>
        <w:t xml:space="preserve"> ove ciò sia ammesso, </w:t>
      </w:r>
      <w:r w:rsidRPr="007B74B7">
        <w:rPr>
          <w:rFonts w:ascii="Tahoma" w:hAnsi="Tahoma" w:cs="Tahoma"/>
          <w:bCs/>
          <w:sz w:val="18"/>
          <w:szCs w:val="18"/>
          <w:lang w:val="it-IT"/>
        </w:rPr>
        <w:t>potrebbe</w:t>
      </w:r>
      <w:r w:rsidRPr="007B74B7">
        <w:rPr>
          <w:rFonts w:ascii="Tahoma" w:hAnsi="Tahoma" w:cs="Tahoma"/>
          <w:sz w:val="18"/>
          <w:szCs w:val="18"/>
          <w:lang w:val="it-IT"/>
        </w:rPr>
        <w:t xml:space="preserve"> comportare la perdita dell</w:t>
      </w:r>
      <w:r w:rsidR="007A1415" w:rsidRPr="007B74B7">
        <w:rPr>
          <w:rFonts w:ascii="Tahoma" w:hAnsi="Tahoma" w:cs="Tahoma"/>
          <w:sz w:val="18"/>
          <w:szCs w:val="18"/>
          <w:lang w:val="it-IT"/>
        </w:rPr>
        <w:t>’</w:t>
      </w:r>
      <w:r w:rsidRPr="007B74B7">
        <w:rPr>
          <w:rFonts w:ascii="Tahoma" w:hAnsi="Tahoma" w:cs="Tahoma"/>
          <w:sz w:val="18"/>
          <w:szCs w:val="18"/>
          <w:lang w:val="it-IT"/>
        </w:rPr>
        <w:t xml:space="preserve">idoneità a ricevere i premi per il Supporto o gli Interventi telefonici nel periodo attuale di attribuzione dei premi o in periodi futuri. </w:t>
      </w:r>
    </w:p>
    <w:p w:rsidR="0036654E" w:rsidRPr="007B74B7" w:rsidRDefault="0036654E" w:rsidP="00F42FB8">
      <w:pPr>
        <w:pStyle w:val="Heading3"/>
        <w:rPr>
          <w:lang w:val="it-IT"/>
        </w:rPr>
      </w:pPr>
    </w:p>
    <w:p w:rsidR="00613BBB" w:rsidRPr="007B74B7" w:rsidRDefault="00613BBB" w:rsidP="00F0652C">
      <w:pPr>
        <w:pStyle w:val="Heading3"/>
        <w:spacing w:after="60"/>
        <w:rPr>
          <w:lang w:val="it-IT"/>
        </w:rPr>
      </w:pPr>
      <w:bookmarkStart w:id="799" w:name="_Toc336338237"/>
      <w:bookmarkStart w:id="800" w:name="_Toc353376017"/>
      <w:r w:rsidRPr="007B74B7">
        <w:rPr>
          <w:rFonts w:ascii="Tahoma" w:hAnsi="Tahoma" w:cs="Tahoma"/>
          <w:sz w:val="18"/>
          <w:lang w:val="it-IT"/>
        </w:rPr>
        <w:t>Supporto Illimitato per la Risoluzione dei Problemi 24x7</w:t>
      </w:r>
      <w:bookmarkEnd w:id="799"/>
      <w:bookmarkEnd w:id="800"/>
    </w:p>
    <w:p w:rsidR="00A17E03" w:rsidRPr="007B74B7" w:rsidRDefault="00A17E03" w:rsidP="00F42FB8">
      <w:pPr>
        <w:jc w:val="both"/>
        <w:rPr>
          <w:lang w:val="it-IT"/>
        </w:rPr>
      </w:pPr>
      <w:r w:rsidRPr="007B74B7">
        <w:rPr>
          <w:rFonts w:cs="Tahoma"/>
          <w:szCs w:val="18"/>
          <w:lang w:val="it-IT"/>
        </w:rPr>
        <w:t>Questo vantaggio è disponibile esclusivamente tramite (1) Enrollment for Application Platform (EAP) ai sensi di un Contratto Enterprise e/o (2) l</w:t>
      </w:r>
      <w:r w:rsidR="007A1415" w:rsidRPr="007B74B7">
        <w:rPr>
          <w:rFonts w:cs="Tahoma"/>
          <w:szCs w:val="18"/>
          <w:lang w:val="it-IT"/>
        </w:rPr>
        <w:t>’</w:t>
      </w:r>
      <w:r w:rsidRPr="007B74B7">
        <w:rPr>
          <w:rFonts w:cs="Tahoma"/>
          <w:szCs w:val="18"/>
          <w:lang w:val="it-IT"/>
        </w:rPr>
        <w:t>acquisto di licenze per Parallel Data Warehouse (PDW) ai sensi di un contratto EA, EAP, Select Plus o Select.</w:t>
      </w:r>
    </w:p>
    <w:p w:rsidR="00A17E03" w:rsidRPr="007B74B7" w:rsidRDefault="00A17E03" w:rsidP="00F42FB8">
      <w:pPr>
        <w:jc w:val="both"/>
        <w:rPr>
          <w:lang w:val="it-IT"/>
        </w:rPr>
      </w:pPr>
    </w:p>
    <w:p w:rsidR="00894563" w:rsidRPr="007B74B7" w:rsidRDefault="00A17E03" w:rsidP="00DA2788">
      <w:pPr>
        <w:spacing w:line="276" w:lineRule="auto"/>
        <w:jc w:val="both"/>
        <w:rPr>
          <w:lang w:val="it-IT"/>
        </w:rPr>
      </w:pPr>
      <w:r w:rsidRPr="007B74B7">
        <w:rPr>
          <w:rFonts w:eastAsia="Calibri" w:cs="Tahoma"/>
          <w:szCs w:val="18"/>
          <w:lang w:val="it-IT"/>
        </w:rPr>
        <w:t xml:space="preserve">Le società, che dispongono di un contratto EAP con una spesa media annuale minima per SA di $250.000 sul totale di prodotti qualificanti della Piattaforma Applicativa e che dispongono di un Contratto Premier Services attivo, sono idonee a beneficiare degli interventi previsti dal Supporto Illimitato per la Risoluzione dei Problemi 24x7 (PRS). </w:t>
      </w:r>
      <w:r w:rsidRPr="007B74B7">
        <w:rPr>
          <w:rFonts w:cs="Tahoma"/>
          <w:szCs w:val="18"/>
          <w:lang w:val="it-IT"/>
        </w:rPr>
        <w:t xml:space="preserve">I prodotti elencati di seguito e che usufruiscono del Supporto Mainstream o Esteso come stabilito nei </w:t>
      </w:r>
      <w:hyperlink r:id="rId31" w:history="1">
        <w:r w:rsidRPr="007B74B7">
          <w:rPr>
            <w:rStyle w:val="Hyperlink"/>
            <w:rFonts w:cs="Tahoma"/>
            <w:szCs w:val="18"/>
            <w:lang w:val="it-IT"/>
          </w:rPr>
          <w:t>Criteri per il Ciclo di Vita del Supporto di Microsoft</w:t>
        </w:r>
      </w:hyperlink>
      <w:r w:rsidRPr="007B74B7">
        <w:rPr>
          <w:rFonts w:cs="Tahoma"/>
          <w:szCs w:val="18"/>
          <w:lang w:val="it-IT"/>
        </w:rPr>
        <w:t xml:space="preserve"> </w:t>
      </w:r>
      <w:r w:rsidRPr="007B74B7">
        <w:rPr>
          <w:rFonts w:cs="Tahoma"/>
          <w:color w:val="000000"/>
          <w:szCs w:val="18"/>
          <w:lang w:val="it-IT"/>
        </w:rPr>
        <w:t>in linea con il contratto Premier di una società sono inclusi nel vantaggio.</w:t>
      </w:r>
    </w:p>
    <w:p w:rsidR="00077CE5" w:rsidRPr="007B74B7" w:rsidRDefault="00077CE5" w:rsidP="00DA2788">
      <w:pPr>
        <w:spacing w:line="276" w:lineRule="auto"/>
        <w:jc w:val="both"/>
        <w:rPr>
          <w:lang w:val="it-IT"/>
        </w:rPr>
      </w:pPr>
    </w:p>
    <w:p w:rsidR="00A17E03" w:rsidRPr="007B74B7" w:rsidRDefault="00A17E03" w:rsidP="00F42FB8">
      <w:pPr>
        <w:spacing w:line="276" w:lineRule="auto"/>
        <w:jc w:val="both"/>
        <w:rPr>
          <w:lang w:val="it-IT"/>
        </w:rPr>
      </w:pPr>
      <w:r w:rsidRPr="007B74B7">
        <w:rPr>
          <w:rFonts w:eastAsia="Calibri" w:cs="Tahoma"/>
          <w:szCs w:val="18"/>
          <w:lang w:val="it-IT"/>
        </w:rPr>
        <w:t>I prodotti della Piattaforma Applicativa che si qualificano sono:</w:t>
      </w:r>
    </w:p>
    <w:p w:rsidR="00613BBB" w:rsidRPr="007B74B7" w:rsidRDefault="00613BBB" w:rsidP="00077CE5">
      <w:pPr>
        <w:rPr>
          <w:lang w:val="it-IT"/>
        </w:rPr>
      </w:pPr>
    </w:p>
    <w:p w:rsidR="00613BBB" w:rsidRPr="00BD7CEA" w:rsidRDefault="00613BBB" w:rsidP="007358C5">
      <w:pPr>
        <w:numPr>
          <w:ilvl w:val="0"/>
          <w:numId w:val="72"/>
        </w:numPr>
        <w:spacing w:after="60"/>
      </w:pPr>
      <w:r w:rsidRPr="00BD7CEA">
        <w:rPr>
          <w:rFonts w:cs="Tahoma"/>
          <w:szCs w:val="18"/>
        </w:rPr>
        <w:t>CAL per SQL</w:t>
      </w:r>
    </w:p>
    <w:p w:rsidR="00613BBB" w:rsidRPr="00BD7CEA" w:rsidRDefault="00613BBB" w:rsidP="007358C5">
      <w:pPr>
        <w:numPr>
          <w:ilvl w:val="0"/>
          <w:numId w:val="72"/>
        </w:numPr>
        <w:spacing w:after="60"/>
      </w:pPr>
      <w:r w:rsidRPr="00BD7CEA">
        <w:rPr>
          <w:rFonts w:cs="Tahoma"/>
          <w:szCs w:val="18"/>
        </w:rPr>
        <w:t>SQL Server Standard</w:t>
      </w:r>
    </w:p>
    <w:p w:rsidR="00613BBB" w:rsidRPr="007B74B7" w:rsidRDefault="00613BBB" w:rsidP="007358C5">
      <w:pPr>
        <w:numPr>
          <w:ilvl w:val="0"/>
          <w:numId w:val="72"/>
        </w:numPr>
        <w:spacing w:after="60"/>
        <w:rPr>
          <w:lang w:val="it-IT"/>
        </w:rPr>
      </w:pPr>
      <w:r w:rsidRPr="007B74B7">
        <w:rPr>
          <w:rFonts w:cs="Tahoma"/>
          <w:szCs w:val="18"/>
          <w:lang w:val="it-IT"/>
        </w:rPr>
        <w:t>SQL Server Standard Per Core / Per Processore</w:t>
      </w:r>
    </w:p>
    <w:p w:rsidR="00613BBB" w:rsidRPr="00BD7CEA" w:rsidRDefault="00613BBB" w:rsidP="007358C5">
      <w:pPr>
        <w:numPr>
          <w:ilvl w:val="0"/>
          <w:numId w:val="72"/>
        </w:numPr>
        <w:spacing w:after="60"/>
      </w:pPr>
      <w:r w:rsidRPr="00BD7CEA">
        <w:rPr>
          <w:rFonts w:cs="Tahoma"/>
          <w:szCs w:val="18"/>
        </w:rPr>
        <w:t>SQL Server Enterprise</w:t>
      </w:r>
    </w:p>
    <w:p w:rsidR="00613BBB" w:rsidRPr="007B74B7" w:rsidRDefault="00613BBB" w:rsidP="007358C5">
      <w:pPr>
        <w:numPr>
          <w:ilvl w:val="0"/>
          <w:numId w:val="72"/>
        </w:numPr>
        <w:spacing w:after="60"/>
        <w:rPr>
          <w:lang w:val="it-IT"/>
        </w:rPr>
      </w:pPr>
      <w:r w:rsidRPr="007B74B7">
        <w:rPr>
          <w:rFonts w:cs="Tahoma"/>
          <w:szCs w:val="18"/>
          <w:lang w:val="it-IT"/>
        </w:rPr>
        <w:t>SQL Server Enterprise Per Core / Per Processore</w:t>
      </w:r>
    </w:p>
    <w:p w:rsidR="00894563" w:rsidRPr="00BD7CEA" w:rsidRDefault="00894563" w:rsidP="007358C5">
      <w:pPr>
        <w:numPr>
          <w:ilvl w:val="0"/>
          <w:numId w:val="72"/>
        </w:numPr>
        <w:spacing w:after="60"/>
      </w:pPr>
      <w:r w:rsidRPr="00BD7CEA">
        <w:rPr>
          <w:rFonts w:cs="Tahoma"/>
          <w:szCs w:val="18"/>
        </w:rPr>
        <w:t>SQL Server Business Intelligence</w:t>
      </w:r>
    </w:p>
    <w:p w:rsidR="00EB42F3" w:rsidRPr="00BD7CEA" w:rsidRDefault="00EB42F3" w:rsidP="007358C5">
      <w:pPr>
        <w:numPr>
          <w:ilvl w:val="0"/>
          <w:numId w:val="72"/>
        </w:numPr>
        <w:spacing w:after="60"/>
      </w:pPr>
      <w:r w:rsidRPr="00BD7CEA">
        <w:rPr>
          <w:rFonts w:cs="Tahoma"/>
          <w:szCs w:val="18"/>
        </w:rPr>
        <w:t>SQL Server Datacenter Per Processore</w:t>
      </w:r>
    </w:p>
    <w:p w:rsidR="00613BBB" w:rsidRPr="00BD7CEA" w:rsidRDefault="00613BBB" w:rsidP="007358C5">
      <w:pPr>
        <w:numPr>
          <w:ilvl w:val="0"/>
          <w:numId w:val="72"/>
        </w:numPr>
        <w:spacing w:after="60"/>
      </w:pPr>
      <w:r w:rsidRPr="00BD7CEA">
        <w:rPr>
          <w:rFonts w:cs="Tahoma"/>
          <w:szCs w:val="18"/>
        </w:rPr>
        <w:t>BizTalk Server Standard Per Processore</w:t>
      </w:r>
    </w:p>
    <w:p w:rsidR="00613BBB" w:rsidRPr="00BD7CEA" w:rsidRDefault="00613BBB" w:rsidP="007358C5">
      <w:pPr>
        <w:numPr>
          <w:ilvl w:val="0"/>
          <w:numId w:val="72"/>
        </w:numPr>
        <w:spacing w:after="60"/>
      </w:pPr>
      <w:r w:rsidRPr="00BD7CEA">
        <w:rPr>
          <w:rFonts w:cs="Tahoma"/>
          <w:szCs w:val="18"/>
        </w:rPr>
        <w:t>BizTalk Server Enterprise Per Processore</w:t>
      </w:r>
    </w:p>
    <w:p w:rsidR="00613BBB" w:rsidRPr="00BD7CEA" w:rsidRDefault="00613BBB" w:rsidP="007358C5">
      <w:pPr>
        <w:numPr>
          <w:ilvl w:val="0"/>
          <w:numId w:val="72"/>
        </w:numPr>
        <w:spacing w:after="60"/>
      </w:pPr>
      <w:r w:rsidRPr="00BD7CEA">
        <w:rPr>
          <w:rFonts w:cs="Tahoma"/>
          <w:szCs w:val="18"/>
        </w:rPr>
        <w:t>BizTalk Server Branch Per Processore</w:t>
      </w:r>
    </w:p>
    <w:p w:rsidR="00613BBB" w:rsidRPr="00BD7CEA" w:rsidRDefault="00613BBB" w:rsidP="007358C5">
      <w:pPr>
        <w:numPr>
          <w:ilvl w:val="0"/>
          <w:numId w:val="72"/>
        </w:numPr>
        <w:spacing w:after="60"/>
      </w:pPr>
      <w:r w:rsidRPr="00BD7CEA">
        <w:rPr>
          <w:rFonts w:cs="Tahoma"/>
          <w:szCs w:val="18"/>
        </w:rPr>
        <w:t>Office SharePoint Server</w:t>
      </w:r>
    </w:p>
    <w:p w:rsidR="00613BBB" w:rsidRPr="00BD7CEA" w:rsidRDefault="00613BBB" w:rsidP="007358C5">
      <w:pPr>
        <w:numPr>
          <w:ilvl w:val="0"/>
          <w:numId w:val="72"/>
        </w:numPr>
        <w:spacing w:after="60"/>
      </w:pPr>
      <w:r w:rsidRPr="00BD7CEA">
        <w:rPr>
          <w:rFonts w:cs="Tahoma"/>
          <w:szCs w:val="18"/>
        </w:rPr>
        <w:t>SharePoint Internet</w:t>
      </w:r>
    </w:p>
    <w:p w:rsidR="00894563" w:rsidRPr="00BD7CEA" w:rsidRDefault="00894563" w:rsidP="007358C5">
      <w:pPr>
        <w:numPr>
          <w:ilvl w:val="0"/>
          <w:numId w:val="72"/>
        </w:numPr>
        <w:spacing w:after="60"/>
      </w:pPr>
      <w:r w:rsidRPr="00BD7CEA">
        <w:rPr>
          <w:rFonts w:cs="Tahoma"/>
          <w:szCs w:val="18"/>
        </w:rPr>
        <w:lastRenderedPageBreak/>
        <w:t>FAST for SharePoint / SharePoint Internet</w:t>
      </w:r>
    </w:p>
    <w:p w:rsidR="00613BBB" w:rsidRPr="00BD7CEA" w:rsidRDefault="00613BBB" w:rsidP="00077CE5"/>
    <w:p w:rsidR="00613BBB" w:rsidRPr="007B74B7" w:rsidRDefault="00613BBB" w:rsidP="00FF1B2B">
      <w:pPr>
        <w:pStyle w:val="AppendixBodyText"/>
        <w:spacing w:after="0"/>
        <w:jc w:val="both"/>
        <w:rPr>
          <w:lang w:val="it-IT"/>
        </w:rPr>
      </w:pPr>
      <w:r w:rsidRPr="007B74B7">
        <w:rPr>
          <w:rFonts w:ascii="Tahoma" w:hAnsi="Tahoma" w:cs="Tahoma"/>
          <w:sz w:val="18"/>
          <w:szCs w:val="18"/>
          <w:lang w:val="it-IT"/>
        </w:rPr>
        <w:t>La seguente tabella elenca le conversioni delle soglie di spesa SA, in caso di contratti stipulati in valute diverse</w:t>
      </w:r>
      <w:r w:rsidR="00487D97" w:rsidRPr="007B74B7">
        <w:rPr>
          <w:rFonts w:ascii="Tahoma" w:hAnsi="Tahoma" w:cs="Tahoma"/>
          <w:sz w:val="18"/>
          <w:szCs w:val="18"/>
          <w:lang w:val="it-IT"/>
        </w:rPr>
        <w:t> </w:t>
      </w:r>
      <w:r w:rsidRPr="007B74B7">
        <w:rPr>
          <w:rFonts w:ascii="Tahoma" w:hAnsi="Tahoma" w:cs="Tahoma"/>
          <w:sz w:val="18"/>
          <w:szCs w:val="18"/>
          <w:lang w:val="it-IT"/>
        </w:rPr>
        <w:t>dall</w:t>
      </w:r>
      <w:r w:rsidR="007A1415" w:rsidRPr="007B74B7">
        <w:rPr>
          <w:rFonts w:ascii="Tahoma" w:hAnsi="Tahoma" w:cs="Tahoma"/>
          <w:sz w:val="18"/>
          <w:szCs w:val="18"/>
          <w:lang w:val="it-IT"/>
        </w:rPr>
        <w:t>’</w:t>
      </w:r>
      <w:r w:rsidRPr="007B74B7">
        <w:rPr>
          <w:rFonts w:ascii="Tahoma" w:hAnsi="Tahoma" w:cs="Tahoma"/>
          <w:sz w:val="18"/>
          <w:szCs w:val="18"/>
          <w:lang w:val="it-IT"/>
        </w:rPr>
        <w:t>USD.</w:t>
      </w:r>
      <w:r w:rsidR="008D782D" w:rsidRPr="007B74B7">
        <w:rPr>
          <w:rFonts w:ascii="Tahoma" w:hAnsi="Tahoma" w:cs="Tahoma"/>
          <w:sz w:val="18"/>
          <w:szCs w:val="18"/>
          <w:lang w:val="it-IT"/>
        </w:rPr>
        <w:t xml:space="preserve"> </w:t>
      </w:r>
      <w:r w:rsidRPr="007B74B7">
        <w:rPr>
          <w:rFonts w:ascii="Tahoma" w:hAnsi="Tahoma" w:cs="Tahoma"/>
          <w:sz w:val="18"/>
          <w:szCs w:val="18"/>
          <w:lang w:val="it-IT"/>
        </w:rPr>
        <w:t>A causa delle fluttuazioni dei tassi di cambio, i valori riportati nella tabella sono soggetti a variazione senza preavviso.</w:t>
      </w:r>
    </w:p>
    <w:p w:rsidR="00E74270" w:rsidRPr="007B74B7" w:rsidRDefault="00E74270" w:rsidP="00FF1B2B">
      <w:pPr>
        <w:pStyle w:val="AppendixBodyText"/>
        <w:spacing w:after="0"/>
        <w:jc w:val="both"/>
        <w:rPr>
          <w:lang w:val="it-IT"/>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152"/>
      </w:tblGrid>
      <w:tr w:rsidR="00E74270" w:rsidRPr="007B74B7" w:rsidTr="008233B3">
        <w:trPr>
          <w:trHeight w:val="178"/>
          <w:tblHeader/>
          <w:jc w:val="cent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BD7CEA" w:rsidRDefault="00E74270" w:rsidP="00E74270">
            <w:pPr>
              <w:pStyle w:val="AppendixBodyText"/>
              <w:jc w:val="center"/>
              <w:rPr>
                <w:rFonts w:ascii="Tahoma" w:hAnsi="Tahoma" w:cs="Tahoma"/>
                <w:b/>
                <w:bCs/>
              </w:rPr>
            </w:pPr>
            <w:r w:rsidRPr="00BD7CEA">
              <w:rPr>
                <w:rFonts w:ascii="Tahoma" w:hAnsi="Tahoma" w:cs="Tahoma"/>
                <w:b/>
                <w:bCs/>
              </w:rPr>
              <w:t>Valuta</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BD7CEA" w:rsidRDefault="00E74270" w:rsidP="00E74270">
            <w:pPr>
              <w:pStyle w:val="AppendixBodyText"/>
              <w:jc w:val="center"/>
              <w:rPr>
                <w:rFonts w:ascii="Tahoma" w:hAnsi="Tahoma" w:cs="Tahoma"/>
                <w:b/>
                <w:bCs/>
              </w:rPr>
            </w:pPr>
            <w:r w:rsidRPr="00BD7CEA">
              <w:rPr>
                <w:rFonts w:ascii="Tahoma" w:hAnsi="Tahoma" w:cs="Tahoma"/>
                <w:b/>
                <w:bCs/>
              </w:rPr>
              <w:t>Codice Valuta</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7B74B7" w:rsidRDefault="00E74270" w:rsidP="00E74270">
            <w:pPr>
              <w:pStyle w:val="AppendixBodyText"/>
              <w:jc w:val="center"/>
              <w:rPr>
                <w:rFonts w:ascii="Tahoma" w:hAnsi="Tahoma" w:cs="Tahoma"/>
                <w:b/>
                <w:bCs/>
                <w:lang w:val="it-IT"/>
              </w:rPr>
            </w:pPr>
            <w:r w:rsidRPr="007B74B7">
              <w:rPr>
                <w:rFonts w:ascii="Tahoma" w:hAnsi="Tahoma" w:cs="Tahoma"/>
                <w:b/>
                <w:bCs/>
                <w:lang w:val="it-IT"/>
              </w:rPr>
              <w:t xml:space="preserve">Spesa Media Annuale Minima per SA per beneficiare del PRS Illimitato 24x7 </w:t>
            </w:r>
          </w:p>
        </w:tc>
      </w:tr>
      <w:tr w:rsidR="00E74270" w:rsidRPr="00BD7CEA" w:rsidTr="008233B3">
        <w:trPr>
          <w:trHeight w:val="236"/>
          <w:jc w:val="center"/>
        </w:trPr>
        <w:tc>
          <w:tcPr>
            <w:tcW w:w="1757" w:type="dxa"/>
            <w:vAlign w:val="bottom"/>
          </w:tcPr>
          <w:p w:rsidR="00E74270" w:rsidRPr="00BD7CEA" w:rsidRDefault="00E74270" w:rsidP="00E74270">
            <w:pPr>
              <w:pStyle w:val="AppendixBodyText"/>
              <w:rPr>
                <w:rFonts w:ascii="Tahoma" w:hAnsi="Tahoma" w:cs="Tahoma"/>
                <w:sz w:val="18"/>
                <w:szCs w:val="18"/>
              </w:rPr>
            </w:pPr>
            <w:r w:rsidRPr="00BD7CEA">
              <w:rPr>
                <w:rFonts w:ascii="Tahoma" w:hAnsi="Tahoma" w:cs="Tahoma"/>
                <w:sz w:val="18"/>
                <w:szCs w:val="18"/>
              </w:rPr>
              <w:t>Dollaro statunitense</w:t>
            </w:r>
          </w:p>
        </w:tc>
        <w:tc>
          <w:tcPr>
            <w:tcW w:w="1112" w:type="dxa"/>
            <w:vAlign w:val="bottom"/>
          </w:tcPr>
          <w:p w:rsidR="00E74270" w:rsidRPr="00BD7CEA" w:rsidRDefault="00E74270" w:rsidP="00E74270">
            <w:pPr>
              <w:pStyle w:val="AppendixBodyText"/>
              <w:jc w:val="center"/>
              <w:rPr>
                <w:rFonts w:ascii="Tahoma" w:hAnsi="Tahoma" w:cs="Tahoma"/>
                <w:sz w:val="18"/>
                <w:szCs w:val="18"/>
              </w:rPr>
            </w:pPr>
            <w:r w:rsidRPr="00BD7CEA">
              <w:rPr>
                <w:rFonts w:ascii="Tahoma" w:hAnsi="Tahoma" w:cs="Tahoma"/>
                <w:sz w:val="18"/>
                <w:szCs w:val="18"/>
              </w:rPr>
              <w:t>USD</w:t>
            </w:r>
          </w:p>
        </w:tc>
        <w:tc>
          <w:tcPr>
            <w:tcW w:w="3152" w:type="dxa"/>
            <w:vAlign w:val="bottom"/>
          </w:tcPr>
          <w:p w:rsidR="00E74270" w:rsidRPr="00BD7CEA" w:rsidRDefault="00E74270" w:rsidP="00194E01">
            <w:pPr>
              <w:pStyle w:val="AppendixBodyText"/>
              <w:jc w:val="right"/>
              <w:rPr>
                <w:rFonts w:ascii="Tahoma" w:hAnsi="Tahoma" w:cs="Tahoma"/>
                <w:sz w:val="18"/>
                <w:szCs w:val="18"/>
              </w:rPr>
            </w:pPr>
            <w:r w:rsidRPr="00BD7CEA">
              <w:rPr>
                <w:rFonts w:ascii="Tahoma" w:hAnsi="Tahoma" w:cs="Tahoma"/>
                <w:color w:val="000000"/>
                <w:sz w:val="18"/>
                <w:szCs w:val="18"/>
              </w:rPr>
              <w:t>250</w:t>
            </w:r>
            <w:r w:rsidR="00194E01">
              <w:rPr>
                <w:rFonts w:ascii="Tahoma" w:hAnsi="Tahoma" w:cs="Tahoma"/>
                <w:color w:val="000000"/>
                <w:sz w:val="18"/>
                <w:szCs w:val="18"/>
              </w:rPr>
              <w:t>.</w:t>
            </w:r>
            <w:r w:rsidRPr="00BD7CEA">
              <w:rPr>
                <w:rFonts w:ascii="Tahoma" w:hAnsi="Tahoma" w:cs="Tahoma"/>
                <w:color w:val="000000"/>
                <w:sz w:val="18"/>
                <w:szCs w:val="18"/>
              </w:rPr>
              <w:t>000</w:t>
            </w:r>
          </w:p>
        </w:tc>
      </w:tr>
      <w:tr w:rsidR="00E74270" w:rsidRPr="00BD7CEA" w:rsidTr="008233B3">
        <w:trPr>
          <w:trHeight w:val="236"/>
          <w:jc w:val="center"/>
        </w:trPr>
        <w:tc>
          <w:tcPr>
            <w:tcW w:w="1757" w:type="dxa"/>
            <w:vAlign w:val="bottom"/>
          </w:tcPr>
          <w:p w:rsidR="00E74270" w:rsidRPr="00BD7CEA" w:rsidRDefault="00E74270" w:rsidP="00E74270">
            <w:pPr>
              <w:pStyle w:val="AppendixBodyText"/>
              <w:rPr>
                <w:rFonts w:ascii="Tahoma" w:hAnsi="Tahoma" w:cs="Tahoma"/>
                <w:sz w:val="18"/>
                <w:szCs w:val="18"/>
              </w:rPr>
            </w:pPr>
            <w:r w:rsidRPr="00BD7CEA">
              <w:rPr>
                <w:rFonts w:ascii="Tahoma" w:hAnsi="Tahoma" w:cs="Tahoma"/>
                <w:sz w:val="18"/>
                <w:szCs w:val="18"/>
              </w:rPr>
              <w:t>Dollaro australiano</w:t>
            </w:r>
          </w:p>
        </w:tc>
        <w:tc>
          <w:tcPr>
            <w:tcW w:w="1112" w:type="dxa"/>
            <w:vAlign w:val="bottom"/>
          </w:tcPr>
          <w:p w:rsidR="00E74270" w:rsidRPr="00BD7CEA" w:rsidRDefault="00E74270" w:rsidP="00E74270">
            <w:pPr>
              <w:pStyle w:val="AppendixBodyText"/>
              <w:jc w:val="center"/>
              <w:rPr>
                <w:rFonts w:ascii="Tahoma" w:hAnsi="Tahoma" w:cs="Tahoma"/>
                <w:sz w:val="18"/>
                <w:szCs w:val="18"/>
              </w:rPr>
            </w:pPr>
            <w:r w:rsidRPr="00BD7CEA">
              <w:rPr>
                <w:rFonts w:ascii="Tahoma" w:hAnsi="Tahoma" w:cs="Tahoma"/>
                <w:sz w:val="18"/>
                <w:szCs w:val="18"/>
              </w:rPr>
              <w:t>AUD</w:t>
            </w:r>
          </w:p>
        </w:tc>
        <w:tc>
          <w:tcPr>
            <w:tcW w:w="3152" w:type="dxa"/>
            <w:vAlign w:val="bottom"/>
          </w:tcPr>
          <w:p w:rsidR="00E74270" w:rsidRPr="00BD7CEA" w:rsidRDefault="00E74270" w:rsidP="00194E01">
            <w:pPr>
              <w:pStyle w:val="AppendixBodyText"/>
              <w:jc w:val="right"/>
              <w:rPr>
                <w:rFonts w:ascii="Tahoma" w:hAnsi="Tahoma" w:cs="Tahoma"/>
                <w:sz w:val="18"/>
                <w:szCs w:val="18"/>
              </w:rPr>
            </w:pPr>
            <w:r w:rsidRPr="00BD7CEA">
              <w:rPr>
                <w:rFonts w:ascii="Tahoma" w:hAnsi="Tahoma" w:cs="Tahoma"/>
                <w:color w:val="000000"/>
                <w:sz w:val="18"/>
                <w:szCs w:val="18"/>
              </w:rPr>
              <w:t>375</w:t>
            </w:r>
            <w:r w:rsidR="00194E01">
              <w:rPr>
                <w:rFonts w:ascii="Tahoma" w:hAnsi="Tahoma" w:cs="Tahoma"/>
                <w:color w:val="000000"/>
                <w:sz w:val="18"/>
                <w:szCs w:val="18"/>
              </w:rPr>
              <w:t>.</w:t>
            </w:r>
            <w:r w:rsidRPr="00BD7CEA">
              <w:rPr>
                <w:rFonts w:ascii="Tahoma" w:hAnsi="Tahoma" w:cs="Tahoma"/>
                <w:color w:val="000000"/>
                <w:sz w:val="18"/>
                <w:szCs w:val="18"/>
              </w:rPr>
              <w:t>000</w:t>
            </w:r>
          </w:p>
        </w:tc>
      </w:tr>
      <w:tr w:rsidR="00E74270" w:rsidRPr="00BD7CEA" w:rsidTr="008233B3">
        <w:trPr>
          <w:trHeight w:val="236"/>
          <w:jc w:val="center"/>
        </w:trPr>
        <w:tc>
          <w:tcPr>
            <w:tcW w:w="1757" w:type="dxa"/>
            <w:vAlign w:val="bottom"/>
          </w:tcPr>
          <w:p w:rsidR="00E74270" w:rsidRPr="00BD7CEA" w:rsidRDefault="00E74270" w:rsidP="00E74270">
            <w:pPr>
              <w:pStyle w:val="AppendixBodyText"/>
              <w:rPr>
                <w:rFonts w:ascii="Tahoma" w:hAnsi="Tahoma" w:cs="Tahoma"/>
                <w:sz w:val="18"/>
                <w:szCs w:val="18"/>
              </w:rPr>
            </w:pPr>
            <w:r w:rsidRPr="00BD7CEA">
              <w:rPr>
                <w:rFonts w:ascii="Tahoma" w:hAnsi="Tahoma" w:cs="Tahoma"/>
                <w:sz w:val="18"/>
                <w:szCs w:val="18"/>
              </w:rPr>
              <w:t>Dollaro canadese</w:t>
            </w:r>
          </w:p>
        </w:tc>
        <w:tc>
          <w:tcPr>
            <w:tcW w:w="1112" w:type="dxa"/>
            <w:vAlign w:val="bottom"/>
          </w:tcPr>
          <w:p w:rsidR="00E74270" w:rsidRPr="00BD7CEA" w:rsidRDefault="00E74270" w:rsidP="00E74270">
            <w:pPr>
              <w:pStyle w:val="AppendixBodyText"/>
              <w:jc w:val="center"/>
              <w:rPr>
                <w:rFonts w:ascii="Tahoma" w:hAnsi="Tahoma" w:cs="Tahoma"/>
                <w:sz w:val="18"/>
                <w:szCs w:val="18"/>
              </w:rPr>
            </w:pPr>
            <w:r w:rsidRPr="00BD7CEA">
              <w:rPr>
                <w:rFonts w:ascii="Tahoma" w:hAnsi="Tahoma" w:cs="Tahoma"/>
                <w:sz w:val="18"/>
                <w:szCs w:val="18"/>
              </w:rPr>
              <w:t>CAD</w:t>
            </w:r>
          </w:p>
        </w:tc>
        <w:tc>
          <w:tcPr>
            <w:tcW w:w="3152" w:type="dxa"/>
            <w:vAlign w:val="bottom"/>
          </w:tcPr>
          <w:p w:rsidR="00E74270" w:rsidRPr="00BD7CEA" w:rsidRDefault="00E74270" w:rsidP="00194E01">
            <w:pPr>
              <w:pStyle w:val="AppendixBodyText"/>
              <w:jc w:val="right"/>
              <w:rPr>
                <w:rFonts w:ascii="Tahoma" w:hAnsi="Tahoma" w:cs="Tahoma"/>
                <w:sz w:val="18"/>
                <w:szCs w:val="18"/>
              </w:rPr>
            </w:pPr>
            <w:r w:rsidRPr="00BD7CEA">
              <w:rPr>
                <w:rFonts w:ascii="Tahoma" w:hAnsi="Tahoma" w:cs="Tahoma"/>
                <w:color w:val="000000"/>
                <w:sz w:val="18"/>
                <w:szCs w:val="18"/>
              </w:rPr>
              <w:t>337</w:t>
            </w:r>
            <w:r w:rsidR="00194E01">
              <w:rPr>
                <w:rFonts w:ascii="Tahoma" w:hAnsi="Tahoma" w:cs="Tahoma"/>
                <w:color w:val="000000"/>
                <w:sz w:val="18"/>
                <w:szCs w:val="18"/>
              </w:rPr>
              <w:t>.</w:t>
            </w:r>
            <w:r w:rsidRPr="00BD7CEA">
              <w:rPr>
                <w:rFonts w:ascii="Tahoma" w:hAnsi="Tahoma" w:cs="Tahoma"/>
                <w:color w:val="000000"/>
                <w:sz w:val="18"/>
                <w:szCs w:val="18"/>
              </w:rPr>
              <w:t>500</w:t>
            </w:r>
          </w:p>
        </w:tc>
      </w:tr>
      <w:tr w:rsidR="00E74270" w:rsidRPr="00BD7CEA" w:rsidTr="008233B3">
        <w:trPr>
          <w:trHeight w:val="236"/>
          <w:jc w:val="center"/>
        </w:trPr>
        <w:tc>
          <w:tcPr>
            <w:tcW w:w="1757" w:type="dxa"/>
            <w:vAlign w:val="bottom"/>
          </w:tcPr>
          <w:p w:rsidR="00E74270" w:rsidRPr="00BD7CEA" w:rsidRDefault="00E74270" w:rsidP="00E74270">
            <w:pPr>
              <w:pStyle w:val="AppendixBodyText"/>
              <w:rPr>
                <w:rFonts w:ascii="Tahoma" w:hAnsi="Tahoma" w:cs="Tahoma"/>
                <w:sz w:val="18"/>
                <w:szCs w:val="18"/>
              </w:rPr>
            </w:pPr>
            <w:r w:rsidRPr="00BD7CEA">
              <w:rPr>
                <w:rFonts w:ascii="Tahoma" w:hAnsi="Tahoma" w:cs="Tahoma"/>
                <w:sz w:val="18"/>
                <w:szCs w:val="18"/>
              </w:rPr>
              <w:t>Franco svizzero</w:t>
            </w:r>
          </w:p>
        </w:tc>
        <w:tc>
          <w:tcPr>
            <w:tcW w:w="1112" w:type="dxa"/>
            <w:vAlign w:val="bottom"/>
          </w:tcPr>
          <w:p w:rsidR="00E74270" w:rsidRPr="00BD7CEA" w:rsidRDefault="00E74270" w:rsidP="00E74270">
            <w:pPr>
              <w:pStyle w:val="AppendixBodyText"/>
              <w:jc w:val="center"/>
              <w:rPr>
                <w:rFonts w:ascii="Tahoma" w:hAnsi="Tahoma" w:cs="Tahoma"/>
                <w:sz w:val="18"/>
                <w:szCs w:val="18"/>
              </w:rPr>
            </w:pPr>
            <w:r w:rsidRPr="00BD7CEA">
              <w:rPr>
                <w:rFonts w:ascii="Tahoma" w:hAnsi="Tahoma" w:cs="Tahoma"/>
                <w:sz w:val="18"/>
                <w:szCs w:val="18"/>
              </w:rPr>
              <w:t>CHF</w:t>
            </w:r>
          </w:p>
        </w:tc>
        <w:tc>
          <w:tcPr>
            <w:tcW w:w="3152" w:type="dxa"/>
            <w:vAlign w:val="bottom"/>
          </w:tcPr>
          <w:p w:rsidR="00E74270" w:rsidRPr="00BD7CEA" w:rsidRDefault="00E74270" w:rsidP="00194E01">
            <w:pPr>
              <w:pStyle w:val="AppendixBodyText"/>
              <w:jc w:val="right"/>
              <w:rPr>
                <w:rFonts w:ascii="Tahoma" w:hAnsi="Tahoma" w:cs="Tahoma"/>
                <w:sz w:val="18"/>
                <w:szCs w:val="18"/>
              </w:rPr>
            </w:pPr>
            <w:r w:rsidRPr="00BD7CEA">
              <w:rPr>
                <w:rFonts w:ascii="Tahoma" w:hAnsi="Tahoma" w:cs="Tahoma"/>
                <w:color w:val="000000"/>
                <w:sz w:val="18"/>
                <w:szCs w:val="18"/>
              </w:rPr>
              <w:t>412</w:t>
            </w:r>
            <w:r w:rsidR="00194E01">
              <w:rPr>
                <w:rFonts w:ascii="Tahoma" w:hAnsi="Tahoma" w:cs="Tahoma"/>
                <w:color w:val="000000"/>
                <w:sz w:val="18"/>
                <w:szCs w:val="18"/>
              </w:rPr>
              <w:t>.</w:t>
            </w:r>
            <w:r w:rsidRPr="00BD7CEA">
              <w:rPr>
                <w:rFonts w:ascii="Tahoma" w:hAnsi="Tahoma" w:cs="Tahoma"/>
                <w:color w:val="000000"/>
                <w:sz w:val="18"/>
                <w:szCs w:val="18"/>
              </w:rPr>
              <w:t>500</w:t>
            </w:r>
          </w:p>
        </w:tc>
      </w:tr>
      <w:tr w:rsidR="00E74270" w:rsidRPr="00BD7CEA" w:rsidTr="008233B3">
        <w:trPr>
          <w:trHeight w:val="236"/>
          <w:jc w:val="center"/>
        </w:trPr>
        <w:tc>
          <w:tcPr>
            <w:tcW w:w="1757" w:type="dxa"/>
            <w:vAlign w:val="bottom"/>
          </w:tcPr>
          <w:p w:rsidR="00E74270" w:rsidRPr="00BD7CEA" w:rsidRDefault="00E74270" w:rsidP="00E74270">
            <w:pPr>
              <w:pStyle w:val="AppendixBodyText"/>
              <w:rPr>
                <w:rFonts w:ascii="Tahoma" w:hAnsi="Tahoma" w:cs="Tahoma"/>
                <w:sz w:val="18"/>
                <w:szCs w:val="18"/>
              </w:rPr>
            </w:pPr>
            <w:r w:rsidRPr="00BD7CEA">
              <w:rPr>
                <w:rFonts w:ascii="Tahoma" w:hAnsi="Tahoma" w:cs="Tahoma"/>
                <w:sz w:val="18"/>
                <w:szCs w:val="18"/>
              </w:rPr>
              <w:t>Renminbi cinese</w:t>
            </w:r>
          </w:p>
        </w:tc>
        <w:tc>
          <w:tcPr>
            <w:tcW w:w="1112" w:type="dxa"/>
            <w:vAlign w:val="bottom"/>
          </w:tcPr>
          <w:p w:rsidR="00E74270" w:rsidRPr="00BD7CEA" w:rsidRDefault="00E74270" w:rsidP="00E74270">
            <w:pPr>
              <w:pStyle w:val="AppendixBodyText"/>
              <w:jc w:val="center"/>
              <w:rPr>
                <w:rFonts w:ascii="Tahoma" w:hAnsi="Tahoma" w:cs="Tahoma"/>
                <w:sz w:val="18"/>
                <w:szCs w:val="18"/>
              </w:rPr>
            </w:pPr>
            <w:r w:rsidRPr="00BD7CEA">
              <w:rPr>
                <w:rFonts w:ascii="Tahoma" w:hAnsi="Tahoma" w:cs="Tahoma"/>
                <w:sz w:val="18"/>
                <w:szCs w:val="18"/>
              </w:rPr>
              <w:t>CNY</w:t>
            </w:r>
          </w:p>
        </w:tc>
        <w:tc>
          <w:tcPr>
            <w:tcW w:w="3152" w:type="dxa"/>
            <w:vAlign w:val="bottom"/>
          </w:tcPr>
          <w:p w:rsidR="00E74270" w:rsidRPr="00BD7CEA" w:rsidRDefault="00E74270" w:rsidP="00194E01">
            <w:pPr>
              <w:pStyle w:val="AppendixBodyText"/>
              <w:jc w:val="right"/>
              <w:rPr>
                <w:rFonts w:ascii="Tahoma" w:hAnsi="Tahoma" w:cs="Tahoma"/>
                <w:sz w:val="18"/>
                <w:szCs w:val="18"/>
              </w:rPr>
            </w:pPr>
            <w:r w:rsidRPr="00BD7CEA">
              <w:rPr>
                <w:rFonts w:ascii="Tahoma" w:hAnsi="Tahoma" w:cs="Tahoma"/>
                <w:color w:val="000000"/>
                <w:sz w:val="18"/>
                <w:szCs w:val="18"/>
              </w:rPr>
              <w:t>2</w:t>
            </w:r>
            <w:r w:rsidR="00194E01">
              <w:rPr>
                <w:rFonts w:ascii="Tahoma" w:hAnsi="Tahoma" w:cs="Tahoma"/>
                <w:color w:val="000000"/>
                <w:sz w:val="18"/>
                <w:szCs w:val="18"/>
              </w:rPr>
              <w:t>.</w:t>
            </w:r>
            <w:r w:rsidRPr="00BD7CEA">
              <w:rPr>
                <w:rFonts w:ascii="Tahoma" w:hAnsi="Tahoma" w:cs="Tahoma"/>
                <w:color w:val="000000"/>
                <w:sz w:val="18"/>
                <w:szCs w:val="18"/>
              </w:rPr>
              <w:t>062</w:t>
            </w:r>
            <w:r w:rsidR="00194E01">
              <w:rPr>
                <w:rFonts w:ascii="Tahoma" w:hAnsi="Tahoma" w:cs="Tahoma"/>
                <w:color w:val="000000"/>
                <w:sz w:val="18"/>
                <w:szCs w:val="18"/>
              </w:rPr>
              <w:t>.</w:t>
            </w:r>
            <w:r w:rsidRPr="00BD7CEA">
              <w:rPr>
                <w:rFonts w:ascii="Tahoma" w:hAnsi="Tahoma" w:cs="Tahoma"/>
                <w:color w:val="000000"/>
                <w:sz w:val="18"/>
                <w:szCs w:val="18"/>
              </w:rPr>
              <w:t>500</w:t>
            </w:r>
          </w:p>
        </w:tc>
      </w:tr>
      <w:tr w:rsidR="00E74270" w:rsidRPr="00BD7CEA" w:rsidTr="008233B3">
        <w:trPr>
          <w:trHeight w:val="236"/>
          <w:jc w:val="center"/>
        </w:trPr>
        <w:tc>
          <w:tcPr>
            <w:tcW w:w="1757" w:type="dxa"/>
            <w:vAlign w:val="bottom"/>
          </w:tcPr>
          <w:p w:rsidR="00E74270" w:rsidRPr="00BD7CEA" w:rsidRDefault="00E74270" w:rsidP="00E74270">
            <w:pPr>
              <w:pStyle w:val="AppendixBodyText"/>
              <w:rPr>
                <w:rFonts w:ascii="Tahoma" w:hAnsi="Tahoma" w:cs="Tahoma"/>
                <w:sz w:val="18"/>
                <w:szCs w:val="18"/>
              </w:rPr>
            </w:pPr>
            <w:r w:rsidRPr="00BD7CEA">
              <w:rPr>
                <w:rFonts w:ascii="Tahoma" w:hAnsi="Tahoma" w:cs="Tahoma"/>
                <w:sz w:val="18"/>
                <w:szCs w:val="18"/>
              </w:rPr>
              <w:t>Corone Danesi</w:t>
            </w:r>
          </w:p>
        </w:tc>
        <w:tc>
          <w:tcPr>
            <w:tcW w:w="1112" w:type="dxa"/>
            <w:vAlign w:val="bottom"/>
          </w:tcPr>
          <w:p w:rsidR="00E74270" w:rsidRPr="00BD7CEA" w:rsidRDefault="00E74270" w:rsidP="00E74270">
            <w:pPr>
              <w:pStyle w:val="AppendixBodyText"/>
              <w:jc w:val="center"/>
              <w:rPr>
                <w:rFonts w:ascii="Tahoma" w:hAnsi="Tahoma" w:cs="Tahoma"/>
                <w:sz w:val="18"/>
                <w:szCs w:val="18"/>
              </w:rPr>
            </w:pPr>
            <w:r w:rsidRPr="00BD7CEA">
              <w:rPr>
                <w:rFonts w:ascii="Tahoma" w:hAnsi="Tahoma" w:cs="Tahoma"/>
                <w:sz w:val="18"/>
                <w:szCs w:val="18"/>
              </w:rPr>
              <w:t>DKK</w:t>
            </w:r>
          </w:p>
        </w:tc>
        <w:tc>
          <w:tcPr>
            <w:tcW w:w="3152" w:type="dxa"/>
            <w:vAlign w:val="bottom"/>
          </w:tcPr>
          <w:p w:rsidR="00E74270" w:rsidRPr="00BD7CEA" w:rsidRDefault="00E74270" w:rsidP="00194E01">
            <w:pPr>
              <w:pStyle w:val="AppendixBodyText"/>
              <w:jc w:val="right"/>
              <w:rPr>
                <w:rFonts w:ascii="Tahoma" w:hAnsi="Tahoma" w:cs="Tahoma"/>
                <w:sz w:val="18"/>
                <w:szCs w:val="18"/>
              </w:rPr>
            </w:pPr>
            <w:r w:rsidRPr="00BD7CEA">
              <w:rPr>
                <w:rFonts w:ascii="Tahoma" w:hAnsi="Tahoma" w:cs="Tahoma"/>
                <w:color w:val="000000"/>
                <w:sz w:val="18"/>
                <w:szCs w:val="18"/>
              </w:rPr>
              <w:t>2</w:t>
            </w:r>
            <w:r w:rsidR="00194E01">
              <w:rPr>
                <w:rFonts w:ascii="Tahoma" w:hAnsi="Tahoma" w:cs="Tahoma"/>
                <w:color w:val="000000"/>
                <w:sz w:val="18"/>
                <w:szCs w:val="18"/>
              </w:rPr>
              <w:t>.</w:t>
            </w:r>
            <w:r w:rsidRPr="00BD7CEA">
              <w:rPr>
                <w:rFonts w:ascii="Tahoma" w:hAnsi="Tahoma" w:cs="Tahoma"/>
                <w:color w:val="000000"/>
                <w:sz w:val="18"/>
                <w:szCs w:val="18"/>
              </w:rPr>
              <w:t>000</w:t>
            </w:r>
            <w:r w:rsidR="00194E01">
              <w:rPr>
                <w:rFonts w:ascii="Tahoma" w:hAnsi="Tahoma" w:cs="Tahoma"/>
                <w:color w:val="000000"/>
                <w:sz w:val="18"/>
                <w:szCs w:val="18"/>
              </w:rPr>
              <w:t>.</w:t>
            </w:r>
            <w:r w:rsidRPr="00BD7CEA">
              <w:rPr>
                <w:rFonts w:ascii="Tahoma" w:hAnsi="Tahoma" w:cs="Tahoma"/>
                <w:color w:val="000000"/>
                <w:sz w:val="18"/>
                <w:szCs w:val="18"/>
              </w:rPr>
              <w:t>000</w:t>
            </w:r>
          </w:p>
        </w:tc>
      </w:tr>
      <w:tr w:rsidR="00E74270" w:rsidRPr="00BD7CEA" w:rsidTr="008233B3">
        <w:trPr>
          <w:trHeight w:val="236"/>
          <w:jc w:val="center"/>
        </w:trPr>
        <w:tc>
          <w:tcPr>
            <w:tcW w:w="1757" w:type="dxa"/>
            <w:vAlign w:val="bottom"/>
          </w:tcPr>
          <w:p w:rsidR="00E74270" w:rsidRPr="00BD7CEA" w:rsidRDefault="00E74270" w:rsidP="00E74270">
            <w:pPr>
              <w:pStyle w:val="AppendixBodyText"/>
              <w:rPr>
                <w:rFonts w:ascii="Tahoma" w:hAnsi="Tahoma" w:cs="Tahoma"/>
                <w:sz w:val="18"/>
                <w:szCs w:val="18"/>
              </w:rPr>
            </w:pPr>
            <w:r w:rsidRPr="00BD7CEA">
              <w:rPr>
                <w:rFonts w:ascii="Tahoma" w:hAnsi="Tahoma" w:cs="Tahoma"/>
                <w:sz w:val="18"/>
                <w:szCs w:val="18"/>
              </w:rPr>
              <w:t>EURO</w:t>
            </w:r>
          </w:p>
        </w:tc>
        <w:tc>
          <w:tcPr>
            <w:tcW w:w="1112" w:type="dxa"/>
            <w:vAlign w:val="bottom"/>
          </w:tcPr>
          <w:p w:rsidR="00E74270" w:rsidRPr="00BD7CEA" w:rsidRDefault="00E74270" w:rsidP="00E74270">
            <w:pPr>
              <w:pStyle w:val="AppendixBodyText"/>
              <w:jc w:val="center"/>
              <w:rPr>
                <w:rFonts w:ascii="Tahoma" w:hAnsi="Tahoma" w:cs="Tahoma"/>
                <w:sz w:val="18"/>
                <w:szCs w:val="18"/>
              </w:rPr>
            </w:pPr>
            <w:r w:rsidRPr="00BD7CEA">
              <w:rPr>
                <w:rFonts w:ascii="Tahoma" w:hAnsi="Tahoma" w:cs="Tahoma"/>
                <w:sz w:val="18"/>
                <w:szCs w:val="18"/>
              </w:rPr>
              <w:t>EUR</w:t>
            </w:r>
          </w:p>
        </w:tc>
        <w:tc>
          <w:tcPr>
            <w:tcW w:w="3152" w:type="dxa"/>
            <w:vAlign w:val="bottom"/>
          </w:tcPr>
          <w:p w:rsidR="00E74270" w:rsidRPr="00BD7CEA" w:rsidRDefault="00E74270" w:rsidP="00194E01">
            <w:pPr>
              <w:pStyle w:val="AppendixBodyText"/>
              <w:jc w:val="right"/>
              <w:rPr>
                <w:rFonts w:ascii="Tahoma" w:hAnsi="Tahoma" w:cs="Tahoma"/>
                <w:sz w:val="18"/>
                <w:szCs w:val="18"/>
              </w:rPr>
            </w:pPr>
            <w:r w:rsidRPr="00BD7CEA">
              <w:rPr>
                <w:rFonts w:ascii="Tahoma" w:hAnsi="Tahoma" w:cs="Tahoma"/>
                <w:color w:val="000000"/>
                <w:sz w:val="18"/>
                <w:szCs w:val="18"/>
              </w:rPr>
              <w:t>268</w:t>
            </w:r>
            <w:r w:rsidR="00194E01">
              <w:rPr>
                <w:rFonts w:ascii="Tahoma" w:hAnsi="Tahoma" w:cs="Tahoma"/>
                <w:color w:val="000000"/>
                <w:sz w:val="18"/>
                <w:szCs w:val="18"/>
              </w:rPr>
              <w:t>.</w:t>
            </w:r>
            <w:r w:rsidRPr="00BD7CEA">
              <w:rPr>
                <w:rFonts w:ascii="Tahoma" w:hAnsi="Tahoma" w:cs="Tahoma"/>
                <w:color w:val="000000"/>
                <w:sz w:val="18"/>
                <w:szCs w:val="18"/>
              </w:rPr>
              <w:t>750</w:t>
            </w:r>
          </w:p>
        </w:tc>
      </w:tr>
      <w:tr w:rsidR="00E74270" w:rsidRPr="00BD7CEA" w:rsidTr="008233B3">
        <w:trPr>
          <w:trHeight w:val="236"/>
          <w:jc w:val="center"/>
        </w:trPr>
        <w:tc>
          <w:tcPr>
            <w:tcW w:w="1757" w:type="dxa"/>
            <w:vAlign w:val="bottom"/>
          </w:tcPr>
          <w:p w:rsidR="00E74270" w:rsidRPr="00BD7CEA" w:rsidRDefault="00E74270" w:rsidP="00E74270">
            <w:pPr>
              <w:pStyle w:val="AppendixBodyText"/>
              <w:rPr>
                <w:rFonts w:ascii="Tahoma" w:hAnsi="Tahoma" w:cs="Tahoma"/>
                <w:sz w:val="18"/>
                <w:szCs w:val="18"/>
              </w:rPr>
            </w:pPr>
            <w:r w:rsidRPr="00BD7CEA">
              <w:rPr>
                <w:rFonts w:ascii="Tahoma" w:hAnsi="Tahoma" w:cs="Tahoma"/>
                <w:sz w:val="18"/>
                <w:szCs w:val="18"/>
              </w:rPr>
              <w:t>Sterlina britannica</w:t>
            </w:r>
          </w:p>
        </w:tc>
        <w:tc>
          <w:tcPr>
            <w:tcW w:w="1112" w:type="dxa"/>
            <w:vAlign w:val="bottom"/>
          </w:tcPr>
          <w:p w:rsidR="00E74270" w:rsidRPr="00BD7CEA" w:rsidRDefault="00E74270" w:rsidP="00E74270">
            <w:pPr>
              <w:pStyle w:val="AppendixBodyText"/>
              <w:jc w:val="center"/>
              <w:rPr>
                <w:rFonts w:ascii="Tahoma" w:hAnsi="Tahoma" w:cs="Tahoma"/>
                <w:sz w:val="18"/>
                <w:szCs w:val="18"/>
              </w:rPr>
            </w:pPr>
            <w:r w:rsidRPr="00BD7CEA">
              <w:rPr>
                <w:rFonts w:ascii="Tahoma" w:hAnsi="Tahoma" w:cs="Tahoma"/>
                <w:sz w:val="18"/>
                <w:szCs w:val="18"/>
              </w:rPr>
              <w:t>GBP</w:t>
            </w:r>
          </w:p>
        </w:tc>
        <w:tc>
          <w:tcPr>
            <w:tcW w:w="3152" w:type="dxa"/>
            <w:vAlign w:val="bottom"/>
          </w:tcPr>
          <w:p w:rsidR="00E74270" w:rsidRPr="00BD7CEA" w:rsidRDefault="00E74270" w:rsidP="00194E01">
            <w:pPr>
              <w:pStyle w:val="AppendixBodyText"/>
              <w:jc w:val="right"/>
              <w:rPr>
                <w:rFonts w:ascii="Tahoma" w:hAnsi="Tahoma" w:cs="Tahoma"/>
                <w:sz w:val="18"/>
                <w:szCs w:val="18"/>
              </w:rPr>
            </w:pPr>
            <w:r w:rsidRPr="00BD7CEA">
              <w:rPr>
                <w:rFonts w:ascii="Tahoma" w:hAnsi="Tahoma" w:cs="Tahoma"/>
                <w:color w:val="000000"/>
                <w:sz w:val="18"/>
                <w:szCs w:val="18"/>
              </w:rPr>
              <w:t>168</w:t>
            </w:r>
            <w:r w:rsidR="00194E01">
              <w:rPr>
                <w:rFonts w:ascii="Tahoma" w:hAnsi="Tahoma" w:cs="Tahoma"/>
                <w:color w:val="000000"/>
                <w:sz w:val="18"/>
                <w:szCs w:val="18"/>
              </w:rPr>
              <w:t>.</w:t>
            </w:r>
            <w:r w:rsidRPr="00BD7CEA">
              <w:rPr>
                <w:rFonts w:ascii="Tahoma" w:hAnsi="Tahoma" w:cs="Tahoma"/>
                <w:color w:val="000000"/>
                <w:sz w:val="18"/>
                <w:szCs w:val="18"/>
              </w:rPr>
              <w:t>750</w:t>
            </w:r>
          </w:p>
        </w:tc>
      </w:tr>
      <w:tr w:rsidR="00E74270" w:rsidRPr="00BD7CEA" w:rsidTr="008233B3">
        <w:trPr>
          <w:trHeight w:val="236"/>
          <w:jc w:val="center"/>
        </w:trPr>
        <w:tc>
          <w:tcPr>
            <w:tcW w:w="1757" w:type="dxa"/>
            <w:vAlign w:val="bottom"/>
          </w:tcPr>
          <w:p w:rsidR="00E74270" w:rsidRPr="00BD7CEA" w:rsidRDefault="00E74270" w:rsidP="00E74270">
            <w:pPr>
              <w:pStyle w:val="AppendixBodyText"/>
              <w:rPr>
                <w:rFonts w:ascii="Tahoma" w:hAnsi="Tahoma" w:cs="Tahoma"/>
                <w:sz w:val="18"/>
                <w:szCs w:val="18"/>
              </w:rPr>
            </w:pPr>
            <w:r w:rsidRPr="00BD7CEA">
              <w:rPr>
                <w:rFonts w:ascii="Tahoma" w:hAnsi="Tahoma" w:cs="Tahoma"/>
                <w:sz w:val="18"/>
                <w:szCs w:val="18"/>
              </w:rPr>
              <w:t>Yen Giapponesi</w:t>
            </w:r>
          </w:p>
        </w:tc>
        <w:tc>
          <w:tcPr>
            <w:tcW w:w="1112" w:type="dxa"/>
            <w:vAlign w:val="bottom"/>
          </w:tcPr>
          <w:p w:rsidR="00E74270" w:rsidRPr="00BD7CEA" w:rsidRDefault="00E74270" w:rsidP="00E74270">
            <w:pPr>
              <w:pStyle w:val="AppendixBodyText"/>
              <w:jc w:val="center"/>
              <w:rPr>
                <w:rFonts w:ascii="Tahoma" w:hAnsi="Tahoma" w:cs="Tahoma"/>
                <w:sz w:val="18"/>
                <w:szCs w:val="18"/>
              </w:rPr>
            </w:pPr>
            <w:r w:rsidRPr="00BD7CEA">
              <w:rPr>
                <w:rFonts w:ascii="Tahoma" w:hAnsi="Tahoma" w:cs="Tahoma"/>
                <w:sz w:val="18"/>
                <w:szCs w:val="18"/>
              </w:rPr>
              <w:t>JPY</w:t>
            </w:r>
          </w:p>
        </w:tc>
        <w:tc>
          <w:tcPr>
            <w:tcW w:w="3152" w:type="dxa"/>
            <w:vAlign w:val="bottom"/>
          </w:tcPr>
          <w:p w:rsidR="00E74270" w:rsidRPr="00BD7CEA" w:rsidRDefault="00E74270" w:rsidP="00194E01">
            <w:pPr>
              <w:pStyle w:val="AppendixBodyText"/>
              <w:jc w:val="right"/>
              <w:rPr>
                <w:rFonts w:ascii="Tahoma" w:hAnsi="Tahoma" w:cs="Tahoma"/>
                <w:sz w:val="18"/>
                <w:szCs w:val="18"/>
              </w:rPr>
            </w:pPr>
            <w:r w:rsidRPr="00BD7CEA">
              <w:rPr>
                <w:rFonts w:ascii="Tahoma" w:hAnsi="Tahoma" w:cs="Tahoma"/>
                <w:color w:val="000000"/>
                <w:sz w:val="18"/>
                <w:szCs w:val="18"/>
              </w:rPr>
              <w:t>30</w:t>
            </w:r>
            <w:r w:rsidR="00194E01">
              <w:rPr>
                <w:rFonts w:ascii="Tahoma" w:hAnsi="Tahoma" w:cs="Tahoma"/>
                <w:color w:val="000000"/>
                <w:sz w:val="18"/>
                <w:szCs w:val="18"/>
              </w:rPr>
              <w:t>.</w:t>
            </w:r>
            <w:r w:rsidRPr="00BD7CEA">
              <w:rPr>
                <w:rFonts w:ascii="Tahoma" w:hAnsi="Tahoma" w:cs="Tahoma"/>
                <w:color w:val="000000"/>
                <w:sz w:val="18"/>
                <w:szCs w:val="18"/>
              </w:rPr>
              <w:t>000</w:t>
            </w:r>
            <w:r w:rsidR="00194E01">
              <w:rPr>
                <w:rFonts w:ascii="Tahoma" w:hAnsi="Tahoma" w:cs="Tahoma"/>
                <w:color w:val="000000"/>
                <w:sz w:val="18"/>
                <w:szCs w:val="18"/>
              </w:rPr>
              <w:t>.</w:t>
            </w:r>
            <w:r w:rsidRPr="00BD7CEA">
              <w:rPr>
                <w:rFonts w:ascii="Tahoma" w:hAnsi="Tahoma" w:cs="Tahoma"/>
                <w:color w:val="000000"/>
                <w:sz w:val="18"/>
                <w:szCs w:val="18"/>
              </w:rPr>
              <w:t>000</w:t>
            </w:r>
          </w:p>
        </w:tc>
      </w:tr>
      <w:tr w:rsidR="00E74270" w:rsidRPr="00BD7CEA" w:rsidTr="008233B3">
        <w:trPr>
          <w:trHeight w:val="236"/>
          <w:jc w:val="center"/>
        </w:trPr>
        <w:tc>
          <w:tcPr>
            <w:tcW w:w="1757" w:type="dxa"/>
            <w:vAlign w:val="bottom"/>
          </w:tcPr>
          <w:p w:rsidR="00E74270" w:rsidRPr="00BD7CEA" w:rsidRDefault="00E74270" w:rsidP="00E74270">
            <w:pPr>
              <w:pStyle w:val="AppendixBodyText"/>
              <w:rPr>
                <w:rFonts w:ascii="Tahoma" w:hAnsi="Tahoma" w:cs="Tahoma"/>
                <w:sz w:val="18"/>
                <w:szCs w:val="18"/>
              </w:rPr>
            </w:pPr>
            <w:r w:rsidRPr="00BD7CEA">
              <w:rPr>
                <w:rFonts w:ascii="Tahoma" w:hAnsi="Tahoma" w:cs="Tahoma"/>
                <w:sz w:val="18"/>
                <w:szCs w:val="18"/>
              </w:rPr>
              <w:t>Won Coreani</w:t>
            </w:r>
          </w:p>
        </w:tc>
        <w:tc>
          <w:tcPr>
            <w:tcW w:w="1112" w:type="dxa"/>
            <w:vAlign w:val="bottom"/>
          </w:tcPr>
          <w:p w:rsidR="00E74270" w:rsidRPr="00BD7CEA" w:rsidRDefault="00E74270" w:rsidP="00E74270">
            <w:pPr>
              <w:pStyle w:val="AppendixBodyText"/>
              <w:jc w:val="center"/>
              <w:rPr>
                <w:rFonts w:ascii="Tahoma" w:hAnsi="Tahoma" w:cs="Tahoma"/>
                <w:sz w:val="18"/>
                <w:szCs w:val="18"/>
              </w:rPr>
            </w:pPr>
            <w:r w:rsidRPr="00BD7CEA">
              <w:rPr>
                <w:rFonts w:ascii="Tahoma" w:hAnsi="Tahoma" w:cs="Tahoma"/>
                <w:sz w:val="18"/>
                <w:szCs w:val="18"/>
              </w:rPr>
              <w:t>KRW</w:t>
            </w:r>
          </w:p>
        </w:tc>
        <w:tc>
          <w:tcPr>
            <w:tcW w:w="3152" w:type="dxa"/>
            <w:vAlign w:val="bottom"/>
          </w:tcPr>
          <w:p w:rsidR="00E74270" w:rsidRPr="00BD7CEA" w:rsidRDefault="00E74270" w:rsidP="00194E01">
            <w:pPr>
              <w:pStyle w:val="AppendixBodyText"/>
              <w:jc w:val="right"/>
              <w:rPr>
                <w:rFonts w:ascii="Tahoma" w:hAnsi="Tahoma" w:cs="Tahoma"/>
                <w:sz w:val="18"/>
                <w:szCs w:val="18"/>
              </w:rPr>
            </w:pPr>
            <w:r w:rsidRPr="00BD7CEA">
              <w:rPr>
                <w:rFonts w:ascii="Tahoma" w:hAnsi="Tahoma" w:cs="Tahoma"/>
                <w:color w:val="000000"/>
                <w:sz w:val="18"/>
                <w:szCs w:val="18"/>
              </w:rPr>
              <w:t>300</w:t>
            </w:r>
            <w:r w:rsidR="00194E01">
              <w:rPr>
                <w:rFonts w:ascii="Tahoma" w:hAnsi="Tahoma" w:cs="Tahoma"/>
                <w:color w:val="000000"/>
                <w:sz w:val="18"/>
                <w:szCs w:val="18"/>
              </w:rPr>
              <w:t>.</w:t>
            </w:r>
            <w:r w:rsidRPr="00BD7CEA">
              <w:rPr>
                <w:rFonts w:ascii="Tahoma" w:hAnsi="Tahoma" w:cs="Tahoma"/>
                <w:color w:val="000000"/>
                <w:sz w:val="18"/>
                <w:szCs w:val="18"/>
              </w:rPr>
              <w:t>000</w:t>
            </w:r>
            <w:r w:rsidR="00194E01">
              <w:rPr>
                <w:rFonts w:ascii="Tahoma" w:hAnsi="Tahoma" w:cs="Tahoma"/>
                <w:color w:val="000000"/>
                <w:sz w:val="18"/>
                <w:szCs w:val="18"/>
              </w:rPr>
              <w:t>.</w:t>
            </w:r>
            <w:r w:rsidRPr="00BD7CEA">
              <w:rPr>
                <w:rFonts w:ascii="Tahoma" w:hAnsi="Tahoma" w:cs="Tahoma"/>
                <w:color w:val="000000"/>
                <w:sz w:val="18"/>
                <w:szCs w:val="18"/>
              </w:rPr>
              <w:t>000</w:t>
            </w:r>
          </w:p>
        </w:tc>
      </w:tr>
      <w:tr w:rsidR="00E74270" w:rsidRPr="00BD7CEA" w:rsidTr="008233B3">
        <w:trPr>
          <w:trHeight w:val="236"/>
          <w:jc w:val="center"/>
        </w:trPr>
        <w:tc>
          <w:tcPr>
            <w:tcW w:w="1757" w:type="dxa"/>
            <w:vAlign w:val="bottom"/>
          </w:tcPr>
          <w:p w:rsidR="00E74270" w:rsidRPr="00BD7CEA" w:rsidRDefault="00E74270" w:rsidP="00E74270">
            <w:pPr>
              <w:pStyle w:val="AppendixBodyText"/>
              <w:rPr>
                <w:rFonts w:ascii="Tahoma" w:hAnsi="Tahoma" w:cs="Tahoma"/>
                <w:sz w:val="18"/>
                <w:szCs w:val="18"/>
              </w:rPr>
            </w:pPr>
            <w:r w:rsidRPr="00BD7CEA">
              <w:rPr>
                <w:rFonts w:ascii="Tahoma" w:hAnsi="Tahoma" w:cs="Tahoma"/>
                <w:sz w:val="18"/>
                <w:szCs w:val="18"/>
              </w:rPr>
              <w:t>Corone Norvegesi</w:t>
            </w:r>
          </w:p>
        </w:tc>
        <w:tc>
          <w:tcPr>
            <w:tcW w:w="1112" w:type="dxa"/>
            <w:vAlign w:val="bottom"/>
          </w:tcPr>
          <w:p w:rsidR="00E74270" w:rsidRPr="00BD7CEA" w:rsidRDefault="00E74270" w:rsidP="00E74270">
            <w:pPr>
              <w:pStyle w:val="AppendixBodyText"/>
              <w:jc w:val="center"/>
              <w:rPr>
                <w:rFonts w:ascii="Tahoma" w:hAnsi="Tahoma" w:cs="Tahoma"/>
                <w:sz w:val="18"/>
                <w:szCs w:val="18"/>
              </w:rPr>
            </w:pPr>
            <w:r w:rsidRPr="00BD7CEA">
              <w:rPr>
                <w:rFonts w:ascii="Tahoma" w:hAnsi="Tahoma" w:cs="Tahoma"/>
                <w:sz w:val="18"/>
                <w:szCs w:val="18"/>
              </w:rPr>
              <w:t>NOK</w:t>
            </w:r>
          </w:p>
        </w:tc>
        <w:tc>
          <w:tcPr>
            <w:tcW w:w="3152" w:type="dxa"/>
            <w:vAlign w:val="bottom"/>
          </w:tcPr>
          <w:p w:rsidR="00E74270" w:rsidRPr="00BD7CEA" w:rsidRDefault="00E74270" w:rsidP="00194E01">
            <w:pPr>
              <w:pStyle w:val="AppendixBodyText"/>
              <w:jc w:val="right"/>
              <w:rPr>
                <w:rFonts w:ascii="Tahoma" w:hAnsi="Tahoma" w:cs="Tahoma"/>
                <w:sz w:val="18"/>
                <w:szCs w:val="18"/>
              </w:rPr>
            </w:pPr>
            <w:r w:rsidRPr="00BD7CEA">
              <w:rPr>
                <w:rFonts w:ascii="Tahoma" w:hAnsi="Tahoma" w:cs="Tahoma"/>
                <w:color w:val="000000"/>
                <w:sz w:val="18"/>
                <w:szCs w:val="18"/>
              </w:rPr>
              <w:t>2</w:t>
            </w:r>
            <w:r w:rsidR="00194E01">
              <w:rPr>
                <w:rFonts w:ascii="Tahoma" w:hAnsi="Tahoma" w:cs="Tahoma"/>
                <w:color w:val="000000"/>
                <w:sz w:val="18"/>
                <w:szCs w:val="18"/>
              </w:rPr>
              <w:t>.</w:t>
            </w:r>
            <w:r w:rsidRPr="00BD7CEA">
              <w:rPr>
                <w:rFonts w:ascii="Tahoma" w:hAnsi="Tahoma" w:cs="Tahoma"/>
                <w:color w:val="000000"/>
                <w:sz w:val="18"/>
                <w:szCs w:val="18"/>
              </w:rPr>
              <w:t>062</w:t>
            </w:r>
            <w:r w:rsidR="00194E01">
              <w:rPr>
                <w:rFonts w:ascii="Tahoma" w:hAnsi="Tahoma" w:cs="Tahoma"/>
                <w:color w:val="000000"/>
                <w:sz w:val="18"/>
                <w:szCs w:val="18"/>
              </w:rPr>
              <w:t>.</w:t>
            </w:r>
            <w:r w:rsidRPr="00BD7CEA">
              <w:rPr>
                <w:rFonts w:ascii="Tahoma" w:hAnsi="Tahoma" w:cs="Tahoma"/>
                <w:color w:val="000000"/>
                <w:sz w:val="18"/>
                <w:szCs w:val="18"/>
              </w:rPr>
              <w:t>500</w:t>
            </w:r>
          </w:p>
        </w:tc>
      </w:tr>
      <w:tr w:rsidR="00E74270" w:rsidRPr="00BD7CEA" w:rsidTr="008233B3">
        <w:trPr>
          <w:trHeight w:val="236"/>
          <w:jc w:val="center"/>
        </w:trPr>
        <w:tc>
          <w:tcPr>
            <w:tcW w:w="1757" w:type="dxa"/>
            <w:vAlign w:val="bottom"/>
          </w:tcPr>
          <w:p w:rsidR="00E74270" w:rsidRPr="00BD7CEA" w:rsidRDefault="00E74270" w:rsidP="00E74270">
            <w:pPr>
              <w:pStyle w:val="AppendixBodyText"/>
              <w:rPr>
                <w:rFonts w:ascii="Tahoma" w:hAnsi="Tahoma" w:cs="Tahoma"/>
                <w:sz w:val="18"/>
                <w:szCs w:val="18"/>
              </w:rPr>
            </w:pPr>
            <w:r w:rsidRPr="00BD7CEA">
              <w:rPr>
                <w:rFonts w:ascii="Tahoma" w:hAnsi="Tahoma" w:cs="Tahoma"/>
                <w:sz w:val="18"/>
                <w:szCs w:val="18"/>
              </w:rPr>
              <w:t>Dollaro neozelandese</w:t>
            </w:r>
          </w:p>
        </w:tc>
        <w:tc>
          <w:tcPr>
            <w:tcW w:w="1112" w:type="dxa"/>
            <w:vAlign w:val="bottom"/>
          </w:tcPr>
          <w:p w:rsidR="00E74270" w:rsidRPr="00BD7CEA" w:rsidRDefault="00E74270" w:rsidP="00E74270">
            <w:pPr>
              <w:pStyle w:val="AppendixBodyText"/>
              <w:jc w:val="center"/>
              <w:rPr>
                <w:rFonts w:ascii="Tahoma" w:hAnsi="Tahoma" w:cs="Tahoma"/>
                <w:sz w:val="18"/>
                <w:szCs w:val="18"/>
              </w:rPr>
            </w:pPr>
            <w:r w:rsidRPr="00BD7CEA">
              <w:rPr>
                <w:rFonts w:ascii="Tahoma" w:hAnsi="Tahoma" w:cs="Tahoma"/>
                <w:sz w:val="18"/>
                <w:szCs w:val="18"/>
              </w:rPr>
              <w:t>NZD</w:t>
            </w:r>
          </w:p>
        </w:tc>
        <w:tc>
          <w:tcPr>
            <w:tcW w:w="3152" w:type="dxa"/>
            <w:vAlign w:val="bottom"/>
          </w:tcPr>
          <w:p w:rsidR="00E74270" w:rsidRPr="00BD7CEA" w:rsidRDefault="00E74270" w:rsidP="00194E01">
            <w:pPr>
              <w:pStyle w:val="AppendixBodyText"/>
              <w:jc w:val="right"/>
              <w:rPr>
                <w:rFonts w:ascii="Tahoma" w:hAnsi="Tahoma" w:cs="Tahoma"/>
                <w:sz w:val="18"/>
                <w:szCs w:val="18"/>
              </w:rPr>
            </w:pPr>
            <w:r w:rsidRPr="00BD7CEA">
              <w:rPr>
                <w:rFonts w:ascii="Tahoma" w:hAnsi="Tahoma" w:cs="Tahoma"/>
                <w:color w:val="000000"/>
                <w:sz w:val="18"/>
                <w:szCs w:val="18"/>
              </w:rPr>
              <w:t>437</w:t>
            </w:r>
            <w:r w:rsidR="00194E01">
              <w:rPr>
                <w:rFonts w:ascii="Tahoma" w:hAnsi="Tahoma" w:cs="Tahoma"/>
                <w:color w:val="000000"/>
                <w:sz w:val="18"/>
                <w:szCs w:val="18"/>
              </w:rPr>
              <w:t>.</w:t>
            </w:r>
            <w:r w:rsidRPr="00BD7CEA">
              <w:rPr>
                <w:rFonts w:ascii="Tahoma" w:hAnsi="Tahoma" w:cs="Tahoma"/>
                <w:color w:val="000000"/>
                <w:sz w:val="18"/>
                <w:szCs w:val="18"/>
              </w:rPr>
              <w:t>500</w:t>
            </w:r>
          </w:p>
        </w:tc>
      </w:tr>
      <w:tr w:rsidR="00E74270" w:rsidRPr="00BD7CEA" w:rsidTr="008233B3">
        <w:trPr>
          <w:trHeight w:val="236"/>
          <w:jc w:val="center"/>
        </w:trPr>
        <w:tc>
          <w:tcPr>
            <w:tcW w:w="1757" w:type="dxa"/>
            <w:vAlign w:val="bottom"/>
          </w:tcPr>
          <w:p w:rsidR="00E74270" w:rsidRPr="00BD7CEA" w:rsidRDefault="00E74270" w:rsidP="00E74270">
            <w:pPr>
              <w:pStyle w:val="AppendixBodyText"/>
              <w:rPr>
                <w:rFonts w:ascii="Tahoma" w:hAnsi="Tahoma" w:cs="Tahoma"/>
                <w:sz w:val="18"/>
                <w:szCs w:val="18"/>
              </w:rPr>
            </w:pPr>
            <w:r w:rsidRPr="00BD7CEA">
              <w:rPr>
                <w:rFonts w:ascii="Tahoma" w:hAnsi="Tahoma" w:cs="Tahoma"/>
                <w:sz w:val="18"/>
                <w:szCs w:val="18"/>
              </w:rPr>
              <w:t>Corone Svedesi</w:t>
            </w:r>
          </w:p>
        </w:tc>
        <w:tc>
          <w:tcPr>
            <w:tcW w:w="1112" w:type="dxa"/>
            <w:vAlign w:val="bottom"/>
          </w:tcPr>
          <w:p w:rsidR="00E74270" w:rsidRPr="00BD7CEA" w:rsidRDefault="00E74270" w:rsidP="00E74270">
            <w:pPr>
              <w:pStyle w:val="AppendixBodyText"/>
              <w:jc w:val="center"/>
              <w:rPr>
                <w:rFonts w:ascii="Tahoma" w:hAnsi="Tahoma" w:cs="Tahoma"/>
                <w:sz w:val="18"/>
                <w:szCs w:val="18"/>
              </w:rPr>
            </w:pPr>
            <w:r w:rsidRPr="00BD7CEA">
              <w:rPr>
                <w:rFonts w:ascii="Tahoma" w:hAnsi="Tahoma" w:cs="Tahoma"/>
                <w:sz w:val="18"/>
                <w:szCs w:val="18"/>
              </w:rPr>
              <w:t>SEK</w:t>
            </w:r>
          </w:p>
        </w:tc>
        <w:tc>
          <w:tcPr>
            <w:tcW w:w="3152" w:type="dxa"/>
            <w:vAlign w:val="bottom"/>
          </w:tcPr>
          <w:p w:rsidR="00E74270" w:rsidRPr="00BD7CEA" w:rsidRDefault="00E74270" w:rsidP="00194E01">
            <w:pPr>
              <w:pStyle w:val="AppendixBodyText"/>
              <w:jc w:val="right"/>
              <w:rPr>
                <w:rFonts w:ascii="Tahoma" w:hAnsi="Tahoma" w:cs="Tahoma"/>
                <w:sz w:val="18"/>
                <w:szCs w:val="18"/>
              </w:rPr>
            </w:pPr>
            <w:r w:rsidRPr="00BD7CEA">
              <w:rPr>
                <w:rFonts w:ascii="Tahoma" w:hAnsi="Tahoma" w:cs="Tahoma"/>
                <w:color w:val="000000"/>
                <w:sz w:val="18"/>
                <w:szCs w:val="18"/>
              </w:rPr>
              <w:t>2</w:t>
            </w:r>
            <w:r w:rsidR="00194E01">
              <w:rPr>
                <w:rFonts w:ascii="Tahoma" w:hAnsi="Tahoma" w:cs="Tahoma"/>
                <w:color w:val="000000"/>
                <w:sz w:val="18"/>
                <w:szCs w:val="18"/>
              </w:rPr>
              <w:t>.</w:t>
            </w:r>
            <w:r w:rsidRPr="00BD7CEA">
              <w:rPr>
                <w:rFonts w:ascii="Tahoma" w:hAnsi="Tahoma" w:cs="Tahoma"/>
                <w:color w:val="000000"/>
                <w:sz w:val="18"/>
                <w:szCs w:val="18"/>
              </w:rPr>
              <w:t>500</w:t>
            </w:r>
            <w:r w:rsidR="00194E01">
              <w:rPr>
                <w:rFonts w:ascii="Tahoma" w:hAnsi="Tahoma" w:cs="Tahoma"/>
                <w:color w:val="000000"/>
                <w:sz w:val="18"/>
                <w:szCs w:val="18"/>
              </w:rPr>
              <w:t>.</w:t>
            </w:r>
            <w:r w:rsidRPr="00BD7CEA">
              <w:rPr>
                <w:rFonts w:ascii="Tahoma" w:hAnsi="Tahoma" w:cs="Tahoma"/>
                <w:color w:val="000000"/>
                <w:sz w:val="18"/>
                <w:szCs w:val="18"/>
              </w:rPr>
              <w:t>000</w:t>
            </w:r>
          </w:p>
        </w:tc>
      </w:tr>
      <w:tr w:rsidR="00E74270" w:rsidRPr="00BD7CEA" w:rsidTr="008233B3">
        <w:trPr>
          <w:trHeight w:val="236"/>
          <w:jc w:val="center"/>
        </w:trPr>
        <w:tc>
          <w:tcPr>
            <w:tcW w:w="1757" w:type="dxa"/>
            <w:vAlign w:val="bottom"/>
          </w:tcPr>
          <w:p w:rsidR="00E74270" w:rsidRPr="00BD7CEA" w:rsidRDefault="00E74270" w:rsidP="00E74270">
            <w:pPr>
              <w:pStyle w:val="AppendixBodyText"/>
              <w:rPr>
                <w:rFonts w:ascii="Tahoma" w:hAnsi="Tahoma" w:cs="Tahoma"/>
                <w:sz w:val="18"/>
                <w:szCs w:val="18"/>
              </w:rPr>
            </w:pPr>
            <w:r w:rsidRPr="00BD7CEA">
              <w:rPr>
                <w:rFonts w:ascii="Tahoma" w:hAnsi="Tahoma" w:cs="Tahoma"/>
                <w:sz w:val="18"/>
                <w:szCs w:val="18"/>
              </w:rPr>
              <w:t>Nuovo dollaro taiwanese</w:t>
            </w:r>
          </w:p>
        </w:tc>
        <w:tc>
          <w:tcPr>
            <w:tcW w:w="1112" w:type="dxa"/>
            <w:vAlign w:val="bottom"/>
          </w:tcPr>
          <w:p w:rsidR="00E74270" w:rsidRPr="00BD7CEA" w:rsidRDefault="00E74270" w:rsidP="00E74270">
            <w:pPr>
              <w:pStyle w:val="AppendixBodyText"/>
              <w:jc w:val="center"/>
              <w:rPr>
                <w:rFonts w:ascii="Tahoma" w:hAnsi="Tahoma" w:cs="Tahoma"/>
                <w:sz w:val="18"/>
                <w:szCs w:val="18"/>
              </w:rPr>
            </w:pPr>
            <w:r w:rsidRPr="00BD7CEA">
              <w:rPr>
                <w:rFonts w:ascii="Tahoma" w:hAnsi="Tahoma" w:cs="Tahoma"/>
                <w:sz w:val="18"/>
                <w:szCs w:val="18"/>
              </w:rPr>
              <w:t>TWD</w:t>
            </w:r>
          </w:p>
        </w:tc>
        <w:tc>
          <w:tcPr>
            <w:tcW w:w="3152" w:type="dxa"/>
            <w:vAlign w:val="bottom"/>
          </w:tcPr>
          <w:p w:rsidR="00E74270" w:rsidRPr="00BD7CEA" w:rsidRDefault="00E74270" w:rsidP="00194E01">
            <w:pPr>
              <w:pStyle w:val="AppendixBodyText"/>
              <w:jc w:val="right"/>
              <w:rPr>
                <w:rFonts w:ascii="Tahoma" w:hAnsi="Tahoma" w:cs="Tahoma"/>
                <w:sz w:val="18"/>
                <w:szCs w:val="18"/>
              </w:rPr>
            </w:pPr>
            <w:r w:rsidRPr="00BD7CEA">
              <w:rPr>
                <w:rFonts w:ascii="Tahoma" w:hAnsi="Tahoma" w:cs="Tahoma"/>
                <w:color w:val="000000"/>
                <w:sz w:val="18"/>
                <w:szCs w:val="18"/>
              </w:rPr>
              <w:t>8</w:t>
            </w:r>
            <w:r w:rsidR="00194E01">
              <w:rPr>
                <w:rFonts w:ascii="Tahoma" w:hAnsi="Tahoma" w:cs="Tahoma"/>
                <w:color w:val="000000"/>
                <w:sz w:val="18"/>
                <w:szCs w:val="18"/>
              </w:rPr>
              <w:t>.</w:t>
            </w:r>
            <w:r w:rsidRPr="00BD7CEA">
              <w:rPr>
                <w:rFonts w:ascii="Tahoma" w:hAnsi="Tahoma" w:cs="Tahoma"/>
                <w:color w:val="000000"/>
                <w:sz w:val="18"/>
                <w:szCs w:val="18"/>
              </w:rPr>
              <w:t>750</w:t>
            </w:r>
            <w:r w:rsidR="00194E01">
              <w:rPr>
                <w:rFonts w:ascii="Tahoma" w:hAnsi="Tahoma" w:cs="Tahoma"/>
                <w:color w:val="000000"/>
                <w:sz w:val="18"/>
                <w:szCs w:val="18"/>
              </w:rPr>
              <w:t>.</w:t>
            </w:r>
            <w:r w:rsidRPr="00BD7CEA">
              <w:rPr>
                <w:rFonts w:ascii="Tahoma" w:hAnsi="Tahoma" w:cs="Tahoma"/>
                <w:color w:val="000000"/>
                <w:sz w:val="18"/>
                <w:szCs w:val="18"/>
              </w:rPr>
              <w:t>000</w:t>
            </w:r>
          </w:p>
        </w:tc>
      </w:tr>
      <w:tr w:rsidR="00E74270" w:rsidRPr="00BD7CEA" w:rsidTr="008233B3">
        <w:trPr>
          <w:trHeight w:val="236"/>
          <w:jc w:val="center"/>
        </w:trPr>
        <w:tc>
          <w:tcPr>
            <w:tcW w:w="1757" w:type="dxa"/>
            <w:vAlign w:val="bottom"/>
          </w:tcPr>
          <w:p w:rsidR="00E74270" w:rsidRPr="00BD7CEA" w:rsidRDefault="00E74270" w:rsidP="00E74270">
            <w:pPr>
              <w:pStyle w:val="AppendixBodyText"/>
              <w:rPr>
                <w:rFonts w:ascii="Tahoma" w:hAnsi="Tahoma" w:cs="Tahoma"/>
                <w:sz w:val="18"/>
                <w:szCs w:val="18"/>
              </w:rPr>
            </w:pPr>
            <w:r w:rsidRPr="00BD7CEA">
              <w:rPr>
                <w:rFonts w:ascii="Tahoma" w:hAnsi="Tahoma" w:cs="Tahoma"/>
                <w:sz w:val="18"/>
                <w:szCs w:val="18"/>
              </w:rPr>
              <w:t>Rupia indiana</w:t>
            </w:r>
          </w:p>
        </w:tc>
        <w:tc>
          <w:tcPr>
            <w:tcW w:w="1112" w:type="dxa"/>
            <w:vAlign w:val="bottom"/>
          </w:tcPr>
          <w:p w:rsidR="00E74270" w:rsidRPr="00BD7CEA" w:rsidRDefault="00E74270" w:rsidP="00E74270">
            <w:pPr>
              <w:pStyle w:val="AppendixBodyText"/>
              <w:jc w:val="center"/>
              <w:rPr>
                <w:rFonts w:ascii="Tahoma" w:hAnsi="Tahoma" w:cs="Tahoma"/>
                <w:sz w:val="18"/>
                <w:szCs w:val="18"/>
              </w:rPr>
            </w:pPr>
            <w:r w:rsidRPr="00BD7CEA">
              <w:rPr>
                <w:rFonts w:ascii="Tahoma" w:hAnsi="Tahoma" w:cs="Tahoma"/>
                <w:sz w:val="18"/>
                <w:szCs w:val="18"/>
              </w:rPr>
              <w:t>INR</w:t>
            </w:r>
          </w:p>
        </w:tc>
        <w:tc>
          <w:tcPr>
            <w:tcW w:w="3152" w:type="dxa"/>
            <w:vAlign w:val="bottom"/>
          </w:tcPr>
          <w:p w:rsidR="00E74270" w:rsidRPr="00BD7CEA" w:rsidRDefault="00E74270" w:rsidP="00194E01">
            <w:pPr>
              <w:pStyle w:val="AppendixBodyText"/>
              <w:jc w:val="right"/>
              <w:rPr>
                <w:rFonts w:ascii="Tahoma" w:hAnsi="Tahoma" w:cs="Tahoma"/>
                <w:color w:val="000000"/>
                <w:sz w:val="18"/>
                <w:szCs w:val="18"/>
              </w:rPr>
            </w:pPr>
            <w:r w:rsidRPr="00BD7CEA">
              <w:rPr>
                <w:rFonts w:ascii="Tahoma" w:hAnsi="Tahoma" w:cs="Tahoma"/>
                <w:sz w:val="18"/>
                <w:szCs w:val="18"/>
              </w:rPr>
              <w:t>12</w:t>
            </w:r>
            <w:r w:rsidR="00194E01">
              <w:rPr>
                <w:rFonts w:ascii="Tahoma" w:hAnsi="Tahoma" w:cs="Tahoma"/>
                <w:sz w:val="18"/>
                <w:szCs w:val="18"/>
              </w:rPr>
              <w:t>.</w:t>
            </w:r>
            <w:r w:rsidRPr="00BD7CEA">
              <w:rPr>
                <w:rFonts w:ascii="Tahoma" w:hAnsi="Tahoma" w:cs="Tahoma"/>
                <w:sz w:val="18"/>
                <w:szCs w:val="18"/>
              </w:rPr>
              <w:t>500</w:t>
            </w:r>
            <w:r w:rsidR="00194E01">
              <w:rPr>
                <w:rFonts w:ascii="Tahoma" w:hAnsi="Tahoma" w:cs="Tahoma"/>
                <w:sz w:val="18"/>
                <w:szCs w:val="18"/>
              </w:rPr>
              <w:t>.</w:t>
            </w:r>
            <w:r w:rsidRPr="00BD7CEA">
              <w:rPr>
                <w:rFonts w:ascii="Tahoma" w:hAnsi="Tahoma" w:cs="Tahoma"/>
                <w:sz w:val="18"/>
                <w:szCs w:val="18"/>
              </w:rPr>
              <w:t>000</w:t>
            </w:r>
          </w:p>
        </w:tc>
      </w:tr>
      <w:tr w:rsidR="00E74270" w:rsidRPr="00BD7CEA" w:rsidTr="008233B3">
        <w:trPr>
          <w:trHeight w:val="236"/>
          <w:jc w:val="center"/>
        </w:trPr>
        <w:tc>
          <w:tcPr>
            <w:tcW w:w="1757" w:type="dxa"/>
            <w:vAlign w:val="bottom"/>
          </w:tcPr>
          <w:p w:rsidR="00E74270" w:rsidRPr="00BD7CEA" w:rsidRDefault="00E74270" w:rsidP="00E74270">
            <w:pPr>
              <w:pStyle w:val="AppendixBodyText"/>
              <w:rPr>
                <w:rFonts w:ascii="Tahoma" w:hAnsi="Tahoma" w:cs="Tahoma"/>
                <w:sz w:val="18"/>
                <w:szCs w:val="18"/>
              </w:rPr>
            </w:pPr>
            <w:r w:rsidRPr="00BD7CEA">
              <w:rPr>
                <w:rFonts w:ascii="Tahoma" w:hAnsi="Tahoma" w:cs="Tahoma"/>
                <w:sz w:val="18"/>
                <w:szCs w:val="18"/>
              </w:rPr>
              <w:t>Rublo russo</w:t>
            </w:r>
          </w:p>
        </w:tc>
        <w:tc>
          <w:tcPr>
            <w:tcW w:w="1112" w:type="dxa"/>
            <w:vAlign w:val="bottom"/>
          </w:tcPr>
          <w:p w:rsidR="00E74270" w:rsidRPr="00BD7CEA" w:rsidRDefault="00E74270" w:rsidP="00E74270">
            <w:pPr>
              <w:pStyle w:val="AppendixBodyText"/>
              <w:jc w:val="center"/>
              <w:rPr>
                <w:rFonts w:ascii="Tahoma" w:hAnsi="Tahoma" w:cs="Tahoma"/>
                <w:sz w:val="18"/>
                <w:szCs w:val="18"/>
              </w:rPr>
            </w:pPr>
            <w:r w:rsidRPr="00BD7CEA">
              <w:rPr>
                <w:rFonts w:ascii="Tahoma" w:hAnsi="Tahoma" w:cs="Tahoma"/>
                <w:sz w:val="18"/>
                <w:szCs w:val="18"/>
              </w:rPr>
              <w:t>RUB</w:t>
            </w:r>
          </w:p>
        </w:tc>
        <w:tc>
          <w:tcPr>
            <w:tcW w:w="3152" w:type="dxa"/>
            <w:vAlign w:val="bottom"/>
          </w:tcPr>
          <w:p w:rsidR="00E74270" w:rsidRPr="00BD7CEA" w:rsidRDefault="00E74270" w:rsidP="00194E01">
            <w:pPr>
              <w:pStyle w:val="AppendixBodyText"/>
              <w:jc w:val="right"/>
              <w:rPr>
                <w:rFonts w:ascii="Tahoma" w:hAnsi="Tahoma" w:cs="Tahoma"/>
                <w:color w:val="000000"/>
                <w:sz w:val="18"/>
                <w:szCs w:val="18"/>
              </w:rPr>
            </w:pPr>
            <w:r w:rsidRPr="00BD7CEA">
              <w:rPr>
                <w:rFonts w:ascii="Tahoma" w:hAnsi="Tahoma" w:cs="Tahoma"/>
                <w:sz w:val="18"/>
                <w:szCs w:val="18"/>
              </w:rPr>
              <w:t>8</w:t>
            </w:r>
            <w:r w:rsidR="00194E01">
              <w:rPr>
                <w:rFonts w:ascii="Tahoma" w:hAnsi="Tahoma" w:cs="Tahoma"/>
                <w:sz w:val="18"/>
                <w:szCs w:val="18"/>
              </w:rPr>
              <w:t>.</w:t>
            </w:r>
            <w:r w:rsidRPr="00BD7CEA">
              <w:rPr>
                <w:rFonts w:ascii="Tahoma" w:hAnsi="Tahoma" w:cs="Tahoma"/>
                <w:sz w:val="18"/>
                <w:szCs w:val="18"/>
              </w:rPr>
              <w:t>250</w:t>
            </w:r>
            <w:r w:rsidR="00194E01">
              <w:rPr>
                <w:rFonts w:ascii="Tahoma" w:hAnsi="Tahoma" w:cs="Tahoma"/>
                <w:sz w:val="18"/>
                <w:szCs w:val="18"/>
              </w:rPr>
              <w:t>.</w:t>
            </w:r>
            <w:r w:rsidRPr="00BD7CEA">
              <w:rPr>
                <w:rFonts w:ascii="Tahoma" w:hAnsi="Tahoma" w:cs="Tahoma"/>
                <w:sz w:val="18"/>
                <w:szCs w:val="18"/>
              </w:rPr>
              <w:t>000</w:t>
            </w:r>
          </w:p>
        </w:tc>
      </w:tr>
    </w:tbl>
    <w:p w:rsidR="00194E01" w:rsidRDefault="00194E01" w:rsidP="00F42FB8">
      <w:pPr>
        <w:jc w:val="both"/>
        <w:rPr>
          <w:rFonts w:cs="Tahoma"/>
          <w:szCs w:val="18"/>
        </w:rPr>
      </w:pPr>
    </w:p>
    <w:p w:rsidR="00613BBB" w:rsidRPr="007B74B7" w:rsidRDefault="00613BBB" w:rsidP="00F42FB8">
      <w:pPr>
        <w:jc w:val="both"/>
        <w:rPr>
          <w:lang w:val="it-IT"/>
        </w:rPr>
      </w:pPr>
      <w:r w:rsidRPr="007B74B7">
        <w:rPr>
          <w:rFonts w:cs="Tahoma"/>
          <w:szCs w:val="18"/>
          <w:lang w:val="it-IT"/>
        </w:rPr>
        <w:t>Quando l</w:t>
      </w:r>
      <w:r w:rsidR="007A1415" w:rsidRPr="007B74B7">
        <w:rPr>
          <w:rFonts w:cs="Tahoma"/>
          <w:szCs w:val="18"/>
          <w:lang w:val="it-IT"/>
        </w:rPr>
        <w:t>’</w:t>
      </w:r>
      <w:r w:rsidRPr="007B74B7">
        <w:rPr>
          <w:rFonts w:cs="Tahoma"/>
          <w:szCs w:val="18"/>
          <w:lang w:val="it-IT"/>
        </w:rPr>
        <w:t>impegno di spesa media annuale per SA su prodotti qualificanti della Piattaforma Applicativa idonei a</w:t>
      </w:r>
      <w:r w:rsidR="00194E01" w:rsidRPr="007B74B7">
        <w:rPr>
          <w:rFonts w:cs="Tahoma"/>
          <w:szCs w:val="18"/>
          <w:lang w:val="it-IT"/>
        </w:rPr>
        <w:t> </w:t>
      </w:r>
      <w:r w:rsidRPr="007B74B7">
        <w:rPr>
          <w:rFonts w:cs="Tahoma"/>
          <w:szCs w:val="18"/>
          <w:lang w:val="it-IT"/>
        </w:rPr>
        <w:t>beneficiare del PRS Illimitato 24x7 è superiore a $250.000,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w:t>
      </w:r>
      <w:r w:rsidR="008D782D" w:rsidRPr="007B74B7">
        <w:rPr>
          <w:rFonts w:cs="Tahoma"/>
          <w:szCs w:val="18"/>
          <w:lang w:val="it-IT"/>
        </w:rPr>
        <w:t xml:space="preserve"> </w:t>
      </w:r>
      <w:r w:rsidRPr="007B74B7">
        <w:rPr>
          <w:rFonts w:cs="Tahoma"/>
          <w:szCs w:val="18"/>
          <w:lang w:val="it-IT"/>
        </w:rPr>
        <w:t>Gli interventi PRS Illimitati 24x7 non possono essere convertiti in</w:t>
      </w:r>
      <w:r w:rsidR="00194E01" w:rsidRPr="007B74B7">
        <w:rPr>
          <w:rFonts w:cs="Tahoma"/>
          <w:szCs w:val="18"/>
          <w:lang w:val="it-IT"/>
        </w:rPr>
        <w:t> </w:t>
      </w:r>
      <w:r w:rsidRPr="007B74B7">
        <w:rPr>
          <w:rFonts w:cs="Tahoma"/>
          <w:szCs w:val="18"/>
          <w:lang w:val="it-IT"/>
        </w:rPr>
        <w:t xml:space="preserve">ore o interventi di Supporto per la Risoluzione dei Problemi Premier. </w:t>
      </w:r>
    </w:p>
    <w:p w:rsidR="00613BBB" w:rsidRPr="007B74B7" w:rsidRDefault="00613BBB" w:rsidP="00F42FB8">
      <w:pPr>
        <w:rPr>
          <w:lang w:val="it-IT"/>
        </w:rPr>
      </w:pPr>
    </w:p>
    <w:p w:rsidR="00613BBB" w:rsidRPr="007B74B7" w:rsidRDefault="00613BBB" w:rsidP="00F42FB8">
      <w:pPr>
        <w:jc w:val="both"/>
        <w:rPr>
          <w:lang w:val="it-IT"/>
        </w:rPr>
      </w:pPr>
      <w:r w:rsidRPr="007B74B7">
        <w:rPr>
          <w:rFonts w:cs="Tahoma"/>
          <w:szCs w:val="18"/>
          <w:lang w:val="it-IT"/>
        </w:rPr>
        <w:t xml:space="preserve">Le società che hanno stipulato </w:t>
      </w:r>
      <w:r w:rsidRPr="007B74B7">
        <w:rPr>
          <w:rFonts w:cs="Tahoma"/>
          <w:color w:val="000000"/>
          <w:szCs w:val="18"/>
          <w:lang w:val="it-IT"/>
        </w:rPr>
        <w:t>Contratti per la Piattaforma Applicativa (APA) entrati in vigore prima del 1 luglio 2009, con una spesa media annuale per SA su prodotti qualificanti della Piattaforma Applicativa superiore a $250.000 e che dispongono di un Contratto Premier Services attivo, acquisiranno il diritto di beneficiare del PRS Illimitato 24x7 in</w:t>
      </w:r>
      <w:r w:rsidR="00194E01" w:rsidRPr="007B74B7">
        <w:rPr>
          <w:rFonts w:cs="Tahoma"/>
          <w:color w:val="000000"/>
          <w:szCs w:val="18"/>
          <w:lang w:val="it-IT"/>
        </w:rPr>
        <w:t> </w:t>
      </w:r>
      <w:r w:rsidRPr="007B74B7">
        <w:rPr>
          <w:rFonts w:cs="Tahoma"/>
          <w:color w:val="000000"/>
          <w:szCs w:val="18"/>
          <w:lang w:val="it-IT"/>
        </w:rPr>
        <w:t>occasione della prima ricorrenza annuale della data di entrata in vigore dell</w:t>
      </w:r>
      <w:r w:rsidR="007A1415" w:rsidRPr="007B74B7">
        <w:rPr>
          <w:rFonts w:cs="Tahoma"/>
          <w:color w:val="000000"/>
          <w:szCs w:val="18"/>
          <w:lang w:val="it-IT"/>
        </w:rPr>
        <w:t>’</w:t>
      </w:r>
      <w:r w:rsidRPr="007B74B7">
        <w:rPr>
          <w:rFonts w:cs="Tahoma"/>
          <w:color w:val="000000"/>
          <w:szCs w:val="18"/>
          <w:lang w:val="it-IT"/>
        </w:rPr>
        <w:t xml:space="preserve">APA. </w:t>
      </w:r>
    </w:p>
    <w:p w:rsidR="00613BBB" w:rsidRPr="007B74B7" w:rsidRDefault="00613BBB" w:rsidP="00F42FB8">
      <w:pPr>
        <w:rPr>
          <w:lang w:val="it-IT"/>
        </w:rPr>
      </w:pPr>
    </w:p>
    <w:p w:rsidR="00A17E03" w:rsidRPr="007B74B7" w:rsidRDefault="00A17E03" w:rsidP="00F42FB8">
      <w:pPr>
        <w:spacing w:line="276" w:lineRule="auto"/>
        <w:rPr>
          <w:lang w:val="it-IT"/>
        </w:rPr>
      </w:pPr>
      <w:r w:rsidRPr="007B74B7">
        <w:rPr>
          <w:rFonts w:eastAsia="Calibri" w:cs="Tahoma"/>
          <w:szCs w:val="18"/>
          <w:lang w:val="it-IT"/>
        </w:rPr>
        <w:t>(2) Le società che acquistano licenze per PDW e dispongono di un Contratto Premier Services attivo sono idonee per gli interventi PRS Illimitati 24x7.</w:t>
      </w:r>
    </w:p>
    <w:p w:rsidR="00FF1B2B" w:rsidRPr="007B74B7" w:rsidRDefault="00FF1B2B" w:rsidP="00F42FB8">
      <w:pPr>
        <w:spacing w:line="276" w:lineRule="auto"/>
        <w:rPr>
          <w:lang w:val="it-IT"/>
        </w:rPr>
      </w:pPr>
    </w:p>
    <w:p w:rsidR="00A17E03" w:rsidRPr="007B74B7" w:rsidRDefault="00A17E03" w:rsidP="00F42FB8">
      <w:pPr>
        <w:spacing w:line="276" w:lineRule="auto"/>
        <w:jc w:val="both"/>
        <w:rPr>
          <w:lang w:val="it-IT"/>
        </w:rPr>
      </w:pPr>
      <w:r w:rsidRPr="007B74B7">
        <w:rPr>
          <w:rFonts w:eastAsia="Calibri" w:cs="Tahoma"/>
          <w:szCs w:val="18"/>
          <w:lang w:val="it-IT"/>
        </w:rPr>
        <w:t>Quando le società acquistano licenze per PDW, Microsoft non concederà interventi sulla base della spesa effettiva per SA relativa a tale prodotto. Gli interventi PRS Illimitati 24x7 non possono essere convertiti in ore o interventi di</w:t>
      </w:r>
      <w:r w:rsidR="00194E01" w:rsidRPr="007B74B7">
        <w:rPr>
          <w:rFonts w:eastAsia="Calibri" w:cs="Tahoma"/>
          <w:szCs w:val="18"/>
          <w:lang w:val="it-IT"/>
        </w:rPr>
        <w:t> </w:t>
      </w:r>
      <w:r w:rsidRPr="007B74B7">
        <w:rPr>
          <w:rFonts w:eastAsia="Calibri" w:cs="Tahoma"/>
          <w:szCs w:val="18"/>
          <w:lang w:val="it-IT"/>
        </w:rPr>
        <w:t xml:space="preserve">Supporto per la Risoluzione dei Problemi Premier. </w:t>
      </w:r>
    </w:p>
    <w:p w:rsidR="00FF1B2B" w:rsidRPr="007B74B7" w:rsidRDefault="00FF1B2B" w:rsidP="00F42FB8">
      <w:pPr>
        <w:spacing w:line="276" w:lineRule="auto"/>
        <w:jc w:val="both"/>
        <w:rPr>
          <w:lang w:val="it-IT"/>
        </w:rPr>
      </w:pPr>
    </w:p>
    <w:p w:rsidR="00703F84" w:rsidRPr="007B74B7" w:rsidRDefault="00703F84" w:rsidP="00F42FB8">
      <w:pPr>
        <w:spacing w:line="276" w:lineRule="auto"/>
        <w:jc w:val="both"/>
        <w:rPr>
          <w:lang w:val="it-IT"/>
        </w:rPr>
      </w:pPr>
    </w:p>
    <w:p w:rsidR="00A17E03" w:rsidRPr="007B74B7" w:rsidRDefault="00A17E03" w:rsidP="00F42FB8">
      <w:pPr>
        <w:jc w:val="both"/>
        <w:rPr>
          <w:lang w:val="it-IT"/>
        </w:rPr>
      </w:pPr>
      <w:r w:rsidRPr="007B74B7">
        <w:rPr>
          <w:rFonts w:cs="Tahoma"/>
          <w:color w:val="000000"/>
          <w:szCs w:val="18"/>
          <w:lang w:val="it-IT"/>
        </w:rPr>
        <w:t xml:space="preserve">Mentre il numero di </w:t>
      </w:r>
      <w:r w:rsidRPr="007B74B7">
        <w:rPr>
          <w:rFonts w:cs="Tahoma"/>
          <w:i/>
          <w:color w:val="000000"/>
          <w:szCs w:val="18"/>
          <w:lang w:val="it-IT"/>
        </w:rPr>
        <w:t>i</w:t>
      </w:r>
      <w:r w:rsidRPr="007B74B7">
        <w:rPr>
          <w:rFonts w:cs="Tahoma"/>
          <w:color w:val="000000"/>
          <w:szCs w:val="18"/>
          <w:lang w:val="it-IT"/>
        </w:rPr>
        <w:t>nterventi PRS 24x7 non viene determinato in base alla spesa SA, il numero di contatti di supporto consentiti per gestire il PRS Illimitato 24x7 varia in base all</w:t>
      </w:r>
      <w:r w:rsidR="007A1415" w:rsidRPr="007B74B7">
        <w:rPr>
          <w:rFonts w:cs="Tahoma"/>
          <w:color w:val="000000"/>
          <w:szCs w:val="18"/>
          <w:lang w:val="it-IT"/>
        </w:rPr>
        <w:t>’</w:t>
      </w:r>
      <w:r w:rsidRPr="007B74B7">
        <w:rPr>
          <w:rFonts w:cs="Tahoma"/>
          <w:color w:val="000000"/>
          <w:szCs w:val="18"/>
          <w:lang w:val="it-IT"/>
        </w:rPr>
        <w:t xml:space="preserve">ammontare della spesa SA. Tutte le società idonee hanno diritto ad almeno quattro contatti autorizzati più un contatto aggiuntivo per ogni $125.000 aggiuntivi di spesa SA in </w:t>
      </w:r>
      <w:r w:rsidRPr="007B74B7">
        <w:rPr>
          <w:rFonts w:cs="Tahoma"/>
          <w:color w:val="000000"/>
          <w:szCs w:val="18"/>
          <w:lang w:val="it-IT"/>
        </w:rPr>
        <w:lastRenderedPageBreak/>
        <w:t>base al programma o ai programmi EAP o VL ai sensi dei quali hanno acquistato le licenze per PDW. In caso di contratti in valuta estera, le società idonee hanno diritto ad almeno quattro contratti autorizzati più un contratto aggiuntivo per ogni spesa SA incrementale pari a $125.000 della spesa SA media annuale effettuata nella valuta estera applicabile.</w:t>
      </w:r>
      <w:r w:rsidR="008D782D" w:rsidRPr="007B74B7">
        <w:rPr>
          <w:rFonts w:cs="Tahoma"/>
          <w:color w:val="000000"/>
          <w:szCs w:val="18"/>
          <w:lang w:val="it-IT"/>
        </w:rPr>
        <w:t xml:space="preserve"> </w:t>
      </w:r>
      <w:r w:rsidRPr="007B74B7">
        <w:rPr>
          <w:rFonts w:cs="Tahoma"/>
          <w:color w:val="000000"/>
          <w:szCs w:val="18"/>
          <w:lang w:val="it-IT"/>
        </w:rPr>
        <w:t>Fare riferimento alla tabella seguente:</w:t>
      </w:r>
    </w:p>
    <w:p w:rsidR="00FF1B2B" w:rsidRPr="007B74B7" w:rsidRDefault="00FF1B2B" w:rsidP="00F42FB8">
      <w:pPr>
        <w:jc w:val="both"/>
        <w:rPr>
          <w:lang w:val="it-IT"/>
        </w:rPr>
      </w:pPr>
    </w:p>
    <w:p w:rsidR="00A17E03" w:rsidRPr="007B74B7" w:rsidRDefault="00A17E03" w:rsidP="00F42FB8">
      <w:pPr>
        <w:jc w:val="both"/>
        <w:rPr>
          <w:lang w:val="it-IT"/>
        </w:rPr>
      </w:pPr>
      <w:r w:rsidRPr="007B74B7">
        <w:rPr>
          <w:rFonts w:cs="Tahoma"/>
          <w:color w:val="000000"/>
          <w:szCs w:val="18"/>
          <w:lang w:val="it-IT"/>
        </w:rPr>
        <w:t>La seguente tabella si applica alle società in possesso di un</w:t>
      </w:r>
      <w:r w:rsidR="007A1415" w:rsidRPr="007B74B7">
        <w:rPr>
          <w:rFonts w:cs="Tahoma"/>
          <w:color w:val="000000"/>
          <w:szCs w:val="18"/>
          <w:lang w:val="it-IT"/>
        </w:rPr>
        <w:t>’</w:t>
      </w:r>
      <w:r w:rsidRPr="007B74B7">
        <w:rPr>
          <w:rFonts w:cs="Tahoma"/>
          <w:color w:val="000000"/>
          <w:szCs w:val="18"/>
          <w:lang w:val="it-IT"/>
        </w:rPr>
        <w:t>EAP o APA:</w:t>
      </w:r>
    </w:p>
    <w:p w:rsidR="00613BBB" w:rsidRPr="007B74B7" w:rsidRDefault="00613BBB" w:rsidP="00613BBB">
      <w:pPr>
        <w:rPr>
          <w:lang w:val="it-IT"/>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613BBB" w:rsidRPr="00BD7CEA" w:rsidTr="002A6416">
        <w:tc>
          <w:tcPr>
            <w:tcW w:w="2160" w:type="dxa"/>
            <w:shd w:val="clear" w:color="auto" w:fill="FABF8F"/>
          </w:tcPr>
          <w:p w:rsidR="00613BBB" w:rsidRPr="007B74B7" w:rsidRDefault="00613BBB" w:rsidP="00CA3658">
            <w:pPr>
              <w:jc w:val="center"/>
              <w:rPr>
                <w:rFonts w:cs="Tahoma"/>
                <w:color w:val="000000"/>
                <w:szCs w:val="18"/>
                <w:lang w:val="it-IT"/>
              </w:rPr>
            </w:pPr>
            <w:r w:rsidRPr="007B74B7">
              <w:rPr>
                <w:rFonts w:cs="Tahoma"/>
                <w:b/>
                <w:bCs/>
                <w:color w:val="000000"/>
                <w:szCs w:val="18"/>
                <w:lang w:val="it-IT"/>
              </w:rPr>
              <w:t>Spesa Media Annuale</w:t>
            </w:r>
            <w:r w:rsidR="00CA3658" w:rsidRPr="007B74B7">
              <w:rPr>
                <w:rFonts w:cs="Tahoma"/>
                <w:b/>
                <w:bCs/>
                <w:color w:val="000000"/>
                <w:szCs w:val="18"/>
                <w:lang w:val="it-IT"/>
              </w:rPr>
              <w:t> </w:t>
            </w:r>
            <w:r w:rsidRPr="007B74B7">
              <w:rPr>
                <w:rFonts w:cs="Tahoma"/>
                <w:b/>
                <w:bCs/>
                <w:color w:val="000000"/>
                <w:szCs w:val="18"/>
                <w:lang w:val="it-IT"/>
              </w:rPr>
              <w:t>per SA</w:t>
            </w:r>
          </w:p>
        </w:tc>
        <w:tc>
          <w:tcPr>
            <w:tcW w:w="2520" w:type="dxa"/>
            <w:shd w:val="clear" w:color="auto" w:fill="FABF8F"/>
          </w:tcPr>
          <w:p w:rsidR="00613BBB" w:rsidRPr="00BD7CEA" w:rsidRDefault="00A17E03" w:rsidP="00613BBB">
            <w:pPr>
              <w:jc w:val="center"/>
              <w:rPr>
                <w:rFonts w:cs="Tahoma"/>
                <w:color w:val="000000"/>
                <w:szCs w:val="18"/>
              </w:rPr>
            </w:pPr>
            <w:r w:rsidRPr="00BD7CEA">
              <w:rPr>
                <w:rFonts w:cs="Tahoma"/>
                <w:b/>
                <w:bCs/>
                <w:color w:val="000000"/>
                <w:szCs w:val="18"/>
              </w:rPr>
              <w:t>Contatti di supporto consentiti</w:t>
            </w:r>
          </w:p>
        </w:tc>
      </w:tr>
      <w:tr w:rsidR="00613BBB" w:rsidRPr="00BD7CEA" w:rsidTr="002A6416">
        <w:tc>
          <w:tcPr>
            <w:tcW w:w="2160" w:type="dxa"/>
          </w:tcPr>
          <w:p w:rsidR="00613BBB" w:rsidRPr="00BD7CEA" w:rsidRDefault="00613BBB" w:rsidP="00CA3658">
            <w:pPr>
              <w:jc w:val="center"/>
              <w:rPr>
                <w:rFonts w:cs="Tahoma"/>
                <w:color w:val="000000"/>
                <w:szCs w:val="18"/>
              </w:rPr>
            </w:pPr>
            <w:r w:rsidRPr="00BD7CEA">
              <w:rPr>
                <w:rFonts w:cs="Tahoma"/>
                <w:color w:val="000000"/>
                <w:szCs w:val="18"/>
              </w:rPr>
              <w:t>$250</w:t>
            </w:r>
            <w:r w:rsidR="00CA3658">
              <w:rPr>
                <w:rFonts w:cs="Tahoma"/>
                <w:color w:val="000000"/>
                <w:szCs w:val="18"/>
              </w:rPr>
              <w:t>.</w:t>
            </w:r>
            <w:r w:rsidRPr="00BD7CEA">
              <w:rPr>
                <w:rFonts w:cs="Tahoma"/>
                <w:color w:val="000000"/>
                <w:szCs w:val="18"/>
              </w:rPr>
              <w:t>000</w:t>
            </w:r>
            <w:r w:rsidR="00FD7C0D">
              <w:rPr>
                <w:rFonts w:cs="Tahoma"/>
                <w:color w:val="000000"/>
                <w:szCs w:val="18"/>
              </w:rPr>
              <w:t xml:space="preserve"> – </w:t>
            </w:r>
            <w:r w:rsidRPr="00BD7CEA">
              <w:rPr>
                <w:rFonts w:cs="Tahoma"/>
                <w:color w:val="000000"/>
                <w:szCs w:val="18"/>
              </w:rPr>
              <w:t>$374</w:t>
            </w:r>
            <w:r w:rsidR="00CA3658">
              <w:rPr>
                <w:rFonts w:cs="Tahoma"/>
                <w:color w:val="000000"/>
                <w:szCs w:val="18"/>
              </w:rPr>
              <w:t>.</w:t>
            </w:r>
            <w:r w:rsidRPr="00BD7CEA">
              <w:rPr>
                <w:rFonts w:cs="Tahoma"/>
                <w:color w:val="000000"/>
                <w:szCs w:val="18"/>
              </w:rPr>
              <w:t>999</w:t>
            </w:r>
          </w:p>
        </w:tc>
        <w:tc>
          <w:tcPr>
            <w:tcW w:w="2520" w:type="dxa"/>
          </w:tcPr>
          <w:p w:rsidR="00613BBB" w:rsidRPr="00BD7CEA" w:rsidRDefault="00613BBB" w:rsidP="00613BBB">
            <w:pPr>
              <w:jc w:val="center"/>
              <w:rPr>
                <w:rFonts w:cs="Tahoma"/>
                <w:color w:val="000000"/>
                <w:szCs w:val="18"/>
              </w:rPr>
            </w:pPr>
            <w:r w:rsidRPr="00BD7CEA">
              <w:rPr>
                <w:rFonts w:cs="Tahoma"/>
                <w:color w:val="000000"/>
                <w:szCs w:val="18"/>
              </w:rPr>
              <w:t>4</w:t>
            </w:r>
          </w:p>
        </w:tc>
      </w:tr>
      <w:tr w:rsidR="00613BBB" w:rsidRPr="00BD7CEA" w:rsidTr="002A6416">
        <w:tc>
          <w:tcPr>
            <w:tcW w:w="2160" w:type="dxa"/>
          </w:tcPr>
          <w:p w:rsidR="00613BBB" w:rsidRPr="00BD7CEA" w:rsidRDefault="00613BBB" w:rsidP="00CA3658">
            <w:pPr>
              <w:jc w:val="center"/>
              <w:rPr>
                <w:rFonts w:cs="Tahoma"/>
                <w:szCs w:val="18"/>
              </w:rPr>
            </w:pPr>
            <w:r w:rsidRPr="00BD7CEA">
              <w:rPr>
                <w:rFonts w:cs="Tahoma"/>
                <w:szCs w:val="18"/>
              </w:rPr>
              <w:t>$375</w:t>
            </w:r>
            <w:r w:rsidR="00CA3658">
              <w:rPr>
                <w:rFonts w:cs="Tahoma"/>
                <w:szCs w:val="18"/>
              </w:rPr>
              <w:t>.</w:t>
            </w:r>
            <w:r w:rsidRPr="00BD7CEA">
              <w:rPr>
                <w:rFonts w:cs="Tahoma"/>
                <w:szCs w:val="18"/>
              </w:rPr>
              <w:t>000</w:t>
            </w:r>
            <w:r w:rsidR="00FD7C0D">
              <w:rPr>
                <w:rFonts w:cs="Tahoma"/>
                <w:szCs w:val="18"/>
              </w:rPr>
              <w:t xml:space="preserve"> – </w:t>
            </w:r>
            <w:r w:rsidRPr="00BD7CEA">
              <w:rPr>
                <w:rFonts w:cs="Tahoma"/>
                <w:szCs w:val="18"/>
              </w:rPr>
              <w:t>$499</w:t>
            </w:r>
            <w:r w:rsidR="00CA3658">
              <w:rPr>
                <w:rFonts w:cs="Tahoma"/>
                <w:szCs w:val="18"/>
              </w:rPr>
              <w:t>.</w:t>
            </w:r>
            <w:r w:rsidRPr="00BD7CEA">
              <w:rPr>
                <w:rFonts w:cs="Tahoma"/>
                <w:szCs w:val="18"/>
              </w:rPr>
              <w:t>999</w:t>
            </w:r>
          </w:p>
        </w:tc>
        <w:tc>
          <w:tcPr>
            <w:tcW w:w="2520" w:type="dxa"/>
          </w:tcPr>
          <w:p w:rsidR="00613BBB" w:rsidRPr="00BD7CEA" w:rsidRDefault="00613BBB" w:rsidP="00613BBB">
            <w:pPr>
              <w:jc w:val="center"/>
              <w:rPr>
                <w:rFonts w:cs="Tahoma"/>
                <w:szCs w:val="18"/>
              </w:rPr>
            </w:pPr>
            <w:r w:rsidRPr="00BD7CEA">
              <w:rPr>
                <w:rFonts w:cs="Tahoma"/>
                <w:szCs w:val="18"/>
              </w:rPr>
              <w:t>5</w:t>
            </w:r>
          </w:p>
        </w:tc>
      </w:tr>
      <w:tr w:rsidR="00613BBB" w:rsidRPr="00BD7CEA" w:rsidTr="002A6416">
        <w:tc>
          <w:tcPr>
            <w:tcW w:w="2160" w:type="dxa"/>
          </w:tcPr>
          <w:p w:rsidR="00613BBB" w:rsidRPr="00BD7CEA" w:rsidRDefault="00613BBB" w:rsidP="00CA3658">
            <w:pPr>
              <w:jc w:val="center"/>
              <w:rPr>
                <w:rFonts w:cs="Tahoma"/>
                <w:szCs w:val="18"/>
              </w:rPr>
            </w:pPr>
            <w:r w:rsidRPr="00BD7CEA">
              <w:rPr>
                <w:rFonts w:cs="Tahoma"/>
                <w:szCs w:val="18"/>
              </w:rPr>
              <w:t>$500</w:t>
            </w:r>
            <w:r w:rsidR="00CA3658">
              <w:rPr>
                <w:rFonts w:cs="Tahoma"/>
                <w:szCs w:val="18"/>
              </w:rPr>
              <w:t>.</w:t>
            </w:r>
            <w:r w:rsidRPr="00BD7CEA">
              <w:rPr>
                <w:rFonts w:cs="Tahoma"/>
                <w:szCs w:val="18"/>
              </w:rPr>
              <w:t>000</w:t>
            </w:r>
            <w:r w:rsidR="00FD7C0D">
              <w:rPr>
                <w:rFonts w:cs="Tahoma"/>
                <w:szCs w:val="18"/>
              </w:rPr>
              <w:t xml:space="preserve"> – </w:t>
            </w:r>
            <w:r w:rsidRPr="00BD7CEA">
              <w:rPr>
                <w:rFonts w:cs="Tahoma"/>
                <w:szCs w:val="18"/>
              </w:rPr>
              <w:t>$624</w:t>
            </w:r>
            <w:r w:rsidR="00CA3658">
              <w:rPr>
                <w:rFonts w:cs="Tahoma"/>
                <w:szCs w:val="18"/>
              </w:rPr>
              <w:t>.</w:t>
            </w:r>
            <w:r w:rsidRPr="00BD7CEA">
              <w:rPr>
                <w:rFonts w:cs="Tahoma"/>
                <w:szCs w:val="18"/>
              </w:rPr>
              <w:t>999</w:t>
            </w:r>
          </w:p>
        </w:tc>
        <w:tc>
          <w:tcPr>
            <w:tcW w:w="2520" w:type="dxa"/>
          </w:tcPr>
          <w:p w:rsidR="00613BBB" w:rsidRPr="00BD7CEA" w:rsidRDefault="00613BBB" w:rsidP="00613BBB">
            <w:pPr>
              <w:jc w:val="center"/>
              <w:rPr>
                <w:rFonts w:cs="Tahoma"/>
                <w:szCs w:val="18"/>
              </w:rPr>
            </w:pPr>
            <w:r w:rsidRPr="00BD7CEA">
              <w:rPr>
                <w:rFonts w:cs="Tahoma"/>
                <w:szCs w:val="18"/>
              </w:rPr>
              <w:t>6</w:t>
            </w:r>
          </w:p>
        </w:tc>
      </w:tr>
      <w:tr w:rsidR="00613BBB" w:rsidRPr="00BD7CEA" w:rsidTr="002A6416">
        <w:tc>
          <w:tcPr>
            <w:tcW w:w="2160" w:type="dxa"/>
          </w:tcPr>
          <w:p w:rsidR="00613BBB" w:rsidRPr="00BD7CEA" w:rsidRDefault="00613BBB" w:rsidP="00CA3658">
            <w:pPr>
              <w:jc w:val="center"/>
              <w:rPr>
                <w:rFonts w:cs="Tahoma"/>
                <w:szCs w:val="18"/>
              </w:rPr>
            </w:pPr>
            <w:r w:rsidRPr="00BD7CEA">
              <w:rPr>
                <w:rFonts w:cs="Tahoma"/>
                <w:szCs w:val="18"/>
              </w:rPr>
              <w:t>$625</w:t>
            </w:r>
            <w:r w:rsidR="00CA3658">
              <w:rPr>
                <w:rFonts w:cs="Tahoma"/>
                <w:szCs w:val="18"/>
              </w:rPr>
              <w:t>.</w:t>
            </w:r>
            <w:r w:rsidRPr="00BD7CEA">
              <w:rPr>
                <w:rFonts w:cs="Tahoma"/>
                <w:szCs w:val="18"/>
              </w:rPr>
              <w:t>000</w:t>
            </w:r>
            <w:r w:rsidR="00FD7C0D">
              <w:rPr>
                <w:rFonts w:cs="Tahoma"/>
                <w:szCs w:val="18"/>
              </w:rPr>
              <w:t xml:space="preserve"> – </w:t>
            </w:r>
            <w:r w:rsidRPr="00BD7CEA">
              <w:rPr>
                <w:rFonts w:cs="Tahoma"/>
                <w:szCs w:val="18"/>
              </w:rPr>
              <w:t>$749</w:t>
            </w:r>
            <w:r w:rsidR="00CA3658">
              <w:rPr>
                <w:rFonts w:cs="Tahoma"/>
                <w:szCs w:val="18"/>
              </w:rPr>
              <w:t>.</w:t>
            </w:r>
            <w:r w:rsidRPr="00BD7CEA">
              <w:rPr>
                <w:rFonts w:cs="Tahoma"/>
                <w:szCs w:val="18"/>
              </w:rPr>
              <w:t>999</w:t>
            </w:r>
          </w:p>
        </w:tc>
        <w:tc>
          <w:tcPr>
            <w:tcW w:w="2520" w:type="dxa"/>
          </w:tcPr>
          <w:p w:rsidR="00613BBB" w:rsidRPr="00BD7CEA" w:rsidRDefault="00613BBB" w:rsidP="00613BBB">
            <w:pPr>
              <w:jc w:val="center"/>
              <w:rPr>
                <w:rFonts w:cs="Tahoma"/>
                <w:szCs w:val="18"/>
              </w:rPr>
            </w:pPr>
            <w:r w:rsidRPr="00BD7CEA">
              <w:rPr>
                <w:rFonts w:cs="Tahoma"/>
                <w:szCs w:val="18"/>
              </w:rPr>
              <w:t>7</w:t>
            </w:r>
          </w:p>
        </w:tc>
      </w:tr>
      <w:tr w:rsidR="00613BBB" w:rsidRPr="00BD7CEA" w:rsidTr="002A6416">
        <w:tc>
          <w:tcPr>
            <w:tcW w:w="2160" w:type="dxa"/>
          </w:tcPr>
          <w:p w:rsidR="00613BBB" w:rsidRPr="00BD7CEA" w:rsidRDefault="00613BBB" w:rsidP="00CA3658">
            <w:pPr>
              <w:jc w:val="center"/>
              <w:rPr>
                <w:rFonts w:cs="Tahoma"/>
                <w:szCs w:val="18"/>
              </w:rPr>
            </w:pPr>
            <w:r w:rsidRPr="00BD7CEA">
              <w:rPr>
                <w:rFonts w:cs="Tahoma"/>
                <w:szCs w:val="18"/>
              </w:rPr>
              <w:t>$750</w:t>
            </w:r>
            <w:r w:rsidR="00CA3658">
              <w:rPr>
                <w:rFonts w:cs="Tahoma"/>
                <w:szCs w:val="18"/>
              </w:rPr>
              <w:t>.</w:t>
            </w:r>
            <w:r w:rsidRPr="00BD7CEA">
              <w:rPr>
                <w:rFonts w:cs="Tahoma"/>
                <w:szCs w:val="18"/>
              </w:rPr>
              <w:t>000</w:t>
            </w:r>
            <w:r w:rsidR="00FD7C0D">
              <w:rPr>
                <w:rFonts w:cs="Tahoma"/>
                <w:szCs w:val="18"/>
              </w:rPr>
              <w:t xml:space="preserve"> – </w:t>
            </w:r>
            <w:r w:rsidRPr="00BD7CEA">
              <w:rPr>
                <w:rFonts w:cs="Tahoma"/>
                <w:szCs w:val="18"/>
              </w:rPr>
              <w:t>$874</w:t>
            </w:r>
            <w:r w:rsidR="00CA3658">
              <w:rPr>
                <w:rFonts w:cs="Tahoma"/>
                <w:szCs w:val="18"/>
              </w:rPr>
              <w:t>.</w:t>
            </w:r>
            <w:r w:rsidRPr="00BD7CEA">
              <w:rPr>
                <w:rFonts w:cs="Tahoma"/>
                <w:szCs w:val="18"/>
              </w:rPr>
              <w:t>999</w:t>
            </w:r>
          </w:p>
        </w:tc>
        <w:tc>
          <w:tcPr>
            <w:tcW w:w="2520" w:type="dxa"/>
          </w:tcPr>
          <w:p w:rsidR="00613BBB" w:rsidRPr="00BD7CEA" w:rsidRDefault="00613BBB" w:rsidP="00613BBB">
            <w:pPr>
              <w:jc w:val="center"/>
              <w:rPr>
                <w:rFonts w:cs="Tahoma"/>
                <w:szCs w:val="18"/>
              </w:rPr>
            </w:pPr>
            <w:r w:rsidRPr="00BD7CEA">
              <w:rPr>
                <w:rFonts w:cs="Tahoma"/>
                <w:szCs w:val="18"/>
              </w:rPr>
              <w:t>8</w:t>
            </w:r>
          </w:p>
        </w:tc>
      </w:tr>
    </w:tbl>
    <w:p w:rsidR="00613BBB" w:rsidRPr="00BD7CEA" w:rsidRDefault="00613BBB" w:rsidP="00613BBB"/>
    <w:p w:rsidR="00A17E03" w:rsidRPr="007B74B7" w:rsidRDefault="00A17E03" w:rsidP="00FF1B2B">
      <w:pPr>
        <w:rPr>
          <w:lang w:val="it-IT"/>
        </w:rPr>
      </w:pPr>
      <w:r w:rsidRPr="007B74B7">
        <w:rPr>
          <w:rFonts w:cs="Tahoma"/>
          <w:szCs w:val="18"/>
          <w:lang w:val="it-IT"/>
        </w:rPr>
        <w:t>La seguente tabella si applica alle società in possesso di licenze per PDW:</w:t>
      </w:r>
    </w:p>
    <w:p w:rsidR="00A17E03" w:rsidRPr="007B74B7" w:rsidRDefault="00A17E03" w:rsidP="00A17E03">
      <w:pPr>
        <w:rPr>
          <w:lang w:val="it-IT"/>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17E03" w:rsidRPr="00BD7CEA" w:rsidTr="002A6416">
        <w:tc>
          <w:tcPr>
            <w:tcW w:w="2160" w:type="dxa"/>
            <w:shd w:val="clear" w:color="auto" w:fill="FABF8F"/>
          </w:tcPr>
          <w:p w:rsidR="00A17E03" w:rsidRPr="007B74B7" w:rsidRDefault="00A17E03" w:rsidP="00CA3658">
            <w:pPr>
              <w:jc w:val="center"/>
              <w:rPr>
                <w:rFonts w:cs="Tahoma"/>
                <w:color w:val="000000"/>
                <w:szCs w:val="18"/>
                <w:lang w:val="it-IT"/>
              </w:rPr>
            </w:pPr>
            <w:r w:rsidRPr="007B74B7">
              <w:rPr>
                <w:rFonts w:cs="Tahoma"/>
                <w:b/>
                <w:bCs/>
                <w:color w:val="000000"/>
                <w:szCs w:val="18"/>
                <w:lang w:val="it-IT"/>
              </w:rPr>
              <w:t>Spesa Media Annuale</w:t>
            </w:r>
            <w:r w:rsidR="00CA3658" w:rsidRPr="007B74B7">
              <w:rPr>
                <w:rFonts w:cs="Tahoma"/>
                <w:b/>
                <w:bCs/>
                <w:color w:val="000000"/>
                <w:szCs w:val="18"/>
                <w:lang w:val="it-IT"/>
              </w:rPr>
              <w:t> </w:t>
            </w:r>
            <w:r w:rsidRPr="007B74B7">
              <w:rPr>
                <w:rFonts w:cs="Tahoma"/>
                <w:b/>
                <w:bCs/>
                <w:color w:val="000000"/>
                <w:szCs w:val="18"/>
                <w:lang w:val="it-IT"/>
              </w:rPr>
              <w:t>per SA</w:t>
            </w:r>
          </w:p>
        </w:tc>
        <w:tc>
          <w:tcPr>
            <w:tcW w:w="2520" w:type="dxa"/>
            <w:shd w:val="clear" w:color="auto" w:fill="FABF8F"/>
          </w:tcPr>
          <w:p w:rsidR="00A17E03" w:rsidRPr="00BD7CEA" w:rsidRDefault="00A17E03" w:rsidP="00A17E03">
            <w:pPr>
              <w:jc w:val="center"/>
              <w:rPr>
                <w:rFonts w:cs="Tahoma"/>
                <w:color w:val="000000"/>
                <w:szCs w:val="18"/>
              </w:rPr>
            </w:pPr>
            <w:r w:rsidRPr="00BD7CEA">
              <w:rPr>
                <w:rFonts w:cs="Tahoma"/>
                <w:b/>
                <w:bCs/>
                <w:color w:val="000000"/>
                <w:szCs w:val="18"/>
              </w:rPr>
              <w:t>Contatti di supporto consentiti</w:t>
            </w:r>
          </w:p>
        </w:tc>
      </w:tr>
      <w:tr w:rsidR="00A17E03" w:rsidRPr="00BD7CEA" w:rsidTr="002A6416">
        <w:tc>
          <w:tcPr>
            <w:tcW w:w="2160" w:type="dxa"/>
          </w:tcPr>
          <w:p w:rsidR="00A17E03" w:rsidRPr="00BD7CEA" w:rsidRDefault="00A17E03" w:rsidP="00A17E03">
            <w:pPr>
              <w:jc w:val="center"/>
              <w:rPr>
                <w:rFonts w:cs="Tahoma"/>
                <w:color w:val="000000"/>
                <w:szCs w:val="18"/>
              </w:rPr>
            </w:pPr>
            <w:r w:rsidRPr="00BD7CEA">
              <w:rPr>
                <w:rFonts w:cs="Tahoma"/>
                <w:color w:val="000000"/>
                <w:szCs w:val="18"/>
              </w:rPr>
              <w:t>$0</w:t>
            </w:r>
            <w:r w:rsidR="00FD7C0D">
              <w:rPr>
                <w:rFonts w:cs="Tahoma"/>
                <w:color w:val="000000"/>
                <w:szCs w:val="18"/>
              </w:rPr>
              <w:t xml:space="preserve"> – </w:t>
            </w:r>
            <w:r w:rsidRPr="00BD7CEA">
              <w:rPr>
                <w:rFonts w:cs="Tahoma"/>
                <w:color w:val="000000"/>
                <w:szCs w:val="18"/>
              </w:rPr>
              <w:t>$374,999</w:t>
            </w:r>
          </w:p>
        </w:tc>
        <w:tc>
          <w:tcPr>
            <w:tcW w:w="2520" w:type="dxa"/>
          </w:tcPr>
          <w:p w:rsidR="00A17E03" w:rsidRPr="00BD7CEA" w:rsidRDefault="00A17E03" w:rsidP="00A17E03">
            <w:pPr>
              <w:jc w:val="center"/>
              <w:rPr>
                <w:rFonts w:cs="Tahoma"/>
                <w:color w:val="000000"/>
                <w:szCs w:val="18"/>
              </w:rPr>
            </w:pPr>
            <w:r w:rsidRPr="00BD7CEA">
              <w:rPr>
                <w:rFonts w:cs="Tahoma"/>
                <w:color w:val="000000"/>
                <w:szCs w:val="18"/>
              </w:rPr>
              <w:t>4</w:t>
            </w:r>
          </w:p>
        </w:tc>
      </w:tr>
      <w:tr w:rsidR="00A17E03" w:rsidRPr="00BD7CEA" w:rsidTr="002A6416">
        <w:tc>
          <w:tcPr>
            <w:tcW w:w="2160" w:type="dxa"/>
          </w:tcPr>
          <w:p w:rsidR="00A17E03" w:rsidRPr="00BD7CEA" w:rsidRDefault="00A17E03" w:rsidP="00CA3658">
            <w:pPr>
              <w:jc w:val="center"/>
              <w:rPr>
                <w:rFonts w:cs="Tahoma"/>
                <w:szCs w:val="18"/>
              </w:rPr>
            </w:pPr>
            <w:r w:rsidRPr="00BD7CEA">
              <w:rPr>
                <w:rFonts w:cs="Tahoma"/>
                <w:szCs w:val="18"/>
              </w:rPr>
              <w:t>$375</w:t>
            </w:r>
            <w:r w:rsidR="00CA3658">
              <w:rPr>
                <w:rFonts w:cs="Tahoma"/>
                <w:szCs w:val="18"/>
              </w:rPr>
              <w:t>.</w:t>
            </w:r>
            <w:r w:rsidRPr="00BD7CEA">
              <w:rPr>
                <w:rFonts w:cs="Tahoma"/>
                <w:szCs w:val="18"/>
              </w:rPr>
              <w:t>000</w:t>
            </w:r>
            <w:r w:rsidR="00FD7C0D">
              <w:rPr>
                <w:rFonts w:cs="Tahoma"/>
                <w:szCs w:val="18"/>
              </w:rPr>
              <w:t xml:space="preserve"> – </w:t>
            </w:r>
            <w:r w:rsidRPr="00BD7CEA">
              <w:rPr>
                <w:rFonts w:cs="Tahoma"/>
                <w:szCs w:val="18"/>
              </w:rPr>
              <w:t>$499</w:t>
            </w:r>
            <w:r w:rsidR="00CA3658">
              <w:rPr>
                <w:rFonts w:cs="Tahoma"/>
                <w:szCs w:val="18"/>
              </w:rPr>
              <w:t>.</w:t>
            </w:r>
            <w:r w:rsidRPr="00BD7CEA">
              <w:rPr>
                <w:rFonts w:cs="Tahoma"/>
                <w:szCs w:val="18"/>
              </w:rPr>
              <w:t>999</w:t>
            </w:r>
          </w:p>
        </w:tc>
        <w:tc>
          <w:tcPr>
            <w:tcW w:w="2520" w:type="dxa"/>
          </w:tcPr>
          <w:p w:rsidR="00A17E03" w:rsidRPr="00BD7CEA" w:rsidRDefault="00A17E03" w:rsidP="00A17E03">
            <w:pPr>
              <w:jc w:val="center"/>
              <w:rPr>
                <w:rFonts w:cs="Tahoma"/>
                <w:szCs w:val="18"/>
              </w:rPr>
            </w:pPr>
            <w:r w:rsidRPr="00BD7CEA">
              <w:rPr>
                <w:rFonts w:cs="Tahoma"/>
                <w:szCs w:val="18"/>
              </w:rPr>
              <w:t>5</w:t>
            </w:r>
          </w:p>
        </w:tc>
      </w:tr>
      <w:tr w:rsidR="00A17E03" w:rsidRPr="00BD7CEA" w:rsidTr="002A6416">
        <w:tc>
          <w:tcPr>
            <w:tcW w:w="2160" w:type="dxa"/>
          </w:tcPr>
          <w:p w:rsidR="00A17E03" w:rsidRPr="00BD7CEA" w:rsidRDefault="00A17E03" w:rsidP="00CA3658">
            <w:pPr>
              <w:jc w:val="center"/>
              <w:rPr>
                <w:rFonts w:cs="Tahoma"/>
                <w:szCs w:val="18"/>
              </w:rPr>
            </w:pPr>
            <w:r w:rsidRPr="00BD7CEA">
              <w:rPr>
                <w:rFonts w:cs="Tahoma"/>
                <w:szCs w:val="18"/>
              </w:rPr>
              <w:t>$500</w:t>
            </w:r>
            <w:r w:rsidR="00CA3658">
              <w:rPr>
                <w:rFonts w:cs="Tahoma"/>
                <w:szCs w:val="18"/>
              </w:rPr>
              <w:t>.</w:t>
            </w:r>
            <w:r w:rsidRPr="00BD7CEA">
              <w:rPr>
                <w:rFonts w:cs="Tahoma"/>
                <w:szCs w:val="18"/>
              </w:rPr>
              <w:t>000</w:t>
            </w:r>
            <w:r w:rsidR="00FD7C0D">
              <w:rPr>
                <w:rFonts w:cs="Tahoma"/>
                <w:szCs w:val="18"/>
              </w:rPr>
              <w:t xml:space="preserve"> – </w:t>
            </w:r>
            <w:r w:rsidRPr="00BD7CEA">
              <w:rPr>
                <w:rFonts w:cs="Tahoma"/>
                <w:szCs w:val="18"/>
              </w:rPr>
              <w:t>$624</w:t>
            </w:r>
            <w:r w:rsidR="00CA3658">
              <w:rPr>
                <w:rFonts w:cs="Tahoma"/>
                <w:szCs w:val="18"/>
              </w:rPr>
              <w:t>.</w:t>
            </w:r>
            <w:r w:rsidRPr="00BD7CEA">
              <w:rPr>
                <w:rFonts w:cs="Tahoma"/>
                <w:szCs w:val="18"/>
              </w:rPr>
              <w:t>999</w:t>
            </w:r>
          </w:p>
        </w:tc>
        <w:tc>
          <w:tcPr>
            <w:tcW w:w="2520" w:type="dxa"/>
          </w:tcPr>
          <w:p w:rsidR="00A17E03" w:rsidRPr="00BD7CEA" w:rsidRDefault="00A17E03" w:rsidP="00A17E03">
            <w:pPr>
              <w:jc w:val="center"/>
              <w:rPr>
                <w:rFonts w:cs="Tahoma"/>
                <w:szCs w:val="18"/>
              </w:rPr>
            </w:pPr>
            <w:r w:rsidRPr="00BD7CEA">
              <w:rPr>
                <w:rFonts w:cs="Tahoma"/>
                <w:szCs w:val="18"/>
              </w:rPr>
              <w:t>6</w:t>
            </w:r>
          </w:p>
        </w:tc>
      </w:tr>
      <w:tr w:rsidR="00A17E03" w:rsidRPr="00BD7CEA" w:rsidTr="002A6416">
        <w:tc>
          <w:tcPr>
            <w:tcW w:w="2160" w:type="dxa"/>
          </w:tcPr>
          <w:p w:rsidR="00A17E03" w:rsidRPr="00BD7CEA" w:rsidRDefault="00A17E03" w:rsidP="00CA3658">
            <w:pPr>
              <w:jc w:val="center"/>
              <w:rPr>
                <w:rFonts w:cs="Tahoma"/>
                <w:szCs w:val="18"/>
              </w:rPr>
            </w:pPr>
            <w:r w:rsidRPr="00BD7CEA">
              <w:rPr>
                <w:rFonts w:cs="Tahoma"/>
                <w:szCs w:val="18"/>
              </w:rPr>
              <w:t>$625</w:t>
            </w:r>
            <w:r w:rsidR="00CA3658">
              <w:rPr>
                <w:rFonts w:cs="Tahoma"/>
                <w:szCs w:val="18"/>
              </w:rPr>
              <w:t>.</w:t>
            </w:r>
            <w:r w:rsidRPr="00BD7CEA">
              <w:rPr>
                <w:rFonts w:cs="Tahoma"/>
                <w:szCs w:val="18"/>
              </w:rPr>
              <w:t>000</w:t>
            </w:r>
            <w:r w:rsidR="00FD7C0D">
              <w:rPr>
                <w:rFonts w:cs="Tahoma"/>
                <w:szCs w:val="18"/>
              </w:rPr>
              <w:t xml:space="preserve"> – </w:t>
            </w:r>
            <w:r w:rsidRPr="00BD7CEA">
              <w:rPr>
                <w:rFonts w:cs="Tahoma"/>
                <w:szCs w:val="18"/>
              </w:rPr>
              <w:t>$749</w:t>
            </w:r>
            <w:r w:rsidR="00CA3658">
              <w:rPr>
                <w:rFonts w:cs="Tahoma"/>
                <w:szCs w:val="18"/>
              </w:rPr>
              <w:t>.</w:t>
            </w:r>
            <w:r w:rsidRPr="00BD7CEA">
              <w:rPr>
                <w:rFonts w:cs="Tahoma"/>
                <w:szCs w:val="18"/>
              </w:rPr>
              <w:t>999</w:t>
            </w:r>
          </w:p>
        </w:tc>
        <w:tc>
          <w:tcPr>
            <w:tcW w:w="2520" w:type="dxa"/>
          </w:tcPr>
          <w:p w:rsidR="00A17E03" w:rsidRPr="00BD7CEA" w:rsidRDefault="00A17E03" w:rsidP="00A17E03">
            <w:pPr>
              <w:jc w:val="center"/>
              <w:rPr>
                <w:rFonts w:cs="Tahoma"/>
                <w:szCs w:val="18"/>
              </w:rPr>
            </w:pPr>
            <w:r w:rsidRPr="00BD7CEA">
              <w:rPr>
                <w:rFonts w:cs="Tahoma"/>
                <w:szCs w:val="18"/>
              </w:rPr>
              <w:t>7</w:t>
            </w:r>
          </w:p>
        </w:tc>
      </w:tr>
      <w:tr w:rsidR="00A17E03" w:rsidRPr="00BD7CEA" w:rsidTr="002A6416">
        <w:tc>
          <w:tcPr>
            <w:tcW w:w="2160" w:type="dxa"/>
          </w:tcPr>
          <w:p w:rsidR="00A17E03" w:rsidRPr="00BD7CEA" w:rsidRDefault="00A17E03" w:rsidP="00CA3658">
            <w:pPr>
              <w:jc w:val="center"/>
              <w:rPr>
                <w:rFonts w:cs="Tahoma"/>
                <w:szCs w:val="18"/>
              </w:rPr>
            </w:pPr>
            <w:r w:rsidRPr="00BD7CEA">
              <w:rPr>
                <w:rFonts w:cs="Tahoma"/>
                <w:szCs w:val="18"/>
              </w:rPr>
              <w:t>$750</w:t>
            </w:r>
            <w:r w:rsidR="00CA3658">
              <w:rPr>
                <w:rFonts w:cs="Tahoma"/>
                <w:szCs w:val="18"/>
              </w:rPr>
              <w:t>.</w:t>
            </w:r>
            <w:r w:rsidRPr="00BD7CEA">
              <w:rPr>
                <w:rFonts w:cs="Tahoma"/>
                <w:szCs w:val="18"/>
              </w:rPr>
              <w:t>000</w:t>
            </w:r>
            <w:r w:rsidR="00FD7C0D">
              <w:rPr>
                <w:rFonts w:cs="Tahoma"/>
                <w:szCs w:val="18"/>
              </w:rPr>
              <w:t xml:space="preserve"> – </w:t>
            </w:r>
            <w:r w:rsidRPr="00BD7CEA">
              <w:rPr>
                <w:rFonts w:cs="Tahoma"/>
                <w:szCs w:val="18"/>
              </w:rPr>
              <w:t>$874</w:t>
            </w:r>
            <w:r w:rsidR="00CA3658">
              <w:rPr>
                <w:rFonts w:cs="Tahoma"/>
                <w:szCs w:val="18"/>
              </w:rPr>
              <w:t>.</w:t>
            </w:r>
            <w:r w:rsidRPr="00BD7CEA">
              <w:rPr>
                <w:rFonts w:cs="Tahoma"/>
                <w:szCs w:val="18"/>
              </w:rPr>
              <w:t>999</w:t>
            </w:r>
          </w:p>
        </w:tc>
        <w:tc>
          <w:tcPr>
            <w:tcW w:w="2520" w:type="dxa"/>
          </w:tcPr>
          <w:p w:rsidR="00A17E03" w:rsidRPr="00BD7CEA" w:rsidRDefault="00A17E03" w:rsidP="00A17E03">
            <w:pPr>
              <w:jc w:val="center"/>
              <w:rPr>
                <w:rFonts w:cs="Tahoma"/>
                <w:szCs w:val="18"/>
              </w:rPr>
            </w:pPr>
            <w:r w:rsidRPr="00BD7CEA">
              <w:rPr>
                <w:rFonts w:cs="Tahoma"/>
                <w:szCs w:val="18"/>
              </w:rPr>
              <w:t>8</w:t>
            </w:r>
          </w:p>
        </w:tc>
      </w:tr>
    </w:tbl>
    <w:p w:rsidR="00A17E03" w:rsidRPr="00BD7CEA" w:rsidRDefault="00A17E03" w:rsidP="00F530ED">
      <w:pPr>
        <w:jc w:val="both"/>
      </w:pPr>
    </w:p>
    <w:p w:rsidR="00A17E03" w:rsidRPr="007B74B7" w:rsidRDefault="00A17E03" w:rsidP="00F42FB8">
      <w:pPr>
        <w:jc w:val="both"/>
        <w:rPr>
          <w:lang w:val="it-IT"/>
        </w:rPr>
      </w:pPr>
      <w:r w:rsidRPr="007B74B7">
        <w:rPr>
          <w:rFonts w:cs="Tahoma"/>
          <w:szCs w:val="18"/>
          <w:lang w:val="it-IT"/>
        </w:rPr>
        <w:t>Le richieste di supporto dovrebbero essere effettuate via telefono o Web da un contatto designato dalla società e</w:t>
      </w:r>
      <w:r w:rsidR="00703F84" w:rsidRPr="007B74B7">
        <w:rPr>
          <w:rFonts w:cs="Tahoma"/>
          <w:szCs w:val="18"/>
          <w:lang w:val="it-IT"/>
        </w:rPr>
        <w:t> </w:t>
      </w:r>
      <w:r w:rsidRPr="007B74B7">
        <w:rPr>
          <w:rFonts w:cs="Tahoma"/>
          <w:szCs w:val="18"/>
          <w:lang w:val="it-IT"/>
        </w:rPr>
        <w:t>seguire la procedura descritta nel Contratto Premier Services della società. Il vantaggio PRS Illimitato 24x7 include soltanto i Servizi per la Risoluzione dei Problemi. Il tempo eventualmente dedicato dal Technical Account Manager (TAM) o dal Designated Support Engineer (DSE) alla risoluzione del problema sarà conteggiato nell</w:t>
      </w:r>
      <w:r w:rsidR="007A1415" w:rsidRPr="007B74B7">
        <w:rPr>
          <w:rFonts w:cs="Tahoma"/>
          <w:szCs w:val="18"/>
          <w:lang w:val="it-IT"/>
        </w:rPr>
        <w:t>’</w:t>
      </w:r>
      <w:r w:rsidRPr="007B74B7">
        <w:rPr>
          <w:rFonts w:cs="Tahoma"/>
          <w:szCs w:val="18"/>
          <w:lang w:val="it-IT"/>
        </w:rPr>
        <w:t xml:space="preserve">ambito del Contratto Premier Services della società. </w:t>
      </w:r>
    </w:p>
    <w:p w:rsidR="00023FE7" w:rsidRPr="007B74B7" w:rsidRDefault="00023FE7" w:rsidP="00F42FB8">
      <w:pPr>
        <w:pStyle w:val="Heading3"/>
        <w:rPr>
          <w:lang w:val="it-IT"/>
        </w:rPr>
      </w:pPr>
    </w:p>
    <w:p w:rsidR="00620185" w:rsidRPr="007B74B7" w:rsidRDefault="00620185" w:rsidP="00F42FB8">
      <w:pPr>
        <w:pStyle w:val="Heading3"/>
        <w:rPr>
          <w:lang w:val="it-IT"/>
        </w:rPr>
      </w:pPr>
      <w:bookmarkStart w:id="801" w:name="_Toc336338238"/>
      <w:bookmarkStart w:id="802" w:name="_Toc353376018"/>
      <w:r w:rsidRPr="007B74B7">
        <w:rPr>
          <w:rFonts w:ascii="Tahoma" w:hAnsi="Tahoma" w:cs="Tahoma"/>
          <w:color w:val="000000"/>
          <w:sz w:val="24"/>
          <w:szCs w:val="18"/>
          <w:lang w:val="it-IT"/>
        </w:rPr>
        <w:t>System Center Advisor</w:t>
      </w:r>
      <w:bookmarkEnd w:id="801"/>
      <w:bookmarkEnd w:id="802"/>
    </w:p>
    <w:p w:rsidR="00620185" w:rsidRPr="007B74B7" w:rsidRDefault="00620185" w:rsidP="00F42FB8">
      <w:pPr>
        <w:rPr>
          <w:lang w:val="it-IT"/>
        </w:rPr>
      </w:pPr>
    </w:p>
    <w:p w:rsidR="001C1727" w:rsidRPr="007B74B7" w:rsidRDefault="00F56FC9">
      <w:pPr>
        <w:rPr>
          <w:lang w:val="it-IT"/>
        </w:rPr>
      </w:pPr>
      <w:r w:rsidRPr="007B74B7">
        <w:rPr>
          <w:rFonts w:cs="Tahoma"/>
          <w:szCs w:val="18"/>
          <w:lang w:val="it-IT"/>
        </w:rPr>
        <w:t xml:space="preserve">Le società con copertura Software Assurance attiva per le licenze software per le edizioni di Windows Server, SQL Server, Exchange Server e SharePoint Server identificate nella tabella che segue sono idonee a utilizzare System Center Advisor come specificato nei Diritti di Utilizzo del Prodotto. </w:t>
      </w:r>
    </w:p>
    <w:p w:rsidR="003479E5" w:rsidRPr="007B74B7" w:rsidRDefault="003479E5" w:rsidP="00792D1E">
      <w:pPr>
        <w:outlineLvl w:val="2"/>
        <w:rPr>
          <w:lang w:val="it-IT"/>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830"/>
        <w:gridCol w:w="83"/>
        <w:gridCol w:w="1391"/>
      </w:tblGrid>
      <w:tr w:rsidR="00A13BC3" w:rsidRPr="00BD7CEA" w:rsidTr="00703F84">
        <w:trPr>
          <w:tblHeader/>
        </w:trPr>
        <w:tc>
          <w:tcPr>
            <w:tcW w:w="3760" w:type="dxa"/>
            <w:gridSpan w:val="2"/>
            <w:shd w:val="clear" w:color="auto" w:fill="FABF8F"/>
          </w:tcPr>
          <w:p w:rsidR="00A13BC3" w:rsidRPr="00BD7CEA" w:rsidRDefault="00A13BC3" w:rsidP="007E466C">
            <w:pPr>
              <w:spacing w:before="120" w:after="120" w:line="276" w:lineRule="auto"/>
              <w:jc w:val="center"/>
              <w:rPr>
                <w:rFonts w:cs="Tahoma"/>
                <w:b/>
                <w:bCs/>
                <w:color w:val="000000"/>
                <w:szCs w:val="18"/>
                <w:lang w:eastAsia="ja-JP"/>
              </w:rPr>
            </w:pPr>
            <w:r w:rsidRPr="00BD7CEA">
              <w:rPr>
                <w:rFonts w:cs="Tahoma"/>
                <w:b/>
                <w:bCs/>
                <w:color w:val="000000"/>
                <w:szCs w:val="18"/>
              </w:rPr>
              <w:t>Software Server Qualificante*</w:t>
            </w:r>
          </w:p>
        </w:tc>
        <w:tc>
          <w:tcPr>
            <w:tcW w:w="1774" w:type="dxa"/>
            <w:shd w:val="clear" w:color="auto" w:fill="FABF8F"/>
          </w:tcPr>
          <w:p w:rsidR="00A13BC3" w:rsidRPr="00BD7CEA" w:rsidRDefault="00A13BC3" w:rsidP="003479E5">
            <w:pPr>
              <w:spacing w:after="200" w:line="276" w:lineRule="auto"/>
              <w:jc w:val="center"/>
              <w:rPr>
                <w:rFonts w:cs="Tahoma"/>
                <w:b/>
                <w:bCs/>
                <w:color w:val="000000"/>
                <w:szCs w:val="18"/>
                <w:lang w:eastAsia="ja-JP"/>
              </w:rPr>
            </w:pPr>
          </w:p>
        </w:tc>
        <w:tc>
          <w:tcPr>
            <w:tcW w:w="1913" w:type="dxa"/>
            <w:gridSpan w:val="2"/>
            <w:shd w:val="clear" w:color="auto" w:fill="FABF8F"/>
          </w:tcPr>
          <w:p w:rsidR="00A13BC3" w:rsidRPr="00BD7CEA" w:rsidRDefault="00A13BC3" w:rsidP="003479E5">
            <w:pPr>
              <w:spacing w:after="200" w:line="276" w:lineRule="auto"/>
              <w:jc w:val="center"/>
              <w:rPr>
                <w:rFonts w:cs="Tahoma"/>
                <w:b/>
                <w:bCs/>
                <w:color w:val="000000"/>
                <w:szCs w:val="18"/>
                <w:lang w:eastAsia="ja-JP"/>
              </w:rPr>
            </w:pPr>
          </w:p>
        </w:tc>
        <w:tc>
          <w:tcPr>
            <w:tcW w:w="1391" w:type="dxa"/>
            <w:shd w:val="clear" w:color="auto" w:fill="FABF8F"/>
          </w:tcPr>
          <w:p w:rsidR="00A13BC3" w:rsidRPr="00BD7CEA" w:rsidRDefault="00A13BC3" w:rsidP="003479E5">
            <w:pPr>
              <w:spacing w:after="200" w:line="276" w:lineRule="auto"/>
              <w:jc w:val="center"/>
              <w:rPr>
                <w:rFonts w:cs="Tahoma"/>
                <w:b/>
                <w:bCs/>
                <w:color w:val="000000"/>
                <w:szCs w:val="18"/>
                <w:lang w:eastAsia="ja-JP"/>
              </w:rPr>
            </w:pPr>
          </w:p>
        </w:tc>
      </w:tr>
      <w:tr w:rsidR="00A13BC3" w:rsidRPr="00BD7CEA" w:rsidTr="00703F84">
        <w:trPr>
          <w:tblHeader/>
        </w:trPr>
        <w:tc>
          <w:tcPr>
            <w:tcW w:w="1912" w:type="dxa"/>
            <w:shd w:val="clear" w:color="auto" w:fill="FABF8F"/>
            <w:vAlign w:val="center"/>
          </w:tcPr>
          <w:p w:rsidR="00A13BC3" w:rsidRPr="00BD7CEA" w:rsidRDefault="00A13BC3" w:rsidP="007E466C">
            <w:pPr>
              <w:spacing w:before="120" w:after="120" w:line="276" w:lineRule="auto"/>
              <w:jc w:val="center"/>
              <w:rPr>
                <w:rFonts w:cs="Tahoma"/>
                <w:color w:val="000000"/>
                <w:szCs w:val="18"/>
                <w:lang w:eastAsia="ja-JP"/>
              </w:rPr>
            </w:pPr>
            <w:r w:rsidRPr="00BD7CEA">
              <w:rPr>
                <w:rFonts w:cs="Tahoma"/>
                <w:b/>
                <w:bCs/>
                <w:color w:val="000000"/>
                <w:szCs w:val="18"/>
              </w:rPr>
              <w:t>Windows Server</w:t>
            </w:r>
          </w:p>
        </w:tc>
        <w:tc>
          <w:tcPr>
            <w:tcW w:w="1848" w:type="dxa"/>
            <w:shd w:val="clear" w:color="auto" w:fill="FABF8F"/>
            <w:vAlign w:val="center"/>
          </w:tcPr>
          <w:p w:rsidR="00A13BC3" w:rsidRPr="00BD7CEA" w:rsidRDefault="00A13BC3" w:rsidP="007E466C">
            <w:pPr>
              <w:spacing w:before="120" w:after="120" w:line="276" w:lineRule="auto"/>
              <w:jc w:val="center"/>
              <w:rPr>
                <w:rFonts w:cs="Tahoma"/>
                <w:color w:val="000000"/>
                <w:szCs w:val="18"/>
                <w:lang w:eastAsia="ja-JP"/>
              </w:rPr>
            </w:pPr>
            <w:r w:rsidRPr="00BD7CEA">
              <w:rPr>
                <w:rFonts w:cs="Tahoma"/>
                <w:b/>
                <w:bCs/>
                <w:color w:val="000000"/>
                <w:szCs w:val="18"/>
              </w:rPr>
              <w:t>SQL Server</w:t>
            </w:r>
          </w:p>
        </w:tc>
        <w:tc>
          <w:tcPr>
            <w:tcW w:w="1774" w:type="dxa"/>
            <w:shd w:val="clear" w:color="auto" w:fill="FABF8F"/>
            <w:vAlign w:val="center"/>
          </w:tcPr>
          <w:p w:rsidR="00A13BC3" w:rsidRPr="00BD7CEA" w:rsidRDefault="00A13BC3" w:rsidP="007E466C">
            <w:pPr>
              <w:spacing w:before="120" w:after="120" w:line="276" w:lineRule="auto"/>
              <w:jc w:val="center"/>
              <w:rPr>
                <w:rFonts w:cs="Tahoma"/>
                <w:b/>
                <w:bCs/>
                <w:color w:val="000000"/>
                <w:szCs w:val="18"/>
                <w:lang w:eastAsia="ja-JP"/>
              </w:rPr>
            </w:pPr>
            <w:r w:rsidRPr="00BD7CEA">
              <w:rPr>
                <w:rFonts w:cs="Tahoma"/>
                <w:b/>
                <w:bCs/>
                <w:color w:val="000000"/>
                <w:szCs w:val="18"/>
              </w:rPr>
              <w:t>Exchange Server</w:t>
            </w:r>
          </w:p>
        </w:tc>
        <w:tc>
          <w:tcPr>
            <w:tcW w:w="1913" w:type="dxa"/>
            <w:gridSpan w:val="2"/>
            <w:shd w:val="clear" w:color="auto" w:fill="FABF8F"/>
            <w:vAlign w:val="center"/>
          </w:tcPr>
          <w:p w:rsidR="00A13BC3" w:rsidRPr="00BD7CEA" w:rsidRDefault="00A13BC3" w:rsidP="007E466C">
            <w:pPr>
              <w:spacing w:before="120" w:after="120" w:line="276" w:lineRule="auto"/>
              <w:jc w:val="center"/>
              <w:rPr>
                <w:rFonts w:cs="Tahoma"/>
                <w:b/>
                <w:bCs/>
                <w:color w:val="000000"/>
                <w:szCs w:val="18"/>
                <w:lang w:eastAsia="ja-JP"/>
              </w:rPr>
            </w:pPr>
            <w:r w:rsidRPr="00BD7CEA">
              <w:rPr>
                <w:rFonts w:cs="Tahoma"/>
                <w:b/>
                <w:bCs/>
                <w:color w:val="000000"/>
                <w:szCs w:val="18"/>
              </w:rPr>
              <w:t>SharePoint Server</w:t>
            </w:r>
          </w:p>
        </w:tc>
        <w:tc>
          <w:tcPr>
            <w:tcW w:w="1391" w:type="dxa"/>
            <w:shd w:val="clear" w:color="auto" w:fill="FABF8F"/>
            <w:vAlign w:val="center"/>
          </w:tcPr>
          <w:p w:rsidR="00A13BC3" w:rsidRPr="00BD7CEA" w:rsidRDefault="00A13BC3" w:rsidP="007E466C">
            <w:pPr>
              <w:spacing w:before="120" w:after="120" w:line="276" w:lineRule="auto"/>
              <w:jc w:val="center"/>
              <w:rPr>
                <w:rFonts w:cs="Tahoma"/>
                <w:b/>
                <w:bCs/>
                <w:color w:val="000000"/>
                <w:szCs w:val="18"/>
                <w:lang w:eastAsia="ja-JP"/>
              </w:rPr>
            </w:pPr>
            <w:r w:rsidRPr="00BD7CEA">
              <w:rPr>
                <w:rFonts w:cs="Tahoma"/>
                <w:b/>
                <w:bCs/>
                <w:color w:val="000000"/>
                <w:szCs w:val="18"/>
              </w:rPr>
              <w:t>Lync Server</w:t>
            </w:r>
          </w:p>
        </w:tc>
      </w:tr>
      <w:tr w:rsidR="00A13BC3" w:rsidRPr="00BD7CEA" w:rsidTr="007E466C">
        <w:tc>
          <w:tcPr>
            <w:tcW w:w="1912" w:type="dxa"/>
          </w:tcPr>
          <w:p w:rsidR="00A13BC3" w:rsidRPr="00BD7CEA" w:rsidRDefault="00A13BC3" w:rsidP="003479E5">
            <w:pPr>
              <w:spacing w:after="200" w:line="276" w:lineRule="auto"/>
              <w:jc w:val="center"/>
              <w:rPr>
                <w:rFonts w:cs="Tahoma"/>
                <w:color w:val="000000"/>
                <w:szCs w:val="18"/>
                <w:lang w:eastAsia="ja-JP"/>
              </w:rPr>
            </w:pPr>
            <w:r w:rsidRPr="00BD7CEA">
              <w:rPr>
                <w:rFonts w:cs="Tahoma"/>
                <w:color w:val="000000"/>
                <w:szCs w:val="18"/>
              </w:rPr>
              <w:t>Windows Server Datacenter</w:t>
            </w:r>
          </w:p>
        </w:tc>
        <w:tc>
          <w:tcPr>
            <w:tcW w:w="1848" w:type="dxa"/>
          </w:tcPr>
          <w:p w:rsidR="00A13BC3" w:rsidRPr="00BD7CEA" w:rsidRDefault="00A13BC3" w:rsidP="003479E5">
            <w:pPr>
              <w:spacing w:after="200" w:line="276" w:lineRule="auto"/>
              <w:jc w:val="center"/>
              <w:rPr>
                <w:rFonts w:cs="Tahoma"/>
                <w:color w:val="000000"/>
                <w:szCs w:val="18"/>
                <w:lang w:eastAsia="ja-JP"/>
              </w:rPr>
            </w:pPr>
            <w:r w:rsidRPr="00BD7CEA">
              <w:rPr>
                <w:rFonts w:cs="Tahoma"/>
                <w:color w:val="000000"/>
                <w:szCs w:val="18"/>
              </w:rPr>
              <w:t xml:space="preserve">SQL Server Parallel Data Warehouse </w:t>
            </w:r>
          </w:p>
        </w:tc>
        <w:tc>
          <w:tcPr>
            <w:tcW w:w="1774" w:type="dxa"/>
          </w:tcPr>
          <w:p w:rsidR="00A13BC3" w:rsidRPr="00BD7CEA" w:rsidRDefault="00A13BC3" w:rsidP="003479E5">
            <w:pPr>
              <w:spacing w:after="200" w:line="276" w:lineRule="auto"/>
              <w:jc w:val="center"/>
              <w:rPr>
                <w:rFonts w:cs="Tahoma"/>
                <w:color w:val="000000"/>
                <w:szCs w:val="18"/>
                <w:lang w:eastAsia="ja-JP"/>
              </w:rPr>
            </w:pPr>
            <w:r w:rsidRPr="00BD7CEA">
              <w:rPr>
                <w:rFonts w:cs="Tahoma"/>
                <w:color w:val="000000"/>
                <w:szCs w:val="18"/>
              </w:rPr>
              <w:t>Exchange Small Business Server</w:t>
            </w:r>
          </w:p>
        </w:tc>
        <w:tc>
          <w:tcPr>
            <w:tcW w:w="1913" w:type="dxa"/>
            <w:gridSpan w:val="2"/>
          </w:tcPr>
          <w:p w:rsidR="00A13BC3" w:rsidRPr="00BD7CEA" w:rsidRDefault="00A13BC3" w:rsidP="003479E5">
            <w:pPr>
              <w:spacing w:after="200" w:line="276" w:lineRule="auto"/>
              <w:jc w:val="center"/>
              <w:rPr>
                <w:rFonts w:cs="Tahoma"/>
                <w:color w:val="000000"/>
                <w:szCs w:val="18"/>
                <w:lang w:eastAsia="ja-JP"/>
              </w:rPr>
            </w:pPr>
            <w:r w:rsidRPr="00BD7CEA">
              <w:rPr>
                <w:rFonts w:cs="Tahoma"/>
                <w:color w:val="000000"/>
                <w:szCs w:val="18"/>
              </w:rPr>
              <w:t>SharePoint for Internet Sites Server Enterprise</w:t>
            </w:r>
          </w:p>
        </w:tc>
        <w:tc>
          <w:tcPr>
            <w:tcW w:w="1391" w:type="dxa"/>
          </w:tcPr>
          <w:p w:rsidR="00A13BC3" w:rsidRPr="00BD7CEA" w:rsidRDefault="00A13BC3" w:rsidP="003479E5">
            <w:pPr>
              <w:spacing w:after="200" w:line="276" w:lineRule="auto"/>
              <w:jc w:val="center"/>
              <w:rPr>
                <w:rFonts w:cs="Tahoma"/>
                <w:color w:val="000000"/>
                <w:szCs w:val="18"/>
                <w:lang w:eastAsia="ja-JP"/>
              </w:rPr>
            </w:pPr>
            <w:r w:rsidRPr="00BD7CEA">
              <w:rPr>
                <w:rFonts w:cs="Tahoma"/>
                <w:color w:val="000000"/>
                <w:szCs w:val="18"/>
              </w:rPr>
              <w:t>Lync Server 2010 Enterprise Edition</w:t>
            </w:r>
          </w:p>
        </w:tc>
      </w:tr>
      <w:tr w:rsidR="00A13BC3" w:rsidRPr="00BD7CEA" w:rsidTr="007E466C">
        <w:tc>
          <w:tcPr>
            <w:tcW w:w="1912" w:type="dxa"/>
          </w:tcPr>
          <w:p w:rsidR="00A13BC3" w:rsidRPr="00BD7CEA" w:rsidRDefault="00A13BC3" w:rsidP="003479E5">
            <w:pPr>
              <w:spacing w:after="200" w:line="276" w:lineRule="auto"/>
              <w:jc w:val="center"/>
              <w:rPr>
                <w:rFonts w:cs="Tahoma"/>
                <w:szCs w:val="18"/>
              </w:rPr>
            </w:pPr>
            <w:r w:rsidRPr="00BD7CEA">
              <w:rPr>
                <w:rFonts w:cs="Tahoma"/>
                <w:color w:val="000000"/>
                <w:szCs w:val="18"/>
              </w:rPr>
              <w:t>Windows Server Enterprise</w:t>
            </w:r>
          </w:p>
        </w:tc>
        <w:tc>
          <w:tcPr>
            <w:tcW w:w="1848" w:type="dxa"/>
          </w:tcPr>
          <w:p w:rsidR="00A13BC3" w:rsidRPr="00BD7CEA" w:rsidRDefault="00A13BC3" w:rsidP="003479E5">
            <w:pPr>
              <w:spacing w:after="200" w:line="276" w:lineRule="auto"/>
              <w:jc w:val="center"/>
              <w:rPr>
                <w:rFonts w:cs="Tahoma"/>
                <w:szCs w:val="18"/>
                <w:lang w:eastAsia="ja-JP"/>
              </w:rPr>
            </w:pPr>
            <w:r w:rsidRPr="00BD7CEA">
              <w:rPr>
                <w:rFonts w:cs="Tahoma"/>
                <w:color w:val="000000"/>
                <w:szCs w:val="18"/>
              </w:rPr>
              <w:t>SQL Server Datacenter</w:t>
            </w:r>
          </w:p>
        </w:tc>
        <w:tc>
          <w:tcPr>
            <w:tcW w:w="1774" w:type="dxa"/>
          </w:tcPr>
          <w:p w:rsidR="00A13BC3" w:rsidRPr="00BD7CEA" w:rsidRDefault="00A13BC3" w:rsidP="003479E5">
            <w:pPr>
              <w:spacing w:after="200" w:line="276" w:lineRule="auto"/>
              <w:jc w:val="center"/>
              <w:rPr>
                <w:rFonts w:cs="Tahoma"/>
                <w:color w:val="000000"/>
                <w:szCs w:val="18"/>
                <w:lang w:eastAsia="ja-JP"/>
              </w:rPr>
            </w:pPr>
            <w:r w:rsidRPr="00BD7CEA">
              <w:rPr>
                <w:rFonts w:cs="Tahoma"/>
                <w:color w:val="000000"/>
                <w:szCs w:val="18"/>
              </w:rPr>
              <w:t>Exchange Server Enterprise</w:t>
            </w:r>
          </w:p>
        </w:tc>
        <w:tc>
          <w:tcPr>
            <w:tcW w:w="1913" w:type="dxa"/>
            <w:gridSpan w:val="2"/>
          </w:tcPr>
          <w:p w:rsidR="00A13BC3" w:rsidRPr="00BD7CEA" w:rsidRDefault="00A13BC3" w:rsidP="003479E5">
            <w:pPr>
              <w:spacing w:after="200" w:line="276" w:lineRule="auto"/>
              <w:jc w:val="center"/>
              <w:rPr>
                <w:rFonts w:cs="Tahoma"/>
                <w:color w:val="000000"/>
                <w:szCs w:val="18"/>
                <w:lang w:eastAsia="ja-JP"/>
              </w:rPr>
            </w:pPr>
            <w:r w:rsidRPr="00BD7CEA">
              <w:rPr>
                <w:rFonts w:cs="Tahoma"/>
                <w:color w:val="000000"/>
                <w:szCs w:val="18"/>
              </w:rPr>
              <w:t>SharePoint for Internet Sites Server Standard</w:t>
            </w:r>
          </w:p>
        </w:tc>
        <w:tc>
          <w:tcPr>
            <w:tcW w:w="1391" w:type="dxa"/>
          </w:tcPr>
          <w:p w:rsidR="00A13BC3" w:rsidRPr="00BD7CEA" w:rsidRDefault="00A13BC3" w:rsidP="003479E5">
            <w:pPr>
              <w:spacing w:after="200" w:line="276" w:lineRule="auto"/>
              <w:jc w:val="center"/>
              <w:rPr>
                <w:rFonts w:cs="Tahoma"/>
                <w:color w:val="000000"/>
                <w:szCs w:val="18"/>
                <w:lang w:eastAsia="ja-JP"/>
              </w:rPr>
            </w:pPr>
            <w:r w:rsidRPr="00BD7CEA">
              <w:rPr>
                <w:rFonts w:cs="Tahoma"/>
                <w:color w:val="000000"/>
                <w:szCs w:val="18"/>
              </w:rPr>
              <w:t>Lync Server 2010 Standard Edition</w:t>
            </w:r>
          </w:p>
        </w:tc>
      </w:tr>
      <w:tr w:rsidR="00A13BC3" w:rsidRPr="00BD7CEA" w:rsidTr="007E466C">
        <w:tc>
          <w:tcPr>
            <w:tcW w:w="1912" w:type="dxa"/>
          </w:tcPr>
          <w:p w:rsidR="00A13BC3" w:rsidRPr="00BD7CEA" w:rsidRDefault="00A13BC3" w:rsidP="003479E5">
            <w:pPr>
              <w:spacing w:after="200" w:line="276" w:lineRule="auto"/>
              <w:jc w:val="center"/>
              <w:rPr>
                <w:rFonts w:cs="Tahoma"/>
                <w:szCs w:val="18"/>
                <w:lang w:eastAsia="ja-JP"/>
              </w:rPr>
            </w:pPr>
            <w:r w:rsidRPr="00BD7CEA">
              <w:rPr>
                <w:rFonts w:cs="Tahoma"/>
                <w:color w:val="000000"/>
                <w:szCs w:val="18"/>
              </w:rPr>
              <w:t>Windows Server Standard</w:t>
            </w:r>
          </w:p>
        </w:tc>
        <w:tc>
          <w:tcPr>
            <w:tcW w:w="1848" w:type="dxa"/>
          </w:tcPr>
          <w:p w:rsidR="00A13BC3" w:rsidRPr="00BD7CEA" w:rsidRDefault="00A13BC3" w:rsidP="003479E5">
            <w:pPr>
              <w:spacing w:after="200" w:line="276" w:lineRule="auto"/>
              <w:jc w:val="center"/>
              <w:rPr>
                <w:rFonts w:cs="Tahoma"/>
                <w:szCs w:val="18"/>
                <w:lang w:eastAsia="ja-JP"/>
              </w:rPr>
            </w:pPr>
            <w:r w:rsidRPr="00BD7CEA">
              <w:rPr>
                <w:rFonts w:cs="Tahoma"/>
                <w:szCs w:val="18"/>
              </w:rPr>
              <w:t>SQL Server Enterprise</w:t>
            </w:r>
          </w:p>
        </w:tc>
        <w:tc>
          <w:tcPr>
            <w:tcW w:w="1774" w:type="dxa"/>
          </w:tcPr>
          <w:p w:rsidR="00A13BC3" w:rsidRPr="00BD7CEA" w:rsidRDefault="00A13BC3" w:rsidP="003479E5">
            <w:pPr>
              <w:spacing w:after="200" w:line="276" w:lineRule="auto"/>
              <w:jc w:val="center"/>
              <w:rPr>
                <w:rFonts w:cs="Tahoma"/>
                <w:color w:val="000000"/>
                <w:szCs w:val="18"/>
                <w:lang w:eastAsia="ja-JP"/>
              </w:rPr>
            </w:pPr>
            <w:r w:rsidRPr="00BD7CEA">
              <w:rPr>
                <w:rFonts w:cs="Tahoma"/>
                <w:color w:val="000000"/>
                <w:szCs w:val="18"/>
              </w:rPr>
              <w:t>Exchange Server Standard</w:t>
            </w:r>
          </w:p>
        </w:tc>
        <w:tc>
          <w:tcPr>
            <w:tcW w:w="1913" w:type="dxa"/>
            <w:gridSpan w:val="2"/>
          </w:tcPr>
          <w:p w:rsidR="00A13BC3" w:rsidRPr="00BD7CEA" w:rsidRDefault="00A13BC3" w:rsidP="003479E5">
            <w:pPr>
              <w:spacing w:after="200" w:line="276" w:lineRule="auto"/>
              <w:jc w:val="center"/>
              <w:rPr>
                <w:rFonts w:cs="Tahoma"/>
                <w:color w:val="000000"/>
                <w:szCs w:val="18"/>
                <w:lang w:eastAsia="ja-JP"/>
              </w:rPr>
            </w:pPr>
            <w:r w:rsidRPr="00BD7CEA">
              <w:rPr>
                <w:rFonts w:cs="Tahoma"/>
                <w:color w:val="000000"/>
                <w:szCs w:val="18"/>
              </w:rPr>
              <w:t>SharePoint Server</w:t>
            </w:r>
          </w:p>
        </w:tc>
        <w:tc>
          <w:tcPr>
            <w:tcW w:w="1391" w:type="dxa"/>
          </w:tcPr>
          <w:p w:rsidR="00A13BC3" w:rsidRPr="00BD7CEA" w:rsidRDefault="00A13BC3" w:rsidP="003479E5">
            <w:pPr>
              <w:spacing w:after="200" w:line="276" w:lineRule="auto"/>
              <w:jc w:val="center"/>
              <w:rPr>
                <w:rFonts w:cs="Tahoma"/>
                <w:color w:val="000000"/>
                <w:szCs w:val="18"/>
                <w:lang w:eastAsia="ja-JP"/>
              </w:rPr>
            </w:pPr>
          </w:p>
        </w:tc>
      </w:tr>
      <w:tr w:rsidR="00A13BC3" w:rsidRPr="00BD7CEA" w:rsidTr="007E466C">
        <w:tc>
          <w:tcPr>
            <w:tcW w:w="1912" w:type="dxa"/>
          </w:tcPr>
          <w:p w:rsidR="00A13BC3" w:rsidRPr="00BD7CEA" w:rsidRDefault="00A13BC3" w:rsidP="003479E5">
            <w:pPr>
              <w:spacing w:after="200" w:line="276" w:lineRule="auto"/>
              <w:jc w:val="center"/>
              <w:rPr>
                <w:rFonts w:cs="Tahoma"/>
                <w:szCs w:val="18"/>
                <w:lang w:eastAsia="ja-JP"/>
              </w:rPr>
            </w:pPr>
            <w:r w:rsidRPr="00BD7CEA">
              <w:rPr>
                <w:rFonts w:cs="Tahoma"/>
                <w:szCs w:val="18"/>
              </w:rPr>
              <w:lastRenderedPageBreak/>
              <w:t>Premium Add-on per Windows Small Business Server</w:t>
            </w:r>
          </w:p>
        </w:tc>
        <w:tc>
          <w:tcPr>
            <w:tcW w:w="1848" w:type="dxa"/>
          </w:tcPr>
          <w:p w:rsidR="00A13BC3" w:rsidRPr="00BD7CEA" w:rsidRDefault="00A13BC3" w:rsidP="003479E5">
            <w:pPr>
              <w:spacing w:after="200" w:line="276" w:lineRule="auto"/>
              <w:jc w:val="center"/>
              <w:rPr>
                <w:rFonts w:cs="Tahoma"/>
                <w:szCs w:val="18"/>
                <w:lang w:eastAsia="ja-JP"/>
              </w:rPr>
            </w:pPr>
            <w:r w:rsidRPr="00BD7CEA">
              <w:rPr>
                <w:rFonts w:cs="Tahoma"/>
                <w:szCs w:val="18"/>
              </w:rPr>
              <w:t>SQL Server Standard</w:t>
            </w:r>
          </w:p>
        </w:tc>
        <w:tc>
          <w:tcPr>
            <w:tcW w:w="1774" w:type="dxa"/>
          </w:tcPr>
          <w:p w:rsidR="00A13BC3" w:rsidRPr="00BD7CEA" w:rsidRDefault="00A13BC3" w:rsidP="003479E5">
            <w:pPr>
              <w:spacing w:after="200" w:line="276" w:lineRule="auto"/>
              <w:jc w:val="center"/>
              <w:rPr>
                <w:rFonts w:cs="Tahoma"/>
                <w:szCs w:val="18"/>
                <w:lang w:eastAsia="ja-JP"/>
              </w:rPr>
            </w:pPr>
          </w:p>
        </w:tc>
        <w:tc>
          <w:tcPr>
            <w:tcW w:w="1913" w:type="dxa"/>
            <w:gridSpan w:val="2"/>
          </w:tcPr>
          <w:p w:rsidR="00A13BC3" w:rsidRPr="00BD7CEA" w:rsidRDefault="00A13BC3" w:rsidP="003479E5">
            <w:pPr>
              <w:spacing w:after="200" w:line="276" w:lineRule="auto"/>
              <w:jc w:val="center"/>
              <w:rPr>
                <w:rFonts w:cs="Tahoma"/>
                <w:szCs w:val="18"/>
                <w:lang w:eastAsia="ja-JP"/>
              </w:rPr>
            </w:pPr>
          </w:p>
        </w:tc>
        <w:tc>
          <w:tcPr>
            <w:tcW w:w="1391" w:type="dxa"/>
          </w:tcPr>
          <w:p w:rsidR="00A13BC3" w:rsidRPr="00BD7CEA" w:rsidRDefault="00A13BC3" w:rsidP="003479E5">
            <w:pPr>
              <w:spacing w:after="200" w:line="276" w:lineRule="auto"/>
              <w:jc w:val="center"/>
              <w:rPr>
                <w:rFonts w:cs="Tahoma"/>
                <w:szCs w:val="18"/>
                <w:lang w:eastAsia="ja-JP"/>
              </w:rPr>
            </w:pPr>
          </w:p>
        </w:tc>
      </w:tr>
      <w:tr w:rsidR="00A13BC3" w:rsidRPr="00BD7CEA" w:rsidTr="007E466C">
        <w:tc>
          <w:tcPr>
            <w:tcW w:w="1912" w:type="dxa"/>
          </w:tcPr>
          <w:p w:rsidR="00A13BC3" w:rsidRPr="00BD7CEA" w:rsidRDefault="00A13BC3" w:rsidP="003479E5">
            <w:pPr>
              <w:spacing w:after="200" w:line="276" w:lineRule="auto"/>
              <w:jc w:val="center"/>
              <w:rPr>
                <w:rFonts w:cs="Tahoma"/>
                <w:szCs w:val="18"/>
                <w:lang w:eastAsia="ja-JP"/>
              </w:rPr>
            </w:pPr>
            <w:r w:rsidRPr="00BD7CEA">
              <w:rPr>
                <w:rFonts w:cs="Tahoma"/>
                <w:szCs w:val="18"/>
              </w:rPr>
              <w:t>Windows Small Business Server Standard</w:t>
            </w:r>
          </w:p>
        </w:tc>
        <w:tc>
          <w:tcPr>
            <w:tcW w:w="1848" w:type="dxa"/>
          </w:tcPr>
          <w:p w:rsidR="00A13BC3" w:rsidRPr="00BD7CEA" w:rsidRDefault="00A13BC3" w:rsidP="003479E5">
            <w:pPr>
              <w:spacing w:after="200" w:line="276" w:lineRule="auto"/>
              <w:jc w:val="center"/>
              <w:rPr>
                <w:rFonts w:cs="Tahoma"/>
                <w:szCs w:val="18"/>
                <w:lang w:eastAsia="ja-JP"/>
              </w:rPr>
            </w:pPr>
            <w:r w:rsidRPr="00BD7CEA">
              <w:rPr>
                <w:rFonts w:cs="Tahoma"/>
                <w:szCs w:val="18"/>
              </w:rPr>
              <w:t>SQL Server Workgroup</w:t>
            </w:r>
          </w:p>
        </w:tc>
        <w:tc>
          <w:tcPr>
            <w:tcW w:w="1774" w:type="dxa"/>
          </w:tcPr>
          <w:p w:rsidR="00A13BC3" w:rsidRPr="00BD7CEA" w:rsidRDefault="00A13BC3" w:rsidP="003479E5">
            <w:pPr>
              <w:spacing w:after="200" w:line="276" w:lineRule="auto"/>
              <w:jc w:val="center"/>
              <w:rPr>
                <w:rFonts w:cs="Tahoma"/>
                <w:szCs w:val="18"/>
                <w:lang w:eastAsia="ja-JP"/>
              </w:rPr>
            </w:pPr>
          </w:p>
        </w:tc>
        <w:tc>
          <w:tcPr>
            <w:tcW w:w="1913" w:type="dxa"/>
            <w:gridSpan w:val="2"/>
          </w:tcPr>
          <w:p w:rsidR="00A13BC3" w:rsidRPr="00BD7CEA" w:rsidRDefault="00A13BC3" w:rsidP="003479E5">
            <w:pPr>
              <w:spacing w:after="200" w:line="276" w:lineRule="auto"/>
              <w:jc w:val="center"/>
              <w:rPr>
                <w:rFonts w:cs="Tahoma"/>
                <w:szCs w:val="18"/>
                <w:lang w:eastAsia="ja-JP"/>
              </w:rPr>
            </w:pPr>
          </w:p>
        </w:tc>
        <w:tc>
          <w:tcPr>
            <w:tcW w:w="1391" w:type="dxa"/>
          </w:tcPr>
          <w:p w:rsidR="00A13BC3" w:rsidRPr="00BD7CEA" w:rsidRDefault="00A13BC3" w:rsidP="003479E5">
            <w:pPr>
              <w:spacing w:after="200" w:line="276" w:lineRule="auto"/>
              <w:jc w:val="center"/>
              <w:rPr>
                <w:rFonts w:cs="Tahoma"/>
                <w:szCs w:val="18"/>
                <w:lang w:eastAsia="ja-JP"/>
              </w:rPr>
            </w:pPr>
          </w:p>
        </w:tc>
      </w:tr>
      <w:tr w:rsidR="00A13BC3" w:rsidRPr="00BD7CEA" w:rsidTr="007E466C">
        <w:tc>
          <w:tcPr>
            <w:tcW w:w="1912" w:type="dxa"/>
          </w:tcPr>
          <w:p w:rsidR="00A13BC3" w:rsidRPr="00BD7CEA" w:rsidRDefault="00A13BC3" w:rsidP="003479E5">
            <w:pPr>
              <w:spacing w:after="200" w:line="276" w:lineRule="auto"/>
              <w:jc w:val="center"/>
              <w:rPr>
                <w:rFonts w:cs="Tahoma"/>
                <w:szCs w:val="18"/>
                <w:lang w:eastAsia="ja-JP"/>
              </w:rPr>
            </w:pPr>
            <w:r w:rsidRPr="00BD7CEA">
              <w:rPr>
                <w:rFonts w:cs="Tahoma"/>
                <w:szCs w:val="18"/>
              </w:rPr>
              <w:t>Windows Small Business Server Essentials</w:t>
            </w:r>
          </w:p>
        </w:tc>
        <w:tc>
          <w:tcPr>
            <w:tcW w:w="1848" w:type="dxa"/>
          </w:tcPr>
          <w:p w:rsidR="00A13BC3" w:rsidRPr="00BD7CEA" w:rsidRDefault="00A13BC3" w:rsidP="003479E5">
            <w:pPr>
              <w:spacing w:after="200" w:line="276" w:lineRule="auto"/>
              <w:jc w:val="center"/>
              <w:rPr>
                <w:rFonts w:cs="Tahoma"/>
                <w:szCs w:val="18"/>
                <w:lang w:eastAsia="ja-JP"/>
              </w:rPr>
            </w:pPr>
            <w:r w:rsidRPr="00BD7CEA">
              <w:rPr>
                <w:rFonts w:cs="Tahoma"/>
                <w:szCs w:val="18"/>
              </w:rPr>
              <w:t>SQL Server Small Business</w:t>
            </w:r>
          </w:p>
        </w:tc>
        <w:tc>
          <w:tcPr>
            <w:tcW w:w="1774" w:type="dxa"/>
          </w:tcPr>
          <w:p w:rsidR="00A13BC3" w:rsidRPr="00BD7CEA" w:rsidRDefault="00A13BC3" w:rsidP="003479E5">
            <w:pPr>
              <w:spacing w:after="200" w:line="276" w:lineRule="auto"/>
              <w:jc w:val="center"/>
              <w:rPr>
                <w:rFonts w:cs="Tahoma"/>
                <w:szCs w:val="18"/>
                <w:lang w:eastAsia="ja-JP"/>
              </w:rPr>
            </w:pPr>
          </w:p>
        </w:tc>
        <w:tc>
          <w:tcPr>
            <w:tcW w:w="1913" w:type="dxa"/>
            <w:gridSpan w:val="2"/>
          </w:tcPr>
          <w:p w:rsidR="00A13BC3" w:rsidRPr="00BD7CEA" w:rsidRDefault="00A13BC3" w:rsidP="003479E5">
            <w:pPr>
              <w:spacing w:after="200" w:line="276" w:lineRule="auto"/>
              <w:jc w:val="center"/>
              <w:rPr>
                <w:rFonts w:cs="Tahoma"/>
                <w:szCs w:val="18"/>
                <w:lang w:eastAsia="ja-JP"/>
              </w:rPr>
            </w:pPr>
          </w:p>
        </w:tc>
        <w:tc>
          <w:tcPr>
            <w:tcW w:w="1391" w:type="dxa"/>
          </w:tcPr>
          <w:p w:rsidR="00A13BC3" w:rsidRPr="00BD7CEA" w:rsidRDefault="00A13BC3" w:rsidP="003479E5">
            <w:pPr>
              <w:spacing w:after="200" w:line="276" w:lineRule="auto"/>
              <w:jc w:val="center"/>
              <w:rPr>
                <w:rFonts w:cs="Tahoma"/>
                <w:szCs w:val="18"/>
                <w:lang w:eastAsia="ja-JP"/>
              </w:rPr>
            </w:pPr>
          </w:p>
        </w:tc>
      </w:tr>
      <w:tr w:rsidR="00A13BC3" w:rsidRPr="00BD7CEA" w:rsidTr="007E466C">
        <w:tc>
          <w:tcPr>
            <w:tcW w:w="1912" w:type="dxa"/>
          </w:tcPr>
          <w:p w:rsidR="00A13BC3" w:rsidRPr="00BD7CEA" w:rsidRDefault="00A13BC3" w:rsidP="003479E5">
            <w:pPr>
              <w:spacing w:after="200" w:line="276" w:lineRule="auto"/>
              <w:jc w:val="center"/>
              <w:rPr>
                <w:rFonts w:cs="Tahoma"/>
                <w:szCs w:val="18"/>
                <w:lang w:eastAsia="ja-JP"/>
              </w:rPr>
            </w:pPr>
            <w:r w:rsidRPr="00BD7CEA">
              <w:rPr>
                <w:rFonts w:cs="Tahoma"/>
                <w:szCs w:val="18"/>
              </w:rPr>
              <w:t>Windows Web Server</w:t>
            </w:r>
          </w:p>
        </w:tc>
        <w:tc>
          <w:tcPr>
            <w:tcW w:w="1848" w:type="dxa"/>
          </w:tcPr>
          <w:p w:rsidR="00A13BC3" w:rsidRPr="00BD7CEA" w:rsidRDefault="00A13BC3" w:rsidP="003479E5">
            <w:pPr>
              <w:spacing w:after="200" w:line="276" w:lineRule="auto"/>
              <w:jc w:val="center"/>
              <w:rPr>
                <w:rFonts w:cs="Tahoma"/>
                <w:szCs w:val="18"/>
                <w:lang w:eastAsia="ja-JP"/>
              </w:rPr>
            </w:pPr>
            <w:r w:rsidRPr="00BD7CEA">
              <w:rPr>
                <w:rFonts w:cs="Tahoma"/>
                <w:szCs w:val="18"/>
              </w:rPr>
              <w:t>SQL Server Web</w:t>
            </w:r>
          </w:p>
        </w:tc>
        <w:tc>
          <w:tcPr>
            <w:tcW w:w="1774" w:type="dxa"/>
          </w:tcPr>
          <w:p w:rsidR="00A13BC3" w:rsidRPr="00BD7CEA" w:rsidRDefault="00A13BC3" w:rsidP="003479E5">
            <w:pPr>
              <w:spacing w:after="200" w:line="276" w:lineRule="auto"/>
              <w:jc w:val="center"/>
              <w:rPr>
                <w:rFonts w:cs="Tahoma"/>
                <w:szCs w:val="18"/>
                <w:lang w:eastAsia="ja-JP"/>
              </w:rPr>
            </w:pPr>
          </w:p>
        </w:tc>
        <w:tc>
          <w:tcPr>
            <w:tcW w:w="1913" w:type="dxa"/>
            <w:gridSpan w:val="2"/>
          </w:tcPr>
          <w:p w:rsidR="00A13BC3" w:rsidRPr="00BD7CEA" w:rsidRDefault="00A13BC3" w:rsidP="003479E5">
            <w:pPr>
              <w:spacing w:after="200" w:line="276" w:lineRule="auto"/>
              <w:jc w:val="center"/>
              <w:rPr>
                <w:rFonts w:cs="Tahoma"/>
                <w:szCs w:val="18"/>
                <w:lang w:eastAsia="ja-JP"/>
              </w:rPr>
            </w:pPr>
          </w:p>
        </w:tc>
        <w:tc>
          <w:tcPr>
            <w:tcW w:w="1391" w:type="dxa"/>
          </w:tcPr>
          <w:p w:rsidR="00A13BC3" w:rsidRPr="00BD7CEA" w:rsidRDefault="00A13BC3" w:rsidP="003479E5">
            <w:pPr>
              <w:spacing w:after="200" w:line="276" w:lineRule="auto"/>
              <w:jc w:val="center"/>
              <w:rPr>
                <w:rFonts w:cs="Tahoma"/>
                <w:szCs w:val="18"/>
                <w:lang w:eastAsia="ja-JP"/>
              </w:rPr>
            </w:pPr>
          </w:p>
        </w:tc>
      </w:tr>
      <w:tr w:rsidR="00A13BC3" w:rsidRPr="00BD7CEA" w:rsidTr="007E466C">
        <w:tc>
          <w:tcPr>
            <w:tcW w:w="1912" w:type="dxa"/>
          </w:tcPr>
          <w:p w:rsidR="00A13BC3" w:rsidRPr="00BD7CEA" w:rsidRDefault="00A13BC3" w:rsidP="003479E5">
            <w:pPr>
              <w:spacing w:after="200" w:line="276" w:lineRule="auto"/>
              <w:jc w:val="center"/>
              <w:rPr>
                <w:rFonts w:cs="Tahoma"/>
                <w:szCs w:val="18"/>
                <w:lang w:eastAsia="ja-JP"/>
              </w:rPr>
            </w:pPr>
            <w:r w:rsidRPr="00BD7CEA">
              <w:rPr>
                <w:rFonts w:cs="Tahoma"/>
                <w:szCs w:val="18"/>
              </w:rPr>
              <w:t>Windows HPC Server Suite</w:t>
            </w:r>
          </w:p>
        </w:tc>
        <w:tc>
          <w:tcPr>
            <w:tcW w:w="1848" w:type="dxa"/>
          </w:tcPr>
          <w:p w:rsidR="00A13BC3" w:rsidRPr="00BD7CEA" w:rsidRDefault="00A13BC3" w:rsidP="003479E5">
            <w:pPr>
              <w:spacing w:after="200" w:line="276" w:lineRule="auto"/>
              <w:jc w:val="center"/>
              <w:rPr>
                <w:rFonts w:cs="Tahoma"/>
                <w:szCs w:val="18"/>
                <w:lang w:eastAsia="ja-JP"/>
              </w:rPr>
            </w:pPr>
            <w:r w:rsidRPr="00BD7CEA">
              <w:rPr>
                <w:rFonts w:cs="Tahoma"/>
                <w:szCs w:val="18"/>
              </w:rPr>
              <w:t>SQL Server Developer</w:t>
            </w:r>
          </w:p>
        </w:tc>
        <w:tc>
          <w:tcPr>
            <w:tcW w:w="1774" w:type="dxa"/>
          </w:tcPr>
          <w:p w:rsidR="00A13BC3" w:rsidRPr="00BD7CEA" w:rsidRDefault="00A13BC3" w:rsidP="003479E5">
            <w:pPr>
              <w:spacing w:after="200" w:line="276" w:lineRule="auto"/>
              <w:jc w:val="center"/>
              <w:rPr>
                <w:rFonts w:cs="Tahoma"/>
                <w:szCs w:val="18"/>
                <w:lang w:eastAsia="ja-JP"/>
              </w:rPr>
            </w:pPr>
          </w:p>
        </w:tc>
        <w:tc>
          <w:tcPr>
            <w:tcW w:w="1913" w:type="dxa"/>
            <w:gridSpan w:val="2"/>
          </w:tcPr>
          <w:p w:rsidR="00A13BC3" w:rsidRPr="00BD7CEA" w:rsidRDefault="00A13BC3" w:rsidP="003479E5">
            <w:pPr>
              <w:spacing w:after="200" w:line="276" w:lineRule="auto"/>
              <w:jc w:val="center"/>
              <w:rPr>
                <w:rFonts w:cs="Tahoma"/>
                <w:szCs w:val="18"/>
                <w:lang w:eastAsia="ja-JP"/>
              </w:rPr>
            </w:pPr>
          </w:p>
        </w:tc>
        <w:tc>
          <w:tcPr>
            <w:tcW w:w="1391" w:type="dxa"/>
          </w:tcPr>
          <w:p w:rsidR="00A13BC3" w:rsidRPr="00BD7CEA" w:rsidRDefault="00A13BC3" w:rsidP="003479E5">
            <w:pPr>
              <w:spacing w:after="200" w:line="276" w:lineRule="auto"/>
              <w:jc w:val="center"/>
              <w:rPr>
                <w:rFonts w:cs="Tahoma"/>
                <w:szCs w:val="18"/>
                <w:lang w:eastAsia="ja-JP"/>
              </w:rPr>
            </w:pPr>
          </w:p>
        </w:tc>
      </w:tr>
      <w:tr w:rsidR="00A13BC3" w:rsidRPr="00BD7CEA" w:rsidTr="007E466C">
        <w:tc>
          <w:tcPr>
            <w:tcW w:w="1912" w:type="dxa"/>
          </w:tcPr>
          <w:p w:rsidR="00A13BC3" w:rsidRPr="00BD7CEA" w:rsidRDefault="00A13BC3" w:rsidP="00894563">
            <w:pPr>
              <w:spacing w:after="200" w:line="276" w:lineRule="auto"/>
              <w:jc w:val="center"/>
              <w:rPr>
                <w:rFonts w:cs="Tahoma"/>
                <w:szCs w:val="18"/>
                <w:lang w:eastAsia="ja-JP"/>
              </w:rPr>
            </w:pPr>
            <w:r w:rsidRPr="00BD7CEA">
              <w:rPr>
                <w:rFonts w:cs="Tahoma"/>
                <w:szCs w:val="18"/>
              </w:rPr>
              <w:t>Windows Server HPC Edition</w:t>
            </w:r>
          </w:p>
        </w:tc>
        <w:tc>
          <w:tcPr>
            <w:tcW w:w="1848" w:type="dxa"/>
          </w:tcPr>
          <w:p w:rsidR="00A13BC3" w:rsidRPr="00BD7CEA" w:rsidRDefault="00A13BC3" w:rsidP="003479E5">
            <w:pPr>
              <w:spacing w:after="200" w:line="276" w:lineRule="auto"/>
              <w:jc w:val="center"/>
              <w:rPr>
                <w:rFonts w:cs="Tahoma"/>
                <w:szCs w:val="18"/>
                <w:lang w:eastAsia="ja-JP"/>
              </w:rPr>
            </w:pPr>
            <w:r w:rsidRPr="00BD7CEA">
              <w:rPr>
                <w:rFonts w:cs="Tahoma"/>
                <w:szCs w:val="18"/>
              </w:rPr>
              <w:t>SQL Server Business Intelligence</w:t>
            </w:r>
          </w:p>
        </w:tc>
        <w:tc>
          <w:tcPr>
            <w:tcW w:w="1774" w:type="dxa"/>
          </w:tcPr>
          <w:p w:rsidR="00A13BC3" w:rsidRPr="00BD7CEA" w:rsidRDefault="00A13BC3" w:rsidP="003479E5">
            <w:pPr>
              <w:spacing w:after="200" w:line="276" w:lineRule="auto"/>
              <w:jc w:val="center"/>
              <w:rPr>
                <w:rFonts w:cs="Tahoma"/>
                <w:szCs w:val="18"/>
                <w:lang w:eastAsia="ja-JP"/>
              </w:rPr>
            </w:pPr>
          </w:p>
        </w:tc>
        <w:tc>
          <w:tcPr>
            <w:tcW w:w="1913" w:type="dxa"/>
            <w:gridSpan w:val="2"/>
          </w:tcPr>
          <w:p w:rsidR="00A13BC3" w:rsidRPr="00BD7CEA" w:rsidRDefault="00A13BC3" w:rsidP="003479E5">
            <w:pPr>
              <w:spacing w:after="200" w:line="276" w:lineRule="auto"/>
              <w:jc w:val="center"/>
              <w:rPr>
                <w:rFonts w:cs="Tahoma"/>
                <w:szCs w:val="18"/>
                <w:lang w:eastAsia="ja-JP"/>
              </w:rPr>
            </w:pPr>
          </w:p>
        </w:tc>
        <w:tc>
          <w:tcPr>
            <w:tcW w:w="1391" w:type="dxa"/>
          </w:tcPr>
          <w:p w:rsidR="00A13BC3" w:rsidRPr="00BD7CEA" w:rsidRDefault="00A13BC3" w:rsidP="003479E5">
            <w:pPr>
              <w:spacing w:after="200" w:line="276" w:lineRule="auto"/>
              <w:jc w:val="center"/>
              <w:rPr>
                <w:rFonts w:cs="Tahoma"/>
                <w:szCs w:val="18"/>
                <w:lang w:eastAsia="ja-JP"/>
              </w:rPr>
            </w:pPr>
          </w:p>
        </w:tc>
      </w:tr>
      <w:tr w:rsidR="00A13BC3" w:rsidRPr="007B74B7" w:rsidTr="007E466C">
        <w:tc>
          <w:tcPr>
            <w:tcW w:w="1912" w:type="dxa"/>
          </w:tcPr>
          <w:p w:rsidR="00A13BC3" w:rsidRPr="007B74B7" w:rsidRDefault="00A13BC3" w:rsidP="003479E5">
            <w:pPr>
              <w:spacing w:after="200" w:line="276" w:lineRule="auto"/>
              <w:jc w:val="center"/>
              <w:rPr>
                <w:rFonts w:cs="Tahoma"/>
                <w:szCs w:val="18"/>
                <w:lang w:val="fr-FR" w:eastAsia="ja-JP"/>
              </w:rPr>
            </w:pPr>
            <w:r w:rsidRPr="007B74B7">
              <w:rPr>
                <w:rFonts w:cs="Tahoma"/>
                <w:szCs w:val="18"/>
                <w:lang w:val="fr-FR"/>
              </w:rPr>
              <w:t xml:space="preserve">Core Infrastructure Server Suite Datacenter </w:t>
            </w:r>
          </w:p>
        </w:tc>
        <w:tc>
          <w:tcPr>
            <w:tcW w:w="1848" w:type="dxa"/>
          </w:tcPr>
          <w:p w:rsidR="00A13BC3" w:rsidRPr="007B74B7" w:rsidRDefault="00A13BC3" w:rsidP="003479E5">
            <w:pPr>
              <w:spacing w:after="200" w:line="276" w:lineRule="auto"/>
              <w:jc w:val="center"/>
              <w:rPr>
                <w:rFonts w:cs="Tahoma"/>
                <w:szCs w:val="18"/>
                <w:lang w:val="fr-FR"/>
              </w:rPr>
            </w:pPr>
          </w:p>
        </w:tc>
        <w:tc>
          <w:tcPr>
            <w:tcW w:w="1774" w:type="dxa"/>
          </w:tcPr>
          <w:p w:rsidR="00A13BC3" w:rsidRPr="007B74B7" w:rsidRDefault="00A13BC3" w:rsidP="003479E5">
            <w:pPr>
              <w:spacing w:after="200" w:line="276" w:lineRule="auto"/>
              <w:jc w:val="center"/>
              <w:rPr>
                <w:rFonts w:cs="Tahoma"/>
                <w:szCs w:val="18"/>
                <w:lang w:val="fr-FR"/>
              </w:rPr>
            </w:pPr>
          </w:p>
        </w:tc>
        <w:tc>
          <w:tcPr>
            <w:tcW w:w="1913" w:type="dxa"/>
            <w:gridSpan w:val="2"/>
          </w:tcPr>
          <w:p w:rsidR="00A13BC3" w:rsidRPr="007B74B7" w:rsidRDefault="00A13BC3" w:rsidP="003479E5">
            <w:pPr>
              <w:spacing w:after="200" w:line="276" w:lineRule="auto"/>
              <w:jc w:val="center"/>
              <w:rPr>
                <w:rFonts w:cs="Tahoma"/>
                <w:szCs w:val="18"/>
                <w:lang w:val="fr-FR"/>
              </w:rPr>
            </w:pPr>
          </w:p>
        </w:tc>
        <w:tc>
          <w:tcPr>
            <w:tcW w:w="1391" w:type="dxa"/>
          </w:tcPr>
          <w:p w:rsidR="00A13BC3" w:rsidRPr="007B74B7" w:rsidRDefault="00A13BC3" w:rsidP="003479E5">
            <w:pPr>
              <w:spacing w:after="200" w:line="276" w:lineRule="auto"/>
              <w:jc w:val="center"/>
              <w:rPr>
                <w:rFonts w:cs="Tahoma"/>
                <w:szCs w:val="18"/>
                <w:lang w:val="fr-FR"/>
              </w:rPr>
            </w:pPr>
          </w:p>
        </w:tc>
      </w:tr>
      <w:tr w:rsidR="00A13BC3" w:rsidRPr="007B74B7" w:rsidTr="002A6416">
        <w:tc>
          <w:tcPr>
            <w:tcW w:w="1912" w:type="dxa"/>
          </w:tcPr>
          <w:p w:rsidR="00A13BC3" w:rsidRPr="007B74B7" w:rsidRDefault="00A13BC3" w:rsidP="003479E5">
            <w:pPr>
              <w:spacing w:after="200" w:line="276" w:lineRule="auto"/>
              <w:jc w:val="center"/>
              <w:rPr>
                <w:rFonts w:cs="Tahoma"/>
                <w:szCs w:val="18"/>
                <w:lang w:val="fr-FR" w:eastAsia="ja-JP"/>
              </w:rPr>
            </w:pPr>
            <w:r w:rsidRPr="007B74B7">
              <w:rPr>
                <w:rFonts w:cs="Tahoma"/>
                <w:szCs w:val="18"/>
                <w:lang w:val="fr-FR"/>
              </w:rPr>
              <w:t>Core Infrastructure Server Suite Enterprise</w:t>
            </w:r>
          </w:p>
        </w:tc>
        <w:tc>
          <w:tcPr>
            <w:tcW w:w="1848" w:type="dxa"/>
          </w:tcPr>
          <w:p w:rsidR="00A13BC3" w:rsidRPr="007B74B7" w:rsidRDefault="00A13BC3" w:rsidP="003479E5">
            <w:pPr>
              <w:spacing w:after="200" w:line="276" w:lineRule="auto"/>
              <w:jc w:val="center"/>
              <w:rPr>
                <w:rFonts w:cs="Tahoma"/>
                <w:szCs w:val="18"/>
                <w:lang w:val="fr-FR"/>
              </w:rPr>
            </w:pPr>
          </w:p>
        </w:tc>
        <w:tc>
          <w:tcPr>
            <w:tcW w:w="1774" w:type="dxa"/>
          </w:tcPr>
          <w:p w:rsidR="00A13BC3" w:rsidRPr="007B74B7" w:rsidRDefault="00A13BC3" w:rsidP="003479E5">
            <w:pPr>
              <w:spacing w:after="200" w:line="276" w:lineRule="auto"/>
              <w:jc w:val="center"/>
              <w:rPr>
                <w:rFonts w:cs="Tahoma"/>
                <w:szCs w:val="18"/>
                <w:lang w:val="fr-FR"/>
              </w:rPr>
            </w:pPr>
          </w:p>
        </w:tc>
        <w:tc>
          <w:tcPr>
            <w:tcW w:w="1830" w:type="dxa"/>
          </w:tcPr>
          <w:p w:rsidR="00A13BC3" w:rsidRPr="007B74B7" w:rsidRDefault="00A13BC3" w:rsidP="003479E5">
            <w:pPr>
              <w:spacing w:after="200" w:line="276" w:lineRule="auto"/>
              <w:jc w:val="center"/>
              <w:rPr>
                <w:rFonts w:cs="Tahoma"/>
                <w:szCs w:val="18"/>
                <w:lang w:val="fr-FR"/>
              </w:rPr>
            </w:pPr>
          </w:p>
        </w:tc>
        <w:tc>
          <w:tcPr>
            <w:tcW w:w="1474" w:type="dxa"/>
            <w:gridSpan w:val="2"/>
          </w:tcPr>
          <w:p w:rsidR="00A13BC3" w:rsidRPr="007B74B7" w:rsidRDefault="00A13BC3" w:rsidP="003479E5">
            <w:pPr>
              <w:spacing w:after="200" w:line="276" w:lineRule="auto"/>
              <w:jc w:val="center"/>
              <w:rPr>
                <w:rFonts w:cs="Tahoma"/>
                <w:szCs w:val="18"/>
                <w:lang w:val="fr-FR"/>
              </w:rPr>
            </w:pPr>
          </w:p>
        </w:tc>
      </w:tr>
      <w:tr w:rsidR="00A13BC3" w:rsidRPr="007B74B7" w:rsidTr="002A6416">
        <w:tc>
          <w:tcPr>
            <w:tcW w:w="1912" w:type="dxa"/>
          </w:tcPr>
          <w:p w:rsidR="00A13BC3" w:rsidRPr="007B74B7" w:rsidRDefault="00A13BC3" w:rsidP="003479E5">
            <w:pPr>
              <w:spacing w:after="200" w:line="276" w:lineRule="auto"/>
              <w:jc w:val="center"/>
              <w:rPr>
                <w:rFonts w:cs="Tahoma"/>
                <w:szCs w:val="18"/>
                <w:lang w:val="fr-FR" w:eastAsia="ja-JP"/>
              </w:rPr>
            </w:pPr>
            <w:r w:rsidRPr="007B74B7">
              <w:rPr>
                <w:rFonts w:cs="Tahoma"/>
                <w:szCs w:val="18"/>
                <w:lang w:val="fr-FR"/>
              </w:rPr>
              <w:t>Core Infrastructure Server Suite Standard</w:t>
            </w:r>
          </w:p>
        </w:tc>
        <w:tc>
          <w:tcPr>
            <w:tcW w:w="1848" w:type="dxa"/>
          </w:tcPr>
          <w:p w:rsidR="00A13BC3" w:rsidRPr="007B74B7" w:rsidRDefault="00A13BC3" w:rsidP="003479E5">
            <w:pPr>
              <w:spacing w:after="200" w:line="276" w:lineRule="auto"/>
              <w:jc w:val="center"/>
              <w:rPr>
                <w:rFonts w:cs="Tahoma"/>
                <w:szCs w:val="18"/>
                <w:lang w:val="fr-FR"/>
              </w:rPr>
            </w:pPr>
          </w:p>
        </w:tc>
        <w:tc>
          <w:tcPr>
            <w:tcW w:w="1774" w:type="dxa"/>
          </w:tcPr>
          <w:p w:rsidR="00A13BC3" w:rsidRPr="007B74B7" w:rsidRDefault="00A13BC3" w:rsidP="003479E5">
            <w:pPr>
              <w:spacing w:after="200" w:line="276" w:lineRule="auto"/>
              <w:jc w:val="center"/>
              <w:rPr>
                <w:rFonts w:cs="Tahoma"/>
                <w:szCs w:val="18"/>
                <w:lang w:val="fr-FR"/>
              </w:rPr>
            </w:pPr>
          </w:p>
        </w:tc>
        <w:tc>
          <w:tcPr>
            <w:tcW w:w="1830" w:type="dxa"/>
          </w:tcPr>
          <w:p w:rsidR="00A13BC3" w:rsidRPr="007B74B7" w:rsidRDefault="00A13BC3" w:rsidP="003479E5">
            <w:pPr>
              <w:spacing w:after="200" w:line="276" w:lineRule="auto"/>
              <w:jc w:val="center"/>
              <w:rPr>
                <w:rFonts w:cs="Tahoma"/>
                <w:szCs w:val="18"/>
                <w:lang w:val="fr-FR"/>
              </w:rPr>
            </w:pPr>
          </w:p>
        </w:tc>
        <w:tc>
          <w:tcPr>
            <w:tcW w:w="1474" w:type="dxa"/>
            <w:gridSpan w:val="2"/>
          </w:tcPr>
          <w:p w:rsidR="00A13BC3" w:rsidRPr="007B74B7" w:rsidRDefault="00A13BC3" w:rsidP="003479E5">
            <w:pPr>
              <w:spacing w:after="200" w:line="276" w:lineRule="auto"/>
              <w:jc w:val="center"/>
              <w:rPr>
                <w:rFonts w:cs="Tahoma"/>
                <w:szCs w:val="18"/>
                <w:lang w:val="fr-FR"/>
              </w:rPr>
            </w:pPr>
          </w:p>
        </w:tc>
      </w:tr>
    </w:tbl>
    <w:p w:rsidR="003479E5" w:rsidRPr="007B74B7" w:rsidRDefault="003479E5" w:rsidP="00792D1E">
      <w:pPr>
        <w:rPr>
          <w:lang w:val="fr-FR"/>
        </w:rPr>
      </w:pPr>
    </w:p>
    <w:p w:rsidR="003479E5" w:rsidRPr="007B74B7" w:rsidRDefault="003479E5" w:rsidP="00792D1E">
      <w:pPr>
        <w:rPr>
          <w:lang w:val="it-IT"/>
        </w:rPr>
      </w:pPr>
      <w:r w:rsidRPr="007B74B7">
        <w:rPr>
          <w:rFonts w:cs="Tahoma"/>
          <w:bCs/>
          <w:szCs w:val="18"/>
          <w:lang w:val="it-IT"/>
        </w:rPr>
        <w:t>*La copertura Software Assurance per le Licenze CAL per il Software Server Qualificante non qualifica le società per il vantaggio di Software Assurance System Center Advisor.</w:t>
      </w:r>
      <w:r w:rsidR="008D782D" w:rsidRPr="007B74B7">
        <w:rPr>
          <w:rFonts w:cs="Tahoma"/>
          <w:bCs/>
          <w:szCs w:val="18"/>
          <w:lang w:val="it-IT"/>
        </w:rPr>
        <w:t xml:space="preserve"> </w:t>
      </w:r>
      <w:r w:rsidRPr="007B74B7">
        <w:rPr>
          <w:rFonts w:cs="Tahoma"/>
          <w:bCs/>
          <w:szCs w:val="18"/>
          <w:lang w:val="it-IT"/>
        </w:rPr>
        <w:t>Le società dovranno disporre di una copertura per le licenze software ai sensi delle quali viene eseguito il Software Server Qualificante.</w:t>
      </w:r>
    </w:p>
    <w:p w:rsidR="003479E5" w:rsidRPr="007B74B7" w:rsidRDefault="003479E5" w:rsidP="00792D1E">
      <w:pPr>
        <w:rPr>
          <w:lang w:val="it-IT"/>
        </w:rPr>
      </w:pPr>
    </w:p>
    <w:p w:rsidR="000D454E" w:rsidRPr="007B74B7" w:rsidRDefault="000D454E" w:rsidP="00792D1E">
      <w:pPr>
        <w:rPr>
          <w:lang w:val="it-IT"/>
        </w:rPr>
      </w:pPr>
      <w:r w:rsidRPr="007B74B7">
        <w:rPr>
          <w:rFonts w:cs="Tahoma"/>
          <w:szCs w:val="18"/>
          <w:lang w:val="it-IT"/>
        </w:rPr>
        <w:t>Le società con la copertura Software Assurance attiva per le Licenze di Gestione identificate nella tabella che segue sono idonee a utilizzare System Center Advisor come specificato nei Diritti di Utilizzo del Prodotto.</w:t>
      </w:r>
    </w:p>
    <w:p w:rsidR="000D454E" w:rsidRPr="007B74B7" w:rsidRDefault="000D454E" w:rsidP="000D454E">
      <w:pPr>
        <w:outlineLvl w:val="2"/>
        <w:rPr>
          <w:lang w:val="it-IT"/>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D454E" w:rsidRPr="00BD7CEA" w:rsidTr="007E466C">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rsidR="000D454E" w:rsidRPr="00BD7CEA" w:rsidRDefault="000D454E" w:rsidP="007E466C">
            <w:pPr>
              <w:spacing w:before="120" w:after="120" w:line="276" w:lineRule="auto"/>
              <w:jc w:val="center"/>
              <w:rPr>
                <w:rFonts w:cs="Tahoma"/>
                <w:b/>
                <w:color w:val="000000"/>
                <w:szCs w:val="18"/>
                <w:lang w:eastAsia="ja-JP"/>
              </w:rPr>
            </w:pPr>
            <w:r w:rsidRPr="00BD7CEA">
              <w:rPr>
                <w:rFonts w:cs="Tahoma"/>
                <w:b/>
                <w:color w:val="000000"/>
                <w:szCs w:val="18"/>
              </w:rPr>
              <w:t>Licenze di Gestione Qualificanti</w:t>
            </w:r>
          </w:p>
        </w:tc>
      </w:tr>
      <w:tr w:rsidR="000D454E" w:rsidRPr="007B74B7"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7B74B7" w:rsidRDefault="000D454E" w:rsidP="007E466C">
            <w:pPr>
              <w:spacing w:before="120" w:after="120"/>
              <w:jc w:val="center"/>
              <w:rPr>
                <w:rFonts w:cs="Tahoma"/>
                <w:color w:val="000000"/>
                <w:szCs w:val="18"/>
                <w:lang w:val="it-IT" w:eastAsia="ja-JP"/>
              </w:rPr>
            </w:pPr>
            <w:r w:rsidRPr="007B74B7">
              <w:rPr>
                <w:rFonts w:cs="Tahoma"/>
                <w:color w:val="000000"/>
                <w:szCs w:val="18"/>
                <w:lang w:val="it-IT"/>
              </w:rPr>
              <w:t>Licenza di Gestione Server per System Center 2012 Datacenter</w:t>
            </w:r>
          </w:p>
        </w:tc>
      </w:tr>
      <w:tr w:rsidR="000D454E" w:rsidRPr="007B74B7"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7B74B7" w:rsidRDefault="000D454E" w:rsidP="007E466C">
            <w:pPr>
              <w:spacing w:before="120" w:after="120" w:line="276" w:lineRule="auto"/>
              <w:jc w:val="center"/>
              <w:rPr>
                <w:rFonts w:cs="Tahoma"/>
                <w:szCs w:val="18"/>
                <w:lang w:val="it-IT"/>
              </w:rPr>
            </w:pPr>
            <w:r w:rsidRPr="007B74B7">
              <w:rPr>
                <w:rFonts w:cs="Tahoma"/>
                <w:color w:val="000000"/>
                <w:szCs w:val="18"/>
                <w:lang w:val="it-IT"/>
              </w:rPr>
              <w:t>Licenza di Gestione Server per System Center 2012 Standard</w:t>
            </w:r>
          </w:p>
        </w:tc>
      </w:tr>
    </w:tbl>
    <w:p w:rsidR="00703F84" w:rsidRPr="007B74B7" w:rsidRDefault="00703F84" w:rsidP="00703F84">
      <w:pPr>
        <w:spacing w:before="40" w:line="259" w:lineRule="auto"/>
        <w:outlineLvl w:val="2"/>
        <w:rPr>
          <w:rFonts w:eastAsiaTheme="majorEastAsia" w:cs="Tahoma"/>
          <w:color w:val="000000"/>
          <w:szCs w:val="18"/>
          <w:lang w:val="it-IT"/>
        </w:rPr>
      </w:pPr>
      <w:bookmarkStart w:id="803" w:name="_Toc336338239"/>
    </w:p>
    <w:p w:rsidR="00703F84" w:rsidRPr="007B74B7" w:rsidRDefault="000E6E21" w:rsidP="00703F84">
      <w:pPr>
        <w:spacing w:before="40" w:line="259" w:lineRule="auto"/>
        <w:outlineLvl w:val="2"/>
        <w:rPr>
          <w:rFonts w:eastAsiaTheme="majorEastAsia" w:cs="Tahoma"/>
          <w:color w:val="000000"/>
          <w:szCs w:val="18"/>
          <w:lang w:val="it-IT"/>
        </w:rPr>
      </w:pPr>
      <w:r w:rsidRPr="007B74B7">
        <w:rPr>
          <w:rFonts w:eastAsiaTheme="majorEastAsia" w:cs="Tahoma"/>
          <w:color w:val="000000"/>
          <w:szCs w:val="18"/>
          <w:lang w:val="it-IT"/>
        </w:rPr>
        <w:cr/>
      </w:r>
    </w:p>
    <w:p w:rsidR="00E06FE8" w:rsidRPr="007B74B7" w:rsidRDefault="000E6E21" w:rsidP="00703F84">
      <w:pPr>
        <w:spacing w:before="40" w:line="259" w:lineRule="auto"/>
        <w:outlineLvl w:val="2"/>
        <w:rPr>
          <w:rFonts w:eastAsiaTheme="majorEastAsia" w:cs="Tahoma"/>
          <w:b/>
          <w:color w:val="000000"/>
          <w:sz w:val="24"/>
          <w:szCs w:val="18"/>
          <w:lang w:val="it-IT"/>
        </w:rPr>
      </w:pPr>
      <w:r w:rsidRPr="007B74B7">
        <w:rPr>
          <w:rFonts w:eastAsiaTheme="majorEastAsia" w:cs="Tahoma"/>
          <w:b/>
          <w:color w:val="000000"/>
          <w:sz w:val="24"/>
          <w:szCs w:val="18"/>
          <w:lang w:val="it-IT"/>
        </w:rPr>
        <w:lastRenderedPageBreak/>
        <w:t>System Center Global Service Monitor</w:t>
      </w:r>
    </w:p>
    <w:p w:rsidR="00C710F3" w:rsidRPr="007B74B7" w:rsidRDefault="00C710F3" w:rsidP="00703F84">
      <w:pPr>
        <w:spacing w:before="40" w:line="259" w:lineRule="auto"/>
        <w:outlineLvl w:val="2"/>
        <w:rPr>
          <w:lang w:val="it-IT"/>
        </w:rPr>
      </w:pPr>
    </w:p>
    <w:p w:rsidR="00E06FE8" w:rsidRPr="007B74B7" w:rsidRDefault="00E06FE8" w:rsidP="007E466C">
      <w:pPr>
        <w:rPr>
          <w:lang w:val="it-IT"/>
        </w:rPr>
      </w:pPr>
      <w:r w:rsidRPr="007B74B7">
        <w:rPr>
          <w:rFonts w:cs="Tahoma"/>
          <w:szCs w:val="18"/>
          <w:lang w:val="it-IT"/>
        </w:rPr>
        <w:t>Le società con la copertura Software Assurance attiva per le Licenze di Gestione identificate nella tabella che segue sono idonee a utilizzare System Center Global Service Monitor come specificato nei Diritti di Utilizzo del Prodotto.</w:t>
      </w:r>
    </w:p>
    <w:p w:rsidR="000E6E21" w:rsidRPr="007B74B7" w:rsidRDefault="000E6E21" w:rsidP="007E466C">
      <w:pPr>
        <w:rPr>
          <w:lang w:val="it-IT"/>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BD7CEA"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E06FE8" w:rsidRPr="00BD7CEA" w:rsidRDefault="00E06FE8" w:rsidP="007E466C">
            <w:pPr>
              <w:spacing w:before="120" w:after="120"/>
              <w:jc w:val="center"/>
              <w:rPr>
                <w:rFonts w:cs="Tahoma"/>
                <w:b/>
                <w:szCs w:val="18"/>
              </w:rPr>
            </w:pPr>
            <w:r w:rsidRPr="00BD7CEA">
              <w:rPr>
                <w:rFonts w:cs="Tahoma"/>
                <w:b/>
                <w:szCs w:val="18"/>
              </w:rPr>
              <w:t>Licenze di Gestione Qualificanti</w:t>
            </w:r>
          </w:p>
        </w:tc>
      </w:tr>
      <w:tr w:rsidR="000E6E21" w:rsidRPr="007B74B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7B74B7" w:rsidRDefault="00E06FE8" w:rsidP="007E466C">
            <w:pPr>
              <w:spacing w:before="120" w:after="120"/>
              <w:jc w:val="center"/>
              <w:rPr>
                <w:rFonts w:cs="Tahoma"/>
                <w:szCs w:val="18"/>
                <w:lang w:val="it-IT"/>
              </w:rPr>
            </w:pPr>
            <w:r w:rsidRPr="007B74B7">
              <w:rPr>
                <w:rFonts w:cs="Tahoma"/>
                <w:szCs w:val="18"/>
                <w:lang w:val="it-IT"/>
              </w:rPr>
              <w:t>Licenza di Gestione Server per System Center Datacenter</w:t>
            </w:r>
          </w:p>
        </w:tc>
      </w:tr>
      <w:tr w:rsidR="000E6E21" w:rsidRPr="007B74B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7B74B7" w:rsidRDefault="00E06FE8" w:rsidP="007E466C">
            <w:pPr>
              <w:spacing w:before="120" w:after="120"/>
              <w:jc w:val="center"/>
              <w:rPr>
                <w:rFonts w:cs="Tahoma"/>
                <w:szCs w:val="18"/>
                <w:lang w:val="it-IT"/>
              </w:rPr>
            </w:pPr>
            <w:r w:rsidRPr="007B74B7">
              <w:rPr>
                <w:rFonts w:cs="Tahoma"/>
                <w:szCs w:val="18"/>
                <w:lang w:val="it-IT"/>
              </w:rPr>
              <w:t>Licenza di Gestione Server per System Center Standard</w:t>
            </w:r>
          </w:p>
        </w:tc>
      </w:tr>
    </w:tbl>
    <w:p w:rsidR="00E06FE8" w:rsidRPr="007B74B7" w:rsidRDefault="00E06FE8">
      <w:pPr>
        <w:rPr>
          <w:lang w:val="it-IT"/>
        </w:rPr>
      </w:pPr>
    </w:p>
    <w:p w:rsidR="00023FE7" w:rsidRPr="007B74B7" w:rsidRDefault="00023FE7">
      <w:pPr>
        <w:pStyle w:val="Heading3"/>
        <w:rPr>
          <w:lang w:val="it-IT"/>
        </w:rPr>
      </w:pPr>
      <w:bookmarkStart w:id="804" w:name="_Toc353376019"/>
      <w:r w:rsidRPr="007B74B7">
        <w:rPr>
          <w:rFonts w:ascii="Tahoma" w:hAnsi="Tahoma" w:cs="Tahoma"/>
          <w:sz w:val="24"/>
          <w:lang w:val="it-IT"/>
        </w:rPr>
        <w:t>Back-up per Ripristino di Emergenza “a Freddo”</w:t>
      </w:r>
      <w:bookmarkEnd w:id="803"/>
      <w:bookmarkEnd w:id="804"/>
      <w:r w:rsidRPr="007B74B7">
        <w:rPr>
          <w:rFonts w:ascii="Tahoma" w:hAnsi="Tahoma" w:cs="Tahoma"/>
          <w:sz w:val="24"/>
          <w:lang w:val="it-IT"/>
        </w:rPr>
        <w:t xml:space="preserve"> </w:t>
      </w:r>
    </w:p>
    <w:p w:rsidR="00023FE7" w:rsidRPr="007B74B7" w:rsidRDefault="00023FE7">
      <w:pPr>
        <w:rPr>
          <w:lang w:val="it-IT"/>
        </w:rPr>
      </w:pPr>
    </w:p>
    <w:p w:rsidR="008A15A8" w:rsidRPr="007B74B7" w:rsidRDefault="008A15A8" w:rsidP="00792D1E">
      <w:pPr>
        <w:rPr>
          <w:lang w:val="it-IT"/>
        </w:rPr>
      </w:pPr>
      <w:r w:rsidRPr="007B74B7">
        <w:rPr>
          <w:rFonts w:eastAsia="Calibri" w:cs="Tahoma"/>
          <w:szCs w:val="18"/>
          <w:lang w:val="it-IT"/>
        </w:rPr>
        <w:t>Le società con copertura Software Assurance per i prodotti server qualificanti e relative CAL sono idonee a ricevere licenze server gratuite per tali prodotti a fini del ripristino di emergenza (DR).</w:t>
      </w:r>
    </w:p>
    <w:p w:rsidR="00792D1E" w:rsidRPr="007B74B7" w:rsidRDefault="00792D1E" w:rsidP="00792D1E">
      <w:pPr>
        <w:rPr>
          <w:lang w:val="it-IT"/>
        </w:rPr>
      </w:pPr>
    </w:p>
    <w:p w:rsidR="00023FE7" w:rsidRPr="007B74B7" w:rsidRDefault="00023FE7" w:rsidP="00792D1E">
      <w:pPr>
        <w:pStyle w:val="AppendixFlushBulletedList"/>
        <w:tabs>
          <w:tab w:val="clear" w:pos="360"/>
          <w:tab w:val="num" w:pos="0"/>
        </w:tabs>
        <w:ind w:left="0" w:firstLine="0"/>
        <w:rPr>
          <w:lang w:val="it-IT"/>
        </w:rPr>
      </w:pPr>
      <w:r w:rsidRPr="007B74B7">
        <w:rPr>
          <w:rFonts w:ascii="Tahoma" w:hAnsi="Tahoma" w:cs="Tahoma"/>
          <w:sz w:val="18"/>
          <w:szCs w:val="18"/>
          <w:lang w:val="it-IT"/>
        </w:rPr>
        <w:t>Per ogni licenza server qualificante per la quale (i) una società sia iscritta a SA e (ii) la società abbia iscritto a SA tutte le relative CAL (se richieste dal prodotto), verrà concessa alla società stessa una seconda licenza server, ai sensi della quale la società potrà distribuire lo stesso prodotto su un server di back-up “a freddo” unicamente per fini di DR, durante il periodo di validità della copertura Software Assurance.</w:t>
      </w:r>
      <w:r w:rsidR="008D782D" w:rsidRPr="007B74B7">
        <w:rPr>
          <w:rFonts w:ascii="Tahoma" w:hAnsi="Tahoma" w:cs="Tahoma"/>
          <w:sz w:val="18"/>
          <w:szCs w:val="18"/>
          <w:lang w:val="it-IT"/>
        </w:rPr>
        <w:t xml:space="preserve"> </w:t>
      </w:r>
      <w:r w:rsidRPr="007B74B7">
        <w:rPr>
          <w:rFonts w:ascii="Tahoma" w:hAnsi="Tahoma" w:cs="Tahoma"/>
          <w:sz w:val="18"/>
          <w:szCs w:val="18"/>
          <w:lang w:val="it-IT"/>
        </w:rPr>
        <w:t>La distribuzione e l</w:t>
      </w:r>
      <w:r w:rsidR="007A1415" w:rsidRPr="007B74B7">
        <w:rPr>
          <w:rFonts w:ascii="Tahoma" w:hAnsi="Tahoma" w:cs="Tahoma"/>
          <w:sz w:val="18"/>
          <w:szCs w:val="18"/>
          <w:lang w:val="it-IT"/>
        </w:rPr>
        <w:t>’</w:t>
      </w:r>
      <w:r w:rsidRPr="007B74B7">
        <w:rPr>
          <w:rFonts w:ascii="Tahoma" w:hAnsi="Tahoma" w:cs="Tahoma"/>
          <w:sz w:val="18"/>
          <w:szCs w:val="18"/>
          <w:lang w:val="it-IT"/>
        </w:rPr>
        <w:t>utilizzo del software da parte della società ai sensi delle licenze DR sono soggetti alle condizioni del relativo contratto di licenza.</w:t>
      </w:r>
    </w:p>
    <w:p w:rsidR="00FE5F1D" w:rsidRPr="007B74B7" w:rsidRDefault="00FE5F1D" w:rsidP="00792D1E">
      <w:pPr>
        <w:pStyle w:val="AppendixBodyText"/>
        <w:spacing w:after="0"/>
        <w:rPr>
          <w:lang w:val="it-IT"/>
        </w:rPr>
      </w:pPr>
    </w:p>
    <w:p w:rsidR="00023FE7" w:rsidRPr="007B74B7" w:rsidRDefault="00023FE7" w:rsidP="00792D1E">
      <w:pPr>
        <w:pStyle w:val="Heading3"/>
        <w:rPr>
          <w:lang w:val="it-IT"/>
        </w:rPr>
      </w:pPr>
      <w:bookmarkStart w:id="805" w:name="_Toc336338240"/>
      <w:bookmarkStart w:id="806" w:name="_Toc353376020"/>
      <w:r w:rsidRPr="007B74B7">
        <w:rPr>
          <w:rFonts w:ascii="Tahoma" w:hAnsi="Tahoma" w:cs="Tahoma"/>
          <w:sz w:val="24"/>
          <w:lang w:val="it-IT"/>
        </w:rPr>
        <w:t>Servizi in Abbonamento TechNet SA</w:t>
      </w:r>
      <w:bookmarkEnd w:id="805"/>
      <w:bookmarkEnd w:id="806"/>
    </w:p>
    <w:p w:rsidR="00023FE7" w:rsidRPr="007B74B7" w:rsidRDefault="00023FE7" w:rsidP="00792D1E">
      <w:pPr>
        <w:rPr>
          <w:lang w:val="it-IT"/>
        </w:rPr>
      </w:pPr>
    </w:p>
    <w:p w:rsidR="004A4D28" w:rsidRPr="007B74B7" w:rsidRDefault="00A65414" w:rsidP="00792D1E">
      <w:pPr>
        <w:pStyle w:val="AppendixBodyText"/>
        <w:spacing w:after="0"/>
        <w:rPr>
          <w:lang w:val="it-IT"/>
        </w:rPr>
      </w:pPr>
      <w:r w:rsidRPr="007B74B7">
        <w:rPr>
          <w:rFonts w:ascii="Tahoma" w:eastAsia="Calibri" w:hAnsi="Tahoma" w:cs="Tahoma"/>
          <w:sz w:val="18"/>
          <w:szCs w:val="18"/>
          <w:lang w:val="it-IT"/>
        </w:rPr>
        <w:t>Le società con copertura Software Assurance per i prodotti qualificanti del pool di prodotti server sono idonee a</w:t>
      </w:r>
      <w:r w:rsidR="00703F84" w:rsidRPr="007B74B7">
        <w:rPr>
          <w:rFonts w:ascii="Tahoma" w:eastAsia="Calibri" w:hAnsi="Tahoma" w:cs="Tahoma"/>
          <w:sz w:val="18"/>
          <w:szCs w:val="18"/>
          <w:lang w:val="it-IT"/>
        </w:rPr>
        <w:t> </w:t>
      </w:r>
      <w:r w:rsidRPr="007B74B7">
        <w:rPr>
          <w:rFonts w:ascii="Tahoma" w:eastAsia="Calibri" w:hAnsi="Tahoma" w:cs="Tahoma"/>
          <w:sz w:val="18"/>
          <w:szCs w:val="18"/>
          <w:lang w:val="it-IT"/>
        </w:rPr>
        <w:t xml:space="preserve">beneficiare del supporto per i Servizi in Abbonamento TechNet SA durante il periodo di validità della copertura Software Assurance. </w:t>
      </w:r>
      <w:r w:rsidRPr="007B74B7">
        <w:rPr>
          <w:rFonts w:ascii="Tahoma" w:hAnsi="Tahoma" w:cs="Tahoma"/>
          <w:sz w:val="18"/>
          <w:szCs w:val="18"/>
          <w:lang w:val="it-IT"/>
        </w:rPr>
        <w:t>In questo modo i professionisti IT riceveranno risposte a domande tecniche da colleghi che operano nello stesso settore.</w:t>
      </w:r>
      <w:r w:rsidR="008D782D" w:rsidRPr="007B74B7">
        <w:rPr>
          <w:rFonts w:ascii="Tahoma" w:hAnsi="Tahoma" w:cs="Tahoma"/>
          <w:sz w:val="18"/>
          <w:szCs w:val="18"/>
          <w:lang w:val="it-IT"/>
        </w:rPr>
        <w:t xml:space="preserve"> </w:t>
      </w:r>
      <w:r w:rsidRPr="007B74B7">
        <w:rPr>
          <w:rFonts w:ascii="Tahoma" w:hAnsi="Tahoma" w:cs="Tahoma"/>
          <w:sz w:val="18"/>
          <w:szCs w:val="18"/>
          <w:lang w:val="it-IT"/>
        </w:rPr>
        <w:t>Esperti Microsoft forniranno assistenza per monitorare i newsgroup e contribuire a</w:t>
      </w:r>
      <w:r w:rsidR="00703F84" w:rsidRPr="007B74B7">
        <w:rPr>
          <w:rFonts w:ascii="Tahoma" w:hAnsi="Tahoma" w:cs="Tahoma"/>
          <w:sz w:val="18"/>
          <w:szCs w:val="18"/>
          <w:lang w:val="it-IT"/>
        </w:rPr>
        <w:t> </w:t>
      </w:r>
      <w:r w:rsidRPr="007B74B7">
        <w:rPr>
          <w:rFonts w:ascii="Tahoma" w:hAnsi="Tahoma" w:cs="Tahoma"/>
          <w:sz w:val="18"/>
          <w:szCs w:val="18"/>
          <w:lang w:val="it-IT"/>
        </w:rPr>
        <w:t>garantire l</w:t>
      </w:r>
      <w:r w:rsidR="007A1415" w:rsidRPr="007B74B7">
        <w:rPr>
          <w:rFonts w:ascii="Tahoma" w:hAnsi="Tahoma" w:cs="Tahoma"/>
          <w:sz w:val="18"/>
          <w:szCs w:val="18"/>
          <w:lang w:val="it-IT"/>
        </w:rPr>
        <w:t>’</w:t>
      </w:r>
      <w:r w:rsidRPr="007B74B7">
        <w:rPr>
          <w:rFonts w:ascii="Tahoma" w:hAnsi="Tahoma" w:cs="Tahoma"/>
          <w:sz w:val="18"/>
          <w:szCs w:val="18"/>
          <w:lang w:val="it-IT"/>
        </w:rPr>
        <w:t>accuratezza.</w:t>
      </w:r>
      <w:r w:rsidR="008D782D" w:rsidRPr="007B74B7">
        <w:rPr>
          <w:rFonts w:ascii="Tahoma" w:hAnsi="Tahoma" w:cs="Tahoma"/>
          <w:sz w:val="18"/>
          <w:szCs w:val="18"/>
          <w:lang w:val="it-IT"/>
        </w:rPr>
        <w:t xml:space="preserve"> </w:t>
      </w:r>
      <w:r w:rsidRPr="007B74B7">
        <w:rPr>
          <w:rFonts w:ascii="Tahoma" w:hAnsi="Tahoma" w:cs="Tahoma"/>
          <w:sz w:val="18"/>
          <w:szCs w:val="18"/>
          <w:lang w:val="it-IT"/>
        </w:rPr>
        <w:t>Le società idonee riceveranno gli ID Utente necessari ad accedere ai servizi online.</w:t>
      </w:r>
      <w:r w:rsidR="008D782D" w:rsidRPr="007B74B7">
        <w:rPr>
          <w:rFonts w:ascii="Tahoma" w:hAnsi="Tahoma" w:cs="Tahoma"/>
          <w:sz w:val="18"/>
          <w:szCs w:val="18"/>
          <w:lang w:val="it-IT"/>
        </w:rPr>
        <w:t xml:space="preserve"> </w:t>
      </w:r>
    </w:p>
    <w:p w:rsidR="00FE5F1D" w:rsidRPr="007B74B7" w:rsidRDefault="00FE5F1D" w:rsidP="00792D1E">
      <w:pPr>
        <w:pStyle w:val="AppendixBodyText"/>
        <w:spacing w:after="0"/>
        <w:rPr>
          <w:lang w:val="it-IT"/>
        </w:rPr>
      </w:pPr>
    </w:p>
    <w:p w:rsidR="00023FE7" w:rsidRPr="007B74B7" w:rsidRDefault="00023FE7" w:rsidP="00792D1E">
      <w:pPr>
        <w:pStyle w:val="AppendixBodyText"/>
        <w:spacing w:after="0"/>
        <w:rPr>
          <w:lang w:val="it-IT"/>
        </w:rPr>
      </w:pPr>
      <w:r w:rsidRPr="007B74B7">
        <w:rPr>
          <w:rFonts w:ascii="Tahoma" w:hAnsi="Tahoma" w:cs="Tahoma"/>
          <w:sz w:val="18"/>
          <w:szCs w:val="18"/>
          <w:lang w:val="it-IT"/>
        </w:rPr>
        <w:t>Le società riceveranno un ID Utente per ogni prodotto idoneo coperto da Software Assurance, come mostrato di</w:t>
      </w:r>
      <w:r w:rsidR="00B15767" w:rsidRPr="007B74B7">
        <w:rPr>
          <w:rFonts w:ascii="Tahoma" w:hAnsi="Tahoma" w:cs="Tahoma"/>
          <w:sz w:val="18"/>
          <w:szCs w:val="18"/>
          <w:lang w:val="it-IT"/>
        </w:rPr>
        <w:t> </w:t>
      </w:r>
      <w:r w:rsidRPr="007B74B7">
        <w:rPr>
          <w:rFonts w:ascii="Tahoma" w:hAnsi="Tahoma" w:cs="Tahoma"/>
          <w:sz w:val="18"/>
          <w:szCs w:val="18"/>
          <w:lang w:val="it-IT"/>
        </w:rPr>
        <w:t>seguito:</w:t>
      </w:r>
    </w:p>
    <w:p w:rsidR="00023FE7" w:rsidRPr="007B74B7" w:rsidRDefault="00023FE7" w:rsidP="00792D1E">
      <w:pPr>
        <w:pStyle w:val="AppendixBodyText"/>
        <w:spacing w:after="0"/>
        <w:rPr>
          <w:lang w:val="it-IT"/>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BD7CEA"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BD7CEA" w:rsidRDefault="0036654E">
            <w:pPr>
              <w:pStyle w:val="AppendixTableHeadings"/>
              <w:rPr>
                <w:rFonts w:ascii="Tahoma" w:hAnsi="Tahoma" w:cs="Tahoma"/>
                <w:sz w:val="20"/>
                <w:szCs w:val="20"/>
              </w:rPr>
            </w:pPr>
            <w:r w:rsidRPr="00BD7CEA">
              <w:rPr>
                <w:rFonts w:ascii="Tahoma" w:hAnsi="Tahoma" w:cs="Tahoma"/>
                <w:sz w:val="20"/>
                <w:szCs w:val="20"/>
              </w:rPr>
              <w:t>Gruppo di Prodotti</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BD7CEA" w:rsidRDefault="0036654E">
            <w:pPr>
              <w:pStyle w:val="AppendixTableHeadings"/>
              <w:rPr>
                <w:rFonts w:ascii="Tahoma" w:hAnsi="Tahoma" w:cs="Tahoma"/>
                <w:sz w:val="20"/>
                <w:szCs w:val="20"/>
              </w:rPr>
            </w:pPr>
            <w:r w:rsidRPr="00BD7CEA">
              <w:rPr>
                <w:rFonts w:ascii="Tahoma" w:hAnsi="Tahoma" w:cs="Tahoma"/>
                <w:sz w:val="20"/>
                <w:szCs w:val="20"/>
              </w:rPr>
              <w:t>Open License, Open Value Subscription</w:t>
            </w:r>
            <w:r w:rsidR="00FD7C0D">
              <w:rPr>
                <w:rFonts w:ascii="Tahoma" w:hAnsi="Tahoma" w:cs="Tahoma"/>
                <w:sz w:val="20"/>
                <w:szCs w:val="20"/>
              </w:rPr>
              <w:t xml:space="preserve"> – </w:t>
            </w:r>
            <w:r w:rsidRPr="00BD7CEA">
              <w:rPr>
                <w:rFonts w:ascii="Tahoma" w:hAnsi="Tahoma" w:cs="Tahoma"/>
                <w:sz w:val="20"/>
                <w:szCs w:val="20"/>
              </w:rPr>
              <w:t>Education Solutions, Open Value e Academic con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BD7CEA" w:rsidRDefault="0036654E">
            <w:pPr>
              <w:pStyle w:val="AppendixTableHeadings"/>
              <w:rPr>
                <w:rFonts w:ascii="Tahoma" w:hAnsi="Tahoma" w:cs="Tahoma"/>
                <w:sz w:val="20"/>
                <w:szCs w:val="20"/>
              </w:rPr>
            </w:pPr>
            <w:r w:rsidRPr="00BD7CEA">
              <w:rPr>
                <w:rFonts w:ascii="Tahoma" w:hAnsi="Tahoma" w:cs="Tahoma"/>
                <w:sz w:val="20"/>
                <w:szCs w:val="20"/>
              </w:rPr>
              <w:t>Select/Select Plus/EA</w:t>
            </w:r>
          </w:p>
        </w:tc>
      </w:tr>
      <w:tr w:rsidR="0036654E" w:rsidRPr="007B74B7"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BD7CEA" w:rsidRDefault="0036654E">
            <w:pPr>
              <w:pStyle w:val="AppendixTableText"/>
              <w:rPr>
                <w:rFonts w:ascii="Tahoma" w:hAnsi="Tahoma" w:cs="Tahoma"/>
                <w:b/>
              </w:rPr>
            </w:pPr>
            <w:r w:rsidRPr="00BD7CEA">
              <w:rPr>
                <w:rFonts w:ascii="Tahoma" w:hAnsi="Tahoma" w:cs="Tahoma"/>
                <w:b/>
                <w:sz w:val="20"/>
              </w:rPr>
              <w:t>Pool di Server</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7B74B7" w:rsidRDefault="0036654E" w:rsidP="00A9099B">
            <w:pPr>
              <w:pStyle w:val="AppendixTableText"/>
              <w:rPr>
                <w:lang w:val="it-IT"/>
              </w:rPr>
            </w:pPr>
            <w:r w:rsidRPr="007B74B7">
              <w:rPr>
                <w:rFonts w:ascii="Tahoma" w:hAnsi="Tahoma" w:cs="Tahoma"/>
                <w:lang w:val="it-IT"/>
              </w:rPr>
              <w:t>1 ID Utente per</w:t>
            </w:r>
          </w:p>
          <w:p w:rsidR="0036654E" w:rsidRPr="007B74B7" w:rsidRDefault="0036654E" w:rsidP="00A9099B">
            <w:pPr>
              <w:pStyle w:val="AppendixTableText"/>
              <w:rPr>
                <w:lang w:val="it-IT"/>
              </w:rPr>
            </w:pPr>
            <w:r w:rsidRPr="007B74B7">
              <w:rPr>
                <w:rFonts w:ascii="Tahoma" w:hAnsi="Tahoma" w:cs="Tahoma"/>
                <w:lang w:val="it-IT"/>
              </w:rPr>
              <w:t>Licenza Server</w:t>
            </w:r>
          </w:p>
          <w:p w:rsidR="0036654E" w:rsidRPr="007B74B7" w:rsidRDefault="0036654E">
            <w:pPr>
              <w:pStyle w:val="AppendixTableText"/>
              <w:rPr>
                <w:rFonts w:ascii="Tahoma" w:hAnsi="Tahoma" w:cs="Tahoma"/>
                <w:lang w:val="it-IT"/>
              </w:rPr>
            </w:pPr>
            <w:r w:rsidRPr="007B74B7">
              <w:rPr>
                <w:rFonts w:ascii="Tahoma" w:hAnsi="Tahoma" w:cs="Tahoma"/>
                <w:lang w:val="it-IT"/>
              </w:rPr>
              <w:t>(una volta soddisfatto il requisito di 5 SA Server)</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7B74B7" w:rsidRDefault="0036654E" w:rsidP="00A9099B">
            <w:pPr>
              <w:pStyle w:val="AppendixTableText"/>
              <w:rPr>
                <w:lang w:val="it-IT"/>
              </w:rPr>
            </w:pPr>
            <w:r w:rsidRPr="007B74B7">
              <w:rPr>
                <w:rFonts w:ascii="Tahoma" w:hAnsi="Tahoma" w:cs="Tahoma"/>
                <w:lang w:val="it-IT"/>
              </w:rPr>
              <w:t>1 ID Utente per</w:t>
            </w:r>
          </w:p>
          <w:p w:rsidR="0036654E" w:rsidRPr="007B74B7" w:rsidRDefault="0036654E">
            <w:pPr>
              <w:pStyle w:val="AppendixTableText"/>
              <w:rPr>
                <w:rFonts w:ascii="Tahoma" w:hAnsi="Tahoma" w:cs="Tahoma"/>
                <w:lang w:val="it-IT"/>
              </w:rPr>
            </w:pPr>
            <w:r w:rsidRPr="007B74B7">
              <w:rPr>
                <w:rFonts w:ascii="Tahoma" w:hAnsi="Tahoma" w:cs="Tahoma"/>
                <w:lang w:val="it-IT"/>
              </w:rPr>
              <w:t>Licenza Server</w:t>
            </w:r>
          </w:p>
        </w:tc>
      </w:tr>
    </w:tbl>
    <w:p w:rsidR="00B2460D" w:rsidRPr="007B74B7" w:rsidRDefault="00B2460D" w:rsidP="00CA3658">
      <w:pPr>
        <w:pStyle w:val="AppendixBodyText"/>
        <w:spacing w:after="0"/>
        <w:rPr>
          <w:lang w:val="it-IT"/>
        </w:rPr>
      </w:pPr>
    </w:p>
    <w:p w:rsidR="00023FE7" w:rsidRPr="007B74B7" w:rsidRDefault="00023FE7" w:rsidP="00CA3658">
      <w:pPr>
        <w:pStyle w:val="AppendixBodyText"/>
        <w:spacing w:after="0"/>
        <w:rPr>
          <w:lang w:val="it-IT"/>
        </w:rPr>
      </w:pPr>
    </w:p>
    <w:p w:rsidR="00CC70EB" w:rsidRPr="007B74B7" w:rsidRDefault="00CC70EB" w:rsidP="00CA3658">
      <w:pPr>
        <w:pStyle w:val="AppendixBodyText"/>
        <w:spacing w:after="0"/>
        <w:rPr>
          <w:lang w:val="it-IT"/>
        </w:rPr>
      </w:pPr>
    </w:p>
    <w:p w:rsidR="00CC70EB" w:rsidRPr="007B74B7" w:rsidRDefault="00CC70EB" w:rsidP="00CA3658">
      <w:pPr>
        <w:pStyle w:val="AppendixBodyText"/>
        <w:spacing w:after="0"/>
        <w:rPr>
          <w:lang w:val="it-IT"/>
        </w:rPr>
      </w:pPr>
    </w:p>
    <w:p w:rsidR="00CC70EB" w:rsidRPr="007B74B7" w:rsidRDefault="00CC70EB" w:rsidP="00CA3658">
      <w:pPr>
        <w:pStyle w:val="AppendixBodyText"/>
        <w:spacing w:after="0"/>
        <w:rPr>
          <w:lang w:val="it-IT"/>
        </w:rPr>
      </w:pPr>
    </w:p>
    <w:p w:rsidR="00CC70EB" w:rsidRPr="007B74B7" w:rsidRDefault="00CC70EB" w:rsidP="00CA3658">
      <w:pPr>
        <w:pStyle w:val="AppendixBodyText"/>
        <w:spacing w:after="0"/>
        <w:rPr>
          <w:lang w:val="it-IT"/>
        </w:rPr>
      </w:pPr>
    </w:p>
    <w:p w:rsidR="00CC70EB" w:rsidRPr="007B74B7" w:rsidRDefault="00CC70EB" w:rsidP="00CA3658">
      <w:pPr>
        <w:pStyle w:val="AppendixBodyText"/>
        <w:spacing w:after="0"/>
        <w:rPr>
          <w:lang w:val="it-IT"/>
        </w:rPr>
      </w:pPr>
    </w:p>
    <w:p w:rsidR="00CC70EB" w:rsidRPr="007B74B7" w:rsidRDefault="00CC70EB" w:rsidP="00CA3658">
      <w:pPr>
        <w:pStyle w:val="AppendixBodyText"/>
        <w:spacing w:after="0"/>
        <w:rPr>
          <w:lang w:val="it-IT"/>
        </w:rPr>
      </w:pPr>
    </w:p>
    <w:p w:rsidR="00CC70EB" w:rsidRPr="007B74B7" w:rsidRDefault="00CC70EB" w:rsidP="00CA3658">
      <w:pPr>
        <w:pStyle w:val="AppendixBodyText"/>
        <w:spacing w:after="0"/>
        <w:rPr>
          <w:lang w:val="it-IT"/>
        </w:rPr>
      </w:pPr>
    </w:p>
    <w:p w:rsidR="00CC70EB" w:rsidRPr="007B74B7" w:rsidRDefault="00CC70EB" w:rsidP="00CA3658">
      <w:pPr>
        <w:pStyle w:val="AppendixBodyText"/>
        <w:spacing w:after="0"/>
        <w:rPr>
          <w:lang w:val="it-IT"/>
        </w:rPr>
      </w:pPr>
    </w:p>
    <w:p w:rsidR="00CC70EB" w:rsidRPr="007B74B7" w:rsidRDefault="00CC70EB" w:rsidP="00CA3658">
      <w:pPr>
        <w:pStyle w:val="AppendixBodyText"/>
        <w:spacing w:after="0"/>
        <w:rPr>
          <w:lang w:val="it-IT"/>
        </w:rPr>
      </w:pPr>
    </w:p>
    <w:p w:rsidR="00CC70EB" w:rsidRPr="007B74B7" w:rsidRDefault="00CC70EB" w:rsidP="00CA3658">
      <w:pPr>
        <w:pStyle w:val="AppendixBodyText"/>
        <w:spacing w:after="0"/>
        <w:rPr>
          <w:lang w:val="it-IT"/>
        </w:rPr>
      </w:pPr>
    </w:p>
    <w:p w:rsidR="00CC70EB" w:rsidRPr="007B74B7" w:rsidRDefault="00CC70EB" w:rsidP="00CA3658">
      <w:pPr>
        <w:pStyle w:val="AppendixBodyText"/>
        <w:spacing w:after="0"/>
        <w:rPr>
          <w:lang w:val="it-IT"/>
        </w:rPr>
      </w:pPr>
    </w:p>
    <w:p w:rsidR="00CC70EB" w:rsidRPr="007B74B7" w:rsidRDefault="00CC70EB" w:rsidP="00CA3658">
      <w:pPr>
        <w:pStyle w:val="AppendixBodyText"/>
        <w:spacing w:after="0"/>
        <w:rPr>
          <w:lang w:val="it-IT"/>
        </w:rPr>
      </w:pPr>
    </w:p>
    <w:tbl>
      <w:tblPr>
        <w:tblW w:w="9414" w:type="dxa"/>
        <w:tblInd w:w="36"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323"/>
        <w:gridCol w:w="965"/>
        <w:gridCol w:w="1440"/>
        <w:gridCol w:w="1350"/>
        <w:gridCol w:w="1530"/>
        <w:gridCol w:w="1350"/>
        <w:gridCol w:w="1456"/>
      </w:tblGrid>
      <w:tr w:rsidR="0043190C" w:rsidRPr="00BD7CEA" w:rsidTr="00CC70EB">
        <w:trPr>
          <w:trHeight w:val="178"/>
        </w:trPr>
        <w:tc>
          <w:tcPr>
            <w:tcW w:w="1323" w:type="dxa"/>
            <w:shd w:val="clear" w:color="auto" w:fill="FFCC99"/>
            <w:vAlign w:val="center"/>
          </w:tcPr>
          <w:p w:rsidR="0043190C" w:rsidRPr="00BD7CEA" w:rsidRDefault="0043190C" w:rsidP="00CC70EB">
            <w:pPr>
              <w:pStyle w:val="AppendixTableHeadings"/>
              <w:spacing w:line="240" w:lineRule="auto"/>
              <w:rPr>
                <w:rFonts w:ascii="Tahoma" w:hAnsi="Tahoma" w:cs="Tahoma"/>
                <w:sz w:val="20"/>
                <w:szCs w:val="20"/>
              </w:rPr>
            </w:pPr>
            <w:r w:rsidRPr="00BD7CEA">
              <w:rPr>
                <w:rFonts w:ascii="Tahoma" w:hAnsi="Tahoma" w:cs="Tahoma"/>
                <w:sz w:val="20"/>
                <w:szCs w:val="20"/>
              </w:rPr>
              <w:t>Gruppo di Prodotti</w:t>
            </w:r>
          </w:p>
        </w:tc>
        <w:tc>
          <w:tcPr>
            <w:tcW w:w="965" w:type="dxa"/>
            <w:shd w:val="clear" w:color="auto" w:fill="FFCC99"/>
            <w:vAlign w:val="center"/>
          </w:tcPr>
          <w:p w:rsidR="0043190C" w:rsidRPr="00BD7CEA" w:rsidRDefault="0043190C" w:rsidP="00CC70EB">
            <w:pPr>
              <w:pStyle w:val="AppendixTableHeadings"/>
              <w:spacing w:line="240" w:lineRule="auto"/>
              <w:rPr>
                <w:rFonts w:ascii="Tahoma" w:hAnsi="Tahoma" w:cs="Tahoma"/>
                <w:sz w:val="20"/>
                <w:szCs w:val="20"/>
              </w:rPr>
            </w:pPr>
            <w:r w:rsidRPr="00BD7CEA">
              <w:rPr>
                <w:rFonts w:ascii="Tahoma" w:hAnsi="Tahoma" w:cs="Tahoma"/>
                <w:sz w:val="20"/>
                <w:szCs w:val="20"/>
              </w:rPr>
              <w:t>Open Value con SAM</w:t>
            </w:r>
          </w:p>
        </w:tc>
        <w:tc>
          <w:tcPr>
            <w:tcW w:w="1440" w:type="dxa"/>
            <w:shd w:val="clear" w:color="auto" w:fill="FFCC99"/>
            <w:vAlign w:val="center"/>
          </w:tcPr>
          <w:p w:rsidR="0043190C" w:rsidRPr="00BD7CEA" w:rsidRDefault="0043190C" w:rsidP="00CC70EB">
            <w:pPr>
              <w:pStyle w:val="AppendixTableHeadings"/>
              <w:spacing w:line="240" w:lineRule="auto"/>
            </w:pPr>
            <w:r w:rsidRPr="00BD7CEA">
              <w:rPr>
                <w:rFonts w:ascii="Tahoma" w:hAnsi="Tahoma" w:cs="Tahoma"/>
                <w:sz w:val="20"/>
                <w:szCs w:val="20"/>
              </w:rPr>
              <w:t>SAM</w:t>
            </w:r>
          </w:p>
          <w:p w:rsidR="0043190C" w:rsidRPr="00BD7CEA" w:rsidRDefault="0043190C" w:rsidP="00CC70EB">
            <w:pPr>
              <w:pStyle w:val="AppendixTableHeadings"/>
              <w:spacing w:line="240" w:lineRule="auto"/>
              <w:rPr>
                <w:rFonts w:ascii="Tahoma" w:hAnsi="Tahoma" w:cs="Tahoma"/>
                <w:sz w:val="20"/>
                <w:szCs w:val="20"/>
              </w:rPr>
            </w:pPr>
            <w:r w:rsidRPr="00BD7CEA">
              <w:rPr>
                <w:rFonts w:ascii="Tahoma" w:hAnsi="Tahoma" w:cs="Tahoma"/>
                <w:sz w:val="20"/>
                <w:szCs w:val="20"/>
              </w:rPr>
              <w:t xml:space="preserve">250-2,399 </w:t>
            </w:r>
          </w:p>
        </w:tc>
        <w:tc>
          <w:tcPr>
            <w:tcW w:w="1350" w:type="dxa"/>
            <w:shd w:val="clear" w:color="auto" w:fill="FFCC99"/>
            <w:vAlign w:val="center"/>
          </w:tcPr>
          <w:p w:rsidR="0043190C" w:rsidRPr="00BD7CEA" w:rsidRDefault="0043190C" w:rsidP="00CC70EB">
            <w:pPr>
              <w:pStyle w:val="AppendixTableHeadings"/>
              <w:spacing w:line="240" w:lineRule="auto"/>
            </w:pPr>
            <w:r w:rsidRPr="00BD7CEA">
              <w:rPr>
                <w:rFonts w:ascii="Tahoma" w:hAnsi="Tahoma" w:cs="Tahoma"/>
                <w:sz w:val="20"/>
                <w:szCs w:val="20"/>
              </w:rPr>
              <w:t>SAM</w:t>
            </w:r>
          </w:p>
          <w:p w:rsidR="0043190C" w:rsidRPr="00BD7CEA" w:rsidRDefault="0043190C" w:rsidP="00CC70EB">
            <w:pPr>
              <w:pStyle w:val="AppendixTableHeadings"/>
              <w:spacing w:line="240" w:lineRule="auto"/>
              <w:rPr>
                <w:rFonts w:ascii="Tahoma" w:hAnsi="Tahoma" w:cs="Tahoma"/>
                <w:sz w:val="20"/>
                <w:szCs w:val="20"/>
              </w:rPr>
            </w:pPr>
            <w:r w:rsidRPr="00BD7CEA">
              <w:rPr>
                <w:rFonts w:ascii="Tahoma" w:hAnsi="Tahoma" w:cs="Tahoma"/>
                <w:sz w:val="20"/>
                <w:szCs w:val="20"/>
              </w:rPr>
              <w:t>2,400-5,999</w:t>
            </w:r>
          </w:p>
        </w:tc>
        <w:tc>
          <w:tcPr>
            <w:tcW w:w="1530" w:type="dxa"/>
            <w:shd w:val="clear" w:color="auto" w:fill="FFCC99"/>
            <w:vAlign w:val="center"/>
          </w:tcPr>
          <w:p w:rsidR="0043190C" w:rsidRPr="00BD7CEA" w:rsidRDefault="0043190C" w:rsidP="00CC70EB">
            <w:pPr>
              <w:pStyle w:val="AppendixTableHeadings"/>
              <w:spacing w:line="240" w:lineRule="auto"/>
            </w:pPr>
            <w:r w:rsidRPr="00BD7CEA">
              <w:rPr>
                <w:rFonts w:ascii="Tahoma" w:hAnsi="Tahoma" w:cs="Tahoma"/>
                <w:sz w:val="20"/>
                <w:szCs w:val="20"/>
              </w:rPr>
              <w:t>SAM</w:t>
            </w:r>
          </w:p>
          <w:p w:rsidR="0043190C" w:rsidRPr="00BD7CEA" w:rsidRDefault="0043190C" w:rsidP="00CC70EB">
            <w:pPr>
              <w:pStyle w:val="AppendixTableHeadings"/>
              <w:spacing w:line="240" w:lineRule="auto"/>
              <w:rPr>
                <w:rFonts w:ascii="Tahoma" w:hAnsi="Tahoma" w:cs="Tahoma"/>
                <w:sz w:val="20"/>
                <w:szCs w:val="20"/>
              </w:rPr>
            </w:pPr>
            <w:r w:rsidRPr="00BD7CEA">
              <w:rPr>
                <w:rFonts w:ascii="Tahoma" w:hAnsi="Tahoma" w:cs="Tahoma"/>
                <w:sz w:val="20"/>
                <w:szCs w:val="20"/>
              </w:rPr>
              <w:t>6,000-14,999</w:t>
            </w:r>
          </w:p>
        </w:tc>
        <w:tc>
          <w:tcPr>
            <w:tcW w:w="1350" w:type="dxa"/>
            <w:shd w:val="clear" w:color="auto" w:fill="FFCC99"/>
            <w:vAlign w:val="center"/>
          </w:tcPr>
          <w:p w:rsidR="0043190C" w:rsidRPr="00BD7CEA" w:rsidRDefault="0043190C" w:rsidP="00CC70EB">
            <w:pPr>
              <w:pStyle w:val="AppendixTableHeadings"/>
              <w:spacing w:line="240" w:lineRule="auto"/>
            </w:pPr>
            <w:r w:rsidRPr="00BD7CEA">
              <w:rPr>
                <w:rFonts w:ascii="Tahoma" w:hAnsi="Tahoma" w:cs="Tahoma"/>
                <w:sz w:val="20"/>
                <w:szCs w:val="20"/>
              </w:rPr>
              <w:t>SAM</w:t>
            </w:r>
          </w:p>
          <w:p w:rsidR="0043190C" w:rsidRPr="00BD7CEA" w:rsidRDefault="0043190C" w:rsidP="00CC70EB">
            <w:pPr>
              <w:pStyle w:val="AppendixTableHeadings"/>
              <w:spacing w:line="240" w:lineRule="auto"/>
              <w:rPr>
                <w:rFonts w:ascii="Tahoma" w:hAnsi="Tahoma" w:cs="Tahoma"/>
                <w:sz w:val="20"/>
                <w:szCs w:val="20"/>
              </w:rPr>
            </w:pPr>
            <w:r w:rsidRPr="00BD7CEA">
              <w:rPr>
                <w:rFonts w:ascii="Tahoma" w:hAnsi="Tahoma" w:cs="Tahoma"/>
                <w:sz w:val="20"/>
                <w:szCs w:val="20"/>
              </w:rPr>
              <w:t>15,000+</w:t>
            </w:r>
          </w:p>
        </w:tc>
        <w:tc>
          <w:tcPr>
            <w:tcW w:w="1456" w:type="dxa"/>
            <w:shd w:val="clear" w:color="auto" w:fill="FFCC99"/>
            <w:vAlign w:val="center"/>
          </w:tcPr>
          <w:p w:rsidR="0043190C" w:rsidRPr="00BD7CEA" w:rsidRDefault="0043190C" w:rsidP="00CC70EB">
            <w:pPr>
              <w:pStyle w:val="AppendixTableHeadings"/>
              <w:spacing w:line="240" w:lineRule="auto"/>
              <w:rPr>
                <w:rFonts w:ascii="Tahoma" w:hAnsi="Tahoma" w:cs="Tahoma"/>
                <w:sz w:val="20"/>
                <w:szCs w:val="20"/>
              </w:rPr>
            </w:pPr>
            <w:r w:rsidRPr="00BD7CEA">
              <w:rPr>
                <w:rFonts w:ascii="Tahoma" w:hAnsi="Tahoma" w:cs="Tahoma"/>
                <w:sz w:val="20"/>
                <w:szCs w:val="20"/>
              </w:rPr>
              <w:t>Academic Select/</w:t>
            </w:r>
            <w:r w:rsidR="00487D97">
              <w:rPr>
                <w:rFonts w:ascii="Tahoma" w:hAnsi="Tahoma" w:cs="Tahoma"/>
                <w:sz w:val="20"/>
                <w:szCs w:val="20"/>
              </w:rPr>
              <w:br/>
            </w:r>
            <w:r w:rsidRPr="00BD7CEA">
              <w:rPr>
                <w:rFonts w:ascii="Tahoma" w:hAnsi="Tahoma" w:cs="Tahoma"/>
                <w:sz w:val="20"/>
                <w:szCs w:val="20"/>
              </w:rPr>
              <w:t>Select Plus for Academic/</w:t>
            </w:r>
            <w:r w:rsidR="00B15767" w:rsidRPr="00BD7CEA">
              <w:rPr>
                <w:rFonts w:ascii="Tahoma" w:hAnsi="Tahoma" w:cs="Tahoma"/>
                <w:sz w:val="20"/>
                <w:szCs w:val="20"/>
              </w:rPr>
              <w:br/>
            </w:r>
            <w:r w:rsidRPr="00BD7CEA">
              <w:rPr>
                <w:rFonts w:ascii="Tahoma" w:hAnsi="Tahoma" w:cs="Tahoma"/>
                <w:sz w:val="20"/>
                <w:szCs w:val="20"/>
              </w:rPr>
              <w:t>Open con SAM</w:t>
            </w:r>
          </w:p>
        </w:tc>
      </w:tr>
      <w:tr w:rsidR="0043190C" w:rsidRPr="007B74B7" w:rsidTr="00CC70EB">
        <w:trPr>
          <w:trHeight w:val="236"/>
        </w:trPr>
        <w:tc>
          <w:tcPr>
            <w:tcW w:w="1323" w:type="dxa"/>
            <w:vAlign w:val="center"/>
          </w:tcPr>
          <w:p w:rsidR="0043190C" w:rsidRPr="00BD7CEA" w:rsidRDefault="0043190C" w:rsidP="00CC70EB">
            <w:pPr>
              <w:pStyle w:val="AppendixTableText"/>
              <w:spacing w:line="240" w:lineRule="auto"/>
              <w:rPr>
                <w:rFonts w:ascii="Tahoma" w:hAnsi="Tahoma" w:cs="Tahoma"/>
              </w:rPr>
            </w:pPr>
            <w:r w:rsidRPr="00BD7CEA">
              <w:rPr>
                <w:rFonts w:ascii="Tahoma" w:hAnsi="Tahoma" w:cs="Tahoma"/>
                <w:b/>
              </w:rPr>
              <w:t>Pool di</w:t>
            </w:r>
            <w:r w:rsidRPr="00BD7CEA">
              <w:rPr>
                <w:rFonts w:ascii="Tahoma" w:hAnsi="Tahoma" w:cs="Tahoma"/>
              </w:rPr>
              <w:t xml:space="preserve"> </w:t>
            </w:r>
            <w:r w:rsidRPr="00BD7CEA">
              <w:rPr>
                <w:rFonts w:ascii="Tahoma" w:hAnsi="Tahoma" w:cs="Tahoma"/>
                <w:b/>
              </w:rPr>
              <w:t>Applicazioni</w:t>
            </w:r>
          </w:p>
        </w:tc>
        <w:tc>
          <w:tcPr>
            <w:tcW w:w="965" w:type="dxa"/>
            <w:vAlign w:val="center"/>
          </w:tcPr>
          <w:p w:rsidR="0043190C" w:rsidRPr="00BD7CEA" w:rsidRDefault="0043190C" w:rsidP="00CC70EB">
            <w:pPr>
              <w:pStyle w:val="AppendixTableText"/>
              <w:spacing w:line="240" w:lineRule="auto"/>
              <w:rPr>
                <w:rFonts w:ascii="Tahoma" w:hAnsi="Tahoma" w:cs="Tahoma"/>
              </w:rPr>
            </w:pPr>
            <w:r w:rsidRPr="00BD7CEA">
              <w:rPr>
                <w:rFonts w:ascii="Tahoma" w:hAnsi="Tahoma" w:cs="Tahoma"/>
              </w:rPr>
              <w:t>1 ID Utente per contratto</w:t>
            </w:r>
          </w:p>
        </w:tc>
        <w:tc>
          <w:tcPr>
            <w:tcW w:w="1440" w:type="dxa"/>
            <w:vAlign w:val="center"/>
          </w:tcPr>
          <w:p w:rsidR="0043190C" w:rsidRPr="007B74B7" w:rsidRDefault="0043190C" w:rsidP="00CC70EB">
            <w:pPr>
              <w:pStyle w:val="AppendixTableText"/>
              <w:spacing w:line="240" w:lineRule="auto"/>
              <w:rPr>
                <w:lang w:val="it-IT"/>
              </w:rPr>
            </w:pPr>
            <w:r w:rsidRPr="007B74B7">
              <w:rPr>
                <w:rFonts w:ascii="Tahoma" w:hAnsi="Tahoma" w:cs="Tahoma"/>
                <w:lang w:val="it-IT"/>
              </w:rPr>
              <w:t>2 ID Utente per</w:t>
            </w:r>
          </w:p>
          <w:p w:rsidR="0043190C" w:rsidRPr="007B74B7" w:rsidRDefault="0043190C" w:rsidP="00CC70EB">
            <w:pPr>
              <w:pStyle w:val="AppendixTableText"/>
              <w:spacing w:line="240" w:lineRule="auto"/>
              <w:rPr>
                <w:lang w:val="it-IT"/>
              </w:rPr>
            </w:pPr>
            <w:r w:rsidRPr="007B74B7">
              <w:rPr>
                <w:rFonts w:ascii="Tahoma" w:hAnsi="Tahoma" w:cs="Tahoma"/>
                <w:lang w:val="it-IT"/>
              </w:rPr>
              <w:t>Idoneo</w:t>
            </w:r>
          </w:p>
          <w:p w:rsidR="0043190C" w:rsidRPr="007B74B7" w:rsidRDefault="0043190C" w:rsidP="00CC70EB">
            <w:pPr>
              <w:pStyle w:val="AppendixTableText"/>
              <w:spacing w:line="240" w:lineRule="auto"/>
              <w:rPr>
                <w:rFonts w:ascii="Tahoma" w:hAnsi="Tahoma" w:cs="Tahoma"/>
                <w:lang w:val="it-IT"/>
              </w:rPr>
            </w:pPr>
            <w:r w:rsidRPr="007B74B7">
              <w:rPr>
                <w:rFonts w:ascii="Tahoma" w:hAnsi="Tahoma" w:cs="Tahoma"/>
                <w:lang w:val="it-IT"/>
              </w:rPr>
              <w:t>Qualificante</w:t>
            </w:r>
          </w:p>
        </w:tc>
        <w:tc>
          <w:tcPr>
            <w:tcW w:w="1350" w:type="dxa"/>
            <w:vAlign w:val="center"/>
          </w:tcPr>
          <w:p w:rsidR="0043190C" w:rsidRPr="007B74B7" w:rsidRDefault="0043190C" w:rsidP="00CC70EB">
            <w:pPr>
              <w:pStyle w:val="AppendixTableText"/>
              <w:spacing w:line="240" w:lineRule="auto"/>
              <w:rPr>
                <w:lang w:val="it-IT"/>
              </w:rPr>
            </w:pPr>
            <w:r w:rsidRPr="007B74B7">
              <w:rPr>
                <w:rFonts w:ascii="Tahoma" w:hAnsi="Tahoma" w:cs="Tahoma"/>
                <w:lang w:val="it-IT"/>
              </w:rPr>
              <w:t>5 ID Utente per</w:t>
            </w:r>
          </w:p>
          <w:p w:rsidR="0043190C" w:rsidRPr="007B74B7" w:rsidRDefault="0043190C" w:rsidP="00CC70EB">
            <w:pPr>
              <w:pStyle w:val="AppendixTableText"/>
              <w:spacing w:line="240" w:lineRule="auto"/>
              <w:rPr>
                <w:lang w:val="it-IT"/>
              </w:rPr>
            </w:pPr>
            <w:r w:rsidRPr="007B74B7">
              <w:rPr>
                <w:rFonts w:ascii="Tahoma" w:hAnsi="Tahoma" w:cs="Tahoma"/>
                <w:lang w:val="it-IT"/>
              </w:rPr>
              <w:t>Idoneo</w:t>
            </w:r>
          </w:p>
          <w:p w:rsidR="0043190C" w:rsidRPr="007B74B7" w:rsidRDefault="0043190C" w:rsidP="00CC70EB">
            <w:pPr>
              <w:pStyle w:val="AppendixTableText"/>
              <w:spacing w:line="240" w:lineRule="auto"/>
              <w:rPr>
                <w:rFonts w:ascii="Tahoma" w:hAnsi="Tahoma" w:cs="Tahoma"/>
                <w:lang w:val="it-IT"/>
              </w:rPr>
            </w:pPr>
            <w:r w:rsidRPr="007B74B7">
              <w:rPr>
                <w:rFonts w:ascii="Tahoma" w:hAnsi="Tahoma" w:cs="Tahoma"/>
                <w:lang w:val="it-IT"/>
              </w:rPr>
              <w:t>Qualificante</w:t>
            </w:r>
          </w:p>
        </w:tc>
        <w:tc>
          <w:tcPr>
            <w:tcW w:w="1530" w:type="dxa"/>
            <w:vAlign w:val="center"/>
          </w:tcPr>
          <w:p w:rsidR="0043190C" w:rsidRPr="007B74B7" w:rsidRDefault="0043190C" w:rsidP="00CC70EB">
            <w:pPr>
              <w:pStyle w:val="AppendixTableText"/>
              <w:spacing w:line="240" w:lineRule="auto"/>
              <w:rPr>
                <w:lang w:val="it-IT"/>
              </w:rPr>
            </w:pPr>
            <w:r w:rsidRPr="007B74B7">
              <w:rPr>
                <w:rFonts w:ascii="Tahoma" w:hAnsi="Tahoma" w:cs="Tahoma"/>
                <w:lang w:val="it-IT"/>
              </w:rPr>
              <w:t>10 ID Utente per</w:t>
            </w:r>
          </w:p>
          <w:p w:rsidR="0043190C" w:rsidRPr="007B74B7" w:rsidRDefault="0043190C" w:rsidP="00CC70EB">
            <w:pPr>
              <w:pStyle w:val="AppendixTableText"/>
              <w:spacing w:line="240" w:lineRule="auto"/>
              <w:rPr>
                <w:lang w:val="it-IT"/>
              </w:rPr>
            </w:pPr>
            <w:r w:rsidRPr="007B74B7">
              <w:rPr>
                <w:rFonts w:ascii="Tahoma" w:hAnsi="Tahoma" w:cs="Tahoma"/>
                <w:lang w:val="it-IT"/>
              </w:rPr>
              <w:t>Idoneo</w:t>
            </w:r>
          </w:p>
          <w:p w:rsidR="0043190C" w:rsidRPr="007B74B7" w:rsidRDefault="0043190C" w:rsidP="00CC70EB">
            <w:pPr>
              <w:pStyle w:val="AppendixTableText"/>
              <w:spacing w:line="240" w:lineRule="auto"/>
              <w:rPr>
                <w:rFonts w:ascii="Tahoma" w:hAnsi="Tahoma" w:cs="Tahoma"/>
                <w:lang w:val="it-IT"/>
              </w:rPr>
            </w:pPr>
            <w:r w:rsidRPr="007B74B7">
              <w:rPr>
                <w:rFonts w:ascii="Tahoma" w:hAnsi="Tahoma" w:cs="Tahoma"/>
                <w:lang w:val="it-IT"/>
              </w:rPr>
              <w:t>Qualificante</w:t>
            </w:r>
          </w:p>
        </w:tc>
        <w:tc>
          <w:tcPr>
            <w:tcW w:w="1350" w:type="dxa"/>
            <w:vAlign w:val="center"/>
          </w:tcPr>
          <w:p w:rsidR="0043190C" w:rsidRPr="007B74B7" w:rsidRDefault="0043190C" w:rsidP="00CC70EB">
            <w:pPr>
              <w:pStyle w:val="AppendixTableText"/>
              <w:spacing w:line="240" w:lineRule="auto"/>
              <w:rPr>
                <w:lang w:val="it-IT"/>
              </w:rPr>
            </w:pPr>
            <w:r w:rsidRPr="007B74B7">
              <w:rPr>
                <w:rFonts w:ascii="Tahoma" w:hAnsi="Tahoma" w:cs="Tahoma"/>
                <w:lang w:val="it-IT"/>
              </w:rPr>
              <w:t>20 ID Utente per</w:t>
            </w:r>
          </w:p>
          <w:p w:rsidR="0043190C" w:rsidRPr="007B74B7" w:rsidRDefault="0043190C" w:rsidP="00CC70EB">
            <w:pPr>
              <w:pStyle w:val="AppendixTableText"/>
              <w:spacing w:line="240" w:lineRule="auto"/>
              <w:rPr>
                <w:lang w:val="it-IT"/>
              </w:rPr>
            </w:pPr>
            <w:r w:rsidRPr="007B74B7">
              <w:rPr>
                <w:rFonts w:ascii="Tahoma" w:hAnsi="Tahoma" w:cs="Tahoma"/>
                <w:lang w:val="it-IT"/>
              </w:rPr>
              <w:t>Idoneo</w:t>
            </w:r>
          </w:p>
          <w:p w:rsidR="0043190C" w:rsidRPr="007B74B7" w:rsidRDefault="0043190C" w:rsidP="00CC70EB">
            <w:pPr>
              <w:pStyle w:val="AppendixTableText"/>
              <w:spacing w:line="240" w:lineRule="auto"/>
              <w:rPr>
                <w:rFonts w:ascii="Tahoma" w:hAnsi="Tahoma" w:cs="Tahoma"/>
                <w:lang w:val="it-IT"/>
              </w:rPr>
            </w:pPr>
            <w:r w:rsidRPr="007B74B7">
              <w:rPr>
                <w:rFonts w:ascii="Tahoma" w:hAnsi="Tahoma" w:cs="Tahoma"/>
                <w:lang w:val="it-IT"/>
              </w:rPr>
              <w:t>Qualificante</w:t>
            </w:r>
          </w:p>
        </w:tc>
        <w:tc>
          <w:tcPr>
            <w:tcW w:w="1456" w:type="dxa"/>
            <w:vAlign w:val="center"/>
          </w:tcPr>
          <w:p w:rsidR="00B15767" w:rsidRPr="007B74B7" w:rsidRDefault="0043190C" w:rsidP="00CC70EB">
            <w:pPr>
              <w:pStyle w:val="AppendixTableText"/>
              <w:spacing w:line="240" w:lineRule="auto"/>
              <w:rPr>
                <w:rFonts w:ascii="Tahoma" w:hAnsi="Tahoma" w:cs="Tahoma"/>
                <w:lang w:val="it-IT"/>
              </w:rPr>
            </w:pPr>
            <w:r w:rsidRPr="007B74B7">
              <w:rPr>
                <w:rFonts w:ascii="Tahoma" w:hAnsi="Tahoma" w:cs="Tahoma"/>
                <w:lang w:val="it-IT"/>
              </w:rPr>
              <w:t>1 ID Utente per iscrizione/</w:t>
            </w:r>
          </w:p>
          <w:p w:rsidR="0043190C" w:rsidRPr="007B74B7" w:rsidRDefault="0043190C" w:rsidP="00CC70EB">
            <w:pPr>
              <w:pStyle w:val="AppendixTableText"/>
              <w:spacing w:line="240" w:lineRule="auto"/>
              <w:rPr>
                <w:rFonts w:ascii="Tahoma" w:hAnsi="Tahoma" w:cs="Tahoma"/>
                <w:lang w:val="it-IT"/>
              </w:rPr>
            </w:pPr>
            <w:r w:rsidRPr="007B74B7">
              <w:rPr>
                <w:rFonts w:ascii="Tahoma" w:hAnsi="Tahoma" w:cs="Tahoma"/>
                <w:lang w:val="it-IT"/>
              </w:rPr>
              <w:t>contratto</w:t>
            </w:r>
          </w:p>
        </w:tc>
      </w:tr>
      <w:tr w:rsidR="0043190C" w:rsidRPr="007B74B7" w:rsidTr="00CC70EB">
        <w:trPr>
          <w:trHeight w:val="236"/>
        </w:trPr>
        <w:tc>
          <w:tcPr>
            <w:tcW w:w="1323" w:type="dxa"/>
            <w:vAlign w:val="center"/>
          </w:tcPr>
          <w:p w:rsidR="0043190C" w:rsidRPr="00BD7CEA" w:rsidRDefault="0043190C" w:rsidP="00CC70EB">
            <w:pPr>
              <w:pStyle w:val="AppendixTableText"/>
              <w:spacing w:line="240" w:lineRule="auto"/>
              <w:rPr>
                <w:rFonts w:ascii="Tahoma" w:hAnsi="Tahoma" w:cs="Tahoma"/>
              </w:rPr>
            </w:pPr>
            <w:r w:rsidRPr="00BD7CEA">
              <w:rPr>
                <w:rFonts w:ascii="Tahoma" w:hAnsi="Tahoma" w:cs="Tahoma"/>
                <w:b/>
              </w:rPr>
              <w:t>Pool di</w:t>
            </w:r>
            <w:r w:rsidRPr="00BD7CEA">
              <w:rPr>
                <w:rFonts w:ascii="Tahoma" w:hAnsi="Tahoma" w:cs="Tahoma"/>
              </w:rPr>
              <w:t xml:space="preserve"> </w:t>
            </w:r>
            <w:r w:rsidRPr="00BD7CEA">
              <w:rPr>
                <w:rFonts w:ascii="Tahoma" w:hAnsi="Tahoma" w:cs="Tahoma"/>
                <w:b/>
              </w:rPr>
              <w:t>Sistemi</w:t>
            </w:r>
          </w:p>
        </w:tc>
        <w:tc>
          <w:tcPr>
            <w:tcW w:w="965" w:type="dxa"/>
            <w:vAlign w:val="center"/>
          </w:tcPr>
          <w:p w:rsidR="0043190C" w:rsidRPr="00BD7CEA" w:rsidRDefault="0043190C" w:rsidP="00CC70EB">
            <w:pPr>
              <w:pStyle w:val="AppendixTableText"/>
              <w:spacing w:line="240" w:lineRule="auto"/>
              <w:rPr>
                <w:rFonts w:ascii="Tahoma" w:hAnsi="Tahoma" w:cs="Tahoma"/>
              </w:rPr>
            </w:pPr>
            <w:r w:rsidRPr="00BD7CEA">
              <w:rPr>
                <w:rFonts w:ascii="Tahoma" w:hAnsi="Tahoma" w:cs="Tahoma"/>
              </w:rPr>
              <w:t>1 ID Utente per contratto</w:t>
            </w:r>
          </w:p>
        </w:tc>
        <w:tc>
          <w:tcPr>
            <w:tcW w:w="1440" w:type="dxa"/>
            <w:vAlign w:val="center"/>
          </w:tcPr>
          <w:p w:rsidR="0043190C" w:rsidRPr="007B74B7" w:rsidRDefault="0043190C" w:rsidP="00CC70EB">
            <w:pPr>
              <w:pStyle w:val="AppendixTableText"/>
              <w:spacing w:line="240" w:lineRule="auto"/>
              <w:rPr>
                <w:lang w:val="it-IT"/>
              </w:rPr>
            </w:pPr>
            <w:r w:rsidRPr="007B74B7">
              <w:rPr>
                <w:rFonts w:ascii="Tahoma" w:hAnsi="Tahoma" w:cs="Tahoma"/>
                <w:lang w:val="it-IT"/>
              </w:rPr>
              <w:t>2 ID Utente per</w:t>
            </w:r>
          </w:p>
          <w:p w:rsidR="0043190C" w:rsidRPr="007B74B7" w:rsidRDefault="0043190C" w:rsidP="00CC70EB">
            <w:pPr>
              <w:pStyle w:val="AppendixTableText"/>
              <w:spacing w:line="240" w:lineRule="auto"/>
              <w:rPr>
                <w:lang w:val="it-IT"/>
              </w:rPr>
            </w:pPr>
            <w:r w:rsidRPr="007B74B7">
              <w:rPr>
                <w:rFonts w:ascii="Tahoma" w:hAnsi="Tahoma" w:cs="Tahoma"/>
                <w:lang w:val="it-IT"/>
              </w:rPr>
              <w:t>Idoneo</w:t>
            </w:r>
          </w:p>
          <w:p w:rsidR="0043190C" w:rsidRPr="007B74B7" w:rsidRDefault="0043190C" w:rsidP="00CC70EB">
            <w:pPr>
              <w:pStyle w:val="AppendixTableText"/>
              <w:spacing w:line="240" w:lineRule="auto"/>
              <w:rPr>
                <w:rFonts w:ascii="Tahoma" w:hAnsi="Tahoma" w:cs="Tahoma"/>
                <w:lang w:val="it-IT"/>
              </w:rPr>
            </w:pPr>
            <w:r w:rsidRPr="007B74B7">
              <w:rPr>
                <w:rFonts w:ascii="Tahoma" w:hAnsi="Tahoma" w:cs="Tahoma"/>
                <w:lang w:val="it-IT"/>
              </w:rPr>
              <w:t>Qualificante</w:t>
            </w:r>
          </w:p>
        </w:tc>
        <w:tc>
          <w:tcPr>
            <w:tcW w:w="1350" w:type="dxa"/>
            <w:vAlign w:val="center"/>
          </w:tcPr>
          <w:p w:rsidR="0043190C" w:rsidRPr="007B74B7" w:rsidRDefault="00F30075" w:rsidP="00CC70EB">
            <w:pPr>
              <w:pStyle w:val="AppendixTableText"/>
              <w:spacing w:line="240" w:lineRule="auto"/>
              <w:rPr>
                <w:lang w:val="it-IT"/>
              </w:rPr>
            </w:pPr>
            <w:r w:rsidRPr="007B74B7">
              <w:rPr>
                <w:rFonts w:ascii="Tahoma" w:hAnsi="Tahoma" w:cs="Tahoma"/>
                <w:lang w:val="it-IT"/>
              </w:rPr>
              <w:t>3 ID Utente per</w:t>
            </w:r>
          </w:p>
          <w:p w:rsidR="0043190C" w:rsidRPr="007B74B7" w:rsidRDefault="0043190C" w:rsidP="00CC70EB">
            <w:pPr>
              <w:pStyle w:val="AppendixTableText"/>
              <w:spacing w:line="240" w:lineRule="auto"/>
              <w:rPr>
                <w:lang w:val="it-IT"/>
              </w:rPr>
            </w:pPr>
            <w:r w:rsidRPr="007B74B7">
              <w:rPr>
                <w:rFonts w:ascii="Tahoma" w:hAnsi="Tahoma" w:cs="Tahoma"/>
                <w:lang w:val="it-IT"/>
              </w:rPr>
              <w:t>Idoneo</w:t>
            </w:r>
          </w:p>
          <w:p w:rsidR="0043190C" w:rsidRPr="007B74B7" w:rsidRDefault="0043190C" w:rsidP="00CC70EB">
            <w:pPr>
              <w:pStyle w:val="AppendixTableText"/>
              <w:spacing w:line="240" w:lineRule="auto"/>
              <w:rPr>
                <w:rFonts w:ascii="Tahoma" w:hAnsi="Tahoma" w:cs="Tahoma"/>
                <w:lang w:val="it-IT"/>
              </w:rPr>
            </w:pPr>
            <w:r w:rsidRPr="007B74B7">
              <w:rPr>
                <w:rFonts w:ascii="Tahoma" w:hAnsi="Tahoma" w:cs="Tahoma"/>
                <w:lang w:val="it-IT"/>
              </w:rPr>
              <w:t>Qualificante</w:t>
            </w:r>
          </w:p>
        </w:tc>
        <w:tc>
          <w:tcPr>
            <w:tcW w:w="1530" w:type="dxa"/>
            <w:vAlign w:val="center"/>
          </w:tcPr>
          <w:p w:rsidR="0043190C" w:rsidRPr="007B74B7" w:rsidRDefault="00F30075" w:rsidP="00CC70EB">
            <w:pPr>
              <w:pStyle w:val="AppendixTableText"/>
              <w:spacing w:line="240" w:lineRule="auto"/>
              <w:rPr>
                <w:lang w:val="it-IT"/>
              </w:rPr>
            </w:pPr>
            <w:r w:rsidRPr="007B74B7">
              <w:rPr>
                <w:rFonts w:ascii="Tahoma" w:hAnsi="Tahoma" w:cs="Tahoma"/>
                <w:lang w:val="it-IT"/>
              </w:rPr>
              <w:t>5 ID Utente per</w:t>
            </w:r>
          </w:p>
          <w:p w:rsidR="0043190C" w:rsidRPr="007B74B7" w:rsidRDefault="0043190C" w:rsidP="00CC70EB">
            <w:pPr>
              <w:pStyle w:val="AppendixTableText"/>
              <w:spacing w:line="240" w:lineRule="auto"/>
              <w:rPr>
                <w:lang w:val="it-IT"/>
              </w:rPr>
            </w:pPr>
            <w:r w:rsidRPr="007B74B7">
              <w:rPr>
                <w:rFonts w:ascii="Tahoma" w:hAnsi="Tahoma" w:cs="Tahoma"/>
                <w:lang w:val="it-IT"/>
              </w:rPr>
              <w:t>Idoneo</w:t>
            </w:r>
          </w:p>
          <w:p w:rsidR="0043190C" w:rsidRPr="007B74B7" w:rsidRDefault="0043190C" w:rsidP="00CC70EB">
            <w:pPr>
              <w:pStyle w:val="AppendixTableText"/>
              <w:spacing w:line="240" w:lineRule="auto"/>
              <w:rPr>
                <w:rFonts w:ascii="Tahoma" w:hAnsi="Tahoma" w:cs="Tahoma"/>
                <w:lang w:val="it-IT"/>
              </w:rPr>
            </w:pPr>
            <w:r w:rsidRPr="007B74B7">
              <w:rPr>
                <w:rFonts w:ascii="Tahoma" w:hAnsi="Tahoma" w:cs="Tahoma"/>
                <w:lang w:val="it-IT"/>
              </w:rPr>
              <w:t>Qualificante</w:t>
            </w:r>
          </w:p>
        </w:tc>
        <w:tc>
          <w:tcPr>
            <w:tcW w:w="1350" w:type="dxa"/>
            <w:vAlign w:val="center"/>
          </w:tcPr>
          <w:p w:rsidR="0043190C" w:rsidRPr="007B74B7" w:rsidRDefault="00F30075" w:rsidP="00CC70EB">
            <w:pPr>
              <w:pStyle w:val="AppendixTableText"/>
              <w:spacing w:line="240" w:lineRule="auto"/>
              <w:rPr>
                <w:lang w:val="it-IT"/>
              </w:rPr>
            </w:pPr>
            <w:r w:rsidRPr="007B74B7">
              <w:rPr>
                <w:rFonts w:ascii="Tahoma" w:hAnsi="Tahoma" w:cs="Tahoma"/>
                <w:lang w:val="it-IT"/>
              </w:rPr>
              <w:t>10 ID Utente per</w:t>
            </w:r>
          </w:p>
          <w:p w:rsidR="0043190C" w:rsidRPr="007B74B7" w:rsidRDefault="0043190C" w:rsidP="00CC70EB">
            <w:pPr>
              <w:pStyle w:val="AppendixTableText"/>
              <w:spacing w:line="240" w:lineRule="auto"/>
              <w:rPr>
                <w:lang w:val="it-IT"/>
              </w:rPr>
            </w:pPr>
            <w:r w:rsidRPr="007B74B7">
              <w:rPr>
                <w:rFonts w:ascii="Tahoma" w:hAnsi="Tahoma" w:cs="Tahoma"/>
                <w:lang w:val="it-IT"/>
              </w:rPr>
              <w:t>Idoneo</w:t>
            </w:r>
          </w:p>
          <w:p w:rsidR="0043190C" w:rsidRPr="007B74B7" w:rsidRDefault="0043190C" w:rsidP="00CC70EB">
            <w:pPr>
              <w:pStyle w:val="AppendixTableText"/>
              <w:spacing w:line="240" w:lineRule="auto"/>
              <w:rPr>
                <w:rFonts w:ascii="Tahoma" w:hAnsi="Tahoma" w:cs="Tahoma"/>
                <w:lang w:val="it-IT"/>
              </w:rPr>
            </w:pPr>
            <w:r w:rsidRPr="007B74B7">
              <w:rPr>
                <w:rFonts w:ascii="Tahoma" w:hAnsi="Tahoma" w:cs="Tahoma"/>
                <w:lang w:val="it-IT"/>
              </w:rPr>
              <w:t>Qualificante</w:t>
            </w:r>
          </w:p>
        </w:tc>
        <w:tc>
          <w:tcPr>
            <w:tcW w:w="1456" w:type="dxa"/>
            <w:vAlign w:val="center"/>
          </w:tcPr>
          <w:p w:rsidR="00B15767" w:rsidRPr="007B74B7" w:rsidRDefault="0043190C" w:rsidP="00CC70EB">
            <w:pPr>
              <w:pStyle w:val="AppendixTableText"/>
              <w:spacing w:line="240" w:lineRule="auto"/>
              <w:rPr>
                <w:rFonts w:ascii="Tahoma" w:hAnsi="Tahoma" w:cs="Tahoma"/>
                <w:lang w:val="it-IT"/>
              </w:rPr>
            </w:pPr>
            <w:r w:rsidRPr="007B74B7">
              <w:rPr>
                <w:rFonts w:ascii="Tahoma" w:hAnsi="Tahoma" w:cs="Tahoma"/>
                <w:lang w:val="it-IT"/>
              </w:rPr>
              <w:t>1 ID Utente per iscrizione/</w:t>
            </w:r>
          </w:p>
          <w:p w:rsidR="0043190C" w:rsidRPr="007B74B7" w:rsidRDefault="0043190C" w:rsidP="00CC70EB">
            <w:pPr>
              <w:pStyle w:val="AppendixTableText"/>
              <w:spacing w:line="240" w:lineRule="auto"/>
              <w:rPr>
                <w:rFonts w:ascii="Tahoma" w:hAnsi="Tahoma" w:cs="Tahoma"/>
                <w:lang w:val="it-IT"/>
              </w:rPr>
            </w:pPr>
            <w:r w:rsidRPr="007B74B7">
              <w:rPr>
                <w:rFonts w:ascii="Tahoma" w:hAnsi="Tahoma" w:cs="Tahoma"/>
                <w:lang w:val="it-IT"/>
              </w:rPr>
              <w:t>contratto</w:t>
            </w:r>
          </w:p>
        </w:tc>
      </w:tr>
    </w:tbl>
    <w:p w:rsidR="004069D6" w:rsidRPr="007B74B7" w:rsidRDefault="004069D6" w:rsidP="00792D1E">
      <w:pPr>
        <w:pStyle w:val="AppendixFlushBulletedList"/>
        <w:tabs>
          <w:tab w:val="clear" w:pos="360"/>
          <w:tab w:val="num" w:pos="0"/>
        </w:tabs>
        <w:ind w:left="0" w:firstLine="0"/>
        <w:rPr>
          <w:rFonts w:ascii="Tahoma" w:hAnsi="Tahoma" w:cs="Tahoma"/>
          <w:sz w:val="16"/>
          <w:szCs w:val="16"/>
          <w:lang w:val="it-IT"/>
        </w:rPr>
      </w:pPr>
    </w:p>
    <w:p w:rsidR="009D26EE" w:rsidRPr="007B74B7" w:rsidRDefault="009D26EE" w:rsidP="00792D1E">
      <w:pPr>
        <w:pStyle w:val="AppendixFlushBulletedList"/>
        <w:tabs>
          <w:tab w:val="clear" w:pos="360"/>
          <w:tab w:val="num" w:pos="0"/>
        </w:tabs>
        <w:ind w:left="0" w:firstLine="0"/>
        <w:rPr>
          <w:lang w:val="it-IT"/>
        </w:rPr>
      </w:pPr>
      <w:r w:rsidRPr="007B74B7">
        <w:rPr>
          <w:rFonts w:ascii="Tahoma" w:hAnsi="Tahoma" w:cs="Tahoma"/>
          <w:sz w:val="18"/>
          <w:szCs w:val="18"/>
          <w:lang w:val="it-IT"/>
        </w:rPr>
        <w:t>Ogni ID Utente attribuisce a una persona il diritto di registrarsi e di avere accesso al sito dei servizi online riservato agli Iscritti, inclusi, a titolo esemplificativo: Online Concierge Chat, Managed Newsgroups e contenuto Premium.</w:t>
      </w:r>
    </w:p>
    <w:p w:rsidR="00792D1E" w:rsidRPr="007B74B7" w:rsidRDefault="00792D1E" w:rsidP="00792D1E">
      <w:pPr>
        <w:pStyle w:val="AppendixFlushBulletedList"/>
        <w:tabs>
          <w:tab w:val="clear" w:pos="360"/>
          <w:tab w:val="num" w:pos="0"/>
        </w:tabs>
        <w:ind w:left="0" w:firstLine="0"/>
        <w:rPr>
          <w:sz w:val="16"/>
          <w:szCs w:val="16"/>
          <w:lang w:val="it-IT"/>
        </w:rPr>
      </w:pPr>
    </w:p>
    <w:p w:rsidR="008C0608" w:rsidRPr="007B74B7" w:rsidRDefault="008C0608" w:rsidP="00792D1E">
      <w:pPr>
        <w:pStyle w:val="AppendixFlushBulletedList"/>
        <w:tabs>
          <w:tab w:val="clear" w:pos="360"/>
          <w:tab w:val="num" w:pos="0"/>
        </w:tabs>
        <w:ind w:left="0" w:firstLine="0"/>
        <w:rPr>
          <w:lang w:val="it-IT"/>
        </w:rPr>
      </w:pPr>
      <w:r w:rsidRPr="007B74B7">
        <w:rPr>
          <w:rFonts w:ascii="Tahoma" w:hAnsi="Tahoma" w:cs="Tahoma"/>
          <w:sz w:val="18"/>
          <w:szCs w:val="18"/>
          <w:lang w:val="it-IT"/>
        </w:rPr>
        <w:t>Per essere idonee a ricevere questo vantaggio, le società con prodotti Open License, Open Value, Open Value Subscription</w:t>
      </w:r>
      <w:r w:rsidR="00FD7C0D" w:rsidRPr="007B74B7">
        <w:rPr>
          <w:rFonts w:ascii="Tahoma" w:hAnsi="Tahoma" w:cs="Tahoma"/>
          <w:sz w:val="18"/>
          <w:szCs w:val="18"/>
          <w:lang w:val="it-IT"/>
        </w:rPr>
        <w:t xml:space="preserve"> – </w:t>
      </w:r>
      <w:r w:rsidRPr="007B74B7">
        <w:rPr>
          <w:rFonts w:ascii="Tahoma" w:hAnsi="Tahoma" w:cs="Tahoma"/>
          <w:sz w:val="18"/>
          <w:szCs w:val="18"/>
          <w:lang w:val="it-IT"/>
        </w:rPr>
        <w:t>Education Solutions, Academic Select License e Select Plus for Academic dovranno acquistare Software</w:t>
      </w:r>
      <w:r w:rsidR="00487D97" w:rsidRPr="007B74B7">
        <w:rPr>
          <w:rFonts w:ascii="Tahoma" w:hAnsi="Tahoma" w:cs="Tahoma"/>
          <w:sz w:val="18"/>
          <w:szCs w:val="18"/>
          <w:lang w:val="it-IT"/>
        </w:rPr>
        <w:t> </w:t>
      </w:r>
      <w:r w:rsidRPr="007B74B7">
        <w:rPr>
          <w:rFonts w:ascii="Tahoma" w:hAnsi="Tahoma" w:cs="Tahoma"/>
          <w:sz w:val="18"/>
          <w:szCs w:val="18"/>
          <w:lang w:val="it-IT"/>
        </w:rPr>
        <w:t>Assurance per un minimo di cinque licenze server per prodotti qualificanti.</w:t>
      </w:r>
    </w:p>
    <w:p w:rsidR="00792D1E" w:rsidRPr="007B74B7" w:rsidRDefault="00792D1E" w:rsidP="00792D1E">
      <w:pPr>
        <w:pStyle w:val="AppendixFlushBulletedList"/>
        <w:tabs>
          <w:tab w:val="clear" w:pos="360"/>
          <w:tab w:val="num" w:pos="0"/>
        </w:tabs>
        <w:ind w:left="0" w:firstLine="0"/>
        <w:rPr>
          <w:sz w:val="16"/>
          <w:szCs w:val="16"/>
          <w:lang w:val="it-IT"/>
        </w:rPr>
      </w:pPr>
    </w:p>
    <w:p w:rsidR="00023FE7" w:rsidRPr="007B74B7" w:rsidRDefault="009D26EE" w:rsidP="00792D1E">
      <w:pPr>
        <w:pStyle w:val="AppendixBodyText"/>
        <w:spacing w:after="0"/>
        <w:rPr>
          <w:lang w:val="it-IT"/>
        </w:rPr>
      </w:pPr>
      <w:r w:rsidRPr="007B74B7">
        <w:rPr>
          <w:rFonts w:ascii="Tahoma" w:hAnsi="Tahoma" w:cs="Tahoma"/>
          <w:sz w:val="18"/>
          <w:szCs w:val="18"/>
          <w:lang w:val="it-IT"/>
        </w:rPr>
        <w:t>L</w:t>
      </w:r>
      <w:r w:rsidR="007A1415" w:rsidRPr="007B74B7">
        <w:rPr>
          <w:rFonts w:ascii="Tahoma" w:hAnsi="Tahoma" w:cs="Tahoma"/>
          <w:sz w:val="18"/>
          <w:szCs w:val="18"/>
          <w:lang w:val="it-IT"/>
        </w:rPr>
        <w:t>’</w:t>
      </w:r>
      <w:r w:rsidRPr="007B74B7">
        <w:rPr>
          <w:rFonts w:ascii="Tahoma" w:hAnsi="Tahoma" w:cs="Tahoma"/>
          <w:sz w:val="18"/>
          <w:szCs w:val="18"/>
          <w:lang w:val="it-IT"/>
        </w:rPr>
        <w:t>utilizzo del software per i Servizi in Abbonamento TechNet SA da parte delle società è soggetto alle condizioni del relativo contratto di licenza.</w:t>
      </w:r>
    </w:p>
    <w:p w:rsidR="004D4D43" w:rsidRPr="007B74B7" w:rsidRDefault="004D4D43" w:rsidP="00F0652C">
      <w:pPr>
        <w:pStyle w:val="Heading3"/>
        <w:rPr>
          <w:sz w:val="16"/>
          <w:szCs w:val="16"/>
          <w:lang w:val="it-IT"/>
        </w:rPr>
      </w:pPr>
    </w:p>
    <w:p w:rsidR="00023FE7" w:rsidRPr="007B74B7" w:rsidRDefault="00023FE7" w:rsidP="00F0652C">
      <w:pPr>
        <w:pStyle w:val="Heading3"/>
        <w:rPr>
          <w:lang w:val="it-IT"/>
        </w:rPr>
      </w:pPr>
      <w:bookmarkStart w:id="807" w:name="_Toc336338241"/>
      <w:bookmarkStart w:id="808" w:name="_Toc353376021"/>
      <w:r w:rsidRPr="007B74B7">
        <w:rPr>
          <w:rFonts w:ascii="Tahoma" w:hAnsi="Tahoma"/>
          <w:sz w:val="24"/>
          <w:lang w:val="it-IT"/>
        </w:rPr>
        <w:t>TechNet Plus Direct</w:t>
      </w:r>
      <w:bookmarkEnd w:id="807"/>
      <w:bookmarkEnd w:id="808"/>
    </w:p>
    <w:p w:rsidR="00F0652C" w:rsidRPr="007B74B7" w:rsidRDefault="00F0652C" w:rsidP="00F0652C">
      <w:pPr>
        <w:rPr>
          <w:sz w:val="16"/>
          <w:szCs w:val="16"/>
          <w:lang w:val="it-IT"/>
        </w:rPr>
      </w:pPr>
    </w:p>
    <w:p w:rsidR="00792D1E" w:rsidRPr="00BD7CEA" w:rsidRDefault="00A65414" w:rsidP="00792D1E">
      <w:pPr>
        <w:pStyle w:val="AppendixBodyText"/>
        <w:spacing w:after="0"/>
      </w:pPr>
      <w:r w:rsidRPr="007B74B7">
        <w:rPr>
          <w:rFonts w:ascii="Tahoma" w:hAnsi="Tahoma" w:cs="Tahoma"/>
          <w:sz w:val="18"/>
          <w:szCs w:val="18"/>
          <w:lang w:val="it-IT"/>
        </w:rPr>
        <w:t>Le società con copertura Software Assurance su prodotti qualificanti del pool di server sono idonee a beneficiare dell</w:t>
      </w:r>
      <w:r w:rsidR="007A1415" w:rsidRPr="007B74B7">
        <w:rPr>
          <w:rFonts w:ascii="Tahoma" w:hAnsi="Tahoma" w:cs="Tahoma"/>
          <w:sz w:val="18"/>
          <w:szCs w:val="18"/>
          <w:lang w:val="it-IT"/>
        </w:rPr>
        <w:t>’</w:t>
      </w:r>
      <w:r w:rsidRPr="007B74B7">
        <w:rPr>
          <w:rFonts w:ascii="Tahoma" w:hAnsi="Tahoma" w:cs="Tahoma"/>
          <w:sz w:val="18"/>
          <w:szCs w:val="18"/>
          <w:lang w:val="it-IT"/>
        </w:rPr>
        <w:t>Abbonamento a TechNet Plus Direct durante il periodo di validità della copertura Software Assurance.</w:t>
      </w:r>
      <w:r w:rsidR="008D782D" w:rsidRPr="007B74B7">
        <w:rPr>
          <w:rFonts w:ascii="Tahoma" w:hAnsi="Tahoma" w:cs="Tahoma"/>
          <w:sz w:val="18"/>
          <w:szCs w:val="18"/>
          <w:lang w:val="it-IT"/>
        </w:rPr>
        <w:t xml:space="preserve"> </w:t>
      </w:r>
      <w:r w:rsidRPr="007B74B7">
        <w:rPr>
          <w:rFonts w:ascii="Tahoma" w:hAnsi="Tahoma" w:cs="Tahoma"/>
          <w:sz w:val="18"/>
          <w:szCs w:val="18"/>
          <w:lang w:val="it-IT"/>
        </w:rPr>
        <w:t xml:space="preserve">In questo modo i professionisti IT avranno accesso al contenuto di TechNet Plus Direct che include la Knowledge Base Microsoft, formazione tecnica, download, patch di protezione, service pack e articoli esplicativi. </w:t>
      </w:r>
      <w:r w:rsidRPr="00BD7CEA">
        <w:rPr>
          <w:rFonts w:ascii="Tahoma" w:hAnsi="Tahoma" w:cs="Tahoma"/>
          <w:sz w:val="18"/>
          <w:szCs w:val="18"/>
        </w:rPr>
        <w:t>Le società beneficeranno, inoltre, di quanto segue:</w:t>
      </w:r>
    </w:p>
    <w:p w:rsidR="00023FE7" w:rsidRPr="00CC70EB" w:rsidRDefault="00023FE7" w:rsidP="00792D1E">
      <w:pPr>
        <w:pStyle w:val="AppendixBodyText"/>
        <w:spacing w:after="0"/>
        <w:rPr>
          <w:sz w:val="16"/>
          <w:szCs w:val="16"/>
        </w:rPr>
      </w:pPr>
      <w:r w:rsidRPr="00CC70EB">
        <w:rPr>
          <w:rFonts w:ascii="Tahoma" w:hAnsi="Tahoma" w:cs="Tahoma"/>
          <w:sz w:val="16"/>
          <w:szCs w:val="16"/>
        </w:rPr>
        <w:t xml:space="preserve"> </w:t>
      </w:r>
    </w:p>
    <w:p w:rsidR="00023FE7" w:rsidRPr="007B74B7" w:rsidRDefault="00023FE7" w:rsidP="007358C5">
      <w:pPr>
        <w:pStyle w:val="AppendixFlushBulletedList"/>
        <w:numPr>
          <w:ilvl w:val="0"/>
          <w:numId w:val="110"/>
        </w:numPr>
        <w:spacing w:after="60"/>
        <w:ind w:left="1440"/>
        <w:rPr>
          <w:lang w:val="it-IT"/>
        </w:rPr>
      </w:pPr>
      <w:r w:rsidRPr="007B74B7">
        <w:rPr>
          <w:rFonts w:ascii="Tahoma" w:hAnsi="Tahoma" w:cs="Tahoma"/>
          <w:sz w:val="18"/>
          <w:szCs w:val="18"/>
          <w:lang w:val="it-IT"/>
        </w:rPr>
        <w:t xml:space="preserve">Accesso al download di software in versione completa concesso in licenza a scopo di valutazione; sono compresi i sistemi operativi, i server e il software Office System Microsoft. </w:t>
      </w:r>
    </w:p>
    <w:p w:rsidR="00023FE7" w:rsidRPr="007B74B7" w:rsidRDefault="00023FE7" w:rsidP="007358C5">
      <w:pPr>
        <w:pStyle w:val="AppendixFlushBulletedList"/>
        <w:numPr>
          <w:ilvl w:val="0"/>
          <w:numId w:val="110"/>
        </w:numPr>
        <w:spacing w:after="60"/>
        <w:ind w:left="1440"/>
        <w:rPr>
          <w:lang w:val="it-IT"/>
        </w:rPr>
      </w:pPr>
      <w:r w:rsidRPr="007B74B7">
        <w:rPr>
          <w:rFonts w:ascii="Tahoma" w:hAnsi="Tahoma" w:cs="Tahoma"/>
          <w:sz w:val="18"/>
          <w:szCs w:val="18"/>
          <w:lang w:val="it-IT"/>
        </w:rPr>
        <w:t>Accesso al download di software Beta (versioni prototipo di software Microsoft).</w:t>
      </w:r>
    </w:p>
    <w:p w:rsidR="00023FE7" w:rsidRPr="007B74B7" w:rsidRDefault="00023FE7" w:rsidP="007358C5">
      <w:pPr>
        <w:pStyle w:val="AppendixFlushBulletedList"/>
        <w:numPr>
          <w:ilvl w:val="0"/>
          <w:numId w:val="110"/>
        </w:numPr>
        <w:spacing w:after="60"/>
        <w:ind w:left="1440"/>
        <w:rPr>
          <w:lang w:val="it-IT"/>
        </w:rPr>
      </w:pPr>
      <w:r w:rsidRPr="007B74B7">
        <w:rPr>
          <w:rFonts w:ascii="Tahoma" w:hAnsi="Tahoma" w:cs="Tahoma"/>
          <w:sz w:val="18"/>
          <w:szCs w:val="18"/>
          <w:lang w:val="it-IT"/>
        </w:rPr>
        <w:t>Due (2) interventi d supporto tecnico gratuiti all</w:t>
      </w:r>
      <w:r w:rsidR="007A1415" w:rsidRPr="007B74B7">
        <w:rPr>
          <w:rFonts w:ascii="Tahoma" w:hAnsi="Tahoma" w:cs="Tahoma"/>
          <w:sz w:val="18"/>
          <w:szCs w:val="18"/>
          <w:lang w:val="it-IT"/>
        </w:rPr>
        <w:t>’</w:t>
      </w:r>
      <w:r w:rsidRPr="007B74B7">
        <w:rPr>
          <w:rFonts w:ascii="Tahoma" w:hAnsi="Tahoma" w:cs="Tahoma"/>
          <w:sz w:val="18"/>
          <w:szCs w:val="18"/>
          <w:lang w:val="it-IT"/>
        </w:rPr>
        <w:t xml:space="preserve">anno e il 20% di sconto sugli interventi aggiuntivi tramite supporto telefonico acquistati dalla società. </w:t>
      </w:r>
    </w:p>
    <w:p w:rsidR="00023FE7" w:rsidRPr="007B74B7" w:rsidRDefault="00023FE7" w:rsidP="007358C5">
      <w:pPr>
        <w:pStyle w:val="AppendixFlushBulletedList"/>
        <w:numPr>
          <w:ilvl w:val="0"/>
          <w:numId w:val="110"/>
        </w:numPr>
        <w:spacing w:after="60"/>
        <w:ind w:left="1440"/>
        <w:rPr>
          <w:lang w:val="it-IT"/>
        </w:rPr>
      </w:pPr>
      <w:r w:rsidRPr="007B74B7">
        <w:rPr>
          <w:rFonts w:ascii="Tahoma" w:hAnsi="Tahoma" w:cs="Tahoma"/>
          <w:sz w:val="18"/>
          <w:szCs w:val="18"/>
          <w:lang w:val="it-IT"/>
        </w:rPr>
        <w:t xml:space="preserve">Servizio illimitato di Supporto per Managed Newsgroup e Online Concierge. </w:t>
      </w:r>
    </w:p>
    <w:p w:rsidR="00023FE7" w:rsidRPr="007B74B7" w:rsidRDefault="00023FE7" w:rsidP="00792D1E">
      <w:pPr>
        <w:pStyle w:val="AppendixBodyText"/>
        <w:spacing w:after="0"/>
        <w:rPr>
          <w:sz w:val="16"/>
          <w:szCs w:val="16"/>
          <w:lang w:val="it-IT"/>
        </w:rPr>
      </w:pPr>
    </w:p>
    <w:p w:rsidR="00023FE7" w:rsidRPr="007B74B7" w:rsidRDefault="00023FE7" w:rsidP="00792D1E">
      <w:pPr>
        <w:pStyle w:val="AppendixBodyText"/>
        <w:spacing w:after="0"/>
        <w:rPr>
          <w:lang w:val="it-IT"/>
        </w:rPr>
      </w:pPr>
      <w:r w:rsidRPr="007B74B7">
        <w:rPr>
          <w:rFonts w:ascii="Tahoma" w:hAnsi="Tahoma" w:cs="Tahoma"/>
          <w:sz w:val="18"/>
          <w:szCs w:val="18"/>
          <w:lang w:val="it-IT"/>
        </w:rPr>
        <w:t>Le società idonee riceveranno un abbonamento per iscrizione qualificante, come mostrato di seguito:</w:t>
      </w:r>
    </w:p>
    <w:p w:rsidR="00023FE7" w:rsidRPr="007B74B7" w:rsidRDefault="00023FE7" w:rsidP="00792D1E">
      <w:pPr>
        <w:pStyle w:val="AppendixBodyText"/>
        <w:tabs>
          <w:tab w:val="left" w:pos="1425"/>
        </w:tabs>
        <w:spacing w:after="0"/>
        <w:rPr>
          <w:sz w:val="16"/>
          <w:szCs w:val="16"/>
          <w:lang w:val="it-IT"/>
        </w:rPr>
      </w:pPr>
    </w:p>
    <w:tbl>
      <w:tblPr>
        <w:tblW w:w="9459" w:type="dxa"/>
        <w:tblInd w:w="99" w:type="dxa"/>
        <w:tblCellMar>
          <w:left w:w="0" w:type="dxa"/>
          <w:right w:w="0" w:type="dxa"/>
        </w:tblCellMar>
        <w:tblLook w:val="0000" w:firstRow="0" w:lastRow="0" w:firstColumn="0" w:lastColumn="0" w:noHBand="0" w:noVBand="0"/>
      </w:tblPr>
      <w:tblGrid>
        <w:gridCol w:w="1260"/>
        <w:gridCol w:w="1890"/>
        <w:gridCol w:w="2070"/>
        <w:gridCol w:w="2160"/>
        <w:gridCol w:w="2079"/>
      </w:tblGrid>
      <w:tr w:rsidR="00270612" w:rsidRPr="007B74B7" w:rsidTr="002A6416">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BD7CEA" w:rsidRDefault="00270612" w:rsidP="00CA4488">
            <w:pPr>
              <w:jc w:val="center"/>
              <w:rPr>
                <w:rFonts w:cs="Tahoma"/>
                <w:b/>
                <w:bCs/>
                <w:color w:val="000000"/>
                <w:sz w:val="20"/>
                <w:szCs w:val="20"/>
                <w:highlight w:val="yellow"/>
              </w:rPr>
            </w:pPr>
            <w:r w:rsidRPr="00BD7CEA">
              <w:rPr>
                <w:rFonts w:cs="Tahoma"/>
                <w:b/>
                <w:bCs/>
                <w:color w:val="000000"/>
                <w:sz w:val="20"/>
                <w:szCs w:val="20"/>
              </w:rPr>
              <w:t>Prodotto</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BD7CEA" w:rsidRDefault="00270612" w:rsidP="00CA4488">
            <w:pPr>
              <w:jc w:val="center"/>
              <w:rPr>
                <w:rFonts w:cs="Tahoma"/>
                <w:b/>
                <w:bCs/>
                <w:color w:val="000000"/>
                <w:sz w:val="20"/>
                <w:szCs w:val="20"/>
                <w:highlight w:val="yellow"/>
              </w:rPr>
            </w:pPr>
            <w:r w:rsidRPr="00BD7CEA">
              <w:rPr>
                <w:rFonts w:cs="Tahoma"/>
                <w:b/>
                <w:bCs/>
                <w:color w:val="000000"/>
                <w:sz w:val="20"/>
                <w:szCs w:val="20"/>
              </w:rPr>
              <w:t>Licenza Open</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BD7CEA" w:rsidRDefault="00270612" w:rsidP="00CA4488">
            <w:pPr>
              <w:jc w:val="center"/>
              <w:rPr>
                <w:rFonts w:cs="Tahoma"/>
                <w:b/>
                <w:bCs/>
                <w:color w:val="000000"/>
                <w:sz w:val="20"/>
                <w:szCs w:val="20"/>
                <w:highlight w:val="yellow"/>
              </w:rPr>
            </w:pPr>
            <w:r w:rsidRPr="00BD7CEA">
              <w:rPr>
                <w:rFonts w:cs="Tahoma"/>
                <w:b/>
                <w:bCs/>
                <w:color w:val="000000"/>
                <w:sz w:val="20"/>
                <w:szCs w:val="20"/>
              </w:rPr>
              <w:t>Open Value</w:t>
            </w:r>
          </w:p>
        </w:tc>
        <w:tc>
          <w:tcPr>
            <w:tcW w:w="2160" w:type="dxa"/>
            <w:tcBorders>
              <w:top w:val="single" w:sz="8" w:space="0" w:color="auto"/>
              <w:left w:val="nil"/>
              <w:bottom w:val="single" w:sz="8" w:space="0" w:color="auto"/>
              <w:right w:val="single" w:sz="8" w:space="0" w:color="auto"/>
            </w:tcBorders>
            <w:shd w:val="clear" w:color="auto" w:fill="FFCC99"/>
            <w:vAlign w:val="center"/>
          </w:tcPr>
          <w:p w:rsidR="00270612" w:rsidRPr="00BD7CEA" w:rsidRDefault="00270612" w:rsidP="00CA4488">
            <w:pPr>
              <w:jc w:val="center"/>
              <w:rPr>
                <w:rFonts w:cs="Tahoma"/>
                <w:b/>
                <w:bCs/>
                <w:color w:val="000000"/>
                <w:sz w:val="20"/>
                <w:szCs w:val="20"/>
              </w:rPr>
            </w:pPr>
            <w:r w:rsidRPr="00BD7CEA">
              <w:rPr>
                <w:rFonts w:cs="Tahoma"/>
                <w:b/>
                <w:bCs/>
                <w:color w:val="000000"/>
                <w:sz w:val="20"/>
                <w:szCs w:val="20"/>
              </w:rPr>
              <w:t>Academic</w:t>
            </w:r>
          </w:p>
        </w:tc>
        <w:tc>
          <w:tcPr>
            <w:tcW w:w="207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7B74B7" w:rsidRDefault="00270612" w:rsidP="00CA4488">
            <w:pPr>
              <w:jc w:val="center"/>
              <w:rPr>
                <w:rFonts w:cs="Tahoma"/>
                <w:b/>
                <w:bCs/>
                <w:color w:val="000000"/>
                <w:sz w:val="20"/>
                <w:szCs w:val="20"/>
                <w:highlight w:val="yellow"/>
                <w:lang w:val="pt-BR"/>
              </w:rPr>
            </w:pPr>
            <w:r w:rsidRPr="007B74B7">
              <w:rPr>
                <w:rFonts w:cs="Tahoma"/>
                <w:b/>
                <w:bCs/>
                <w:color w:val="000000"/>
                <w:sz w:val="20"/>
                <w:szCs w:val="20"/>
                <w:lang w:val="pt-BR"/>
              </w:rPr>
              <w:t>Select (diversa da Academic) /Select Plus (diversa da Academic)/EA</w:t>
            </w:r>
          </w:p>
        </w:tc>
      </w:tr>
      <w:tr w:rsidR="00270612" w:rsidRPr="00BD7CEA" w:rsidTr="002A6416">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BD7CEA" w:rsidRDefault="00270612" w:rsidP="00CA4488">
            <w:pPr>
              <w:rPr>
                <w:rFonts w:cs="Tahoma"/>
                <w:color w:val="000000"/>
                <w:szCs w:val="18"/>
                <w:highlight w:val="yellow"/>
              </w:rPr>
            </w:pPr>
            <w:r w:rsidRPr="00BD7CEA">
              <w:rPr>
                <w:rFonts w:cs="Tahoma"/>
                <w:b/>
                <w:bCs/>
                <w:iCs/>
                <w:color w:val="000000"/>
                <w:szCs w:val="18"/>
              </w:rPr>
              <w:t>Licenze</w:t>
            </w:r>
            <w:r w:rsidRPr="00BD7CEA">
              <w:rPr>
                <w:rFonts w:cs="Tahoma"/>
                <w:b/>
                <w:color w:val="000000"/>
                <w:szCs w:val="18"/>
              </w:rPr>
              <w:t xml:space="preserve"> Server</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BD7CEA" w:rsidRDefault="00270612" w:rsidP="00CA4488">
            <w:pPr>
              <w:jc w:val="center"/>
              <w:rPr>
                <w:rFonts w:cs="Tahoma"/>
                <w:color w:val="000000"/>
                <w:szCs w:val="18"/>
                <w:highlight w:val="yellow"/>
              </w:rPr>
            </w:pPr>
            <w:r w:rsidRPr="00BD7CEA">
              <w:rPr>
                <w:rFonts w:cs="Tahoma"/>
                <w:color w:val="000000"/>
                <w:szCs w:val="18"/>
              </w:rPr>
              <w:t>N/D</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BD7CEA" w:rsidRDefault="00270612" w:rsidP="00CA4488">
            <w:pPr>
              <w:jc w:val="center"/>
              <w:rPr>
                <w:rFonts w:cs="Tahoma"/>
                <w:color w:val="000000"/>
                <w:szCs w:val="18"/>
                <w:highlight w:val="yellow"/>
              </w:rPr>
            </w:pPr>
            <w:r w:rsidRPr="00BD7CEA">
              <w:rPr>
                <w:rFonts w:cs="Tahoma"/>
                <w:color w:val="000000"/>
                <w:szCs w:val="18"/>
              </w:rPr>
              <w:t>1 sottoscrizione per iscrizione</w:t>
            </w:r>
          </w:p>
        </w:tc>
        <w:tc>
          <w:tcPr>
            <w:tcW w:w="2160" w:type="dxa"/>
            <w:tcBorders>
              <w:top w:val="single" w:sz="8" w:space="0" w:color="auto"/>
              <w:left w:val="nil"/>
              <w:bottom w:val="single" w:sz="8" w:space="0" w:color="auto"/>
              <w:right w:val="single" w:sz="8" w:space="0" w:color="auto"/>
            </w:tcBorders>
          </w:tcPr>
          <w:p w:rsidR="00270612" w:rsidRPr="00BD7CEA" w:rsidRDefault="00270612" w:rsidP="00F30075">
            <w:pPr>
              <w:ind w:left="360"/>
              <w:rPr>
                <w:rFonts w:cs="Tahoma"/>
                <w:color w:val="000000"/>
                <w:szCs w:val="18"/>
              </w:rPr>
            </w:pPr>
            <w:r w:rsidRPr="00BD7CEA">
              <w:rPr>
                <w:rFonts w:cs="Tahoma"/>
                <w:color w:val="000000"/>
                <w:szCs w:val="18"/>
              </w:rPr>
              <w:t>1 sottoscrizione per iscrizione</w:t>
            </w:r>
          </w:p>
        </w:tc>
        <w:tc>
          <w:tcPr>
            <w:tcW w:w="207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BD7CEA" w:rsidRDefault="00270612" w:rsidP="00CA4488">
            <w:pPr>
              <w:rPr>
                <w:rFonts w:cs="Tahoma"/>
                <w:color w:val="000000"/>
                <w:szCs w:val="18"/>
              </w:rPr>
            </w:pPr>
            <w:r w:rsidRPr="00BD7CEA">
              <w:rPr>
                <w:rFonts w:cs="Tahoma"/>
                <w:color w:val="000000"/>
                <w:szCs w:val="18"/>
              </w:rPr>
              <w:t>1 sottoscrizione per iscrizione</w:t>
            </w:r>
          </w:p>
        </w:tc>
      </w:tr>
    </w:tbl>
    <w:p w:rsidR="00F30075" w:rsidRPr="007B74B7" w:rsidRDefault="00F30075" w:rsidP="00F30075">
      <w:pPr>
        <w:tabs>
          <w:tab w:val="num" w:pos="0"/>
        </w:tabs>
        <w:rPr>
          <w:lang w:val="it-IT"/>
        </w:rPr>
      </w:pPr>
      <w:r w:rsidRPr="007B74B7">
        <w:rPr>
          <w:rFonts w:cs="Tahoma"/>
          <w:i/>
          <w:color w:val="000000"/>
          <w:sz w:val="16"/>
          <w:szCs w:val="16"/>
          <w:lang w:val="it-IT"/>
        </w:rPr>
        <w:t>* Se la società dispone della copertura SA attiva su cinque licenze software</w:t>
      </w:r>
    </w:p>
    <w:p w:rsidR="00270612" w:rsidRPr="007B74B7" w:rsidRDefault="00270612" w:rsidP="00270612">
      <w:pPr>
        <w:pStyle w:val="AppendixFlushBulletedList"/>
        <w:tabs>
          <w:tab w:val="clear" w:pos="360"/>
          <w:tab w:val="num" w:pos="0"/>
        </w:tabs>
        <w:ind w:left="0" w:firstLine="0"/>
        <w:rPr>
          <w:sz w:val="16"/>
          <w:szCs w:val="16"/>
          <w:lang w:val="it-IT"/>
        </w:rPr>
      </w:pPr>
    </w:p>
    <w:p w:rsidR="00270612" w:rsidRPr="007B74B7" w:rsidRDefault="00270612" w:rsidP="00270612">
      <w:pPr>
        <w:pStyle w:val="AppendixFlushBulletedList"/>
        <w:tabs>
          <w:tab w:val="clear" w:pos="360"/>
          <w:tab w:val="num" w:pos="0"/>
        </w:tabs>
        <w:ind w:left="0" w:firstLine="0"/>
        <w:rPr>
          <w:lang w:val="it-IT"/>
        </w:rPr>
      </w:pPr>
      <w:r w:rsidRPr="007B74B7">
        <w:rPr>
          <w:rFonts w:ascii="Tahoma" w:hAnsi="Tahoma" w:cs="Tahoma"/>
          <w:color w:val="000000"/>
          <w:sz w:val="18"/>
          <w:szCs w:val="18"/>
          <w:lang w:val="it-IT"/>
        </w:rPr>
        <w:t>L</w:t>
      </w:r>
      <w:r w:rsidR="007A1415" w:rsidRPr="007B74B7">
        <w:rPr>
          <w:rFonts w:ascii="Tahoma" w:hAnsi="Tahoma" w:cs="Tahoma"/>
          <w:color w:val="000000"/>
          <w:sz w:val="18"/>
          <w:szCs w:val="18"/>
          <w:lang w:val="it-IT"/>
        </w:rPr>
        <w:t>’</w:t>
      </w:r>
      <w:r w:rsidRPr="007B74B7">
        <w:rPr>
          <w:rFonts w:ascii="Tahoma" w:hAnsi="Tahoma" w:cs="Tahoma"/>
          <w:color w:val="000000"/>
          <w:sz w:val="18"/>
          <w:szCs w:val="18"/>
          <w:lang w:val="it-IT"/>
        </w:rPr>
        <w:t>utilizzo del software TechNet Plus Direct, in versione prototipo e di valutazione, da parte delle società è soggetto alle condizioni del relativo contratto di licenza.</w:t>
      </w:r>
      <w:r w:rsidR="008D782D" w:rsidRPr="007B74B7">
        <w:rPr>
          <w:rFonts w:ascii="Tahoma" w:hAnsi="Tahoma" w:cs="Tahoma"/>
          <w:color w:val="000000"/>
          <w:sz w:val="18"/>
          <w:szCs w:val="18"/>
          <w:lang w:val="it-IT"/>
        </w:rPr>
        <w:t xml:space="preserve"> </w:t>
      </w:r>
    </w:p>
    <w:p w:rsidR="00270612" w:rsidRPr="007B74B7" w:rsidRDefault="00270612" w:rsidP="00270612">
      <w:pPr>
        <w:pStyle w:val="AppendixFlushBulletedList"/>
        <w:tabs>
          <w:tab w:val="clear" w:pos="360"/>
          <w:tab w:val="num" w:pos="0"/>
        </w:tabs>
        <w:ind w:left="0" w:firstLine="0"/>
        <w:rPr>
          <w:lang w:val="it-IT"/>
        </w:rPr>
      </w:pPr>
      <w:r w:rsidRPr="007B74B7">
        <w:rPr>
          <w:rFonts w:ascii="Tahoma" w:hAnsi="Tahoma" w:cs="Tahoma"/>
          <w:color w:val="000000"/>
          <w:sz w:val="18"/>
          <w:szCs w:val="18"/>
          <w:lang w:val="it-IT"/>
        </w:rPr>
        <w:t>Il software in versione completa concesso in licenza non contiene “time bomb” ed è fornito esclusivamente a scopi di</w:t>
      </w:r>
      <w:r w:rsidR="00D45A36" w:rsidRPr="007B74B7">
        <w:rPr>
          <w:rFonts w:ascii="Tahoma" w:hAnsi="Tahoma" w:cs="Tahoma"/>
          <w:color w:val="000000"/>
          <w:sz w:val="18"/>
          <w:szCs w:val="18"/>
          <w:lang w:val="it-IT"/>
        </w:rPr>
        <w:t> </w:t>
      </w:r>
      <w:r w:rsidRPr="007B74B7">
        <w:rPr>
          <w:rFonts w:ascii="Tahoma" w:hAnsi="Tahoma" w:cs="Tahoma"/>
          <w:color w:val="000000"/>
          <w:sz w:val="18"/>
          <w:szCs w:val="18"/>
          <w:lang w:val="it-IT"/>
        </w:rPr>
        <w:t xml:space="preserve">valutazione, non per un utilizzo in ambienti di produzione. </w:t>
      </w:r>
    </w:p>
    <w:p w:rsidR="004D4D43" w:rsidRPr="007B74B7" w:rsidRDefault="004D4D43" w:rsidP="00270612">
      <w:pPr>
        <w:pStyle w:val="AppendixFlushBulletedList"/>
        <w:tabs>
          <w:tab w:val="clear" w:pos="360"/>
          <w:tab w:val="num" w:pos="0"/>
        </w:tabs>
        <w:ind w:left="0" w:firstLine="0"/>
        <w:rPr>
          <w:sz w:val="16"/>
          <w:szCs w:val="16"/>
          <w:lang w:val="it-IT"/>
        </w:rPr>
      </w:pPr>
    </w:p>
    <w:p w:rsidR="00270612" w:rsidRPr="007B74B7" w:rsidRDefault="00270612" w:rsidP="00270612">
      <w:pPr>
        <w:pStyle w:val="AppendixFlushBulletedList"/>
        <w:tabs>
          <w:tab w:val="clear" w:pos="360"/>
          <w:tab w:val="num" w:pos="0"/>
        </w:tabs>
        <w:ind w:left="0" w:firstLine="0"/>
        <w:rPr>
          <w:lang w:val="it-IT"/>
        </w:rPr>
      </w:pPr>
      <w:r w:rsidRPr="007B74B7">
        <w:rPr>
          <w:rFonts w:ascii="Tahoma" w:hAnsi="Tahoma" w:cs="Tahoma"/>
          <w:color w:val="000000"/>
          <w:sz w:val="18"/>
          <w:szCs w:val="18"/>
          <w:lang w:val="it-IT"/>
        </w:rPr>
        <w:lastRenderedPageBreak/>
        <w:t>Le società con copertura SA hanno il diritto di condividere il contenuto tecnico all</w:t>
      </w:r>
      <w:r w:rsidR="007A1415" w:rsidRPr="007B74B7">
        <w:rPr>
          <w:rFonts w:ascii="Tahoma" w:hAnsi="Tahoma" w:cs="Tahoma"/>
          <w:color w:val="000000"/>
          <w:sz w:val="18"/>
          <w:szCs w:val="18"/>
          <w:lang w:val="it-IT"/>
        </w:rPr>
        <w:t>’</w:t>
      </w:r>
      <w:r w:rsidRPr="007B74B7">
        <w:rPr>
          <w:rFonts w:ascii="Tahoma" w:hAnsi="Tahoma" w:cs="Tahoma"/>
          <w:color w:val="000000"/>
          <w:sz w:val="18"/>
          <w:szCs w:val="18"/>
          <w:lang w:val="it-IT"/>
        </w:rPr>
        <w:t>interno dell</w:t>
      </w:r>
      <w:r w:rsidR="007A1415" w:rsidRPr="007B74B7">
        <w:rPr>
          <w:rFonts w:ascii="Tahoma" w:hAnsi="Tahoma" w:cs="Tahoma"/>
          <w:color w:val="000000"/>
          <w:sz w:val="18"/>
          <w:szCs w:val="18"/>
          <w:lang w:val="it-IT"/>
        </w:rPr>
        <w:t>’</w:t>
      </w:r>
      <w:r w:rsidRPr="007B74B7">
        <w:rPr>
          <w:rFonts w:ascii="Tahoma" w:hAnsi="Tahoma" w:cs="Tahoma"/>
          <w:color w:val="000000"/>
          <w:sz w:val="18"/>
          <w:szCs w:val="18"/>
          <w:lang w:val="it-IT"/>
        </w:rPr>
        <w:t>organizzazione, tra cui la</w:t>
      </w:r>
      <w:r w:rsidR="00B15767" w:rsidRPr="007B74B7">
        <w:rPr>
          <w:rFonts w:ascii="Tahoma" w:hAnsi="Tahoma" w:cs="Tahoma"/>
          <w:color w:val="000000"/>
          <w:sz w:val="18"/>
          <w:szCs w:val="18"/>
          <w:lang w:val="it-IT"/>
        </w:rPr>
        <w:t> </w:t>
      </w:r>
      <w:r w:rsidRPr="007B74B7">
        <w:rPr>
          <w:rFonts w:ascii="Tahoma" w:hAnsi="Tahoma" w:cs="Tahoma"/>
          <w:color w:val="000000"/>
          <w:sz w:val="18"/>
          <w:szCs w:val="18"/>
          <w:lang w:val="it-IT"/>
        </w:rPr>
        <w:t xml:space="preserve">Knowledge Base, la formazione tecnica, i download, i service pack e le patch di protezione. Tuttavia, i seguenti vantaggi sono riservati unicamente al sottoscrittore principale e non si possono condividere: software in versione completa fornito per scopi di valutazione, software in versione beta, interventi di supporto tecnico e sconto, managed newsgroup e online concierge e altri servizi premium disponibili solo sul sito Web dei Servizi TechNet Plus Direct. </w:t>
      </w:r>
    </w:p>
    <w:p w:rsidR="00792D1E" w:rsidRPr="007B74B7" w:rsidRDefault="00792D1E" w:rsidP="00270612">
      <w:pPr>
        <w:pStyle w:val="AppendixFlushBulletedList"/>
        <w:tabs>
          <w:tab w:val="clear" w:pos="360"/>
          <w:tab w:val="num" w:pos="0"/>
        </w:tabs>
        <w:ind w:left="0" w:firstLine="0"/>
        <w:rPr>
          <w:lang w:val="it-IT"/>
        </w:rPr>
      </w:pPr>
    </w:p>
    <w:p w:rsidR="00270612" w:rsidRPr="007B74B7" w:rsidRDefault="00270612" w:rsidP="00270612">
      <w:pPr>
        <w:pStyle w:val="AppendixFlushBulletedList"/>
        <w:tabs>
          <w:tab w:val="clear" w:pos="360"/>
          <w:tab w:val="num" w:pos="0"/>
        </w:tabs>
        <w:ind w:left="0" w:firstLine="0"/>
        <w:rPr>
          <w:lang w:val="it-IT"/>
        </w:rPr>
      </w:pPr>
      <w:r w:rsidRPr="007B74B7">
        <w:rPr>
          <w:rFonts w:ascii="Tahoma" w:hAnsi="Tahoma" w:cs="Tahoma"/>
          <w:color w:val="000000"/>
          <w:sz w:val="18"/>
          <w:szCs w:val="18"/>
          <w:lang w:val="it-IT"/>
        </w:rPr>
        <w:t>Non tutti i servizi e i vantaggi TechNet Plus Direct sono disponibili in ogni paese.</w:t>
      </w:r>
      <w:r w:rsidR="008D782D" w:rsidRPr="007B74B7">
        <w:rPr>
          <w:rFonts w:ascii="Tahoma" w:hAnsi="Tahoma" w:cs="Tahoma"/>
          <w:color w:val="000000"/>
          <w:sz w:val="18"/>
          <w:szCs w:val="18"/>
          <w:lang w:val="it-IT"/>
        </w:rPr>
        <w:t xml:space="preserve"> </w:t>
      </w:r>
    </w:p>
    <w:p w:rsidR="00792D1E" w:rsidRPr="007B74B7" w:rsidRDefault="00792D1E" w:rsidP="00270612">
      <w:pPr>
        <w:pStyle w:val="AppendixFlushBulletedList"/>
        <w:tabs>
          <w:tab w:val="clear" w:pos="360"/>
          <w:tab w:val="num" w:pos="0"/>
        </w:tabs>
        <w:ind w:left="0" w:firstLine="0"/>
        <w:rPr>
          <w:lang w:val="it-IT"/>
        </w:rPr>
      </w:pPr>
    </w:p>
    <w:p w:rsidR="00270612" w:rsidRPr="007B74B7" w:rsidRDefault="00270612" w:rsidP="00270612">
      <w:pPr>
        <w:pStyle w:val="AppendixFlushBulletedList"/>
        <w:tabs>
          <w:tab w:val="clear" w:pos="360"/>
          <w:tab w:val="num" w:pos="0"/>
        </w:tabs>
        <w:ind w:left="0" w:firstLine="0"/>
        <w:rPr>
          <w:lang w:val="it-IT"/>
        </w:rPr>
      </w:pPr>
      <w:r w:rsidRPr="007B74B7">
        <w:rPr>
          <w:rFonts w:ascii="Tahoma" w:hAnsi="Tahoma" w:cs="Tahoma"/>
          <w:color w:val="000000"/>
          <w:sz w:val="18"/>
          <w:szCs w:val="18"/>
          <w:lang w:val="it-IT"/>
        </w:rPr>
        <w:t xml:space="preserve">Per ulteriori informazioni sulla disponibilità in base al Paese, visitare la pagina </w:t>
      </w:r>
      <w:hyperlink r:id="rId32" w:history="1">
        <w:r w:rsidRPr="007B74B7">
          <w:rPr>
            <w:rStyle w:val="Hyperlink"/>
            <w:rFonts w:ascii="Tahoma" w:hAnsi="Tahoma" w:cs="Tahoma"/>
            <w:color w:val="000000"/>
            <w:sz w:val="18"/>
            <w:szCs w:val="18"/>
            <w:lang w:val="it-IT"/>
          </w:rPr>
          <w:t>www.microsoft.com/technet/subscription</w:t>
        </w:r>
      </w:hyperlink>
      <w:r w:rsidR="00A73368" w:rsidRPr="007B74B7">
        <w:rPr>
          <w:rFonts w:ascii="Tahoma" w:hAnsi="Tahoma" w:cs="Tahoma"/>
          <w:color w:val="000000"/>
          <w:sz w:val="18"/>
          <w:szCs w:val="18"/>
          <w:lang w:val="it-IT"/>
        </w:rPr>
        <w:t>.</w:t>
      </w:r>
    </w:p>
    <w:p w:rsidR="00270612" w:rsidRPr="007B74B7" w:rsidRDefault="00270612" w:rsidP="00270612">
      <w:pPr>
        <w:pStyle w:val="AppendixFlushBulletedList"/>
        <w:tabs>
          <w:tab w:val="clear" w:pos="360"/>
          <w:tab w:val="num" w:pos="0"/>
        </w:tabs>
        <w:ind w:left="0" w:firstLine="0"/>
        <w:rPr>
          <w:lang w:val="it-IT"/>
        </w:rPr>
      </w:pPr>
      <w:r w:rsidRPr="007B74B7">
        <w:rPr>
          <w:rFonts w:ascii="Tahoma" w:hAnsi="Tahoma" w:cs="Tahoma"/>
          <w:color w:val="000000"/>
          <w:sz w:val="18"/>
          <w:szCs w:val="18"/>
          <w:lang w:val="it-IT"/>
        </w:rPr>
        <w:t>Il diritto delle società di utilizzare software TechNet Plus Direct e software in versione prototipo e di valutazione cessa</w:t>
      </w:r>
      <w:r w:rsidR="00D45A36" w:rsidRPr="007B74B7">
        <w:rPr>
          <w:rFonts w:ascii="Tahoma" w:hAnsi="Tahoma" w:cs="Tahoma"/>
          <w:color w:val="000000"/>
          <w:sz w:val="18"/>
          <w:szCs w:val="18"/>
          <w:lang w:val="it-IT"/>
        </w:rPr>
        <w:t> </w:t>
      </w:r>
      <w:r w:rsidRPr="007B74B7">
        <w:rPr>
          <w:rFonts w:ascii="Tahoma" w:hAnsi="Tahoma" w:cs="Tahoma"/>
          <w:color w:val="000000"/>
          <w:sz w:val="18"/>
          <w:szCs w:val="18"/>
          <w:lang w:val="it-IT"/>
        </w:rPr>
        <w:t>alla scadenza della copertura Software Assurance.</w:t>
      </w:r>
    </w:p>
    <w:p w:rsidR="00023FE7" w:rsidRPr="007B74B7" w:rsidRDefault="00023FE7">
      <w:pPr>
        <w:pStyle w:val="Heading3"/>
        <w:tabs>
          <w:tab w:val="num" w:pos="0"/>
        </w:tabs>
        <w:rPr>
          <w:lang w:val="it-IT"/>
        </w:rPr>
      </w:pPr>
    </w:p>
    <w:p w:rsidR="004D4D43" w:rsidRPr="007B74B7" w:rsidRDefault="004D4D43" w:rsidP="004D4D43">
      <w:pPr>
        <w:pStyle w:val="Heading3"/>
        <w:tabs>
          <w:tab w:val="num" w:pos="0"/>
        </w:tabs>
        <w:rPr>
          <w:lang w:val="it-IT"/>
        </w:rPr>
      </w:pPr>
      <w:bookmarkStart w:id="809" w:name="_Toc336338242"/>
      <w:bookmarkStart w:id="810" w:name="_Toc353376022"/>
      <w:r w:rsidRPr="007B74B7">
        <w:rPr>
          <w:rFonts w:ascii="Tahoma" w:hAnsi="Tahoma" w:cs="Tahoma"/>
          <w:sz w:val="24"/>
          <w:lang w:val="it-IT"/>
        </w:rPr>
        <w:t>Mobilità delle Licenze tramite Software Assurance</w:t>
      </w:r>
      <w:bookmarkEnd w:id="809"/>
      <w:bookmarkEnd w:id="810"/>
    </w:p>
    <w:p w:rsidR="004D4D43" w:rsidRPr="007B74B7" w:rsidRDefault="004D4D43" w:rsidP="0007218F">
      <w:pPr>
        <w:pStyle w:val="Heading3"/>
        <w:tabs>
          <w:tab w:val="num" w:pos="0"/>
        </w:tabs>
        <w:rPr>
          <w:lang w:val="it-IT"/>
        </w:rPr>
      </w:pPr>
    </w:p>
    <w:p w:rsidR="004D4D43" w:rsidRPr="007B74B7" w:rsidRDefault="004D4D43" w:rsidP="002171C3">
      <w:pPr>
        <w:rPr>
          <w:lang w:val="it-IT"/>
        </w:rPr>
      </w:pPr>
      <w:bookmarkStart w:id="811" w:name="_Toc294048012"/>
      <w:bookmarkStart w:id="812" w:name="_Toc294048569"/>
      <w:bookmarkStart w:id="813" w:name="_Toc294092640"/>
      <w:bookmarkStart w:id="814" w:name="_Toc295819320"/>
      <w:bookmarkStart w:id="815" w:name="_Toc298795971"/>
      <w:bookmarkStart w:id="816" w:name="_Toc299369847"/>
      <w:bookmarkStart w:id="817" w:name="_Toc300391558"/>
      <w:bookmarkStart w:id="818" w:name="_Toc301939835"/>
      <w:bookmarkStart w:id="819" w:name="_Toc304801232"/>
      <w:bookmarkStart w:id="820" w:name="_Toc312399280"/>
      <w:bookmarkStart w:id="821" w:name="_Toc315289087"/>
      <w:bookmarkStart w:id="822" w:name="_Toc317591243"/>
      <w:bookmarkStart w:id="823" w:name="_Toc325313196"/>
      <w:bookmarkStart w:id="824" w:name="_Toc325609219"/>
      <w:r w:rsidRPr="007B74B7">
        <w:rPr>
          <w:lang w:val="it-IT"/>
        </w:rPr>
        <w:t>Mobilità delle Licenze tramite Software Assurance consente di spostare determinate licenze on-premise con copertura Software Assurance su server condivisi di terzi.</w:t>
      </w:r>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p>
    <w:p w:rsidR="004D4D43" w:rsidRPr="007B74B7" w:rsidRDefault="004D4D43" w:rsidP="002171C3">
      <w:pPr>
        <w:rPr>
          <w:lang w:val="it-IT"/>
        </w:rPr>
      </w:pPr>
    </w:p>
    <w:p w:rsidR="004D4D43" w:rsidRPr="007B74B7" w:rsidRDefault="004D4D43" w:rsidP="002171C3">
      <w:pPr>
        <w:rPr>
          <w:lang w:val="it-IT"/>
        </w:rPr>
      </w:pPr>
      <w:bookmarkStart w:id="825" w:name="_Toc294048013"/>
      <w:bookmarkStart w:id="826" w:name="_Toc294048570"/>
      <w:bookmarkStart w:id="827" w:name="_Toc294092641"/>
      <w:bookmarkStart w:id="828" w:name="_Toc295819321"/>
      <w:bookmarkStart w:id="829" w:name="_Toc298795972"/>
      <w:bookmarkStart w:id="830" w:name="_Toc299369848"/>
      <w:bookmarkStart w:id="831" w:name="_Toc300391559"/>
      <w:bookmarkStart w:id="832" w:name="_Toc301939836"/>
      <w:bookmarkStart w:id="833" w:name="_Toc304801233"/>
      <w:bookmarkStart w:id="834" w:name="_Toc307350402"/>
      <w:bookmarkStart w:id="835" w:name="_Toc308429813"/>
      <w:bookmarkStart w:id="836" w:name="_Toc312399281"/>
      <w:bookmarkStart w:id="837" w:name="_Toc315289088"/>
      <w:bookmarkStart w:id="838" w:name="_Toc317591244"/>
      <w:bookmarkStart w:id="839" w:name="_Toc323034197"/>
      <w:bookmarkStart w:id="840" w:name="_Toc325313197"/>
      <w:bookmarkStart w:id="841" w:name="_Toc325609220"/>
      <w:r w:rsidRPr="007B74B7">
        <w:rPr>
          <w:lang w:val="it-IT"/>
        </w:rPr>
        <w:t>Tutti i Prodotti attualmente idonei per “Mobilità delle Licenze all</w:t>
      </w:r>
      <w:r w:rsidR="007A1415" w:rsidRPr="007B74B7">
        <w:rPr>
          <w:lang w:val="it-IT"/>
        </w:rPr>
        <w:t>’</w:t>
      </w:r>
      <w:r w:rsidRPr="007B74B7">
        <w:rPr>
          <w:lang w:val="it-IT"/>
        </w:rPr>
        <w:t>interno di Server Farm” in base a quanto definito nei Diritti di Utilizzo del Prodotto (PUR) e con copertura Software Assurance sono idonei per Mobilità delle Licenze tramite Software Assurance. Inoltre, sono idonei per Mobilità delle Licenze tramite Software Assurance anche i Prodotti seguenti:</w:t>
      </w:r>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p>
    <w:p w:rsidR="004D4D43" w:rsidRPr="007B74B7" w:rsidRDefault="004D4D43" w:rsidP="00F86E06">
      <w:pPr>
        <w:rPr>
          <w:lang w:val="it-IT"/>
        </w:rPr>
      </w:pPr>
    </w:p>
    <w:p w:rsidR="004D4D43" w:rsidRPr="007B74B7" w:rsidRDefault="004D4D43" w:rsidP="007358C5">
      <w:pPr>
        <w:numPr>
          <w:ilvl w:val="0"/>
          <w:numId w:val="73"/>
        </w:numPr>
        <w:spacing w:after="60"/>
        <w:ind w:left="1440"/>
        <w:rPr>
          <w:lang w:val="it-IT"/>
        </w:rPr>
      </w:pPr>
      <w:bookmarkStart w:id="842" w:name="_Toc294048014"/>
      <w:bookmarkStart w:id="843" w:name="_Toc294048571"/>
      <w:bookmarkStart w:id="844" w:name="_Toc294092642"/>
      <w:bookmarkStart w:id="845" w:name="_Toc295819322"/>
      <w:bookmarkStart w:id="846" w:name="_Toc298795973"/>
      <w:bookmarkStart w:id="847" w:name="_Toc299369849"/>
      <w:bookmarkStart w:id="848" w:name="_Toc300391560"/>
      <w:bookmarkStart w:id="849" w:name="_Toc301939837"/>
      <w:bookmarkStart w:id="850" w:name="_Toc304801234"/>
      <w:bookmarkStart w:id="851" w:name="_Toc307350403"/>
      <w:bookmarkStart w:id="852" w:name="_Toc308429814"/>
      <w:bookmarkStart w:id="853" w:name="_Toc312399282"/>
      <w:bookmarkStart w:id="854" w:name="_Toc315289089"/>
      <w:bookmarkStart w:id="855" w:name="_Toc317591245"/>
      <w:bookmarkStart w:id="856" w:name="_Toc323034198"/>
      <w:bookmarkStart w:id="857" w:name="_Toc325313198"/>
      <w:bookmarkStart w:id="858" w:name="_Toc325609221"/>
      <w:r w:rsidRPr="007B74B7">
        <w:rPr>
          <w:lang w:val="it-IT"/>
        </w:rPr>
        <w:t>SQL Server Standard</w:t>
      </w:r>
      <w:r w:rsidR="00FD7C0D" w:rsidRPr="007B74B7">
        <w:rPr>
          <w:lang w:val="it-IT"/>
        </w:rPr>
        <w:t xml:space="preserve"> – </w:t>
      </w:r>
      <w:r w:rsidRPr="007B74B7">
        <w:rPr>
          <w:lang w:val="it-IT"/>
        </w:rPr>
        <w:t>Per Processore e Server/CAL (solo licenze per processore e server) con Software Assurance</w:t>
      </w:r>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p>
    <w:p w:rsidR="004D4D43" w:rsidRPr="007B74B7" w:rsidRDefault="004D4D43" w:rsidP="007358C5">
      <w:pPr>
        <w:numPr>
          <w:ilvl w:val="0"/>
          <w:numId w:val="73"/>
        </w:numPr>
        <w:spacing w:after="60"/>
        <w:ind w:left="1440"/>
        <w:rPr>
          <w:lang w:val="it-IT"/>
        </w:rPr>
      </w:pPr>
      <w:bookmarkStart w:id="859" w:name="_Toc294048015"/>
      <w:bookmarkStart w:id="860" w:name="_Toc294048572"/>
      <w:bookmarkStart w:id="861" w:name="_Toc294092643"/>
      <w:bookmarkStart w:id="862" w:name="_Toc295819323"/>
      <w:bookmarkStart w:id="863" w:name="_Toc298795974"/>
      <w:bookmarkStart w:id="864" w:name="_Toc299369850"/>
      <w:bookmarkStart w:id="865" w:name="_Toc300391561"/>
      <w:bookmarkStart w:id="866" w:name="_Toc301939838"/>
      <w:bookmarkStart w:id="867" w:name="_Toc304801235"/>
      <w:bookmarkStart w:id="868" w:name="_Toc307350404"/>
      <w:bookmarkStart w:id="869" w:name="_Toc308429815"/>
      <w:bookmarkStart w:id="870" w:name="_Toc312399283"/>
      <w:bookmarkStart w:id="871" w:name="_Toc315289090"/>
      <w:bookmarkStart w:id="872" w:name="_Toc317591246"/>
      <w:bookmarkStart w:id="873" w:name="_Toc323034199"/>
      <w:bookmarkStart w:id="874" w:name="_Toc325313199"/>
      <w:bookmarkStart w:id="875" w:name="_Toc325609222"/>
      <w:r w:rsidRPr="007B74B7">
        <w:rPr>
          <w:lang w:val="it-IT"/>
        </w:rPr>
        <w:t>System Center</w:t>
      </w:r>
      <w:r w:rsidR="00FD7C0D" w:rsidRPr="007B74B7">
        <w:rPr>
          <w:lang w:val="it-IT"/>
        </w:rPr>
        <w:t xml:space="preserve"> – </w:t>
      </w:r>
      <w:r w:rsidRPr="007B74B7">
        <w:rPr>
          <w:lang w:val="it-IT"/>
        </w:rPr>
        <w:t>tutte le Licenze di Gestione Server (ML), incluse SMSE e SMSD con Software Assurance</w:t>
      </w:r>
      <w:bookmarkEnd w:id="859"/>
      <w:bookmarkEnd w:id="860"/>
      <w:bookmarkEnd w:id="861"/>
      <w:bookmarkEnd w:id="862"/>
      <w:bookmarkEnd w:id="863"/>
      <w:bookmarkEnd w:id="864"/>
      <w:bookmarkEnd w:id="865"/>
      <w:bookmarkEnd w:id="866"/>
      <w:bookmarkEnd w:id="867"/>
      <w:bookmarkEnd w:id="868"/>
      <w:bookmarkEnd w:id="869"/>
      <w:bookmarkEnd w:id="870"/>
      <w:bookmarkEnd w:id="871"/>
      <w:r w:rsidRPr="007B74B7">
        <w:rPr>
          <w:lang w:val="it-IT"/>
        </w:rPr>
        <w:t xml:space="preserve"> e System Center 2012 Standard e Datacenter con Software Assurance</w:t>
      </w:r>
      <w:bookmarkEnd w:id="872"/>
      <w:bookmarkEnd w:id="873"/>
      <w:bookmarkEnd w:id="874"/>
      <w:bookmarkEnd w:id="875"/>
    </w:p>
    <w:p w:rsidR="00973A93" w:rsidRPr="007B74B7" w:rsidRDefault="00973A93">
      <w:pPr>
        <w:rPr>
          <w:lang w:val="it-IT"/>
        </w:rPr>
      </w:pPr>
      <w:bookmarkStart w:id="876" w:name="_Toc294048016"/>
      <w:bookmarkStart w:id="877" w:name="_Toc294048573"/>
      <w:bookmarkStart w:id="878" w:name="_Toc294092644"/>
      <w:bookmarkStart w:id="879" w:name="_Toc295819324"/>
      <w:bookmarkStart w:id="880" w:name="_Toc298795975"/>
      <w:bookmarkStart w:id="881" w:name="_Toc299369851"/>
      <w:bookmarkStart w:id="882" w:name="_Toc300391562"/>
      <w:bookmarkStart w:id="883" w:name="_Toc301939839"/>
      <w:bookmarkStart w:id="884" w:name="_Toc304801236"/>
      <w:bookmarkStart w:id="885" w:name="_Toc307350405"/>
      <w:bookmarkStart w:id="886" w:name="_Toc308429816"/>
      <w:bookmarkStart w:id="887" w:name="_Toc312399284"/>
      <w:bookmarkStart w:id="888" w:name="_Toc315289091"/>
      <w:bookmarkStart w:id="889" w:name="_Toc317591247"/>
      <w:bookmarkStart w:id="890" w:name="_Toc323034200"/>
      <w:bookmarkStart w:id="891" w:name="_Toc325313200"/>
      <w:bookmarkStart w:id="892" w:name="_Toc325609223"/>
    </w:p>
    <w:p w:rsidR="004D4D43" w:rsidRPr="007B74B7" w:rsidRDefault="004D4D43" w:rsidP="002171C3">
      <w:pPr>
        <w:rPr>
          <w:lang w:val="it-IT"/>
        </w:rPr>
      </w:pPr>
      <w:r w:rsidRPr="007B74B7">
        <w:rPr>
          <w:lang w:val="it-IT"/>
        </w:rPr>
        <w:t>Per utilizzare Mobilità delle Licenze tramite Software Assurance, le società dovranno:</w:t>
      </w:r>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p>
    <w:p w:rsidR="004D4D43" w:rsidRPr="007B74B7" w:rsidRDefault="004D4D43" w:rsidP="00F86E06">
      <w:pPr>
        <w:rPr>
          <w:lang w:val="it-IT"/>
        </w:rPr>
      </w:pPr>
    </w:p>
    <w:p w:rsidR="004D4D43" w:rsidRPr="007B74B7" w:rsidRDefault="004D4D43" w:rsidP="007358C5">
      <w:pPr>
        <w:numPr>
          <w:ilvl w:val="0"/>
          <w:numId w:val="62"/>
        </w:numPr>
        <w:spacing w:after="60"/>
        <w:ind w:left="1440"/>
        <w:rPr>
          <w:lang w:val="it-IT"/>
        </w:rPr>
      </w:pPr>
      <w:bookmarkStart w:id="893" w:name="_Toc294048017"/>
      <w:bookmarkStart w:id="894" w:name="_Toc294048574"/>
      <w:bookmarkStart w:id="895" w:name="_Toc294092645"/>
      <w:bookmarkStart w:id="896" w:name="_Toc295819325"/>
      <w:bookmarkStart w:id="897" w:name="_Toc298795976"/>
      <w:bookmarkStart w:id="898" w:name="_Toc299369852"/>
      <w:bookmarkStart w:id="899" w:name="_Toc300391563"/>
      <w:bookmarkStart w:id="900" w:name="_Toc301939840"/>
      <w:bookmarkStart w:id="901" w:name="_Toc304801237"/>
      <w:bookmarkStart w:id="902" w:name="_Toc307350406"/>
      <w:bookmarkStart w:id="903" w:name="_Toc308429817"/>
      <w:bookmarkStart w:id="904" w:name="_Toc312399285"/>
      <w:bookmarkStart w:id="905" w:name="_Toc315289092"/>
      <w:bookmarkStart w:id="906" w:name="_Toc317591248"/>
      <w:bookmarkStart w:id="907" w:name="_Toc323034201"/>
      <w:bookmarkStart w:id="908" w:name="_Toc325313201"/>
      <w:bookmarkStart w:id="909" w:name="_Toc325609224"/>
      <w:r w:rsidRPr="007B74B7">
        <w:rPr>
          <w:lang w:val="it-IT"/>
        </w:rPr>
        <w:t>gestire la copertura Software Assurance per le licenze ai sensi delle quali eseguono software o</w:t>
      </w:r>
      <w:r w:rsidR="00B15767" w:rsidRPr="007B74B7">
        <w:rPr>
          <w:lang w:val="it-IT"/>
        </w:rPr>
        <w:t> </w:t>
      </w:r>
      <w:r w:rsidRPr="007B74B7">
        <w:rPr>
          <w:lang w:val="it-IT"/>
        </w:rPr>
        <w:t>gestiscono ambienti di sistemi operativi su server di terzi condivisi nonché tutte le CAL, External Connector e licenze di gestione corrispondenti;</w:t>
      </w:r>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p>
    <w:p w:rsidR="004D4D43" w:rsidRPr="007B74B7" w:rsidRDefault="004D4D43" w:rsidP="007358C5">
      <w:pPr>
        <w:numPr>
          <w:ilvl w:val="0"/>
          <w:numId w:val="62"/>
        </w:numPr>
        <w:spacing w:after="60"/>
        <w:ind w:left="1440"/>
        <w:rPr>
          <w:lang w:val="it-IT"/>
        </w:rPr>
      </w:pPr>
      <w:bookmarkStart w:id="910" w:name="_Toc294048018"/>
      <w:bookmarkStart w:id="911" w:name="_Toc294048575"/>
      <w:bookmarkStart w:id="912" w:name="_Toc294092646"/>
      <w:bookmarkStart w:id="913" w:name="_Toc295819326"/>
      <w:bookmarkStart w:id="914" w:name="_Toc298795977"/>
      <w:bookmarkStart w:id="915" w:name="_Toc299369853"/>
      <w:bookmarkStart w:id="916" w:name="_Toc300391564"/>
      <w:bookmarkStart w:id="917" w:name="_Toc301939841"/>
      <w:bookmarkStart w:id="918" w:name="_Toc304801238"/>
      <w:bookmarkStart w:id="919" w:name="_Toc307350407"/>
      <w:bookmarkStart w:id="920" w:name="_Toc308429818"/>
      <w:bookmarkStart w:id="921" w:name="_Toc312399286"/>
      <w:bookmarkStart w:id="922" w:name="_Toc315289093"/>
      <w:bookmarkStart w:id="923" w:name="_Toc317591249"/>
      <w:bookmarkStart w:id="924" w:name="_Toc323034202"/>
      <w:bookmarkStart w:id="925" w:name="_Toc325313202"/>
      <w:bookmarkStart w:id="926" w:name="_Toc325609225"/>
      <w:r w:rsidRPr="007B74B7">
        <w:rPr>
          <w:lang w:val="it-IT"/>
        </w:rPr>
        <w:t>distribuire le proprie licenze solo con Partner di Mobilità delle Licenze tramite Software Assurance qualificati. L</w:t>
      </w:r>
      <w:r w:rsidR="007A1415" w:rsidRPr="007B74B7">
        <w:rPr>
          <w:lang w:val="it-IT"/>
        </w:rPr>
        <w:t>’</w:t>
      </w:r>
      <w:r w:rsidRPr="007B74B7">
        <w:rPr>
          <w:lang w:val="it-IT"/>
        </w:rPr>
        <w:t>elenco dei Partner di Mobilità delle Licenze tramite Software Assurance qualificati è disponibile sul sito Web http://www.microsoft.com/licensing/software-assurance/license-mobility e</w:t>
      </w:r>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p>
    <w:p w:rsidR="004D4D43" w:rsidRPr="007B74B7" w:rsidRDefault="004D4D43" w:rsidP="007358C5">
      <w:pPr>
        <w:numPr>
          <w:ilvl w:val="0"/>
          <w:numId w:val="62"/>
        </w:numPr>
        <w:spacing w:after="60"/>
        <w:ind w:left="1440"/>
        <w:rPr>
          <w:lang w:val="it-IT"/>
        </w:rPr>
      </w:pPr>
      <w:bookmarkStart w:id="927" w:name="_Toc294048019"/>
      <w:bookmarkStart w:id="928" w:name="_Toc294048576"/>
      <w:bookmarkStart w:id="929" w:name="_Toc294092647"/>
      <w:bookmarkStart w:id="930" w:name="_Toc295819327"/>
      <w:bookmarkStart w:id="931" w:name="_Toc298795978"/>
      <w:bookmarkStart w:id="932" w:name="_Toc299369854"/>
      <w:bookmarkStart w:id="933" w:name="_Toc300391565"/>
      <w:bookmarkStart w:id="934" w:name="_Toc301939842"/>
      <w:bookmarkStart w:id="935" w:name="_Toc304801239"/>
      <w:bookmarkStart w:id="936" w:name="_Toc307350408"/>
      <w:bookmarkStart w:id="937" w:name="_Toc308429819"/>
      <w:bookmarkStart w:id="938" w:name="_Toc312399287"/>
      <w:bookmarkStart w:id="939" w:name="_Toc315289094"/>
      <w:bookmarkStart w:id="940" w:name="_Toc317591250"/>
      <w:bookmarkStart w:id="941" w:name="_Toc323034203"/>
      <w:bookmarkStart w:id="942" w:name="_Toc325313203"/>
      <w:bookmarkStart w:id="943" w:name="_Toc325609226"/>
      <w:r w:rsidRPr="007B74B7">
        <w:rPr>
          <w:lang w:val="it-IT"/>
        </w:rPr>
        <w:t>completare e inviare il modulo per la Convalida della Mobilità delle Licenze con ciascun Partner di</w:t>
      </w:r>
      <w:r w:rsidR="00B15767" w:rsidRPr="007B74B7">
        <w:rPr>
          <w:lang w:val="it-IT"/>
        </w:rPr>
        <w:t> </w:t>
      </w:r>
      <w:r w:rsidRPr="007B74B7">
        <w:rPr>
          <w:lang w:val="it-IT"/>
        </w:rPr>
        <w:t>Mobilità delle Licenze tramite Software Assurance qualificato che eseguirà il software in licenza delle società sui server condivisi dei partner.</w:t>
      </w:r>
      <w:r w:rsidR="008D782D" w:rsidRPr="007B74B7">
        <w:rPr>
          <w:lang w:val="it-IT"/>
        </w:rPr>
        <w:t xml:space="preserve"> </w:t>
      </w:r>
      <w:r w:rsidRPr="007B74B7">
        <w:rPr>
          <w:lang w:val="it-IT"/>
        </w:rPr>
        <w:t>Il modulo per la Convalida della Mobilità delle Licenze verrà messo a disposizione delle società dal Partner di Mobilità delle Licenze tramite Software Assurance qualificato.</w:t>
      </w:r>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p>
    <w:p w:rsidR="004D4D43" w:rsidRPr="007B74B7" w:rsidRDefault="004D4D43" w:rsidP="002171C3">
      <w:pPr>
        <w:rPr>
          <w:lang w:val="it-IT"/>
        </w:rPr>
      </w:pPr>
    </w:p>
    <w:p w:rsidR="004D4D43" w:rsidRPr="007B74B7" w:rsidRDefault="004D4D43" w:rsidP="002171C3">
      <w:pPr>
        <w:rPr>
          <w:lang w:val="it-IT"/>
        </w:rPr>
      </w:pPr>
      <w:bookmarkStart w:id="944" w:name="_Toc294048020"/>
      <w:bookmarkStart w:id="945" w:name="_Toc294048577"/>
      <w:bookmarkStart w:id="946" w:name="_Toc294092648"/>
      <w:bookmarkStart w:id="947" w:name="_Toc295819328"/>
      <w:bookmarkStart w:id="948" w:name="_Toc298795979"/>
      <w:bookmarkStart w:id="949" w:name="_Toc299369855"/>
      <w:bookmarkStart w:id="950" w:name="_Toc300391566"/>
      <w:bookmarkStart w:id="951" w:name="_Toc301939843"/>
      <w:bookmarkStart w:id="952" w:name="_Toc304801240"/>
      <w:bookmarkStart w:id="953" w:name="_Toc307350409"/>
      <w:bookmarkStart w:id="954" w:name="_Toc308429820"/>
      <w:bookmarkStart w:id="955" w:name="_Toc312399288"/>
      <w:bookmarkStart w:id="956" w:name="_Toc317591251"/>
      <w:bookmarkStart w:id="957" w:name="_Toc323034204"/>
      <w:bookmarkStart w:id="958" w:name="_Toc325313204"/>
      <w:bookmarkStart w:id="959" w:name="_Toc325609227"/>
      <w:r w:rsidRPr="007B74B7">
        <w:rPr>
          <w:lang w:val="it-IT"/>
        </w:rPr>
        <w:t>I diritti delle società di eseguire software in licenza e gestire OSE su server di terzi condivisi scadranno al termine della copertura Software Assurance su tali licenze o sulle licenze di accesso o di gestione corrispondenti.</w:t>
      </w:r>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p>
    <w:p w:rsidR="004D4D43" w:rsidRPr="007B74B7" w:rsidRDefault="004D4D43" w:rsidP="0007218F">
      <w:pPr>
        <w:rPr>
          <w:lang w:val="it-IT"/>
        </w:rPr>
      </w:pPr>
    </w:p>
    <w:p w:rsidR="00023FE7" w:rsidRPr="007B74B7" w:rsidRDefault="00023FE7" w:rsidP="0007218F">
      <w:pPr>
        <w:pStyle w:val="Heading3"/>
        <w:tabs>
          <w:tab w:val="num" w:pos="0"/>
        </w:tabs>
        <w:rPr>
          <w:lang w:val="it-IT"/>
        </w:rPr>
      </w:pPr>
      <w:bookmarkStart w:id="960" w:name="_Toc336338243"/>
      <w:bookmarkStart w:id="961" w:name="_Toc353376023"/>
      <w:r w:rsidRPr="007B74B7">
        <w:rPr>
          <w:rFonts w:ascii="Tahoma" w:hAnsi="Tahoma" w:cs="Tahoma"/>
          <w:sz w:val="24"/>
          <w:lang w:val="it-IT"/>
        </w:rPr>
        <w:t>Windows Thin PC</w:t>
      </w:r>
      <w:bookmarkEnd w:id="960"/>
      <w:bookmarkEnd w:id="961"/>
    </w:p>
    <w:p w:rsidR="00023FE7" w:rsidRPr="007B74B7" w:rsidRDefault="00023FE7" w:rsidP="0007218F">
      <w:pPr>
        <w:pStyle w:val="Heading3"/>
        <w:rPr>
          <w:lang w:val="it-IT"/>
        </w:rPr>
      </w:pPr>
    </w:p>
    <w:p w:rsidR="0008414D" w:rsidRPr="007B74B7" w:rsidRDefault="0008414D" w:rsidP="0007218F">
      <w:pPr>
        <w:rPr>
          <w:lang w:val="it-IT"/>
        </w:rPr>
      </w:pPr>
      <w:r w:rsidRPr="007B74B7">
        <w:rPr>
          <w:rFonts w:eastAsia="Calibri" w:cs="Tahoma"/>
          <w:szCs w:val="20"/>
          <w:lang w:val="it-IT"/>
        </w:rPr>
        <w:t xml:space="preserve">Le società che abbiano stipulato Contratti Multilicenza con copertura Software Assurance attiva per il sistema operativo desktop Windows o licenze attive per VDA o Windows Intune </w:t>
      </w:r>
      <w:r w:rsidRPr="007B74B7">
        <w:rPr>
          <w:rFonts w:cs="Tahoma"/>
          <w:szCs w:val="18"/>
          <w:lang w:val="it-IT"/>
        </w:rPr>
        <w:t xml:space="preserve">(Per Dispositivo) </w:t>
      </w:r>
      <w:r w:rsidRPr="007B74B7">
        <w:rPr>
          <w:rFonts w:eastAsia="Calibri" w:cs="Tahoma"/>
          <w:szCs w:val="20"/>
          <w:lang w:val="it-IT"/>
        </w:rPr>
        <w:t xml:space="preserve">sono idonee per questo vantaggio. Le società che accedono a questo vantaggio </w:t>
      </w:r>
      <w:r w:rsidRPr="007B74B7">
        <w:rPr>
          <w:rFonts w:eastAsia="Calibri" w:cs="Tahoma"/>
          <w:color w:val="000000"/>
          <w:szCs w:val="20"/>
          <w:lang w:val="it-IT"/>
        </w:rPr>
        <w:t xml:space="preserve">in base a </w:t>
      </w:r>
      <w:r w:rsidRPr="007B74B7">
        <w:rPr>
          <w:rFonts w:eastAsia="Calibri" w:cs="Tahoma"/>
          <w:szCs w:val="20"/>
          <w:lang w:val="it-IT"/>
        </w:rPr>
        <w:t>VDA dovranno disporre di un sistema operativo qualificante</w:t>
      </w:r>
      <w:r w:rsidRPr="007B74B7">
        <w:rPr>
          <w:rFonts w:eastAsia="Calibri" w:cs="Tahoma"/>
          <w:color w:val="1F497D"/>
          <w:szCs w:val="20"/>
          <w:lang w:val="it-IT"/>
        </w:rPr>
        <w:t xml:space="preserve"> </w:t>
      </w:r>
      <w:r w:rsidRPr="007B74B7">
        <w:rPr>
          <w:rFonts w:eastAsia="Calibri" w:cs="Tahoma"/>
          <w:color w:val="000000"/>
          <w:szCs w:val="20"/>
          <w:lang w:val="it-IT"/>
        </w:rPr>
        <w:t xml:space="preserve">installato nel dispositivo con licenza </w:t>
      </w:r>
      <w:r w:rsidRPr="007B74B7">
        <w:rPr>
          <w:rFonts w:eastAsia="Calibri" w:cs="Tahoma"/>
          <w:szCs w:val="20"/>
          <w:lang w:val="it-IT"/>
        </w:rPr>
        <w:t xml:space="preserve">in base alla tabella dei Sistemi Operativi Qualificanti come descritto alla sezione </w:t>
      </w:r>
      <w:r w:rsidRPr="007B74B7">
        <w:rPr>
          <w:rFonts w:eastAsia="Calibri" w:cs="Tahoma"/>
          <w:color w:val="000000"/>
          <w:szCs w:val="20"/>
          <w:lang w:val="it-IT"/>
        </w:rPr>
        <w:t xml:space="preserve">Note del Prodotto, </w:t>
      </w:r>
      <w:r w:rsidRPr="007B74B7">
        <w:rPr>
          <w:rFonts w:eastAsia="Calibri" w:cs="Tahoma"/>
          <w:szCs w:val="20"/>
          <w:lang w:val="it-IT"/>
        </w:rPr>
        <w:t>Pool di Sistemi del presente documento.</w:t>
      </w:r>
      <w:r w:rsidR="008D782D" w:rsidRPr="007B74B7">
        <w:rPr>
          <w:rFonts w:eastAsia="Calibri" w:cs="Tahoma"/>
          <w:szCs w:val="20"/>
          <w:lang w:val="it-IT"/>
        </w:rPr>
        <w:t xml:space="preserve"> </w:t>
      </w:r>
    </w:p>
    <w:p w:rsidR="0008414D" w:rsidRPr="007B74B7" w:rsidRDefault="0008414D" w:rsidP="0007218F">
      <w:pPr>
        <w:rPr>
          <w:lang w:val="it-IT"/>
        </w:rPr>
      </w:pPr>
    </w:p>
    <w:p w:rsidR="00B15767" w:rsidRPr="007B74B7" w:rsidRDefault="00B15767" w:rsidP="0007218F">
      <w:pPr>
        <w:rPr>
          <w:lang w:val="it-IT"/>
        </w:rPr>
      </w:pPr>
    </w:p>
    <w:p w:rsidR="00B15767" w:rsidRPr="007B74B7" w:rsidRDefault="00B15767" w:rsidP="0007218F">
      <w:pPr>
        <w:rPr>
          <w:lang w:val="it-IT"/>
        </w:rPr>
      </w:pPr>
    </w:p>
    <w:p w:rsidR="0008414D" w:rsidRPr="007B74B7" w:rsidRDefault="0008414D" w:rsidP="0007218F">
      <w:pPr>
        <w:rPr>
          <w:lang w:val="it-IT"/>
        </w:rPr>
      </w:pPr>
      <w:r w:rsidRPr="007B74B7">
        <w:rPr>
          <w:rFonts w:eastAsia="Calibri" w:cs="Tahoma"/>
          <w:szCs w:val="20"/>
          <w:lang w:val="it-IT"/>
        </w:rPr>
        <w:lastRenderedPageBreak/>
        <w:t>Windows Thin PC è una soluzione basata sul Sistema Operativo Windows con un footprint più piccolo, progettata per</w:t>
      </w:r>
      <w:r w:rsidR="00B15767" w:rsidRPr="007B74B7">
        <w:rPr>
          <w:rFonts w:eastAsia="Calibri" w:cs="Tahoma"/>
          <w:szCs w:val="20"/>
          <w:lang w:val="it-IT"/>
        </w:rPr>
        <w:t> </w:t>
      </w:r>
      <w:r w:rsidRPr="007B74B7">
        <w:rPr>
          <w:rFonts w:eastAsia="Calibri" w:cs="Tahoma"/>
          <w:szCs w:val="20"/>
          <w:lang w:val="it-IT"/>
        </w:rPr>
        <w:t>società che desiderano ridefinire i PC esistenti</w:t>
      </w:r>
      <w:r w:rsidRPr="007B74B7">
        <w:rPr>
          <w:rFonts w:eastAsia="Calibri" w:cs="Tahoma"/>
          <w:color w:val="1F497D"/>
          <w:szCs w:val="20"/>
          <w:lang w:val="it-IT"/>
        </w:rPr>
        <w:t xml:space="preserve"> </w:t>
      </w:r>
      <w:r w:rsidRPr="007B74B7">
        <w:rPr>
          <w:rFonts w:eastAsia="Calibri" w:cs="Tahoma"/>
          <w:szCs w:val="20"/>
          <w:lang w:val="it-IT"/>
        </w:rPr>
        <w:t xml:space="preserve">in grado di eseguire Windows 8 per la connessione a un desktop centralizzato senza dover acquistare nuovo hardware thin client. Le società idonee potranno utilizzare Windows Thin PC al posto di istanze di sistemi operativi desktop Windows che sono autorizzate a utilizzare in base alla copertura Software Assurance Windows, a licenze per Windows Intune </w:t>
      </w:r>
      <w:r w:rsidRPr="007B74B7">
        <w:rPr>
          <w:rFonts w:cs="Tahoma"/>
          <w:szCs w:val="18"/>
          <w:lang w:val="it-IT"/>
        </w:rPr>
        <w:t>(Per Dispositivo)</w:t>
      </w:r>
      <w:r w:rsidRPr="007B74B7">
        <w:rPr>
          <w:rFonts w:eastAsia="Calibri" w:cs="Tahoma"/>
          <w:color w:val="000000"/>
          <w:szCs w:val="20"/>
          <w:lang w:val="it-IT"/>
        </w:rPr>
        <w:t xml:space="preserve"> o per Windows </w:t>
      </w:r>
      <w:r w:rsidRPr="007B74B7">
        <w:rPr>
          <w:rFonts w:eastAsia="Calibri" w:cs="Tahoma"/>
          <w:szCs w:val="20"/>
          <w:lang w:val="it-IT"/>
        </w:rPr>
        <w:t>VDA. L</w:t>
      </w:r>
      <w:r w:rsidR="007A1415" w:rsidRPr="007B74B7">
        <w:rPr>
          <w:rFonts w:eastAsia="Calibri" w:cs="Tahoma"/>
          <w:szCs w:val="20"/>
          <w:lang w:val="it-IT"/>
        </w:rPr>
        <w:t>’</w:t>
      </w:r>
      <w:r w:rsidRPr="007B74B7">
        <w:rPr>
          <w:rFonts w:eastAsia="Calibri" w:cs="Tahoma"/>
          <w:szCs w:val="20"/>
          <w:lang w:val="it-IT"/>
        </w:rPr>
        <w:t>utilizzo di Windows Thin PC da parte delle società è soggetto alle condizioni del rispettivo contratto di licenza.</w:t>
      </w:r>
    </w:p>
    <w:p w:rsidR="00023FE7" w:rsidRPr="007B74B7" w:rsidRDefault="00023FE7" w:rsidP="0007218F">
      <w:pPr>
        <w:rPr>
          <w:lang w:val="it-IT"/>
        </w:rPr>
      </w:pPr>
    </w:p>
    <w:p w:rsidR="00F30075" w:rsidRPr="007B74B7" w:rsidRDefault="00F30075" w:rsidP="0007218F">
      <w:pPr>
        <w:outlineLvl w:val="2"/>
        <w:rPr>
          <w:lang w:val="it-IT"/>
        </w:rPr>
      </w:pPr>
      <w:bookmarkStart w:id="962" w:name="_Toc291204568"/>
      <w:r w:rsidRPr="007B74B7">
        <w:rPr>
          <w:rFonts w:cs="Tahoma"/>
          <w:b/>
          <w:sz w:val="24"/>
          <w:szCs w:val="20"/>
          <w:lang w:val="it-IT"/>
        </w:rPr>
        <w:t>Supporto Hotfix Esteso</w:t>
      </w:r>
      <w:bookmarkEnd w:id="962"/>
    </w:p>
    <w:p w:rsidR="00F30075" w:rsidRPr="007B74B7" w:rsidRDefault="00F30075" w:rsidP="0007218F">
      <w:pPr>
        <w:outlineLvl w:val="2"/>
        <w:rPr>
          <w:lang w:val="it-IT"/>
        </w:rPr>
      </w:pPr>
    </w:p>
    <w:p w:rsidR="00F30075" w:rsidRPr="007B74B7" w:rsidRDefault="00F30075" w:rsidP="00F30075">
      <w:pPr>
        <w:rPr>
          <w:lang w:val="it-IT"/>
        </w:rPr>
      </w:pPr>
      <w:r w:rsidRPr="007B74B7">
        <w:rPr>
          <w:rFonts w:cs="Tahoma"/>
          <w:lang w:val="it-IT"/>
        </w:rPr>
        <w:t>Supporto Hotfix Esteso è disponibile per le società seguenti:</w:t>
      </w:r>
    </w:p>
    <w:p w:rsidR="0007218F" w:rsidRPr="007B74B7" w:rsidRDefault="0007218F" w:rsidP="00F30075">
      <w:pPr>
        <w:rPr>
          <w:lang w:val="it-IT"/>
        </w:rPr>
      </w:pPr>
    </w:p>
    <w:p w:rsidR="00F30075" w:rsidRPr="007B74B7" w:rsidRDefault="00F30075" w:rsidP="007358C5">
      <w:pPr>
        <w:numPr>
          <w:ilvl w:val="0"/>
          <w:numId w:val="48"/>
        </w:numPr>
        <w:spacing w:after="60"/>
        <w:ind w:left="1440"/>
        <w:contextualSpacing/>
        <w:jc w:val="both"/>
        <w:rPr>
          <w:lang w:val="it-IT"/>
        </w:rPr>
      </w:pPr>
      <w:r w:rsidRPr="007B74B7">
        <w:rPr>
          <w:rFonts w:eastAsia="Calibri" w:cs="Tahoma"/>
          <w:szCs w:val="18"/>
          <w:lang w:val="it-IT"/>
        </w:rPr>
        <w:t>Le società che non dispongono di Contratti Academic Select, Select Plus for Academic, Campus e</w:t>
      </w:r>
      <w:r w:rsidR="00B15767" w:rsidRPr="007B74B7">
        <w:rPr>
          <w:rFonts w:eastAsia="Calibri" w:cs="Tahoma"/>
          <w:szCs w:val="18"/>
          <w:lang w:val="it-IT"/>
        </w:rPr>
        <w:t> </w:t>
      </w:r>
      <w:r w:rsidRPr="007B74B7">
        <w:rPr>
          <w:rFonts w:eastAsia="Calibri" w:cs="Tahoma"/>
          <w:szCs w:val="18"/>
          <w:lang w:val="it-IT"/>
        </w:rPr>
        <w:t>School e Open Value Subscription</w:t>
      </w:r>
      <w:r w:rsidR="00FD7C0D" w:rsidRPr="007B74B7">
        <w:rPr>
          <w:rFonts w:eastAsia="Calibri" w:cs="Tahoma"/>
          <w:szCs w:val="18"/>
          <w:lang w:val="it-IT"/>
        </w:rPr>
        <w:t xml:space="preserve"> – </w:t>
      </w:r>
      <w:r w:rsidRPr="007B74B7">
        <w:rPr>
          <w:rFonts w:eastAsia="Calibri" w:cs="Tahoma"/>
          <w:szCs w:val="18"/>
          <w:lang w:val="it-IT"/>
        </w:rPr>
        <w:t>Education Solutions, ma hanno la copertura Partecipazione a</w:t>
      </w:r>
      <w:r w:rsidR="00B15767" w:rsidRPr="007B74B7">
        <w:rPr>
          <w:rFonts w:eastAsia="Calibri" w:cs="Tahoma"/>
          <w:szCs w:val="18"/>
          <w:lang w:val="it-IT"/>
        </w:rPr>
        <w:t> </w:t>
      </w:r>
      <w:r w:rsidRPr="007B74B7">
        <w:rPr>
          <w:rFonts w:eastAsia="Calibri" w:cs="Tahoma"/>
          <w:szCs w:val="18"/>
          <w:lang w:val="it-IT"/>
        </w:rPr>
        <w:t xml:space="preserve">Software Assurance per il Pool di Applicazioni si qualificano per il Supporto Hotfix Esteso per </w:t>
      </w:r>
      <w:r w:rsidR="00B15767" w:rsidRPr="007B74B7">
        <w:rPr>
          <w:rFonts w:eastAsia="Calibri" w:cs="Tahoma"/>
          <w:szCs w:val="18"/>
          <w:lang w:val="it-IT"/>
        </w:rPr>
        <w:t>I </w:t>
      </w:r>
      <w:r w:rsidRPr="007B74B7">
        <w:rPr>
          <w:rFonts w:eastAsia="Calibri" w:cs="Tahoma"/>
          <w:szCs w:val="18"/>
          <w:lang w:val="it-IT"/>
        </w:rPr>
        <w:t xml:space="preserve">prodotti del pool di Applicazioni. </w:t>
      </w:r>
    </w:p>
    <w:p w:rsidR="00F30075" w:rsidRPr="007B74B7" w:rsidRDefault="00F30075" w:rsidP="007358C5">
      <w:pPr>
        <w:numPr>
          <w:ilvl w:val="0"/>
          <w:numId w:val="48"/>
        </w:numPr>
        <w:spacing w:after="60"/>
        <w:ind w:left="1440"/>
        <w:jc w:val="both"/>
        <w:rPr>
          <w:lang w:val="it-IT"/>
        </w:rPr>
      </w:pPr>
      <w:r w:rsidRPr="007B74B7">
        <w:rPr>
          <w:rFonts w:cs="Tahoma"/>
          <w:szCs w:val="18"/>
          <w:lang w:val="it-IT"/>
        </w:rPr>
        <w:t>Le società che non dispongono di Contratti Academic Select, Select Plus for Academic, Campus e</w:t>
      </w:r>
      <w:r w:rsidR="00B15767" w:rsidRPr="007B74B7">
        <w:rPr>
          <w:rFonts w:cs="Tahoma"/>
          <w:szCs w:val="18"/>
          <w:lang w:val="it-IT"/>
        </w:rPr>
        <w:t> </w:t>
      </w:r>
      <w:r w:rsidRPr="007B74B7">
        <w:rPr>
          <w:rFonts w:cs="Tahoma"/>
          <w:szCs w:val="18"/>
          <w:lang w:val="it-IT"/>
        </w:rPr>
        <w:t>School e Open Value Subscription</w:t>
      </w:r>
      <w:r w:rsidR="00FD7C0D" w:rsidRPr="007B74B7">
        <w:rPr>
          <w:rFonts w:cs="Tahoma"/>
          <w:szCs w:val="18"/>
          <w:lang w:val="it-IT"/>
        </w:rPr>
        <w:t xml:space="preserve"> – </w:t>
      </w:r>
      <w:r w:rsidRPr="007B74B7">
        <w:rPr>
          <w:rFonts w:cs="Tahoma"/>
          <w:szCs w:val="18"/>
          <w:lang w:val="it-IT"/>
        </w:rPr>
        <w:t>Education Solutions, ma hanno la copertura Partecipazione a</w:t>
      </w:r>
      <w:r w:rsidR="00B15767" w:rsidRPr="007B74B7">
        <w:rPr>
          <w:rFonts w:cs="Tahoma"/>
          <w:szCs w:val="18"/>
          <w:lang w:val="it-IT"/>
        </w:rPr>
        <w:t> </w:t>
      </w:r>
      <w:r w:rsidRPr="007B74B7">
        <w:rPr>
          <w:rFonts w:cs="Tahoma"/>
          <w:szCs w:val="18"/>
          <w:lang w:val="it-IT"/>
        </w:rPr>
        <w:t>Software Assurance per il pool di Sistemi si qualificano per il Supporto Hotfix Esteso per il sistema operativo desktop Windows.</w:t>
      </w:r>
    </w:p>
    <w:p w:rsidR="00F30075" w:rsidRPr="007B74B7" w:rsidRDefault="00F30075" w:rsidP="007358C5">
      <w:pPr>
        <w:numPr>
          <w:ilvl w:val="0"/>
          <w:numId w:val="48"/>
        </w:numPr>
        <w:spacing w:after="60"/>
        <w:ind w:left="1440"/>
        <w:jc w:val="both"/>
        <w:rPr>
          <w:lang w:val="it-IT"/>
        </w:rPr>
      </w:pPr>
      <w:r w:rsidRPr="007B74B7">
        <w:rPr>
          <w:rFonts w:cs="Tahoma"/>
          <w:szCs w:val="18"/>
          <w:lang w:val="it-IT"/>
        </w:rPr>
        <w:t>Le società che dispongono di abbonamenti per Windows Intune (Per Dispositivo) si qualificano per il Supporto Hotfix Esteso per il sistema operativo desktop Windows.</w:t>
      </w:r>
    </w:p>
    <w:p w:rsidR="0007218F" w:rsidRPr="00BD7CEA" w:rsidRDefault="007627B7" w:rsidP="007358C5">
      <w:pPr>
        <w:numPr>
          <w:ilvl w:val="0"/>
          <w:numId w:val="48"/>
        </w:numPr>
        <w:spacing w:after="60"/>
        <w:ind w:left="1440"/>
        <w:contextualSpacing/>
      </w:pPr>
      <w:r w:rsidRPr="007B74B7">
        <w:rPr>
          <w:rFonts w:eastAsia="Calibri" w:cs="Tahoma"/>
          <w:szCs w:val="18"/>
          <w:lang w:val="it-IT"/>
        </w:rPr>
        <w:t>Le società (che non sono società Academic) in possesso di Software Assurance per almeno un prodotto server si qualificano per il Supporto Hotfix Esteso per i prodotti Server.</w:t>
      </w:r>
      <w:r w:rsidR="008D782D" w:rsidRPr="007B74B7">
        <w:rPr>
          <w:rFonts w:eastAsia="Calibri" w:cs="Tahoma"/>
          <w:szCs w:val="18"/>
          <w:lang w:val="it-IT"/>
        </w:rPr>
        <w:t xml:space="preserve"> </w:t>
      </w:r>
      <w:r w:rsidRPr="00BD7CEA">
        <w:rPr>
          <w:rFonts w:cs="Tahoma"/>
          <w:szCs w:val="18"/>
        </w:rPr>
        <w:t>I seguenti prodotti server rientrano nella copertura:</w:t>
      </w:r>
    </w:p>
    <w:p w:rsidR="007627B7" w:rsidRPr="00BD7CEA" w:rsidRDefault="007627B7" w:rsidP="007358C5">
      <w:pPr>
        <w:numPr>
          <w:ilvl w:val="2"/>
          <w:numId w:val="48"/>
        </w:numPr>
        <w:spacing w:after="60"/>
        <w:ind w:left="1980"/>
        <w:contextualSpacing/>
      </w:pPr>
      <w:r w:rsidRPr="00BD7CEA">
        <w:rPr>
          <w:rFonts w:cs="Tahoma"/>
          <w:iCs/>
          <w:color w:val="000000"/>
          <w:szCs w:val="18"/>
        </w:rPr>
        <w:t>Microsoft Exchange Server, Microsoft SQL Server, System Center 2012 e Windows Server.</w:t>
      </w:r>
    </w:p>
    <w:p w:rsidR="0007218F" w:rsidRPr="00BD7CEA" w:rsidRDefault="0007218F" w:rsidP="0007218F">
      <w:pPr>
        <w:spacing w:after="200" w:line="276" w:lineRule="auto"/>
        <w:contextualSpacing/>
      </w:pPr>
    </w:p>
    <w:p w:rsidR="00023FE7" w:rsidRPr="007B74B7" w:rsidRDefault="00023FE7">
      <w:pPr>
        <w:rPr>
          <w:lang w:val="it-IT"/>
        </w:rPr>
      </w:pPr>
      <w:r w:rsidRPr="007B74B7">
        <w:rPr>
          <w:rFonts w:cs="Tahoma"/>
          <w:szCs w:val="18"/>
          <w:lang w:val="it-IT"/>
        </w:rPr>
        <w:t>Il Supporto Hotfix Esteso è un beneficio per versioni software più vecchie che abbiano effettuato la transizione dal Supporto Mainstream a quello Esteso.</w:t>
      </w:r>
      <w:r w:rsidR="008D782D" w:rsidRPr="007B74B7">
        <w:rPr>
          <w:rFonts w:cs="Tahoma"/>
          <w:szCs w:val="18"/>
          <w:lang w:val="it-IT"/>
        </w:rPr>
        <w:t xml:space="preserve"> </w:t>
      </w:r>
      <w:r w:rsidRPr="007B74B7">
        <w:rPr>
          <w:rFonts w:cs="Tahoma"/>
          <w:szCs w:val="18"/>
          <w:lang w:val="it-IT"/>
        </w:rPr>
        <w:t>I corrispettivi annuali normalmente addebitati nel quadro del contratto di Supporto Esteso sono sospesi durante il periodo di validità della copertura Software Server per le società idonee a</w:t>
      </w:r>
      <w:r w:rsidR="00B15767" w:rsidRPr="007B74B7">
        <w:rPr>
          <w:rFonts w:cs="Tahoma"/>
          <w:szCs w:val="18"/>
          <w:lang w:val="it-IT"/>
        </w:rPr>
        <w:t> </w:t>
      </w:r>
      <w:r w:rsidRPr="007B74B7">
        <w:rPr>
          <w:rFonts w:cs="Tahoma"/>
          <w:szCs w:val="18"/>
          <w:lang w:val="it-IT"/>
        </w:rPr>
        <w:t>ricevere questo beneficio Software Assurance. Le società idonee a ricevere questo beneficio non avranno l</w:t>
      </w:r>
      <w:r w:rsidR="007A1415" w:rsidRPr="007B74B7">
        <w:rPr>
          <w:rFonts w:cs="Tahoma"/>
          <w:szCs w:val="18"/>
          <w:lang w:val="it-IT"/>
        </w:rPr>
        <w:t>’</w:t>
      </w:r>
      <w:r w:rsidRPr="007B74B7">
        <w:rPr>
          <w:rFonts w:cs="Tahoma"/>
          <w:szCs w:val="18"/>
          <w:lang w:val="it-IT"/>
        </w:rPr>
        <w:t>obbligo di abbonarsi entro un periodo di 90 giorni di transizione del prodotto al Supporto Esteso.</w:t>
      </w:r>
      <w:r w:rsidR="008D782D" w:rsidRPr="007B74B7">
        <w:rPr>
          <w:rFonts w:cs="Tahoma"/>
          <w:szCs w:val="18"/>
          <w:lang w:val="it-IT"/>
        </w:rPr>
        <w:t xml:space="preserve"> </w:t>
      </w:r>
    </w:p>
    <w:p w:rsidR="00023FE7" w:rsidRPr="007B74B7" w:rsidRDefault="00023FE7">
      <w:pPr>
        <w:rPr>
          <w:lang w:val="it-IT"/>
        </w:rPr>
      </w:pPr>
    </w:p>
    <w:p w:rsidR="00023FE7" w:rsidRPr="007B74B7" w:rsidRDefault="00023FE7">
      <w:pPr>
        <w:rPr>
          <w:lang w:val="it-IT"/>
        </w:rPr>
      </w:pPr>
      <w:r w:rsidRPr="007B74B7">
        <w:rPr>
          <w:rFonts w:cs="Tahoma"/>
          <w:szCs w:val="18"/>
          <w:lang w:val="it-IT"/>
        </w:rPr>
        <w:t>Le società sono comunque responsabili dei corrispettivi delle singole Hotfix.</w:t>
      </w:r>
      <w:r w:rsidR="008D782D" w:rsidRPr="007B74B7">
        <w:rPr>
          <w:rFonts w:cs="Tahoma"/>
          <w:szCs w:val="18"/>
          <w:lang w:val="it-IT"/>
        </w:rPr>
        <w:t xml:space="preserve"> </w:t>
      </w:r>
      <w:r w:rsidRPr="007B74B7">
        <w:rPr>
          <w:rFonts w:cs="Tahoma"/>
          <w:szCs w:val="18"/>
          <w:lang w:val="it-IT"/>
        </w:rPr>
        <w:t>Un contratto Premier o Essential costituisce condizione preliminare per l</w:t>
      </w:r>
      <w:r w:rsidR="007A1415" w:rsidRPr="007B74B7">
        <w:rPr>
          <w:rFonts w:cs="Tahoma"/>
          <w:szCs w:val="18"/>
          <w:lang w:val="it-IT"/>
        </w:rPr>
        <w:t>’</w:t>
      </w:r>
      <w:r w:rsidRPr="007B74B7">
        <w:rPr>
          <w:rFonts w:cs="Tahoma"/>
          <w:szCs w:val="18"/>
          <w:lang w:val="it-IT"/>
        </w:rPr>
        <w:t>idoneità.</w:t>
      </w:r>
    </w:p>
    <w:p w:rsidR="000429EF" w:rsidRPr="007B74B7" w:rsidRDefault="000429EF">
      <w:pPr>
        <w:pStyle w:val="Heading3"/>
        <w:rPr>
          <w:lang w:val="it-IT"/>
        </w:rPr>
      </w:pPr>
    </w:p>
    <w:p w:rsidR="00023FE7" w:rsidRPr="00BD7CEA" w:rsidRDefault="00023FE7">
      <w:pPr>
        <w:pStyle w:val="Heading3"/>
      </w:pPr>
      <w:bookmarkStart w:id="963" w:name="_Toc336338244"/>
      <w:bookmarkStart w:id="964" w:name="_Toc353376024"/>
      <w:r w:rsidRPr="00BD7CEA">
        <w:rPr>
          <w:rFonts w:ascii="Tahoma" w:hAnsi="Tahoma" w:cs="Tahoma"/>
          <w:sz w:val="24"/>
        </w:rPr>
        <w:t>Microsoft Desktop Optimization Pack per Software Assurance</w:t>
      </w:r>
      <w:bookmarkEnd w:id="963"/>
      <w:bookmarkEnd w:id="964"/>
    </w:p>
    <w:p w:rsidR="00023FE7" w:rsidRPr="00BD7CEA" w:rsidRDefault="00023FE7"/>
    <w:p w:rsidR="00F30075" w:rsidRPr="007B74B7" w:rsidRDefault="00F30075" w:rsidP="00F30075">
      <w:pPr>
        <w:rPr>
          <w:lang w:val="it-IT"/>
        </w:rPr>
      </w:pPr>
      <w:r w:rsidRPr="007B74B7">
        <w:rPr>
          <w:rFonts w:eastAsia="MS PGothic" w:cs="Tahoma"/>
          <w:szCs w:val="18"/>
          <w:lang w:val="it-IT"/>
        </w:rPr>
        <w:t>Microsoft Desktop Optimization Pack per Software Assurance (MDOP) è un acquisto opzionale a disposizione unicamente delle società che dispongono delle seguenti caratteristiche:</w:t>
      </w:r>
    </w:p>
    <w:p w:rsidR="00E762F8" w:rsidRPr="007B74B7" w:rsidRDefault="00E762F8" w:rsidP="00F30075">
      <w:pPr>
        <w:rPr>
          <w:lang w:val="it-IT"/>
        </w:rPr>
      </w:pPr>
    </w:p>
    <w:p w:rsidR="00F30075" w:rsidRPr="007B74B7" w:rsidRDefault="00F30075" w:rsidP="007358C5">
      <w:pPr>
        <w:numPr>
          <w:ilvl w:val="0"/>
          <w:numId w:val="47"/>
        </w:numPr>
        <w:spacing w:after="60" w:line="276" w:lineRule="auto"/>
        <w:ind w:left="1440" w:hanging="274"/>
        <w:rPr>
          <w:lang w:val="it-IT"/>
        </w:rPr>
      </w:pPr>
      <w:r w:rsidRPr="007B74B7">
        <w:rPr>
          <w:rFonts w:eastAsia="MS PGothic" w:cs="Tahoma"/>
          <w:szCs w:val="18"/>
          <w:lang w:val="it-IT"/>
        </w:rPr>
        <w:t>copertura Software Assurance Attiva per le licenze del sistema operativo desktop Windows;</w:t>
      </w:r>
    </w:p>
    <w:p w:rsidR="00F30075" w:rsidRPr="007B74B7" w:rsidRDefault="00F30075" w:rsidP="007358C5">
      <w:pPr>
        <w:numPr>
          <w:ilvl w:val="0"/>
          <w:numId w:val="47"/>
        </w:numPr>
        <w:spacing w:after="60" w:line="276" w:lineRule="auto"/>
        <w:ind w:left="1440" w:hanging="274"/>
        <w:rPr>
          <w:lang w:val="it-IT"/>
        </w:rPr>
      </w:pPr>
      <w:r w:rsidRPr="007B74B7">
        <w:rPr>
          <w:rFonts w:eastAsia="MS PGothic" w:cs="Tahoma"/>
          <w:szCs w:val="18"/>
          <w:lang w:val="it-IT"/>
        </w:rPr>
        <w:t>sottoscrizioni attive per Windows Virtual Desktop Access o</w:t>
      </w:r>
    </w:p>
    <w:p w:rsidR="00F30075" w:rsidRPr="007B74B7" w:rsidRDefault="00F30075" w:rsidP="007358C5">
      <w:pPr>
        <w:numPr>
          <w:ilvl w:val="0"/>
          <w:numId w:val="47"/>
        </w:numPr>
        <w:spacing w:after="60" w:line="276" w:lineRule="auto"/>
        <w:ind w:left="1440" w:hanging="274"/>
        <w:rPr>
          <w:lang w:val="it-IT"/>
        </w:rPr>
      </w:pPr>
      <w:r w:rsidRPr="007B74B7">
        <w:rPr>
          <w:rFonts w:eastAsia="MS PGothic" w:cs="Tahoma"/>
          <w:szCs w:val="18"/>
          <w:lang w:val="it-IT"/>
        </w:rPr>
        <w:t xml:space="preserve">sottoscrizioni attive per Windows Intune </w:t>
      </w:r>
      <w:r w:rsidRPr="007B74B7">
        <w:rPr>
          <w:rFonts w:cs="Tahoma"/>
          <w:szCs w:val="18"/>
          <w:lang w:val="it-IT"/>
        </w:rPr>
        <w:t>(Per Dispositivo) o</w:t>
      </w:r>
    </w:p>
    <w:p w:rsidR="00421D4A" w:rsidRPr="007B74B7" w:rsidRDefault="00421D4A" w:rsidP="007358C5">
      <w:pPr>
        <w:numPr>
          <w:ilvl w:val="0"/>
          <w:numId w:val="47"/>
        </w:numPr>
        <w:spacing w:after="200" w:line="276" w:lineRule="auto"/>
        <w:ind w:left="1440" w:hanging="270"/>
        <w:rPr>
          <w:lang w:val="it-IT"/>
        </w:rPr>
      </w:pPr>
      <w:r w:rsidRPr="007B74B7">
        <w:rPr>
          <w:rFonts w:eastAsia="MS PGothic" w:cs="Tahoma"/>
          <w:color w:val="000000"/>
          <w:szCs w:val="18"/>
          <w:lang w:val="it-IT"/>
        </w:rPr>
        <w:t xml:space="preserve">sottoscrizioni attive per la </w:t>
      </w:r>
      <w:r w:rsidRPr="007B74B7">
        <w:rPr>
          <w:rFonts w:eastAsia="MS PGothic" w:cs="Tahoma"/>
          <w:szCs w:val="18"/>
          <w:lang w:val="it-IT"/>
        </w:rPr>
        <w:t>Licenza “Subscription” per Windows Companion</w:t>
      </w:r>
    </w:p>
    <w:p w:rsidR="00023FE7" w:rsidRPr="007B74B7" w:rsidRDefault="008C0608">
      <w:pPr>
        <w:rPr>
          <w:lang w:val="it-IT"/>
        </w:rPr>
      </w:pPr>
      <w:r w:rsidRPr="007B74B7">
        <w:rPr>
          <w:rFonts w:eastAsia="MS PGothic" w:cs="Tahoma"/>
          <w:szCs w:val="18"/>
          <w:lang w:val="it-IT"/>
        </w:rPr>
        <w:t xml:space="preserve"> </w:t>
      </w:r>
    </w:p>
    <w:p w:rsidR="00023FE7" w:rsidRPr="007B74B7" w:rsidRDefault="00023FE7">
      <w:pPr>
        <w:rPr>
          <w:lang w:val="it-IT"/>
        </w:rPr>
      </w:pPr>
      <w:r w:rsidRPr="007B74B7">
        <w:rPr>
          <w:rFonts w:eastAsia="MS PGothic" w:cs="Tahoma"/>
          <w:color w:val="000000"/>
          <w:szCs w:val="18"/>
          <w:lang w:val="it-IT"/>
        </w:rPr>
        <w:t>Per ulteriori informazioni su questo prodotto fare riferimento alle Note del Prodotto nella sezione relativa ai gruppi di</w:t>
      </w:r>
      <w:r w:rsidR="00B15767" w:rsidRPr="007B74B7">
        <w:rPr>
          <w:rFonts w:eastAsia="MS PGothic" w:cs="Tahoma"/>
          <w:color w:val="000000"/>
          <w:szCs w:val="18"/>
          <w:lang w:val="it-IT"/>
        </w:rPr>
        <w:t> </w:t>
      </w:r>
      <w:r w:rsidRPr="007B74B7">
        <w:rPr>
          <w:rFonts w:eastAsia="MS PGothic" w:cs="Tahoma"/>
          <w:color w:val="000000"/>
          <w:szCs w:val="18"/>
          <w:lang w:val="it-IT"/>
        </w:rPr>
        <w:t xml:space="preserve">sistemi del presente documento. </w:t>
      </w:r>
    </w:p>
    <w:p w:rsidR="00023FE7" w:rsidRPr="007B74B7" w:rsidRDefault="00023FE7">
      <w:pPr>
        <w:rPr>
          <w:lang w:val="it-IT"/>
        </w:rPr>
      </w:pPr>
    </w:p>
    <w:p w:rsidR="00B15767" w:rsidRPr="007B74B7" w:rsidRDefault="00B15767">
      <w:pPr>
        <w:rPr>
          <w:lang w:val="it-IT"/>
        </w:rPr>
      </w:pPr>
    </w:p>
    <w:p w:rsidR="00B15767" w:rsidRPr="007B74B7" w:rsidRDefault="00B15767">
      <w:pPr>
        <w:rPr>
          <w:lang w:val="it-IT"/>
        </w:rPr>
      </w:pPr>
    </w:p>
    <w:p w:rsidR="00B15767" w:rsidRPr="007B74B7" w:rsidRDefault="00B15767">
      <w:pPr>
        <w:rPr>
          <w:lang w:val="it-IT"/>
        </w:rPr>
      </w:pPr>
    </w:p>
    <w:p w:rsidR="00B15767" w:rsidRPr="007B74B7" w:rsidRDefault="00B15767">
      <w:pPr>
        <w:rPr>
          <w:lang w:val="it-IT"/>
        </w:rPr>
      </w:pPr>
    </w:p>
    <w:p w:rsidR="00B15767" w:rsidRPr="007B74B7" w:rsidRDefault="00B15767">
      <w:pPr>
        <w:rPr>
          <w:lang w:val="it-IT"/>
        </w:rPr>
      </w:pPr>
    </w:p>
    <w:p w:rsidR="00B15767" w:rsidRPr="007B74B7" w:rsidRDefault="00B15767">
      <w:pPr>
        <w:rPr>
          <w:lang w:val="it-IT"/>
        </w:rPr>
      </w:pPr>
    </w:p>
    <w:p w:rsidR="00B15767" w:rsidRPr="007B74B7" w:rsidRDefault="00B15767">
      <w:pPr>
        <w:rPr>
          <w:lang w:val="it-IT"/>
        </w:rPr>
      </w:pPr>
    </w:p>
    <w:p w:rsidR="002D7B73" w:rsidRPr="007B74B7" w:rsidRDefault="008C0608" w:rsidP="002D7B73">
      <w:pPr>
        <w:rPr>
          <w:lang w:val="it-IT"/>
        </w:rPr>
      </w:pPr>
      <w:r w:rsidRPr="007B74B7">
        <w:rPr>
          <w:rFonts w:cs="Tahoma"/>
          <w:b/>
          <w:color w:val="000000"/>
          <w:sz w:val="24"/>
          <w:szCs w:val="18"/>
          <w:lang w:val="it-IT"/>
        </w:rPr>
        <w:lastRenderedPageBreak/>
        <w:t>Diritti di Virtualizzazione per i Desktop con Licenza Windows</w:t>
      </w:r>
    </w:p>
    <w:p w:rsidR="0043735F" w:rsidRPr="007B74B7" w:rsidRDefault="0043735F" w:rsidP="008C0608">
      <w:pPr>
        <w:rPr>
          <w:lang w:val="it-IT"/>
        </w:rPr>
      </w:pPr>
    </w:p>
    <w:p w:rsidR="008C0608" w:rsidRPr="007B74B7" w:rsidRDefault="008C0608" w:rsidP="008C0608">
      <w:pPr>
        <w:rPr>
          <w:lang w:val="it-IT"/>
        </w:rPr>
      </w:pPr>
      <w:r w:rsidRPr="007B74B7">
        <w:rPr>
          <w:rFonts w:cs="Tahoma"/>
          <w:color w:val="000000"/>
          <w:szCs w:val="18"/>
          <w:lang w:val="it-IT"/>
        </w:rPr>
        <w:t>Le società che hanno stipulato Contratti Multilicenza dispongono di un certo grado di flessibilità in merito alla modalità di distribuzione di Windows 8 tra le diverse organizzazioni.</w:t>
      </w:r>
      <w:r w:rsidR="008D782D" w:rsidRPr="007B74B7">
        <w:rPr>
          <w:rFonts w:cs="Tahoma"/>
          <w:color w:val="000000"/>
          <w:szCs w:val="18"/>
          <w:lang w:val="it-IT"/>
        </w:rPr>
        <w:t xml:space="preserve"> </w:t>
      </w:r>
    </w:p>
    <w:p w:rsidR="008C0608" w:rsidRPr="007B74B7" w:rsidRDefault="008C0608" w:rsidP="008C0608">
      <w:pPr>
        <w:jc w:val="both"/>
        <w:rPr>
          <w:lang w:val="it-IT"/>
        </w:rPr>
      </w:pPr>
      <w:r w:rsidRPr="007B74B7">
        <w:rPr>
          <w:rFonts w:cs="Tahoma"/>
          <w:szCs w:val="18"/>
          <w:lang w:val="it-IT"/>
        </w:rPr>
        <w:t>Le società che dispongono di una o entrambe le seguenti caratteristiche potranno usufruire dei diritti sull</w:t>
      </w:r>
      <w:r w:rsidR="007A1415" w:rsidRPr="007B74B7">
        <w:rPr>
          <w:rFonts w:cs="Tahoma"/>
          <w:szCs w:val="18"/>
          <w:lang w:val="it-IT"/>
        </w:rPr>
        <w:t>’</w:t>
      </w:r>
      <w:r w:rsidRPr="007B74B7">
        <w:rPr>
          <w:rFonts w:cs="Tahoma"/>
          <w:szCs w:val="18"/>
          <w:lang w:val="it-IT"/>
        </w:rPr>
        <w:t xml:space="preserve">utilizzo </w:t>
      </w:r>
      <w:r w:rsidR="00D45A36" w:rsidRPr="007B74B7">
        <w:rPr>
          <w:rFonts w:cs="Tahoma"/>
          <w:szCs w:val="18"/>
          <w:lang w:val="it-IT"/>
        </w:rPr>
        <w:br/>
      </w:r>
      <w:r w:rsidRPr="007B74B7">
        <w:rPr>
          <w:rFonts w:cs="Tahoma"/>
          <w:szCs w:val="18"/>
          <w:lang w:val="it-IT"/>
        </w:rPr>
        <w:t>della virtualizzazione:</w:t>
      </w:r>
    </w:p>
    <w:p w:rsidR="00BF1889" w:rsidRPr="007B74B7" w:rsidRDefault="00BF1889" w:rsidP="008C0608">
      <w:pPr>
        <w:jc w:val="both"/>
        <w:rPr>
          <w:lang w:val="it-IT"/>
        </w:rPr>
      </w:pPr>
    </w:p>
    <w:p w:rsidR="00F30075" w:rsidRPr="007B74B7" w:rsidRDefault="00F30075" w:rsidP="007358C5">
      <w:pPr>
        <w:numPr>
          <w:ilvl w:val="0"/>
          <w:numId w:val="39"/>
        </w:numPr>
        <w:spacing w:after="60" w:line="276" w:lineRule="auto"/>
        <w:ind w:left="1440"/>
        <w:rPr>
          <w:lang w:val="it-IT"/>
        </w:rPr>
      </w:pPr>
      <w:r w:rsidRPr="007B74B7">
        <w:rPr>
          <w:rFonts w:eastAsia="MS PGothic" w:cs="Tahoma"/>
          <w:szCs w:val="18"/>
          <w:lang w:val="it-IT"/>
        </w:rPr>
        <w:t>copertura Software Assurance Attiva per le licenze del sistema operativo desktop Windows;</w:t>
      </w:r>
    </w:p>
    <w:p w:rsidR="00AC246A" w:rsidRPr="007B74B7" w:rsidRDefault="00F30075" w:rsidP="007358C5">
      <w:pPr>
        <w:numPr>
          <w:ilvl w:val="0"/>
          <w:numId w:val="39"/>
        </w:numPr>
        <w:spacing w:after="60" w:line="276" w:lineRule="auto"/>
        <w:ind w:left="1440"/>
        <w:jc w:val="both"/>
        <w:rPr>
          <w:lang w:val="it-IT"/>
        </w:rPr>
      </w:pPr>
      <w:r w:rsidRPr="007B74B7">
        <w:rPr>
          <w:rFonts w:cs="Tahoma"/>
          <w:szCs w:val="18"/>
          <w:lang w:val="it-IT"/>
        </w:rPr>
        <w:t>vantaggio dei Servizi Online fornito insieme agli acquisti di Windows Intune (Per Dispositivo)</w:t>
      </w:r>
    </w:p>
    <w:p w:rsidR="00F30075" w:rsidRPr="007B74B7" w:rsidRDefault="00F30075" w:rsidP="007358C5">
      <w:pPr>
        <w:numPr>
          <w:ilvl w:val="0"/>
          <w:numId w:val="39"/>
        </w:numPr>
        <w:spacing w:after="60" w:line="276" w:lineRule="auto"/>
        <w:ind w:left="1440"/>
        <w:jc w:val="both"/>
        <w:rPr>
          <w:lang w:val="it-IT"/>
        </w:rPr>
      </w:pPr>
      <w:r w:rsidRPr="007B74B7">
        <w:rPr>
          <w:rFonts w:cs="Tahoma"/>
          <w:szCs w:val="18"/>
          <w:lang w:val="it-IT"/>
        </w:rPr>
        <w:t>sottoscrizioni attive per Windows Intune (Per Dispositivo)</w:t>
      </w:r>
    </w:p>
    <w:p w:rsidR="00F30075" w:rsidRPr="007B74B7" w:rsidRDefault="00F30075" w:rsidP="008C0608">
      <w:pPr>
        <w:rPr>
          <w:lang w:val="it-IT"/>
        </w:rPr>
      </w:pPr>
    </w:p>
    <w:p w:rsidR="002D7B73" w:rsidRPr="007B74B7" w:rsidRDefault="002D7B73" w:rsidP="008C0608">
      <w:pPr>
        <w:rPr>
          <w:lang w:val="it-IT"/>
        </w:rPr>
      </w:pPr>
      <w:r w:rsidRPr="007B74B7">
        <w:rPr>
          <w:rFonts w:cs="Tahoma"/>
          <w:color w:val="000000"/>
          <w:szCs w:val="18"/>
          <w:lang w:val="it-IT"/>
        </w:rPr>
        <w:t>Tale diritto di utilizzo consente di eseguire il software su un massimo di quattro macchine virtuali locali.</w:t>
      </w:r>
      <w:r w:rsidR="008D782D" w:rsidRPr="007B74B7">
        <w:rPr>
          <w:rFonts w:cs="Tahoma"/>
          <w:color w:val="000000"/>
          <w:szCs w:val="18"/>
          <w:lang w:val="it-IT"/>
        </w:rPr>
        <w:t xml:space="preserve"> </w:t>
      </w:r>
      <w:r w:rsidRPr="007B74B7">
        <w:rPr>
          <w:rFonts w:cs="Tahoma"/>
          <w:color w:val="000000"/>
          <w:szCs w:val="18"/>
          <w:lang w:val="it-IT"/>
        </w:rPr>
        <w:t>Mentre il diritto di utilizzo di Windows 8 Enterprise potrà mantenere validità anche dopo la scadenza della copertura Software Assurance, il Diritto di Utilizzo della Virtualizzazione cesserà. Per ulteriori informazioni sui diritti di utilizzo, l</w:t>
      </w:r>
      <w:r w:rsidR="007A1415" w:rsidRPr="007B74B7">
        <w:rPr>
          <w:rFonts w:cs="Tahoma"/>
          <w:color w:val="000000"/>
          <w:szCs w:val="18"/>
          <w:lang w:val="it-IT"/>
        </w:rPr>
        <w:t>’</w:t>
      </w:r>
      <w:r w:rsidRPr="007B74B7">
        <w:rPr>
          <w:rFonts w:cs="Tahoma"/>
          <w:color w:val="000000"/>
          <w:szCs w:val="18"/>
          <w:lang w:val="it-IT"/>
        </w:rPr>
        <w:t>utente dovrà fare riferimento al documento Diritti di Utilizzo del Prodotto.</w:t>
      </w:r>
    </w:p>
    <w:p w:rsidR="00C831EC" w:rsidRPr="007B74B7" w:rsidRDefault="00C831EC" w:rsidP="002D7B73">
      <w:pPr>
        <w:pStyle w:val="Heading3"/>
        <w:rPr>
          <w:lang w:val="it-IT"/>
        </w:rPr>
      </w:pPr>
      <w:bookmarkStart w:id="965" w:name="_Toc257907651"/>
      <w:bookmarkStart w:id="966" w:name="_Toc233026785"/>
    </w:p>
    <w:p w:rsidR="002D7B73" w:rsidRPr="007B74B7" w:rsidRDefault="002D7B73" w:rsidP="002D7B73">
      <w:pPr>
        <w:pStyle w:val="Heading3"/>
        <w:rPr>
          <w:lang w:val="it-IT"/>
        </w:rPr>
      </w:pPr>
      <w:bookmarkStart w:id="967" w:name="_Toc336338245"/>
      <w:bookmarkStart w:id="968" w:name="_Toc353376025"/>
      <w:r w:rsidRPr="007B74B7">
        <w:rPr>
          <w:rFonts w:ascii="Tahoma" w:hAnsi="Tahoma"/>
          <w:color w:val="000000"/>
          <w:sz w:val="24"/>
          <w:lang w:val="it-IT"/>
        </w:rPr>
        <w:t>Diritti per</w:t>
      </w:r>
      <w:bookmarkEnd w:id="965"/>
      <w:r w:rsidRPr="007B74B7">
        <w:rPr>
          <w:rFonts w:ascii="Tahoma" w:hAnsi="Tahoma"/>
          <w:color w:val="000000"/>
          <w:sz w:val="24"/>
          <w:lang w:val="it-IT"/>
        </w:rPr>
        <w:t xml:space="preserve"> Windows Virtual Desktop Access (VDA)</w:t>
      </w:r>
      <w:bookmarkEnd w:id="967"/>
      <w:bookmarkEnd w:id="968"/>
    </w:p>
    <w:p w:rsidR="002D7B73" w:rsidRPr="007B74B7" w:rsidRDefault="002D7B73" w:rsidP="002D7B73">
      <w:pPr>
        <w:rPr>
          <w:lang w:val="it-IT"/>
        </w:rPr>
      </w:pPr>
    </w:p>
    <w:p w:rsidR="00EC5C9D" w:rsidRPr="007B74B7" w:rsidRDefault="00EC5C9D" w:rsidP="00EC5C9D">
      <w:pPr>
        <w:rPr>
          <w:lang w:val="it-IT"/>
        </w:rPr>
      </w:pPr>
      <w:r w:rsidRPr="007B74B7">
        <w:rPr>
          <w:rFonts w:eastAsia="Calibri" w:cs="Tahoma"/>
          <w:color w:val="000000"/>
          <w:szCs w:val="18"/>
          <w:lang w:val="it-IT"/>
        </w:rPr>
        <w:t xml:space="preserve">I diritti per Windows VDA sono disponibili per le società con copertura Software Assurance per il sistema operativo desktop Windows e per le società con licenza per Windows Intune </w:t>
      </w:r>
      <w:r w:rsidRPr="007B74B7">
        <w:rPr>
          <w:rFonts w:cs="Tahoma"/>
          <w:szCs w:val="18"/>
          <w:lang w:val="it-IT"/>
        </w:rPr>
        <w:t>(Per Dispositivo)</w:t>
      </w:r>
      <w:r w:rsidRPr="007B74B7">
        <w:rPr>
          <w:rFonts w:eastAsia="Calibri" w:cs="Tahoma"/>
          <w:color w:val="000000"/>
          <w:szCs w:val="18"/>
          <w:lang w:val="it-IT"/>
        </w:rPr>
        <w:t>.</w:t>
      </w:r>
      <w:r w:rsidR="008D782D" w:rsidRPr="007B74B7">
        <w:rPr>
          <w:rFonts w:eastAsia="Calibri" w:cs="Tahoma"/>
          <w:color w:val="000000"/>
          <w:szCs w:val="18"/>
          <w:lang w:val="it-IT"/>
        </w:rPr>
        <w:t xml:space="preserve"> </w:t>
      </w:r>
      <w:r w:rsidRPr="007B74B7">
        <w:rPr>
          <w:rFonts w:eastAsia="Calibri" w:cs="Tahoma"/>
          <w:color w:val="000000"/>
          <w:szCs w:val="18"/>
          <w:lang w:val="it-IT"/>
        </w:rPr>
        <w:t>Sono disponibili anche come licenza “Subscription” distinta. Windows VDA avvantaggia le società intenzionate a distribuire Windows con l</w:t>
      </w:r>
      <w:r w:rsidR="007A1415" w:rsidRPr="007B74B7">
        <w:rPr>
          <w:rFonts w:eastAsia="Calibri" w:cs="Tahoma"/>
          <w:color w:val="000000"/>
          <w:szCs w:val="18"/>
          <w:lang w:val="it-IT"/>
        </w:rPr>
        <w:t>’</w:t>
      </w:r>
      <w:r w:rsidRPr="007B74B7">
        <w:rPr>
          <w:rFonts w:eastAsia="Calibri" w:cs="Tahoma"/>
          <w:color w:val="000000"/>
          <w:szCs w:val="18"/>
          <w:lang w:val="it-IT"/>
        </w:rPr>
        <w:t>ausilio di</w:t>
      </w:r>
      <w:r w:rsidR="00B15767" w:rsidRPr="007B74B7">
        <w:rPr>
          <w:rFonts w:eastAsia="Calibri" w:cs="Tahoma"/>
          <w:color w:val="000000"/>
          <w:szCs w:val="18"/>
          <w:lang w:val="it-IT"/>
        </w:rPr>
        <w:t> </w:t>
      </w:r>
      <w:r w:rsidRPr="007B74B7">
        <w:rPr>
          <w:rFonts w:eastAsia="Calibri" w:cs="Tahoma"/>
          <w:color w:val="000000"/>
          <w:szCs w:val="18"/>
          <w:lang w:val="it-IT"/>
        </w:rPr>
        <w:t>dispositivi thin client (in genere preinstallati su un sistema operativo integrato). La licenza “subscription” VDA concede alle società il diritto di eseguire la versione più recente del sistema operativo desktop Windows messa a</w:t>
      </w:r>
      <w:r w:rsidR="00E929A5" w:rsidRPr="007B74B7">
        <w:rPr>
          <w:rFonts w:eastAsia="Calibri" w:cs="Tahoma"/>
          <w:color w:val="000000"/>
          <w:szCs w:val="18"/>
          <w:lang w:val="it-IT"/>
        </w:rPr>
        <w:t> </w:t>
      </w:r>
      <w:r w:rsidRPr="007B74B7">
        <w:rPr>
          <w:rFonts w:eastAsia="Calibri" w:cs="Tahoma"/>
          <w:color w:val="000000"/>
          <w:szCs w:val="18"/>
          <w:lang w:val="it-IT"/>
        </w:rPr>
        <w:t>disposizione durante il periodo di validità dell</w:t>
      </w:r>
      <w:r w:rsidR="007A1415" w:rsidRPr="007B74B7">
        <w:rPr>
          <w:rFonts w:eastAsia="Calibri" w:cs="Tahoma"/>
          <w:color w:val="000000"/>
          <w:szCs w:val="18"/>
          <w:lang w:val="it-IT"/>
        </w:rPr>
        <w:t>’</w:t>
      </w:r>
      <w:r w:rsidRPr="007B74B7">
        <w:rPr>
          <w:rFonts w:eastAsia="Calibri" w:cs="Tahoma"/>
          <w:color w:val="000000"/>
          <w:szCs w:val="18"/>
          <w:lang w:val="it-IT"/>
        </w:rPr>
        <w:t>abbonamento.</w:t>
      </w:r>
    </w:p>
    <w:p w:rsidR="00EC5C9D" w:rsidRPr="007B74B7" w:rsidRDefault="00EC5C9D" w:rsidP="00EC5C9D">
      <w:pPr>
        <w:rPr>
          <w:lang w:val="it-IT"/>
        </w:rPr>
      </w:pPr>
    </w:p>
    <w:p w:rsidR="00EC5C9D" w:rsidRPr="007B74B7" w:rsidRDefault="00EC5C9D" w:rsidP="00EC5C9D">
      <w:pPr>
        <w:rPr>
          <w:lang w:val="it-IT"/>
        </w:rPr>
      </w:pPr>
      <w:r w:rsidRPr="007B74B7">
        <w:rPr>
          <w:rFonts w:eastAsia="Calibri" w:cs="Tahoma"/>
          <w:color w:val="000000"/>
          <w:szCs w:val="18"/>
          <w:lang w:val="it-IT"/>
        </w:rPr>
        <w:t>Per ulteriori informazioni su VDA, fare riferimento al documento Diritti di Utilizzo del Prodotto.</w:t>
      </w:r>
    </w:p>
    <w:bookmarkEnd w:id="966"/>
    <w:p w:rsidR="00023FE7" w:rsidRPr="007B74B7" w:rsidRDefault="00023FE7">
      <w:pPr>
        <w:rPr>
          <w:lang w:val="it-IT"/>
        </w:rPr>
      </w:pPr>
    </w:p>
    <w:p w:rsidR="00023FE7" w:rsidRPr="007B74B7" w:rsidRDefault="00023FE7">
      <w:pPr>
        <w:rPr>
          <w:lang w:val="it-IT"/>
        </w:rPr>
      </w:pPr>
      <w:bookmarkStart w:id="969" w:name="_Toc336338246"/>
      <w:bookmarkStart w:id="970" w:name="_Toc353376026"/>
      <w:r w:rsidRPr="007B74B7">
        <w:rPr>
          <w:rStyle w:val="Heading3Char"/>
          <w:rFonts w:ascii="Tahoma" w:hAnsi="Tahoma"/>
          <w:sz w:val="24"/>
          <w:lang w:val="it-IT"/>
        </w:rPr>
        <w:t>Disponibilità di Licenze Step-Up</w:t>
      </w:r>
      <w:bookmarkEnd w:id="969"/>
      <w:bookmarkEnd w:id="970"/>
      <w:r w:rsidRPr="007B74B7">
        <w:rPr>
          <w:rFonts w:cs="Tahoma"/>
          <w:b/>
          <w:sz w:val="24"/>
          <w:szCs w:val="20"/>
          <w:lang w:val="it-IT"/>
        </w:rPr>
        <w:t>*</w:t>
      </w:r>
    </w:p>
    <w:p w:rsidR="00023FE7" w:rsidRPr="007B74B7" w:rsidRDefault="00023FE7">
      <w:pPr>
        <w:rPr>
          <w:lang w:val="it-IT"/>
        </w:rPr>
      </w:pPr>
    </w:p>
    <w:p w:rsidR="00023FE7" w:rsidRPr="007B74B7" w:rsidRDefault="00AD6AD6">
      <w:pPr>
        <w:rPr>
          <w:lang w:val="it-IT"/>
        </w:rPr>
      </w:pPr>
      <w:r w:rsidRPr="007B74B7">
        <w:rPr>
          <w:rFonts w:cs="Tahoma"/>
          <w:szCs w:val="18"/>
          <w:lang w:val="it-IT"/>
        </w:rPr>
        <w:t xml:space="preserve">Le società potranno eseguire la migrazione da una versione di livello inferiore a una versione di livello superiore di determinati prodotti con una Licenza Step-Up. Le società dovranno disporre di una licenza con copertura Software Assurance attiva per il prodotto qualificante, al fine di </w:t>
      </w:r>
      <w:r w:rsidRPr="007B74B7">
        <w:rPr>
          <w:rFonts w:cs="Tahoma"/>
          <w:color w:val="000000"/>
          <w:szCs w:val="18"/>
          <w:lang w:val="it-IT"/>
        </w:rPr>
        <w:t>acquistare una Licenza Step-Up. La Licenza Step-Up dovrà essere acquistata, e sarà valida unicamente dopo l</w:t>
      </w:r>
      <w:r w:rsidR="007A1415" w:rsidRPr="007B74B7">
        <w:rPr>
          <w:rFonts w:cs="Tahoma"/>
          <w:color w:val="000000"/>
          <w:szCs w:val="18"/>
          <w:lang w:val="it-IT"/>
        </w:rPr>
        <w:t>’</w:t>
      </w:r>
      <w:r w:rsidRPr="007B74B7">
        <w:rPr>
          <w:rFonts w:cs="Tahoma"/>
          <w:color w:val="000000"/>
          <w:szCs w:val="18"/>
          <w:lang w:val="it-IT"/>
        </w:rPr>
        <w:t>acquisto, nell</w:t>
      </w:r>
      <w:r w:rsidR="007A1415" w:rsidRPr="007B74B7">
        <w:rPr>
          <w:rFonts w:cs="Tahoma"/>
          <w:color w:val="000000"/>
          <w:szCs w:val="18"/>
          <w:lang w:val="it-IT"/>
        </w:rPr>
        <w:t>’</w:t>
      </w:r>
      <w:r w:rsidRPr="007B74B7">
        <w:rPr>
          <w:rFonts w:cs="Tahoma"/>
          <w:color w:val="000000"/>
          <w:szCs w:val="18"/>
          <w:lang w:val="it-IT"/>
        </w:rPr>
        <w:t>ambito del medesimo contratto del Programma di Contratti Multilicenza e della medesima iscrizione, se disponibili, ai sensi dei quali è stata originariamente acquistata la copertura Software Assurance del prodotto</w:t>
      </w:r>
      <w:r w:rsidRPr="007B74B7">
        <w:rPr>
          <w:rFonts w:cs="Tahoma"/>
          <w:szCs w:val="18"/>
          <w:lang w:val="it-IT"/>
        </w:rPr>
        <w:t xml:space="preserve"> qualificante.</w:t>
      </w:r>
      <w:r w:rsidR="008D782D" w:rsidRPr="007B74B7">
        <w:rPr>
          <w:rFonts w:cs="Tahoma"/>
          <w:szCs w:val="18"/>
          <w:lang w:val="it-IT"/>
        </w:rPr>
        <w:t xml:space="preserve"> </w:t>
      </w:r>
      <w:r w:rsidRPr="007B74B7">
        <w:rPr>
          <w:rFonts w:cs="Tahoma"/>
          <w:szCs w:val="18"/>
          <w:lang w:val="it-IT"/>
        </w:rPr>
        <w:t>Il diritto di utilizzo del software da parte della società ai sensi della Licenza Step-Up è subordinato al possesso e al mantenimento di una Licenza per il prodotto qualificante. Le società non possono trasferire la Licenza per il prodotto qualificante separatamente dalla Licenza Step-Up.</w:t>
      </w:r>
      <w:r w:rsidR="008D782D" w:rsidRPr="007B74B7">
        <w:rPr>
          <w:rFonts w:cs="Tahoma"/>
          <w:szCs w:val="18"/>
          <w:lang w:val="it-IT"/>
        </w:rPr>
        <w:t xml:space="preserve"> </w:t>
      </w:r>
      <w:r w:rsidRPr="007B74B7">
        <w:rPr>
          <w:rFonts w:cs="Tahoma"/>
          <w:szCs w:val="18"/>
          <w:lang w:val="it-IT"/>
        </w:rPr>
        <w:t>I diritti perpetui delle società concessi ai sensi della Licenza Step-Up prevalgono e sostituiscono la licenza sottostante per il prodotto qualificante. Per ulteriori informazioni, consultare il Documento relativo alla Licenza Step-up per Enterprise Edition nel quadro del Programma per Contratti Multilicenza all</w:t>
      </w:r>
      <w:r w:rsidR="007A1415" w:rsidRPr="007B74B7">
        <w:rPr>
          <w:rFonts w:cs="Tahoma"/>
          <w:szCs w:val="18"/>
          <w:lang w:val="it-IT"/>
        </w:rPr>
        <w:t>’</w:t>
      </w:r>
      <w:r w:rsidRPr="007B74B7">
        <w:rPr>
          <w:rFonts w:cs="Tahoma"/>
          <w:szCs w:val="18"/>
          <w:lang w:val="it-IT"/>
        </w:rPr>
        <w:t>indirizzo: http://</w:t>
      </w:r>
      <w:hyperlink r:id="rId33" w:history="1">
        <w:r w:rsidRPr="007B74B7">
          <w:rPr>
            <w:rStyle w:val="Hyperlink"/>
            <w:rFonts w:cs="Tahoma"/>
            <w:szCs w:val="18"/>
            <w:lang w:val="it-IT"/>
          </w:rPr>
          <w:t>www.microsoft.com/licensing</w:t>
        </w:r>
      </w:hyperlink>
      <w:r w:rsidRPr="007B74B7">
        <w:rPr>
          <w:rFonts w:cs="Tahoma"/>
          <w:szCs w:val="18"/>
          <w:lang w:val="it-IT"/>
        </w:rPr>
        <w:t xml:space="preserve"> </w:t>
      </w:r>
    </w:p>
    <w:p w:rsidR="00023FE7" w:rsidRPr="007B74B7" w:rsidRDefault="00023FE7">
      <w:pPr>
        <w:rPr>
          <w:lang w:val="it-IT"/>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BD7CEA" w:rsidTr="001E3F7D">
        <w:trPr>
          <w:tblHeader/>
        </w:trPr>
        <w:tc>
          <w:tcPr>
            <w:tcW w:w="4230" w:type="dxa"/>
            <w:shd w:val="clear" w:color="auto" w:fill="FABF8F"/>
            <w:tcMar>
              <w:top w:w="0" w:type="dxa"/>
              <w:left w:w="108" w:type="dxa"/>
              <w:bottom w:w="0" w:type="dxa"/>
              <w:right w:w="108" w:type="dxa"/>
            </w:tcMar>
            <w:hideMark/>
          </w:tcPr>
          <w:p w:rsidR="003573CD" w:rsidRPr="00BD7CEA" w:rsidRDefault="003573CD" w:rsidP="00554A35">
            <w:pPr>
              <w:jc w:val="center"/>
              <w:rPr>
                <w:rFonts w:eastAsia="Calibri" w:cs="Tahoma"/>
                <w:b/>
                <w:sz w:val="20"/>
                <w:szCs w:val="20"/>
              </w:rPr>
            </w:pPr>
            <w:r w:rsidRPr="00BD7CEA">
              <w:rPr>
                <w:rFonts w:cs="Tahoma"/>
                <w:b/>
                <w:sz w:val="20"/>
                <w:szCs w:val="20"/>
              </w:rPr>
              <w:t>Step-Up Da</w:t>
            </w:r>
          </w:p>
        </w:tc>
        <w:tc>
          <w:tcPr>
            <w:tcW w:w="4230" w:type="dxa"/>
            <w:shd w:val="clear" w:color="auto" w:fill="FABF8F"/>
            <w:tcMar>
              <w:top w:w="0" w:type="dxa"/>
              <w:left w:w="108" w:type="dxa"/>
              <w:bottom w:w="0" w:type="dxa"/>
              <w:right w:w="108" w:type="dxa"/>
            </w:tcMar>
            <w:hideMark/>
          </w:tcPr>
          <w:p w:rsidR="003573CD" w:rsidRPr="00BD7CEA" w:rsidRDefault="003573CD" w:rsidP="00554A35">
            <w:pPr>
              <w:jc w:val="center"/>
              <w:rPr>
                <w:rFonts w:eastAsia="Calibri" w:cs="Tahoma"/>
                <w:b/>
                <w:sz w:val="20"/>
                <w:szCs w:val="20"/>
              </w:rPr>
            </w:pPr>
            <w:r w:rsidRPr="00BD7CEA">
              <w:rPr>
                <w:rFonts w:cs="Tahoma"/>
                <w:b/>
                <w:sz w:val="20"/>
                <w:szCs w:val="20"/>
              </w:rPr>
              <w:t>Step-Up A</w:t>
            </w:r>
          </w:p>
        </w:tc>
      </w:tr>
      <w:tr w:rsidR="003573CD" w:rsidRPr="00BD7CEA" w:rsidTr="001E3F7D">
        <w:tc>
          <w:tcPr>
            <w:tcW w:w="4230" w:type="dxa"/>
            <w:tcMar>
              <w:top w:w="0" w:type="dxa"/>
              <w:left w:w="108" w:type="dxa"/>
              <w:bottom w:w="0" w:type="dxa"/>
              <w:right w:w="108" w:type="dxa"/>
            </w:tcMar>
            <w:hideMark/>
          </w:tcPr>
          <w:p w:rsidR="003573CD" w:rsidRPr="00BD7CEA" w:rsidRDefault="003573CD" w:rsidP="00554A35">
            <w:pPr>
              <w:rPr>
                <w:rFonts w:eastAsia="Calibri" w:cs="Tahoma"/>
                <w:szCs w:val="18"/>
              </w:rPr>
            </w:pPr>
            <w:r w:rsidRPr="00BD7CEA">
              <w:rPr>
                <w:rFonts w:cs="Tahoma"/>
                <w:szCs w:val="18"/>
              </w:rPr>
              <w:t>BizTalk</w:t>
            </w:r>
            <w:r w:rsidR="00700C4B" w:rsidRPr="00BD7CEA">
              <w:rPr>
                <w:rFonts w:cs="Tahoma"/>
                <w:szCs w:val="18"/>
                <w:vertAlign w:val="superscript"/>
              </w:rPr>
              <w:t>®</w:t>
            </w:r>
            <w:r w:rsidRPr="00BD7CEA">
              <w:rPr>
                <w:rFonts w:cs="Tahoma"/>
                <w:szCs w:val="18"/>
              </w:rPr>
              <w:t xml:space="preserve"> Server Branch</w:t>
            </w:r>
          </w:p>
        </w:tc>
        <w:tc>
          <w:tcPr>
            <w:tcW w:w="4230" w:type="dxa"/>
            <w:tcMar>
              <w:top w:w="0" w:type="dxa"/>
              <w:left w:w="108" w:type="dxa"/>
              <w:bottom w:w="0" w:type="dxa"/>
              <w:right w:w="108" w:type="dxa"/>
            </w:tcMar>
            <w:hideMark/>
          </w:tcPr>
          <w:p w:rsidR="003573CD" w:rsidRPr="00BD7CEA" w:rsidRDefault="003573CD" w:rsidP="00554A35">
            <w:pPr>
              <w:rPr>
                <w:rFonts w:eastAsia="Calibri" w:cs="Tahoma"/>
                <w:szCs w:val="18"/>
              </w:rPr>
            </w:pPr>
            <w:r w:rsidRPr="00BD7CEA">
              <w:rPr>
                <w:rFonts w:cs="Tahoma"/>
                <w:szCs w:val="18"/>
              </w:rPr>
              <w:t>BizTalk</w:t>
            </w:r>
            <w:r w:rsidR="00700C4B" w:rsidRPr="00BD7CEA">
              <w:rPr>
                <w:rFonts w:cs="Tahoma"/>
                <w:szCs w:val="18"/>
                <w:vertAlign w:val="superscript"/>
              </w:rPr>
              <w:t>®</w:t>
            </w:r>
            <w:r w:rsidRPr="00BD7CEA">
              <w:rPr>
                <w:rFonts w:cs="Tahoma"/>
                <w:szCs w:val="18"/>
              </w:rPr>
              <w:t xml:space="preserve"> Server Standard</w:t>
            </w:r>
          </w:p>
        </w:tc>
      </w:tr>
      <w:tr w:rsidR="003573CD" w:rsidRPr="00BD7CEA" w:rsidTr="001E3F7D">
        <w:tc>
          <w:tcPr>
            <w:tcW w:w="4230" w:type="dxa"/>
            <w:tcMar>
              <w:top w:w="0" w:type="dxa"/>
              <w:left w:w="108" w:type="dxa"/>
              <w:bottom w:w="0" w:type="dxa"/>
              <w:right w:w="108" w:type="dxa"/>
            </w:tcMar>
            <w:hideMark/>
          </w:tcPr>
          <w:p w:rsidR="003573CD" w:rsidRPr="00BD7CEA" w:rsidRDefault="003573CD" w:rsidP="00554A35">
            <w:pPr>
              <w:rPr>
                <w:rFonts w:eastAsia="Calibri" w:cs="Tahoma"/>
                <w:szCs w:val="18"/>
              </w:rPr>
            </w:pPr>
            <w:r w:rsidRPr="00BD7CEA">
              <w:rPr>
                <w:rFonts w:cs="Tahoma"/>
                <w:szCs w:val="18"/>
              </w:rPr>
              <w:t>BizTalk</w:t>
            </w:r>
            <w:r w:rsidR="00700C4B" w:rsidRPr="00BD7CEA">
              <w:rPr>
                <w:rFonts w:cs="Tahoma"/>
                <w:szCs w:val="18"/>
                <w:vertAlign w:val="superscript"/>
              </w:rPr>
              <w:t>®</w:t>
            </w:r>
            <w:r w:rsidRPr="00BD7CEA">
              <w:rPr>
                <w:rFonts w:cs="Tahoma"/>
                <w:szCs w:val="18"/>
              </w:rPr>
              <w:t xml:space="preserve"> Server Branch</w:t>
            </w:r>
          </w:p>
        </w:tc>
        <w:tc>
          <w:tcPr>
            <w:tcW w:w="4230" w:type="dxa"/>
            <w:tcMar>
              <w:top w:w="0" w:type="dxa"/>
              <w:left w:w="108" w:type="dxa"/>
              <w:bottom w:w="0" w:type="dxa"/>
              <w:right w:w="108" w:type="dxa"/>
            </w:tcMar>
            <w:hideMark/>
          </w:tcPr>
          <w:p w:rsidR="003573CD" w:rsidRPr="00BD7CEA" w:rsidRDefault="003573CD" w:rsidP="00554A35">
            <w:pPr>
              <w:rPr>
                <w:rFonts w:eastAsia="Calibri" w:cs="Tahoma"/>
                <w:szCs w:val="18"/>
              </w:rPr>
            </w:pPr>
            <w:r w:rsidRPr="00BD7CEA">
              <w:rPr>
                <w:rFonts w:cs="Tahoma"/>
                <w:szCs w:val="18"/>
              </w:rPr>
              <w:t>BizTalk</w:t>
            </w:r>
            <w:r w:rsidR="00700C4B" w:rsidRPr="00BD7CEA">
              <w:rPr>
                <w:rFonts w:cs="Tahoma"/>
                <w:szCs w:val="18"/>
                <w:vertAlign w:val="superscript"/>
              </w:rPr>
              <w:t>®</w:t>
            </w:r>
            <w:r w:rsidRPr="00BD7CEA">
              <w:rPr>
                <w:rFonts w:cs="Tahoma"/>
                <w:szCs w:val="18"/>
              </w:rPr>
              <w:t xml:space="preserve"> Server Enterprise</w:t>
            </w:r>
          </w:p>
        </w:tc>
      </w:tr>
      <w:tr w:rsidR="003573CD" w:rsidRPr="00BD7CEA" w:rsidTr="001E3F7D">
        <w:tc>
          <w:tcPr>
            <w:tcW w:w="4230" w:type="dxa"/>
            <w:tcMar>
              <w:top w:w="0" w:type="dxa"/>
              <w:left w:w="108" w:type="dxa"/>
              <w:bottom w:w="0" w:type="dxa"/>
              <w:right w:w="108" w:type="dxa"/>
            </w:tcMar>
            <w:hideMark/>
          </w:tcPr>
          <w:p w:rsidR="003573CD" w:rsidRPr="00BD7CEA" w:rsidRDefault="003573CD" w:rsidP="00554A35">
            <w:pPr>
              <w:rPr>
                <w:rFonts w:eastAsia="Calibri" w:cs="Tahoma"/>
                <w:szCs w:val="18"/>
              </w:rPr>
            </w:pPr>
            <w:r w:rsidRPr="00BD7CEA">
              <w:rPr>
                <w:rFonts w:cs="Tahoma"/>
                <w:szCs w:val="18"/>
              </w:rPr>
              <w:t>BizTalk</w:t>
            </w:r>
            <w:r w:rsidR="00700C4B" w:rsidRPr="00BD7CEA">
              <w:rPr>
                <w:rFonts w:cs="Tahoma"/>
                <w:szCs w:val="18"/>
                <w:vertAlign w:val="superscript"/>
              </w:rPr>
              <w:t>®</w:t>
            </w:r>
            <w:r w:rsidRPr="00BD7CEA">
              <w:rPr>
                <w:rFonts w:cs="Tahoma"/>
                <w:szCs w:val="18"/>
              </w:rPr>
              <w:t xml:space="preserve"> Server Standard</w:t>
            </w:r>
          </w:p>
        </w:tc>
        <w:tc>
          <w:tcPr>
            <w:tcW w:w="4230" w:type="dxa"/>
            <w:tcMar>
              <w:top w:w="0" w:type="dxa"/>
              <w:left w:w="108" w:type="dxa"/>
              <w:bottom w:w="0" w:type="dxa"/>
              <w:right w:w="108" w:type="dxa"/>
            </w:tcMar>
            <w:hideMark/>
          </w:tcPr>
          <w:p w:rsidR="003573CD" w:rsidRPr="00BD7CEA" w:rsidRDefault="003573CD" w:rsidP="00554A35">
            <w:pPr>
              <w:rPr>
                <w:rFonts w:eastAsia="Calibri" w:cs="Tahoma"/>
                <w:szCs w:val="18"/>
              </w:rPr>
            </w:pPr>
            <w:r w:rsidRPr="00BD7CEA">
              <w:rPr>
                <w:rFonts w:cs="Tahoma"/>
                <w:szCs w:val="18"/>
              </w:rPr>
              <w:t>BizTalk</w:t>
            </w:r>
            <w:r w:rsidR="00700C4B" w:rsidRPr="00BD7CEA">
              <w:rPr>
                <w:rFonts w:cs="Tahoma"/>
                <w:szCs w:val="18"/>
                <w:vertAlign w:val="superscript"/>
              </w:rPr>
              <w:t>®</w:t>
            </w:r>
            <w:r w:rsidRPr="00BD7CEA">
              <w:rPr>
                <w:rFonts w:cs="Tahoma"/>
                <w:szCs w:val="18"/>
              </w:rPr>
              <w:t xml:space="preserve"> Server Enterprise</w:t>
            </w:r>
          </w:p>
        </w:tc>
      </w:tr>
      <w:tr w:rsidR="003573CD" w:rsidRPr="00BD7CEA" w:rsidTr="001E3F7D">
        <w:tc>
          <w:tcPr>
            <w:tcW w:w="4230" w:type="dxa"/>
            <w:tcMar>
              <w:top w:w="0" w:type="dxa"/>
              <w:left w:w="108" w:type="dxa"/>
              <w:bottom w:w="0" w:type="dxa"/>
              <w:right w:w="108" w:type="dxa"/>
            </w:tcMar>
            <w:hideMark/>
          </w:tcPr>
          <w:p w:rsidR="003573CD" w:rsidRPr="00BD7CEA" w:rsidRDefault="003573CD" w:rsidP="00554A35">
            <w:pPr>
              <w:rPr>
                <w:rFonts w:eastAsia="Calibri" w:cs="Tahoma"/>
                <w:szCs w:val="18"/>
              </w:rPr>
            </w:pPr>
            <w:r w:rsidRPr="00BD7CEA">
              <w:rPr>
                <w:rFonts w:cs="Tahoma"/>
                <w:szCs w:val="18"/>
              </w:rPr>
              <w:t>Commerce Server Standard</w:t>
            </w:r>
          </w:p>
        </w:tc>
        <w:tc>
          <w:tcPr>
            <w:tcW w:w="4230" w:type="dxa"/>
            <w:tcMar>
              <w:top w:w="0" w:type="dxa"/>
              <w:left w:w="108" w:type="dxa"/>
              <w:bottom w:w="0" w:type="dxa"/>
              <w:right w:w="108" w:type="dxa"/>
            </w:tcMar>
            <w:hideMark/>
          </w:tcPr>
          <w:p w:rsidR="003573CD" w:rsidRPr="00BD7CEA" w:rsidRDefault="003573CD" w:rsidP="00554A35">
            <w:pPr>
              <w:rPr>
                <w:rFonts w:eastAsia="Calibri" w:cs="Tahoma"/>
                <w:szCs w:val="18"/>
              </w:rPr>
            </w:pPr>
            <w:r w:rsidRPr="00BD7CEA">
              <w:rPr>
                <w:rFonts w:cs="Tahoma"/>
                <w:szCs w:val="18"/>
              </w:rPr>
              <w:t>Commerce Server Enterprise</w:t>
            </w:r>
          </w:p>
        </w:tc>
      </w:tr>
      <w:tr w:rsidR="003573CD" w:rsidRPr="00BD7CEA" w:rsidTr="001E3F7D">
        <w:trPr>
          <w:trHeight w:val="238"/>
        </w:trPr>
        <w:tc>
          <w:tcPr>
            <w:tcW w:w="4230" w:type="dxa"/>
            <w:tcMar>
              <w:top w:w="0" w:type="dxa"/>
              <w:left w:w="108" w:type="dxa"/>
              <w:bottom w:w="0" w:type="dxa"/>
              <w:right w:w="108" w:type="dxa"/>
            </w:tcMar>
            <w:hideMark/>
          </w:tcPr>
          <w:p w:rsidR="003573CD" w:rsidRPr="00BD7CEA" w:rsidRDefault="003573CD" w:rsidP="00554A35">
            <w:pPr>
              <w:rPr>
                <w:rFonts w:eastAsia="Calibri" w:cs="Tahoma"/>
                <w:szCs w:val="18"/>
              </w:rPr>
            </w:pPr>
            <w:r w:rsidRPr="00BD7CEA">
              <w:rPr>
                <w:rFonts w:cs="Tahoma"/>
                <w:szCs w:val="18"/>
              </w:rPr>
              <w:t>Core CAL Suite</w:t>
            </w:r>
          </w:p>
        </w:tc>
        <w:tc>
          <w:tcPr>
            <w:tcW w:w="4230" w:type="dxa"/>
            <w:tcMar>
              <w:top w:w="0" w:type="dxa"/>
              <w:left w:w="108" w:type="dxa"/>
              <w:bottom w:w="0" w:type="dxa"/>
              <w:right w:w="108" w:type="dxa"/>
            </w:tcMar>
            <w:hideMark/>
          </w:tcPr>
          <w:p w:rsidR="003573CD" w:rsidRPr="00BD7CEA" w:rsidRDefault="003573CD" w:rsidP="00554A35">
            <w:pPr>
              <w:rPr>
                <w:rFonts w:eastAsia="Calibri" w:cs="Tahoma"/>
                <w:szCs w:val="18"/>
              </w:rPr>
            </w:pPr>
            <w:r w:rsidRPr="00BD7CEA">
              <w:rPr>
                <w:rFonts w:cs="Tahoma"/>
                <w:szCs w:val="18"/>
              </w:rPr>
              <w:t>Enterprise CAL Suite</w:t>
            </w:r>
          </w:p>
        </w:tc>
      </w:tr>
      <w:tr w:rsidR="00E87953" w:rsidRPr="00BD7CEA" w:rsidTr="001E3F7D">
        <w:trPr>
          <w:trHeight w:val="247"/>
        </w:trPr>
        <w:tc>
          <w:tcPr>
            <w:tcW w:w="4230" w:type="dxa"/>
            <w:tcMar>
              <w:top w:w="0" w:type="dxa"/>
              <w:left w:w="108" w:type="dxa"/>
              <w:bottom w:w="0" w:type="dxa"/>
              <w:right w:w="108" w:type="dxa"/>
            </w:tcMar>
          </w:tcPr>
          <w:p w:rsidR="00E87953" w:rsidRPr="00BD7CEA" w:rsidRDefault="00E87953" w:rsidP="00734CF4">
            <w:pPr>
              <w:rPr>
                <w:rFonts w:cs="Tahoma"/>
                <w:color w:val="000000"/>
                <w:szCs w:val="18"/>
              </w:rPr>
            </w:pPr>
            <w:r w:rsidRPr="00BD7CEA">
              <w:rPr>
                <w:rFonts w:cs="Tahoma"/>
                <w:color w:val="000000"/>
                <w:szCs w:val="18"/>
              </w:rPr>
              <w:t>Core CAL Suite Bridge per Office 365</w:t>
            </w:r>
          </w:p>
        </w:tc>
        <w:tc>
          <w:tcPr>
            <w:tcW w:w="4230" w:type="dxa"/>
            <w:tcMar>
              <w:top w:w="0" w:type="dxa"/>
              <w:left w:w="108" w:type="dxa"/>
              <w:bottom w:w="0" w:type="dxa"/>
              <w:right w:w="108" w:type="dxa"/>
            </w:tcMar>
          </w:tcPr>
          <w:p w:rsidR="00E87953" w:rsidRPr="00BD7CEA" w:rsidRDefault="00E87953" w:rsidP="00734CF4">
            <w:pPr>
              <w:rPr>
                <w:rFonts w:cs="Tahoma"/>
                <w:color w:val="000000"/>
                <w:szCs w:val="18"/>
              </w:rPr>
            </w:pPr>
            <w:r w:rsidRPr="00BD7CEA">
              <w:rPr>
                <w:rFonts w:cs="Tahoma"/>
                <w:color w:val="000000"/>
                <w:szCs w:val="18"/>
              </w:rPr>
              <w:t>Enterprise CAL Suite Bridge per Office 365</w:t>
            </w:r>
          </w:p>
        </w:tc>
      </w:tr>
      <w:tr w:rsidR="00E87953" w:rsidRPr="00BD7CEA" w:rsidTr="001E3F7D">
        <w:trPr>
          <w:trHeight w:val="247"/>
        </w:trPr>
        <w:tc>
          <w:tcPr>
            <w:tcW w:w="4230" w:type="dxa"/>
            <w:tcMar>
              <w:top w:w="0" w:type="dxa"/>
              <w:left w:w="108" w:type="dxa"/>
              <w:bottom w:w="0" w:type="dxa"/>
              <w:right w:w="108" w:type="dxa"/>
            </w:tcMar>
          </w:tcPr>
          <w:p w:rsidR="00E87953" w:rsidRPr="00BD7CEA" w:rsidRDefault="00E87953" w:rsidP="007C6582">
            <w:pPr>
              <w:rPr>
                <w:rFonts w:cs="Tahoma"/>
                <w:color w:val="000000"/>
                <w:szCs w:val="18"/>
              </w:rPr>
            </w:pPr>
            <w:r w:rsidRPr="00BD7CEA">
              <w:rPr>
                <w:rFonts w:cs="Tahoma"/>
                <w:color w:val="000000"/>
                <w:szCs w:val="18"/>
              </w:rPr>
              <w:t>Core CAL Suite Bridge per Windows</w:t>
            </w:r>
            <w:r w:rsidR="00700C4B" w:rsidRPr="00BD7CEA">
              <w:rPr>
                <w:rFonts w:cs="Tahoma"/>
                <w:color w:val="000000"/>
                <w:szCs w:val="18"/>
                <w:vertAlign w:val="superscript"/>
              </w:rPr>
              <w:t>®</w:t>
            </w:r>
            <w:r w:rsidRPr="00BD7CEA">
              <w:rPr>
                <w:rFonts w:cs="Tahoma"/>
                <w:color w:val="000000"/>
                <w:szCs w:val="18"/>
              </w:rPr>
              <w:t xml:space="preserve"> Intune</w:t>
            </w:r>
          </w:p>
        </w:tc>
        <w:tc>
          <w:tcPr>
            <w:tcW w:w="4230" w:type="dxa"/>
            <w:tcMar>
              <w:top w:w="0" w:type="dxa"/>
              <w:left w:w="108" w:type="dxa"/>
              <w:bottom w:w="0" w:type="dxa"/>
              <w:right w:w="108" w:type="dxa"/>
            </w:tcMar>
          </w:tcPr>
          <w:p w:rsidR="00E87953" w:rsidRPr="00BD7CEA" w:rsidRDefault="00E87953" w:rsidP="007C6582">
            <w:pPr>
              <w:rPr>
                <w:rFonts w:cs="Tahoma"/>
                <w:color w:val="000000"/>
                <w:szCs w:val="18"/>
              </w:rPr>
            </w:pPr>
            <w:r w:rsidRPr="00BD7CEA">
              <w:rPr>
                <w:rFonts w:cs="Tahoma"/>
                <w:color w:val="000000"/>
                <w:szCs w:val="18"/>
              </w:rPr>
              <w:t>Enterprise CAL Suite Bridge per Windows</w:t>
            </w:r>
            <w:r w:rsidR="00700C4B" w:rsidRPr="00BD7CEA">
              <w:rPr>
                <w:rFonts w:cs="Tahoma"/>
                <w:color w:val="000000"/>
                <w:szCs w:val="18"/>
                <w:vertAlign w:val="superscript"/>
              </w:rPr>
              <w:t>®</w:t>
            </w:r>
            <w:r w:rsidRPr="00BD7CEA">
              <w:rPr>
                <w:rFonts w:cs="Tahoma"/>
                <w:color w:val="000000"/>
                <w:szCs w:val="18"/>
              </w:rPr>
              <w:t xml:space="preserve"> Intune</w:t>
            </w:r>
          </w:p>
        </w:tc>
      </w:tr>
      <w:tr w:rsidR="000466E8" w:rsidRPr="00BD7CEA" w:rsidTr="001E3F7D">
        <w:trPr>
          <w:trHeight w:val="247"/>
        </w:trPr>
        <w:tc>
          <w:tcPr>
            <w:tcW w:w="4230" w:type="dxa"/>
            <w:tcMar>
              <w:top w:w="0" w:type="dxa"/>
              <w:left w:w="108" w:type="dxa"/>
              <w:bottom w:w="0" w:type="dxa"/>
              <w:right w:w="108" w:type="dxa"/>
            </w:tcMar>
          </w:tcPr>
          <w:p w:rsidR="000466E8" w:rsidRPr="00BD7CEA" w:rsidRDefault="0054507B" w:rsidP="007C6582">
            <w:pPr>
              <w:rPr>
                <w:rFonts w:cs="Tahoma"/>
                <w:color w:val="000000"/>
                <w:szCs w:val="18"/>
              </w:rPr>
            </w:pPr>
            <w:r w:rsidRPr="00BD7CEA">
              <w:rPr>
                <w:rFonts w:cs="Tahoma"/>
                <w:color w:val="000000"/>
                <w:szCs w:val="18"/>
              </w:rPr>
              <w:t xml:space="preserve">Core CAL Suite Bridge per Office 365 e </w:t>
            </w:r>
            <w:r w:rsidR="00D45A36">
              <w:rPr>
                <w:rFonts w:cs="Tahoma"/>
                <w:color w:val="000000"/>
                <w:szCs w:val="18"/>
              </w:rPr>
              <w:br/>
            </w:r>
            <w:r w:rsidRPr="00BD7CEA">
              <w:rPr>
                <w:rFonts w:cs="Tahoma"/>
                <w:color w:val="000000"/>
                <w:szCs w:val="18"/>
              </w:rPr>
              <w:t>Windows</w:t>
            </w:r>
            <w:r w:rsidR="00700C4B" w:rsidRPr="00BD7CEA">
              <w:rPr>
                <w:rFonts w:cs="Tahoma"/>
                <w:color w:val="000000"/>
                <w:szCs w:val="18"/>
                <w:vertAlign w:val="superscript"/>
              </w:rPr>
              <w:t>®</w:t>
            </w:r>
            <w:r w:rsidRPr="00BD7CEA">
              <w:rPr>
                <w:rFonts w:cs="Tahoma"/>
                <w:color w:val="000000"/>
                <w:szCs w:val="18"/>
              </w:rPr>
              <w:t xml:space="preserve"> Intune</w:t>
            </w:r>
          </w:p>
        </w:tc>
        <w:tc>
          <w:tcPr>
            <w:tcW w:w="4230" w:type="dxa"/>
            <w:tcMar>
              <w:top w:w="0" w:type="dxa"/>
              <w:left w:w="108" w:type="dxa"/>
              <w:bottom w:w="0" w:type="dxa"/>
              <w:right w:w="108" w:type="dxa"/>
            </w:tcMar>
          </w:tcPr>
          <w:p w:rsidR="000466E8" w:rsidRPr="00BD7CEA" w:rsidRDefault="00C3058D" w:rsidP="007C6582">
            <w:pPr>
              <w:rPr>
                <w:rFonts w:cs="Tahoma"/>
                <w:color w:val="000000"/>
                <w:szCs w:val="18"/>
              </w:rPr>
            </w:pPr>
            <w:r w:rsidRPr="00BD7CEA">
              <w:rPr>
                <w:rFonts w:eastAsia="Calibri" w:cs="Tahoma"/>
                <w:szCs w:val="18"/>
              </w:rPr>
              <w:t>Enterprise CAL Suite Bridge per Office 365 e Windows</w:t>
            </w:r>
            <w:r w:rsidR="00700C4B" w:rsidRPr="00BD7CEA">
              <w:rPr>
                <w:rFonts w:cs="Tahoma"/>
                <w:color w:val="000000"/>
                <w:szCs w:val="18"/>
                <w:vertAlign w:val="superscript"/>
              </w:rPr>
              <w:t>®</w:t>
            </w:r>
            <w:r w:rsidRPr="00BD7CEA">
              <w:rPr>
                <w:rFonts w:cs="Tahoma"/>
                <w:color w:val="000000"/>
                <w:szCs w:val="18"/>
                <w:vertAlign w:val="superscript"/>
              </w:rPr>
              <w:t xml:space="preserve"> </w:t>
            </w:r>
            <w:r w:rsidRPr="00BD7CEA">
              <w:rPr>
                <w:rFonts w:eastAsia="Calibri" w:cs="Tahoma"/>
                <w:szCs w:val="18"/>
              </w:rPr>
              <w:t>Intune</w:t>
            </w:r>
          </w:p>
        </w:tc>
      </w:tr>
      <w:tr w:rsidR="004C6855" w:rsidRPr="007B74B7" w:rsidTr="001E3F7D">
        <w:trPr>
          <w:trHeight w:val="247"/>
        </w:trPr>
        <w:tc>
          <w:tcPr>
            <w:tcW w:w="4230" w:type="dxa"/>
            <w:tcMar>
              <w:top w:w="0" w:type="dxa"/>
              <w:left w:w="108" w:type="dxa"/>
              <w:bottom w:w="0" w:type="dxa"/>
              <w:right w:w="108" w:type="dxa"/>
            </w:tcMar>
            <w:hideMark/>
          </w:tcPr>
          <w:p w:rsidR="004C6855" w:rsidRPr="007B74B7" w:rsidRDefault="004C6855" w:rsidP="00554A35">
            <w:pPr>
              <w:rPr>
                <w:rFonts w:cs="Tahoma"/>
                <w:szCs w:val="18"/>
                <w:lang w:val="fr-FR"/>
              </w:rPr>
            </w:pPr>
            <w:r w:rsidRPr="007B74B7">
              <w:rPr>
                <w:rFonts w:cs="Tahoma"/>
                <w:color w:val="000000"/>
                <w:szCs w:val="18"/>
                <w:lang w:val="fr-FR"/>
              </w:rPr>
              <w:t>Core Infrastructure Server Suite Standard</w:t>
            </w:r>
          </w:p>
        </w:tc>
        <w:tc>
          <w:tcPr>
            <w:tcW w:w="4230" w:type="dxa"/>
            <w:tcMar>
              <w:top w:w="0" w:type="dxa"/>
              <w:left w:w="108" w:type="dxa"/>
              <w:bottom w:w="0" w:type="dxa"/>
              <w:right w:w="108" w:type="dxa"/>
            </w:tcMar>
            <w:hideMark/>
          </w:tcPr>
          <w:p w:rsidR="004C6855" w:rsidRPr="007B74B7" w:rsidRDefault="004C6855" w:rsidP="00933674">
            <w:pPr>
              <w:rPr>
                <w:rFonts w:cs="Tahoma"/>
                <w:szCs w:val="18"/>
                <w:lang w:val="fr-FR"/>
              </w:rPr>
            </w:pPr>
            <w:r w:rsidRPr="007B74B7">
              <w:rPr>
                <w:rFonts w:cs="Tahoma"/>
                <w:color w:val="000000"/>
                <w:szCs w:val="18"/>
                <w:lang w:val="fr-FR"/>
              </w:rPr>
              <w:t>Core Infrastructure Server Suite Datacenter</w:t>
            </w:r>
          </w:p>
        </w:tc>
      </w:tr>
      <w:tr w:rsidR="003573CD" w:rsidRPr="007B74B7" w:rsidTr="001E3F7D">
        <w:tc>
          <w:tcPr>
            <w:tcW w:w="4230" w:type="dxa"/>
            <w:tcMar>
              <w:top w:w="0" w:type="dxa"/>
              <w:left w:w="108" w:type="dxa"/>
              <w:bottom w:w="0" w:type="dxa"/>
              <w:right w:w="108" w:type="dxa"/>
            </w:tcMar>
            <w:hideMark/>
          </w:tcPr>
          <w:p w:rsidR="003573CD" w:rsidRPr="00BD7CEA" w:rsidRDefault="003573CD" w:rsidP="00394D2B">
            <w:pPr>
              <w:rPr>
                <w:rFonts w:eastAsia="Calibri" w:cs="Tahoma"/>
                <w:szCs w:val="18"/>
              </w:rPr>
            </w:pPr>
            <w:r w:rsidRPr="00BD7CEA">
              <w:rPr>
                <w:rFonts w:cs="Tahoma"/>
                <w:szCs w:val="18"/>
              </w:rPr>
              <w:t>Desktop Education con Core CAL</w:t>
            </w:r>
          </w:p>
        </w:tc>
        <w:tc>
          <w:tcPr>
            <w:tcW w:w="4230" w:type="dxa"/>
            <w:tcMar>
              <w:top w:w="0" w:type="dxa"/>
              <w:left w:w="108" w:type="dxa"/>
              <w:bottom w:w="0" w:type="dxa"/>
              <w:right w:w="108" w:type="dxa"/>
            </w:tcMar>
            <w:hideMark/>
          </w:tcPr>
          <w:p w:rsidR="003573CD" w:rsidRPr="007B74B7" w:rsidRDefault="003573CD" w:rsidP="00394D2B">
            <w:pPr>
              <w:rPr>
                <w:rFonts w:eastAsia="Calibri" w:cs="Tahoma"/>
                <w:szCs w:val="18"/>
                <w:lang w:val="fr-FR"/>
              </w:rPr>
            </w:pPr>
            <w:r w:rsidRPr="007B74B7">
              <w:rPr>
                <w:rFonts w:cs="Tahoma"/>
                <w:szCs w:val="18"/>
                <w:lang w:val="fr-FR"/>
              </w:rPr>
              <w:t>Desktop Education con Enterprise CAL Suite</w:t>
            </w:r>
          </w:p>
        </w:tc>
      </w:tr>
      <w:tr w:rsidR="003573CD" w:rsidRPr="00BD7CEA" w:rsidTr="001E3F7D">
        <w:tc>
          <w:tcPr>
            <w:tcW w:w="4230" w:type="dxa"/>
            <w:tcMar>
              <w:top w:w="0" w:type="dxa"/>
              <w:left w:w="108" w:type="dxa"/>
              <w:bottom w:w="0" w:type="dxa"/>
              <w:right w:w="108" w:type="dxa"/>
            </w:tcMar>
            <w:hideMark/>
          </w:tcPr>
          <w:p w:rsidR="003573CD" w:rsidRPr="00BD7CEA" w:rsidRDefault="003573CD" w:rsidP="00554A35">
            <w:pPr>
              <w:rPr>
                <w:rFonts w:eastAsia="Calibri" w:cs="Tahoma"/>
                <w:szCs w:val="18"/>
              </w:rPr>
            </w:pPr>
            <w:r w:rsidRPr="00BD7CEA">
              <w:rPr>
                <w:rFonts w:cs="Tahoma"/>
                <w:szCs w:val="18"/>
              </w:rPr>
              <w:t>Desktop School con Core CAL</w:t>
            </w:r>
          </w:p>
        </w:tc>
        <w:tc>
          <w:tcPr>
            <w:tcW w:w="4230" w:type="dxa"/>
            <w:tcMar>
              <w:top w:w="0" w:type="dxa"/>
              <w:left w:w="108" w:type="dxa"/>
              <w:bottom w:w="0" w:type="dxa"/>
              <w:right w:w="108" w:type="dxa"/>
            </w:tcMar>
            <w:hideMark/>
          </w:tcPr>
          <w:p w:rsidR="003573CD" w:rsidRPr="00BD7CEA" w:rsidRDefault="00ED0F02" w:rsidP="00554A35">
            <w:pPr>
              <w:rPr>
                <w:rFonts w:eastAsia="Calibri" w:cs="Tahoma"/>
                <w:szCs w:val="18"/>
              </w:rPr>
            </w:pPr>
            <w:r w:rsidRPr="00BD7CEA">
              <w:rPr>
                <w:rFonts w:cs="Tahoma"/>
                <w:szCs w:val="18"/>
              </w:rPr>
              <w:t>Desktop School con Enterprise CAL Suite</w:t>
            </w:r>
          </w:p>
        </w:tc>
      </w:tr>
      <w:tr w:rsidR="003573CD" w:rsidRPr="00BD7CEA" w:rsidTr="001E3F7D">
        <w:tc>
          <w:tcPr>
            <w:tcW w:w="4230" w:type="dxa"/>
            <w:tcMar>
              <w:top w:w="0" w:type="dxa"/>
              <w:left w:w="108" w:type="dxa"/>
              <w:bottom w:w="0" w:type="dxa"/>
              <w:right w:w="108" w:type="dxa"/>
            </w:tcMar>
            <w:hideMark/>
          </w:tcPr>
          <w:p w:rsidR="003573CD" w:rsidRPr="00BD7CEA" w:rsidRDefault="003573CD" w:rsidP="00554A35">
            <w:pPr>
              <w:rPr>
                <w:rFonts w:eastAsia="Calibri" w:cs="Tahoma"/>
                <w:szCs w:val="18"/>
                <w:lang w:val="fr-FR"/>
              </w:rPr>
            </w:pPr>
            <w:r w:rsidRPr="00BD7CEA">
              <w:rPr>
                <w:rFonts w:cs="Tahoma"/>
                <w:szCs w:val="18"/>
              </w:rPr>
              <w:t>Exchange Server Standard</w:t>
            </w:r>
          </w:p>
        </w:tc>
        <w:tc>
          <w:tcPr>
            <w:tcW w:w="4230" w:type="dxa"/>
            <w:tcMar>
              <w:top w:w="0" w:type="dxa"/>
              <w:left w:w="108" w:type="dxa"/>
              <w:bottom w:w="0" w:type="dxa"/>
              <w:right w:w="108" w:type="dxa"/>
            </w:tcMar>
            <w:hideMark/>
          </w:tcPr>
          <w:p w:rsidR="003573CD" w:rsidRPr="00BD7CEA" w:rsidRDefault="003573CD" w:rsidP="00554A35">
            <w:pPr>
              <w:rPr>
                <w:rFonts w:eastAsia="Calibri" w:cs="Tahoma"/>
                <w:szCs w:val="18"/>
              </w:rPr>
            </w:pPr>
            <w:r w:rsidRPr="00BD7CEA">
              <w:rPr>
                <w:rFonts w:cs="Tahoma"/>
                <w:szCs w:val="18"/>
              </w:rPr>
              <w:t>Exchange Server Enterprise</w:t>
            </w:r>
          </w:p>
        </w:tc>
      </w:tr>
      <w:tr w:rsidR="004D4D43" w:rsidRPr="00BD7CEA" w:rsidTr="001E3F7D">
        <w:tc>
          <w:tcPr>
            <w:tcW w:w="4230" w:type="dxa"/>
            <w:tcMar>
              <w:top w:w="0" w:type="dxa"/>
              <w:left w:w="108" w:type="dxa"/>
              <w:bottom w:w="0" w:type="dxa"/>
              <w:right w:w="108" w:type="dxa"/>
            </w:tcMar>
          </w:tcPr>
          <w:p w:rsidR="004D4D43" w:rsidRPr="00BD7CEA" w:rsidRDefault="004D4D43" w:rsidP="00AB4C80">
            <w:pPr>
              <w:rPr>
                <w:rFonts w:cs="Tahoma"/>
                <w:szCs w:val="18"/>
              </w:rPr>
            </w:pPr>
            <w:r w:rsidRPr="00BD7CEA">
              <w:rPr>
                <w:rFonts w:cs="Tahoma"/>
                <w:szCs w:val="18"/>
              </w:rPr>
              <w:t>Forefront TMG Standard</w:t>
            </w:r>
          </w:p>
        </w:tc>
        <w:tc>
          <w:tcPr>
            <w:tcW w:w="4230" w:type="dxa"/>
            <w:tcMar>
              <w:top w:w="0" w:type="dxa"/>
              <w:left w:w="108" w:type="dxa"/>
              <w:bottom w:w="0" w:type="dxa"/>
              <w:right w:w="108" w:type="dxa"/>
            </w:tcMar>
          </w:tcPr>
          <w:p w:rsidR="004D4D43" w:rsidRPr="00BD7CEA" w:rsidRDefault="004D4D43" w:rsidP="00AB4C80">
            <w:pPr>
              <w:rPr>
                <w:rFonts w:cs="Tahoma"/>
                <w:szCs w:val="18"/>
              </w:rPr>
            </w:pPr>
            <w:r w:rsidRPr="00BD7CEA">
              <w:rPr>
                <w:rFonts w:cs="Tahoma"/>
                <w:szCs w:val="18"/>
              </w:rPr>
              <w:t>Forefront TMG Enterprise</w:t>
            </w:r>
          </w:p>
        </w:tc>
      </w:tr>
      <w:tr w:rsidR="003573CD" w:rsidRPr="00BD7CEA" w:rsidTr="001E3F7D">
        <w:tc>
          <w:tcPr>
            <w:tcW w:w="4230" w:type="dxa"/>
            <w:tcMar>
              <w:top w:w="0" w:type="dxa"/>
              <w:left w:w="108" w:type="dxa"/>
              <w:bottom w:w="0" w:type="dxa"/>
              <w:right w:w="108" w:type="dxa"/>
            </w:tcMar>
            <w:hideMark/>
          </w:tcPr>
          <w:p w:rsidR="003573CD" w:rsidRPr="00BD7CEA" w:rsidRDefault="003573CD" w:rsidP="00554A35">
            <w:pPr>
              <w:rPr>
                <w:rFonts w:eastAsia="Calibri" w:cs="Tahoma"/>
                <w:szCs w:val="18"/>
              </w:rPr>
            </w:pPr>
            <w:r w:rsidRPr="00BD7CEA">
              <w:rPr>
                <w:rFonts w:cs="Tahoma"/>
                <w:szCs w:val="18"/>
              </w:rPr>
              <w:lastRenderedPageBreak/>
              <w:t>Internet Security &amp; Acceleration (ISA) Standard Server</w:t>
            </w:r>
          </w:p>
        </w:tc>
        <w:tc>
          <w:tcPr>
            <w:tcW w:w="4230" w:type="dxa"/>
            <w:tcMar>
              <w:top w:w="0" w:type="dxa"/>
              <w:left w:w="108" w:type="dxa"/>
              <w:bottom w:w="0" w:type="dxa"/>
              <w:right w:w="108" w:type="dxa"/>
            </w:tcMar>
            <w:hideMark/>
          </w:tcPr>
          <w:p w:rsidR="003573CD" w:rsidRPr="00BD7CEA" w:rsidRDefault="003573CD" w:rsidP="00554A35">
            <w:pPr>
              <w:rPr>
                <w:rFonts w:eastAsia="Calibri" w:cs="Tahoma"/>
                <w:szCs w:val="18"/>
              </w:rPr>
            </w:pPr>
            <w:r w:rsidRPr="00BD7CEA">
              <w:rPr>
                <w:rFonts w:cs="Tahoma"/>
                <w:szCs w:val="18"/>
              </w:rPr>
              <w:t>Internet Security and Acceleration (ISA) Enterprise Server</w:t>
            </w:r>
          </w:p>
        </w:tc>
      </w:tr>
      <w:tr w:rsidR="00781A60" w:rsidRPr="00BD7CEA" w:rsidTr="001E3F7D">
        <w:tc>
          <w:tcPr>
            <w:tcW w:w="4230" w:type="dxa"/>
            <w:tcMar>
              <w:top w:w="0" w:type="dxa"/>
              <w:left w:w="108" w:type="dxa"/>
              <w:bottom w:w="0" w:type="dxa"/>
              <w:right w:w="108" w:type="dxa"/>
            </w:tcMar>
          </w:tcPr>
          <w:p w:rsidR="00781A60" w:rsidRPr="00BD7CEA" w:rsidRDefault="00781A60" w:rsidP="00554A35">
            <w:pPr>
              <w:rPr>
                <w:rFonts w:cs="Tahoma"/>
                <w:szCs w:val="18"/>
              </w:rPr>
            </w:pPr>
            <w:r w:rsidRPr="00BD7CEA">
              <w:rPr>
                <w:rFonts w:cs="Tahoma"/>
                <w:szCs w:val="18"/>
              </w:rPr>
              <w:t>Microsoft Dynamics CRM Workgroup Server 2011</w:t>
            </w:r>
          </w:p>
        </w:tc>
        <w:tc>
          <w:tcPr>
            <w:tcW w:w="4230" w:type="dxa"/>
            <w:tcMar>
              <w:top w:w="0" w:type="dxa"/>
              <w:left w:w="108" w:type="dxa"/>
              <w:bottom w:w="0" w:type="dxa"/>
              <w:right w:w="108" w:type="dxa"/>
            </w:tcMar>
          </w:tcPr>
          <w:p w:rsidR="00781A60" w:rsidRPr="00BD7CEA" w:rsidRDefault="00781A60" w:rsidP="00554A35">
            <w:pPr>
              <w:rPr>
                <w:rFonts w:cs="Tahoma"/>
                <w:szCs w:val="18"/>
              </w:rPr>
            </w:pPr>
            <w:r w:rsidRPr="00BD7CEA">
              <w:rPr>
                <w:rFonts w:cs="Tahoma"/>
                <w:szCs w:val="18"/>
              </w:rPr>
              <w:t>Microsoft Dynamics CRM Server 2011</w:t>
            </w:r>
          </w:p>
        </w:tc>
      </w:tr>
      <w:tr w:rsidR="003573CD" w:rsidRPr="00BD7CEA" w:rsidTr="001E3F7D">
        <w:tc>
          <w:tcPr>
            <w:tcW w:w="4230" w:type="dxa"/>
            <w:tcMar>
              <w:top w:w="0" w:type="dxa"/>
              <w:left w:w="108" w:type="dxa"/>
              <w:bottom w:w="0" w:type="dxa"/>
              <w:right w:w="108" w:type="dxa"/>
            </w:tcMar>
            <w:hideMark/>
          </w:tcPr>
          <w:p w:rsidR="003573CD" w:rsidRPr="00BD7CEA" w:rsidRDefault="003573CD" w:rsidP="00554A35">
            <w:pPr>
              <w:rPr>
                <w:rFonts w:eastAsia="Calibri" w:cs="Tahoma"/>
                <w:szCs w:val="18"/>
              </w:rPr>
            </w:pPr>
            <w:r w:rsidRPr="00BD7CEA">
              <w:rPr>
                <w:rFonts w:cs="Tahoma"/>
                <w:szCs w:val="18"/>
              </w:rPr>
              <w:t xml:space="preserve">Office Standard </w:t>
            </w:r>
          </w:p>
        </w:tc>
        <w:tc>
          <w:tcPr>
            <w:tcW w:w="4230" w:type="dxa"/>
            <w:tcMar>
              <w:top w:w="0" w:type="dxa"/>
              <w:left w:w="108" w:type="dxa"/>
              <w:bottom w:w="0" w:type="dxa"/>
              <w:right w:w="108" w:type="dxa"/>
            </w:tcMar>
            <w:hideMark/>
          </w:tcPr>
          <w:p w:rsidR="003573CD" w:rsidRPr="00BD7CEA" w:rsidRDefault="003573CD" w:rsidP="00554A35">
            <w:pPr>
              <w:rPr>
                <w:rFonts w:eastAsia="Calibri" w:cs="Tahoma"/>
                <w:szCs w:val="18"/>
                <w:lang w:val="fr-FR"/>
              </w:rPr>
            </w:pPr>
            <w:r w:rsidRPr="00BD7CEA">
              <w:rPr>
                <w:rFonts w:cs="Tahoma"/>
                <w:szCs w:val="18"/>
              </w:rPr>
              <w:t xml:space="preserve">Office Professional Plus </w:t>
            </w:r>
          </w:p>
        </w:tc>
      </w:tr>
      <w:tr w:rsidR="003573CD" w:rsidRPr="00BD7CEA" w:rsidTr="001E3F7D">
        <w:tc>
          <w:tcPr>
            <w:tcW w:w="4230" w:type="dxa"/>
            <w:tcMar>
              <w:top w:w="0" w:type="dxa"/>
              <w:left w:w="108" w:type="dxa"/>
              <w:bottom w:w="0" w:type="dxa"/>
              <w:right w:w="108" w:type="dxa"/>
            </w:tcMar>
            <w:hideMark/>
          </w:tcPr>
          <w:p w:rsidR="003573CD" w:rsidRPr="00BD7CEA" w:rsidRDefault="003573CD" w:rsidP="00554A35">
            <w:pPr>
              <w:rPr>
                <w:rFonts w:eastAsia="Calibri" w:cs="Tahoma"/>
                <w:szCs w:val="18"/>
              </w:rPr>
            </w:pPr>
            <w:r w:rsidRPr="00BD7CEA">
              <w:rPr>
                <w:rFonts w:cs="Tahoma"/>
                <w:szCs w:val="18"/>
              </w:rPr>
              <w:t>Professional Desktop</w:t>
            </w:r>
          </w:p>
        </w:tc>
        <w:tc>
          <w:tcPr>
            <w:tcW w:w="4230" w:type="dxa"/>
            <w:tcMar>
              <w:top w:w="0" w:type="dxa"/>
              <w:left w:w="108" w:type="dxa"/>
              <w:bottom w:w="0" w:type="dxa"/>
              <w:right w:w="108" w:type="dxa"/>
            </w:tcMar>
            <w:hideMark/>
          </w:tcPr>
          <w:p w:rsidR="003573CD" w:rsidRPr="00BD7CEA" w:rsidRDefault="003573CD" w:rsidP="00554A35">
            <w:pPr>
              <w:rPr>
                <w:rFonts w:eastAsia="Calibri" w:cs="Tahoma"/>
                <w:szCs w:val="18"/>
              </w:rPr>
            </w:pPr>
            <w:r w:rsidRPr="00BD7CEA">
              <w:rPr>
                <w:rFonts w:cs="Tahoma"/>
                <w:szCs w:val="18"/>
              </w:rPr>
              <w:t>Enterprise Desktop</w:t>
            </w:r>
          </w:p>
        </w:tc>
      </w:tr>
      <w:tr w:rsidR="008925CF" w:rsidRPr="00BD7CEA" w:rsidTr="001E3F7D">
        <w:tc>
          <w:tcPr>
            <w:tcW w:w="4230" w:type="dxa"/>
            <w:tcMar>
              <w:top w:w="0" w:type="dxa"/>
              <w:left w:w="108" w:type="dxa"/>
              <w:bottom w:w="0" w:type="dxa"/>
              <w:right w:w="108" w:type="dxa"/>
            </w:tcMar>
            <w:hideMark/>
          </w:tcPr>
          <w:p w:rsidR="008925CF" w:rsidRPr="00BD7CEA" w:rsidRDefault="008925CF" w:rsidP="008925CF">
            <w:pPr>
              <w:rPr>
                <w:rFonts w:cs="Tahoma"/>
                <w:color w:val="000000"/>
                <w:szCs w:val="18"/>
              </w:rPr>
            </w:pPr>
            <w:r w:rsidRPr="00BD7CEA">
              <w:rPr>
                <w:rFonts w:cs="Tahoma"/>
                <w:color w:val="000000"/>
                <w:szCs w:val="18"/>
              </w:rPr>
              <w:t>Professional Desktop con Microsoft</w:t>
            </w:r>
            <w:bookmarkStart w:id="971" w:name="_Toc236810936"/>
            <w:r w:rsidRPr="00BD7CEA">
              <w:rPr>
                <w:rFonts w:cs="Tahoma"/>
                <w:color w:val="000000"/>
                <w:szCs w:val="18"/>
              </w:rPr>
              <w:t xml:space="preserve"> Desktop Optimization Pack </w:t>
            </w:r>
            <w:bookmarkEnd w:id="971"/>
          </w:p>
        </w:tc>
        <w:tc>
          <w:tcPr>
            <w:tcW w:w="4230" w:type="dxa"/>
            <w:tcMar>
              <w:top w:w="0" w:type="dxa"/>
              <w:left w:w="108" w:type="dxa"/>
              <w:bottom w:w="0" w:type="dxa"/>
              <w:right w:w="108" w:type="dxa"/>
            </w:tcMar>
            <w:hideMark/>
          </w:tcPr>
          <w:p w:rsidR="008925CF" w:rsidRPr="00BD7CEA" w:rsidRDefault="008925CF" w:rsidP="00554A35">
            <w:pPr>
              <w:rPr>
                <w:rFonts w:cs="Tahoma"/>
                <w:color w:val="000000"/>
                <w:szCs w:val="18"/>
              </w:rPr>
            </w:pPr>
            <w:r w:rsidRPr="00BD7CEA">
              <w:rPr>
                <w:rFonts w:cs="Tahoma"/>
                <w:color w:val="000000"/>
                <w:szCs w:val="18"/>
              </w:rPr>
              <w:t>Enterprise Desktop con Microsoft Desktop Optimization Pack</w:t>
            </w:r>
          </w:p>
        </w:tc>
      </w:tr>
      <w:tr w:rsidR="009F254F" w:rsidRPr="00BD7CEA" w:rsidTr="001E3F7D">
        <w:tc>
          <w:tcPr>
            <w:tcW w:w="4230" w:type="dxa"/>
            <w:tcMar>
              <w:top w:w="0" w:type="dxa"/>
              <w:left w:w="108" w:type="dxa"/>
              <w:bottom w:w="0" w:type="dxa"/>
              <w:right w:w="108" w:type="dxa"/>
            </w:tcMar>
            <w:hideMark/>
          </w:tcPr>
          <w:p w:rsidR="009F254F" w:rsidRPr="00BD7CEA" w:rsidRDefault="009F254F" w:rsidP="00CA4488">
            <w:pPr>
              <w:rPr>
                <w:rFonts w:eastAsia="Calibri" w:cs="Tahoma"/>
                <w:color w:val="000000"/>
                <w:szCs w:val="18"/>
              </w:rPr>
            </w:pPr>
            <w:r w:rsidRPr="00BD7CEA">
              <w:rPr>
                <w:rFonts w:cs="Tahoma"/>
                <w:color w:val="000000"/>
                <w:szCs w:val="18"/>
              </w:rPr>
              <w:t xml:space="preserve">Project Standard </w:t>
            </w:r>
          </w:p>
        </w:tc>
        <w:tc>
          <w:tcPr>
            <w:tcW w:w="4230" w:type="dxa"/>
            <w:tcMar>
              <w:top w:w="0" w:type="dxa"/>
              <w:left w:w="108" w:type="dxa"/>
              <w:bottom w:w="0" w:type="dxa"/>
              <w:right w:w="108" w:type="dxa"/>
            </w:tcMar>
            <w:hideMark/>
          </w:tcPr>
          <w:p w:rsidR="009F254F" w:rsidRPr="00BD7CEA" w:rsidRDefault="009F254F" w:rsidP="00CA4488">
            <w:pPr>
              <w:rPr>
                <w:rFonts w:eastAsia="Calibri" w:cs="Tahoma"/>
                <w:color w:val="000000"/>
                <w:szCs w:val="18"/>
              </w:rPr>
            </w:pPr>
            <w:r w:rsidRPr="00BD7CEA">
              <w:rPr>
                <w:rFonts w:cs="Tahoma"/>
                <w:color w:val="000000"/>
                <w:szCs w:val="18"/>
              </w:rPr>
              <w:t xml:space="preserve">Project Professional </w:t>
            </w:r>
          </w:p>
        </w:tc>
      </w:tr>
      <w:tr w:rsidR="003573CD" w:rsidRPr="00BD7CEA" w:rsidTr="001E3F7D">
        <w:tc>
          <w:tcPr>
            <w:tcW w:w="4230" w:type="dxa"/>
            <w:tcMar>
              <w:top w:w="0" w:type="dxa"/>
              <w:left w:w="108" w:type="dxa"/>
              <w:bottom w:w="0" w:type="dxa"/>
              <w:right w:w="108" w:type="dxa"/>
            </w:tcMar>
            <w:hideMark/>
          </w:tcPr>
          <w:p w:rsidR="003573CD" w:rsidRPr="00BD7CEA" w:rsidRDefault="003573CD" w:rsidP="00554A35">
            <w:pPr>
              <w:rPr>
                <w:rFonts w:eastAsia="Calibri" w:cs="Tahoma"/>
                <w:color w:val="000000"/>
                <w:szCs w:val="18"/>
              </w:rPr>
            </w:pPr>
            <w:r w:rsidRPr="00BD7CEA">
              <w:rPr>
                <w:rFonts w:cs="Tahoma"/>
                <w:color w:val="000000"/>
                <w:szCs w:val="18"/>
              </w:rPr>
              <w:t>SQL Server ™ Standard Core</w:t>
            </w:r>
          </w:p>
        </w:tc>
        <w:tc>
          <w:tcPr>
            <w:tcW w:w="4230" w:type="dxa"/>
            <w:tcMar>
              <w:top w:w="0" w:type="dxa"/>
              <w:left w:w="108" w:type="dxa"/>
              <w:bottom w:w="0" w:type="dxa"/>
              <w:right w:w="108" w:type="dxa"/>
            </w:tcMar>
            <w:hideMark/>
          </w:tcPr>
          <w:p w:rsidR="003573CD" w:rsidRPr="00BD7CEA" w:rsidRDefault="003573CD" w:rsidP="00554A35">
            <w:pPr>
              <w:rPr>
                <w:rFonts w:eastAsia="Calibri" w:cs="Tahoma"/>
                <w:color w:val="000000"/>
                <w:szCs w:val="18"/>
              </w:rPr>
            </w:pPr>
            <w:r w:rsidRPr="00BD7CEA">
              <w:rPr>
                <w:rFonts w:cs="Tahoma"/>
                <w:color w:val="000000"/>
                <w:szCs w:val="18"/>
              </w:rPr>
              <w:t>SQL Server ™ Enterprise Core</w:t>
            </w:r>
          </w:p>
        </w:tc>
      </w:tr>
      <w:tr w:rsidR="00270F92" w:rsidRPr="00BD7CEA" w:rsidTr="001E3F7D">
        <w:tc>
          <w:tcPr>
            <w:tcW w:w="4230" w:type="dxa"/>
            <w:tcMar>
              <w:top w:w="0" w:type="dxa"/>
              <w:left w:w="108" w:type="dxa"/>
              <w:bottom w:w="0" w:type="dxa"/>
              <w:right w:w="108" w:type="dxa"/>
            </w:tcMar>
            <w:hideMark/>
          </w:tcPr>
          <w:p w:rsidR="00270F92" w:rsidRPr="00BD7CEA" w:rsidRDefault="00270F92" w:rsidP="00270F92">
            <w:pPr>
              <w:rPr>
                <w:rFonts w:eastAsia="Calibri" w:cs="Tahoma"/>
                <w:szCs w:val="18"/>
              </w:rPr>
            </w:pPr>
            <w:r w:rsidRPr="00BD7CEA">
              <w:rPr>
                <w:rFonts w:cs="Tahoma"/>
                <w:szCs w:val="18"/>
              </w:rPr>
              <w:t xml:space="preserve">SQL Server ™ </w:t>
            </w:r>
            <w:r w:rsidRPr="00BD7CEA">
              <w:rPr>
                <w:rFonts w:cs="Tahoma"/>
                <w:color w:val="000000"/>
                <w:szCs w:val="18"/>
              </w:rPr>
              <w:t>Standard</w:t>
            </w:r>
          </w:p>
        </w:tc>
        <w:tc>
          <w:tcPr>
            <w:tcW w:w="4230" w:type="dxa"/>
            <w:tcMar>
              <w:top w:w="0" w:type="dxa"/>
              <w:left w:w="108" w:type="dxa"/>
              <w:bottom w:w="0" w:type="dxa"/>
              <w:right w:w="108" w:type="dxa"/>
            </w:tcMar>
            <w:hideMark/>
          </w:tcPr>
          <w:p w:rsidR="00270F92" w:rsidRPr="00BD7CEA" w:rsidRDefault="00270F92" w:rsidP="00BB516F">
            <w:pPr>
              <w:rPr>
                <w:rFonts w:eastAsia="Calibri" w:cs="Tahoma"/>
                <w:szCs w:val="18"/>
              </w:rPr>
            </w:pPr>
            <w:r w:rsidRPr="00BD7CEA">
              <w:rPr>
                <w:rFonts w:cs="Tahoma"/>
                <w:szCs w:val="18"/>
              </w:rPr>
              <w:t>SQL Server ™ Business Intelligence</w:t>
            </w:r>
          </w:p>
        </w:tc>
      </w:tr>
      <w:tr w:rsidR="003573CD" w:rsidRPr="00BD7CEA" w:rsidTr="001E3F7D">
        <w:tc>
          <w:tcPr>
            <w:tcW w:w="4230" w:type="dxa"/>
            <w:tcMar>
              <w:top w:w="0" w:type="dxa"/>
              <w:left w:w="108" w:type="dxa"/>
              <w:bottom w:w="0" w:type="dxa"/>
              <w:right w:w="108" w:type="dxa"/>
            </w:tcMar>
            <w:hideMark/>
          </w:tcPr>
          <w:p w:rsidR="003573CD" w:rsidRPr="00BD7CEA" w:rsidRDefault="00D04131" w:rsidP="00554A35">
            <w:pPr>
              <w:rPr>
                <w:rFonts w:eastAsia="Calibri" w:cs="Tahoma"/>
                <w:szCs w:val="18"/>
              </w:rPr>
            </w:pPr>
            <w:r w:rsidRPr="00BD7CEA">
              <w:rPr>
                <w:rFonts w:cs="Tahoma"/>
                <w:szCs w:val="18"/>
              </w:rPr>
              <w:t>System Center 2012 Standard</w:t>
            </w:r>
          </w:p>
        </w:tc>
        <w:tc>
          <w:tcPr>
            <w:tcW w:w="4230" w:type="dxa"/>
            <w:tcMar>
              <w:top w:w="0" w:type="dxa"/>
              <w:left w:w="108" w:type="dxa"/>
              <w:bottom w:w="0" w:type="dxa"/>
              <w:right w:w="108" w:type="dxa"/>
            </w:tcMar>
            <w:hideMark/>
          </w:tcPr>
          <w:p w:rsidR="003573CD" w:rsidRPr="00BD7CEA" w:rsidRDefault="00D04131" w:rsidP="00554A35">
            <w:pPr>
              <w:rPr>
                <w:rFonts w:eastAsia="Calibri" w:cs="Tahoma"/>
                <w:szCs w:val="18"/>
              </w:rPr>
            </w:pPr>
            <w:r w:rsidRPr="00BD7CEA">
              <w:rPr>
                <w:rFonts w:cs="Tahoma"/>
                <w:szCs w:val="18"/>
              </w:rPr>
              <w:t>System Center 2012 Datacenter</w:t>
            </w:r>
          </w:p>
        </w:tc>
      </w:tr>
      <w:tr w:rsidR="009F254F" w:rsidRPr="00BD7CEA" w:rsidTr="001E3F7D">
        <w:tc>
          <w:tcPr>
            <w:tcW w:w="4230" w:type="dxa"/>
            <w:tcMar>
              <w:top w:w="0" w:type="dxa"/>
              <w:left w:w="108" w:type="dxa"/>
              <w:bottom w:w="0" w:type="dxa"/>
              <w:right w:w="108" w:type="dxa"/>
            </w:tcMar>
            <w:hideMark/>
          </w:tcPr>
          <w:p w:rsidR="009F254F" w:rsidRPr="00BD7CEA" w:rsidRDefault="009F254F" w:rsidP="00CA4488">
            <w:pPr>
              <w:rPr>
                <w:rFonts w:eastAsia="Calibri" w:cs="Tahoma"/>
                <w:color w:val="000000"/>
                <w:szCs w:val="18"/>
              </w:rPr>
            </w:pPr>
            <w:r w:rsidRPr="00BD7CEA">
              <w:rPr>
                <w:rFonts w:cs="Tahoma"/>
                <w:color w:val="000000"/>
                <w:szCs w:val="18"/>
              </w:rPr>
              <w:t>Visio</w:t>
            </w:r>
            <w:r w:rsidR="00700C4B" w:rsidRPr="00BD7CEA">
              <w:rPr>
                <w:rFonts w:cs="Tahoma"/>
                <w:color w:val="000000"/>
                <w:szCs w:val="18"/>
                <w:vertAlign w:val="superscript"/>
              </w:rPr>
              <w:t>®</w:t>
            </w:r>
            <w:r w:rsidRPr="00BD7CEA">
              <w:rPr>
                <w:rFonts w:cs="Tahoma"/>
                <w:color w:val="000000"/>
                <w:szCs w:val="18"/>
              </w:rPr>
              <w:t xml:space="preserve"> Standard</w:t>
            </w:r>
          </w:p>
        </w:tc>
        <w:tc>
          <w:tcPr>
            <w:tcW w:w="4230" w:type="dxa"/>
            <w:tcMar>
              <w:top w:w="0" w:type="dxa"/>
              <w:left w:w="108" w:type="dxa"/>
              <w:bottom w:w="0" w:type="dxa"/>
              <w:right w:w="108" w:type="dxa"/>
            </w:tcMar>
            <w:hideMark/>
          </w:tcPr>
          <w:p w:rsidR="009F254F" w:rsidRPr="00BD7CEA" w:rsidRDefault="009F254F" w:rsidP="00CA4488">
            <w:pPr>
              <w:rPr>
                <w:rFonts w:eastAsia="Calibri" w:cs="Tahoma"/>
                <w:color w:val="000000"/>
                <w:szCs w:val="18"/>
              </w:rPr>
            </w:pPr>
            <w:r w:rsidRPr="00BD7CEA">
              <w:rPr>
                <w:rFonts w:cs="Tahoma"/>
                <w:color w:val="000000"/>
                <w:szCs w:val="18"/>
              </w:rPr>
              <w:t>Visio</w:t>
            </w:r>
            <w:r w:rsidR="00700C4B" w:rsidRPr="00BD7CEA">
              <w:rPr>
                <w:rFonts w:cs="Tahoma"/>
                <w:color w:val="000000"/>
                <w:szCs w:val="18"/>
                <w:vertAlign w:val="superscript"/>
              </w:rPr>
              <w:t>®</w:t>
            </w:r>
            <w:r w:rsidRPr="00BD7CEA">
              <w:rPr>
                <w:rFonts w:cs="Tahoma"/>
                <w:color w:val="000000"/>
                <w:szCs w:val="18"/>
              </w:rPr>
              <w:t xml:space="preserve"> Professional</w:t>
            </w:r>
          </w:p>
        </w:tc>
      </w:tr>
      <w:tr w:rsidR="009F254F" w:rsidRPr="00BD7CEA" w:rsidTr="001E3F7D">
        <w:tc>
          <w:tcPr>
            <w:tcW w:w="4230" w:type="dxa"/>
            <w:tcMar>
              <w:top w:w="0" w:type="dxa"/>
              <w:left w:w="108" w:type="dxa"/>
              <w:bottom w:w="0" w:type="dxa"/>
              <w:right w:w="108" w:type="dxa"/>
            </w:tcMar>
            <w:hideMark/>
          </w:tcPr>
          <w:p w:rsidR="009F254F" w:rsidRPr="007B74B7" w:rsidRDefault="009F254F" w:rsidP="00CA4488">
            <w:pPr>
              <w:rPr>
                <w:rFonts w:eastAsia="Calibri" w:cs="Tahoma"/>
                <w:color w:val="000000"/>
                <w:szCs w:val="18"/>
                <w:lang w:val="it-IT"/>
              </w:rPr>
            </w:pPr>
            <w:r w:rsidRPr="007B74B7">
              <w:rPr>
                <w:rFonts w:cs="Tahoma"/>
                <w:color w:val="000000"/>
                <w:szCs w:val="18"/>
                <w:lang w:val="it-IT"/>
              </w:rPr>
              <w:t>Visual Studio Professional con MSDN</w:t>
            </w:r>
          </w:p>
        </w:tc>
        <w:tc>
          <w:tcPr>
            <w:tcW w:w="4230" w:type="dxa"/>
            <w:tcMar>
              <w:top w:w="0" w:type="dxa"/>
              <w:left w:w="108" w:type="dxa"/>
              <w:bottom w:w="0" w:type="dxa"/>
              <w:right w:w="108" w:type="dxa"/>
            </w:tcMar>
            <w:hideMark/>
          </w:tcPr>
          <w:p w:rsidR="009F254F" w:rsidRPr="00BD7CEA" w:rsidRDefault="009F254F" w:rsidP="00CA4488">
            <w:pPr>
              <w:rPr>
                <w:rFonts w:eastAsia="Calibri" w:cs="Tahoma"/>
                <w:color w:val="000000"/>
                <w:szCs w:val="18"/>
              </w:rPr>
            </w:pPr>
            <w:r w:rsidRPr="00BD7CEA">
              <w:rPr>
                <w:rFonts w:cs="Tahoma"/>
                <w:color w:val="000000"/>
                <w:szCs w:val="18"/>
              </w:rPr>
              <w:t>Visual Studio Premium con MSDN</w:t>
            </w:r>
          </w:p>
        </w:tc>
      </w:tr>
      <w:tr w:rsidR="009F254F" w:rsidRPr="007B74B7" w:rsidTr="001E3F7D">
        <w:tc>
          <w:tcPr>
            <w:tcW w:w="4230" w:type="dxa"/>
            <w:tcMar>
              <w:top w:w="0" w:type="dxa"/>
              <w:left w:w="108" w:type="dxa"/>
              <w:bottom w:w="0" w:type="dxa"/>
              <w:right w:w="108" w:type="dxa"/>
            </w:tcMar>
            <w:hideMark/>
          </w:tcPr>
          <w:p w:rsidR="009F254F" w:rsidRPr="00BD7CEA" w:rsidRDefault="009F254F" w:rsidP="00CA4488">
            <w:pPr>
              <w:rPr>
                <w:rFonts w:eastAsia="Calibri" w:cs="Tahoma"/>
                <w:szCs w:val="18"/>
              </w:rPr>
            </w:pPr>
            <w:r w:rsidRPr="00BD7CEA">
              <w:rPr>
                <w:rFonts w:cs="Tahoma"/>
                <w:szCs w:val="18"/>
              </w:rPr>
              <w:t>Visual Studio Premium con MSDN</w:t>
            </w:r>
          </w:p>
        </w:tc>
        <w:tc>
          <w:tcPr>
            <w:tcW w:w="4230" w:type="dxa"/>
            <w:tcMar>
              <w:top w:w="0" w:type="dxa"/>
              <w:left w:w="108" w:type="dxa"/>
              <w:bottom w:w="0" w:type="dxa"/>
              <w:right w:w="108" w:type="dxa"/>
            </w:tcMar>
            <w:hideMark/>
          </w:tcPr>
          <w:p w:rsidR="009F254F" w:rsidRPr="007B74B7" w:rsidRDefault="009F254F" w:rsidP="00CA4488">
            <w:pPr>
              <w:rPr>
                <w:rFonts w:eastAsia="Calibri" w:cs="Tahoma"/>
                <w:szCs w:val="18"/>
                <w:lang w:val="it-IT"/>
              </w:rPr>
            </w:pPr>
            <w:r w:rsidRPr="007B74B7">
              <w:rPr>
                <w:rFonts w:cs="Tahoma"/>
                <w:szCs w:val="18"/>
                <w:lang w:val="it-IT"/>
              </w:rPr>
              <w:t>Visual Studio Ultimate con MSDN</w:t>
            </w:r>
          </w:p>
        </w:tc>
      </w:tr>
      <w:tr w:rsidR="009F254F" w:rsidRPr="00BD7CEA" w:rsidTr="001E3F7D">
        <w:tc>
          <w:tcPr>
            <w:tcW w:w="4230" w:type="dxa"/>
            <w:tcMar>
              <w:top w:w="0" w:type="dxa"/>
              <w:left w:w="108" w:type="dxa"/>
              <w:bottom w:w="0" w:type="dxa"/>
              <w:right w:w="108" w:type="dxa"/>
            </w:tcMar>
            <w:hideMark/>
          </w:tcPr>
          <w:p w:rsidR="009F254F" w:rsidRPr="00BD7CEA" w:rsidRDefault="009F254F" w:rsidP="00CA4488">
            <w:pPr>
              <w:rPr>
                <w:rFonts w:eastAsia="Calibri" w:cs="Tahoma"/>
                <w:szCs w:val="18"/>
              </w:rPr>
            </w:pPr>
            <w:r w:rsidRPr="00BD7CEA">
              <w:rPr>
                <w:rFonts w:cs="Tahoma"/>
                <w:szCs w:val="18"/>
              </w:rPr>
              <w:t>Visual Studio Test Professional con MSDN</w:t>
            </w:r>
          </w:p>
        </w:tc>
        <w:tc>
          <w:tcPr>
            <w:tcW w:w="4230" w:type="dxa"/>
            <w:tcMar>
              <w:top w:w="0" w:type="dxa"/>
              <w:left w:w="108" w:type="dxa"/>
              <w:bottom w:w="0" w:type="dxa"/>
              <w:right w:w="108" w:type="dxa"/>
            </w:tcMar>
            <w:hideMark/>
          </w:tcPr>
          <w:p w:rsidR="009F254F" w:rsidRPr="00BD7CEA" w:rsidRDefault="009F254F" w:rsidP="007E710C">
            <w:pPr>
              <w:rPr>
                <w:rFonts w:eastAsia="Calibri" w:cs="Tahoma"/>
                <w:szCs w:val="18"/>
              </w:rPr>
            </w:pPr>
            <w:r w:rsidRPr="00BD7CEA">
              <w:rPr>
                <w:rFonts w:cs="Tahoma"/>
                <w:szCs w:val="18"/>
              </w:rPr>
              <w:t>Visual Studio Premium con MSDN</w:t>
            </w:r>
          </w:p>
        </w:tc>
      </w:tr>
      <w:tr w:rsidR="003573CD" w:rsidRPr="00BD7CEA" w:rsidTr="001E3F7D">
        <w:tc>
          <w:tcPr>
            <w:tcW w:w="4230" w:type="dxa"/>
            <w:tcMar>
              <w:top w:w="0" w:type="dxa"/>
              <w:left w:w="108" w:type="dxa"/>
              <w:bottom w:w="0" w:type="dxa"/>
              <w:right w:w="108" w:type="dxa"/>
            </w:tcMar>
            <w:hideMark/>
          </w:tcPr>
          <w:p w:rsidR="003573CD" w:rsidRPr="00BD7CEA" w:rsidRDefault="003573CD" w:rsidP="00554A35">
            <w:pPr>
              <w:rPr>
                <w:rFonts w:eastAsia="Calibri" w:cs="Tahoma"/>
                <w:szCs w:val="18"/>
              </w:rPr>
            </w:pPr>
            <w:r w:rsidRPr="00BD7CEA">
              <w:rPr>
                <w:rFonts w:cs="Tahoma"/>
                <w:szCs w:val="18"/>
              </w:rPr>
              <w:t>Windows</w:t>
            </w:r>
            <w:r w:rsidR="00700C4B" w:rsidRPr="00BD7CEA">
              <w:rPr>
                <w:rFonts w:cs="Tahoma"/>
                <w:szCs w:val="18"/>
                <w:vertAlign w:val="superscript"/>
              </w:rPr>
              <w:t>®</w:t>
            </w:r>
            <w:r w:rsidRPr="00BD7CEA">
              <w:rPr>
                <w:rFonts w:cs="Tahoma"/>
                <w:szCs w:val="18"/>
              </w:rPr>
              <w:t xml:space="preserve"> Server™ Standard</w:t>
            </w:r>
          </w:p>
        </w:tc>
        <w:tc>
          <w:tcPr>
            <w:tcW w:w="4230" w:type="dxa"/>
            <w:tcMar>
              <w:top w:w="0" w:type="dxa"/>
              <w:left w:w="108" w:type="dxa"/>
              <w:bottom w:w="0" w:type="dxa"/>
              <w:right w:w="108" w:type="dxa"/>
            </w:tcMar>
            <w:hideMark/>
          </w:tcPr>
          <w:p w:rsidR="003573CD" w:rsidRPr="00BD7CEA" w:rsidRDefault="003573CD" w:rsidP="00554A35">
            <w:pPr>
              <w:rPr>
                <w:rFonts w:eastAsia="Calibri" w:cs="Tahoma"/>
                <w:szCs w:val="18"/>
              </w:rPr>
            </w:pPr>
            <w:r w:rsidRPr="00BD7CEA">
              <w:rPr>
                <w:rFonts w:cs="Tahoma"/>
                <w:szCs w:val="18"/>
              </w:rPr>
              <w:t>Windows</w:t>
            </w:r>
            <w:r w:rsidR="00700C4B" w:rsidRPr="00BD7CEA">
              <w:rPr>
                <w:rFonts w:cs="Tahoma"/>
                <w:szCs w:val="18"/>
                <w:vertAlign w:val="superscript"/>
              </w:rPr>
              <w:t>®</w:t>
            </w:r>
            <w:r w:rsidRPr="00BD7CEA">
              <w:rPr>
                <w:rFonts w:cs="Tahoma"/>
                <w:szCs w:val="18"/>
              </w:rPr>
              <w:t xml:space="preserve"> Server™ Datacenter</w:t>
            </w:r>
          </w:p>
        </w:tc>
      </w:tr>
    </w:tbl>
    <w:p w:rsidR="003573CD" w:rsidRPr="007B74B7" w:rsidRDefault="003573CD" w:rsidP="003573CD">
      <w:pPr>
        <w:pStyle w:val="AppendixBodyText"/>
        <w:ind w:left="1710" w:hanging="1260"/>
        <w:rPr>
          <w:lang w:val="it-IT"/>
        </w:rPr>
      </w:pPr>
      <w:r w:rsidRPr="007B74B7">
        <w:rPr>
          <w:rFonts w:ascii="Tahoma" w:hAnsi="Tahoma" w:cs="Tahoma"/>
          <w:b/>
          <w:i/>
          <w:sz w:val="16"/>
          <w:szCs w:val="16"/>
          <w:lang w:val="it-IT"/>
        </w:rPr>
        <w:t>*Nota:</w:t>
      </w:r>
      <w:r w:rsidRPr="007B74B7">
        <w:rPr>
          <w:rFonts w:ascii="Tahoma" w:hAnsi="Tahoma" w:cs="Tahoma"/>
          <w:i/>
          <w:sz w:val="16"/>
          <w:szCs w:val="16"/>
          <w:lang w:val="it-IT"/>
        </w:rPr>
        <w:t xml:space="preserve"> La lista dei prodotti per cui sono disponibili Licenze Step-up è soggetta a modifiche.</w:t>
      </w:r>
    </w:p>
    <w:p w:rsidR="003573CD" w:rsidRPr="007B74B7" w:rsidRDefault="003573CD">
      <w:pPr>
        <w:rPr>
          <w:lang w:val="it-IT"/>
        </w:rPr>
      </w:pPr>
    </w:p>
    <w:p w:rsidR="00023FE7" w:rsidRPr="007B74B7" w:rsidRDefault="00023FE7">
      <w:pPr>
        <w:pStyle w:val="AppendixBodyText"/>
        <w:ind w:left="1710" w:hanging="1260"/>
        <w:rPr>
          <w:lang w:val="it-IT"/>
        </w:rPr>
      </w:pPr>
      <w:r w:rsidRPr="007B74B7">
        <w:rPr>
          <w:rFonts w:ascii="Tahoma" w:hAnsi="Tahoma" w:cs="Tahoma"/>
          <w:b/>
          <w:i/>
          <w:lang w:val="it-IT"/>
        </w:rPr>
        <w:t xml:space="preserve"> </w:t>
      </w:r>
    </w:p>
    <w:p w:rsidR="00023FE7" w:rsidRPr="007B74B7" w:rsidRDefault="00CA395A" w:rsidP="003B23CC">
      <w:pPr>
        <w:pStyle w:val="Heading1"/>
        <w:rPr>
          <w:lang w:val="it-IT"/>
        </w:rPr>
      </w:pPr>
      <w:r w:rsidRPr="007B74B7">
        <w:rPr>
          <w:lang w:val="it-IT"/>
        </w:rPr>
        <w:br w:type="page"/>
      </w:r>
      <w:bookmarkStart w:id="972" w:name="_Toc317591256"/>
      <w:bookmarkStart w:id="973" w:name="_Toc336338247"/>
      <w:bookmarkStart w:id="974" w:name="_Toc353376027"/>
      <w:r w:rsidRPr="007B74B7">
        <w:rPr>
          <w:lang w:val="it-IT"/>
        </w:rPr>
        <w:lastRenderedPageBreak/>
        <w:t>ARTICOLO 8</w:t>
      </w:r>
      <w:r w:rsidR="00FD7C0D" w:rsidRPr="007B74B7">
        <w:rPr>
          <w:lang w:val="it-IT"/>
        </w:rPr>
        <w:t xml:space="preserve"> – </w:t>
      </w:r>
      <w:r w:rsidRPr="007B74B7">
        <w:rPr>
          <w:lang w:val="it-IT"/>
        </w:rPr>
        <w:t>Servizi</w:t>
      </w:r>
      <w:bookmarkEnd w:id="972"/>
      <w:bookmarkEnd w:id="973"/>
      <w:bookmarkEnd w:id="974"/>
    </w:p>
    <w:p w:rsidR="00023FE7" w:rsidRPr="007B74B7" w:rsidRDefault="00023FE7">
      <w:pPr>
        <w:rPr>
          <w:lang w:val="it-IT"/>
        </w:rPr>
      </w:pPr>
    </w:p>
    <w:p w:rsidR="00DD7F8E" w:rsidRPr="007B74B7" w:rsidRDefault="00DD7F8E" w:rsidP="00607FE8">
      <w:pPr>
        <w:jc w:val="both"/>
        <w:rPr>
          <w:lang w:val="it-IT"/>
        </w:rPr>
      </w:pPr>
      <w:r w:rsidRPr="007B74B7">
        <w:rPr>
          <w:rFonts w:eastAsia="Times New Roman" w:cs="Tahoma"/>
          <w:szCs w:val="20"/>
          <w:lang w:val="it-IT"/>
        </w:rPr>
        <w:t>Il diritto di utilizzo dei Servizi acquistati dalla presente Lista dei Prodotti da parte della società è disciplinato da (1) il contratto multilicenza (Volume Licensing) della società e (2) qualunque contratto per i Servizi Microsoft di livello master applicabile alla società all</w:t>
      </w:r>
      <w:r w:rsidR="007A1415" w:rsidRPr="007B74B7">
        <w:rPr>
          <w:rFonts w:eastAsia="Times New Roman" w:cs="Tahoma"/>
          <w:szCs w:val="20"/>
          <w:lang w:val="it-IT"/>
        </w:rPr>
        <w:t>’</w:t>
      </w:r>
      <w:r w:rsidRPr="007B74B7">
        <w:rPr>
          <w:rFonts w:eastAsia="Times New Roman" w:cs="Tahoma"/>
          <w:szCs w:val="20"/>
          <w:lang w:val="it-IT"/>
        </w:rPr>
        <w:t>epoca dell</w:t>
      </w:r>
      <w:r w:rsidR="007A1415" w:rsidRPr="007B74B7">
        <w:rPr>
          <w:rFonts w:eastAsia="Times New Roman" w:cs="Tahoma"/>
          <w:szCs w:val="20"/>
          <w:lang w:val="it-IT"/>
        </w:rPr>
        <w:t>’</w:t>
      </w:r>
      <w:r w:rsidRPr="007B74B7">
        <w:rPr>
          <w:rFonts w:eastAsia="Times New Roman" w:cs="Tahoma"/>
          <w:szCs w:val="20"/>
          <w:lang w:val="it-IT"/>
        </w:rPr>
        <w:t>acquisto. Nell</w:t>
      </w:r>
      <w:r w:rsidR="007A1415" w:rsidRPr="007B74B7">
        <w:rPr>
          <w:rFonts w:eastAsia="Times New Roman" w:cs="Tahoma"/>
          <w:szCs w:val="20"/>
          <w:lang w:val="it-IT"/>
        </w:rPr>
        <w:t>’</w:t>
      </w:r>
      <w:r w:rsidRPr="007B74B7">
        <w:rPr>
          <w:rFonts w:eastAsia="Times New Roman" w:cs="Tahoma"/>
          <w:szCs w:val="20"/>
          <w:lang w:val="it-IT"/>
        </w:rPr>
        <w:t>eventualità di discrepanze, il contratto più aggiornato relativo ai Servizi avrà la priorità.</w:t>
      </w:r>
      <w:r w:rsidR="008D782D" w:rsidRPr="007B74B7">
        <w:rPr>
          <w:rFonts w:eastAsia="Times New Roman" w:cs="Tahoma"/>
          <w:szCs w:val="20"/>
          <w:lang w:val="it-IT"/>
        </w:rPr>
        <w:t xml:space="preserve"> </w:t>
      </w:r>
      <w:r w:rsidRPr="007B74B7">
        <w:rPr>
          <w:rFonts w:cs="Tahoma"/>
          <w:color w:val="000000"/>
          <w:szCs w:val="18"/>
          <w:lang w:val="it-IT"/>
        </w:rPr>
        <w:t>Se il contratto Volume License o le condizioni dei Servizi di livello master della società non contengono disposizioni relative alla Titolarità dei Servizi e alla lingua della Licenza, si applicheranno i Diritti sull</w:t>
      </w:r>
      <w:r w:rsidR="007A1415" w:rsidRPr="007B74B7">
        <w:rPr>
          <w:rFonts w:cs="Tahoma"/>
          <w:color w:val="000000"/>
          <w:szCs w:val="18"/>
          <w:lang w:val="it-IT"/>
        </w:rPr>
        <w:t>’</w:t>
      </w:r>
      <w:r w:rsidRPr="007B74B7">
        <w:rPr>
          <w:rFonts w:cs="Tahoma"/>
          <w:color w:val="000000"/>
          <w:szCs w:val="18"/>
          <w:lang w:val="it-IT"/>
        </w:rPr>
        <w:t>utilizzo, di titolarità e di licenza definiti nelle Condizioni di Servizio Aggiuntive riportate di seguito.</w:t>
      </w:r>
      <w:r w:rsidR="008D782D" w:rsidRPr="007B74B7">
        <w:rPr>
          <w:rFonts w:cs="Tahoma"/>
          <w:color w:val="000000"/>
          <w:szCs w:val="18"/>
          <w:lang w:val="it-IT"/>
        </w:rPr>
        <w:t xml:space="preserve"> </w:t>
      </w:r>
      <w:r w:rsidRPr="007B74B7">
        <w:rPr>
          <w:rFonts w:eastAsia="Times New Roman" w:cs="Tahoma"/>
          <w:szCs w:val="20"/>
          <w:lang w:val="it-IT"/>
        </w:rPr>
        <w:t>Qualora la società non abbia stipulato con Microsoft un contratto per i Servizi di livello master, si applicheranno le Condizioni di Servizio Aggiuntive riportate di seguito.</w:t>
      </w:r>
    </w:p>
    <w:p w:rsidR="00DD7F8E" w:rsidRPr="007B74B7" w:rsidRDefault="00DD7F8E" w:rsidP="00607FE8">
      <w:pPr>
        <w:jc w:val="both"/>
        <w:rPr>
          <w:lang w:val="it-IT"/>
        </w:rPr>
      </w:pPr>
    </w:p>
    <w:p w:rsidR="00DD7F8E" w:rsidRPr="007B74B7" w:rsidRDefault="00DD7F8E" w:rsidP="00607FE8">
      <w:pPr>
        <w:spacing w:after="75"/>
        <w:rPr>
          <w:lang w:val="it-IT"/>
        </w:rPr>
      </w:pPr>
      <w:r w:rsidRPr="007B74B7">
        <w:rPr>
          <w:rFonts w:eastAsia="Times New Roman" w:cs="Tahoma"/>
          <w:szCs w:val="20"/>
          <w:lang w:val="it-IT"/>
        </w:rPr>
        <w:t xml:space="preserve">Una descrizione dettagliata dei Servizi che le società possono acquistare è fornita nelle sezioni seguenti. </w:t>
      </w:r>
    </w:p>
    <w:p w:rsidR="00DD7F8E" w:rsidRPr="007B74B7" w:rsidRDefault="00DD7F8E" w:rsidP="00607FE8">
      <w:pPr>
        <w:spacing w:after="75"/>
        <w:rPr>
          <w:lang w:val="it-IT"/>
        </w:rPr>
      </w:pPr>
      <w:r w:rsidRPr="007B74B7">
        <w:rPr>
          <w:rFonts w:eastAsia="Times New Roman" w:cs="Tahoma"/>
          <w:szCs w:val="20"/>
          <w:lang w:val="it-IT"/>
        </w:rPr>
        <w:t>La disponibilità delle offerte seguenti varia in base alla regione e al Programma per Contratti Multilicenza. Alcune offerte potrebbero non essere disponibili per gli Enti Pubblici con determinate eccezioni limitate in merito a progetti pilota. Le società dovranno contattare il proprio rivenditore o l</w:t>
      </w:r>
      <w:r w:rsidR="007A1415" w:rsidRPr="007B74B7">
        <w:rPr>
          <w:rFonts w:eastAsia="Times New Roman" w:cs="Tahoma"/>
          <w:szCs w:val="20"/>
          <w:lang w:val="it-IT"/>
        </w:rPr>
        <w:t>’</w:t>
      </w:r>
      <w:r w:rsidRPr="007B74B7">
        <w:rPr>
          <w:rFonts w:eastAsia="Times New Roman" w:cs="Tahoma"/>
          <w:szCs w:val="20"/>
          <w:lang w:val="it-IT"/>
        </w:rPr>
        <w:t>Account Manager designato da Microsoft per richiedere informazioni relative alla disponibilità di una determinata offerta.</w:t>
      </w:r>
    </w:p>
    <w:p w:rsidR="00F42FB8" w:rsidRPr="007B74B7" w:rsidRDefault="00F42FB8" w:rsidP="00DD7F8E">
      <w:pPr>
        <w:rPr>
          <w:lang w:val="it-IT"/>
        </w:rPr>
      </w:pPr>
    </w:p>
    <w:p w:rsidR="00DD7F8E" w:rsidRPr="007B74B7" w:rsidRDefault="00DD7F8E" w:rsidP="00DD7F8E">
      <w:pPr>
        <w:rPr>
          <w:lang w:val="it-IT"/>
        </w:rPr>
      </w:pPr>
      <w:r w:rsidRPr="007B74B7">
        <w:rPr>
          <w:b/>
          <w:sz w:val="24"/>
          <w:szCs w:val="24"/>
          <w:lang w:val="it-IT"/>
        </w:rPr>
        <w:t>Offerte di Supporto Tecnico Microsoft Premier</w:t>
      </w:r>
    </w:p>
    <w:p w:rsidR="00DB2D1E" w:rsidRPr="007B74B7" w:rsidRDefault="00DB2D1E" w:rsidP="00DC0853">
      <w:pPr>
        <w:rPr>
          <w:lang w:val="it-IT"/>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BD7CEA" w:rsidTr="002A6416">
        <w:tc>
          <w:tcPr>
            <w:tcW w:w="3168" w:type="dxa"/>
            <w:shd w:val="clear" w:color="auto" w:fill="FABF8F"/>
            <w:vAlign w:val="center"/>
          </w:tcPr>
          <w:p w:rsidR="00DB2D1E" w:rsidRPr="00BD7CEA" w:rsidRDefault="00DB2D1E" w:rsidP="00DE73D4">
            <w:pPr>
              <w:jc w:val="center"/>
              <w:rPr>
                <w:rFonts w:cs="Tahoma"/>
                <w:color w:val="000000"/>
                <w:szCs w:val="18"/>
              </w:rPr>
            </w:pPr>
            <w:r w:rsidRPr="00BD7CEA">
              <w:rPr>
                <w:rFonts w:cs="Tahoma"/>
                <w:b/>
                <w:bCs/>
                <w:color w:val="000000"/>
                <w:sz w:val="20"/>
                <w:szCs w:val="18"/>
              </w:rPr>
              <w:t xml:space="preserve">Area </w:t>
            </w:r>
            <w:r w:rsidRPr="00BD7CEA">
              <w:rPr>
                <w:rFonts w:cs="Tahoma"/>
                <w:b/>
                <w:bCs/>
                <w:color w:val="000000"/>
                <w:sz w:val="20"/>
                <w:szCs w:val="18"/>
                <w:vertAlign w:val="superscript"/>
              </w:rPr>
              <w:t>1</w:t>
            </w:r>
          </w:p>
        </w:tc>
        <w:tc>
          <w:tcPr>
            <w:tcW w:w="1580" w:type="dxa"/>
            <w:shd w:val="clear" w:color="auto" w:fill="FABF8F"/>
            <w:vAlign w:val="center"/>
          </w:tcPr>
          <w:p w:rsidR="00DB2D1E" w:rsidRPr="00BD7CEA" w:rsidRDefault="00DB2D1E" w:rsidP="00DE73D4">
            <w:pPr>
              <w:jc w:val="center"/>
              <w:rPr>
                <w:rFonts w:cs="Tahoma"/>
                <w:color w:val="000000"/>
                <w:sz w:val="20"/>
                <w:szCs w:val="20"/>
              </w:rPr>
            </w:pPr>
            <w:r w:rsidRPr="00BD7CEA">
              <w:rPr>
                <w:rFonts w:cs="Tahoma"/>
                <w:b/>
                <w:bCs/>
                <w:color w:val="000000"/>
                <w:sz w:val="20"/>
                <w:szCs w:val="20"/>
              </w:rPr>
              <w:t>Premier Core</w:t>
            </w:r>
          </w:p>
        </w:tc>
        <w:tc>
          <w:tcPr>
            <w:tcW w:w="1444" w:type="dxa"/>
            <w:shd w:val="clear" w:color="auto" w:fill="FABF8F"/>
          </w:tcPr>
          <w:p w:rsidR="00DB2D1E" w:rsidRPr="00BD7CEA" w:rsidRDefault="00DB2D1E" w:rsidP="00DE73D4">
            <w:pPr>
              <w:jc w:val="center"/>
              <w:rPr>
                <w:rFonts w:cs="Tahoma"/>
                <w:b/>
                <w:bCs/>
                <w:color w:val="000000"/>
                <w:sz w:val="20"/>
                <w:szCs w:val="18"/>
              </w:rPr>
            </w:pPr>
            <w:r w:rsidRPr="00BD7CEA">
              <w:rPr>
                <w:rFonts w:cs="Tahoma"/>
                <w:b/>
                <w:bCs/>
                <w:color w:val="000000"/>
                <w:sz w:val="20"/>
                <w:szCs w:val="18"/>
              </w:rPr>
              <w:t>Premier Foundation</w:t>
            </w:r>
          </w:p>
        </w:tc>
        <w:tc>
          <w:tcPr>
            <w:tcW w:w="1687" w:type="dxa"/>
            <w:shd w:val="clear" w:color="auto" w:fill="FABF8F"/>
            <w:vAlign w:val="center"/>
          </w:tcPr>
          <w:p w:rsidR="00DB2D1E" w:rsidRPr="00BD7CEA" w:rsidRDefault="00DB2D1E" w:rsidP="00DE73D4">
            <w:pPr>
              <w:jc w:val="center"/>
              <w:rPr>
                <w:rFonts w:cs="Tahoma"/>
                <w:color w:val="000000"/>
                <w:szCs w:val="18"/>
              </w:rPr>
            </w:pPr>
            <w:r w:rsidRPr="00BD7CEA">
              <w:rPr>
                <w:rFonts w:cs="Tahoma"/>
                <w:b/>
                <w:bCs/>
                <w:color w:val="000000"/>
                <w:sz w:val="20"/>
                <w:szCs w:val="18"/>
              </w:rPr>
              <w:t>Premier Standard</w:t>
            </w:r>
          </w:p>
        </w:tc>
        <w:tc>
          <w:tcPr>
            <w:tcW w:w="1589" w:type="dxa"/>
            <w:shd w:val="clear" w:color="auto" w:fill="FABF8F"/>
            <w:vAlign w:val="center"/>
          </w:tcPr>
          <w:p w:rsidR="00DB2D1E" w:rsidRPr="00BD7CEA" w:rsidRDefault="00DB2D1E" w:rsidP="00DE73D4">
            <w:pPr>
              <w:jc w:val="center"/>
              <w:rPr>
                <w:rFonts w:cs="Tahoma"/>
                <w:color w:val="000000"/>
                <w:szCs w:val="18"/>
              </w:rPr>
            </w:pPr>
            <w:r w:rsidRPr="00BD7CEA">
              <w:rPr>
                <w:rFonts w:cs="Tahoma"/>
                <w:b/>
                <w:bCs/>
                <w:color w:val="000000"/>
                <w:sz w:val="20"/>
                <w:szCs w:val="18"/>
              </w:rPr>
              <w:t>Premier Plus</w:t>
            </w:r>
          </w:p>
        </w:tc>
      </w:tr>
      <w:tr w:rsidR="00DB2D1E" w:rsidRPr="00BD7CEA" w:rsidTr="002A6416">
        <w:tc>
          <w:tcPr>
            <w:tcW w:w="3168" w:type="dxa"/>
            <w:vAlign w:val="center"/>
          </w:tcPr>
          <w:p w:rsidR="00DB2D1E" w:rsidRPr="00BD7CEA" w:rsidRDefault="00DB2D1E" w:rsidP="00DE73D4">
            <w:pPr>
              <w:rPr>
                <w:rFonts w:cs="Tahoma"/>
                <w:color w:val="000000"/>
                <w:szCs w:val="18"/>
              </w:rPr>
            </w:pPr>
            <w:r w:rsidRPr="00BD7CEA">
              <w:rPr>
                <w:rFonts w:cs="Tahoma"/>
                <w:color w:val="000000"/>
                <w:szCs w:val="18"/>
              </w:rPr>
              <w:t xml:space="preserve">Support Account Management </w:t>
            </w:r>
          </w:p>
        </w:tc>
        <w:tc>
          <w:tcPr>
            <w:tcW w:w="1580" w:type="dxa"/>
            <w:vAlign w:val="center"/>
          </w:tcPr>
          <w:p w:rsidR="00DB2D1E" w:rsidRPr="00BD7CEA" w:rsidRDefault="00DB2D1E" w:rsidP="00DE73D4">
            <w:pPr>
              <w:jc w:val="center"/>
              <w:rPr>
                <w:rFonts w:cs="Tahoma"/>
                <w:color w:val="000000"/>
                <w:szCs w:val="18"/>
              </w:rPr>
            </w:pPr>
            <w:r w:rsidRPr="00BD7CEA">
              <w:rPr>
                <w:rFonts w:ascii="MS UI Gothic" w:eastAsia="MS UI Gothic" w:hAnsi="MS UI Gothic" w:cs="MS UI Gothic"/>
                <w:color w:val="000000"/>
                <w:szCs w:val="18"/>
              </w:rPr>
              <w:t>✓</w:t>
            </w:r>
          </w:p>
        </w:tc>
        <w:tc>
          <w:tcPr>
            <w:tcW w:w="1444" w:type="dxa"/>
            <w:vAlign w:val="center"/>
          </w:tcPr>
          <w:p w:rsidR="00DB2D1E" w:rsidRPr="00BD7CEA" w:rsidRDefault="00DB2D1E" w:rsidP="00DE73D4">
            <w:pPr>
              <w:jc w:val="center"/>
              <w:rPr>
                <w:rFonts w:cs="Tahoma"/>
                <w:color w:val="000000"/>
                <w:szCs w:val="18"/>
              </w:rPr>
            </w:pPr>
            <w:r w:rsidRPr="00BD7CEA">
              <w:rPr>
                <w:rFonts w:ascii="MS UI Gothic" w:eastAsia="MS UI Gothic" w:hAnsi="MS UI Gothic" w:cs="MS UI Gothic"/>
                <w:color w:val="000000"/>
                <w:szCs w:val="18"/>
              </w:rPr>
              <w:t>✓</w:t>
            </w:r>
          </w:p>
        </w:tc>
        <w:tc>
          <w:tcPr>
            <w:tcW w:w="1687" w:type="dxa"/>
            <w:vAlign w:val="center"/>
          </w:tcPr>
          <w:p w:rsidR="00DB2D1E" w:rsidRPr="00BD7CEA" w:rsidRDefault="00DB2D1E" w:rsidP="00DE73D4">
            <w:pPr>
              <w:jc w:val="center"/>
              <w:rPr>
                <w:rFonts w:cs="Tahoma"/>
                <w:color w:val="000000"/>
                <w:szCs w:val="18"/>
              </w:rPr>
            </w:pPr>
            <w:r w:rsidRPr="00BD7CEA">
              <w:rPr>
                <w:rFonts w:cs="Tahoma"/>
                <w:color w:val="000000"/>
                <w:szCs w:val="18"/>
              </w:rPr>
              <w:t>√</w:t>
            </w:r>
          </w:p>
        </w:tc>
        <w:tc>
          <w:tcPr>
            <w:tcW w:w="1589" w:type="dxa"/>
            <w:vAlign w:val="center"/>
          </w:tcPr>
          <w:p w:rsidR="00DB2D1E" w:rsidRPr="00BD7CEA" w:rsidRDefault="00DB2D1E" w:rsidP="00DE73D4">
            <w:pPr>
              <w:jc w:val="center"/>
              <w:rPr>
                <w:rFonts w:cs="Tahoma"/>
                <w:color w:val="000000"/>
                <w:szCs w:val="18"/>
              </w:rPr>
            </w:pPr>
            <w:r w:rsidRPr="00BD7CEA">
              <w:rPr>
                <w:rFonts w:cs="Tahoma"/>
                <w:color w:val="000000"/>
                <w:szCs w:val="18"/>
              </w:rPr>
              <w:t>√</w:t>
            </w:r>
          </w:p>
        </w:tc>
      </w:tr>
      <w:tr w:rsidR="00DB2D1E" w:rsidRPr="00BD7CEA" w:rsidTr="002A6416">
        <w:tc>
          <w:tcPr>
            <w:tcW w:w="3168" w:type="dxa"/>
            <w:vAlign w:val="center"/>
          </w:tcPr>
          <w:p w:rsidR="00DB2D1E" w:rsidRPr="00BD7CEA" w:rsidRDefault="00DB2D1E" w:rsidP="00DE73D4">
            <w:pPr>
              <w:rPr>
                <w:rFonts w:cs="Tahoma"/>
                <w:color w:val="000000"/>
                <w:szCs w:val="18"/>
              </w:rPr>
            </w:pPr>
            <w:r w:rsidRPr="00BD7CEA">
              <w:rPr>
                <w:rFonts w:cs="Tahoma"/>
                <w:color w:val="000000"/>
                <w:szCs w:val="18"/>
              </w:rPr>
              <w:t>Profiling e Reporting dell</w:t>
            </w:r>
            <w:r w:rsidR="007A1415" w:rsidRPr="00BD7CEA">
              <w:rPr>
                <w:rFonts w:cs="Tahoma"/>
                <w:color w:val="000000"/>
                <w:szCs w:val="18"/>
              </w:rPr>
              <w:t>’</w:t>
            </w:r>
            <w:r w:rsidRPr="00BD7CEA">
              <w:rPr>
                <w:rFonts w:cs="Tahoma"/>
                <w:color w:val="000000"/>
                <w:szCs w:val="18"/>
              </w:rPr>
              <w:t>Account</w:t>
            </w:r>
          </w:p>
        </w:tc>
        <w:tc>
          <w:tcPr>
            <w:tcW w:w="1580" w:type="dxa"/>
            <w:vAlign w:val="center"/>
          </w:tcPr>
          <w:p w:rsidR="00DB2D1E" w:rsidRPr="00BD7CEA" w:rsidRDefault="00DB2D1E" w:rsidP="00DE73D4">
            <w:pPr>
              <w:jc w:val="center"/>
              <w:rPr>
                <w:rFonts w:cs="Tahoma"/>
                <w:color w:val="000000"/>
                <w:szCs w:val="18"/>
              </w:rPr>
            </w:pPr>
            <w:r w:rsidRPr="00BD7CEA">
              <w:rPr>
                <w:rFonts w:cs="Tahoma"/>
                <w:color w:val="000000"/>
                <w:szCs w:val="18"/>
              </w:rPr>
              <w:t>Mensile</w:t>
            </w:r>
          </w:p>
        </w:tc>
        <w:tc>
          <w:tcPr>
            <w:tcW w:w="1444" w:type="dxa"/>
            <w:vAlign w:val="center"/>
          </w:tcPr>
          <w:p w:rsidR="00DB2D1E" w:rsidRPr="00BD7CEA" w:rsidRDefault="00DB2D1E" w:rsidP="00DE73D4">
            <w:pPr>
              <w:jc w:val="center"/>
              <w:rPr>
                <w:rFonts w:cs="Tahoma"/>
                <w:color w:val="000000"/>
                <w:szCs w:val="18"/>
              </w:rPr>
            </w:pPr>
            <w:r w:rsidRPr="00BD7CEA">
              <w:rPr>
                <w:rFonts w:cs="Tahoma"/>
                <w:color w:val="000000"/>
                <w:szCs w:val="18"/>
              </w:rPr>
              <w:t>Mensile</w:t>
            </w:r>
          </w:p>
        </w:tc>
        <w:tc>
          <w:tcPr>
            <w:tcW w:w="1687" w:type="dxa"/>
            <w:vAlign w:val="center"/>
          </w:tcPr>
          <w:p w:rsidR="00DB2D1E" w:rsidRPr="00BD7CEA" w:rsidRDefault="00DB2D1E" w:rsidP="00DE73D4">
            <w:pPr>
              <w:jc w:val="center"/>
              <w:rPr>
                <w:rFonts w:cs="Tahoma"/>
                <w:color w:val="000000"/>
                <w:szCs w:val="18"/>
              </w:rPr>
            </w:pPr>
            <w:r w:rsidRPr="00BD7CEA">
              <w:rPr>
                <w:rFonts w:cs="Tahoma"/>
                <w:color w:val="000000"/>
                <w:szCs w:val="18"/>
              </w:rPr>
              <w:t>Mensile</w:t>
            </w:r>
          </w:p>
        </w:tc>
        <w:tc>
          <w:tcPr>
            <w:tcW w:w="1589" w:type="dxa"/>
            <w:vAlign w:val="center"/>
          </w:tcPr>
          <w:p w:rsidR="00DB2D1E" w:rsidRPr="00BD7CEA" w:rsidRDefault="00DB2D1E" w:rsidP="00DE73D4">
            <w:pPr>
              <w:jc w:val="center"/>
              <w:rPr>
                <w:rFonts w:cs="Tahoma"/>
                <w:color w:val="000000"/>
                <w:szCs w:val="18"/>
              </w:rPr>
            </w:pPr>
            <w:r w:rsidRPr="00BD7CEA">
              <w:rPr>
                <w:rFonts w:cs="Tahoma"/>
                <w:color w:val="000000"/>
                <w:szCs w:val="18"/>
              </w:rPr>
              <w:t>Mensile</w:t>
            </w:r>
          </w:p>
        </w:tc>
      </w:tr>
      <w:tr w:rsidR="00DB2D1E" w:rsidRPr="00BD7CEA" w:rsidTr="002A6416">
        <w:tc>
          <w:tcPr>
            <w:tcW w:w="3168" w:type="dxa"/>
            <w:vAlign w:val="center"/>
          </w:tcPr>
          <w:p w:rsidR="00DB2D1E" w:rsidRPr="007B74B7" w:rsidRDefault="00DB2D1E" w:rsidP="00DE73D4">
            <w:pPr>
              <w:rPr>
                <w:rFonts w:cs="Tahoma"/>
                <w:color w:val="000000"/>
                <w:szCs w:val="18"/>
                <w:lang w:val="it-IT"/>
              </w:rPr>
            </w:pPr>
            <w:r w:rsidRPr="007B74B7">
              <w:rPr>
                <w:rFonts w:cs="Tahoma"/>
                <w:color w:val="000000"/>
                <w:szCs w:val="18"/>
                <w:lang w:val="it-IT"/>
              </w:rPr>
              <w:t>Support Assistance (Ore allocate annualmente)</w:t>
            </w:r>
          </w:p>
        </w:tc>
        <w:tc>
          <w:tcPr>
            <w:tcW w:w="1580" w:type="dxa"/>
            <w:vAlign w:val="center"/>
          </w:tcPr>
          <w:p w:rsidR="00DB2D1E" w:rsidRPr="00BD7CEA" w:rsidRDefault="00DB2D1E" w:rsidP="00DE73D4">
            <w:pPr>
              <w:jc w:val="center"/>
              <w:rPr>
                <w:rFonts w:cs="Tahoma"/>
                <w:color w:val="000000"/>
                <w:szCs w:val="18"/>
              </w:rPr>
            </w:pPr>
            <w:r w:rsidRPr="00BD7CEA">
              <w:rPr>
                <w:rFonts w:cs="Tahoma"/>
                <w:color w:val="000000"/>
                <w:szCs w:val="18"/>
              </w:rPr>
              <w:t>Fino a 10 ore</w:t>
            </w:r>
          </w:p>
        </w:tc>
        <w:tc>
          <w:tcPr>
            <w:tcW w:w="1444" w:type="dxa"/>
          </w:tcPr>
          <w:p w:rsidR="00DB2D1E" w:rsidRPr="007B74B7" w:rsidRDefault="00DB2D1E" w:rsidP="00DE73D4">
            <w:pPr>
              <w:jc w:val="center"/>
              <w:rPr>
                <w:rFonts w:cs="Tahoma"/>
                <w:color w:val="000000"/>
                <w:szCs w:val="18"/>
                <w:lang w:val="it-IT"/>
              </w:rPr>
            </w:pPr>
            <w:r w:rsidRPr="007B74B7">
              <w:rPr>
                <w:rFonts w:cs="Tahoma"/>
                <w:color w:val="000000"/>
                <w:szCs w:val="18"/>
                <w:lang w:val="it-IT"/>
              </w:rPr>
              <w:t>Fino a 10 ore</w:t>
            </w:r>
            <w:r w:rsidRPr="007B74B7">
              <w:rPr>
                <w:rFonts w:cs="Tahoma"/>
                <w:color w:val="000000"/>
                <w:szCs w:val="18"/>
                <w:lang w:val="it-IT"/>
              </w:rPr>
              <w:br/>
              <w:t>+ 1 Controllo dello Stato</w:t>
            </w:r>
            <w:r w:rsidRPr="007B74B7">
              <w:rPr>
                <w:rFonts w:cs="Tahoma"/>
                <w:color w:val="000000"/>
                <w:szCs w:val="18"/>
                <w:lang w:val="it-IT"/>
              </w:rPr>
              <w:br/>
              <w:t>+ 1 Workshop</w:t>
            </w:r>
          </w:p>
        </w:tc>
        <w:tc>
          <w:tcPr>
            <w:tcW w:w="1687" w:type="dxa"/>
            <w:vAlign w:val="center"/>
          </w:tcPr>
          <w:p w:rsidR="00DB2D1E" w:rsidRPr="00BD7CEA" w:rsidRDefault="00DB2D1E" w:rsidP="00DE73D4">
            <w:pPr>
              <w:jc w:val="center"/>
              <w:rPr>
                <w:rFonts w:cs="Tahoma"/>
                <w:color w:val="000000"/>
                <w:szCs w:val="18"/>
              </w:rPr>
            </w:pPr>
            <w:r w:rsidRPr="00BD7CEA">
              <w:rPr>
                <w:rFonts w:cs="Tahoma"/>
                <w:color w:val="000000"/>
                <w:szCs w:val="18"/>
              </w:rPr>
              <w:t>Fino a 120 ore</w:t>
            </w:r>
          </w:p>
        </w:tc>
        <w:tc>
          <w:tcPr>
            <w:tcW w:w="1589" w:type="dxa"/>
            <w:vAlign w:val="center"/>
          </w:tcPr>
          <w:p w:rsidR="00DB2D1E" w:rsidRPr="00BD7CEA" w:rsidRDefault="00DB2D1E" w:rsidP="00DE73D4">
            <w:pPr>
              <w:jc w:val="center"/>
              <w:rPr>
                <w:rFonts w:cs="Tahoma"/>
                <w:color w:val="000000"/>
                <w:szCs w:val="18"/>
              </w:rPr>
            </w:pPr>
            <w:r w:rsidRPr="00BD7CEA">
              <w:rPr>
                <w:rFonts w:cs="Tahoma"/>
                <w:color w:val="000000"/>
                <w:szCs w:val="18"/>
              </w:rPr>
              <w:t>Fino a 160 ore</w:t>
            </w:r>
          </w:p>
        </w:tc>
      </w:tr>
      <w:tr w:rsidR="00DB2D1E" w:rsidRPr="00BD7CEA" w:rsidTr="002A6416">
        <w:tc>
          <w:tcPr>
            <w:tcW w:w="3168" w:type="dxa"/>
            <w:vAlign w:val="center"/>
          </w:tcPr>
          <w:p w:rsidR="00DB2D1E" w:rsidRPr="00BD7CEA" w:rsidRDefault="00DB2D1E" w:rsidP="00DE73D4">
            <w:pPr>
              <w:rPr>
                <w:rFonts w:cs="Tahoma"/>
                <w:color w:val="000000"/>
                <w:szCs w:val="18"/>
              </w:rPr>
            </w:pPr>
            <w:r w:rsidRPr="00BD7CEA">
              <w:rPr>
                <w:rFonts w:cs="Tahoma"/>
                <w:color w:val="000000"/>
                <w:szCs w:val="18"/>
              </w:rPr>
              <w:t>Problem Resolution Support (PRS) (allocato annualmente)</w:t>
            </w:r>
          </w:p>
        </w:tc>
        <w:tc>
          <w:tcPr>
            <w:tcW w:w="1580" w:type="dxa"/>
            <w:vAlign w:val="center"/>
          </w:tcPr>
          <w:p w:rsidR="00DB2D1E" w:rsidRPr="00BD7CEA" w:rsidRDefault="00DB2D1E" w:rsidP="00DE73D4">
            <w:pPr>
              <w:jc w:val="center"/>
              <w:rPr>
                <w:rFonts w:cs="Tahoma"/>
                <w:color w:val="000000"/>
                <w:szCs w:val="18"/>
              </w:rPr>
            </w:pPr>
            <w:r w:rsidRPr="00BD7CEA">
              <w:rPr>
                <w:rFonts w:cs="Tahoma"/>
                <w:color w:val="000000"/>
                <w:szCs w:val="18"/>
              </w:rPr>
              <w:t>Fino a 40 ore</w:t>
            </w:r>
          </w:p>
        </w:tc>
        <w:tc>
          <w:tcPr>
            <w:tcW w:w="1444" w:type="dxa"/>
          </w:tcPr>
          <w:p w:rsidR="00DB2D1E" w:rsidRPr="00BD7CEA" w:rsidRDefault="00DB2D1E" w:rsidP="00DE73D4">
            <w:pPr>
              <w:spacing w:before="120"/>
              <w:jc w:val="center"/>
              <w:rPr>
                <w:rFonts w:cs="Tahoma"/>
                <w:color w:val="000000"/>
                <w:szCs w:val="18"/>
              </w:rPr>
            </w:pPr>
            <w:r w:rsidRPr="00BD7CEA">
              <w:rPr>
                <w:rFonts w:cs="Tahoma"/>
                <w:color w:val="000000"/>
                <w:szCs w:val="18"/>
              </w:rPr>
              <w:t>Fino a 30 ore</w:t>
            </w:r>
          </w:p>
        </w:tc>
        <w:tc>
          <w:tcPr>
            <w:tcW w:w="1687" w:type="dxa"/>
            <w:vAlign w:val="center"/>
          </w:tcPr>
          <w:p w:rsidR="00DB2D1E" w:rsidRPr="00BD7CEA" w:rsidRDefault="00DB2D1E" w:rsidP="00DE73D4">
            <w:pPr>
              <w:jc w:val="center"/>
              <w:rPr>
                <w:rFonts w:cs="Tahoma"/>
                <w:color w:val="000000"/>
                <w:szCs w:val="18"/>
              </w:rPr>
            </w:pPr>
            <w:r w:rsidRPr="00BD7CEA">
              <w:rPr>
                <w:rFonts w:cs="Tahoma"/>
                <w:color w:val="000000"/>
                <w:szCs w:val="18"/>
              </w:rPr>
              <w:t>Fino a 80 ore</w:t>
            </w:r>
          </w:p>
        </w:tc>
        <w:tc>
          <w:tcPr>
            <w:tcW w:w="1589" w:type="dxa"/>
            <w:vAlign w:val="center"/>
          </w:tcPr>
          <w:p w:rsidR="00DB2D1E" w:rsidRPr="00BD7CEA" w:rsidRDefault="00DB2D1E" w:rsidP="00DE73D4">
            <w:pPr>
              <w:jc w:val="center"/>
              <w:rPr>
                <w:rFonts w:cs="Tahoma"/>
                <w:color w:val="000000"/>
                <w:szCs w:val="18"/>
              </w:rPr>
            </w:pPr>
            <w:r w:rsidRPr="00BD7CEA">
              <w:rPr>
                <w:rFonts w:cs="Tahoma"/>
                <w:color w:val="000000"/>
                <w:szCs w:val="18"/>
              </w:rPr>
              <w:t>Fino a 140 ore</w:t>
            </w:r>
          </w:p>
        </w:tc>
      </w:tr>
      <w:tr w:rsidR="00DB2D1E" w:rsidRPr="00BD7CEA" w:rsidTr="002A6416">
        <w:tc>
          <w:tcPr>
            <w:tcW w:w="3168" w:type="dxa"/>
            <w:vAlign w:val="center"/>
          </w:tcPr>
          <w:p w:rsidR="00DB2D1E" w:rsidRPr="007B74B7" w:rsidRDefault="00DB2D1E" w:rsidP="00DE73D4">
            <w:pPr>
              <w:rPr>
                <w:rFonts w:cs="Tahoma"/>
                <w:color w:val="000000"/>
                <w:szCs w:val="18"/>
                <w:lang w:val="it-IT"/>
              </w:rPr>
            </w:pPr>
            <w:r w:rsidRPr="007B74B7">
              <w:rPr>
                <w:rFonts w:cs="Tahoma"/>
                <w:color w:val="000000"/>
                <w:szCs w:val="18"/>
                <w:lang w:val="it-IT"/>
              </w:rPr>
              <w:t xml:space="preserve">Critical Situation Escalation Management 24x7 </w:t>
            </w:r>
            <w:r w:rsidR="00E929A5" w:rsidRPr="007B74B7">
              <w:rPr>
                <w:rFonts w:cs="Tahoma"/>
                <w:color w:val="000000"/>
                <w:szCs w:val="18"/>
                <w:lang w:val="it-IT"/>
              </w:rPr>
              <w:br/>
            </w:r>
            <w:r w:rsidRPr="007B74B7">
              <w:rPr>
                <w:rFonts w:cs="Tahoma"/>
                <w:color w:val="000000"/>
                <w:szCs w:val="18"/>
                <w:lang w:val="it-IT"/>
              </w:rPr>
              <w:t>(Livello di Severità 1)</w:t>
            </w:r>
          </w:p>
        </w:tc>
        <w:tc>
          <w:tcPr>
            <w:tcW w:w="1580" w:type="dxa"/>
            <w:vAlign w:val="center"/>
          </w:tcPr>
          <w:p w:rsidR="00DB2D1E" w:rsidRPr="00BD7CEA" w:rsidRDefault="00DB2D1E" w:rsidP="00DE73D4">
            <w:pPr>
              <w:jc w:val="center"/>
              <w:rPr>
                <w:rFonts w:cs="Tahoma"/>
                <w:color w:val="000000"/>
                <w:szCs w:val="18"/>
              </w:rPr>
            </w:pPr>
            <w:r w:rsidRPr="00BD7CEA">
              <w:rPr>
                <w:rFonts w:ascii="MS UI Gothic" w:eastAsia="MS UI Gothic" w:hAnsi="MS UI Gothic" w:cs="MS UI Gothic"/>
                <w:color w:val="000000"/>
                <w:szCs w:val="18"/>
              </w:rPr>
              <w:t>✓</w:t>
            </w:r>
          </w:p>
        </w:tc>
        <w:tc>
          <w:tcPr>
            <w:tcW w:w="1444" w:type="dxa"/>
            <w:vAlign w:val="center"/>
          </w:tcPr>
          <w:p w:rsidR="00DB2D1E" w:rsidRPr="00BD7CEA" w:rsidRDefault="00DB2D1E" w:rsidP="00DE73D4">
            <w:pPr>
              <w:jc w:val="center"/>
              <w:rPr>
                <w:rFonts w:cs="Tahoma"/>
                <w:color w:val="000000"/>
                <w:szCs w:val="18"/>
              </w:rPr>
            </w:pPr>
            <w:r w:rsidRPr="00BD7CEA">
              <w:rPr>
                <w:rFonts w:ascii="MS UI Gothic" w:eastAsia="MS UI Gothic" w:hAnsi="MS UI Gothic" w:cs="MS UI Gothic"/>
                <w:color w:val="000000"/>
                <w:szCs w:val="18"/>
              </w:rPr>
              <w:t>✓</w:t>
            </w:r>
          </w:p>
        </w:tc>
        <w:tc>
          <w:tcPr>
            <w:tcW w:w="1687" w:type="dxa"/>
            <w:vAlign w:val="center"/>
          </w:tcPr>
          <w:p w:rsidR="00DB2D1E" w:rsidRPr="00BD7CEA" w:rsidRDefault="00DB2D1E" w:rsidP="00DE73D4">
            <w:pPr>
              <w:jc w:val="center"/>
              <w:rPr>
                <w:rFonts w:cs="Tahoma"/>
                <w:color w:val="000000"/>
                <w:szCs w:val="18"/>
              </w:rPr>
            </w:pPr>
            <w:r w:rsidRPr="00BD7CEA">
              <w:rPr>
                <w:rFonts w:cs="Tahoma"/>
                <w:color w:val="000000"/>
                <w:szCs w:val="18"/>
              </w:rPr>
              <w:t>√</w:t>
            </w:r>
          </w:p>
        </w:tc>
        <w:tc>
          <w:tcPr>
            <w:tcW w:w="1589" w:type="dxa"/>
            <w:vAlign w:val="center"/>
          </w:tcPr>
          <w:p w:rsidR="00DB2D1E" w:rsidRPr="00BD7CEA" w:rsidRDefault="00DB2D1E" w:rsidP="00DE73D4">
            <w:pPr>
              <w:jc w:val="center"/>
              <w:rPr>
                <w:rFonts w:cs="Tahoma"/>
                <w:color w:val="000000"/>
                <w:szCs w:val="18"/>
              </w:rPr>
            </w:pPr>
            <w:r w:rsidRPr="00BD7CEA">
              <w:rPr>
                <w:rFonts w:cs="Tahoma"/>
                <w:color w:val="000000"/>
                <w:szCs w:val="18"/>
              </w:rPr>
              <w:t>√</w:t>
            </w:r>
          </w:p>
        </w:tc>
      </w:tr>
      <w:tr w:rsidR="00DB2D1E" w:rsidRPr="00BD7CEA" w:rsidTr="002A6416">
        <w:tc>
          <w:tcPr>
            <w:tcW w:w="3168" w:type="dxa"/>
            <w:vAlign w:val="center"/>
          </w:tcPr>
          <w:p w:rsidR="00DB2D1E" w:rsidRPr="00BD7CEA" w:rsidRDefault="00DB2D1E" w:rsidP="00DE73D4">
            <w:pPr>
              <w:rPr>
                <w:rFonts w:cs="Tahoma"/>
                <w:color w:val="000000"/>
                <w:szCs w:val="18"/>
              </w:rPr>
            </w:pPr>
            <w:r w:rsidRPr="00BD7CEA">
              <w:rPr>
                <w:rFonts w:cs="Tahoma"/>
                <w:color w:val="000000"/>
                <w:szCs w:val="18"/>
              </w:rPr>
              <w:t>Rapid Onsite Support</w:t>
            </w:r>
          </w:p>
        </w:tc>
        <w:tc>
          <w:tcPr>
            <w:tcW w:w="1580" w:type="dxa"/>
            <w:vAlign w:val="center"/>
          </w:tcPr>
          <w:p w:rsidR="00DB2D1E" w:rsidRPr="00BD7CEA" w:rsidRDefault="00DB2D1E" w:rsidP="00DE73D4">
            <w:pPr>
              <w:jc w:val="center"/>
              <w:rPr>
                <w:rFonts w:cs="Tahoma"/>
                <w:color w:val="000000"/>
                <w:szCs w:val="18"/>
              </w:rPr>
            </w:pPr>
            <w:r w:rsidRPr="00BD7CEA">
              <w:rPr>
                <w:rFonts w:ascii="MS UI Gothic" w:eastAsia="MS UI Gothic" w:hAnsi="MS UI Gothic" w:cs="MS UI Gothic"/>
                <w:color w:val="000000"/>
                <w:szCs w:val="18"/>
              </w:rPr>
              <w:t>✓</w:t>
            </w:r>
          </w:p>
        </w:tc>
        <w:tc>
          <w:tcPr>
            <w:tcW w:w="1444" w:type="dxa"/>
            <w:vAlign w:val="center"/>
          </w:tcPr>
          <w:p w:rsidR="00DB2D1E" w:rsidRPr="00BD7CEA" w:rsidRDefault="00DB2D1E" w:rsidP="00DE73D4">
            <w:pPr>
              <w:jc w:val="center"/>
              <w:rPr>
                <w:rFonts w:cs="Tahoma"/>
                <w:color w:val="000000"/>
                <w:szCs w:val="18"/>
              </w:rPr>
            </w:pPr>
            <w:r w:rsidRPr="00BD7CEA">
              <w:rPr>
                <w:rFonts w:ascii="MS UI Gothic" w:eastAsia="MS UI Gothic" w:hAnsi="MS UI Gothic" w:cs="MS UI Gothic"/>
                <w:color w:val="000000"/>
                <w:szCs w:val="18"/>
              </w:rPr>
              <w:t>✓</w:t>
            </w:r>
          </w:p>
        </w:tc>
        <w:tc>
          <w:tcPr>
            <w:tcW w:w="1687" w:type="dxa"/>
            <w:vAlign w:val="center"/>
          </w:tcPr>
          <w:p w:rsidR="00DB2D1E" w:rsidRPr="00BD7CEA" w:rsidRDefault="00DB2D1E" w:rsidP="00DE73D4">
            <w:pPr>
              <w:jc w:val="center"/>
              <w:rPr>
                <w:rFonts w:cs="Tahoma"/>
                <w:color w:val="000000"/>
                <w:szCs w:val="18"/>
              </w:rPr>
            </w:pPr>
            <w:r w:rsidRPr="00BD7CEA">
              <w:rPr>
                <w:rFonts w:cs="Tahoma"/>
                <w:color w:val="000000"/>
                <w:szCs w:val="18"/>
              </w:rPr>
              <w:t>√</w:t>
            </w:r>
          </w:p>
        </w:tc>
        <w:tc>
          <w:tcPr>
            <w:tcW w:w="1589" w:type="dxa"/>
            <w:vAlign w:val="center"/>
          </w:tcPr>
          <w:p w:rsidR="00DB2D1E" w:rsidRPr="00BD7CEA" w:rsidRDefault="00DB2D1E" w:rsidP="00DE73D4">
            <w:pPr>
              <w:jc w:val="center"/>
              <w:rPr>
                <w:rFonts w:cs="Tahoma"/>
                <w:color w:val="000000"/>
                <w:szCs w:val="18"/>
              </w:rPr>
            </w:pPr>
            <w:r w:rsidRPr="00BD7CEA">
              <w:rPr>
                <w:rFonts w:cs="Tahoma"/>
                <w:color w:val="000000"/>
                <w:szCs w:val="18"/>
              </w:rPr>
              <w:t>√</w:t>
            </w:r>
          </w:p>
        </w:tc>
      </w:tr>
      <w:tr w:rsidR="00DB2D1E" w:rsidRPr="00BD7CEA" w:rsidTr="002A6416">
        <w:tc>
          <w:tcPr>
            <w:tcW w:w="3168" w:type="dxa"/>
            <w:vAlign w:val="center"/>
          </w:tcPr>
          <w:p w:rsidR="00DB2D1E" w:rsidRPr="00BD7CEA" w:rsidRDefault="00DB2D1E" w:rsidP="00DE73D4">
            <w:pPr>
              <w:rPr>
                <w:rFonts w:cs="Tahoma"/>
                <w:color w:val="000000"/>
                <w:szCs w:val="18"/>
              </w:rPr>
            </w:pPr>
            <w:r w:rsidRPr="00BD7CEA">
              <w:rPr>
                <w:rFonts w:cs="Tahoma"/>
                <w:color w:val="000000"/>
                <w:szCs w:val="18"/>
              </w:rPr>
              <w:t>Proactive Information Service</w:t>
            </w:r>
          </w:p>
        </w:tc>
        <w:tc>
          <w:tcPr>
            <w:tcW w:w="1580" w:type="dxa"/>
            <w:vAlign w:val="center"/>
          </w:tcPr>
          <w:p w:rsidR="00DB2D1E" w:rsidRPr="00BD7CEA" w:rsidRDefault="00DB2D1E" w:rsidP="00DE73D4">
            <w:pPr>
              <w:jc w:val="center"/>
              <w:rPr>
                <w:rFonts w:cs="Tahoma"/>
                <w:color w:val="000000"/>
                <w:szCs w:val="18"/>
              </w:rPr>
            </w:pPr>
            <w:r w:rsidRPr="00BD7CEA">
              <w:rPr>
                <w:rFonts w:ascii="MS UI Gothic" w:eastAsia="MS UI Gothic" w:hAnsi="MS UI Gothic" w:cs="MS UI Gothic"/>
                <w:color w:val="000000"/>
                <w:szCs w:val="18"/>
              </w:rPr>
              <w:t>✓</w:t>
            </w:r>
          </w:p>
        </w:tc>
        <w:tc>
          <w:tcPr>
            <w:tcW w:w="1444" w:type="dxa"/>
            <w:vAlign w:val="center"/>
          </w:tcPr>
          <w:p w:rsidR="00DB2D1E" w:rsidRPr="00BD7CEA" w:rsidRDefault="00DB2D1E" w:rsidP="00DE73D4">
            <w:pPr>
              <w:jc w:val="center"/>
              <w:rPr>
                <w:rFonts w:cs="Tahoma"/>
                <w:color w:val="000000"/>
                <w:szCs w:val="18"/>
              </w:rPr>
            </w:pPr>
            <w:r w:rsidRPr="00BD7CEA">
              <w:rPr>
                <w:rFonts w:ascii="MS UI Gothic" w:eastAsia="MS UI Gothic" w:hAnsi="MS UI Gothic" w:cs="MS UI Gothic"/>
                <w:color w:val="000000"/>
                <w:szCs w:val="18"/>
              </w:rPr>
              <w:t>✓</w:t>
            </w:r>
          </w:p>
        </w:tc>
        <w:tc>
          <w:tcPr>
            <w:tcW w:w="1687" w:type="dxa"/>
            <w:vAlign w:val="center"/>
          </w:tcPr>
          <w:p w:rsidR="00DB2D1E" w:rsidRPr="00BD7CEA" w:rsidRDefault="00DB2D1E" w:rsidP="00DE73D4">
            <w:pPr>
              <w:jc w:val="center"/>
              <w:rPr>
                <w:rFonts w:cs="Tahoma"/>
                <w:color w:val="000000"/>
                <w:szCs w:val="18"/>
              </w:rPr>
            </w:pPr>
            <w:r w:rsidRPr="00BD7CEA">
              <w:rPr>
                <w:rFonts w:cs="Tahoma"/>
                <w:color w:val="000000"/>
                <w:szCs w:val="18"/>
              </w:rPr>
              <w:t>√</w:t>
            </w:r>
          </w:p>
        </w:tc>
        <w:tc>
          <w:tcPr>
            <w:tcW w:w="1589" w:type="dxa"/>
            <w:vAlign w:val="center"/>
          </w:tcPr>
          <w:p w:rsidR="00DB2D1E" w:rsidRPr="00BD7CEA" w:rsidRDefault="00DB2D1E" w:rsidP="00DE73D4">
            <w:pPr>
              <w:jc w:val="center"/>
              <w:rPr>
                <w:rFonts w:cs="Tahoma"/>
                <w:color w:val="000000"/>
                <w:szCs w:val="18"/>
              </w:rPr>
            </w:pPr>
            <w:r w:rsidRPr="00BD7CEA">
              <w:rPr>
                <w:rFonts w:cs="Tahoma"/>
                <w:color w:val="000000"/>
                <w:szCs w:val="18"/>
              </w:rPr>
              <w:t>√</w:t>
            </w:r>
          </w:p>
        </w:tc>
      </w:tr>
      <w:tr w:rsidR="00DB2D1E" w:rsidRPr="00BD7CEA" w:rsidTr="002A6416">
        <w:tc>
          <w:tcPr>
            <w:tcW w:w="3168" w:type="dxa"/>
            <w:vAlign w:val="center"/>
          </w:tcPr>
          <w:p w:rsidR="00DB2D1E" w:rsidRPr="00BD7CEA" w:rsidRDefault="00DB2D1E" w:rsidP="00DE73D4">
            <w:pPr>
              <w:rPr>
                <w:rFonts w:cs="Tahoma"/>
                <w:color w:val="000000"/>
                <w:szCs w:val="18"/>
              </w:rPr>
            </w:pPr>
            <w:r w:rsidRPr="00BD7CEA">
              <w:rPr>
                <w:rFonts w:cs="Tahoma"/>
                <w:color w:val="000000"/>
                <w:szCs w:val="18"/>
              </w:rPr>
              <w:t>Microsoft Premier Online</w:t>
            </w:r>
          </w:p>
        </w:tc>
        <w:tc>
          <w:tcPr>
            <w:tcW w:w="1580" w:type="dxa"/>
            <w:vAlign w:val="center"/>
          </w:tcPr>
          <w:p w:rsidR="00DB2D1E" w:rsidRPr="00BD7CEA" w:rsidRDefault="00DB2D1E" w:rsidP="00DE73D4">
            <w:pPr>
              <w:jc w:val="center"/>
              <w:rPr>
                <w:rFonts w:cs="Tahoma"/>
                <w:color w:val="000000"/>
                <w:szCs w:val="18"/>
              </w:rPr>
            </w:pPr>
            <w:r w:rsidRPr="00BD7CEA">
              <w:rPr>
                <w:rFonts w:ascii="MS UI Gothic" w:eastAsia="MS UI Gothic" w:hAnsi="MS UI Gothic" w:cs="MS UI Gothic"/>
                <w:color w:val="000000"/>
                <w:szCs w:val="18"/>
              </w:rPr>
              <w:t>✓</w:t>
            </w:r>
          </w:p>
        </w:tc>
        <w:tc>
          <w:tcPr>
            <w:tcW w:w="1444" w:type="dxa"/>
            <w:vAlign w:val="center"/>
          </w:tcPr>
          <w:p w:rsidR="00DB2D1E" w:rsidRPr="00BD7CEA" w:rsidRDefault="00DB2D1E" w:rsidP="00DE73D4">
            <w:pPr>
              <w:jc w:val="center"/>
              <w:rPr>
                <w:rFonts w:cs="Tahoma"/>
                <w:color w:val="000000"/>
                <w:szCs w:val="18"/>
              </w:rPr>
            </w:pPr>
            <w:r w:rsidRPr="00BD7CEA">
              <w:rPr>
                <w:rFonts w:ascii="MS UI Gothic" w:eastAsia="MS UI Gothic" w:hAnsi="MS UI Gothic" w:cs="MS UI Gothic"/>
                <w:color w:val="000000"/>
                <w:szCs w:val="18"/>
              </w:rPr>
              <w:t>✓</w:t>
            </w:r>
          </w:p>
        </w:tc>
        <w:tc>
          <w:tcPr>
            <w:tcW w:w="1687" w:type="dxa"/>
            <w:vAlign w:val="center"/>
          </w:tcPr>
          <w:p w:rsidR="00DB2D1E" w:rsidRPr="00BD7CEA" w:rsidRDefault="00DB2D1E" w:rsidP="00DE73D4">
            <w:pPr>
              <w:jc w:val="center"/>
              <w:rPr>
                <w:rFonts w:cs="Tahoma"/>
                <w:color w:val="000000"/>
                <w:szCs w:val="18"/>
              </w:rPr>
            </w:pPr>
            <w:r w:rsidRPr="00BD7CEA">
              <w:rPr>
                <w:rFonts w:cs="Tahoma"/>
                <w:color w:val="000000"/>
                <w:szCs w:val="18"/>
              </w:rPr>
              <w:t>√</w:t>
            </w:r>
          </w:p>
        </w:tc>
        <w:tc>
          <w:tcPr>
            <w:tcW w:w="1589" w:type="dxa"/>
            <w:vAlign w:val="center"/>
          </w:tcPr>
          <w:p w:rsidR="00DB2D1E" w:rsidRPr="00BD7CEA" w:rsidRDefault="00DB2D1E" w:rsidP="00DE73D4">
            <w:pPr>
              <w:jc w:val="center"/>
              <w:rPr>
                <w:rFonts w:cs="Tahoma"/>
                <w:color w:val="000000"/>
                <w:szCs w:val="18"/>
              </w:rPr>
            </w:pPr>
            <w:r w:rsidRPr="00BD7CEA">
              <w:rPr>
                <w:rFonts w:cs="Tahoma"/>
                <w:color w:val="000000"/>
                <w:szCs w:val="18"/>
              </w:rPr>
              <w:t>√</w:t>
            </w:r>
          </w:p>
        </w:tc>
      </w:tr>
      <w:tr w:rsidR="00DB2D1E" w:rsidRPr="00BD7CEA" w:rsidTr="002A6416">
        <w:tc>
          <w:tcPr>
            <w:tcW w:w="3168" w:type="dxa"/>
            <w:vAlign w:val="center"/>
          </w:tcPr>
          <w:p w:rsidR="00DB2D1E" w:rsidRPr="00BD7CEA" w:rsidRDefault="00DB2D1E" w:rsidP="00DE73D4">
            <w:pPr>
              <w:rPr>
                <w:rFonts w:cs="Tahoma"/>
                <w:color w:val="000000"/>
                <w:szCs w:val="18"/>
              </w:rPr>
            </w:pPr>
            <w:r w:rsidRPr="00BD7CEA">
              <w:rPr>
                <w:rFonts w:cs="Tahoma"/>
                <w:color w:val="000000"/>
                <w:szCs w:val="18"/>
              </w:rPr>
              <w:t xml:space="preserve">Ore di Aggiunta </w:t>
            </w:r>
          </w:p>
        </w:tc>
        <w:tc>
          <w:tcPr>
            <w:tcW w:w="1580" w:type="dxa"/>
            <w:vAlign w:val="center"/>
          </w:tcPr>
          <w:p w:rsidR="00DB2D1E" w:rsidRPr="00BD7CEA" w:rsidRDefault="00DB2D1E" w:rsidP="00DE73D4">
            <w:pPr>
              <w:jc w:val="center"/>
              <w:rPr>
                <w:rFonts w:cs="Tahoma"/>
                <w:color w:val="000000"/>
                <w:szCs w:val="18"/>
              </w:rPr>
            </w:pPr>
            <w:r w:rsidRPr="00BD7CEA">
              <w:rPr>
                <w:rFonts w:cs="Tahoma"/>
                <w:color w:val="000000"/>
                <w:szCs w:val="18"/>
              </w:rPr>
              <w:t>Pacchetti da 20</w:t>
            </w:r>
          </w:p>
        </w:tc>
        <w:tc>
          <w:tcPr>
            <w:tcW w:w="1444" w:type="dxa"/>
            <w:vAlign w:val="center"/>
          </w:tcPr>
          <w:p w:rsidR="00DB2D1E" w:rsidRPr="00BD7CEA" w:rsidRDefault="00DB2D1E" w:rsidP="00DE73D4">
            <w:pPr>
              <w:jc w:val="center"/>
              <w:rPr>
                <w:rFonts w:cs="Tahoma"/>
                <w:color w:val="000000"/>
                <w:szCs w:val="18"/>
              </w:rPr>
            </w:pPr>
            <w:r w:rsidRPr="00BD7CEA">
              <w:rPr>
                <w:rFonts w:cs="Tahoma"/>
                <w:color w:val="000000"/>
                <w:szCs w:val="18"/>
              </w:rPr>
              <w:t>Pacchetti da 20</w:t>
            </w:r>
          </w:p>
        </w:tc>
        <w:tc>
          <w:tcPr>
            <w:tcW w:w="1687" w:type="dxa"/>
            <w:vAlign w:val="center"/>
          </w:tcPr>
          <w:p w:rsidR="00DB2D1E" w:rsidRPr="00BD7CEA" w:rsidRDefault="00DB2D1E" w:rsidP="00DE73D4">
            <w:pPr>
              <w:jc w:val="center"/>
              <w:rPr>
                <w:rFonts w:cs="Tahoma"/>
                <w:color w:val="000000"/>
                <w:szCs w:val="18"/>
              </w:rPr>
            </w:pPr>
            <w:r w:rsidRPr="00BD7CEA">
              <w:rPr>
                <w:rFonts w:cs="Tahoma"/>
                <w:color w:val="000000"/>
                <w:szCs w:val="18"/>
              </w:rPr>
              <w:t>Pacchetti da 20</w:t>
            </w:r>
          </w:p>
        </w:tc>
        <w:tc>
          <w:tcPr>
            <w:tcW w:w="1589" w:type="dxa"/>
            <w:vAlign w:val="center"/>
          </w:tcPr>
          <w:p w:rsidR="00DB2D1E" w:rsidRPr="00BD7CEA" w:rsidRDefault="00DB2D1E" w:rsidP="00DE73D4">
            <w:pPr>
              <w:jc w:val="center"/>
              <w:rPr>
                <w:rFonts w:cs="Tahoma"/>
                <w:color w:val="000000"/>
                <w:szCs w:val="18"/>
              </w:rPr>
            </w:pPr>
            <w:r w:rsidRPr="00BD7CEA">
              <w:rPr>
                <w:rFonts w:cs="Tahoma"/>
                <w:color w:val="000000"/>
                <w:szCs w:val="18"/>
              </w:rPr>
              <w:t>Pacchetti da 20</w:t>
            </w:r>
          </w:p>
        </w:tc>
      </w:tr>
    </w:tbl>
    <w:p w:rsidR="00DB2D1E" w:rsidRPr="007B74B7" w:rsidRDefault="00DB2D1E" w:rsidP="00DB2D1E">
      <w:pPr>
        <w:pStyle w:val="tableclose"/>
        <w:tabs>
          <w:tab w:val="left" w:pos="810"/>
        </w:tabs>
        <w:ind w:left="810" w:hanging="720"/>
        <w:rPr>
          <w:lang w:val="it-IT"/>
        </w:rPr>
      </w:pPr>
      <w:r w:rsidRPr="007B74B7">
        <w:rPr>
          <w:rFonts w:ascii="Tahoma" w:hAnsi="Tahoma" w:cs="Tahoma"/>
          <w:i/>
          <w:color w:val="000000"/>
          <w:sz w:val="16"/>
          <w:szCs w:val="16"/>
          <w:vertAlign w:val="superscript"/>
          <w:lang w:val="it-IT"/>
        </w:rPr>
        <w:t xml:space="preserve"> 1</w:t>
      </w:r>
      <w:r w:rsidRPr="007B74B7">
        <w:rPr>
          <w:rFonts w:ascii="Tahoma" w:hAnsi="Tahoma" w:cs="Tahoma"/>
          <w:i/>
          <w:color w:val="000000"/>
          <w:sz w:val="16"/>
          <w:szCs w:val="16"/>
          <w:lang w:val="it-IT"/>
        </w:rPr>
        <w:t xml:space="preserve"> Le Ore Lavorative sono definite su base locale.</w:t>
      </w:r>
    </w:p>
    <w:p w:rsidR="00DB2D1E" w:rsidRPr="007B74B7" w:rsidRDefault="00DB2D1E" w:rsidP="00F42FB8">
      <w:pPr>
        <w:pStyle w:val="BodyText2"/>
        <w:spacing w:after="0" w:line="240" w:lineRule="auto"/>
        <w:rPr>
          <w:lang w:val="it-IT"/>
        </w:rPr>
      </w:pPr>
    </w:p>
    <w:p w:rsidR="00DB2D1E" w:rsidRPr="007B74B7" w:rsidRDefault="00DB2D1E" w:rsidP="00CA52FE">
      <w:pPr>
        <w:pStyle w:val="BodyText2"/>
        <w:spacing w:after="0" w:line="240" w:lineRule="auto"/>
        <w:rPr>
          <w:lang w:val="it-IT"/>
        </w:rPr>
      </w:pPr>
      <w:r w:rsidRPr="007B74B7">
        <w:rPr>
          <w:lang w:val="it-IT"/>
        </w:rPr>
        <w:t xml:space="preserve">Il servizio </w:t>
      </w:r>
      <w:r w:rsidRPr="007B74B7">
        <w:rPr>
          <w:rFonts w:ascii="Tahoma" w:hAnsi="Tahoma" w:cs="Tahoma"/>
          <w:b/>
          <w:bCs/>
          <w:color w:val="000000"/>
          <w:sz w:val="18"/>
          <w:szCs w:val="18"/>
          <w:lang w:val="it-IT"/>
        </w:rPr>
        <w:t>Support Account Management</w:t>
      </w:r>
      <w:r w:rsidRPr="007B74B7">
        <w:rPr>
          <w:rFonts w:ascii="Tahoma" w:hAnsi="Tahoma" w:cs="Tahoma"/>
          <w:color w:val="000000"/>
          <w:sz w:val="18"/>
          <w:szCs w:val="18"/>
          <w:lang w:val="it-IT"/>
        </w:rPr>
        <w:t xml:space="preserve"> semplifica la creazione e la gestione delle relazioni con il personale di gestione e di fornitura del servizio della società, nonché l</w:t>
      </w:r>
      <w:r w:rsidR="007A1415" w:rsidRPr="007B74B7">
        <w:rPr>
          <w:rFonts w:ascii="Tahoma" w:hAnsi="Tahoma" w:cs="Tahoma"/>
          <w:color w:val="000000"/>
          <w:sz w:val="18"/>
          <w:szCs w:val="18"/>
          <w:lang w:val="it-IT"/>
        </w:rPr>
        <w:t>’</w:t>
      </w:r>
      <w:r w:rsidRPr="007B74B7">
        <w:rPr>
          <w:rFonts w:ascii="Tahoma" w:hAnsi="Tahoma" w:cs="Tahoma"/>
          <w:color w:val="000000"/>
          <w:sz w:val="18"/>
          <w:szCs w:val="18"/>
          <w:lang w:val="it-IT"/>
        </w:rPr>
        <w:t xml:space="preserve">organizzazione di ogni elemento del piano dei servizi della società in modo conforme ai requisiti aziendali. </w:t>
      </w:r>
    </w:p>
    <w:p w:rsidR="00CA52FE" w:rsidRPr="007B74B7" w:rsidRDefault="00CA52FE" w:rsidP="00CA52FE">
      <w:pPr>
        <w:pStyle w:val="BodyText2"/>
        <w:spacing w:after="0" w:line="240" w:lineRule="auto"/>
        <w:rPr>
          <w:lang w:val="it-IT"/>
        </w:rPr>
      </w:pPr>
    </w:p>
    <w:p w:rsidR="00DB2D1E" w:rsidRPr="007B74B7" w:rsidRDefault="00DB2D1E" w:rsidP="00CA52FE">
      <w:pPr>
        <w:jc w:val="both"/>
        <w:rPr>
          <w:lang w:val="it-IT"/>
        </w:rPr>
      </w:pPr>
      <w:r w:rsidRPr="007B74B7">
        <w:rPr>
          <w:lang w:val="it-IT"/>
        </w:rPr>
        <w:t xml:space="preserve">Il servizio </w:t>
      </w:r>
      <w:r w:rsidRPr="007B74B7">
        <w:rPr>
          <w:rFonts w:cs="Tahoma"/>
          <w:b/>
          <w:bCs/>
          <w:color w:val="000000"/>
          <w:szCs w:val="18"/>
          <w:lang w:val="it-IT"/>
        </w:rPr>
        <w:t xml:space="preserve">Support Assistance </w:t>
      </w:r>
      <w:r w:rsidRPr="007B74B7">
        <w:rPr>
          <w:rFonts w:cs="Tahoma"/>
          <w:color w:val="000000"/>
          <w:szCs w:val="18"/>
          <w:lang w:val="it-IT"/>
        </w:rPr>
        <w:t>fornisce indicazioni e suggerimenti a breve termine (in base alle risorse Microsoft disponibili) relativi a problemi che non rientrano nell</w:t>
      </w:r>
      <w:r w:rsidR="007A1415" w:rsidRPr="007B74B7">
        <w:rPr>
          <w:rFonts w:cs="Tahoma"/>
          <w:color w:val="000000"/>
          <w:szCs w:val="18"/>
          <w:lang w:val="it-IT"/>
        </w:rPr>
        <w:t>’</w:t>
      </w:r>
      <w:r w:rsidRPr="007B74B7">
        <w:rPr>
          <w:rFonts w:cs="Tahoma"/>
          <w:color w:val="000000"/>
          <w:szCs w:val="18"/>
          <w:lang w:val="it-IT"/>
        </w:rPr>
        <w:t>ambito del servizio Problem Resolution Support, nonché a</w:t>
      </w:r>
      <w:r w:rsidR="00E929A5" w:rsidRPr="007B74B7">
        <w:rPr>
          <w:rFonts w:cs="Tahoma"/>
          <w:color w:val="000000"/>
          <w:szCs w:val="18"/>
          <w:lang w:val="it-IT"/>
        </w:rPr>
        <w:t> </w:t>
      </w:r>
      <w:r w:rsidRPr="007B74B7">
        <w:rPr>
          <w:rFonts w:cs="Tahoma"/>
          <w:color w:val="000000"/>
          <w:szCs w:val="18"/>
          <w:lang w:val="it-IT"/>
        </w:rPr>
        <w:t>richieste di assistenza consultiva in merito a problemi a livello di progettazione, sviluppo e implementazione.</w:t>
      </w:r>
    </w:p>
    <w:p w:rsidR="00CA52FE" w:rsidRPr="007B74B7" w:rsidRDefault="00CA52FE" w:rsidP="00CA52FE">
      <w:pPr>
        <w:jc w:val="both"/>
        <w:rPr>
          <w:lang w:val="it-IT"/>
        </w:rPr>
      </w:pPr>
    </w:p>
    <w:p w:rsidR="00676723" w:rsidRPr="007B74B7" w:rsidRDefault="00DB2D1E" w:rsidP="00CA52FE">
      <w:pPr>
        <w:rPr>
          <w:lang w:val="it-IT"/>
        </w:rPr>
      </w:pPr>
      <w:r w:rsidRPr="007B74B7">
        <w:rPr>
          <w:lang w:val="it-IT"/>
        </w:rPr>
        <w:t xml:space="preserve">Il servizio </w:t>
      </w:r>
      <w:r w:rsidRPr="007B74B7">
        <w:rPr>
          <w:rFonts w:cs="Tahoma"/>
          <w:b/>
          <w:bCs/>
          <w:color w:val="000000"/>
          <w:szCs w:val="18"/>
          <w:lang w:val="it-IT"/>
        </w:rPr>
        <w:t xml:space="preserve">Problem Resolution Support </w:t>
      </w:r>
      <w:r w:rsidRPr="007B74B7">
        <w:rPr>
          <w:rFonts w:cs="Tahoma"/>
          <w:color w:val="000000"/>
          <w:szCs w:val="18"/>
          <w:lang w:val="it-IT"/>
        </w:rPr>
        <w:t>fornisce assistenza quando, durante l</w:t>
      </w:r>
      <w:r w:rsidR="007A1415" w:rsidRPr="007B74B7">
        <w:rPr>
          <w:rFonts w:cs="Tahoma"/>
          <w:color w:val="000000"/>
          <w:szCs w:val="18"/>
          <w:lang w:val="it-IT"/>
        </w:rPr>
        <w:t>’</w:t>
      </w:r>
      <w:r w:rsidRPr="007B74B7">
        <w:rPr>
          <w:rFonts w:cs="Tahoma"/>
          <w:color w:val="000000"/>
          <w:szCs w:val="18"/>
          <w:lang w:val="it-IT"/>
        </w:rPr>
        <w:t>utilizzo dei prodotti Microsoft, si</w:t>
      </w:r>
      <w:r w:rsidR="00E929A5" w:rsidRPr="007B74B7">
        <w:rPr>
          <w:rFonts w:cs="Tahoma"/>
          <w:color w:val="000000"/>
          <w:szCs w:val="18"/>
          <w:lang w:val="it-IT"/>
        </w:rPr>
        <w:t> </w:t>
      </w:r>
      <w:r w:rsidRPr="007B74B7">
        <w:rPr>
          <w:rFonts w:cs="Tahoma"/>
          <w:color w:val="000000"/>
          <w:szCs w:val="18"/>
          <w:lang w:val="it-IT"/>
        </w:rPr>
        <w:t>verificano problemi con sintomi specifici, la cui causa sia ragionevolmente attribuibile ai prodotti Microsoft.</w:t>
      </w:r>
    </w:p>
    <w:p w:rsidR="00676723" w:rsidRPr="007B74B7" w:rsidRDefault="00676723">
      <w:pPr>
        <w:rPr>
          <w:lang w:val="it-IT"/>
        </w:rPr>
      </w:pPr>
      <w:r w:rsidRPr="007B74B7">
        <w:rPr>
          <w:rFonts w:cs="Tahoma"/>
          <w:color w:val="000000"/>
          <w:szCs w:val="18"/>
          <w:lang w:val="it-IT"/>
        </w:rPr>
        <w:br w:type="page"/>
      </w:r>
    </w:p>
    <w:tbl>
      <w:tblPr>
        <w:tblW w:w="9360" w:type="dxa"/>
        <w:tblInd w:w="108" w:type="dxa"/>
        <w:tblCellMar>
          <w:left w:w="0" w:type="dxa"/>
          <w:right w:w="0" w:type="dxa"/>
        </w:tblCellMar>
        <w:tblLook w:val="04A0" w:firstRow="1" w:lastRow="0" w:firstColumn="1" w:lastColumn="0" w:noHBand="0" w:noVBand="1"/>
      </w:tblPr>
      <w:tblGrid>
        <w:gridCol w:w="1542"/>
        <w:gridCol w:w="2508"/>
        <w:gridCol w:w="2880"/>
        <w:gridCol w:w="2430"/>
      </w:tblGrid>
      <w:tr w:rsidR="00DB2D1E" w:rsidRPr="00BD7CEA" w:rsidTr="002A6416">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DB2D1E" w:rsidRPr="00BD7CEA" w:rsidRDefault="001C1727" w:rsidP="00DE73D4">
            <w:pPr>
              <w:pStyle w:val="tableclose"/>
              <w:spacing w:line="276" w:lineRule="auto"/>
              <w:rPr>
                <w:rFonts w:ascii="Tahoma" w:hAnsi="Tahoma" w:cs="Tahoma"/>
                <w:b/>
                <w:color w:val="000000"/>
              </w:rPr>
            </w:pPr>
            <w:r w:rsidRPr="007B74B7">
              <w:rPr>
                <w:rFonts w:cs="Tahoma"/>
                <w:color w:val="000000"/>
                <w:sz w:val="6"/>
                <w:lang w:val="it-IT"/>
              </w:rPr>
              <w:lastRenderedPageBreak/>
              <w:br w:type="page"/>
            </w:r>
            <w:r w:rsidRPr="00BD7CEA">
              <w:rPr>
                <w:rFonts w:ascii="Tahoma" w:hAnsi="Tahoma" w:cs="Tahoma"/>
                <w:b/>
                <w:color w:val="000000"/>
              </w:rPr>
              <w:t>Severity</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BD7CEA" w:rsidRDefault="00DB2D1E" w:rsidP="00DE73D4">
            <w:pPr>
              <w:pStyle w:val="tableclose"/>
              <w:spacing w:line="276" w:lineRule="auto"/>
              <w:rPr>
                <w:rFonts w:ascii="Tahoma" w:hAnsi="Tahoma" w:cs="Tahoma"/>
                <w:b/>
                <w:color w:val="000000"/>
              </w:rPr>
            </w:pPr>
            <w:r w:rsidRPr="00BD7CEA">
              <w:rPr>
                <w:rFonts w:ascii="Tahoma" w:hAnsi="Tahoma" w:cs="Tahoma"/>
                <w:b/>
                <w:color w:val="000000"/>
              </w:rPr>
              <w:t>Situazione</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BD7CEA" w:rsidRDefault="00DB2D1E" w:rsidP="00DE73D4">
            <w:pPr>
              <w:pStyle w:val="tableclose"/>
              <w:spacing w:line="276" w:lineRule="auto"/>
              <w:rPr>
                <w:rFonts w:ascii="Tahoma" w:hAnsi="Tahoma" w:cs="Tahoma"/>
                <w:b/>
                <w:color w:val="000000"/>
              </w:rPr>
            </w:pPr>
            <w:r w:rsidRPr="00BD7CEA">
              <w:rPr>
                <w:rFonts w:ascii="Tahoma" w:hAnsi="Tahoma" w:cs="Tahoma"/>
                <w:b/>
                <w:color w:val="000000"/>
              </w:rPr>
              <w:t>Risposta Microsoft Prevista</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BD7CEA" w:rsidRDefault="00DB2D1E" w:rsidP="00DE73D4">
            <w:pPr>
              <w:pStyle w:val="tableclose"/>
              <w:spacing w:line="276" w:lineRule="auto"/>
              <w:rPr>
                <w:rFonts w:ascii="Tahoma" w:hAnsi="Tahoma" w:cs="Tahoma"/>
                <w:b/>
                <w:color w:val="000000"/>
              </w:rPr>
            </w:pPr>
            <w:r w:rsidRPr="00BD7CEA">
              <w:rPr>
                <w:rFonts w:ascii="Tahoma" w:hAnsi="Tahoma" w:cs="Tahoma"/>
                <w:b/>
                <w:color w:val="000000"/>
              </w:rPr>
              <w:t>Risposta della Società Prevista</w:t>
            </w:r>
          </w:p>
        </w:tc>
      </w:tr>
      <w:tr w:rsidR="00DB2D1E" w:rsidRPr="007B74B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BD7CEA" w:rsidRDefault="00DB2D1E" w:rsidP="00DE73D4">
            <w:pPr>
              <w:pStyle w:val="tableclose"/>
              <w:spacing w:line="276" w:lineRule="auto"/>
              <w:rPr>
                <w:rFonts w:ascii="Tahoma" w:hAnsi="Tahoma" w:cs="Tahoma"/>
                <w:color w:val="000000"/>
                <w:sz w:val="18"/>
                <w:szCs w:val="18"/>
              </w:rPr>
            </w:pPr>
            <w:r w:rsidRPr="00BD7CEA">
              <w:rPr>
                <w:rFonts w:ascii="Tahoma" w:hAnsi="Tahoma" w:cs="Tahoma"/>
                <w:color w:val="000000"/>
                <w:sz w:val="18"/>
                <w:szCs w:val="18"/>
              </w:rPr>
              <w:t>1. Formulazione solo telefonica</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BD7CEA" w:rsidRDefault="00DB2D1E" w:rsidP="007358C5">
            <w:pPr>
              <w:pStyle w:val="ListBullet3"/>
              <w:numPr>
                <w:ilvl w:val="0"/>
                <w:numId w:val="59"/>
              </w:numPr>
              <w:spacing w:line="276" w:lineRule="auto"/>
              <w:rPr>
                <w:sz w:val="18"/>
                <w:szCs w:val="18"/>
              </w:rPr>
            </w:pPr>
            <w:r w:rsidRPr="00BD7CEA">
              <w:rPr>
                <w:rFonts w:ascii="Tahoma" w:hAnsi="Tahoma" w:cs="Tahoma"/>
                <w:color w:val="000000"/>
                <w:sz w:val="18"/>
                <w:szCs w:val="18"/>
              </w:rPr>
              <w:t xml:space="preserve">Impatto commerciale catastrofico </w:t>
            </w:r>
          </w:p>
          <w:p w:rsidR="00DB2D1E" w:rsidRPr="007B74B7" w:rsidRDefault="00DB2D1E" w:rsidP="007358C5">
            <w:pPr>
              <w:pStyle w:val="ListBullet3"/>
              <w:numPr>
                <w:ilvl w:val="0"/>
                <w:numId w:val="59"/>
              </w:numPr>
              <w:spacing w:line="276" w:lineRule="auto"/>
              <w:rPr>
                <w:sz w:val="18"/>
                <w:szCs w:val="18"/>
                <w:lang w:val="it-IT"/>
              </w:rPr>
            </w:pPr>
            <w:r w:rsidRPr="007B74B7">
              <w:rPr>
                <w:rFonts w:ascii="Tahoma" w:hAnsi="Tahoma" w:cs="Tahoma"/>
                <w:color w:val="000000"/>
                <w:sz w:val="18"/>
                <w:szCs w:val="18"/>
                <w:lang w:val="it-IT"/>
              </w:rPr>
              <w:t>Perdita completa di un procedimento commerciale cruciale (mission critical) e</w:t>
            </w:r>
            <w:r w:rsidR="004A61EB" w:rsidRPr="007B74B7">
              <w:rPr>
                <w:rFonts w:ascii="Tahoma" w:hAnsi="Tahoma" w:cs="Tahoma"/>
                <w:color w:val="000000"/>
                <w:sz w:val="18"/>
                <w:szCs w:val="18"/>
                <w:lang w:val="it-IT"/>
              </w:rPr>
              <w:t> </w:t>
            </w:r>
            <w:r w:rsidRPr="007B74B7">
              <w:rPr>
                <w:rFonts w:ascii="Tahoma" w:hAnsi="Tahoma" w:cs="Tahoma"/>
                <w:color w:val="000000"/>
                <w:sz w:val="18"/>
                <w:szCs w:val="18"/>
                <w:lang w:val="it-IT"/>
              </w:rPr>
              <w:t>impossibilità di continuare in modo adeguato il lavoro</w:t>
            </w:r>
          </w:p>
          <w:p w:rsidR="00DB2D1E" w:rsidRPr="007B74B7" w:rsidRDefault="00DB2D1E" w:rsidP="007358C5">
            <w:pPr>
              <w:pStyle w:val="ListBullet3"/>
              <w:numPr>
                <w:ilvl w:val="0"/>
                <w:numId w:val="59"/>
              </w:numPr>
              <w:spacing w:line="276" w:lineRule="auto"/>
              <w:rPr>
                <w:rFonts w:ascii="Tahoma" w:hAnsi="Tahoma" w:cs="Tahoma"/>
                <w:color w:val="000000"/>
                <w:sz w:val="18"/>
                <w:szCs w:val="18"/>
                <w:lang w:val="it-IT"/>
              </w:rPr>
            </w:pPr>
            <w:r w:rsidRPr="007B74B7">
              <w:rPr>
                <w:rFonts w:ascii="Tahoma" w:hAnsi="Tahoma" w:cs="Tahoma"/>
                <w:color w:val="000000"/>
                <w:sz w:val="18"/>
                <w:szCs w:val="18"/>
                <w:lang w:val="it-IT"/>
              </w:rPr>
              <w:t>Necessità di un intervento immediato</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7B74B7" w:rsidRDefault="00DB2D1E" w:rsidP="007358C5">
            <w:pPr>
              <w:pStyle w:val="ListBullet3"/>
              <w:numPr>
                <w:ilvl w:val="0"/>
                <w:numId w:val="60"/>
              </w:numPr>
              <w:spacing w:line="276" w:lineRule="auto"/>
              <w:rPr>
                <w:sz w:val="18"/>
                <w:szCs w:val="18"/>
                <w:lang w:val="it-IT"/>
              </w:rPr>
            </w:pPr>
            <w:r w:rsidRPr="007B74B7">
              <w:rPr>
                <w:rFonts w:ascii="Tahoma" w:hAnsi="Tahoma" w:cs="Tahoma"/>
                <w:color w:val="000000"/>
                <w:sz w:val="18"/>
                <w:szCs w:val="18"/>
                <w:lang w:val="it-IT"/>
              </w:rPr>
              <w:t>Risposta alla prima chiamata in 1 ora o meno</w:t>
            </w:r>
          </w:p>
          <w:p w:rsidR="00DB2D1E" w:rsidRPr="007B74B7" w:rsidRDefault="00DB2D1E" w:rsidP="007358C5">
            <w:pPr>
              <w:pStyle w:val="ListBullet3"/>
              <w:numPr>
                <w:ilvl w:val="0"/>
                <w:numId w:val="60"/>
              </w:numPr>
              <w:spacing w:line="276" w:lineRule="auto"/>
              <w:rPr>
                <w:sz w:val="18"/>
                <w:szCs w:val="18"/>
                <w:lang w:val="it-IT"/>
              </w:rPr>
            </w:pPr>
            <w:r w:rsidRPr="007B74B7">
              <w:rPr>
                <w:rFonts w:ascii="Tahoma" w:hAnsi="Tahoma" w:cs="Tahoma"/>
                <w:color w:val="000000"/>
                <w:sz w:val="18"/>
                <w:szCs w:val="18"/>
                <w:lang w:val="it-IT"/>
              </w:rPr>
              <w:t>Risorse Microsoft sul sito il più presto possibile</w:t>
            </w:r>
          </w:p>
          <w:p w:rsidR="00DB2D1E" w:rsidRPr="00BD7CEA" w:rsidRDefault="00DB2D1E" w:rsidP="007358C5">
            <w:pPr>
              <w:pStyle w:val="ListBullet3"/>
              <w:numPr>
                <w:ilvl w:val="0"/>
                <w:numId w:val="60"/>
              </w:numPr>
              <w:spacing w:line="276" w:lineRule="auto"/>
              <w:rPr>
                <w:sz w:val="18"/>
                <w:szCs w:val="18"/>
              </w:rPr>
            </w:pPr>
            <w:r w:rsidRPr="00BD7CEA">
              <w:rPr>
                <w:rFonts w:ascii="Tahoma" w:hAnsi="Tahoma" w:cs="Tahoma"/>
                <w:color w:val="000000"/>
                <w:sz w:val="18"/>
                <w:szCs w:val="18"/>
              </w:rPr>
              <w:t>Impegno continuo 24x7</w:t>
            </w:r>
          </w:p>
          <w:p w:rsidR="00DB2D1E" w:rsidRPr="007B74B7" w:rsidRDefault="00DB2D1E" w:rsidP="007358C5">
            <w:pPr>
              <w:pStyle w:val="ListBullet3"/>
              <w:numPr>
                <w:ilvl w:val="0"/>
                <w:numId w:val="60"/>
              </w:numPr>
              <w:spacing w:line="276" w:lineRule="auto"/>
              <w:rPr>
                <w:sz w:val="18"/>
                <w:szCs w:val="18"/>
                <w:lang w:val="it-IT"/>
              </w:rPr>
            </w:pPr>
            <w:r w:rsidRPr="007B74B7">
              <w:rPr>
                <w:rFonts w:ascii="Tahoma" w:hAnsi="Tahoma" w:cs="Tahoma"/>
                <w:color w:val="000000"/>
                <w:sz w:val="18"/>
                <w:szCs w:val="18"/>
                <w:lang w:val="it-IT"/>
              </w:rPr>
              <w:t>Escalation Rapida ai team dei Prodotti di Microsoft</w:t>
            </w:r>
          </w:p>
          <w:p w:rsidR="00DB2D1E" w:rsidRPr="007B74B7" w:rsidRDefault="00DB2D1E" w:rsidP="007358C5">
            <w:pPr>
              <w:pStyle w:val="ListBullet3"/>
              <w:numPr>
                <w:ilvl w:val="0"/>
                <w:numId w:val="60"/>
              </w:numPr>
              <w:spacing w:line="276" w:lineRule="auto"/>
              <w:rPr>
                <w:rFonts w:ascii="Tahoma" w:hAnsi="Tahoma" w:cs="Tahoma"/>
                <w:color w:val="000000"/>
                <w:sz w:val="18"/>
                <w:szCs w:val="18"/>
                <w:lang w:val="it-IT"/>
              </w:rPr>
            </w:pPr>
            <w:r w:rsidRPr="007B74B7">
              <w:rPr>
                <w:rFonts w:ascii="Tahoma" w:hAnsi="Tahoma" w:cs="Tahoma"/>
                <w:color w:val="000000"/>
                <w:sz w:val="18"/>
                <w:szCs w:val="18"/>
                <w:lang w:val="it-IT"/>
              </w:rPr>
              <w:t xml:space="preserve">Comunicazione dei Dirigenti di Alto Livello di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7B74B7" w:rsidRDefault="00DB2D1E" w:rsidP="007358C5">
            <w:pPr>
              <w:pStyle w:val="ListBullet3"/>
              <w:numPr>
                <w:ilvl w:val="0"/>
                <w:numId w:val="61"/>
              </w:numPr>
              <w:spacing w:line="276" w:lineRule="auto"/>
              <w:rPr>
                <w:sz w:val="18"/>
                <w:szCs w:val="18"/>
                <w:lang w:val="it-IT"/>
              </w:rPr>
            </w:pPr>
            <w:r w:rsidRPr="007B74B7">
              <w:rPr>
                <w:rFonts w:ascii="Tahoma" w:hAnsi="Tahoma" w:cs="Tahoma"/>
                <w:color w:val="000000"/>
                <w:sz w:val="18"/>
                <w:szCs w:val="18"/>
                <w:lang w:val="it-IT"/>
              </w:rPr>
              <w:t xml:space="preserve">Comunicazione dei dirigenti di alto livello della società </w:t>
            </w:r>
          </w:p>
          <w:p w:rsidR="00DB2D1E" w:rsidRPr="007B74B7" w:rsidRDefault="00DB2D1E" w:rsidP="007358C5">
            <w:pPr>
              <w:pStyle w:val="ListBullet3"/>
              <w:numPr>
                <w:ilvl w:val="0"/>
                <w:numId w:val="61"/>
              </w:numPr>
              <w:spacing w:line="276" w:lineRule="auto"/>
              <w:rPr>
                <w:sz w:val="18"/>
                <w:szCs w:val="18"/>
                <w:lang w:val="it-IT"/>
              </w:rPr>
            </w:pPr>
            <w:r w:rsidRPr="007B74B7">
              <w:rPr>
                <w:rFonts w:ascii="Tahoma" w:hAnsi="Tahoma" w:cs="Tahoma"/>
                <w:color w:val="000000"/>
                <w:sz w:val="18"/>
                <w:szCs w:val="18"/>
                <w:lang w:val="it-IT"/>
              </w:rPr>
              <w:t>Allocazione delle risorse appropriate per sostenere l</w:t>
            </w:r>
            <w:r w:rsidR="007A1415" w:rsidRPr="007B74B7">
              <w:rPr>
                <w:rFonts w:ascii="Tahoma" w:hAnsi="Tahoma" w:cs="Tahoma"/>
                <w:color w:val="000000"/>
                <w:sz w:val="18"/>
                <w:szCs w:val="18"/>
                <w:lang w:val="it-IT"/>
              </w:rPr>
              <w:t>’</w:t>
            </w:r>
            <w:r w:rsidRPr="007B74B7">
              <w:rPr>
                <w:rFonts w:ascii="Tahoma" w:hAnsi="Tahoma" w:cs="Tahoma"/>
                <w:color w:val="000000"/>
                <w:sz w:val="18"/>
                <w:szCs w:val="18"/>
                <w:lang w:val="it-IT"/>
              </w:rPr>
              <w:t>impegno continuo 24x7</w:t>
            </w:r>
            <w:r w:rsidRPr="007B74B7">
              <w:rPr>
                <w:rFonts w:ascii="Tahoma" w:hAnsi="Tahoma" w:cs="Tahoma"/>
                <w:color w:val="000000"/>
                <w:sz w:val="18"/>
                <w:szCs w:val="18"/>
                <w:vertAlign w:val="superscript"/>
                <w:lang w:val="it-IT"/>
              </w:rPr>
              <w:t>2</w:t>
            </w:r>
          </w:p>
          <w:p w:rsidR="00DB2D1E" w:rsidRPr="007B74B7" w:rsidRDefault="00DB2D1E" w:rsidP="007358C5">
            <w:pPr>
              <w:pStyle w:val="ListBullet3"/>
              <w:numPr>
                <w:ilvl w:val="0"/>
                <w:numId w:val="61"/>
              </w:numPr>
              <w:spacing w:line="276" w:lineRule="auto"/>
              <w:rPr>
                <w:rFonts w:ascii="Tahoma" w:hAnsi="Tahoma" w:cs="Tahoma"/>
                <w:color w:val="000000"/>
                <w:sz w:val="18"/>
                <w:szCs w:val="18"/>
                <w:lang w:val="it-IT"/>
              </w:rPr>
            </w:pPr>
            <w:r w:rsidRPr="007B74B7">
              <w:rPr>
                <w:rFonts w:ascii="Tahoma" w:hAnsi="Tahoma" w:cs="Tahoma"/>
                <w:color w:val="000000"/>
                <w:sz w:val="18"/>
                <w:szCs w:val="18"/>
                <w:lang w:val="it-IT"/>
              </w:rPr>
              <w:t>Accesso e risposte rapide dall</w:t>
            </w:r>
            <w:r w:rsidR="007A1415" w:rsidRPr="007B74B7">
              <w:rPr>
                <w:rFonts w:ascii="Tahoma" w:hAnsi="Tahoma" w:cs="Tahoma"/>
                <w:color w:val="000000"/>
                <w:sz w:val="18"/>
                <w:szCs w:val="18"/>
                <w:lang w:val="it-IT"/>
              </w:rPr>
              <w:t>’</w:t>
            </w:r>
            <w:r w:rsidRPr="007B74B7">
              <w:rPr>
                <w:rFonts w:ascii="Tahoma" w:hAnsi="Tahoma" w:cs="Tahoma"/>
                <w:color w:val="000000"/>
                <w:sz w:val="18"/>
                <w:szCs w:val="18"/>
                <w:lang w:val="it-IT"/>
              </w:rPr>
              <w:t>autorità di</w:t>
            </w:r>
            <w:r w:rsidR="00E929A5" w:rsidRPr="007B74B7">
              <w:rPr>
                <w:rFonts w:ascii="Tahoma" w:hAnsi="Tahoma" w:cs="Tahoma"/>
                <w:color w:val="000000"/>
                <w:sz w:val="18"/>
                <w:szCs w:val="18"/>
                <w:lang w:val="it-IT"/>
              </w:rPr>
              <w:t> </w:t>
            </w:r>
            <w:r w:rsidRPr="007B74B7">
              <w:rPr>
                <w:rFonts w:ascii="Tahoma" w:hAnsi="Tahoma" w:cs="Tahoma"/>
                <w:color w:val="000000"/>
                <w:sz w:val="18"/>
                <w:szCs w:val="18"/>
                <w:lang w:val="it-IT"/>
              </w:rPr>
              <w:t>controllo delle modifiche</w:t>
            </w:r>
          </w:p>
        </w:tc>
      </w:tr>
      <w:tr w:rsidR="00DB2D1E" w:rsidRPr="00BD7CEA"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BD7CEA" w:rsidRDefault="00DB2D1E" w:rsidP="00DE73D4">
            <w:pPr>
              <w:pStyle w:val="tableclose"/>
              <w:spacing w:line="276" w:lineRule="auto"/>
              <w:rPr>
                <w:rFonts w:ascii="Tahoma" w:hAnsi="Tahoma" w:cs="Tahoma"/>
                <w:color w:val="000000"/>
                <w:sz w:val="18"/>
                <w:szCs w:val="18"/>
              </w:rPr>
            </w:pPr>
            <w:r w:rsidRPr="00BD7CEA">
              <w:rPr>
                <w:rFonts w:ascii="Tahoma" w:hAnsi="Tahoma" w:cs="Tahoma"/>
                <w:color w:val="000000"/>
                <w:sz w:val="18"/>
                <w:szCs w:val="18"/>
              </w:rPr>
              <w:t>A Formulazione solo telefonica</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BD7CEA" w:rsidRDefault="00DB2D1E" w:rsidP="007358C5">
            <w:pPr>
              <w:pStyle w:val="ListBullet3"/>
              <w:numPr>
                <w:ilvl w:val="0"/>
                <w:numId w:val="59"/>
              </w:numPr>
              <w:spacing w:line="276" w:lineRule="auto"/>
              <w:rPr>
                <w:sz w:val="18"/>
                <w:szCs w:val="18"/>
              </w:rPr>
            </w:pPr>
            <w:r w:rsidRPr="00BD7CEA">
              <w:rPr>
                <w:rFonts w:ascii="Tahoma" w:hAnsi="Tahoma" w:cs="Tahoma"/>
                <w:color w:val="000000"/>
                <w:sz w:val="18"/>
                <w:szCs w:val="18"/>
              </w:rPr>
              <w:t xml:space="preserve">Impatto commerciale critico </w:t>
            </w:r>
          </w:p>
          <w:p w:rsidR="00DB2D1E" w:rsidRPr="007B74B7" w:rsidRDefault="00DB2D1E" w:rsidP="007358C5">
            <w:pPr>
              <w:pStyle w:val="ListBullet3"/>
              <w:numPr>
                <w:ilvl w:val="0"/>
                <w:numId w:val="59"/>
              </w:numPr>
              <w:spacing w:line="276" w:lineRule="auto"/>
              <w:rPr>
                <w:sz w:val="18"/>
                <w:szCs w:val="18"/>
                <w:lang w:val="it-IT"/>
              </w:rPr>
            </w:pPr>
            <w:r w:rsidRPr="007B74B7">
              <w:rPr>
                <w:rFonts w:ascii="Tahoma" w:hAnsi="Tahoma" w:cs="Tahoma"/>
                <w:color w:val="000000"/>
                <w:sz w:val="18"/>
                <w:szCs w:val="18"/>
                <w:lang w:val="it-IT"/>
              </w:rPr>
              <w:t>Perdita o degradazione significativa dei servizi</w:t>
            </w:r>
          </w:p>
          <w:p w:rsidR="00DB2D1E" w:rsidRPr="00BD7CEA" w:rsidRDefault="00DB2D1E" w:rsidP="007358C5">
            <w:pPr>
              <w:pStyle w:val="ListBullet3"/>
              <w:numPr>
                <w:ilvl w:val="0"/>
                <w:numId w:val="59"/>
              </w:numPr>
              <w:spacing w:line="276" w:lineRule="auto"/>
              <w:rPr>
                <w:rFonts w:ascii="Tahoma" w:hAnsi="Tahoma" w:cs="Tahoma"/>
                <w:color w:val="000000"/>
                <w:sz w:val="18"/>
                <w:szCs w:val="18"/>
              </w:rPr>
            </w:pPr>
            <w:r w:rsidRPr="00BD7CEA">
              <w:rPr>
                <w:rFonts w:ascii="Tahoma" w:hAnsi="Tahoma" w:cs="Tahoma"/>
                <w:color w:val="000000"/>
                <w:sz w:val="18"/>
                <w:szCs w:val="18"/>
              </w:rPr>
              <w:t>Necessità dell</w:t>
            </w:r>
            <w:r w:rsidR="007A1415" w:rsidRPr="00BD7CEA">
              <w:rPr>
                <w:rFonts w:ascii="Tahoma" w:hAnsi="Tahoma" w:cs="Tahoma"/>
                <w:color w:val="000000"/>
                <w:sz w:val="18"/>
                <w:szCs w:val="18"/>
              </w:rPr>
              <w:t>’</w:t>
            </w:r>
            <w:r w:rsidRPr="00BD7CEA">
              <w:rPr>
                <w:rFonts w:ascii="Tahoma" w:hAnsi="Tahoma" w:cs="Tahoma"/>
                <w:color w:val="000000"/>
                <w:sz w:val="18"/>
                <w:szCs w:val="18"/>
              </w:rPr>
              <w:t>intervento entro 1 ora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7B74B7" w:rsidRDefault="00DB2D1E" w:rsidP="007358C5">
            <w:pPr>
              <w:pStyle w:val="ListBullet3"/>
              <w:numPr>
                <w:ilvl w:val="0"/>
                <w:numId w:val="60"/>
              </w:numPr>
              <w:spacing w:line="276" w:lineRule="auto"/>
              <w:rPr>
                <w:sz w:val="18"/>
                <w:szCs w:val="18"/>
                <w:lang w:val="it-IT"/>
              </w:rPr>
            </w:pPr>
            <w:r w:rsidRPr="007B74B7">
              <w:rPr>
                <w:rFonts w:ascii="Tahoma" w:hAnsi="Tahoma" w:cs="Tahoma"/>
                <w:color w:val="000000"/>
                <w:sz w:val="18"/>
                <w:szCs w:val="18"/>
                <w:lang w:val="it-IT"/>
              </w:rPr>
              <w:t>Risposta alla prima chiamata in 1 ora o meno</w:t>
            </w:r>
          </w:p>
          <w:p w:rsidR="00DB2D1E" w:rsidRPr="007B74B7" w:rsidRDefault="00DB2D1E" w:rsidP="007358C5">
            <w:pPr>
              <w:pStyle w:val="ListBullet3"/>
              <w:numPr>
                <w:ilvl w:val="0"/>
                <w:numId w:val="60"/>
              </w:numPr>
              <w:spacing w:line="276" w:lineRule="auto"/>
              <w:rPr>
                <w:sz w:val="18"/>
                <w:szCs w:val="18"/>
                <w:lang w:val="it-IT"/>
              </w:rPr>
            </w:pPr>
            <w:r w:rsidRPr="007B74B7">
              <w:rPr>
                <w:rFonts w:ascii="Tahoma" w:hAnsi="Tahoma" w:cs="Tahoma"/>
                <w:color w:val="000000"/>
                <w:sz w:val="18"/>
                <w:szCs w:val="18"/>
                <w:lang w:val="it-IT"/>
              </w:rPr>
              <w:t>Risorse Microsoft presso la sede della società, come richiesto.</w:t>
            </w:r>
          </w:p>
          <w:p w:rsidR="00DB2D1E" w:rsidRPr="00BD7CEA" w:rsidRDefault="00DB2D1E" w:rsidP="007358C5">
            <w:pPr>
              <w:pStyle w:val="ListBullet3"/>
              <w:numPr>
                <w:ilvl w:val="0"/>
                <w:numId w:val="60"/>
              </w:numPr>
              <w:spacing w:line="276" w:lineRule="auto"/>
              <w:rPr>
                <w:sz w:val="18"/>
                <w:szCs w:val="18"/>
              </w:rPr>
            </w:pPr>
            <w:r w:rsidRPr="00BD7CEA">
              <w:rPr>
                <w:rFonts w:ascii="Tahoma" w:hAnsi="Tahoma" w:cs="Tahoma"/>
                <w:color w:val="000000"/>
                <w:sz w:val="18"/>
                <w:szCs w:val="18"/>
              </w:rPr>
              <w:t>Impegno continuo 24x7</w:t>
            </w:r>
          </w:p>
          <w:p w:rsidR="00DB2D1E" w:rsidRPr="007B74B7" w:rsidRDefault="00DB2D1E" w:rsidP="007358C5">
            <w:pPr>
              <w:pStyle w:val="ListBullet3"/>
              <w:numPr>
                <w:ilvl w:val="0"/>
                <w:numId w:val="60"/>
              </w:numPr>
              <w:spacing w:line="276" w:lineRule="auto"/>
              <w:rPr>
                <w:rFonts w:ascii="Tahoma" w:hAnsi="Tahoma" w:cs="Tahoma"/>
                <w:color w:val="000000"/>
                <w:sz w:val="18"/>
                <w:szCs w:val="18"/>
                <w:lang w:val="it-IT"/>
              </w:rPr>
            </w:pPr>
            <w:r w:rsidRPr="007B74B7">
              <w:rPr>
                <w:rFonts w:ascii="Tahoma" w:hAnsi="Tahoma" w:cs="Tahoma"/>
                <w:color w:val="000000"/>
                <w:sz w:val="18"/>
                <w:szCs w:val="18"/>
                <w:lang w:val="it-IT"/>
              </w:rPr>
              <w:t>Comunicazione dei Dirigenti di Alto Livello di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7B74B7" w:rsidRDefault="00DB2D1E" w:rsidP="007358C5">
            <w:pPr>
              <w:pStyle w:val="ListBullet3"/>
              <w:numPr>
                <w:ilvl w:val="0"/>
                <w:numId w:val="61"/>
              </w:numPr>
              <w:spacing w:line="276" w:lineRule="auto"/>
              <w:rPr>
                <w:sz w:val="18"/>
                <w:szCs w:val="18"/>
                <w:lang w:val="it-IT"/>
              </w:rPr>
            </w:pPr>
            <w:r w:rsidRPr="007B74B7">
              <w:rPr>
                <w:rFonts w:ascii="Tahoma" w:hAnsi="Tahoma" w:cs="Tahoma"/>
                <w:color w:val="000000"/>
                <w:sz w:val="18"/>
                <w:szCs w:val="18"/>
                <w:lang w:val="it-IT"/>
              </w:rPr>
              <w:t>Allocazione delle risorse appropriate per sostenere l</w:t>
            </w:r>
            <w:r w:rsidR="007A1415" w:rsidRPr="007B74B7">
              <w:rPr>
                <w:rFonts w:ascii="Tahoma" w:hAnsi="Tahoma" w:cs="Tahoma"/>
                <w:color w:val="000000"/>
                <w:sz w:val="18"/>
                <w:szCs w:val="18"/>
                <w:lang w:val="it-IT"/>
              </w:rPr>
              <w:t>’</w:t>
            </w:r>
            <w:r w:rsidRPr="007B74B7">
              <w:rPr>
                <w:rFonts w:ascii="Tahoma" w:hAnsi="Tahoma" w:cs="Tahoma"/>
                <w:color w:val="000000"/>
                <w:sz w:val="18"/>
                <w:szCs w:val="18"/>
                <w:lang w:val="it-IT"/>
              </w:rPr>
              <w:t>impegno continuo 24x7</w:t>
            </w:r>
            <w:r w:rsidRPr="007B74B7">
              <w:rPr>
                <w:rFonts w:ascii="Tahoma" w:hAnsi="Tahoma" w:cs="Tahoma"/>
                <w:color w:val="000000"/>
                <w:sz w:val="18"/>
                <w:szCs w:val="18"/>
                <w:vertAlign w:val="superscript"/>
                <w:lang w:val="it-IT"/>
              </w:rPr>
              <w:t>2</w:t>
            </w:r>
          </w:p>
          <w:p w:rsidR="00DB2D1E" w:rsidRPr="007B74B7" w:rsidRDefault="00DB2D1E" w:rsidP="007358C5">
            <w:pPr>
              <w:pStyle w:val="ListBullet3"/>
              <w:numPr>
                <w:ilvl w:val="0"/>
                <w:numId w:val="61"/>
              </w:numPr>
              <w:spacing w:line="276" w:lineRule="auto"/>
              <w:rPr>
                <w:sz w:val="18"/>
                <w:szCs w:val="18"/>
                <w:lang w:val="it-IT"/>
              </w:rPr>
            </w:pPr>
            <w:r w:rsidRPr="007B74B7">
              <w:rPr>
                <w:rFonts w:ascii="Tahoma" w:hAnsi="Tahoma" w:cs="Tahoma"/>
                <w:color w:val="000000"/>
                <w:sz w:val="18"/>
                <w:szCs w:val="18"/>
                <w:lang w:val="it-IT"/>
              </w:rPr>
              <w:t>Accesso e risposte rapide dall</w:t>
            </w:r>
            <w:r w:rsidR="007A1415" w:rsidRPr="007B74B7">
              <w:rPr>
                <w:rFonts w:ascii="Tahoma" w:hAnsi="Tahoma" w:cs="Tahoma"/>
                <w:color w:val="000000"/>
                <w:sz w:val="18"/>
                <w:szCs w:val="18"/>
                <w:lang w:val="it-IT"/>
              </w:rPr>
              <w:t>’</w:t>
            </w:r>
            <w:r w:rsidRPr="007B74B7">
              <w:rPr>
                <w:rFonts w:ascii="Tahoma" w:hAnsi="Tahoma" w:cs="Tahoma"/>
                <w:color w:val="000000"/>
                <w:sz w:val="18"/>
                <w:szCs w:val="18"/>
                <w:lang w:val="it-IT"/>
              </w:rPr>
              <w:t>autorità di</w:t>
            </w:r>
            <w:r w:rsidR="00E929A5" w:rsidRPr="007B74B7">
              <w:rPr>
                <w:rFonts w:ascii="Tahoma" w:hAnsi="Tahoma" w:cs="Tahoma"/>
                <w:color w:val="000000"/>
                <w:sz w:val="18"/>
                <w:szCs w:val="18"/>
                <w:lang w:val="it-IT"/>
              </w:rPr>
              <w:t> </w:t>
            </w:r>
            <w:r w:rsidRPr="007B74B7">
              <w:rPr>
                <w:rFonts w:ascii="Tahoma" w:hAnsi="Tahoma" w:cs="Tahoma"/>
                <w:color w:val="000000"/>
                <w:sz w:val="18"/>
                <w:szCs w:val="18"/>
                <w:lang w:val="it-IT"/>
              </w:rPr>
              <w:t>controllo delle modifiche</w:t>
            </w:r>
          </w:p>
          <w:p w:rsidR="00DB2D1E" w:rsidRPr="00BD7CEA" w:rsidRDefault="00DB2D1E" w:rsidP="007358C5">
            <w:pPr>
              <w:pStyle w:val="ListBullet3"/>
              <w:numPr>
                <w:ilvl w:val="0"/>
                <w:numId w:val="61"/>
              </w:numPr>
              <w:spacing w:line="276" w:lineRule="auto"/>
              <w:rPr>
                <w:rFonts w:ascii="Tahoma" w:hAnsi="Tahoma" w:cs="Tahoma"/>
                <w:color w:val="000000"/>
                <w:sz w:val="18"/>
                <w:szCs w:val="18"/>
              </w:rPr>
            </w:pPr>
            <w:r w:rsidRPr="00BD7CEA">
              <w:rPr>
                <w:rFonts w:ascii="Tahoma" w:hAnsi="Tahoma" w:cs="Tahoma"/>
                <w:color w:val="000000"/>
                <w:sz w:val="18"/>
                <w:szCs w:val="18"/>
              </w:rPr>
              <w:t>Comunicazione della</w:t>
            </w:r>
            <w:r w:rsidR="00E929A5" w:rsidRPr="00BD7CEA">
              <w:rPr>
                <w:rFonts w:ascii="Tahoma" w:hAnsi="Tahoma" w:cs="Tahoma"/>
                <w:color w:val="000000"/>
                <w:sz w:val="18"/>
                <w:szCs w:val="18"/>
              </w:rPr>
              <w:t> </w:t>
            </w:r>
            <w:r w:rsidRPr="00BD7CEA">
              <w:rPr>
                <w:rFonts w:ascii="Tahoma" w:hAnsi="Tahoma" w:cs="Tahoma"/>
                <w:color w:val="000000"/>
                <w:sz w:val="18"/>
                <w:szCs w:val="18"/>
              </w:rPr>
              <w:t>direzione</w:t>
            </w:r>
          </w:p>
        </w:tc>
      </w:tr>
      <w:tr w:rsidR="00DB2D1E" w:rsidRPr="007B74B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7B74B7" w:rsidRDefault="00DB2D1E" w:rsidP="00E929A5">
            <w:pPr>
              <w:pStyle w:val="tableclose"/>
              <w:spacing w:line="276" w:lineRule="auto"/>
              <w:rPr>
                <w:rFonts w:ascii="Tahoma" w:hAnsi="Tahoma" w:cs="Tahoma"/>
                <w:color w:val="000000"/>
                <w:sz w:val="18"/>
                <w:szCs w:val="18"/>
                <w:lang w:val="it-IT"/>
              </w:rPr>
            </w:pPr>
            <w:r w:rsidRPr="007B74B7">
              <w:rPr>
                <w:rFonts w:ascii="Tahoma" w:hAnsi="Tahoma" w:cs="Tahoma"/>
                <w:color w:val="000000"/>
                <w:sz w:val="18"/>
                <w:szCs w:val="18"/>
                <w:lang w:val="it-IT"/>
              </w:rPr>
              <w:t>B Formulazione telefonica o</w:t>
            </w:r>
            <w:r w:rsidR="00E929A5" w:rsidRPr="007B74B7">
              <w:rPr>
                <w:rFonts w:ascii="Tahoma" w:hAnsi="Tahoma" w:cs="Tahoma"/>
                <w:color w:val="000000"/>
                <w:sz w:val="18"/>
                <w:szCs w:val="18"/>
                <w:lang w:val="it-IT"/>
              </w:rPr>
              <w:t> </w:t>
            </w:r>
            <w:r w:rsidRPr="007B74B7">
              <w:rPr>
                <w:rFonts w:ascii="Tahoma" w:hAnsi="Tahoma" w:cs="Tahoma"/>
                <w:color w:val="000000"/>
                <w:sz w:val="18"/>
                <w:szCs w:val="18"/>
                <w:lang w:val="it-IT"/>
              </w:rPr>
              <w:t>invio tramite</w:t>
            </w:r>
            <w:r w:rsidR="00E929A5" w:rsidRPr="007B74B7">
              <w:rPr>
                <w:rFonts w:ascii="Tahoma" w:hAnsi="Tahoma" w:cs="Tahoma"/>
                <w:color w:val="000000"/>
                <w:sz w:val="18"/>
                <w:szCs w:val="18"/>
                <w:lang w:val="it-IT"/>
              </w:rPr>
              <w:t> </w:t>
            </w:r>
            <w:r w:rsidRPr="007B74B7">
              <w:rPr>
                <w:rFonts w:ascii="Tahoma" w:hAnsi="Tahoma" w:cs="Tahoma"/>
                <w:color w:val="000000"/>
                <w:sz w:val="18"/>
                <w:szCs w:val="18"/>
                <w:lang w:val="it-IT"/>
              </w:rPr>
              <w:t>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BD7CEA" w:rsidRDefault="00DB2D1E" w:rsidP="007358C5">
            <w:pPr>
              <w:pStyle w:val="ListBullet3"/>
              <w:numPr>
                <w:ilvl w:val="0"/>
                <w:numId w:val="59"/>
              </w:numPr>
              <w:spacing w:line="276" w:lineRule="auto"/>
              <w:rPr>
                <w:sz w:val="18"/>
                <w:szCs w:val="18"/>
              </w:rPr>
            </w:pPr>
            <w:r w:rsidRPr="00BD7CEA">
              <w:rPr>
                <w:rFonts w:ascii="Tahoma" w:hAnsi="Tahoma" w:cs="Tahoma"/>
                <w:color w:val="000000"/>
                <w:sz w:val="18"/>
                <w:szCs w:val="18"/>
              </w:rPr>
              <w:t xml:space="preserve">Impatto commerciale moderato: </w:t>
            </w:r>
          </w:p>
          <w:p w:rsidR="00DB2D1E" w:rsidRPr="007B74B7" w:rsidRDefault="00DB2D1E" w:rsidP="007358C5">
            <w:pPr>
              <w:pStyle w:val="ListBullet3"/>
              <w:numPr>
                <w:ilvl w:val="0"/>
                <w:numId w:val="59"/>
              </w:numPr>
              <w:spacing w:line="276" w:lineRule="auto"/>
              <w:rPr>
                <w:sz w:val="18"/>
                <w:szCs w:val="18"/>
                <w:lang w:val="it-IT"/>
              </w:rPr>
            </w:pPr>
            <w:r w:rsidRPr="007B74B7">
              <w:rPr>
                <w:rFonts w:ascii="Tahoma" w:hAnsi="Tahoma" w:cs="Tahoma"/>
                <w:color w:val="000000"/>
                <w:sz w:val="18"/>
                <w:szCs w:val="18"/>
                <w:lang w:val="it-IT"/>
              </w:rPr>
              <w:t>Perdita o degradazione moderata dei servizi e possibilità di continuare il lavoro in modo meno efficiente.</w:t>
            </w:r>
          </w:p>
          <w:p w:rsidR="00DB2D1E" w:rsidRPr="007B74B7" w:rsidRDefault="00DB2D1E" w:rsidP="007358C5">
            <w:pPr>
              <w:pStyle w:val="ListBullet3"/>
              <w:numPr>
                <w:ilvl w:val="0"/>
                <w:numId w:val="59"/>
              </w:numPr>
              <w:spacing w:line="276" w:lineRule="auto"/>
              <w:rPr>
                <w:rFonts w:ascii="Tahoma" w:hAnsi="Tahoma" w:cs="Tahoma"/>
                <w:color w:val="000000"/>
                <w:sz w:val="18"/>
                <w:szCs w:val="18"/>
                <w:lang w:val="it-IT"/>
              </w:rPr>
            </w:pPr>
            <w:r w:rsidRPr="007B74B7">
              <w:rPr>
                <w:rFonts w:ascii="Tahoma" w:hAnsi="Tahoma" w:cs="Tahoma"/>
                <w:color w:val="000000"/>
                <w:sz w:val="18"/>
                <w:szCs w:val="18"/>
                <w:lang w:val="it-IT"/>
              </w:rPr>
              <w:t>Necessità dell</w:t>
            </w:r>
            <w:r w:rsidR="007A1415" w:rsidRPr="007B74B7">
              <w:rPr>
                <w:rFonts w:ascii="Tahoma" w:hAnsi="Tahoma" w:cs="Tahoma"/>
                <w:color w:val="000000"/>
                <w:sz w:val="18"/>
                <w:szCs w:val="18"/>
                <w:lang w:val="it-IT"/>
              </w:rPr>
              <w:t>’</w:t>
            </w:r>
            <w:r w:rsidRPr="007B74B7">
              <w:rPr>
                <w:rFonts w:ascii="Tahoma" w:hAnsi="Tahoma" w:cs="Tahoma"/>
                <w:color w:val="000000"/>
                <w:sz w:val="18"/>
                <w:szCs w:val="18"/>
                <w:lang w:val="it-IT"/>
              </w:rPr>
              <w:t>intervento entro 2 Ore Lavorative</w:t>
            </w:r>
            <w:r w:rsidRPr="007B74B7">
              <w:rPr>
                <w:rFonts w:ascii="Tahoma" w:hAnsi="Tahoma" w:cs="Tahoma"/>
                <w:color w:val="000000"/>
                <w:sz w:val="18"/>
                <w:szCs w:val="18"/>
                <w:vertAlign w:val="superscript"/>
                <w:lang w:val="it-I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7B74B7" w:rsidRDefault="00DB2D1E" w:rsidP="007358C5">
            <w:pPr>
              <w:pStyle w:val="ListBullet3"/>
              <w:numPr>
                <w:ilvl w:val="0"/>
                <w:numId w:val="60"/>
              </w:numPr>
              <w:spacing w:line="276" w:lineRule="auto"/>
              <w:rPr>
                <w:sz w:val="18"/>
                <w:szCs w:val="18"/>
                <w:lang w:val="it-IT"/>
              </w:rPr>
            </w:pPr>
            <w:r w:rsidRPr="007B74B7">
              <w:rPr>
                <w:rFonts w:ascii="Tahoma" w:hAnsi="Tahoma" w:cs="Tahoma"/>
                <w:color w:val="000000"/>
                <w:sz w:val="18"/>
                <w:szCs w:val="18"/>
                <w:lang w:val="it-IT"/>
              </w:rPr>
              <w:t>Risposta alla prima chiamata in 2 ore o meno</w:t>
            </w:r>
          </w:p>
          <w:p w:rsidR="00DB2D1E" w:rsidRPr="007B74B7" w:rsidRDefault="00DB2D1E" w:rsidP="007358C5">
            <w:pPr>
              <w:pStyle w:val="ListBullet3"/>
              <w:numPr>
                <w:ilvl w:val="0"/>
                <w:numId w:val="60"/>
              </w:numPr>
              <w:spacing w:line="276" w:lineRule="auto"/>
              <w:rPr>
                <w:sz w:val="18"/>
                <w:szCs w:val="18"/>
                <w:lang w:val="it-IT"/>
              </w:rPr>
            </w:pPr>
            <w:r w:rsidRPr="007B74B7">
              <w:rPr>
                <w:rFonts w:ascii="Tahoma" w:hAnsi="Tahoma" w:cs="Tahoma"/>
                <w:color w:val="000000"/>
                <w:sz w:val="18"/>
                <w:szCs w:val="18"/>
                <w:lang w:val="it-IT"/>
              </w:rPr>
              <w:t>Impegno solo durante le Ore Lavorative</w:t>
            </w:r>
            <w:r w:rsidRPr="007B74B7">
              <w:rPr>
                <w:rFonts w:ascii="Tahoma" w:hAnsi="Tahoma" w:cs="Tahoma"/>
                <w:color w:val="000000"/>
                <w:sz w:val="18"/>
                <w:szCs w:val="18"/>
                <w:vertAlign w:val="superscript"/>
                <w:lang w:val="it-IT"/>
              </w:rPr>
              <w:t>1</w:t>
            </w:r>
          </w:p>
          <w:p w:rsidR="00DB2D1E" w:rsidRPr="007B74B7" w:rsidRDefault="00DB2D1E" w:rsidP="00DE73D4">
            <w:pPr>
              <w:pStyle w:val="ListBullet3"/>
              <w:tabs>
                <w:tab w:val="clear" w:pos="1080"/>
                <w:tab w:val="left" w:pos="720"/>
              </w:tabs>
              <w:spacing w:line="276" w:lineRule="auto"/>
              <w:ind w:left="529" w:hanging="450"/>
              <w:rPr>
                <w:rFonts w:ascii="Tahoma" w:hAnsi="Tahoma" w:cs="Tahoma"/>
                <w:color w:val="000000"/>
                <w:sz w:val="18"/>
                <w:szCs w:val="18"/>
                <w:lang w:val="it-IT"/>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7B74B7" w:rsidRDefault="00DB2D1E" w:rsidP="007358C5">
            <w:pPr>
              <w:pStyle w:val="ListBullet3"/>
              <w:numPr>
                <w:ilvl w:val="0"/>
                <w:numId w:val="61"/>
              </w:numPr>
              <w:spacing w:line="276" w:lineRule="auto"/>
              <w:rPr>
                <w:sz w:val="18"/>
                <w:szCs w:val="18"/>
                <w:lang w:val="it-IT"/>
              </w:rPr>
            </w:pPr>
            <w:r w:rsidRPr="007B74B7">
              <w:rPr>
                <w:rFonts w:ascii="Tahoma" w:hAnsi="Tahoma" w:cs="Tahoma"/>
                <w:color w:val="000000"/>
                <w:sz w:val="18"/>
                <w:szCs w:val="18"/>
                <w:lang w:val="it-IT"/>
              </w:rPr>
              <w:t>Allocazione di risorse appropriate per sostenere l</w:t>
            </w:r>
            <w:r w:rsidR="007A1415" w:rsidRPr="007B74B7">
              <w:rPr>
                <w:rFonts w:ascii="Tahoma" w:hAnsi="Tahoma" w:cs="Tahoma"/>
                <w:color w:val="000000"/>
                <w:sz w:val="18"/>
                <w:szCs w:val="18"/>
                <w:lang w:val="it-IT"/>
              </w:rPr>
              <w:t>’</w:t>
            </w:r>
            <w:r w:rsidRPr="007B74B7">
              <w:rPr>
                <w:rFonts w:ascii="Tahoma" w:hAnsi="Tahoma" w:cs="Tahoma"/>
                <w:color w:val="000000"/>
                <w:sz w:val="18"/>
                <w:szCs w:val="18"/>
                <w:lang w:val="it-IT"/>
              </w:rPr>
              <w:t>impegno continuo durante le Ore Lavorative</w:t>
            </w:r>
            <w:r w:rsidRPr="007B74B7">
              <w:rPr>
                <w:rFonts w:ascii="Tahoma" w:hAnsi="Tahoma" w:cs="Tahoma"/>
                <w:color w:val="000000"/>
                <w:sz w:val="18"/>
                <w:szCs w:val="18"/>
                <w:vertAlign w:val="superscript"/>
                <w:lang w:val="it-IT"/>
              </w:rPr>
              <w:t>1</w:t>
            </w:r>
          </w:p>
          <w:p w:rsidR="00DB2D1E" w:rsidRPr="007B74B7" w:rsidRDefault="00DB2D1E" w:rsidP="007358C5">
            <w:pPr>
              <w:pStyle w:val="ListBullet3"/>
              <w:numPr>
                <w:ilvl w:val="0"/>
                <w:numId w:val="61"/>
              </w:numPr>
              <w:spacing w:line="276" w:lineRule="auto"/>
              <w:rPr>
                <w:rFonts w:ascii="Tahoma" w:hAnsi="Tahoma" w:cs="Tahoma"/>
                <w:color w:val="000000"/>
                <w:sz w:val="18"/>
                <w:szCs w:val="18"/>
                <w:lang w:val="it-IT"/>
              </w:rPr>
            </w:pPr>
            <w:r w:rsidRPr="007B74B7">
              <w:rPr>
                <w:rFonts w:ascii="Tahoma" w:hAnsi="Tahoma" w:cs="Tahoma"/>
                <w:color w:val="000000"/>
                <w:sz w:val="18"/>
                <w:szCs w:val="18"/>
                <w:lang w:val="it-IT"/>
              </w:rPr>
              <w:t>Accesso e risposta dall</w:t>
            </w:r>
            <w:r w:rsidR="007A1415" w:rsidRPr="007B74B7">
              <w:rPr>
                <w:rFonts w:ascii="Tahoma" w:hAnsi="Tahoma" w:cs="Tahoma"/>
                <w:color w:val="000000"/>
                <w:sz w:val="18"/>
                <w:szCs w:val="18"/>
                <w:lang w:val="it-IT"/>
              </w:rPr>
              <w:t>’</w:t>
            </w:r>
            <w:r w:rsidRPr="007B74B7">
              <w:rPr>
                <w:rFonts w:ascii="Tahoma" w:hAnsi="Tahoma" w:cs="Tahoma"/>
                <w:color w:val="000000"/>
                <w:sz w:val="18"/>
                <w:szCs w:val="18"/>
                <w:lang w:val="it-IT"/>
              </w:rPr>
              <w:t>autorità preposta al controllo delle modifiche entro 4 Ore Lavorative</w:t>
            </w:r>
            <w:r w:rsidRPr="007B74B7">
              <w:rPr>
                <w:rFonts w:ascii="Tahoma" w:hAnsi="Tahoma" w:cs="Tahoma"/>
                <w:color w:val="000000"/>
                <w:sz w:val="18"/>
                <w:szCs w:val="18"/>
                <w:vertAlign w:val="superscript"/>
                <w:lang w:val="it-IT"/>
              </w:rPr>
              <w:t>1</w:t>
            </w:r>
          </w:p>
        </w:tc>
      </w:tr>
      <w:tr w:rsidR="00DB2D1E" w:rsidRPr="00BD7CEA"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7B74B7" w:rsidRDefault="00DB2D1E" w:rsidP="00DE73D4">
            <w:pPr>
              <w:pStyle w:val="tableclose"/>
              <w:spacing w:line="276" w:lineRule="auto"/>
              <w:rPr>
                <w:rFonts w:ascii="Tahoma" w:hAnsi="Tahoma" w:cs="Tahoma"/>
                <w:color w:val="000000"/>
                <w:sz w:val="18"/>
                <w:szCs w:val="18"/>
                <w:lang w:val="it-IT"/>
              </w:rPr>
            </w:pPr>
            <w:r w:rsidRPr="007B74B7">
              <w:rPr>
                <w:rFonts w:ascii="Tahoma" w:hAnsi="Tahoma" w:cs="Tahoma"/>
                <w:color w:val="000000"/>
                <w:sz w:val="18"/>
                <w:szCs w:val="18"/>
                <w:lang w:val="it-IT"/>
              </w:rPr>
              <w:t>C Formulazione telefonica o invio tramite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BD7CEA" w:rsidRDefault="00DB2D1E" w:rsidP="007358C5">
            <w:pPr>
              <w:pStyle w:val="ListBullet3"/>
              <w:numPr>
                <w:ilvl w:val="0"/>
                <w:numId w:val="59"/>
              </w:numPr>
              <w:spacing w:line="276" w:lineRule="auto"/>
              <w:rPr>
                <w:sz w:val="18"/>
                <w:szCs w:val="18"/>
              </w:rPr>
            </w:pPr>
            <w:r w:rsidRPr="00BD7CEA">
              <w:rPr>
                <w:rFonts w:ascii="Tahoma" w:hAnsi="Tahoma" w:cs="Tahoma"/>
                <w:color w:val="000000"/>
                <w:sz w:val="18"/>
                <w:szCs w:val="18"/>
              </w:rPr>
              <w:t xml:space="preserve">Impatto commerciale minimo </w:t>
            </w:r>
          </w:p>
          <w:p w:rsidR="00DB2D1E" w:rsidRPr="007B74B7" w:rsidRDefault="00DB2D1E" w:rsidP="007358C5">
            <w:pPr>
              <w:pStyle w:val="ListBullet3"/>
              <w:numPr>
                <w:ilvl w:val="0"/>
                <w:numId w:val="59"/>
              </w:numPr>
              <w:spacing w:line="276" w:lineRule="auto"/>
              <w:rPr>
                <w:sz w:val="18"/>
                <w:szCs w:val="18"/>
                <w:lang w:val="it-IT"/>
              </w:rPr>
            </w:pPr>
            <w:r w:rsidRPr="007B74B7">
              <w:rPr>
                <w:rFonts w:ascii="Tahoma" w:hAnsi="Tahoma" w:cs="Tahoma"/>
                <w:color w:val="000000"/>
                <w:sz w:val="18"/>
                <w:szCs w:val="18"/>
                <w:lang w:val="it-IT"/>
              </w:rPr>
              <w:t>Funzionamento sostanzialmente nella norma, in alcuni casi con qualche minimo impedimento dei servizi.</w:t>
            </w:r>
          </w:p>
          <w:p w:rsidR="00DB2D1E" w:rsidRPr="007B74B7" w:rsidRDefault="00DB2D1E" w:rsidP="007358C5">
            <w:pPr>
              <w:pStyle w:val="ListBullet3"/>
              <w:numPr>
                <w:ilvl w:val="0"/>
                <w:numId w:val="59"/>
              </w:numPr>
              <w:spacing w:line="276" w:lineRule="auto"/>
              <w:rPr>
                <w:rFonts w:ascii="Tahoma" w:hAnsi="Tahoma" w:cs="Tahoma"/>
                <w:color w:val="000000"/>
                <w:sz w:val="18"/>
                <w:szCs w:val="18"/>
                <w:lang w:val="it-IT"/>
              </w:rPr>
            </w:pPr>
            <w:r w:rsidRPr="007B74B7">
              <w:rPr>
                <w:rFonts w:ascii="Tahoma" w:hAnsi="Tahoma" w:cs="Tahoma"/>
                <w:color w:val="000000"/>
                <w:sz w:val="18"/>
                <w:szCs w:val="18"/>
                <w:lang w:val="it-IT"/>
              </w:rPr>
              <w:t>Necessità dell</w:t>
            </w:r>
            <w:r w:rsidR="007A1415" w:rsidRPr="007B74B7">
              <w:rPr>
                <w:rFonts w:ascii="Tahoma" w:hAnsi="Tahoma" w:cs="Tahoma"/>
                <w:color w:val="000000"/>
                <w:sz w:val="18"/>
                <w:szCs w:val="18"/>
                <w:lang w:val="it-IT"/>
              </w:rPr>
              <w:t>’</w:t>
            </w:r>
            <w:r w:rsidRPr="007B74B7">
              <w:rPr>
                <w:rFonts w:ascii="Tahoma" w:hAnsi="Tahoma" w:cs="Tahoma"/>
                <w:color w:val="000000"/>
                <w:sz w:val="18"/>
                <w:szCs w:val="18"/>
                <w:lang w:val="it-IT"/>
              </w:rPr>
              <w:t>intervento entro 4 Ore Lavorative</w:t>
            </w:r>
            <w:r w:rsidRPr="007B74B7">
              <w:rPr>
                <w:rFonts w:ascii="Tahoma" w:hAnsi="Tahoma" w:cs="Tahoma"/>
                <w:color w:val="000000"/>
                <w:sz w:val="18"/>
                <w:szCs w:val="18"/>
                <w:vertAlign w:val="superscript"/>
                <w:lang w:val="it-I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7B74B7" w:rsidRDefault="00DB2D1E" w:rsidP="007358C5">
            <w:pPr>
              <w:pStyle w:val="ListBullet3"/>
              <w:numPr>
                <w:ilvl w:val="0"/>
                <w:numId w:val="60"/>
              </w:numPr>
              <w:spacing w:line="276" w:lineRule="auto"/>
              <w:rPr>
                <w:sz w:val="18"/>
                <w:szCs w:val="18"/>
                <w:lang w:val="it-IT"/>
              </w:rPr>
            </w:pPr>
            <w:r w:rsidRPr="007B74B7">
              <w:rPr>
                <w:rFonts w:ascii="Tahoma" w:hAnsi="Tahoma" w:cs="Tahoma"/>
                <w:color w:val="000000"/>
                <w:sz w:val="18"/>
                <w:szCs w:val="18"/>
                <w:lang w:val="it-IT"/>
              </w:rPr>
              <w:t>Risposta alla prima chiamata in 4 ore o meno</w:t>
            </w:r>
          </w:p>
          <w:p w:rsidR="00DB2D1E" w:rsidRPr="007B74B7" w:rsidRDefault="00DB2D1E" w:rsidP="007358C5">
            <w:pPr>
              <w:pStyle w:val="ListBullet3"/>
              <w:numPr>
                <w:ilvl w:val="0"/>
                <w:numId w:val="60"/>
              </w:numPr>
              <w:spacing w:line="276" w:lineRule="auto"/>
              <w:rPr>
                <w:sz w:val="18"/>
                <w:szCs w:val="18"/>
                <w:lang w:val="it-IT"/>
              </w:rPr>
            </w:pPr>
            <w:r w:rsidRPr="007B74B7">
              <w:rPr>
                <w:rFonts w:ascii="Tahoma" w:hAnsi="Tahoma" w:cs="Tahoma"/>
                <w:color w:val="000000"/>
                <w:sz w:val="18"/>
                <w:szCs w:val="18"/>
                <w:lang w:val="it-IT"/>
              </w:rPr>
              <w:t>Impegno solo durante le Ore Lavorative</w:t>
            </w:r>
            <w:r w:rsidRPr="007B74B7">
              <w:rPr>
                <w:rFonts w:ascii="Tahoma" w:hAnsi="Tahoma" w:cs="Tahoma"/>
                <w:color w:val="000000"/>
                <w:sz w:val="18"/>
                <w:szCs w:val="18"/>
                <w:vertAlign w:val="superscript"/>
                <w:lang w:val="it-IT"/>
              </w:rPr>
              <w:t>1</w:t>
            </w:r>
          </w:p>
          <w:p w:rsidR="00DB2D1E" w:rsidRPr="007B74B7" w:rsidRDefault="00DB2D1E" w:rsidP="00DE73D4">
            <w:pPr>
              <w:pStyle w:val="tableclose"/>
              <w:spacing w:line="276" w:lineRule="auto"/>
              <w:ind w:left="529" w:hanging="450"/>
              <w:rPr>
                <w:rFonts w:ascii="Tahoma" w:hAnsi="Tahoma" w:cs="Tahoma"/>
                <w:color w:val="000000"/>
                <w:sz w:val="18"/>
                <w:szCs w:val="18"/>
                <w:lang w:val="it-IT"/>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7B74B7" w:rsidRDefault="00DB2D1E" w:rsidP="007358C5">
            <w:pPr>
              <w:pStyle w:val="ListBullet3"/>
              <w:numPr>
                <w:ilvl w:val="0"/>
                <w:numId w:val="61"/>
              </w:numPr>
              <w:spacing w:line="276" w:lineRule="auto"/>
              <w:rPr>
                <w:sz w:val="18"/>
                <w:szCs w:val="18"/>
                <w:lang w:val="it-IT"/>
              </w:rPr>
            </w:pPr>
            <w:r w:rsidRPr="007B74B7">
              <w:rPr>
                <w:rFonts w:ascii="Tahoma" w:hAnsi="Tahoma" w:cs="Tahoma"/>
                <w:color w:val="000000"/>
                <w:sz w:val="18"/>
                <w:szCs w:val="18"/>
                <w:lang w:val="it-IT"/>
              </w:rPr>
              <w:t>Informazioni accurate da parte di chi segue il</w:t>
            </w:r>
            <w:r w:rsidR="004A61EB" w:rsidRPr="007B74B7">
              <w:rPr>
                <w:rFonts w:ascii="Tahoma" w:hAnsi="Tahoma" w:cs="Tahoma"/>
                <w:color w:val="000000"/>
                <w:sz w:val="18"/>
                <w:szCs w:val="18"/>
                <w:lang w:val="it-IT"/>
              </w:rPr>
              <w:t> </w:t>
            </w:r>
            <w:r w:rsidRPr="007B74B7">
              <w:rPr>
                <w:rFonts w:ascii="Tahoma" w:hAnsi="Tahoma" w:cs="Tahoma"/>
                <w:color w:val="000000"/>
                <w:sz w:val="18"/>
                <w:szCs w:val="18"/>
                <w:lang w:val="it-IT"/>
              </w:rPr>
              <w:t>caso</w:t>
            </w:r>
          </w:p>
          <w:p w:rsidR="00DB2D1E" w:rsidRPr="00BD7CEA" w:rsidRDefault="00DB2D1E" w:rsidP="007358C5">
            <w:pPr>
              <w:pStyle w:val="ListBullet3"/>
              <w:numPr>
                <w:ilvl w:val="0"/>
                <w:numId w:val="61"/>
              </w:numPr>
              <w:spacing w:line="276" w:lineRule="auto"/>
              <w:rPr>
                <w:rFonts w:ascii="Tahoma" w:hAnsi="Tahoma" w:cs="Tahoma"/>
                <w:color w:val="000000"/>
                <w:sz w:val="18"/>
                <w:szCs w:val="18"/>
              </w:rPr>
            </w:pPr>
            <w:r w:rsidRPr="00BD7CEA">
              <w:rPr>
                <w:rFonts w:ascii="Tahoma" w:hAnsi="Tahoma" w:cs="Tahoma"/>
                <w:color w:val="000000"/>
                <w:sz w:val="18"/>
                <w:szCs w:val="18"/>
              </w:rPr>
              <w:t>Risposta entro 24 ore.</w:t>
            </w:r>
          </w:p>
        </w:tc>
      </w:tr>
    </w:tbl>
    <w:p w:rsidR="00DB2D1E" w:rsidRPr="007B74B7" w:rsidRDefault="00DB2D1E" w:rsidP="00DB2D1E">
      <w:pPr>
        <w:pStyle w:val="tableclose"/>
        <w:rPr>
          <w:lang w:val="it-IT"/>
        </w:rPr>
      </w:pPr>
      <w:r w:rsidRPr="007B74B7">
        <w:rPr>
          <w:rFonts w:ascii="Tahoma" w:hAnsi="Tahoma" w:cs="Tahoma"/>
          <w:i/>
          <w:color w:val="000000"/>
          <w:sz w:val="16"/>
          <w:szCs w:val="16"/>
          <w:vertAlign w:val="superscript"/>
          <w:lang w:val="it-IT"/>
        </w:rPr>
        <w:t xml:space="preserve"> 1</w:t>
      </w:r>
      <w:r w:rsidRPr="007B74B7">
        <w:rPr>
          <w:rFonts w:ascii="Tahoma" w:hAnsi="Tahoma" w:cs="Tahoma"/>
          <w:i/>
          <w:color w:val="000000"/>
          <w:sz w:val="16"/>
          <w:szCs w:val="16"/>
          <w:lang w:val="it-IT"/>
        </w:rPr>
        <w:t xml:space="preserve"> Le Ore Lavorative sono definite su base locale.</w:t>
      </w:r>
    </w:p>
    <w:p w:rsidR="00DB2D1E" w:rsidRPr="007B74B7" w:rsidRDefault="00DB2D1E" w:rsidP="00F42FB8">
      <w:pPr>
        <w:pStyle w:val="tableclose"/>
        <w:rPr>
          <w:lang w:val="it-IT"/>
        </w:rPr>
      </w:pPr>
      <w:r w:rsidRPr="007B74B7">
        <w:rPr>
          <w:rFonts w:ascii="Tahoma" w:hAnsi="Tahoma" w:cs="Tahoma"/>
          <w:i/>
          <w:color w:val="000000"/>
          <w:sz w:val="16"/>
          <w:szCs w:val="16"/>
          <w:vertAlign w:val="superscript"/>
          <w:lang w:val="it-IT"/>
        </w:rPr>
        <w:t>2</w:t>
      </w:r>
      <w:r w:rsidRPr="007B74B7">
        <w:rPr>
          <w:rFonts w:ascii="Tahoma" w:hAnsi="Tahoma" w:cs="Tahoma"/>
          <w:i/>
          <w:color w:val="000000"/>
          <w:sz w:val="16"/>
          <w:szCs w:val="16"/>
          <w:lang w:val="it-IT"/>
        </w:rPr>
        <w:t xml:space="preserve"> È possibile che Microsoft riduca il livello di gravità se la società non è in grado di fornire risorse o risposte adeguate a supporto dell</w:t>
      </w:r>
      <w:r w:rsidR="007A1415" w:rsidRPr="007B74B7">
        <w:rPr>
          <w:rFonts w:ascii="Tahoma" w:hAnsi="Tahoma" w:cs="Tahoma"/>
          <w:i/>
          <w:color w:val="000000"/>
          <w:sz w:val="16"/>
          <w:szCs w:val="16"/>
          <w:lang w:val="it-IT"/>
        </w:rPr>
        <w:t>’</w:t>
      </w:r>
      <w:r w:rsidRPr="007B74B7">
        <w:rPr>
          <w:rFonts w:ascii="Tahoma" w:hAnsi="Tahoma" w:cs="Tahoma"/>
          <w:i/>
          <w:color w:val="000000"/>
          <w:sz w:val="16"/>
          <w:szCs w:val="16"/>
          <w:lang w:val="it-IT"/>
        </w:rPr>
        <w:t>impegno di Microsoft volto a risolvere il problema.</w:t>
      </w:r>
    </w:p>
    <w:p w:rsidR="00DB2D1E" w:rsidRPr="007B74B7" w:rsidRDefault="00DB2D1E" w:rsidP="00F42FB8">
      <w:pPr>
        <w:rPr>
          <w:lang w:val="it-IT"/>
        </w:rPr>
      </w:pPr>
    </w:p>
    <w:p w:rsidR="00DB2D1E" w:rsidRPr="007B74B7" w:rsidRDefault="00DB2D1E" w:rsidP="00DB2D1E">
      <w:pPr>
        <w:spacing w:after="120"/>
        <w:rPr>
          <w:lang w:val="it-IT"/>
        </w:rPr>
      </w:pPr>
      <w:r w:rsidRPr="007B74B7">
        <w:rPr>
          <w:lang w:val="it-IT"/>
        </w:rPr>
        <w:t xml:space="preserve">Il servizio </w:t>
      </w:r>
      <w:r w:rsidRPr="007B74B7">
        <w:rPr>
          <w:rFonts w:cs="Tahoma"/>
          <w:b/>
          <w:bCs/>
          <w:color w:val="000000"/>
          <w:szCs w:val="18"/>
          <w:lang w:val="it-IT"/>
        </w:rPr>
        <w:t>Information Services</w:t>
      </w:r>
      <w:r w:rsidRPr="007B74B7">
        <w:rPr>
          <w:rFonts w:cs="Tahoma"/>
          <w:color w:val="000000"/>
          <w:szCs w:val="18"/>
          <w:lang w:val="it-IT"/>
        </w:rPr>
        <w:t xml:space="preserve"> include l</w:t>
      </w:r>
      <w:r w:rsidR="007A1415" w:rsidRPr="007B74B7">
        <w:rPr>
          <w:rFonts w:cs="Tahoma"/>
          <w:color w:val="000000"/>
          <w:szCs w:val="18"/>
          <w:lang w:val="it-IT"/>
        </w:rPr>
        <w:t>’</w:t>
      </w:r>
      <w:r w:rsidRPr="007B74B7">
        <w:rPr>
          <w:rFonts w:cs="Tahoma"/>
          <w:color w:val="000000"/>
          <w:szCs w:val="18"/>
          <w:lang w:val="it-IT"/>
        </w:rPr>
        <w:t>accesso al sito Web Premier e a Webcast di supporto pianificati su base periodica condotte da manager, sviluppatori ed esperti del programma Microsoft che forniscono informazioni chiave sulla tecnologia Microsoft.</w:t>
      </w:r>
    </w:p>
    <w:p w:rsidR="00DB2D1E" w:rsidRPr="007B74B7" w:rsidRDefault="00DB2D1E" w:rsidP="00DB2D1E">
      <w:pPr>
        <w:rPr>
          <w:lang w:val="it-IT"/>
        </w:rPr>
      </w:pPr>
      <w:r w:rsidRPr="007B74B7">
        <w:rPr>
          <w:lang w:val="it-IT"/>
        </w:rPr>
        <w:t xml:space="preserve">Le </w:t>
      </w:r>
      <w:r w:rsidRPr="007B74B7">
        <w:rPr>
          <w:rFonts w:cs="Tahoma"/>
          <w:b/>
          <w:bCs/>
          <w:color w:val="000000"/>
          <w:szCs w:val="18"/>
          <w:lang w:val="it-IT"/>
        </w:rPr>
        <w:t xml:space="preserve">Ore di Aggiunta </w:t>
      </w:r>
      <w:r w:rsidRPr="007B74B7">
        <w:rPr>
          <w:rFonts w:cs="Tahoma"/>
          <w:color w:val="000000"/>
          <w:szCs w:val="18"/>
          <w:lang w:val="it-IT"/>
        </w:rPr>
        <w:t xml:space="preserve">possono essere utilizzate per le Attività Proattive di Supporto (Support Assistance) o il Supporto per la Risoluzione dei Problemi. </w:t>
      </w:r>
    </w:p>
    <w:p w:rsidR="00DC0853" w:rsidRPr="007B74B7" w:rsidRDefault="00DC0853" w:rsidP="00DC0853">
      <w:pPr>
        <w:spacing w:after="60"/>
        <w:rPr>
          <w:lang w:val="it-IT"/>
        </w:rPr>
      </w:pPr>
      <w:r w:rsidRPr="007B74B7">
        <w:rPr>
          <w:rFonts w:cs="Tahoma"/>
          <w:b/>
          <w:bCs/>
          <w:color w:val="000000"/>
          <w:szCs w:val="18"/>
          <w:lang w:val="it-IT"/>
        </w:rPr>
        <w:lastRenderedPageBreak/>
        <w:t>Regole Commerciali Associate</w:t>
      </w:r>
    </w:p>
    <w:p w:rsidR="00DB2D1E" w:rsidRPr="007B74B7" w:rsidRDefault="00DB2D1E" w:rsidP="00FD27BC">
      <w:pPr>
        <w:rPr>
          <w:spacing w:val="-4"/>
          <w:lang w:val="it-IT"/>
        </w:rPr>
      </w:pPr>
      <w:r w:rsidRPr="007B74B7">
        <w:rPr>
          <w:rFonts w:cs="Tahoma"/>
          <w:color w:val="000000"/>
          <w:spacing w:val="-4"/>
          <w:szCs w:val="18"/>
          <w:lang w:val="it-IT"/>
        </w:rPr>
        <w:t>Tutti i Servizi forniscono il supporto per Prodotti Microsoft disponibili sul mercato e destinati a un uso commerciale (se non</w:t>
      </w:r>
      <w:r w:rsidR="00C74E3A" w:rsidRPr="007B74B7">
        <w:rPr>
          <w:rFonts w:cs="Tahoma"/>
          <w:color w:val="000000"/>
          <w:spacing w:val="-4"/>
          <w:szCs w:val="18"/>
          <w:lang w:val="it-IT"/>
        </w:rPr>
        <w:t> </w:t>
      </w:r>
      <w:r w:rsidRPr="007B74B7">
        <w:rPr>
          <w:rFonts w:cs="Tahoma"/>
          <w:color w:val="000000"/>
          <w:spacing w:val="-4"/>
          <w:szCs w:val="18"/>
          <w:lang w:val="it-IT"/>
        </w:rPr>
        <w:t>specificamente escluso sul sito Web Microsoft Premier o sul sito Web Microsoft di Supporto del Ciclo di Vita). I Servizi saranno addebitati, in genere, su base oraria, forniti in remoto e in lingua inglese (salvo laddove sia disponibile un</w:t>
      </w:r>
      <w:r w:rsidR="007A1415" w:rsidRPr="007B74B7">
        <w:rPr>
          <w:rFonts w:cs="Tahoma"/>
          <w:color w:val="000000"/>
          <w:spacing w:val="-4"/>
          <w:szCs w:val="18"/>
          <w:lang w:val="it-IT"/>
        </w:rPr>
        <w:t>’</w:t>
      </w:r>
      <w:r w:rsidRPr="007B74B7">
        <w:rPr>
          <w:rFonts w:cs="Tahoma"/>
          <w:color w:val="000000"/>
          <w:spacing w:val="-4"/>
          <w:szCs w:val="18"/>
          <w:lang w:val="it-IT"/>
        </w:rPr>
        <w:t>altra lingua). I Servizi saranno forniti nel paese in cui è stato sottoscritto il contratto VL. Gli interventi in loco non sono prepagati e dipendono dalla disponibilità delle risorse. Tutti i Servizi non utilizzati nell</w:t>
      </w:r>
      <w:r w:rsidR="007A1415" w:rsidRPr="007B74B7">
        <w:rPr>
          <w:rFonts w:cs="Tahoma"/>
          <w:color w:val="000000"/>
          <w:spacing w:val="-4"/>
          <w:szCs w:val="18"/>
          <w:lang w:val="it-IT"/>
        </w:rPr>
        <w:t>’</w:t>
      </w:r>
      <w:r w:rsidRPr="007B74B7">
        <w:rPr>
          <w:rFonts w:cs="Tahoma"/>
          <w:color w:val="000000"/>
          <w:spacing w:val="-4"/>
          <w:szCs w:val="18"/>
          <w:lang w:val="it-IT"/>
        </w:rPr>
        <w:t>anno andranno persi. Su richiesta della società, Microsoft potrà accedere al sistema della società tramite connessione telefonica remota per analizzare i problemi. Le società dovranno disporre di un accesso a Internet per poter utilizzare i servizi basati su Internet.</w:t>
      </w:r>
    </w:p>
    <w:p w:rsidR="00DB2D1E" w:rsidRPr="007B74B7" w:rsidRDefault="00DB2D1E" w:rsidP="00DB2D1E">
      <w:pPr>
        <w:jc w:val="both"/>
        <w:rPr>
          <w:sz w:val="16"/>
          <w:szCs w:val="16"/>
          <w:lang w:val="it-IT"/>
        </w:rPr>
      </w:pPr>
    </w:p>
    <w:p w:rsidR="00596386" w:rsidRPr="007B74B7" w:rsidRDefault="00596386" w:rsidP="00596386">
      <w:pPr>
        <w:rPr>
          <w:lang w:val="it-IT"/>
        </w:rPr>
      </w:pPr>
      <w:r w:rsidRPr="007B74B7">
        <w:rPr>
          <w:b/>
          <w:sz w:val="24"/>
          <w:szCs w:val="24"/>
          <w:lang w:val="it-IT"/>
        </w:rPr>
        <w:t>Offerte di Supporto per Microsoft Windows Azure</w:t>
      </w:r>
    </w:p>
    <w:p w:rsidR="00596386" w:rsidRPr="007B74B7" w:rsidRDefault="00596386" w:rsidP="00596386">
      <w:pPr>
        <w:rPr>
          <w:sz w:val="16"/>
          <w:szCs w:val="16"/>
          <w:lang w:val="it-IT"/>
        </w:rPr>
      </w:pPr>
    </w:p>
    <w:p w:rsidR="00596386" w:rsidRPr="007B74B7" w:rsidRDefault="00596386" w:rsidP="00596386">
      <w:pPr>
        <w:jc w:val="both"/>
        <w:rPr>
          <w:lang w:val="it-IT"/>
        </w:rPr>
      </w:pPr>
      <w:r w:rsidRPr="007B74B7">
        <w:rPr>
          <w:rFonts w:cs="Arial"/>
          <w:color w:val="000000"/>
          <w:szCs w:val="18"/>
          <w:lang w:val="it-IT"/>
        </w:rPr>
        <w:t>Salvo quanto diversamente specificato di sotto, i Servizi di Supporto per Windows Azure sono disponibili per Windows</w:t>
      </w:r>
      <w:r w:rsidR="004A61EB" w:rsidRPr="007B74B7">
        <w:rPr>
          <w:rFonts w:cs="Arial"/>
          <w:color w:val="000000"/>
          <w:szCs w:val="18"/>
          <w:lang w:val="it-IT"/>
        </w:rPr>
        <w:t> </w:t>
      </w:r>
      <w:r w:rsidRPr="007B74B7">
        <w:rPr>
          <w:rFonts w:cs="Arial"/>
          <w:color w:val="000000"/>
          <w:szCs w:val="18"/>
          <w:lang w:val="it-IT"/>
        </w:rPr>
        <w:t xml:space="preserve">Azure. </w:t>
      </w:r>
    </w:p>
    <w:p w:rsidR="00596386" w:rsidRPr="007B74B7" w:rsidRDefault="00596386" w:rsidP="00596386">
      <w:pPr>
        <w:tabs>
          <w:tab w:val="left" w:pos="360"/>
        </w:tabs>
        <w:jc w:val="both"/>
        <w:rPr>
          <w:sz w:val="16"/>
          <w:szCs w:val="16"/>
          <w:lang w:val="it-IT"/>
        </w:rPr>
      </w:pPr>
    </w:p>
    <w:p w:rsidR="00596386" w:rsidRPr="007B74B7" w:rsidRDefault="00596386" w:rsidP="00596386">
      <w:pPr>
        <w:tabs>
          <w:tab w:val="left" w:pos="360"/>
        </w:tabs>
        <w:jc w:val="both"/>
        <w:rPr>
          <w:lang w:val="it-IT"/>
        </w:rPr>
      </w:pPr>
      <w:r w:rsidRPr="007B74B7">
        <w:rPr>
          <w:rFonts w:cs="Arial"/>
          <w:szCs w:val="18"/>
          <w:lang w:val="it-IT"/>
        </w:rPr>
        <w:t>I Servizi verranno forniti dal team di Supporto di Windows Azure, che comprende specialisti di Windows Azure che risponderanno alle richieste di supporto per Windows Azure di una società</w:t>
      </w:r>
      <w:r w:rsidRPr="007B74B7">
        <w:rPr>
          <w:rFonts w:cs="Arial"/>
          <w:snapToGrid w:val="0"/>
          <w:szCs w:val="18"/>
          <w:lang w:val="it-IT"/>
        </w:rPr>
        <w:t xml:space="preserve">. Le società riceveranno assistenza di alto livello </w:t>
      </w:r>
      <w:r w:rsidRPr="007B74B7">
        <w:rPr>
          <w:rFonts w:cs="Arial"/>
          <w:szCs w:val="18"/>
          <w:lang w:val="it-IT"/>
        </w:rPr>
        <w:t>24 ore al giorno, 7 giorni su 7, solo in lingua inglese.</w:t>
      </w:r>
      <w:r w:rsidR="008D782D" w:rsidRPr="007B74B7">
        <w:rPr>
          <w:rFonts w:cs="Arial"/>
          <w:szCs w:val="18"/>
          <w:lang w:val="it-IT"/>
        </w:rPr>
        <w:t xml:space="preserve"> </w:t>
      </w:r>
      <w:r w:rsidRPr="007B74B7">
        <w:rPr>
          <w:rFonts w:cs="Arial"/>
          <w:szCs w:val="18"/>
          <w:lang w:val="it-IT"/>
        </w:rPr>
        <w:t>L</w:t>
      </w:r>
      <w:r w:rsidR="007A1415" w:rsidRPr="007B74B7">
        <w:rPr>
          <w:rFonts w:cs="Arial"/>
          <w:szCs w:val="18"/>
          <w:lang w:val="it-IT"/>
        </w:rPr>
        <w:t>’</w:t>
      </w:r>
      <w:r w:rsidRPr="007B74B7">
        <w:rPr>
          <w:rFonts w:cs="Arial"/>
          <w:szCs w:val="18"/>
          <w:lang w:val="it-IT"/>
        </w:rPr>
        <w:t>assistenza in altre lingue (</w:t>
      </w:r>
      <w:hyperlink r:id="rId34" w:history="1">
        <w:r w:rsidRPr="007B74B7">
          <w:rPr>
            <w:rStyle w:val="Hyperlink"/>
            <w:szCs w:val="18"/>
            <w:lang w:val="it-IT"/>
          </w:rPr>
          <w:t>www.windowsazure.com/en-us/support/plans/</w:t>
        </w:r>
      </w:hyperlink>
      <w:r w:rsidRPr="007B74B7">
        <w:rPr>
          <w:rFonts w:cs="Arial"/>
          <w:szCs w:val="18"/>
          <w:lang w:val="it-IT"/>
        </w:rPr>
        <w:t>) è disponibile solo durante le ore lavorative.</w:t>
      </w:r>
    </w:p>
    <w:p w:rsidR="00596386" w:rsidRPr="007B74B7" w:rsidRDefault="00596386" w:rsidP="00596386">
      <w:pPr>
        <w:tabs>
          <w:tab w:val="left" w:pos="360"/>
        </w:tabs>
        <w:jc w:val="both"/>
        <w:rPr>
          <w:sz w:val="16"/>
          <w:szCs w:val="16"/>
          <w:lang w:val="it-IT"/>
        </w:rPr>
      </w:pPr>
    </w:p>
    <w:p w:rsidR="00596386" w:rsidRPr="007B74B7" w:rsidRDefault="00596386" w:rsidP="00596386">
      <w:pPr>
        <w:tabs>
          <w:tab w:val="left" w:pos="360"/>
        </w:tabs>
        <w:jc w:val="both"/>
        <w:rPr>
          <w:lang w:val="it-IT"/>
        </w:rPr>
      </w:pPr>
      <w:r w:rsidRPr="007B74B7">
        <w:rPr>
          <w:rFonts w:cs="Arial"/>
          <w:szCs w:val="18"/>
          <w:lang w:val="it-IT"/>
        </w:rPr>
        <w:t>“Intervento” indica una richiesta di assistenza in garanzia per un</w:t>
      </w:r>
      <w:r w:rsidR="007A1415" w:rsidRPr="007B74B7">
        <w:rPr>
          <w:rFonts w:cs="Arial"/>
          <w:szCs w:val="18"/>
          <w:lang w:val="it-IT"/>
        </w:rPr>
        <w:t>’</w:t>
      </w:r>
      <w:r w:rsidRPr="007B74B7">
        <w:rPr>
          <w:rFonts w:cs="Arial"/>
          <w:szCs w:val="18"/>
          <w:lang w:val="it-IT"/>
        </w:rPr>
        <w:t>Unica Problematica di Assistenza.</w:t>
      </w:r>
      <w:r w:rsidR="008D782D" w:rsidRPr="007B74B7">
        <w:rPr>
          <w:rFonts w:cs="Arial"/>
          <w:szCs w:val="18"/>
          <w:lang w:val="it-IT"/>
        </w:rPr>
        <w:t xml:space="preserve"> </w:t>
      </w:r>
      <w:r w:rsidRPr="007B74B7">
        <w:rPr>
          <w:rFonts w:cs="Arial"/>
          <w:szCs w:val="18"/>
          <w:lang w:val="it-IT"/>
        </w:rPr>
        <w:t>“Unica Problematica di Assistenza” indica un problema che non può essere suddiviso in problematiche subordinate.</w:t>
      </w:r>
      <w:r w:rsidR="008D782D" w:rsidRPr="007B74B7">
        <w:rPr>
          <w:rFonts w:cs="Arial"/>
          <w:szCs w:val="18"/>
          <w:lang w:val="it-IT"/>
        </w:rPr>
        <w:t xml:space="preserve"> </w:t>
      </w:r>
      <w:r w:rsidRPr="007B74B7">
        <w:rPr>
          <w:rFonts w:cs="Arial"/>
          <w:szCs w:val="18"/>
          <w:lang w:val="it-IT"/>
        </w:rPr>
        <w:t>Qualora un problema sia composto da problematiche subordinate, ogni problematica dovrà essere considerata un Intervento distinto.</w:t>
      </w:r>
      <w:r w:rsidR="008D782D" w:rsidRPr="007B74B7">
        <w:rPr>
          <w:rFonts w:cs="Arial"/>
          <w:szCs w:val="18"/>
          <w:lang w:val="it-IT"/>
        </w:rPr>
        <w:t xml:space="preserve"> </w:t>
      </w:r>
      <w:r w:rsidRPr="007B74B7">
        <w:rPr>
          <w:rFonts w:cs="Arial"/>
          <w:szCs w:val="18"/>
          <w:lang w:val="it-IT"/>
        </w:rPr>
        <w:t>Gli Interventi includono la quantità ragionevole sotto il profilo commerciale di servizi necessari per individuare e risolvere la problematica di assistenza.</w:t>
      </w:r>
      <w:r w:rsidR="008D782D" w:rsidRPr="007B74B7">
        <w:rPr>
          <w:rFonts w:cs="Arial"/>
          <w:szCs w:val="18"/>
          <w:lang w:val="it-IT"/>
        </w:rPr>
        <w:t xml:space="preserve"> </w:t>
      </w:r>
      <w:r w:rsidRPr="007B74B7">
        <w:rPr>
          <w:rFonts w:cs="Arial"/>
          <w:szCs w:val="18"/>
          <w:lang w:val="it-IT"/>
        </w:rPr>
        <w:t xml:space="preserve">Gli Interventi potranno essere eseguiti tramite il sito Web del supporto assistito online </w:t>
      </w:r>
      <w:hyperlink r:id="rId35" w:history="1">
        <w:r w:rsidRPr="007B74B7">
          <w:rPr>
            <w:rStyle w:val="Hyperlink"/>
            <w:rFonts w:cs="Arial"/>
            <w:szCs w:val="18"/>
            <w:lang w:val="it-IT"/>
          </w:rPr>
          <w:t>www.windowsazure.com</w:t>
        </w:r>
      </w:hyperlink>
      <w:r w:rsidRPr="007B74B7">
        <w:rPr>
          <w:rFonts w:cs="Arial"/>
          <w:szCs w:val="18"/>
          <w:lang w:val="it-IT"/>
        </w:rPr>
        <w:t>.</w:t>
      </w:r>
      <w:r w:rsidR="008D782D" w:rsidRPr="007B74B7">
        <w:rPr>
          <w:rFonts w:cs="Arial"/>
          <w:szCs w:val="18"/>
          <w:lang w:val="it-IT"/>
        </w:rPr>
        <w:t xml:space="preserve"> </w:t>
      </w:r>
    </w:p>
    <w:p w:rsidR="00596386" w:rsidRPr="007B74B7" w:rsidRDefault="00596386" w:rsidP="00596386">
      <w:pPr>
        <w:tabs>
          <w:tab w:val="left" w:pos="360"/>
        </w:tabs>
        <w:jc w:val="both"/>
        <w:rPr>
          <w:sz w:val="16"/>
          <w:szCs w:val="16"/>
          <w:lang w:val="it-IT"/>
        </w:rPr>
      </w:pPr>
    </w:p>
    <w:p w:rsidR="00596386" w:rsidRPr="007B74B7" w:rsidRDefault="00596386" w:rsidP="00596386">
      <w:pPr>
        <w:tabs>
          <w:tab w:val="left" w:pos="360"/>
        </w:tabs>
        <w:jc w:val="both"/>
        <w:rPr>
          <w:lang w:val="it-IT"/>
        </w:rPr>
      </w:pPr>
      <w:r w:rsidRPr="007B74B7">
        <w:rPr>
          <w:rFonts w:cs="Arial"/>
          <w:szCs w:val="18"/>
          <w:lang w:val="it-IT"/>
        </w:rPr>
        <w:t>I Servizi verranno forniti in lingua inglese salvo quanto diversamente concordato tra una società e Microsoft per iscritto. Servizi aggiuntivi, inclusi i servizi di supporto, potranno essere disponibili per Windows Azure in conformità a</w:t>
      </w:r>
      <w:r w:rsidR="004A61EB" w:rsidRPr="007B74B7">
        <w:rPr>
          <w:rFonts w:cs="Arial"/>
          <w:szCs w:val="18"/>
          <w:lang w:val="it-IT"/>
        </w:rPr>
        <w:t> </w:t>
      </w:r>
      <w:r w:rsidRPr="007B74B7">
        <w:rPr>
          <w:rFonts w:cs="Arial"/>
          <w:szCs w:val="18"/>
          <w:lang w:val="it-IT"/>
        </w:rPr>
        <w:t>un contratto specifico stipulato tra le parti.</w:t>
      </w:r>
      <w:r w:rsidR="008D782D" w:rsidRPr="007B74B7">
        <w:rPr>
          <w:rFonts w:cs="Arial"/>
          <w:szCs w:val="18"/>
          <w:lang w:val="it-IT"/>
        </w:rPr>
        <w:t xml:space="preserve"> </w:t>
      </w:r>
      <w:r w:rsidRPr="007B74B7">
        <w:rPr>
          <w:rFonts w:cs="Arial"/>
          <w:szCs w:val="18"/>
          <w:lang w:val="it-IT"/>
        </w:rPr>
        <w:t>Tali servizi aggiuntivi saranno disciplinati dalle condizioni di tale contratto specifico.</w:t>
      </w:r>
    </w:p>
    <w:p w:rsidR="00596386" w:rsidRPr="007B74B7" w:rsidRDefault="00596386" w:rsidP="00596386">
      <w:pPr>
        <w:pStyle w:val="normal1"/>
        <w:jc w:val="both"/>
        <w:rPr>
          <w:sz w:val="16"/>
          <w:szCs w:val="16"/>
          <w:lang w:val="it-IT"/>
        </w:rPr>
      </w:pPr>
    </w:p>
    <w:p w:rsidR="00596386" w:rsidRPr="007B74B7" w:rsidRDefault="00596386" w:rsidP="00596386">
      <w:pPr>
        <w:widowControl w:val="0"/>
        <w:tabs>
          <w:tab w:val="left" w:pos="720"/>
          <w:tab w:val="left" w:pos="1170"/>
        </w:tabs>
        <w:rPr>
          <w:lang w:val="it-IT"/>
        </w:rPr>
      </w:pPr>
      <w:r w:rsidRPr="007B74B7">
        <w:rPr>
          <w:rFonts w:cs="Arial"/>
          <w:b/>
          <w:bCs/>
          <w:sz w:val="24"/>
          <w:szCs w:val="18"/>
          <w:lang w:val="it-IT"/>
        </w:rPr>
        <w:t>Supporto Diretto Professionale per Windows Azure</w:t>
      </w:r>
    </w:p>
    <w:p w:rsidR="00596386" w:rsidRPr="007B74B7" w:rsidRDefault="00596386" w:rsidP="00596386">
      <w:pPr>
        <w:tabs>
          <w:tab w:val="left" w:pos="360"/>
        </w:tabs>
        <w:jc w:val="both"/>
        <w:rPr>
          <w:sz w:val="16"/>
          <w:szCs w:val="16"/>
          <w:lang w:val="it-IT"/>
        </w:rPr>
      </w:pPr>
    </w:p>
    <w:p w:rsidR="006E7D7A" w:rsidRPr="007B74B7" w:rsidRDefault="006E7D7A" w:rsidP="006E7D7A">
      <w:pPr>
        <w:tabs>
          <w:tab w:val="left" w:pos="360"/>
        </w:tabs>
        <w:jc w:val="both"/>
        <w:rPr>
          <w:lang w:val="it-IT"/>
        </w:rPr>
      </w:pPr>
      <w:r w:rsidRPr="007B74B7">
        <w:rPr>
          <w:rFonts w:cs="Arial"/>
          <w:i/>
          <w:color w:val="000000"/>
          <w:szCs w:val="18"/>
          <w:lang w:val="it-IT"/>
        </w:rPr>
        <w:t>Disponibilità commerciale limitata</w:t>
      </w:r>
      <w:r w:rsidR="00FD7C0D" w:rsidRPr="007B74B7">
        <w:rPr>
          <w:rFonts w:cs="Arial"/>
          <w:color w:val="000000"/>
          <w:szCs w:val="18"/>
          <w:lang w:val="it-IT"/>
        </w:rPr>
        <w:t xml:space="preserve"> – </w:t>
      </w:r>
      <w:r w:rsidRPr="007B74B7">
        <w:rPr>
          <w:rFonts w:cs="Arial"/>
          <w:color w:val="000000"/>
          <w:szCs w:val="18"/>
          <w:lang w:val="it-IT"/>
        </w:rPr>
        <w:t>Il Supporto Diretto Professionale per i Servizi Windows Azure delineati di seguito sono erogati in lingua inglese solo in un numero limitato di paesi (</w:t>
      </w:r>
      <w:hyperlink r:id="rId36" w:history="1">
        <w:r w:rsidRPr="007B74B7">
          <w:rPr>
            <w:rStyle w:val="Hyperlink"/>
            <w:rFonts w:cs="Arial"/>
            <w:szCs w:val="18"/>
            <w:lang w:val="it-IT"/>
          </w:rPr>
          <w:t>www.windowsazure.com/en-us/support/plans/</w:t>
        </w:r>
      </w:hyperlink>
      <w:r w:rsidRPr="007B74B7">
        <w:rPr>
          <w:rFonts w:cs="Arial"/>
          <w:szCs w:val="18"/>
          <w:lang w:val="it-IT"/>
        </w:rPr>
        <w:t>).</w:t>
      </w:r>
    </w:p>
    <w:p w:rsidR="006E7D7A" w:rsidRPr="007B74B7" w:rsidRDefault="006E7D7A" w:rsidP="006E7D7A">
      <w:pPr>
        <w:tabs>
          <w:tab w:val="left" w:pos="360"/>
        </w:tabs>
        <w:jc w:val="both"/>
        <w:rPr>
          <w:sz w:val="16"/>
          <w:szCs w:val="16"/>
          <w:lang w:val="it-IT"/>
        </w:rPr>
      </w:pPr>
    </w:p>
    <w:p w:rsidR="00596386" w:rsidRPr="007B74B7" w:rsidRDefault="00596386" w:rsidP="00596386">
      <w:pPr>
        <w:tabs>
          <w:tab w:val="left" w:pos="360"/>
        </w:tabs>
        <w:jc w:val="both"/>
        <w:rPr>
          <w:lang w:val="it-IT"/>
        </w:rPr>
      </w:pPr>
      <w:r w:rsidRPr="007B74B7">
        <w:rPr>
          <w:rFonts w:cs="Arial"/>
          <w:color w:val="000000"/>
          <w:szCs w:val="18"/>
          <w:lang w:val="it-IT"/>
        </w:rPr>
        <w:t>Le società avranno la responsabilità di definire il livello di gravità iniziale utilizzando la procedura di invio tramite Web in linea con le indicazioni di gravità fornite di seguito. Microsoft potrà ridurre il livello di gravità; ciò potrà avvenire anche nei casi in cui la società non fornisca risorse o risposte adeguate a supportare Microsoft nel suo impegno volto a risolvere il problema.</w:t>
      </w:r>
      <w:r w:rsidR="008D782D" w:rsidRPr="007B74B7">
        <w:rPr>
          <w:rFonts w:cs="Arial"/>
          <w:color w:val="000000"/>
          <w:szCs w:val="18"/>
          <w:lang w:val="it-IT"/>
        </w:rPr>
        <w:t xml:space="preserve"> </w:t>
      </w:r>
      <w:r w:rsidRPr="007B74B7">
        <w:rPr>
          <w:rFonts w:cs="Arial"/>
          <w:color w:val="000000"/>
          <w:szCs w:val="18"/>
          <w:lang w:val="it-IT"/>
        </w:rPr>
        <w:t>La gravità dell</w:t>
      </w:r>
      <w:r w:rsidR="007A1415" w:rsidRPr="007B74B7">
        <w:rPr>
          <w:rFonts w:cs="Arial"/>
          <w:color w:val="000000"/>
          <w:szCs w:val="18"/>
          <w:lang w:val="it-IT"/>
        </w:rPr>
        <w:t>’</w:t>
      </w:r>
      <w:r w:rsidRPr="007B74B7">
        <w:rPr>
          <w:rFonts w:cs="Arial"/>
          <w:color w:val="000000"/>
          <w:szCs w:val="18"/>
          <w:lang w:val="it-IT"/>
        </w:rPr>
        <w:t>intervento determinerà i livelli di risposta da parte di Microsoft. I tempi di risposta previsti sono definiti nella tabella che segue.</w:t>
      </w:r>
      <w:r w:rsidR="008D782D" w:rsidRPr="007B74B7">
        <w:rPr>
          <w:rFonts w:cs="Arial"/>
          <w:color w:val="000000"/>
          <w:szCs w:val="18"/>
          <w:lang w:val="it-IT"/>
        </w:rPr>
        <w:t xml:space="preserve"> </w:t>
      </w:r>
      <w:r w:rsidRPr="007B74B7">
        <w:rPr>
          <w:rFonts w:cs="Arial"/>
          <w:color w:val="000000"/>
          <w:szCs w:val="18"/>
          <w:lang w:val="it-IT"/>
        </w:rPr>
        <w:t>La possibilità per Microsoft di offrire i servizi dipende dalla totale e tempestiva collaborazione della società e dall</w:t>
      </w:r>
      <w:r w:rsidR="007A1415" w:rsidRPr="007B74B7">
        <w:rPr>
          <w:rFonts w:cs="Arial"/>
          <w:color w:val="000000"/>
          <w:szCs w:val="18"/>
          <w:lang w:val="it-IT"/>
        </w:rPr>
        <w:t>’</w:t>
      </w:r>
      <w:r w:rsidRPr="007B74B7">
        <w:rPr>
          <w:rFonts w:cs="Arial"/>
          <w:color w:val="000000"/>
          <w:szCs w:val="18"/>
          <w:lang w:val="it-IT"/>
        </w:rPr>
        <w:t>accuratezza e completezza dei dati forniti.</w:t>
      </w:r>
    </w:p>
    <w:p w:rsidR="00381B33" w:rsidRPr="007B74B7" w:rsidRDefault="00381B33" w:rsidP="00DD7F8E">
      <w:pPr>
        <w:rPr>
          <w:lang w:val="it-IT"/>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596386" w:rsidRPr="00BD7CEA" w:rsidTr="00C74E3A">
        <w:trPr>
          <w:tblHeader/>
        </w:trPr>
        <w:tc>
          <w:tcPr>
            <w:tcW w:w="1347" w:type="dxa"/>
            <w:shd w:val="clear" w:color="auto" w:fill="FABF8F"/>
          </w:tcPr>
          <w:p w:rsidR="00596386" w:rsidRPr="00BD7CEA" w:rsidRDefault="00596386" w:rsidP="0037031E">
            <w:pPr>
              <w:jc w:val="center"/>
              <w:rPr>
                <w:rFonts w:cs="Tahoma"/>
                <w:b/>
                <w:bCs/>
                <w:color w:val="000000"/>
                <w:sz w:val="20"/>
                <w:szCs w:val="18"/>
              </w:rPr>
            </w:pPr>
            <w:r w:rsidRPr="00BD7CEA">
              <w:rPr>
                <w:rFonts w:cs="Tahoma"/>
                <w:b/>
                <w:bCs/>
                <w:color w:val="000000"/>
                <w:sz w:val="20"/>
                <w:szCs w:val="18"/>
              </w:rPr>
              <w:t>Severity</w:t>
            </w:r>
          </w:p>
        </w:tc>
        <w:tc>
          <w:tcPr>
            <w:tcW w:w="1800" w:type="dxa"/>
            <w:shd w:val="clear" w:color="auto" w:fill="FABF8F"/>
          </w:tcPr>
          <w:p w:rsidR="00596386" w:rsidRPr="00BD7CEA" w:rsidRDefault="00596386" w:rsidP="0037031E">
            <w:pPr>
              <w:jc w:val="center"/>
              <w:rPr>
                <w:rFonts w:cs="Tahoma"/>
                <w:b/>
                <w:bCs/>
                <w:color w:val="000000"/>
                <w:sz w:val="20"/>
                <w:szCs w:val="18"/>
              </w:rPr>
            </w:pPr>
            <w:r w:rsidRPr="00BD7CEA">
              <w:rPr>
                <w:rFonts w:cs="Tahoma"/>
                <w:b/>
                <w:bCs/>
                <w:color w:val="000000"/>
                <w:sz w:val="20"/>
                <w:szCs w:val="18"/>
              </w:rPr>
              <w:t>Contatto</w:t>
            </w:r>
          </w:p>
        </w:tc>
        <w:tc>
          <w:tcPr>
            <w:tcW w:w="3079" w:type="dxa"/>
            <w:shd w:val="clear" w:color="auto" w:fill="FABF8F"/>
          </w:tcPr>
          <w:p w:rsidR="00596386" w:rsidRPr="00BD7CEA" w:rsidRDefault="00596386" w:rsidP="0037031E">
            <w:pPr>
              <w:jc w:val="center"/>
              <w:rPr>
                <w:rFonts w:cs="Tahoma"/>
                <w:b/>
                <w:bCs/>
                <w:color w:val="000000"/>
                <w:sz w:val="20"/>
                <w:szCs w:val="18"/>
              </w:rPr>
            </w:pPr>
            <w:r w:rsidRPr="00BD7CEA">
              <w:rPr>
                <w:rFonts w:cs="Tahoma"/>
                <w:b/>
                <w:bCs/>
                <w:color w:val="000000"/>
                <w:sz w:val="20"/>
                <w:szCs w:val="18"/>
              </w:rPr>
              <w:t>Situazione della Società</w:t>
            </w:r>
          </w:p>
        </w:tc>
        <w:tc>
          <w:tcPr>
            <w:tcW w:w="3314" w:type="dxa"/>
            <w:shd w:val="clear" w:color="auto" w:fill="FABF8F"/>
          </w:tcPr>
          <w:p w:rsidR="00596386" w:rsidRPr="00BD7CEA" w:rsidRDefault="00596386" w:rsidP="0037031E">
            <w:pPr>
              <w:jc w:val="center"/>
              <w:rPr>
                <w:rFonts w:cs="Tahoma"/>
                <w:b/>
                <w:bCs/>
                <w:color w:val="000000"/>
                <w:sz w:val="20"/>
                <w:szCs w:val="18"/>
              </w:rPr>
            </w:pPr>
            <w:r w:rsidRPr="00BD7CEA">
              <w:rPr>
                <w:rFonts w:cs="Tahoma"/>
                <w:b/>
                <w:bCs/>
                <w:color w:val="000000"/>
                <w:sz w:val="20"/>
                <w:szCs w:val="18"/>
              </w:rPr>
              <w:t>Risposta di Microsoft Attesa</w:t>
            </w:r>
          </w:p>
        </w:tc>
      </w:tr>
      <w:tr w:rsidR="00596386" w:rsidRPr="007B74B7" w:rsidTr="002A6416">
        <w:tc>
          <w:tcPr>
            <w:tcW w:w="1347" w:type="dxa"/>
          </w:tcPr>
          <w:p w:rsidR="00596386" w:rsidRPr="00BD7CEA" w:rsidRDefault="00596386" w:rsidP="00647923">
            <w:pPr>
              <w:spacing w:after="60" w:line="240" w:lineRule="atLeast"/>
              <w:jc w:val="center"/>
              <w:rPr>
                <w:rFonts w:ascii="SegoeBook" w:hAnsi="SegoeBook"/>
                <w:szCs w:val="18"/>
              </w:rPr>
            </w:pPr>
            <w:r w:rsidRPr="00BD7CEA">
              <w:rPr>
                <w:rFonts w:ascii="SegoeBook" w:hAnsi="SegoeBook"/>
                <w:szCs w:val="18"/>
              </w:rPr>
              <w:t>A</w:t>
            </w:r>
          </w:p>
        </w:tc>
        <w:tc>
          <w:tcPr>
            <w:tcW w:w="1800" w:type="dxa"/>
          </w:tcPr>
          <w:p w:rsidR="00596386" w:rsidRPr="00BD7CEA" w:rsidRDefault="00596386" w:rsidP="004A61EB">
            <w:pPr>
              <w:spacing w:after="60" w:line="240" w:lineRule="atLeast"/>
              <w:jc w:val="center"/>
              <w:rPr>
                <w:rFonts w:ascii="SegoeBook" w:hAnsi="SegoeBook"/>
                <w:szCs w:val="18"/>
              </w:rPr>
            </w:pPr>
            <w:r w:rsidRPr="00BD7CEA">
              <w:rPr>
                <w:rFonts w:ascii="SegoeBook" w:hAnsi="SegoeBook"/>
                <w:szCs w:val="18"/>
              </w:rPr>
              <w:t>Formulazione via</w:t>
            </w:r>
            <w:r w:rsidR="004A61EB" w:rsidRPr="00BD7CEA">
              <w:rPr>
                <w:rFonts w:ascii="SegoeBook" w:hAnsi="SegoeBook"/>
                <w:szCs w:val="18"/>
              </w:rPr>
              <w:t> </w:t>
            </w:r>
            <w:r w:rsidRPr="00BD7CEA">
              <w:rPr>
                <w:rFonts w:ascii="SegoeBook" w:hAnsi="SegoeBook"/>
                <w:szCs w:val="18"/>
              </w:rPr>
              <w:t>Web</w:t>
            </w:r>
          </w:p>
        </w:tc>
        <w:tc>
          <w:tcPr>
            <w:tcW w:w="3079" w:type="dxa"/>
          </w:tcPr>
          <w:p w:rsidR="00596386" w:rsidRPr="007B74B7" w:rsidRDefault="00596386" w:rsidP="00647923">
            <w:pPr>
              <w:spacing w:after="60" w:line="240" w:lineRule="atLeast"/>
              <w:rPr>
                <w:lang w:val="it-IT"/>
              </w:rPr>
            </w:pPr>
            <w:r w:rsidRPr="007B74B7">
              <w:rPr>
                <w:rFonts w:ascii="SegoeBook" w:hAnsi="SegoeBook"/>
                <w:szCs w:val="18"/>
                <w:lang w:val="it-IT"/>
              </w:rPr>
              <w:t>Impatto commerciale critico</w:t>
            </w:r>
          </w:p>
          <w:p w:rsidR="00596386" w:rsidRPr="007B74B7" w:rsidRDefault="00596386" w:rsidP="00647923">
            <w:pPr>
              <w:spacing w:after="60" w:line="240" w:lineRule="atLeast"/>
              <w:rPr>
                <w:lang w:val="it-IT"/>
              </w:rPr>
            </w:pPr>
            <w:r w:rsidRPr="007B74B7">
              <w:rPr>
                <w:rFonts w:ascii="SegoeBook" w:hAnsi="SegoeBook"/>
                <w:szCs w:val="18"/>
                <w:lang w:val="it-IT"/>
              </w:rPr>
              <w:t>Perdita o degradazione significativa dei servizi (applicazione fuori uso)</w:t>
            </w:r>
          </w:p>
          <w:p w:rsidR="00596386" w:rsidRPr="00BD7CEA" w:rsidRDefault="00596386" w:rsidP="004A61EB">
            <w:pPr>
              <w:spacing w:after="60" w:line="240" w:lineRule="atLeast"/>
              <w:rPr>
                <w:rFonts w:ascii="SegoeBook" w:hAnsi="SegoeBook"/>
                <w:szCs w:val="18"/>
              </w:rPr>
            </w:pPr>
            <w:r w:rsidRPr="00BD7CEA">
              <w:rPr>
                <w:rFonts w:ascii="SegoeBook" w:hAnsi="SegoeBook"/>
                <w:szCs w:val="18"/>
              </w:rPr>
              <w:t>Necessità dell</w:t>
            </w:r>
            <w:r w:rsidR="007A1415" w:rsidRPr="00BD7CEA">
              <w:rPr>
                <w:rFonts w:ascii="SegoeBook" w:hAnsi="SegoeBook"/>
                <w:szCs w:val="18"/>
              </w:rPr>
              <w:t>’</w:t>
            </w:r>
            <w:r w:rsidRPr="00BD7CEA">
              <w:rPr>
                <w:rFonts w:ascii="SegoeBook" w:hAnsi="SegoeBook"/>
                <w:szCs w:val="18"/>
              </w:rPr>
              <w:t>intervento entro</w:t>
            </w:r>
            <w:r w:rsidR="004A61EB" w:rsidRPr="00BD7CEA">
              <w:rPr>
                <w:rFonts w:ascii="SegoeBook" w:hAnsi="SegoeBook"/>
                <w:szCs w:val="18"/>
              </w:rPr>
              <w:t> </w:t>
            </w:r>
            <w:r w:rsidRPr="00BD7CEA">
              <w:rPr>
                <w:rFonts w:ascii="SegoeBook" w:hAnsi="SegoeBook"/>
                <w:szCs w:val="18"/>
              </w:rPr>
              <w:t>1</w:t>
            </w:r>
            <w:r w:rsidR="004A61EB" w:rsidRPr="00BD7CEA">
              <w:rPr>
                <w:rFonts w:ascii="SegoeBook" w:hAnsi="SegoeBook"/>
                <w:szCs w:val="18"/>
              </w:rPr>
              <w:t> </w:t>
            </w:r>
            <w:r w:rsidRPr="00BD7CEA">
              <w:rPr>
                <w:rFonts w:ascii="SegoeBook" w:hAnsi="SegoeBook"/>
                <w:szCs w:val="18"/>
              </w:rPr>
              <w:t>Ora</w:t>
            </w:r>
          </w:p>
        </w:tc>
        <w:tc>
          <w:tcPr>
            <w:tcW w:w="3314" w:type="dxa"/>
          </w:tcPr>
          <w:p w:rsidR="00596386" w:rsidRPr="007B74B7" w:rsidRDefault="00596386" w:rsidP="00647923">
            <w:pPr>
              <w:spacing w:after="60" w:line="240" w:lineRule="atLeast"/>
              <w:rPr>
                <w:lang w:val="it-IT"/>
              </w:rPr>
            </w:pPr>
            <w:r w:rsidRPr="007B74B7">
              <w:rPr>
                <w:rFonts w:ascii="SegoeBook" w:hAnsi="SegoeBook"/>
                <w:szCs w:val="18"/>
                <w:lang w:val="it-IT"/>
              </w:rPr>
              <w:t>1</w:t>
            </w:r>
            <w:r w:rsidRPr="007B74B7">
              <w:rPr>
                <w:rFonts w:ascii="SegoeBook" w:hAnsi="SegoeBook"/>
                <w:szCs w:val="18"/>
                <w:vertAlign w:val="superscript"/>
                <w:lang w:val="it-IT"/>
              </w:rPr>
              <w:t>a</w:t>
            </w:r>
            <w:r w:rsidRPr="007B74B7">
              <w:rPr>
                <w:rFonts w:ascii="SegoeBook" w:hAnsi="SegoeBook"/>
                <w:szCs w:val="18"/>
                <w:lang w:val="it-IT"/>
              </w:rPr>
              <w:t xml:space="preserve"> risposta in 1 Ora o meno</w:t>
            </w:r>
          </w:p>
          <w:p w:rsidR="00596386" w:rsidRPr="007B74B7" w:rsidRDefault="00596386" w:rsidP="00647923">
            <w:pPr>
              <w:spacing w:after="60" w:line="240" w:lineRule="atLeast"/>
              <w:rPr>
                <w:rFonts w:ascii="SegoeBook" w:hAnsi="SegoeBook"/>
                <w:szCs w:val="18"/>
                <w:lang w:val="it-IT"/>
              </w:rPr>
            </w:pPr>
          </w:p>
        </w:tc>
      </w:tr>
      <w:tr w:rsidR="00596386" w:rsidRPr="007B74B7" w:rsidTr="002A6416">
        <w:tc>
          <w:tcPr>
            <w:tcW w:w="1347" w:type="dxa"/>
          </w:tcPr>
          <w:p w:rsidR="00596386" w:rsidRPr="00BD7CEA" w:rsidRDefault="00596386" w:rsidP="00647923">
            <w:pPr>
              <w:spacing w:after="60" w:line="240" w:lineRule="atLeast"/>
              <w:jc w:val="center"/>
              <w:rPr>
                <w:rFonts w:ascii="SegoeBook" w:hAnsi="SegoeBook"/>
                <w:szCs w:val="18"/>
              </w:rPr>
            </w:pPr>
            <w:r w:rsidRPr="00BD7CEA">
              <w:rPr>
                <w:rFonts w:ascii="SegoeBook" w:hAnsi="SegoeBook"/>
                <w:szCs w:val="18"/>
              </w:rPr>
              <w:t>B</w:t>
            </w:r>
          </w:p>
        </w:tc>
        <w:tc>
          <w:tcPr>
            <w:tcW w:w="1800" w:type="dxa"/>
          </w:tcPr>
          <w:p w:rsidR="00596386" w:rsidRPr="00BD7CEA" w:rsidRDefault="00596386" w:rsidP="004A61EB">
            <w:pPr>
              <w:spacing w:after="60" w:line="240" w:lineRule="atLeast"/>
              <w:jc w:val="center"/>
              <w:rPr>
                <w:rFonts w:ascii="SegoeBook" w:hAnsi="SegoeBook"/>
                <w:szCs w:val="18"/>
              </w:rPr>
            </w:pPr>
            <w:r w:rsidRPr="00BD7CEA">
              <w:rPr>
                <w:rFonts w:ascii="SegoeBook" w:hAnsi="SegoeBook"/>
                <w:szCs w:val="18"/>
              </w:rPr>
              <w:t>Formulazione via</w:t>
            </w:r>
            <w:r w:rsidR="004A61EB" w:rsidRPr="00BD7CEA">
              <w:rPr>
                <w:rFonts w:ascii="SegoeBook" w:hAnsi="SegoeBook"/>
                <w:szCs w:val="18"/>
              </w:rPr>
              <w:t> </w:t>
            </w:r>
            <w:r w:rsidRPr="00BD7CEA">
              <w:rPr>
                <w:rFonts w:ascii="SegoeBook" w:hAnsi="SegoeBook"/>
                <w:szCs w:val="18"/>
              </w:rPr>
              <w:t>Web</w:t>
            </w:r>
          </w:p>
        </w:tc>
        <w:tc>
          <w:tcPr>
            <w:tcW w:w="3079" w:type="dxa"/>
          </w:tcPr>
          <w:p w:rsidR="00596386" w:rsidRPr="007B74B7" w:rsidRDefault="00596386" w:rsidP="00647923">
            <w:pPr>
              <w:spacing w:after="60" w:line="240" w:lineRule="atLeast"/>
              <w:rPr>
                <w:lang w:val="it-IT"/>
              </w:rPr>
            </w:pPr>
            <w:r w:rsidRPr="007B74B7">
              <w:rPr>
                <w:rFonts w:ascii="SegoeBook" w:hAnsi="SegoeBook"/>
                <w:szCs w:val="18"/>
                <w:lang w:val="it-IT"/>
              </w:rPr>
              <w:t xml:space="preserve">Impatto commerciale moderato: </w:t>
            </w:r>
          </w:p>
          <w:p w:rsidR="00596386" w:rsidRPr="007B74B7" w:rsidRDefault="00596386" w:rsidP="00647923">
            <w:pPr>
              <w:spacing w:line="240" w:lineRule="atLeast"/>
              <w:rPr>
                <w:lang w:val="it-IT"/>
              </w:rPr>
            </w:pPr>
            <w:r w:rsidRPr="007B74B7">
              <w:rPr>
                <w:rFonts w:ascii="SegoeBook" w:hAnsi="SegoeBook"/>
                <w:szCs w:val="18"/>
                <w:lang w:val="it-IT"/>
              </w:rPr>
              <w:t>Perdita o degradazione moderata</w:t>
            </w:r>
            <w:r w:rsidR="004A61EB" w:rsidRPr="007B74B7">
              <w:rPr>
                <w:rFonts w:ascii="SegoeBook" w:hAnsi="SegoeBook"/>
                <w:szCs w:val="18"/>
                <w:lang w:val="it-IT"/>
              </w:rPr>
              <w:t> </w:t>
            </w:r>
            <w:r w:rsidRPr="007B74B7">
              <w:rPr>
                <w:rFonts w:ascii="SegoeBook" w:hAnsi="SegoeBook"/>
                <w:szCs w:val="18"/>
                <w:lang w:val="it-IT"/>
              </w:rPr>
              <w:t>dei servizi e possibilità di</w:t>
            </w:r>
            <w:r w:rsidR="004A61EB" w:rsidRPr="007B74B7">
              <w:rPr>
                <w:rFonts w:ascii="SegoeBook" w:hAnsi="SegoeBook"/>
                <w:szCs w:val="18"/>
                <w:lang w:val="it-IT"/>
              </w:rPr>
              <w:t> </w:t>
            </w:r>
            <w:r w:rsidRPr="007B74B7">
              <w:rPr>
                <w:rFonts w:ascii="SegoeBook" w:hAnsi="SegoeBook"/>
                <w:szCs w:val="18"/>
                <w:lang w:val="it-IT"/>
              </w:rPr>
              <w:t>continuare il lavoro in modo meno efficiente.</w:t>
            </w:r>
          </w:p>
          <w:p w:rsidR="00596386" w:rsidRPr="00BD7CEA" w:rsidRDefault="00596386" w:rsidP="00C74E3A">
            <w:pPr>
              <w:spacing w:after="60" w:line="240" w:lineRule="atLeast"/>
              <w:rPr>
                <w:rFonts w:ascii="SegoeBook" w:hAnsi="SegoeBook"/>
                <w:szCs w:val="18"/>
              </w:rPr>
            </w:pPr>
            <w:r w:rsidRPr="00BD7CEA">
              <w:rPr>
                <w:rFonts w:ascii="SegoeBook" w:hAnsi="SegoeBook"/>
                <w:szCs w:val="18"/>
              </w:rPr>
              <w:t>Necessità dell</w:t>
            </w:r>
            <w:r w:rsidR="007A1415" w:rsidRPr="00BD7CEA">
              <w:rPr>
                <w:rFonts w:ascii="SegoeBook" w:hAnsi="SegoeBook"/>
                <w:szCs w:val="18"/>
              </w:rPr>
              <w:t>’</w:t>
            </w:r>
            <w:r w:rsidRPr="00BD7CEA">
              <w:rPr>
                <w:rFonts w:ascii="SegoeBook" w:hAnsi="SegoeBook"/>
                <w:szCs w:val="18"/>
              </w:rPr>
              <w:t>intervento entro</w:t>
            </w:r>
            <w:r w:rsidR="00C74E3A" w:rsidRPr="00BD7CEA">
              <w:rPr>
                <w:rFonts w:ascii="SegoeBook" w:hAnsi="SegoeBook"/>
                <w:szCs w:val="18"/>
              </w:rPr>
              <w:t> </w:t>
            </w:r>
            <w:r w:rsidRPr="00BD7CEA">
              <w:rPr>
                <w:rFonts w:ascii="SegoeBook" w:hAnsi="SegoeBook"/>
                <w:szCs w:val="18"/>
              </w:rPr>
              <w:t>2</w:t>
            </w:r>
            <w:r w:rsidR="00C74E3A" w:rsidRPr="00BD7CEA">
              <w:rPr>
                <w:rFonts w:ascii="SegoeBook" w:hAnsi="SegoeBook"/>
                <w:szCs w:val="18"/>
              </w:rPr>
              <w:t> </w:t>
            </w:r>
            <w:r w:rsidRPr="00BD7CEA">
              <w:rPr>
                <w:rFonts w:ascii="SegoeBook" w:hAnsi="SegoeBook"/>
                <w:szCs w:val="18"/>
              </w:rPr>
              <w:t>Ore</w:t>
            </w:r>
          </w:p>
        </w:tc>
        <w:tc>
          <w:tcPr>
            <w:tcW w:w="3314" w:type="dxa"/>
          </w:tcPr>
          <w:p w:rsidR="00596386" w:rsidRPr="007B74B7" w:rsidRDefault="00596386" w:rsidP="00647923">
            <w:pPr>
              <w:spacing w:line="240" w:lineRule="atLeast"/>
              <w:rPr>
                <w:lang w:val="it-IT"/>
              </w:rPr>
            </w:pPr>
            <w:r w:rsidRPr="007B74B7">
              <w:rPr>
                <w:rFonts w:ascii="SegoeBook" w:hAnsi="SegoeBook"/>
                <w:szCs w:val="18"/>
                <w:lang w:val="it-IT"/>
              </w:rPr>
              <w:t>1</w:t>
            </w:r>
            <w:r w:rsidRPr="007B74B7">
              <w:rPr>
                <w:rFonts w:ascii="SegoeBook" w:hAnsi="SegoeBook"/>
                <w:szCs w:val="18"/>
                <w:vertAlign w:val="superscript"/>
                <w:lang w:val="it-IT"/>
              </w:rPr>
              <w:t>a</w:t>
            </w:r>
            <w:r w:rsidRPr="007B74B7">
              <w:rPr>
                <w:rFonts w:ascii="SegoeBook" w:hAnsi="SegoeBook"/>
                <w:szCs w:val="18"/>
                <w:lang w:val="it-IT"/>
              </w:rPr>
              <w:t xml:space="preserve"> risposta in 2 Ore o meno</w:t>
            </w:r>
          </w:p>
          <w:p w:rsidR="00596386" w:rsidRPr="007B74B7" w:rsidRDefault="00596386" w:rsidP="00647923">
            <w:pPr>
              <w:spacing w:after="60" w:line="240" w:lineRule="atLeast"/>
              <w:rPr>
                <w:rFonts w:ascii="SegoeBook" w:hAnsi="SegoeBook"/>
                <w:szCs w:val="18"/>
                <w:lang w:val="it-IT"/>
              </w:rPr>
            </w:pPr>
          </w:p>
        </w:tc>
      </w:tr>
      <w:tr w:rsidR="00596386" w:rsidRPr="007B74B7" w:rsidTr="002A6416">
        <w:tc>
          <w:tcPr>
            <w:tcW w:w="1347" w:type="dxa"/>
          </w:tcPr>
          <w:p w:rsidR="00596386" w:rsidRPr="00BD7CEA" w:rsidRDefault="00596386" w:rsidP="00647923">
            <w:pPr>
              <w:spacing w:after="60" w:line="240" w:lineRule="atLeast"/>
              <w:jc w:val="center"/>
              <w:rPr>
                <w:rFonts w:ascii="SegoeBook" w:hAnsi="SegoeBook"/>
                <w:szCs w:val="18"/>
              </w:rPr>
            </w:pPr>
            <w:r w:rsidRPr="00BD7CEA">
              <w:rPr>
                <w:rFonts w:ascii="SegoeBook" w:hAnsi="SegoeBook"/>
                <w:szCs w:val="18"/>
              </w:rPr>
              <w:lastRenderedPageBreak/>
              <w:t>C</w:t>
            </w:r>
          </w:p>
        </w:tc>
        <w:tc>
          <w:tcPr>
            <w:tcW w:w="1800" w:type="dxa"/>
          </w:tcPr>
          <w:p w:rsidR="00596386" w:rsidRPr="00BD7CEA" w:rsidRDefault="00596386" w:rsidP="00C74E3A">
            <w:pPr>
              <w:spacing w:after="60" w:line="240" w:lineRule="atLeast"/>
              <w:jc w:val="center"/>
              <w:rPr>
                <w:rFonts w:ascii="SegoeBook" w:hAnsi="SegoeBook"/>
                <w:szCs w:val="18"/>
              </w:rPr>
            </w:pPr>
            <w:r w:rsidRPr="00BD7CEA">
              <w:rPr>
                <w:rFonts w:ascii="SegoeBook" w:hAnsi="SegoeBook"/>
                <w:szCs w:val="18"/>
              </w:rPr>
              <w:t>Formulazione via</w:t>
            </w:r>
            <w:r w:rsidR="00C74E3A" w:rsidRPr="00BD7CEA">
              <w:rPr>
                <w:rFonts w:ascii="SegoeBook" w:hAnsi="SegoeBook"/>
                <w:szCs w:val="18"/>
              </w:rPr>
              <w:t> </w:t>
            </w:r>
            <w:r w:rsidRPr="00BD7CEA">
              <w:rPr>
                <w:rFonts w:ascii="SegoeBook" w:hAnsi="SegoeBook"/>
                <w:szCs w:val="18"/>
              </w:rPr>
              <w:t>Web</w:t>
            </w:r>
          </w:p>
        </w:tc>
        <w:tc>
          <w:tcPr>
            <w:tcW w:w="3079" w:type="dxa"/>
          </w:tcPr>
          <w:p w:rsidR="00596386" w:rsidRPr="007B74B7" w:rsidRDefault="00596386" w:rsidP="00647923">
            <w:pPr>
              <w:rPr>
                <w:lang w:val="it-IT"/>
              </w:rPr>
            </w:pPr>
            <w:r w:rsidRPr="007B74B7">
              <w:rPr>
                <w:rFonts w:ascii="SegoeBook" w:hAnsi="SegoeBook"/>
                <w:szCs w:val="18"/>
                <w:lang w:val="it-IT"/>
              </w:rPr>
              <w:t>Impatto commerciale minimo</w:t>
            </w:r>
          </w:p>
          <w:p w:rsidR="00596386" w:rsidRPr="007B74B7" w:rsidRDefault="00596386" w:rsidP="00647923">
            <w:pPr>
              <w:rPr>
                <w:lang w:val="it-IT"/>
              </w:rPr>
            </w:pPr>
            <w:r w:rsidRPr="007B74B7">
              <w:rPr>
                <w:rFonts w:ascii="SegoeBook" w:hAnsi="SegoeBook"/>
                <w:szCs w:val="18"/>
                <w:lang w:val="it-IT"/>
              </w:rPr>
              <w:t>Funzionamento sostanzialmente nella norma, in alcuni casi con qualche minimo impedimento dei</w:t>
            </w:r>
            <w:r w:rsidR="00C74E3A" w:rsidRPr="007B74B7">
              <w:rPr>
                <w:rFonts w:ascii="SegoeBook" w:hAnsi="SegoeBook"/>
                <w:szCs w:val="18"/>
                <w:lang w:val="it-IT"/>
              </w:rPr>
              <w:t> </w:t>
            </w:r>
            <w:r w:rsidRPr="007B74B7">
              <w:rPr>
                <w:rFonts w:ascii="SegoeBook" w:hAnsi="SegoeBook"/>
                <w:szCs w:val="18"/>
                <w:lang w:val="it-IT"/>
              </w:rPr>
              <w:t>servizi.</w:t>
            </w:r>
          </w:p>
          <w:p w:rsidR="00596386" w:rsidRPr="00BD7CEA" w:rsidRDefault="00596386" w:rsidP="00C74E3A">
            <w:pPr>
              <w:spacing w:after="60" w:line="240" w:lineRule="atLeast"/>
              <w:rPr>
                <w:rFonts w:ascii="SegoeBook" w:hAnsi="SegoeBook"/>
                <w:szCs w:val="18"/>
              </w:rPr>
            </w:pPr>
            <w:r w:rsidRPr="00BD7CEA">
              <w:rPr>
                <w:rFonts w:ascii="SegoeBook" w:hAnsi="SegoeBook"/>
                <w:szCs w:val="18"/>
              </w:rPr>
              <w:t>Necessità dell</w:t>
            </w:r>
            <w:r w:rsidR="007A1415" w:rsidRPr="00BD7CEA">
              <w:rPr>
                <w:rFonts w:ascii="SegoeBook" w:hAnsi="SegoeBook"/>
                <w:szCs w:val="18"/>
              </w:rPr>
              <w:t>’</w:t>
            </w:r>
            <w:r w:rsidRPr="00BD7CEA">
              <w:rPr>
                <w:rFonts w:ascii="SegoeBook" w:hAnsi="SegoeBook"/>
                <w:szCs w:val="18"/>
              </w:rPr>
              <w:t>intervento entro</w:t>
            </w:r>
            <w:r w:rsidR="00C74E3A" w:rsidRPr="00BD7CEA">
              <w:rPr>
                <w:rFonts w:ascii="SegoeBook" w:hAnsi="SegoeBook"/>
                <w:szCs w:val="18"/>
              </w:rPr>
              <w:t> </w:t>
            </w:r>
            <w:r w:rsidRPr="00BD7CEA">
              <w:rPr>
                <w:rFonts w:ascii="SegoeBook" w:hAnsi="SegoeBook"/>
                <w:szCs w:val="18"/>
              </w:rPr>
              <w:t>4</w:t>
            </w:r>
            <w:r w:rsidR="00C74E3A" w:rsidRPr="00BD7CEA">
              <w:rPr>
                <w:rFonts w:ascii="SegoeBook" w:hAnsi="SegoeBook"/>
                <w:szCs w:val="18"/>
              </w:rPr>
              <w:t> </w:t>
            </w:r>
            <w:r w:rsidRPr="00BD7CEA">
              <w:rPr>
                <w:rFonts w:ascii="SegoeBook" w:hAnsi="SegoeBook"/>
                <w:szCs w:val="18"/>
              </w:rPr>
              <w:t>Ore</w:t>
            </w:r>
          </w:p>
        </w:tc>
        <w:tc>
          <w:tcPr>
            <w:tcW w:w="3314" w:type="dxa"/>
          </w:tcPr>
          <w:p w:rsidR="00596386" w:rsidRPr="007B74B7" w:rsidRDefault="00596386" w:rsidP="00647923">
            <w:pPr>
              <w:rPr>
                <w:lang w:val="it-IT"/>
              </w:rPr>
            </w:pPr>
            <w:r w:rsidRPr="007B74B7">
              <w:rPr>
                <w:rFonts w:ascii="SegoeBook" w:hAnsi="SegoeBook"/>
                <w:szCs w:val="18"/>
                <w:lang w:val="it-IT"/>
              </w:rPr>
              <w:t>1</w:t>
            </w:r>
            <w:r w:rsidRPr="007B74B7">
              <w:rPr>
                <w:rFonts w:ascii="SegoeBook" w:hAnsi="SegoeBook"/>
                <w:szCs w:val="18"/>
                <w:vertAlign w:val="superscript"/>
                <w:lang w:val="it-IT"/>
              </w:rPr>
              <w:t>a</w:t>
            </w:r>
            <w:r w:rsidRPr="007B74B7">
              <w:rPr>
                <w:rFonts w:ascii="SegoeBook" w:hAnsi="SegoeBook"/>
                <w:szCs w:val="18"/>
                <w:lang w:val="it-IT"/>
              </w:rPr>
              <w:t xml:space="preserve"> risposta in 4 Ore o meno</w:t>
            </w:r>
          </w:p>
          <w:p w:rsidR="00596386" w:rsidRPr="007B74B7" w:rsidRDefault="00596386" w:rsidP="00647923">
            <w:pPr>
              <w:spacing w:line="240" w:lineRule="atLeast"/>
              <w:rPr>
                <w:rFonts w:ascii="SegoeBook" w:hAnsi="SegoeBook"/>
                <w:szCs w:val="18"/>
                <w:lang w:val="it-IT"/>
              </w:rPr>
            </w:pPr>
          </w:p>
        </w:tc>
      </w:tr>
    </w:tbl>
    <w:p w:rsidR="00596386" w:rsidRPr="007B74B7" w:rsidRDefault="00596386" w:rsidP="00DD7F8E">
      <w:pPr>
        <w:rPr>
          <w:sz w:val="16"/>
          <w:szCs w:val="16"/>
          <w:lang w:val="it-IT"/>
        </w:rPr>
      </w:pPr>
    </w:p>
    <w:p w:rsidR="000D747C" w:rsidRPr="007B74B7" w:rsidRDefault="000D747C" w:rsidP="000D747C">
      <w:pPr>
        <w:rPr>
          <w:lang w:val="it-IT"/>
        </w:rPr>
      </w:pPr>
      <w:r w:rsidRPr="007B74B7">
        <w:rPr>
          <w:rFonts w:cs="Arial"/>
          <w:snapToGrid w:val="0"/>
          <w:color w:val="000000"/>
          <w:szCs w:val="18"/>
          <w:lang w:val="it-IT"/>
        </w:rPr>
        <w:t>Le società possono scegliere di essere richiamate da Microsoft.</w:t>
      </w:r>
      <w:r w:rsidR="008D782D" w:rsidRPr="007B74B7">
        <w:rPr>
          <w:rFonts w:cs="Arial"/>
          <w:snapToGrid w:val="0"/>
          <w:color w:val="000000"/>
          <w:szCs w:val="18"/>
          <w:lang w:val="it-IT"/>
        </w:rPr>
        <w:t xml:space="preserve"> </w:t>
      </w:r>
      <w:r w:rsidRPr="007B74B7">
        <w:rPr>
          <w:rFonts w:cs="Arial"/>
          <w:snapToGrid w:val="0"/>
          <w:color w:val="000000"/>
          <w:szCs w:val="18"/>
          <w:lang w:val="it-IT"/>
        </w:rPr>
        <w:t>Diversamente, il team di supporto di Windows Azure</w:t>
      </w:r>
      <w:r w:rsidR="001F7D56" w:rsidRPr="007B74B7">
        <w:rPr>
          <w:rFonts w:cs="Arial"/>
          <w:snapToGrid w:val="0"/>
          <w:color w:val="000000"/>
          <w:szCs w:val="18"/>
          <w:lang w:val="it-IT"/>
        </w:rPr>
        <w:t> </w:t>
      </w:r>
      <w:r w:rsidRPr="007B74B7">
        <w:rPr>
          <w:rFonts w:cs="Arial"/>
          <w:snapToGrid w:val="0"/>
          <w:color w:val="000000"/>
          <w:szCs w:val="18"/>
          <w:lang w:val="it-IT"/>
        </w:rPr>
        <w:t>individuerà e risolverà l</w:t>
      </w:r>
      <w:r w:rsidR="007A1415" w:rsidRPr="007B74B7">
        <w:rPr>
          <w:rFonts w:cs="Arial"/>
          <w:snapToGrid w:val="0"/>
          <w:color w:val="000000"/>
          <w:szCs w:val="18"/>
          <w:lang w:val="it-IT"/>
        </w:rPr>
        <w:t>’</w:t>
      </w:r>
      <w:r w:rsidRPr="007B74B7">
        <w:rPr>
          <w:rFonts w:cs="Arial"/>
          <w:snapToGrid w:val="0"/>
          <w:color w:val="000000"/>
          <w:szCs w:val="18"/>
          <w:lang w:val="it-IT"/>
        </w:rPr>
        <w:t>intervento tramite i canali online (ad esempio, tramite posta elettronica o il portale di</w:t>
      </w:r>
      <w:r w:rsidR="001F7D56" w:rsidRPr="007B74B7">
        <w:rPr>
          <w:rFonts w:cs="Arial"/>
          <w:snapToGrid w:val="0"/>
          <w:color w:val="000000"/>
          <w:szCs w:val="18"/>
          <w:lang w:val="it-IT"/>
        </w:rPr>
        <w:t> </w:t>
      </w:r>
      <w:r w:rsidRPr="007B74B7">
        <w:rPr>
          <w:rFonts w:cs="Arial"/>
          <w:snapToGrid w:val="0"/>
          <w:color w:val="000000"/>
          <w:szCs w:val="18"/>
          <w:lang w:val="it-IT"/>
        </w:rPr>
        <w:t>Windows Azure).</w:t>
      </w:r>
    </w:p>
    <w:p w:rsidR="001C1727" w:rsidRPr="007B74B7" w:rsidRDefault="001C1727">
      <w:pPr>
        <w:rPr>
          <w:sz w:val="16"/>
          <w:szCs w:val="16"/>
          <w:lang w:val="it-IT"/>
        </w:rPr>
      </w:pPr>
    </w:p>
    <w:p w:rsidR="00DC0853" w:rsidRPr="007B74B7" w:rsidRDefault="00596386" w:rsidP="00DC0853">
      <w:pPr>
        <w:tabs>
          <w:tab w:val="left" w:pos="360"/>
        </w:tabs>
        <w:spacing w:after="60"/>
        <w:jc w:val="both"/>
        <w:rPr>
          <w:lang w:val="it-IT"/>
        </w:rPr>
      </w:pPr>
      <w:r w:rsidRPr="007B74B7">
        <w:rPr>
          <w:rFonts w:cs="Arial"/>
          <w:b/>
          <w:color w:val="000000"/>
          <w:szCs w:val="18"/>
          <w:lang w:val="it-IT"/>
        </w:rPr>
        <w:t>Servizi di Escalation Aggiuntivi</w:t>
      </w:r>
    </w:p>
    <w:p w:rsidR="00596386" w:rsidRPr="007B74B7" w:rsidRDefault="00596386" w:rsidP="00596386">
      <w:pPr>
        <w:tabs>
          <w:tab w:val="left" w:pos="360"/>
        </w:tabs>
        <w:jc w:val="both"/>
        <w:rPr>
          <w:lang w:val="it-IT"/>
        </w:rPr>
      </w:pPr>
      <w:r w:rsidRPr="007B74B7">
        <w:rPr>
          <w:rFonts w:cs="Arial"/>
          <w:color w:val="000000"/>
          <w:szCs w:val="18"/>
          <w:lang w:val="it-IT"/>
        </w:rPr>
        <w:t>In aggiunta</w:t>
      </w:r>
      <w:r w:rsidRPr="007B74B7">
        <w:rPr>
          <w:rFonts w:cs="Arial"/>
          <w:snapToGrid w:val="0"/>
          <w:szCs w:val="18"/>
          <w:lang w:val="it-IT"/>
        </w:rPr>
        <w:t xml:space="preserve"> ai Servizi descritti sopra, le società con il Supporto Diretto Professionale per Windows Azure ricevono </w:t>
      </w:r>
      <w:r w:rsidRPr="007B74B7">
        <w:rPr>
          <w:rFonts w:cs="Arial"/>
          <w:snapToGrid w:val="0"/>
          <w:color w:val="000000"/>
          <w:szCs w:val="18"/>
          <w:lang w:val="it-IT"/>
        </w:rPr>
        <w:t>assistenza nel coordinare il rapporto tra il supporto e i servizi per Windows Azure.</w:t>
      </w:r>
      <w:r w:rsidR="008D782D" w:rsidRPr="007B74B7">
        <w:rPr>
          <w:rFonts w:cs="Arial"/>
          <w:snapToGrid w:val="0"/>
          <w:color w:val="000000"/>
          <w:szCs w:val="18"/>
          <w:lang w:val="it-IT"/>
        </w:rPr>
        <w:t xml:space="preserve"> </w:t>
      </w:r>
      <w:r w:rsidRPr="007B74B7">
        <w:rPr>
          <w:rFonts w:cs="Arial"/>
          <w:snapToGrid w:val="0"/>
          <w:color w:val="000000"/>
          <w:szCs w:val="18"/>
          <w:lang w:val="it-IT"/>
        </w:rPr>
        <w:t>Tali servizi sono erogati da un pool di addetti (“Agenti di Escalation”).</w:t>
      </w:r>
      <w:r w:rsidR="008D782D" w:rsidRPr="007B74B7">
        <w:rPr>
          <w:rFonts w:cs="Arial"/>
          <w:snapToGrid w:val="0"/>
          <w:color w:val="000000"/>
          <w:szCs w:val="18"/>
          <w:lang w:val="it-IT"/>
        </w:rPr>
        <w:t xml:space="preserve"> </w:t>
      </w:r>
      <w:r w:rsidRPr="007B74B7">
        <w:rPr>
          <w:rFonts w:cs="Arial"/>
          <w:snapToGrid w:val="0"/>
          <w:color w:val="000000"/>
          <w:szCs w:val="18"/>
          <w:lang w:val="it-IT"/>
        </w:rPr>
        <w:t xml:space="preserve">Gli Agenti di Escalation sono </w:t>
      </w:r>
      <w:r w:rsidRPr="007B74B7">
        <w:rPr>
          <w:rFonts w:cs="Arial"/>
          <w:szCs w:val="18"/>
          <w:lang w:val="it-IT"/>
        </w:rPr>
        <w:t xml:space="preserve">i rappresentanti </w:t>
      </w:r>
      <w:r w:rsidRPr="007B74B7">
        <w:rPr>
          <w:rFonts w:cs="Arial"/>
          <w:snapToGrid w:val="0"/>
          <w:color w:val="000000"/>
          <w:szCs w:val="18"/>
          <w:lang w:val="it-IT"/>
        </w:rPr>
        <w:t>della società all</w:t>
      </w:r>
      <w:r w:rsidR="007A1415" w:rsidRPr="007B74B7">
        <w:rPr>
          <w:rFonts w:cs="Arial"/>
          <w:snapToGrid w:val="0"/>
          <w:color w:val="000000"/>
          <w:szCs w:val="18"/>
          <w:lang w:val="it-IT"/>
        </w:rPr>
        <w:t>’</w:t>
      </w:r>
      <w:r w:rsidRPr="007B74B7">
        <w:rPr>
          <w:rFonts w:cs="Arial"/>
          <w:snapToGrid w:val="0"/>
          <w:color w:val="000000"/>
          <w:szCs w:val="18"/>
          <w:lang w:val="it-IT"/>
        </w:rPr>
        <w:t>interno di Microsoft e facilitano il coordinamento con i team che possono fornire il supporto tecnico disponibile per i Servizi Online.</w:t>
      </w:r>
      <w:r w:rsidR="008D782D" w:rsidRPr="007B74B7">
        <w:rPr>
          <w:rFonts w:cs="Arial"/>
          <w:snapToGrid w:val="0"/>
          <w:color w:val="000000"/>
          <w:szCs w:val="18"/>
          <w:lang w:val="it-IT"/>
        </w:rPr>
        <w:t xml:space="preserve"> </w:t>
      </w:r>
      <w:r w:rsidRPr="007B74B7">
        <w:rPr>
          <w:rFonts w:cs="Arial"/>
          <w:snapToGrid w:val="0"/>
          <w:color w:val="000000"/>
          <w:szCs w:val="18"/>
          <w:lang w:val="it-IT"/>
        </w:rPr>
        <w:t xml:space="preserve">Gli Agenti di Escalation fungono inoltre da punto di riferimento per la raccolta di informazioni e forniscono ad altri gruppi Microsoft </w:t>
      </w:r>
      <w:r w:rsidRPr="007B74B7">
        <w:rPr>
          <w:rFonts w:cs="Arial"/>
          <w:szCs w:val="18"/>
          <w:lang w:val="it-IT"/>
        </w:rPr>
        <w:t xml:space="preserve">i commenti </w:t>
      </w:r>
      <w:r w:rsidRPr="007B74B7">
        <w:rPr>
          <w:rFonts w:cs="Arial"/>
          <w:snapToGrid w:val="0"/>
          <w:color w:val="000000"/>
          <w:szCs w:val="18"/>
          <w:lang w:val="it-IT"/>
        </w:rPr>
        <w:t>della società in merito ai Servizi.</w:t>
      </w:r>
      <w:r w:rsidR="008D782D" w:rsidRPr="007B74B7">
        <w:rPr>
          <w:rFonts w:cs="Arial"/>
          <w:snapToGrid w:val="0"/>
          <w:color w:val="000000"/>
          <w:szCs w:val="18"/>
          <w:lang w:val="it-IT"/>
        </w:rPr>
        <w:t xml:space="preserve"> </w:t>
      </w:r>
      <w:r w:rsidRPr="007B74B7">
        <w:rPr>
          <w:rFonts w:cs="Arial"/>
          <w:snapToGrid w:val="0"/>
          <w:color w:val="000000"/>
          <w:szCs w:val="18"/>
          <w:lang w:val="it-IT"/>
        </w:rPr>
        <w:t>Gli Agenti di Escalation potranno inoltre fornire i seguenti Servizi aggiuntivi:</w:t>
      </w:r>
    </w:p>
    <w:p w:rsidR="00596386" w:rsidRPr="007B74B7" w:rsidRDefault="00596386" w:rsidP="00596386">
      <w:pPr>
        <w:tabs>
          <w:tab w:val="left" w:pos="360"/>
        </w:tabs>
        <w:jc w:val="both"/>
        <w:rPr>
          <w:sz w:val="16"/>
          <w:szCs w:val="16"/>
          <w:lang w:val="it-IT"/>
        </w:rPr>
      </w:pPr>
    </w:p>
    <w:p w:rsidR="00596386" w:rsidRPr="007B74B7" w:rsidRDefault="00596386" w:rsidP="007358C5">
      <w:pPr>
        <w:numPr>
          <w:ilvl w:val="0"/>
          <w:numId w:val="111"/>
        </w:numPr>
        <w:tabs>
          <w:tab w:val="clear" w:pos="720"/>
        </w:tabs>
        <w:spacing w:after="60"/>
        <w:ind w:left="1440"/>
        <w:jc w:val="both"/>
        <w:rPr>
          <w:lang w:val="it-IT"/>
        </w:rPr>
      </w:pPr>
      <w:r w:rsidRPr="007B74B7">
        <w:rPr>
          <w:rFonts w:cs="Tahoma"/>
          <w:b/>
          <w:color w:val="000000"/>
          <w:szCs w:val="18"/>
          <w:lang w:val="it-IT"/>
        </w:rPr>
        <w:t>Pianificazione e Gestione.</w:t>
      </w:r>
      <w:r w:rsidRPr="007B74B7">
        <w:rPr>
          <w:rFonts w:cs="Arial"/>
          <w:szCs w:val="18"/>
          <w:lang w:val="it-IT"/>
        </w:rPr>
        <w:t xml:space="preserve"> Alla data di entrata in vigore del presente Contratto Microsoft offre una sessione di orientamento alla direzione e al personale della società tramite teleconferenza.</w:t>
      </w:r>
      <w:r w:rsidR="008D782D" w:rsidRPr="007B74B7">
        <w:rPr>
          <w:rFonts w:cs="Arial"/>
          <w:szCs w:val="18"/>
          <w:lang w:val="it-IT"/>
        </w:rPr>
        <w:t xml:space="preserve"> </w:t>
      </w:r>
      <w:r w:rsidRPr="007B74B7">
        <w:rPr>
          <w:rFonts w:cs="Arial"/>
          <w:szCs w:val="18"/>
          <w:lang w:val="it-IT"/>
        </w:rPr>
        <w:t>Lo scopo di questa riunione è di discutere i Servizi di supporto disponibili e di rispondere a eventuali domande in modo che la società possa pianificare l</w:t>
      </w:r>
      <w:r w:rsidR="007A1415" w:rsidRPr="007B74B7">
        <w:rPr>
          <w:rFonts w:cs="Arial"/>
          <w:szCs w:val="18"/>
          <w:lang w:val="it-IT"/>
        </w:rPr>
        <w:t>’</w:t>
      </w:r>
      <w:r w:rsidRPr="007B74B7">
        <w:rPr>
          <w:rFonts w:cs="Arial"/>
          <w:szCs w:val="18"/>
          <w:lang w:val="it-IT"/>
        </w:rPr>
        <w:t>utilizzo dei Servizi.</w:t>
      </w:r>
    </w:p>
    <w:p w:rsidR="00596386" w:rsidRPr="007B74B7" w:rsidRDefault="00596386" w:rsidP="007358C5">
      <w:pPr>
        <w:numPr>
          <w:ilvl w:val="0"/>
          <w:numId w:val="111"/>
        </w:numPr>
        <w:tabs>
          <w:tab w:val="clear" w:pos="720"/>
        </w:tabs>
        <w:spacing w:after="60"/>
        <w:ind w:left="1440"/>
        <w:jc w:val="both"/>
        <w:rPr>
          <w:lang w:val="it-IT"/>
        </w:rPr>
      </w:pPr>
      <w:r w:rsidRPr="007B74B7">
        <w:rPr>
          <w:rFonts w:cs="Tahoma"/>
          <w:b/>
          <w:color w:val="000000"/>
          <w:szCs w:val="18"/>
          <w:lang w:val="it-IT"/>
        </w:rPr>
        <w:t>Gestione dell</w:t>
      </w:r>
      <w:r w:rsidR="007A1415" w:rsidRPr="007B74B7">
        <w:rPr>
          <w:rFonts w:cs="Tahoma"/>
          <w:b/>
          <w:color w:val="000000"/>
          <w:szCs w:val="18"/>
          <w:lang w:val="it-IT"/>
        </w:rPr>
        <w:t>’</w:t>
      </w:r>
      <w:r w:rsidRPr="007B74B7">
        <w:rPr>
          <w:rFonts w:cs="Tahoma"/>
          <w:b/>
          <w:color w:val="000000"/>
          <w:szCs w:val="18"/>
          <w:lang w:val="it-IT"/>
        </w:rPr>
        <w:t>Escalation.</w:t>
      </w:r>
      <w:r w:rsidRPr="007B74B7">
        <w:rPr>
          <w:rFonts w:cs="Arial"/>
          <w:szCs w:val="18"/>
          <w:lang w:val="it-IT"/>
        </w:rPr>
        <w:t xml:space="preserve"> Un</w:t>
      </w:r>
      <w:r w:rsidRPr="007B74B7">
        <w:rPr>
          <w:rFonts w:cs="Arial"/>
          <w:snapToGrid w:val="0"/>
          <w:szCs w:val="18"/>
          <w:lang w:val="it-IT"/>
        </w:rPr>
        <w:t xml:space="preserve"> Agente di Escalation fornirà alla società servizi di gestione dell</w:t>
      </w:r>
      <w:r w:rsidR="007A1415" w:rsidRPr="007B74B7">
        <w:rPr>
          <w:rFonts w:cs="Arial"/>
          <w:snapToGrid w:val="0"/>
          <w:szCs w:val="18"/>
          <w:lang w:val="it-IT"/>
        </w:rPr>
        <w:t>’</w:t>
      </w:r>
      <w:r w:rsidRPr="007B74B7">
        <w:rPr>
          <w:rFonts w:cs="Arial"/>
          <w:snapToGrid w:val="0"/>
          <w:szCs w:val="18"/>
          <w:lang w:val="it-IT"/>
        </w:rPr>
        <w:t>escalation per Windows Azure.</w:t>
      </w:r>
    </w:p>
    <w:p w:rsidR="00596386" w:rsidRPr="007B74B7" w:rsidRDefault="00596386" w:rsidP="00596386">
      <w:pPr>
        <w:tabs>
          <w:tab w:val="left" w:pos="360"/>
        </w:tabs>
        <w:jc w:val="both"/>
        <w:rPr>
          <w:sz w:val="16"/>
          <w:szCs w:val="16"/>
          <w:lang w:val="it-IT"/>
        </w:rPr>
      </w:pPr>
    </w:p>
    <w:p w:rsidR="00596386" w:rsidRPr="007B74B7" w:rsidRDefault="00596386" w:rsidP="00E03856">
      <w:pPr>
        <w:pStyle w:val="normal1"/>
        <w:jc w:val="both"/>
        <w:rPr>
          <w:lang w:val="it-IT"/>
        </w:rPr>
      </w:pPr>
      <w:r w:rsidRPr="007B74B7">
        <w:rPr>
          <w:color w:val="000000"/>
          <w:sz w:val="18"/>
          <w:szCs w:val="18"/>
          <w:lang w:val="it-IT"/>
        </w:rPr>
        <w:t>I Servizi di Escalation sono erogati dalle 9.00 alle 17.00 Ora Locale solo nei mercati disponibili,</w:t>
      </w:r>
      <w:r w:rsidRPr="007B74B7">
        <w:rPr>
          <w:color w:val="FF3399"/>
          <w:sz w:val="18"/>
          <w:szCs w:val="18"/>
          <w:lang w:val="it-IT"/>
        </w:rPr>
        <w:t xml:space="preserve"> </w:t>
      </w:r>
      <w:r w:rsidRPr="007B74B7">
        <w:rPr>
          <w:sz w:val="18"/>
          <w:szCs w:val="18"/>
          <w:lang w:val="it-IT"/>
        </w:rPr>
        <w:t>da lunedì a venerdì, fine settimana e festività esclusi.</w:t>
      </w:r>
      <w:r w:rsidRPr="007B74B7">
        <w:rPr>
          <w:color w:val="000000"/>
          <w:sz w:val="18"/>
          <w:szCs w:val="18"/>
          <w:u w:val="single"/>
          <w:lang w:val="it-IT"/>
        </w:rPr>
        <w:t xml:space="preserve"> </w:t>
      </w:r>
    </w:p>
    <w:p w:rsidR="00596386" w:rsidRPr="007B74B7" w:rsidRDefault="00596386" w:rsidP="00596386">
      <w:pPr>
        <w:pStyle w:val="normal1"/>
        <w:jc w:val="both"/>
        <w:rPr>
          <w:sz w:val="16"/>
          <w:szCs w:val="16"/>
          <w:lang w:val="it-IT"/>
        </w:rPr>
      </w:pPr>
    </w:p>
    <w:p w:rsidR="00DC0853" w:rsidRPr="007B74B7" w:rsidRDefault="00596386" w:rsidP="00DC0853">
      <w:pPr>
        <w:tabs>
          <w:tab w:val="left" w:pos="360"/>
        </w:tabs>
        <w:spacing w:after="60"/>
        <w:jc w:val="both"/>
        <w:rPr>
          <w:lang w:val="it-IT"/>
        </w:rPr>
      </w:pPr>
      <w:r w:rsidRPr="007B74B7">
        <w:rPr>
          <w:rFonts w:cs="Arial"/>
          <w:b/>
          <w:szCs w:val="18"/>
          <w:lang w:val="it-IT"/>
        </w:rPr>
        <w:t>Altri Servizi Informativi e Vantaggi</w:t>
      </w:r>
    </w:p>
    <w:p w:rsidR="00596386" w:rsidRPr="00BD7CEA" w:rsidRDefault="00596386" w:rsidP="00596386">
      <w:pPr>
        <w:tabs>
          <w:tab w:val="left" w:pos="360"/>
        </w:tabs>
        <w:jc w:val="both"/>
      </w:pPr>
      <w:r w:rsidRPr="007B74B7">
        <w:rPr>
          <w:rFonts w:cs="Arial"/>
          <w:szCs w:val="18"/>
          <w:lang w:val="it-IT"/>
        </w:rPr>
        <w:t>I Servizi Informativi forniscono dettagli tecnici su Windows Azure e gli strumenti di supporto che consentono alle società di implementare e far funzionare Windows Azure in modo più efficiente ed efficace.</w:t>
      </w:r>
      <w:r w:rsidR="008D782D" w:rsidRPr="007B74B7">
        <w:rPr>
          <w:rFonts w:cs="Arial"/>
          <w:szCs w:val="18"/>
          <w:lang w:val="it-IT"/>
        </w:rPr>
        <w:t xml:space="preserve"> </w:t>
      </w:r>
      <w:r w:rsidRPr="00BD7CEA">
        <w:rPr>
          <w:rFonts w:cs="Arial"/>
          <w:szCs w:val="18"/>
        </w:rPr>
        <w:t>I Servizi Informativi includono quanto segue:</w:t>
      </w:r>
    </w:p>
    <w:p w:rsidR="00596386" w:rsidRPr="00BD7CEA" w:rsidRDefault="00596386" w:rsidP="00596386">
      <w:pPr>
        <w:tabs>
          <w:tab w:val="left" w:pos="360"/>
        </w:tabs>
        <w:jc w:val="both"/>
        <w:rPr>
          <w:sz w:val="16"/>
          <w:szCs w:val="16"/>
        </w:rPr>
      </w:pPr>
    </w:p>
    <w:p w:rsidR="00596386" w:rsidRPr="007B74B7" w:rsidRDefault="00596386" w:rsidP="007358C5">
      <w:pPr>
        <w:pStyle w:val="ListParagraph"/>
        <w:numPr>
          <w:ilvl w:val="0"/>
          <w:numId w:val="112"/>
        </w:numPr>
        <w:tabs>
          <w:tab w:val="left" w:pos="360"/>
        </w:tabs>
        <w:spacing w:after="60"/>
        <w:ind w:left="1440"/>
        <w:contextualSpacing w:val="0"/>
        <w:jc w:val="both"/>
        <w:rPr>
          <w:lang w:val="it-IT"/>
        </w:rPr>
      </w:pPr>
      <w:r w:rsidRPr="007B74B7">
        <w:rPr>
          <w:rFonts w:ascii="Tahoma" w:hAnsi="Tahoma" w:cs="Tahoma"/>
          <w:b/>
          <w:color w:val="000000"/>
          <w:sz w:val="18"/>
          <w:szCs w:val="18"/>
          <w:lang w:val="it-IT"/>
        </w:rPr>
        <w:t xml:space="preserve">Supporto Diretto Professionale per il contenuto esclusivo di Windows Azure. </w:t>
      </w:r>
      <w:r w:rsidRPr="007B74B7">
        <w:rPr>
          <w:rFonts w:ascii="Tahoma" w:hAnsi="Tahoma" w:cs="Arial"/>
          <w:snapToGrid w:val="0"/>
          <w:sz w:val="18"/>
          <w:szCs w:val="18"/>
          <w:lang w:val="it-IT"/>
        </w:rPr>
        <w:t>Alle società verrà concesso l</w:t>
      </w:r>
      <w:r w:rsidR="007A1415" w:rsidRPr="007B74B7">
        <w:rPr>
          <w:rFonts w:ascii="Tahoma" w:hAnsi="Tahoma" w:cs="Arial"/>
          <w:snapToGrid w:val="0"/>
          <w:sz w:val="18"/>
          <w:szCs w:val="18"/>
          <w:lang w:val="it-IT"/>
        </w:rPr>
        <w:t>’</w:t>
      </w:r>
      <w:r w:rsidRPr="007B74B7">
        <w:rPr>
          <w:rFonts w:ascii="Tahoma" w:hAnsi="Tahoma" w:cs="Arial"/>
          <w:snapToGrid w:val="0"/>
          <w:sz w:val="18"/>
          <w:szCs w:val="18"/>
          <w:lang w:val="it-IT"/>
        </w:rPr>
        <w:t>accesso al contenuto esclusivo di Windows Azure, inclusi, a titolo esemplificativo, pubblicazioni online relative a manuali con procedure consigliate di architettura e distribuzione, contenuto di training archiviato, notifiche di futuri Webinar e altre informazioni di carattere generico su Windows Azure.</w:t>
      </w:r>
    </w:p>
    <w:p w:rsidR="00596386" w:rsidRPr="007B74B7" w:rsidRDefault="00596386" w:rsidP="007358C5">
      <w:pPr>
        <w:numPr>
          <w:ilvl w:val="0"/>
          <w:numId w:val="112"/>
        </w:numPr>
        <w:tabs>
          <w:tab w:val="left" w:pos="360"/>
        </w:tabs>
        <w:spacing w:after="60"/>
        <w:ind w:left="1440"/>
        <w:jc w:val="both"/>
        <w:rPr>
          <w:lang w:val="it-IT"/>
        </w:rPr>
      </w:pPr>
      <w:r w:rsidRPr="007B74B7">
        <w:rPr>
          <w:rFonts w:cs="Tahoma"/>
          <w:b/>
          <w:color w:val="000000"/>
          <w:szCs w:val="18"/>
          <w:lang w:val="it-IT"/>
        </w:rPr>
        <w:t>Webinar.</w:t>
      </w:r>
      <w:r w:rsidRPr="007B74B7">
        <w:rPr>
          <w:rFonts w:cs="Arial"/>
          <w:szCs w:val="18"/>
          <w:lang w:val="it-IT"/>
        </w:rPr>
        <w:t xml:space="preserve"> I Webinar sono discussioni pianificate su base periodica condotte da esperti Microsoft che seguono aree importanti dei Microsoft Online Services. I Webinar includono, a titolo esemplificativo, “Guida Introduttiva” con Windows Azure, Briefing sulle Nuove Funzionalità e Domande e Risposte con gli Esperti. </w:t>
      </w:r>
    </w:p>
    <w:p w:rsidR="00596386" w:rsidRPr="007B74B7" w:rsidRDefault="00596386" w:rsidP="007358C5">
      <w:pPr>
        <w:numPr>
          <w:ilvl w:val="0"/>
          <w:numId w:val="112"/>
        </w:numPr>
        <w:tabs>
          <w:tab w:val="left" w:pos="360"/>
        </w:tabs>
        <w:spacing w:after="60"/>
        <w:ind w:left="1440"/>
        <w:jc w:val="both"/>
        <w:rPr>
          <w:lang w:val="it-IT"/>
        </w:rPr>
      </w:pPr>
      <w:r w:rsidRPr="007B74B7">
        <w:rPr>
          <w:rFonts w:cs="Tahoma"/>
          <w:b/>
          <w:color w:val="000000"/>
          <w:szCs w:val="18"/>
          <w:lang w:val="it-IT"/>
        </w:rPr>
        <w:t>Servizi di Consulenza Aggiuntivi erogati dagli Agenti di Escalation.</w:t>
      </w:r>
    </w:p>
    <w:p w:rsidR="00596386" w:rsidRPr="007B74B7" w:rsidRDefault="00596386" w:rsidP="007358C5">
      <w:pPr>
        <w:numPr>
          <w:ilvl w:val="1"/>
          <w:numId w:val="98"/>
        </w:numPr>
        <w:tabs>
          <w:tab w:val="left" w:pos="360"/>
        </w:tabs>
        <w:spacing w:after="60"/>
        <w:ind w:left="1980"/>
        <w:jc w:val="both"/>
        <w:rPr>
          <w:lang w:val="it-IT"/>
        </w:rPr>
      </w:pPr>
      <w:r w:rsidRPr="007B74B7">
        <w:rPr>
          <w:rFonts w:cs="Arial"/>
          <w:snapToGrid w:val="0"/>
          <w:szCs w:val="18"/>
          <w:lang w:val="it-IT"/>
        </w:rPr>
        <w:t>Riferimenti alle principali risorse online.</w:t>
      </w:r>
      <w:r w:rsidR="008D782D" w:rsidRPr="007B74B7">
        <w:rPr>
          <w:rFonts w:cs="Arial"/>
          <w:snapToGrid w:val="0"/>
          <w:szCs w:val="18"/>
          <w:lang w:val="it-IT"/>
        </w:rPr>
        <w:t xml:space="preserve"> </w:t>
      </w:r>
      <w:r w:rsidRPr="007B74B7">
        <w:rPr>
          <w:rFonts w:cs="Arial"/>
          <w:snapToGrid w:val="0"/>
          <w:szCs w:val="18"/>
          <w:lang w:val="it-IT"/>
        </w:rPr>
        <w:t>Un Agente di Escalation fornirà alle società suggerimenti, incluse le istruzioni su come accedere alle risorse self-service in quel momento disponibili per poter rispondere alle domande relative alle procedure sui servizi e le funzionalità comuni di Windows Azure.</w:t>
      </w:r>
    </w:p>
    <w:p w:rsidR="00596386" w:rsidRPr="007B74B7" w:rsidRDefault="00596386" w:rsidP="007358C5">
      <w:pPr>
        <w:numPr>
          <w:ilvl w:val="1"/>
          <w:numId w:val="98"/>
        </w:numPr>
        <w:spacing w:after="60"/>
        <w:ind w:left="1980"/>
        <w:jc w:val="both"/>
        <w:rPr>
          <w:lang w:val="it-IT"/>
        </w:rPr>
      </w:pPr>
      <w:r w:rsidRPr="007B74B7">
        <w:rPr>
          <w:rFonts w:cs="Arial"/>
          <w:snapToGrid w:val="0"/>
          <w:szCs w:val="18"/>
          <w:lang w:val="it-IT"/>
        </w:rPr>
        <w:t>Orientamento di base degli interventi.</w:t>
      </w:r>
      <w:r w:rsidR="008D782D" w:rsidRPr="007B74B7">
        <w:rPr>
          <w:rFonts w:cs="Arial"/>
          <w:snapToGrid w:val="0"/>
          <w:szCs w:val="18"/>
          <w:lang w:val="it-IT"/>
        </w:rPr>
        <w:t xml:space="preserve"> </w:t>
      </w:r>
      <w:r w:rsidRPr="007B74B7">
        <w:rPr>
          <w:rFonts w:cs="Arial"/>
          <w:snapToGrid w:val="0"/>
          <w:szCs w:val="18"/>
          <w:lang w:val="it-IT"/>
        </w:rPr>
        <w:t>Un Agente di Escalation aiuterà a rilevare e valutare la causa principale delle richieste comuni di supporto formulate dalle società, fornendo consigli su come attenuare tali problematiche in futuro.</w:t>
      </w:r>
    </w:p>
    <w:p w:rsidR="00596386" w:rsidRPr="007B74B7" w:rsidRDefault="00596386" w:rsidP="007358C5">
      <w:pPr>
        <w:pStyle w:val="ListParagraph"/>
        <w:numPr>
          <w:ilvl w:val="1"/>
          <w:numId w:val="98"/>
        </w:numPr>
        <w:tabs>
          <w:tab w:val="left" w:pos="360"/>
        </w:tabs>
        <w:contextualSpacing w:val="0"/>
        <w:jc w:val="both"/>
        <w:rPr>
          <w:lang w:val="it-IT"/>
        </w:rPr>
      </w:pPr>
      <w:r w:rsidRPr="007B74B7">
        <w:rPr>
          <w:rFonts w:ascii="Tahoma" w:hAnsi="Tahoma" w:cs="Tahoma"/>
          <w:b/>
          <w:color w:val="000000"/>
          <w:sz w:val="18"/>
          <w:szCs w:val="18"/>
          <w:lang w:val="it-IT"/>
        </w:rPr>
        <w:t>Segnalazioni per l</w:t>
      </w:r>
      <w:r w:rsidR="007A1415" w:rsidRPr="007B74B7">
        <w:rPr>
          <w:rFonts w:ascii="Tahoma" w:hAnsi="Tahoma" w:cs="Tahoma"/>
          <w:b/>
          <w:color w:val="000000"/>
          <w:sz w:val="18"/>
          <w:szCs w:val="18"/>
          <w:lang w:val="it-IT"/>
        </w:rPr>
        <w:t>’</w:t>
      </w:r>
      <w:r w:rsidRPr="007B74B7">
        <w:rPr>
          <w:rFonts w:ascii="Tahoma" w:hAnsi="Tahoma" w:cs="Tahoma"/>
          <w:b/>
          <w:color w:val="000000"/>
          <w:sz w:val="18"/>
          <w:szCs w:val="18"/>
          <w:lang w:val="it-IT"/>
        </w:rPr>
        <w:t xml:space="preserve">Ottimizzazione di Windows Azure. </w:t>
      </w:r>
      <w:r w:rsidRPr="007B74B7">
        <w:rPr>
          <w:rFonts w:ascii="Tahoma" w:hAnsi="Tahoma" w:cs="Arial"/>
          <w:sz w:val="18"/>
          <w:szCs w:val="18"/>
          <w:lang w:val="it-IT"/>
        </w:rPr>
        <w:t>Un Agente di Escalation fornirà segnalazioni periodiche per contribuire all</w:t>
      </w:r>
      <w:r w:rsidR="007A1415" w:rsidRPr="007B74B7">
        <w:rPr>
          <w:rFonts w:ascii="Tahoma" w:hAnsi="Tahoma" w:cs="Arial"/>
          <w:sz w:val="18"/>
          <w:szCs w:val="18"/>
          <w:lang w:val="it-IT"/>
        </w:rPr>
        <w:t>’</w:t>
      </w:r>
      <w:r w:rsidRPr="007B74B7">
        <w:rPr>
          <w:rFonts w:ascii="Tahoma" w:hAnsi="Tahoma" w:cs="Arial"/>
          <w:sz w:val="18"/>
          <w:szCs w:val="18"/>
          <w:lang w:val="it-IT"/>
        </w:rPr>
        <w:t>identificazione delle potenziali</w:t>
      </w:r>
      <w:r w:rsidRPr="007B74B7">
        <w:rPr>
          <w:rFonts w:cs="Arial"/>
          <w:szCs w:val="18"/>
          <w:lang w:val="it-IT"/>
        </w:rPr>
        <w:t xml:space="preserve"> </w:t>
      </w:r>
      <w:r w:rsidRPr="007B74B7">
        <w:rPr>
          <w:rFonts w:ascii="Tahoma" w:hAnsi="Tahoma" w:cs="Arial"/>
          <w:sz w:val="18"/>
          <w:szCs w:val="18"/>
          <w:lang w:val="it-IT"/>
        </w:rPr>
        <w:t>riduzioni di costo, per ottimizzare le attività e migliorare l</w:t>
      </w:r>
      <w:r w:rsidR="007A1415" w:rsidRPr="007B74B7">
        <w:rPr>
          <w:rFonts w:ascii="Tahoma" w:hAnsi="Tahoma" w:cs="Arial"/>
          <w:sz w:val="18"/>
          <w:szCs w:val="18"/>
          <w:lang w:val="it-IT"/>
        </w:rPr>
        <w:t>’</w:t>
      </w:r>
      <w:r w:rsidRPr="007B74B7">
        <w:rPr>
          <w:rFonts w:ascii="Tahoma" w:hAnsi="Tahoma" w:cs="Arial"/>
          <w:sz w:val="18"/>
          <w:szCs w:val="18"/>
          <w:lang w:val="it-IT"/>
        </w:rPr>
        <w:t>esperienza utente.</w:t>
      </w:r>
      <w:r w:rsidR="008D782D" w:rsidRPr="007B74B7">
        <w:rPr>
          <w:rFonts w:ascii="Tahoma" w:hAnsi="Tahoma"/>
          <w:sz w:val="18"/>
          <w:lang w:val="it-IT"/>
        </w:rPr>
        <w:t xml:space="preserve"> </w:t>
      </w:r>
    </w:p>
    <w:p w:rsidR="00596386" w:rsidRPr="007B74B7" w:rsidRDefault="00596386" w:rsidP="00596386">
      <w:pPr>
        <w:tabs>
          <w:tab w:val="left" w:pos="360"/>
        </w:tabs>
        <w:jc w:val="both"/>
        <w:rPr>
          <w:lang w:val="it-IT"/>
        </w:rPr>
      </w:pPr>
      <w:r w:rsidRPr="007B74B7">
        <w:rPr>
          <w:rFonts w:cs="Arial"/>
          <w:b/>
          <w:sz w:val="24"/>
          <w:szCs w:val="18"/>
          <w:lang w:val="it-IT"/>
        </w:rPr>
        <w:lastRenderedPageBreak/>
        <w:t>Supporto Standard per Windows Azure</w:t>
      </w:r>
    </w:p>
    <w:p w:rsidR="00596386" w:rsidRPr="007B74B7" w:rsidRDefault="00596386" w:rsidP="00596386">
      <w:pPr>
        <w:tabs>
          <w:tab w:val="left" w:pos="360"/>
        </w:tabs>
        <w:jc w:val="both"/>
        <w:rPr>
          <w:lang w:val="it-IT"/>
        </w:rPr>
      </w:pPr>
    </w:p>
    <w:p w:rsidR="00596386" w:rsidRPr="007B74B7" w:rsidRDefault="00A47BFD" w:rsidP="00596386">
      <w:pPr>
        <w:rPr>
          <w:lang w:val="it-IT"/>
        </w:rPr>
      </w:pPr>
      <w:r w:rsidRPr="007B74B7">
        <w:rPr>
          <w:rFonts w:cs="Arial"/>
          <w:color w:val="000000"/>
          <w:szCs w:val="18"/>
          <w:lang w:val="it-IT"/>
        </w:rPr>
        <w:t>Le società avranno la responsabilità di definire il livello di gravità iniziale durante la procedura di invio tramite Web in</w:t>
      </w:r>
      <w:r w:rsidR="001F7D56" w:rsidRPr="007B74B7">
        <w:rPr>
          <w:rFonts w:cs="Arial"/>
          <w:color w:val="000000"/>
          <w:szCs w:val="18"/>
          <w:lang w:val="it-IT"/>
        </w:rPr>
        <w:t> </w:t>
      </w:r>
      <w:r w:rsidRPr="007B74B7">
        <w:rPr>
          <w:rFonts w:cs="Arial"/>
          <w:color w:val="000000"/>
          <w:szCs w:val="18"/>
          <w:lang w:val="it-IT"/>
        </w:rPr>
        <w:t>linea con le indicazioni di gravità fornite di seguito.</w:t>
      </w:r>
      <w:r w:rsidR="008D782D" w:rsidRPr="007B74B7">
        <w:rPr>
          <w:rFonts w:cs="Arial"/>
          <w:color w:val="000000"/>
          <w:szCs w:val="18"/>
          <w:lang w:val="it-IT"/>
        </w:rPr>
        <w:t xml:space="preserve"> </w:t>
      </w:r>
      <w:r w:rsidRPr="007B74B7">
        <w:rPr>
          <w:rFonts w:cs="Arial"/>
          <w:color w:val="000000"/>
          <w:szCs w:val="18"/>
          <w:lang w:val="it-IT"/>
        </w:rPr>
        <w:t>Microsoft potrà ridurre il livello di gravità qualora la società non</w:t>
      </w:r>
      <w:r w:rsidR="001F7D56" w:rsidRPr="007B74B7">
        <w:rPr>
          <w:rFonts w:cs="Arial"/>
          <w:color w:val="000000"/>
          <w:szCs w:val="18"/>
          <w:lang w:val="it-IT"/>
        </w:rPr>
        <w:t> </w:t>
      </w:r>
      <w:r w:rsidRPr="007B74B7">
        <w:rPr>
          <w:rFonts w:cs="Arial"/>
          <w:color w:val="000000"/>
          <w:szCs w:val="18"/>
          <w:lang w:val="it-IT"/>
        </w:rPr>
        <w:t xml:space="preserve">sia in grado di fornire risorse o risposte adeguate a supportare Microsoft nel suo impegno volto a risolvere il problema. </w:t>
      </w:r>
      <w:r w:rsidRPr="007B74B7">
        <w:rPr>
          <w:rFonts w:cs="Arial"/>
          <w:szCs w:val="18"/>
          <w:lang w:val="it-IT"/>
        </w:rPr>
        <w:t>La gravità dell</w:t>
      </w:r>
      <w:r w:rsidR="007A1415" w:rsidRPr="007B74B7">
        <w:rPr>
          <w:rFonts w:cs="Arial"/>
          <w:szCs w:val="18"/>
          <w:lang w:val="it-IT"/>
        </w:rPr>
        <w:t>’</w:t>
      </w:r>
      <w:r w:rsidRPr="007B74B7">
        <w:rPr>
          <w:rFonts w:cs="Arial"/>
          <w:szCs w:val="18"/>
          <w:lang w:val="it-IT"/>
        </w:rPr>
        <w:t>intervento determinerà i livelli di risposta da parte di Microsoft. I tempi di risposta previsti sono definiti nella tabella che segue. La possibilità per Microsoft di offrire i servizi dipende dalla totale e tempestiva collaborazione della società e dall</w:t>
      </w:r>
      <w:r w:rsidR="007A1415" w:rsidRPr="007B74B7">
        <w:rPr>
          <w:rFonts w:cs="Arial"/>
          <w:szCs w:val="18"/>
          <w:lang w:val="it-IT"/>
        </w:rPr>
        <w:t>’</w:t>
      </w:r>
      <w:r w:rsidRPr="007B74B7">
        <w:rPr>
          <w:rFonts w:cs="Arial"/>
          <w:szCs w:val="18"/>
          <w:lang w:val="it-IT"/>
        </w:rPr>
        <w:t>accuratezza e completezza dei dati forniti.</w:t>
      </w:r>
    </w:p>
    <w:p w:rsidR="00596386" w:rsidRPr="007B74B7" w:rsidRDefault="00596386" w:rsidP="00596386">
      <w:pPr>
        <w:rPr>
          <w:lang w:val="it-IT"/>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7"/>
        <w:gridCol w:w="1911"/>
        <w:gridCol w:w="2938"/>
        <w:gridCol w:w="3044"/>
      </w:tblGrid>
      <w:tr w:rsidR="00596386" w:rsidRPr="00BD7CEA" w:rsidTr="002A6416">
        <w:tc>
          <w:tcPr>
            <w:tcW w:w="779" w:type="pct"/>
            <w:shd w:val="clear" w:color="auto" w:fill="FABF8F"/>
          </w:tcPr>
          <w:p w:rsidR="00596386" w:rsidRPr="00BD7CEA" w:rsidRDefault="00596386" w:rsidP="0037031E">
            <w:pPr>
              <w:jc w:val="center"/>
              <w:rPr>
                <w:rFonts w:cs="Tahoma"/>
                <w:b/>
                <w:bCs/>
                <w:color w:val="000000"/>
                <w:sz w:val="20"/>
                <w:szCs w:val="18"/>
              </w:rPr>
            </w:pPr>
            <w:r w:rsidRPr="00BD7CEA">
              <w:rPr>
                <w:rFonts w:cs="Tahoma"/>
                <w:b/>
                <w:bCs/>
                <w:color w:val="000000"/>
                <w:sz w:val="20"/>
                <w:szCs w:val="18"/>
              </w:rPr>
              <w:t>Severity</w:t>
            </w:r>
          </w:p>
        </w:tc>
        <w:tc>
          <w:tcPr>
            <w:tcW w:w="1022" w:type="pct"/>
            <w:shd w:val="clear" w:color="auto" w:fill="FABF8F"/>
          </w:tcPr>
          <w:p w:rsidR="00596386" w:rsidRPr="00BD7CEA" w:rsidRDefault="00596386" w:rsidP="0037031E">
            <w:pPr>
              <w:jc w:val="center"/>
              <w:rPr>
                <w:rFonts w:cs="Tahoma"/>
                <w:b/>
                <w:bCs/>
                <w:color w:val="000000"/>
                <w:sz w:val="20"/>
                <w:szCs w:val="18"/>
              </w:rPr>
            </w:pPr>
            <w:r w:rsidRPr="00BD7CEA">
              <w:rPr>
                <w:rFonts w:cs="Tahoma"/>
                <w:b/>
                <w:bCs/>
                <w:color w:val="000000"/>
                <w:sz w:val="20"/>
                <w:szCs w:val="18"/>
              </w:rPr>
              <w:t>Contatto</w:t>
            </w:r>
          </w:p>
        </w:tc>
        <w:tc>
          <w:tcPr>
            <w:tcW w:w="1571" w:type="pct"/>
            <w:shd w:val="clear" w:color="auto" w:fill="FABF8F"/>
          </w:tcPr>
          <w:p w:rsidR="00596386" w:rsidRPr="00BD7CEA" w:rsidRDefault="00596386" w:rsidP="0037031E">
            <w:pPr>
              <w:jc w:val="center"/>
              <w:rPr>
                <w:rFonts w:cs="Tahoma"/>
                <w:b/>
                <w:bCs/>
                <w:color w:val="000000"/>
                <w:sz w:val="20"/>
                <w:szCs w:val="18"/>
              </w:rPr>
            </w:pPr>
            <w:r w:rsidRPr="00BD7CEA">
              <w:rPr>
                <w:rFonts w:cs="Tahoma"/>
                <w:b/>
                <w:bCs/>
                <w:color w:val="000000"/>
                <w:sz w:val="20"/>
                <w:szCs w:val="18"/>
              </w:rPr>
              <w:t>Situazione della Società</w:t>
            </w:r>
          </w:p>
        </w:tc>
        <w:tc>
          <w:tcPr>
            <w:tcW w:w="1628" w:type="pct"/>
            <w:shd w:val="clear" w:color="auto" w:fill="FABF8F"/>
          </w:tcPr>
          <w:p w:rsidR="00596386" w:rsidRPr="00BD7CEA" w:rsidRDefault="00596386" w:rsidP="0037031E">
            <w:pPr>
              <w:jc w:val="center"/>
              <w:rPr>
                <w:rFonts w:cs="Tahoma"/>
                <w:b/>
                <w:bCs/>
                <w:color w:val="000000"/>
                <w:sz w:val="20"/>
                <w:szCs w:val="18"/>
              </w:rPr>
            </w:pPr>
            <w:r w:rsidRPr="00BD7CEA">
              <w:rPr>
                <w:rFonts w:cs="Tahoma"/>
                <w:b/>
                <w:bCs/>
                <w:color w:val="000000"/>
                <w:sz w:val="20"/>
                <w:szCs w:val="18"/>
              </w:rPr>
              <w:t>Risposta di Microsoft Attesa</w:t>
            </w:r>
          </w:p>
        </w:tc>
      </w:tr>
      <w:tr w:rsidR="00596386" w:rsidRPr="007B74B7" w:rsidTr="002A6416">
        <w:tc>
          <w:tcPr>
            <w:tcW w:w="779" w:type="pct"/>
          </w:tcPr>
          <w:p w:rsidR="00596386" w:rsidRPr="00BD7CEA" w:rsidRDefault="00596386" w:rsidP="00647923">
            <w:pPr>
              <w:spacing w:after="60" w:line="240" w:lineRule="atLeast"/>
              <w:jc w:val="center"/>
              <w:rPr>
                <w:rFonts w:ascii="SegoeBook" w:hAnsi="SegoeBook"/>
                <w:szCs w:val="18"/>
              </w:rPr>
            </w:pPr>
            <w:r w:rsidRPr="00BD7CEA">
              <w:rPr>
                <w:rFonts w:ascii="SegoeBook" w:hAnsi="SegoeBook"/>
                <w:szCs w:val="18"/>
              </w:rPr>
              <w:t>A</w:t>
            </w:r>
          </w:p>
        </w:tc>
        <w:tc>
          <w:tcPr>
            <w:tcW w:w="1022" w:type="pct"/>
          </w:tcPr>
          <w:p w:rsidR="00596386" w:rsidRPr="00BD7CEA" w:rsidRDefault="00596386" w:rsidP="00C91B72">
            <w:pPr>
              <w:spacing w:after="60" w:line="240" w:lineRule="atLeast"/>
              <w:jc w:val="center"/>
              <w:rPr>
                <w:rFonts w:ascii="SegoeBook" w:hAnsi="SegoeBook"/>
                <w:szCs w:val="18"/>
              </w:rPr>
            </w:pPr>
            <w:r w:rsidRPr="00BD7CEA">
              <w:rPr>
                <w:rFonts w:ascii="SegoeBook" w:hAnsi="SegoeBook"/>
                <w:szCs w:val="18"/>
              </w:rPr>
              <w:t>Formulazione via</w:t>
            </w:r>
            <w:r w:rsidR="00C91B72" w:rsidRPr="00BD7CEA">
              <w:rPr>
                <w:rFonts w:ascii="SegoeBook" w:hAnsi="SegoeBook"/>
                <w:szCs w:val="18"/>
              </w:rPr>
              <w:t> </w:t>
            </w:r>
            <w:r w:rsidRPr="00BD7CEA">
              <w:rPr>
                <w:rFonts w:ascii="SegoeBook" w:hAnsi="SegoeBook"/>
                <w:szCs w:val="18"/>
              </w:rPr>
              <w:t>Web</w:t>
            </w:r>
          </w:p>
        </w:tc>
        <w:tc>
          <w:tcPr>
            <w:tcW w:w="1571" w:type="pct"/>
          </w:tcPr>
          <w:p w:rsidR="00596386" w:rsidRPr="007B74B7" w:rsidRDefault="00596386" w:rsidP="00647923">
            <w:pPr>
              <w:spacing w:after="60" w:line="240" w:lineRule="atLeast"/>
              <w:rPr>
                <w:lang w:val="it-IT"/>
              </w:rPr>
            </w:pPr>
            <w:r w:rsidRPr="007B74B7">
              <w:rPr>
                <w:rFonts w:ascii="SegoeBook" w:hAnsi="SegoeBook"/>
                <w:szCs w:val="18"/>
                <w:lang w:val="it-IT"/>
              </w:rPr>
              <w:t>Impatto commerciale critico</w:t>
            </w:r>
          </w:p>
          <w:p w:rsidR="00596386" w:rsidRPr="007B74B7" w:rsidRDefault="00596386" w:rsidP="00647923">
            <w:pPr>
              <w:spacing w:after="60" w:line="240" w:lineRule="atLeast"/>
              <w:rPr>
                <w:lang w:val="it-IT"/>
              </w:rPr>
            </w:pPr>
            <w:r w:rsidRPr="007B74B7">
              <w:rPr>
                <w:rFonts w:ascii="SegoeBook" w:hAnsi="SegoeBook"/>
                <w:szCs w:val="18"/>
                <w:lang w:val="it-IT"/>
              </w:rPr>
              <w:t>Perdita o degradazione significativa dei servizi (applicazione fuori uso)</w:t>
            </w:r>
          </w:p>
          <w:p w:rsidR="00596386" w:rsidRPr="00BD7CEA" w:rsidRDefault="00596386" w:rsidP="001F7D56">
            <w:pPr>
              <w:spacing w:after="60" w:line="240" w:lineRule="atLeast"/>
              <w:rPr>
                <w:rFonts w:ascii="SegoeBook" w:hAnsi="SegoeBook"/>
                <w:szCs w:val="18"/>
              </w:rPr>
            </w:pPr>
            <w:r w:rsidRPr="00BD7CEA">
              <w:rPr>
                <w:rFonts w:ascii="SegoeBook" w:hAnsi="SegoeBook"/>
                <w:szCs w:val="18"/>
              </w:rPr>
              <w:t>Necessità dell</w:t>
            </w:r>
            <w:r w:rsidR="007A1415" w:rsidRPr="00BD7CEA">
              <w:rPr>
                <w:rFonts w:ascii="SegoeBook" w:hAnsi="SegoeBook"/>
                <w:szCs w:val="18"/>
              </w:rPr>
              <w:t>’</w:t>
            </w:r>
            <w:r w:rsidRPr="00BD7CEA">
              <w:rPr>
                <w:rFonts w:ascii="SegoeBook" w:hAnsi="SegoeBook"/>
                <w:szCs w:val="18"/>
              </w:rPr>
              <w:t>intervento entro</w:t>
            </w:r>
            <w:r w:rsidR="001F7D56" w:rsidRPr="00BD7CEA">
              <w:rPr>
                <w:rFonts w:ascii="SegoeBook" w:hAnsi="SegoeBook"/>
                <w:szCs w:val="18"/>
              </w:rPr>
              <w:t> </w:t>
            </w:r>
            <w:r w:rsidRPr="00BD7CEA">
              <w:rPr>
                <w:rFonts w:ascii="SegoeBook" w:hAnsi="SegoeBook"/>
                <w:szCs w:val="18"/>
              </w:rPr>
              <w:t>2</w:t>
            </w:r>
            <w:r w:rsidR="001F7D56" w:rsidRPr="00BD7CEA">
              <w:rPr>
                <w:rFonts w:ascii="SegoeBook" w:hAnsi="SegoeBook"/>
                <w:szCs w:val="18"/>
              </w:rPr>
              <w:t> </w:t>
            </w:r>
            <w:r w:rsidRPr="00BD7CEA">
              <w:rPr>
                <w:rFonts w:ascii="SegoeBook" w:hAnsi="SegoeBook"/>
                <w:szCs w:val="18"/>
              </w:rPr>
              <w:t>Ore</w:t>
            </w:r>
          </w:p>
        </w:tc>
        <w:tc>
          <w:tcPr>
            <w:tcW w:w="1628" w:type="pct"/>
          </w:tcPr>
          <w:p w:rsidR="00596386" w:rsidRPr="007B74B7" w:rsidRDefault="00596386" w:rsidP="00647923">
            <w:pPr>
              <w:spacing w:after="60" w:line="240" w:lineRule="atLeast"/>
              <w:rPr>
                <w:lang w:val="it-IT"/>
              </w:rPr>
            </w:pPr>
            <w:r w:rsidRPr="007B74B7">
              <w:rPr>
                <w:rFonts w:ascii="SegoeBook" w:hAnsi="SegoeBook"/>
                <w:szCs w:val="18"/>
                <w:lang w:val="it-IT"/>
              </w:rPr>
              <w:t>1</w:t>
            </w:r>
            <w:r w:rsidRPr="007B74B7">
              <w:rPr>
                <w:rFonts w:ascii="SegoeBook" w:hAnsi="SegoeBook"/>
                <w:szCs w:val="18"/>
                <w:vertAlign w:val="superscript"/>
                <w:lang w:val="it-IT"/>
              </w:rPr>
              <w:t>a</w:t>
            </w:r>
            <w:r w:rsidRPr="007B74B7">
              <w:rPr>
                <w:rFonts w:ascii="SegoeBook" w:hAnsi="SegoeBook"/>
                <w:szCs w:val="18"/>
                <w:lang w:val="it-IT"/>
              </w:rPr>
              <w:t xml:space="preserve"> risposta in 2 Ore o meno</w:t>
            </w:r>
          </w:p>
          <w:p w:rsidR="00596386" w:rsidRPr="007B74B7" w:rsidRDefault="00596386" w:rsidP="00647923">
            <w:pPr>
              <w:spacing w:after="60" w:line="240" w:lineRule="atLeast"/>
              <w:rPr>
                <w:rFonts w:ascii="SegoeBook" w:hAnsi="SegoeBook"/>
                <w:szCs w:val="18"/>
                <w:lang w:val="it-IT"/>
              </w:rPr>
            </w:pPr>
          </w:p>
        </w:tc>
      </w:tr>
      <w:tr w:rsidR="00596386" w:rsidRPr="007B74B7" w:rsidTr="002A6416">
        <w:tc>
          <w:tcPr>
            <w:tcW w:w="779" w:type="pct"/>
          </w:tcPr>
          <w:p w:rsidR="00596386" w:rsidRPr="00BD7CEA" w:rsidRDefault="00596386" w:rsidP="00647923">
            <w:pPr>
              <w:spacing w:after="60" w:line="240" w:lineRule="atLeast"/>
              <w:jc w:val="center"/>
              <w:rPr>
                <w:rFonts w:ascii="SegoeBook" w:hAnsi="SegoeBook"/>
                <w:szCs w:val="18"/>
              </w:rPr>
            </w:pPr>
            <w:r w:rsidRPr="00BD7CEA">
              <w:rPr>
                <w:rFonts w:ascii="SegoeBook" w:hAnsi="SegoeBook"/>
                <w:szCs w:val="18"/>
              </w:rPr>
              <w:t>B</w:t>
            </w:r>
          </w:p>
        </w:tc>
        <w:tc>
          <w:tcPr>
            <w:tcW w:w="1022" w:type="pct"/>
          </w:tcPr>
          <w:p w:rsidR="00596386" w:rsidRPr="00BD7CEA" w:rsidRDefault="00596386" w:rsidP="00647923">
            <w:pPr>
              <w:spacing w:after="60" w:line="240" w:lineRule="atLeast"/>
              <w:jc w:val="center"/>
              <w:rPr>
                <w:rFonts w:ascii="SegoeBook" w:hAnsi="SegoeBook"/>
                <w:szCs w:val="18"/>
              </w:rPr>
            </w:pPr>
            <w:r w:rsidRPr="00BD7CEA">
              <w:rPr>
                <w:rFonts w:ascii="SegoeBook" w:hAnsi="SegoeBook"/>
                <w:szCs w:val="18"/>
              </w:rPr>
              <w:t>Formulazione via</w:t>
            </w:r>
            <w:r w:rsidR="00C91B72" w:rsidRPr="00BD7CEA">
              <w:rPr>
                <w:rFonts w:ascii="SegoeBook" w:hAnsi="SegoeBook"/>
                <w:szCs w:val="18"/>
              </w:rPr>
              <w:t> </w:t>
            </w:r>
            <w:r w:rsidRPr="00BD7CEA">
              <w:rPr>
                <w:rFonts w:ascii="SegoeBook" w:hAnsi="SegoeBook"/>
                <w:szCs w:val="18"/>
              </w:rPr>
              <w:t>Web</w:t>
            </w:r>
          </w:p>
        </w:tc>
        <w:tc>
          <w:tcPr>
            <w:tcW w:w="1571" w:type="pct"/>
          </w:tcPr>
          <w:p w:rsidR="00596386" w:rsidRPr="007B74B7" w:rsidRDefault="00596386" w:rsidP="00647923">
            <w:pPr>
              <w:spacing w:after="60" w:line="240" w:lineRule="atLeast"/>
              <w:rPr>
                <w:lang w:val="it-IT"/>
              </w:rPr>
            </w:pPr>
            <w:r w:rsidRPr="007B74B7">
              <w:rPr>
                <w:rFonts w:ascii="SegoeBook" w:hAnsi="SegoeBook"/>
                <w:szCs w:val="18"/>
                <w:lang w:val="it-IT"/>
              </w:rPr>
              <w:t xml:space="preserve">Impatto commerciale moderato: </w:t>
            </w:r>
          </w:p>
          <w:p w:rsidR="00596386" w:rsidRPr="007B74B7" w:rsidRDefault="00596386" w:rsidP="00647923">
            <w:pPr>
              <w:spacing w:line="240" w:lineRule="atLeast"/>
              <w:rPr>
                <w:lang w:val="it-IT"/>
              </w:rPr>
            </w:pPr>
            <w:r w:rsidRPr="007B74B7">
              <w:rPr>
                <w:rFonts w:ascii="SegoeBook" w:hAnsi="SegoeBook"/>
                <w:szCs w:val="18"/>
                <w:lang w:val="it-IT"/>
              </w:rPr>
              <w:t>Perdita o degradazione moderata</w:t>
            </w:r>
            <w:r w:rsidR="001F7D56" w:rsidRPr="007B74B7">
              <w:rPr>
                <w:rFonts w:ascii="SegoeBook" w:hAnsi="SegoeBook"/>
                <w:szCs w:val="18"/>
                <w:lang w:val="it-IT"/>
              </w:rPr>
              <w:t> </w:t>
            </w:r>
            <w:r w:rsidRPr="007B74B7">
              <w:rPr>
                <w:rFonts w:ascii="SegoeBook" w:hAnsi="SegoeBook"/>
                <w:szCs w:val="18"/>
                <w:lang w:val="it-IT"/>
              </w:rPr>
              <w:t>dei servizi e possibilità di</w:t>
            </w:r>
            <w:r w:rsidR="001F7D56" w:rsidRPr="007B74B7">
              <w:rPr>
                <w:rFonts w:ascii="SegoeBook" w:hAnsi="SegoeBook"/>
                <w:szCs w:val="18"/>
                <w:lang w:val="it-IT"/>
              </w:rPr>
              <w:t> </w:t>
            </w:r>
            <w:r w:rsidRPr="007B74B7">
              <w:rPr>
                <w:rFonts w:ascii="SegoeBook" w:hAnsi="SegoeBook"/>
                <w:szCs w:val="18"/>
                <w:lang w:val="it-IT"/>
              </w:rPr>
              <w:t>continuare il lavoro in modo meno efficiente.</w:t>
            </w:r>
          </w:p>
          <w:p w:rsidR="00596386" w:rsidRPr="00BD7CEA" w:rsidRDefault="00596386" w:rsidP="00CE45CA">
            <w:pPr>
              <w:spacing w:after="60" w:line="240" w:lineRule="atLeast"/>
              <w:rPr>
                <w:rFonts w:ascii="SegoeBook" w:hAnsi="SegoeBook"/>
                <w:szCs w:val="18"/>
              </w:rPr>
            </w:pPr>
            <w:r w:rsidRPr="00BD7CEA">
              <w:rPr>
                <w:rFonts w:ascii="SegoeBook" w:hAnsi="SegoeBook"/>
                <w:szCs w:val="18"/>
              </w:rPr>
              <w:t>Necessità dell</w:t>
            </w:r>
            <w:r w:rsidR="007A1415" w:rsidRPr="00BD7CEA">
              <w:rPr>
                <w:rFonts w:ascii="SegoeBook" w:hAnsi="SegoeBook"/>
                <w:szCs w:val="18"/>
              </w:rPr>
              <w:t>’</w:t>
            </w:r>
            <w:r w:rsidRPr="00BD7CEA">
              <w:rPr>
                <w:rFonts w:ascii="SegoeBook" w:hAnsi="SegoeBook"/>
                <w:szCs w:val="18"/>
              </w:rPr>
              <w:t>intervento entro</w:t>
            </w:r>
            <w:r w:rsidR="00CE45CA" w:rsidRPr="00BD7CEA">
              <w:rPr>
                <w:rFonts w:ascii="SegoeBook" w:hAnsi="SegoeBook"/>
                <w:szCs w:val="18"/>
              </w:rPr>
              <w:t> </w:t>
            </w:r>
            <w:r w:rsidRPr="00BD7CEA">
              <w:rPr>
                <w:rFonts w:ascii="SegoeBook" w:hAnsi="SegoeBook"/>
                <w:szCs w:val="18"/>
              </w:rPr>
              <w:t>4</w:t>
            </w:r>
            <w:r w:rsidR="001F7D56" w:rsidRPr="00BD7CEA">
              <w:rPr>
                <w:rFonts w:ascii="SegoeBook" w:hAnsi="SegoeBook"/>
                <w:szCs w:val="18"/>
              </w:rPr>
              <w:t> </w:t>
            </w:r>
            <w:r w:rsidRPr="00BD7CEA">
              <w:rPr>
                <w:rFonts w:ascii="SegoeBook" w:hAnsi="SegoeBook"/>
                <w:szCs w:val="18"/>
              </w:rPr>
              <w:t>Ore</w:t>
            </w:r>
          </w:p>
        </w:tc>
        <w:tc>
          <w:tcPr>
            <w:tcW w:w="1628" w:type="pct"/>
          </w:tcPr>
          <w:p w:rsidR="00596386" w:rsidRPr="007B74B7" w:rsidRDefault="00596386" w:rsidP="00647923">
            <w:pPr>
              <w:spacing w:line="240" w:lineRule="atLeast"/>
              <w:rPr>
                <w:lang w:val="it-IT"/>
              </w:rPr>
            </w:pPr>
            <w:r w:rsidRPr="007B74B7">
              <w:rPr>
                <w:rFonts w:ascii="SegoeBook" w:hAnsi="SegoeBook"/>
                <w:szCs w:val="18"/>
                <w:lang w:val="it-IT"/>
              </w:rPr>
              <w:t>1</w:t>
            </w:r>
            <w:r w:rsidRPr="007B74B7">
              <w:rPr>
                <w:rFonts w:ascii="SegoeBook" w:hAnsi="SegoeBook"/>
                <w:szCs w:val="18"/>
                <w:vertAlign w:val="superscript"/>
                <w:lang w:val="it-IT"/>
              </w:rPr>
              <w:t>a</w:t>
            </w:r>
            <w:r w:rsidRPr="007B74B7">
              <w:rPr>
                <w:rFonts w:ascii="SegoeBook" w:hAnsi="SegoeBook"/>
                <w:szCs w:val="18"/>
                <w:lang w:val="it-IT"/>
              </w:rPr>
              <w:t xml:space="preserve"> risposta in 4 Ore o meno</w:t>
            </w:r>
          </w:p>
          <w:p w:rsidR="00596386" w:rsidRPr="007B74B7" w:rsidRDefault="00596386" w:rsidP="00647923">
            <w:pPr>
              <w:spacing w:after="60" w:line="240" w:lineRule="atLeast"/>
              <w:rPr>
                <w:rFonts w:ascii="SegoeBook" w:hAnsi="SegoeBook"/>
                <w:szCs w:val="18"/>
                <w:lang w:val="it-IT"/>
              </w:rPr>
            </w:pPr>
          </w:p>
        </w:tc>
      </w:tr>
      <w:tr w:rsidR="00596386" w:rsidRPr="007B74B7" w:rsidTr="002A6416">
        <w:tc>
          <w:tcPr>
            <w:tcW w:w="779" w:type="pct"/>
          </w:tcPr>
          <w:p w:rsidR="00596386" w:rsidRPr="00BD7CEA" w:rsidRDefault="00596386" w:rsidP="00647923">
            <w:pPr>
              <w:spacing w:after="60" w:line="240" w:lineRule="atLeast"/>
              <w:jc w:val="center"/>
              <w:rPr>
                <w:rFonts w:ascii="SegoeBook" w:hAnsi="SegoeBook"/>
                <w:szCs w:val="18"/>
              </w:rPr>
            </w:pPr>
            <w:r w:rsidRPr="00BD7CEA">
              <w:rPr>
                <w:rFonts w:ascii="SegoeBook" w:hAnsi="SegoeBook"/>
                <w:szCs w:val="18"/>
              </w:rPr>
              <w:t>C</w:t>
            </w:r>
          </w:p>
        </w:tc>
        <w:tc>
          <w:tcPr>
            <w:tcW w:w="1022" w:type="pct"/>
          </w:tcPr>
          <w:p w:rsidR="00596386" w:rsidRPr="00BD7CEA" w:rsidRDefault="00596386" w:rsidP="00647923">
            <w:pPr>
              <w:spacing w:after="60" w:line="240" w:lineRule="atLeast"/>
              <w:jc w:val="center"/>
              <w:rPr>
                <w:rFonts w:ascii="SegoeBook" w:hAnsi="SegoeBook"/>
                <w:szCs w:val="18"/>
              </w:rPr>
            </w:pPr>
            <w:r w:rsidRPr="00BD7CEA">
              <w:rPr>
                <w:rFonts w:ascii="SegoeBook" w:hAnsi="SegoeBook"/>
                <w:szCs w:val="18"/>
              </w:rPr>
              <w:t>Formulazione via</w:t>
            </w:r>
            <w:r w:rsidR="00C91B72" w:rsidRPr="00BD7CEA">
              <w:rPr>
                <w:rFonts w:ascii="SegoeBook" w:hAnsi="SegoeBook"/>
                <w:szCs w:val="18"/>
              </w:rPr>
              <w:t> </w:t>
            </w:r>
            <w:r w:rsidRPr="00BD7CEA">
              <w:rPr>
                <w:rFonts w:ascii="SegoeBook" w:hAnsi="SegoeBook"/>
                <w:szCs w:val="18"/>
              </w:rPr>
              <w:t>Web</w:t>
            </w:r>
          </w:p>
        </w:tc>
        <w:tc>
          <w:tcPr>
            <w:tcW w:w="1571" w:type="pct"/>
          </w:tcPr>
          <w:p w:rsidR="00596386" w:rsidRPr="007B74B7" w:rsidRDefault="00596386" w:rsidP="00647923">
            <w:pPr>
              <w:rPr>
                <w:lang w:val="it-IT"/>
              </w:rPr>
            </w:pPr>
            <w:r w:rsidRPr="007B74B7">
              <w:rPr>
                <w:rFonts w:ascii="SegoeBook" w:hAnsi="SegoeBook"/>
                <w:szCs w:val="18"/>
                <w:lang w:val="it-IT"/>
              </w:rPr>
              <w:t>Impatto commerciale minimo</w:t>
            </w:r>
          </w:p>
          <w:p w:rsidR="00596386" w:rsidRPr="007B74B7" w:rsidRDefault="00596386" w:rsidP="00647923">
            <w:pPr>
              <w:rPr>
                <w:lang w:val="it-IT"/>
              </w:rPr>
            </w:pPr>
            <w:r w:rsidRPr="007B74B7">
              <w:rPr>
                <w:rFonts w:ascii="SegoeBook" w:hAnsi="SegoeBook"/>
                <w:szCs w:val="18"/>
                <w:lang w:val="it-IT"/>
              </w:rPr>
              <w:t>Funzionamento sostanzialmente nella norma, in alcuni casi con qualche minimo impedimento dei</w:t>
            </w:r>
            <w:r w:rsidR="00CE45CA" w:rsidRPr="007B74B7">
              <w:rPr>
                <w:rFonts w:ascii="SegoeBook" w:hAnsi="SegoeBook"/>
                <w:szCs w:val="18"/>
                <w:lang w:val="it-IT"/>
              </w:rPr>
              <w:t> </w:t>
            </w:r>
            <w:r w:rsidRPr="007B74B7">
              <w:rPr>
                <w:rFonts w:ascii="SegoeBook" w:hAnsi="SegoeBook"/>
                <w:szCs w:val="18"/>
                <w:lang w:val="it-IT"/>
              </w:rPr>
              <w:t>servizi.</w:t>
            </w:r>
          </w:p>
          <w:p w:rsidR="00596386" w:rsidRPr="00BD7CEA" w:rsidRDefault="00596386" w:rsidP="00CE45CA">
            <w:pPr>
              <w:spacing w:after="60" w:line="240" w:lineRule="atLeast"/>
              <w:rPr>
                <w:rFonts w:ascii="SegoeBook" w:hAnsi="SegoeBook"/>
                <w:szCs w:val="18"/>
              </w:rPr>
            </w:pPr>
            <w:r w:rsidRPr="00BD7CEA">
              <w:rPr>
                <w:rFonts w:ascii="SegoeBook" w:hAnsi="SegoeBook"/>
                <w:szCs w:val="18"/>
              </w:rPr>
              <w:t>Necessità dell</w:t>
            </w:r>
            <w:r w:rsidR="007A1415" w:rsidRPr="00BD7CEA">
              <w:rPr>
                <w:rFonts w:ascii="SegoeBook" w:hAnsi="SegoeBook"/>
                <w:szCs w:val="18"/>
              </w:rPr>
              <w:t>’</w:t>
            </w:r>
            <w:r w:rsidRPr="00BD7CEA">
              <w:rPr>
                <w:rFonts w:ascii="SegoeBook" w:hAnsi="SegoeBook"/>
                <w:szCs w:val="18"/>
              </w:rPr>
              <w:t>intervento entro</w:t>
            </w:r>
            <w:r w:rsidR="00CE45CA" w:rsidRPr="00BD7CEA">
              <w:rPr>
                <w:rFonts w:ascii="SegoeBook" w:hAnsi="SegoeBook"/>
                <w:szCs w:val="18"/>
              </w:rPr>
              <w:t> </w:t>
            </w:r>
            <w:r w:rsidRPr="00BD7CEA">
              <w:rPr>
                <w:rFonts w:ascii="SegoeBook" w:hAnsi="SegoeBook"/>
                <w:szCs w:val="18"/>
              </w:rPr>
              <w:t>8</w:t>
            </w:r>
            <w:r w:rsidR="00CE45CA" w:rsidRPr="00BD7CEA">
              <w:rPr>
                <w:rFonts w:ascii="SegoeBook" w:hAnsi="SegoeBook"/>
                <w:szCs w:val="18"/>
              </w:rPr>
              <w:t> </w:t>
            </w:r>
            <w:r w:rsidRPr="00BD7CEA">
              <w:rPr>
                <w:rFonts w:ascii="SegoeBook" w:hAnsi="SegoeBook"/>
                <w:szCs w:val="18"/>
              </w:rPr>
              <w:t>Ore</w:t>
            </w:r>
          </w:p>
        </w:tc>
        <w:tc>
          <w:tcPr>
            <w:tcW w:w="1628" w:type="pct"/>
          </w:tcPr>
          <w:p w:rsidR="00596386" w:rsidRPr="007B74B7" w:rsidRDefault="00596386" w:rsidP="00647923">
            <w:pPr>
              <w:rPr>
                <w:lang w:val="it-IT"/>
              </w:rPr>
            </w:pPr>
            <w:r w:rsidRPr="007B74B7">
              <w:rPr>
                <w:rFonts w:ascii="SegoeBook" w:hAnsi="SegoeBook"/>
                <w:szCs w:val="18"/>
                <w:lang w:val="it-IT"/>
              </w:rPr>
              <w:t>1</w:t>
            </w:r>
            <w:r w:rsidRPr="007B74B7">
              <w:rPr>
                <w:rFonts w:ascii="SegoeBook" w:hAnsi="SegoeBook"/>
                <w:szCs w:val="18"/>
                <w:vertAlign w:val="superscript"/>
                <w:lang w:val="it-IT"/>
              </w:rPr>
              <w:t>a</w:t>
            </w:r>
            <w:r w:rsidRPr="007B74B7">
              <w:rPr>
                <w:rFonts w:ascii="SegoeBook" w:hAnsi="SegoeBook"/>
                <w:szCs w:val="18"/>
                <w:lang w:val="it-IT"/>
              </w:rPr>
              <w:t xml:space="preserve"> risposta in 8 Ore o meno</w:t>
            </w:r>
          </w:p>
          <w:p w:rsidR="00596386" w:rsidRPr="007B74B7" w:rsidRDefault="00596386" w:rsidP="00647923">
            <w:pPr>
              <w:spacing w:line="240" w:lineRule="atLeast"/>
              <w:rPr>
                <w:rFonts w:ascii="SegoeBook" w:hAnsi="SegoeBook"/>
                <w:szCs w:val="18"/>
                <w:lang w:val="it-IT"/>
              </w:rPr>
            </w:pPr>
          </w:p>
        </w:tc>
      </w:tr>
    </w:tbl>
    <w:p w:rsidR="00596386" w:rsidRPr="007B74B7" w:rsidRDefault="00596386" w:rsidP="00596386">
      <w:pPr>
        <w:rPr>
          <w:lang w:val="it-IT"/>
        </w:rPr>
      </w:pPr>
    </w:p>
    <w:p w:rsidR="00596386" w:rsidRPr="007B74B7" w:rsidRDefault="00596386" w:rsidP="00596386">
      <w:pPr>
        <w:tabs>
          <w:tab w:val="left" w:pos="360"/>
        </w:tabs>
        <w:jc w:val="both"/>
        <w:rPr>
          <w:lang w:val="it-IT"/>
        </w:rPr>
      </w:pPr>
      <w:r w:rsidRPr="007B74B7">
        <w:rPr>
          <w:rFonts w:cs="Arial"/>
          <w:snapToGrid w:val="0"/>
          <w:color w:val="000000"/>
          <w:szCs w:val="18"/>
          <w:lang w:val="it-IT"/>
        </w:rPr>
        <w:t>Le società possono scegliere di essere richiamate da Microsoft per un massimo di 3 interventi al mese.</w:t>
      </w:r>
      <w:r w:rsidR="008D782D" w:rsidRPr="007B74B7">
        <w:rPr>
          <w:rFonts w:cs="Arial"/>
          <w:snapToGrid w:val="0"/>
          <w:color w:val="000000"/>
          <w:szCs w:val="18"/>
          <w:lang w:val="it-IT"/>
        </w:rPr>
        <w:t xml:space="preserve"> </w:t>
      </w:r>
      <w:r w:rsidRPr="007B74B7">
        <w:rPr>
          <w:rFonts w:cs="Arial"/>
          <w:snapToGrid w:val="0"/>
          <w:color w:val="000000"/>
          <w:szCs w:val="18"/>
          <w:lang w:val="it-IT"/>
        </w:rPr>
        <w:t>Diversamente, il team di supporto di Windows Azure individuerà e risolverà l</w:t>
      </w:r>
      <w:r w:rsidR="007A1415" w:rsidRPr="007B74B7">
        <w:rPr>
          <w:rFonts w:cs="Arial"/>
          <w:snapToGrid w:val="0"/>
          <w:color w:val="000000"/>
          <w:szCs w:val="18"/>
          <w:lang w:val="it-IT"/>
        </w:rPr>
        <w:t>’</w:t>
      </w:r>
      <w:r w:rsidRPr="007B74B7">
        <w:rPr>
          <w:rFonts w:cs="Arial"/>
          <w:snapToGrid w:val="0"/>
          <w:color w:val="000000"/>
          <w:szCs w:val="18"/>
          <w:lang w:val="it-IT"/>
        </w:rPr>
        <w:t>intervento tramite i canali online (ad esempio, tramite posta elettronica o il portale di Windows Azure).</w:t>
      </w:r>
      <w:r w:rsidR="008D782D" w:rsidRPr="007B74B7">
        <w:rPr>
          <w:rFonts w:cs="Arial"/>
          <w:snapToGrid w:val="0"/>
          <w:color w:val="000000"/>
          <w:szCs w:val="18"/>
          <w:lang w:val="it-IT"/>
        </w:rPr>
        <w:t xml:space="preserve"> </w:t>
      </w:r>
    </w:p>
    <w:p w:rsidR="00596386" w:rsidRPr="007B74B7" w:rsidRDefault="00596386" w:rsidP="00596386">
      <w:pPr>
        <w:tabs>
          <w:tab w:val="left" w:pos="360"/>
        </w:tabs>
        <w:jc w:val="both"/>
        <w:rPr>
          <w:lang w:val="it-IT"/>
        </w:rPr>
      </w:pPr>
    </w:p>
    <w:p w:rsidR="00596386" w:rsidRPr="007B74B7" w:rsidRDefault="00596386" w:rsidP="00596386">
      <w:pPr>
        <w:tabs>
          <w:tab w:val="left" w:pos="360"/>
        </w:tabs>
        <w:jc w:val="both"/>
        <w:rPr>
          <w:lang w:val="it-IT"/>
        </w:rPr>
      </w:pPr>
      <w:r w:rsidRPr="007B74B7">
        <w:rPr>
          <w:rFonts w:cs="Arial"/>
          <w:b/>
          <w:sz w:val="24"/>
          <w:szCs w:val="18"/>
          <w:lang w:val="it-IT"/>
        </w:rPr>
        <w:t>Supporto per Sviluppatori per Windows Azure</w:t>
      </w:r>
    </w:p>
    <w:p w:rsidR="00596386" w:rsidRPr="007B74B7" w:rsidRDefault="00596386" w:rsidP="00596386">
      <w:pPr>
        <w:tabs>
          <w:tab w:val="left" w:pos="360"/>
        </w:tabs>
        <w:jc w:val="both"/>
        <w:rPr>
          <w:lang w:val="it-IT"/>
        </w:rPr>
      </w:pPr>
    </w:p>
    <w:p w:rsidR="00596386" w:rsidRPr="007B74B7" w:rsidRDefault="00596386" w:rsidP="00596386">
      <w:pPr>
        <w:rPr>
          <w:lang w:val="it-IT"/>
        </w:rPr>
      </w:pPr>
      <w:r w:rsidRPr="007B74B7">
        <w:rPr>
          <w:szCs w:val="18"/>
          <w:lang w:val="it-IT"/>
        </w:rPr>
        <w:t>Microsoft definirà di livello di gravità iniziale C tutti gli Interventi richiesti. La gravità dell</w:t>
      </w:r>
      <w:r w:rsidR="007A1415" w:rsidRPr="007B74B7">
        <w:rPr>
          <w:szCs w:val="18"/>
          <w:lang w:val="it-IT"/>
        </w:rPr>
        <w:t>’</w:t>
      </w:r>
      <w:r w:rsidRPr="007B74B7">
        <w:rPr>
          <w:szCs w:val="18"/>
          <w:lang w:val="it-IT"/>
        </w:rPr>
        <w:t xml:space="preserve">intervento determinerà </w:t>
      </w:r>
      <w:r w:rsidR="00C91B72" w:rsidRPr="007B74B7">
        <w:rPr>
          <w:szCs w:val="18"/>
          <w:lang w:val="it-IT"/>
        </w:rPr>
        <w:t>I </w:t>
      </w:r>
      <w:r w:rsidRPr="007B74B7">
        <w:rPr>
          <w:szCs w:val="18"/>
          <w:lang w:val="it-IT"/>
        </w:rPr>
        <w:t>livelli di risposta da parte di Microsoft e i tempi di risposta previsti nella tabella che segue.</w:t>
      </w:r>
      <w:r w:rsidR="008D782D" w:rsidRPr="007B74B7">
        <w:rPr>
          <w:szCs w:val="18"/>
          <w:lang w:val="it-IT"/>
        </w:rPr>
        <w:t xml:space="preserve"> </w:t>
      </w:r>
      <w:r w:rsidRPr="007B74B7">
        <w:rPr>
          <w:szCs w:val="18"/>
          <w:lang w:val="it-IT"/>
        </w:rPr>
        <w:t>La possibilità per Microsoft di offrire i servizi dipende dalla totale e tempestiva collaborazione della società e dall</w:t>
      </w:r>
      <w:r w:rsidR="007A1415" w:rsidRPr="007B74B7">
        <w:rPr>
          <w:szCs w:val="18"/>
          <w:lang w:val="it-IT"/>
        </w:rPr>
        <w:t>’</w:t>
      </w:r>
      <w:r w:rsidRPr="007B74B7">
        <w:rPr>
          <w:szCs w:val="18"/>
          <w:lang w:val="it-IT"/>
        </w:rPr>
        <w:t>accuratezza e</w:t>
      </w:r>
      <w:r w:rsidR="00A52C82" w:rsidRPr="007B74B7">
        <w:rPr>
          <w:szCs w:val="18"/>
          <w:lang w:val="it-IT"/>
        </w:rPr>
        <w:t> </w:t>
      </w:r>
      <w:r w:rsidRPr="007B74B7">
        <w:rPr>
          <w:szCs w:val="18"/>
          <w:lang w:val="it-IT"/>
        </w:rPr>
        <w:t>completezza dei dati forniti.</w:t>
      </w:r>
    </w:p>
    <w:p w:rsidR="00596386" w:rsidRPr="007B74B7" w:rsidRDefault="00596386" w:rsidP="00596386">
      <w:pPr>
        <w:rPr>
          <w:lang w:val="it-IT"/>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38"/>
        <w:gridCol w:w="1883"/>
        <w:gridCol w:w="3263"/>
        <w:gridCol w:w="2766"/>
      </w:tblGrid>
      <w:tr w:rsidR="00596386" w:rsidRPr="00BD7CEA" w:rsidTr="002A6416">
        <w:tc>
          <w:tcPr>
            <w:tcW w:w="769" w:type="pct"/>
            <w:shd w:val="clear" w:color="auto" w:fill="FABF8F"/>
          </w:tcPr>
          <w:p w:rsidR="00596386" w:rsidRPr="00BD7CEA" w:rsidRDefault="00596386" w:rsidP="0037031E">
            <w:pPr>
              <w:jc w:val="center"/>
              <w:rPr>
                <w:rFonts w:cs="Tahoma"/>
                <w:b/>
                <w:bCs/>
                <w:color w:val="000000"/>
                <w:sz w:val="20"/>
                <w:szCs w:val="18"/>
              </w:rPr>
            </w:pPr>
            <w:r w:rsidRPr="00BD7CEA">
              <w:rPr>
                <w:rFonts w:cs="Tahoma"/>
                <w:b/>
                <w:bCs/>
                <w:color w:val="000000"/>
                <w:sz w:val="20"/>
                <w:szCs w:val="18"/>
              </w:rPr>
              <w:t>Severity</w:t>
            </w:r>
          </w:p>
        </w:tc>
        <w:tc>
          <w:tcPr>
            <w:tcW w:w="1007" w:type="pct"/>
            <w:shd w:val="clear" w:color="auto" w:fill="FABF8F"/>
          </w:tcPr>
          <w:p w:rsidR="00596386" w:rsidRPr="00BD7CEA" w:rsidRDefault="00596386" w:rsidP="0037031E">
            <w:pPr>
              <w:jc w:val="center"/>
              <w:rPr>
                <w:rFonts w:cs="Tahoma"/>
                <w:b/>
                <w:bCs/>
                <w:color w:val="000000"/>
                <w:sz w:val="20"/>
                <w:szCs w:val="18"/>
              </w:rPr>
            </w:pPr>
            <w:r w:rsidRPr="00BD7CEA">
              <w:rPr>
                <w:rFonts w:cs="Tahoma"/>
                <w:b/>
                <w:bCs/>
                <w:color w:val="000000"/>
                <w:sz w:val="20"/>
                <w:szCs w:val="18"/>
              </w:rPr>
              <w:t>Contatto</w:t>
            </w:r>
          </w:p>
        </w:tc>
        <w:tc>
          <w:tcPr>
            <w:tcW w:w="1745" w:type="pct"/>
            <w:shd w:val="clear" w:color="auto" w:fill="FABF8F"/>
          </w:tcPr>
          <w:p w:rsidR="00596386" w:rsidRPr="00BD7CEA" w:rsidRDefault="00596386" w:rsidP="0037031E">
            <w:pPr>
              <w:jc w:val="center"/>
              <w:rPr>
                <w:rFonts w:cs="Tahoma"/>
                <w:b/>
                <w:bCs/>
                <w:color w:val="000000"/>
                <w:sz w:val="20"/>
                <w:szCs w:val="18"/>
              </w:rPr>
            </w:pPr>
            <w:r w:rsidRPr="00BD7CEA">
              <w:rPr>
                <w:rFonts w:cs="Tahoma"/>
                <w:b/>
                <w:bCs/>
                <w:color w:val="000000"/>
                <w:sz w:val="20"/>
                <w:szCs w:val="18"/>
              </w:rPr>
              <w:t>Situazione della Società</w:t>
            </w:r>
          </w:p>
        </w:tc>
        <w:tc>
          <w:tcPr>
            <w:tcW w:w="1479" w:type="pct"/>
            <w:shd w:val="clear" w:color="auto" w:fill="FABF8F"/>
          </w:tcPr>
          <w:p w:rsidR="00596386" w:rsidRPr="00BD7CEA" w:rsidRDefault="00596386" w:rsidP="0037031E">
            <w:pPr>
              <w:jc w:val="center"/>
              <w:rPr>
                <w:rFonts w:cs="Tahoma"/>
                <w:b/>
                <w:bCs/>
                <w:color w:val="000000"/>
                <w:sz w:val="20"/>
                <w:szCs w:val="18"/>
              </w:rPr>
            </w:pPr>
            <w:r w:rsidRPr="00BD7CEA">
              <w:rPr>
                <w:rFonts w:cs="Tahoma"/>
                <w:b/>
                <w:bCs/>
                <w:color w:val="000000"/>
                <w:sz w:val="20"/>
                <w:szCs w:val="18"/>
              </w:rPr>
              <w:t>Risposta di Microsoft Attesa</w:t>
            </w:r>
          </w:p>
        </w:tc>
      </w:tr>
      <w:tr w:rsidR="00596386" w:rsidRPr="007B74B7" w:rsidTr="002A6416">
        <w:tc>
          <w:tcPr>
            <w:tcW w:w="769" w:type="pct"/>
          </w:tcPr>
          <w:p w:rsidR="00596386" w:rsidRPr="007B74B7" w:rsidRDefault="00596386" w:rsidP="00647923">
            <w:pPr>
              <w:spacing w:after="60" w:line="240" w:lineRule="atLeast"/>
              <w:jc w:val="center"/>
              <w:rPr>
                <w:lang w:val="it-IT"/>
              </w:rPr>
            </w:pPr>
            <w:r w:rsidRPr="007B74B7">
              <w:rPr>
                <w:rFonts w:cs="Tahoma"/>
                <w:szCs w:val="18"/>
                <w:lang w:val="it-IT"/>
              </w:rPr>
              <w:t>C</w:t>
            </w:r>
          </w:p>
          <w:p w:rsidR="00596386" w:rsidRPr="007B74B7" w:rsidRDefault="00596386" w:rsidP="00647923">
            <w:pPr>
              <w:spacing w:after="60" w:line="240" w:lineRule="atLeast"/>
              <w:jc w:val="center"/>
              <w:rPr>
                <w:rFonts w:cs="Tahoma"/>
                <w:szCs w:val="18"/>
                <w:lang w:val="it-IT"/>
              </w:rPr>
            </w:pPr>
            <w:r w:rsidRPr="007B74B7">
              <w:rPr>
                <w:rFonts w:cs="Tahoma"/>
                <w:szCs w:val="18"/>
                <w:lang w:val="it-IT"/>
              </w:rPr>
              <w:t>(Tutti i casi verranno definiti di livello di gravità C)</w:t>
            </w:r>
          </w:p>
        </w:tc>
        <w:tc>
          <w:tcPr>
            <w:tcW w:w="1007" w:type="pct"/>
          </w:tcPr>
          <w:p w:rsidR="00596386" w:rsidRPr="00BD7CEA" w:rsidRDefault="00596386" w:rsidP="00A52C82">
            <w:pPr>
              <w:spacing w:after="60" w:line="240" w:lineRule="atLeast"/>
              <w:jc w:val="center"/>
              <w:rPr>
                <w:rFonts w:cs="Tahoma"/>
                <w:szCs w:val="18"/>
              </w:rPr>
            </w:pPr>
            <w:r w:rsidRPr="00BD7CEA">
              <w:rPr>
                <w:rFonts w:cs="Tahoma"/>
                <w:szCs w:val="18"/>
              </w:rPr>
              <w:t>Formulazione via</w:t>
            </w:r>
            <w:r w:rsidR="00A52C82" w:rsidRPr="00BD7CEA">
              <w:rPr>
                <w:rFonts w:cs="Tahoma"/>
                <w:szCs w:val="18"/>
              </w:rPr>
              <w:t> </w:t>
            </w:r>
            <w:r w:rsidRPr="00BD7CEA">
              <w:rPr>
                <w:rFonts w:cs="Tahoma"/>
                <w:szCs w:val="18"/>
              </w:rPr>
              <w:t>Web</w:t>
            </w:r>
          </w:p>
        </w:tc>
        <w:tc>
          <w:tcPr>
            <w:tcW w:w="1745" w:type="pct"/>
          </w:tcPr>
          <w:p w:rsidR="00596386" w:rsidRPr="007B74B7" w:rsidRDefault="00596386" w:rsidP="00647923">
            <w:pPr>
              <w:rPr>
                <w:lang w:val="it-IT"/>
              </w:rPr>
            </w:pPr>
            <w:r w:rsidRPr="007B74B7">
              <w:rPr>
                <w:rFonts w:cs="Tahoma"/>
                <w:szCs w:val="18"/>
                <w:lang w:val="it-IT"/>
              </w:rPr>
              <w:t>Impatto commerciale minimo</w:t>
            </w:r>
          </w:p>
          <w:p w:rsidR="00596386" w:rsidRPr="007B74B7" w:rsidRDefault="00596386" w:rsidP="00647923">
            <w:pPr>
              <w:rPr>
                <w:lang w:val="it-IT"/>
              </w:rPr>
            </w:pPr>
            <w:r w:rsidRPr="007B74B7">
              <w:rPr>
                <w:rFonts w:cs="Tahoma"/>
                <w:szCs w:val="18"/>
                <w:lang w:val="it-IT"/>
              </w:rPr>
              <w:t>Funzionamento sostanzialmente nella norma, in alcuni casi con qualche minimo impedimento dei servizi.</w:t>
            </w:r>
          </w:p>
          <w:p w:rsidR="00596386" w:rsidRPr="00BD7CEA" w:rsidRDefault="00596386" w:rsidP="00647923">
            <w:pPr>
              <w:spacing w:after="60" w:line="240" w:lineRule="atLeast"/>
              <w:rPr>
                <w:rFonts w:cs="Tahoma"/>
                <w:szCs w:val="18"/>
              </w:rPr>
            </w:pPr>
            <w:r w:rsidRPr="00BD7CEA">
              <w:rPr>
                <w:rFonts w:cs="Tahoma"/>
                <w:szCs w:val="18"/>
              </w:rPr>
              <w:t>Necessità dell</w:t>
            </w:r>
            <w:r w:rsidR="007A1415" w:rsidRPr="00BD7CEA">
              <w:rPr>
                <w:rFonts w:cs="Tahoma"/>
                <w:szCs w:val="18"/>
              </w:rPr>
              <w:t>’</w:t>
            </w:r>
            <w:r w:rsidRPr="00BD7CEA">
              <w:rPr>
                <w:rFonts w:cs="Tahoma"/>
                <w:szCs w:val="18"/>
              </w:rPr>
              <w:t>intervento entro 8 ore</w:t>
            </w:r>
          </w:p>
        </w:tc>
        <w:tc>
          <w:tcPr>
            <w:tcW w:w="1479" w:type="pct"/>
          </w:tcPr>
          <w:p w:rsidR="00596386" w:rsidRPr="007B74B7" w:rsidRDefault="00596386" w:rsidP="00647923">
            <w:pPr>
              <w:rPr>
                <w:lang w:val="it-IT"/>
              </w:rPr>
            </w:pPr>
            <w:r w:rsidRPr="007B74B7">
              <w:rPr>
                <w:rFonts w:cs="Tahoma"/>
                <w:szCs w:val="18"/>
                <w:lang w:val="it-IT"/>
              </w:rPr>
              <w:t>1</w:t>
            </w:r>
            <w:r w:rsidRPr="007B74B7">
              <w:rPr>
                <w:rFonts w:cs="Tahoma"/>
                <w:szCs w:val="18"/>
                <w:vertAlign w:val="superscript"/>
                <w:lang w:val="it-IT"/>
              </w:rPr>
              <w:t>a</w:t>
            </w:r>
            <w:r w:rsidRPr="007B74B7">
              <w:rPr>
                <w:rFonts w:cs="Tahoma"/>
                <w:szCs w:val="18"/>
                <w:lang w:val="it-IT"/>
              </w:rPr>
              <w:t xml:space="preserve"> risposta in 8 Ore o meno</w:t>
            </w:r>
          </w:p>
          <w:p w:rsidR="00596386" w:rsidRPr="007B74B7" w:rsidRDefault="00596386" w:rsidP="00647923">
            <w:pPr>
              <w:spacing w:line="240" w:lineRule="atLeast"/>
              <w:rPr>
                <w:rFonts w:cs="Tahoma"/>
                <w:szCs w:val="18"/>
                <w:lang w:val="it-IT"/>
              </w:rPr>
            </w:pPr>
          </w:p>
        </w:tc>
      </w:tr>
    </w:tbl>
    <w:p w:rsidR="00596386" w:rsidRPr="007B74B7" w:rsidRDefault="00596386" w:rsidP="00596386">
      <w:pPr>
        <w:rPr>
          <w:lang w:val="it-IT"/>
        </w:rPr>
      </w:pPr>
    </w:p>
    <w:p w:rsidR="00596386" w:rsidRPr="007B74B7" w:rsidRDefault="00596386" w:rsidP="00596386">
      <w:pPr>
        <w:tabs>
          <w:tab w:val="left" w:pos="360"/>
        </w:tabs>
        <w:jc w:val="both"/>
        <w:rPr>
          <w:lang w:val="it-IT"/>
        </w:rPr>
      </w:pPr>
      <w:r w:rsidRPr="007B74B7">
        <w:rPr>
          <w:rFonts w:cs="Arial"/>
          <w:snapToGrid w:val="0"/>
          <w:color w:val="000000"/>
          <w:szCs w:val="18"/>
          <w:lang w:val="it-IT"/>
        </w:rPr>
        <w:t>Il team di supporto di Windows Azure collabora con le società per individuare e risolvere gli Interventi tramite i canali online (ad esempio, tramite posta elettronica o il portale di Windows Azure).</w:t>
      </w:r>
      <w:r w:rsidR="008D782D" w:rsidRPr="007B74B7">
        <w:rPr>
          <w:rFonts w:cs="Arial"/>
          <w:snapToGrid w:val="0"/>
          <w:color w:val="000000"/>
          <w:szCs w:val="18"/>
          <w:lang w:val="it-IT"/>
        </w:rPr>
        <w:t xml:space="preserve"> </w:t>
      </w:r>
      <w:r w:rsidRPr="007B74B7">
        <w:rPr>
          <w:rFonts w:cs="Arial"/>
          <w:snapToGrid w:val="0"/>
          <w:color w:val="000000"/>
          <w:szCs w:val="18"/>
          <w:lang w:val="it-IT"/>
        </w:rPr>
        <w:t xml:space="preserve">Il team di supporto di Windows Azure </w:t>
      </w:r>
      <w:r w:rsidRPr="007B74B7">
        <w:rPr>
          <w:rFonts w:cs="Arial"/>
          <w:snapToGrid w:val="0"/>
          <w:color w:val="000000"/>
          <w:szCs w:val="18"/>
          <w:lang w:val="it-IT"/>
        </w:rPr>
        <w:lastRenderedPageBreak/>
        <w:t>potrà contattare la società al numero di telefono fornito dalla società stessa, qualora sia necessario per risolvere un Intervento.</w:t>
      </w:r>
    </w:p>
    <w:p w:rsidR="00DD7F8E" w:rsidRPr="007B74B7" w:rsidRDefault="00DD7F8E" w:rsidP="00DD7F8E">
      <w:pPr>
        <w:rPr>
          <w:lang w:val="it-IT"/>
        </w:rPr>
      </w:pPr>
      <w:r w:rsidRPr="007B74B7">
        <w:rPr>
          <w:b/>
          <w:sz w:val="24"/>
          <w:szCs w:val="24"/>
          <w:lang w:val="it-IT"/>
        </w:rPr>
        <w:t>Offerte per il Programma Microsoft Enterprise Strategy</w:t>
      </w:r>
    </w:p>
    <w:p w:rsidR="00DD7F8E" w:rsidRPr="007B74B7" w:rsidRDefault="00DD7F8E" w:rsidP="00DD7F8E">
      <w:pPr>
        <w:rPr>
          <w:lang w:val="it-IT"/>
        </w:rPr>
      </w:pPr>
    </w:p>
    <w:p w:rsidR="00DD7F8E" w:rsidRPr="00BD7CEA" w:rsidRDefault="00DD7F8E" w:rsidP="006D6BED">
      <w:pPr>
        <w:widowControl w:val="0"/>
        <w:tabs>
          <w:tab w:val="left" w:pos="720"/>
          <w:tab w:val="left" w:pos="1170"/>
        </w:tabs>
        <w:spacing w:after="60"/>
      </w:pPr>
      <w:r w:rsidRPr="00BD7CEA">
        <w:rPr>
          <w:rFonts w:cs="Arial"/>
          <w:b/>
          <w:bCs/>
          <w:szCs w:val="18"/>
        </w:rPr>
        <w:t>Panoramica del Programma Enterprise Strategy</w:t>
      </w:r>
    </w:p>
    <w:p w:rsidR="00DD7F8E" w:rsidRPr="00BD7CEA" w:rsidRDefault="00DD7F8E" w:rsidP="006D6BED">
      <w:r w:rsidRPr="00BD7CEA">
        <w:rPr>
          <w:rFonts w:cs="Arial"/>
        </w:rPr>
        <w:t>Il Programma Enterprise Strategy per il Contratto Microsoft Enterprise offre alle società la consulenza di Microsoft Enterprise Architects in merito a come velocizzare l</w:t>
      </w:r>
      <w:r w:rsidR="007A1415" w:rsidRPr="00BD7CEA">
        <w:rPr>
          <w:rFonts w:cs="Arial"/>
        </w:rPr>
        <w:t>’</w:t>
      </w:r>
      <w:r w:rsidRPr="00BD7CEA">
        <w:rPr>
          <w:rFonts w:cs="Arial"/>
        </w:rPr>
        <w:t>adozione di tecnologia e pianificare modifiche ragionevoli allo scopo di massimizzare l</w:t>
      </w:r>
      <w:r w:rsidR="007A1415" w:rsidRPr="00BD7CEA">
        <w:rPr>
          <w:rFonts w:cs="Arial"/>
        </w:rPr>
        <w:t>’</w:t>
      </w:r>
      <w:r w:rsidRPr="00BD7CEA">
        <w:rPr>
          <w:rFonts w:cs="Arial"/>
        </w:rPr>
        <w:t xml:space="preserve">investimento effettuato nelle tecnologie Microsoft. Le tempistiche, le date e i piani di consegna sono semplici stime e pertanto sono soggette a modifica. </w:t>
      </w:r>
    </w:p>
    <w:p w:rsidR="00DD7F8E" w:rsidRPr="00BD7CEA" w:rsidRDefault="00DD7F8E" w:rsidP="006D6BED"/>
    <w:p w:rsidR="0064651F" w:rsidRPr="00BD7CEA" w:rsidRDefault="00DD7F8E" w:rsidP="006D6BED">
      <w:r w:rsidRPr="00BD7CEA">
        <w:rPr>
          <w:rFonts w:cs="Arial"/>
        </w:rPr>
        <w:t>Le offerte relative al Programma Enterprise Strategy includono i componenti descritti di seguito, che verranno forniti per ogni anno di validità del Contratto Enterprise stipulato dalla Società:</w:t>
      </w:r>
    </w:p>
    <w:p w:rsidR="00DD7F8E" w:rsidRPr="00BD7CEA" w:rsidRDefault="00DD7F8E" w:rsidP="006D6BED"/>
    <w:p w:rsidR="00FD27BC" w:rsidRPr="00BD7CEA" w:rsidRDefault="00FD27BC" w:rsidP="006D6BED">
      <w:bookmarkStart w:id="975" w:name="OLE_LINK5"/>
      <w:bookmarkStart w:id="976" w:name="OLE_LINK6"/>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FD27BC" w:rsidRPr="00BD7CEA" w:rsidTr="002A6416">
        <w:tc>
          <w:tcPr>
            <w:tcW w:w="2555" w:type="dxa"/>
            <w:shd w:val="clear" w:color="auto" w:fill="FABF8F"/>
            <w:vAlign w:val="center"/>
          </w:tcPr>
          <w:p w:rsidR="00FD27BC" w:rsidRPr="00BD7CEA" w:rsidRDefault="00FD27BC" w:rsidP="00FD27BC">
            <w:pPr>
              <w:jc w:val="center"/>
              <w:rPr>
                <w:rFonts w:cs="Tahoma"/>
                <w:color w:val="000000"/>
                <w:szCs w:val="18"/>
              </w:rPr>
            </w:pPr>
            <w:r w:rsidRPr="00BD7CEA">
              <w:rPr>
                <w:rFonts w:cs="Tahoma"/>
                <w:b/>
                <w:bCs/>
                <w:color w:val="000000"/>
                <w:sz w:val="20"/>
                <w:szCs w:val="18"/>
              </w:rPr>
              <w:t>Area</w:t>
            </w:r>
          </w:p>
        </w:tc>
        <w:tc>
          <w:tcPr>
            <w:tcW w:w="2215" w:type="dxa"/>
            <w:shd w:val="clear" w:color="auto" w:fill="FABF8F"/>
            <w:vAlign w:val="center"/>
          </w:tcPr>
          <w:p w:rsidR="00FD27BC" w:rsidRPr="00BD7CEA" w:rsidRDefault="00FD27BC" w:rsidP="00FD27BC">
            <w:pPr>
              <w:jc w:val="center"/>
              <w:rPr>
                <w:rFonts w:cs="Tahoma"/>
                <w:b/>
                <w:bCs/>
                <w:color w:val="000000"/>
                <w:sz w:val="20"/>
                <w:szCs w:val="20"/>
              </w:rPr>
            </w:pPr>
            <w:r w:rsidRPr="00BD7CEA">
              <w:rPr>
                <w:rFonts w:cs="Tahoma"/>
                <w:b/>
                <w:bCs/>
                <w:color w:val="000000"/>
                <w:sz w:val="20"/>
                <w:szCs w:val="20"/>
              </w:rPr>
              <w:t>Enterprise Strategy Connect</w:t>
            </w:r>
          </w:p>
        </w:tc>
        <w:tc>
          <w:tcPr>
            <w:tcW w:w="2340" w:type="dxa"/>
            <w:shd w:val="clear" w:color="auto" w:fill="FABF8F"/>
            <w:vAlign w:val="center"/>
          </w:tcPr>
          <w:p w:rsidR="00FD27BC" w:rsidRPr="00BD7CEA" w:rsidRDefault="00FD27BC" w:rsidP="00FD27BC">
            <w:pPr>
              <w:jc w:val="center"/>
              <w:rPr>
                <w:rFonts w:cs="Tahoma"/>
                <w:color w:val="000000"/>
                <w:sz w:val="20"/>
                <w:szCs w:val="20"/>
              </w:rPr>
            </w:pPr>
            <w:r w:rsidRPr="00BD7CEA">
              <w:rPr>
                <w:rFonts w:cs="Tahoma"/>
                <w:b/>
                <w:bCs/>
                <w:color w:val="000000"/>
                <w:sz w:val="20"/>
                <w:szCs w:val="20"/>
              </w:rPr>
              <w:t>Enterprise Strategy Foundation</w:t>
            </w:r>
          </w:p>
        </w:tc>
        <w:tc>
          <w:tcPr>
            <w:tcW w:w="2250" w:type="dxa"/>
            <w:shd w:val="clear" w:color="auto" w:fill="FABF8F"/>
            <w:vAlign w:val="center"/>
          </w:tcPr>
          <w:p w:rsidR="00FD27BC" w:rsidRPr="00BD7CEA" w:rsidRDefault="00FD27BC" w:rsidP="00FD27BC">
            <w:pPr>
              <w:jc w:val="center"/>
              <w:rPr>
                <w:rFonts w:cs="Tahoma"/>
                <w:b/>
                <w:bCs/>
                <w:color w:val="000000"/>
                <w:sz w:val="20"/>
                <w:szCs w:val="18"/>
              </w:rPr>
            </w:pPr>
            <w:r w:rsidRPr="00BD7CEA">
              <w:rPr>
                <w:rFonts w:cs="Tahoma"/>
                <w:b/>
                <w:bCs/>
                <w:color w:val="000000"/>
                <w:sz w:val="20"/>
                <w:szCs w:val="18"/>
              </w:rPr>
              <w:t>Enterprise Strategy Portfolio</w:t>
            </w:r>
          </w:p>
        </w:tc>
      </w:tr>
      <w:tr w:rsidR="00FD27BC" w:rsidRPr="00BD7CEA" w:rsidTr="002A6416">
        <w:tc>
          <w:tcPr>
            <w:tcW w:w="2555" w:type="dxa"/>
            <w:vAlign w:val="center"/>
          </w:tcPr>
          <w:p w:rsidR="00FD27BC" w:rsidRPr="00BD7CEA" w:rsidRDefault="00FD27BC" w:rsidP="009B78AB">
            <w:pPr>
              <w:rPr>
                <w:rFonts w:cs="Tahoma"/>
                <w:color w:val="000000"/>
                <w:szCs w:val="18"/>
              </w:rPr>
            </w:pPr>
            <w:r w:rsidRPr="00BD7CEA">
              <w:rPr>
                <w:rFonts w:cs="Tahoma"/>
                <w:color w:val="000000"/>
                <w:szCs w:val="18"/>
              </w:rPr>
              <w:t>Enterprise Architect</w:t>
            </w:r>
          </w:p>
        </w:tc>
        <w:tc>
          <w:tcPr>
            <w:tcW w:w="2215" w:type="dxa"/>
            <w:vAlign w:val="center"/>
          </w:tcPr>
          <w:p w:rsidR="00FD27BC" w:rsidRPr="00BD7CEA" w:rsidRDefault="00FD27BC" w:rsidP="00FD27BC">
            <w:pPr>
              <w:jc w:val="center"/>
              <w:rPr>
                <w:rFonts w:eastAsia="MS UI Gothic" w:cs="Tahoma"/>
                <w:color w:val="000000"/>
                <w:szCs w:val="18"/>
              </w:rPr>
            </w:pPr>
            <w:r w:rsidRPr="00BD7CEA">
              <w:rPr>
                <w:rFonts w:eastAsia="MS UI Gothic" w:cs="Tahoma"/>
                <w:color w:val="000000"/>
                <w:szCs w:val="18"/>
              </w:rPr>
              <w:t xml:space="preserve">1 Microsoft Enterprise Architect trimestrale </w:t>
            </w:r>
            <w:r w:rsidRPr="00BD7CEA">
              <w:rPr>
                <w:rFonts w:cs="Tahoma"/>
                <w:b/>
                <w:bCs/>
                <w:color w:val="000000"/>
                <w:sz w:val="20"/>
                <w:szCs w:val="18"/>
                <w:vertAlign w:val="superscript"/>
              </w:rPr>
              <w:t>1</w:t>
            </w:r>
          </w:p>
        </w:tc>
        <w:tc>
          <w:tcPr>
            <w:tcW w:w="2340" w:type="dxa"/>
            <w:vAlign w:val="center"/>
          </w:tcPr>
          <w:p w:rsidR="00FD27BC" w:rsidRPr="00BD7CEA" w:rsidRDefault="00FD27BC" w:rsidP="00FD27BC">
            <w:pPr>
              <w:jc w:val="center"/>
              <w:rPr>
                <w:rFonts w:cs="Tahoma"/>
                <w:color w:val="000000"/>
                <w:szCs w:val="18"/>
              </w:rPr>
            </w:pPr>
            <w:r w:rsidRPr="00BD7CEA">
              <w:rPr>
                <w:rFonts w:eastAsia="MS UI Gothic" w:cs="Tahoma"/>
                <w:color w:val="000000"/>
                <w:szCs w:val="18"/>
              </w:rPr>
              <w:t xml:space="preserve">1 Microsoft Enterprise Architect part-time </w:t>
            </w:r>
            <w:r w:rsidRPr="00BD7CEA">
              <w:rPr>
                <w:rFonts w:cs="Tahoma"/>
                <w:b/>
                <w:bCs/>
                <w:color w:val="000000"/>
                <w:sz w:val="20"/>
                <w:szCs w:val="18"/>
                <w:vertAlign w:val="superscript"/>
              </w:rPr>
              <w:t>1</w:t>
            </w:r>
          </w:p>
        </w:tc>
        <w:tc>
          <w:tcPr>
            <w:tcW w:w="2250" w:type="dxa"/>
            <w:vAlign w:val="center"/>
          </w:tcPr>
          <w:p w:rsidR="00FD27BC" w:rsidRPr="00BD7CEA" w:rsidRDefault="00FD27BC" w:rsidP="00FD27BC">
            <w:pPr>
              <w:jc w:val="center"/>
              <w:rPr>
                <w:rFonts w:cs="Tahoma"/>
                <w:color w:val="000000"/>
                <w:szCs w:val="18"/>
              </w:rPr>
            </w:pPr>
            <w:r w:rsidRPr="00BD7CEA">
              <w:rPr>
                <w:rFonts w:eastAsia="MS UI Gothic" w:cs="Tahoma"/>
                <w:color w:val="000000"/>
                <w:szCs w:val="18"/>
              </w:rPr>
              <w:t xml:space="preserve">1 Microsoft Enterprise Architect full-time </w:t>
            </w:r>
            <w:r w:rsidRPr="00BD7CEA">
              <w:rPr>
                <w:rFonts w:cs="Tahoma"/>
                <w:b/>
                <w:bCs/>
                <w:color w:val="000000"/>
                <w:sz w:val="20"/>
                <w:szCs w:val="18"/>
                <w:vertAlign w:val="superscript"/>
              </w:rPr>
              <w:t>1</w:t>
            </w:r>
          </w:p>
        </w:tc>
      </w:tr>
      <w:tr w:rsidR="00FD27BC" w:rsidRPr="00BD7CEA" w:rsidTr="002A6416">
        <w:tc>
          <w:tcPr>
            <w:tcW w:w="2555" w:type="dxa"/>
            <w:vAlign w:val="center"/>
          </w:tcPr>
          <w:p w:rsidR="00FD27BC" w:rsidRPr="00BD7CEA" w:rsidRDefault="00FD27BC" w:rsidP="00FD27BC">
            <w:pPr>
              <w:rPr>
                <w:rFonts w:cs="Tahoma"/>
                <w:color w:val="000000"/>
                <w:szCs w:val="18"/>
              </w:rPr>
            </w:pPr>
            <w:r w:rsidRPr="00BD7CEA">
              <w:rPr>
                <w:rFonts w:cs="Tahoma"/>
                <w:color w:val="000000"/>
                <w:szCs w:val="18"/>
              </w:rPr>
              <w:t>Valutazione</w:t>
            </w:r>
            <w:r w:rsidRPr="00BD7CEA">
              <w:rPr>
                <w:rFonts w:cs="Tahoma"/>
                <w:b/>
                <w:bCs/>
                <w:color w:val="000000"/>
                <w:sz w:val="20"/>
                <w:szCs w:val="18"/>
              </w:rPr>
              <w:t xml:space="preserve"> </w:t>
            </w:r>
            <w:r w:rsidRPr="00BD7CEA">
              <w:rPr>
                <w:rFonts w:cs="Tahoma"/>
                <w:b/>
                <w:bCs/>
                <w:color w:val="000000"/>
                <w:sz w:val="20"/>
                <w:szCs w:val="18"/>
                <w:vertAlign w:val="superscript"/>
              </w:rPr>
              <w:t>2</w:t>
            </w:r>
          </w:p>
        </w:tc>
        <w:tc>
          <w:tcPr>
            <w:tcW w:w="2215" w:type="dxa"/>
            <w:vAlign w:val="center"/>
          </w:tcPr>
          <w:p w:rsidR="00FD27BC" w:rsidRPr="00BD7CEA" w:rsidRDefault="00FD27BC" w:rsidP="00FD27BC">
            <w:pPr>
              <w:jc w:val="center"/>
              <w:rPr>
                <w:rFonts w:cs="Tahoma"/>
                <w:color w:val="000000"/>
                <w:szCs w:val="18"/>
              </w:rPr>
            </w:pPr>
            <w:r w:rsidRPr="00BD7CEA">
              <w:rPr>
                <w:rFonts w:cs="Tahoma"/>
                <w:color w:val="000000"/>
                <w:szCs w:val="18"/>
              </w:rPr>
              <w:t>Fino al 25% dell</w:t>
            </w:r>
            <w:r w:rsidR="007A1415" w:rsidRPr="00BD7CEA">
              <w:rPr>
                <w:rFonts w:cs="Tahoma"/>
                <w:color w:val="000000"/>
                <w:szCs w:val="18"/>
              </w:rPr>
              <w:t>’</w:t>
            </w:r>
            <w:r w:rsidRPr="00BD7CEA">
              <w:rPr>
                <w:rFonts w:cs="Tahoma"/>
                <w:color w:val="000000"/>
                <w:szCs w:val="18"/>
              </w:rPr>
              <w:t>impegno di un Architect all</w:t>
            </w:r>
            <w:r w:rsidR="007A1415" w:rsidRPr="00BD7CEA">
              <w:rPr>
                <w:rFonts w:cs="Tahoma"/>
                <w:color w:val="000000"/>
                <w:szCs w:val="18"/>
              </w:rPr>
              <w:t>’</w:t>
            </w:r>
            <w:r w:rsidRPr="00BD7CEA">
              <w:rPr>
                <w:rFonts w:cs="Tahoma"/>
                <w:color w:val="000000"/>
                <w:szCs w:val="18"/>
              </w:rPr>
              <w:t>anno</w:t>
            </w:r>
          </w:p>
        </w:tc>
        <w:tc>
          <w:tcPr>
            <w:tcW w:w="2340" w:type="dxa"/>
            <w:vAlign w:val="center"/>
          </w:tcPr>
          <w:p w:rsidR="00FD27BC" w:rsidRPr="00BD7CEA" w:rsidRDefault="00FD27BC" w:rsidP="00FD27BC">
            <w:pPr>
              <w:jc w:val="center"/>
              <w:rPr>
                <w:rFonts w:cs="Tahoma"/>
                <w:color w:val="000000"/>
                <w:szCs w:val="18"/>
              </w:rPr>
            </w:pPr>
            <w:r w:rsidRPr="00BD7CEA">
              <w:rPr>
                <w:rFonts w:cs="Tahoma"/>
                <w:color w:val="000000"/>
                <w:szCs w:val="18"/>
              </w:rPr>
              <w:t>Fino al 25% dell</w:t>
            </w:r>
            <w:r w:rsidR="007A1415" w:rsidRPr="00BD7CEA">
              <w:rPr>
                <w:rFonts w:cs="Tahoma"/>
                <w:color w:val="000000"/>
                <w:szCs w:val="18"/>
              </w:rPr>
              <w:t>’</w:t>
            </w:r>
            <w:r w:rsidRPr="00BD7CEA">
              <w:rPr>
                <w:rFonts w:cs="Tahoma"/>
                <w:color w:val="000000"/>
                <w:szCs w:val="18"/>
              </w:rPr>
              <w:t>impegno di un Architect all</w:t>
            </w:r>
            <w:r w:rsidR="007A1415" w:rsidRPr="00BD7CEA">
              <w:rPr>
                <w:rFonts w:cs="Tahoma"/>
                <w:color w:val="000000"/>
                <w:szCs w:val="18"/>
              </w:rPr>
              <w:t>’</w:t>
            </w:r>
            <w:r w:rsidRPr="00BD7CEA">
              <w:rPr>
                <w:rFonts w:cs="Tahoma"/>
                <w:color w:val="000000"/>
                <w:szCs w:val="18"/>
              </w:rPr>
              <w:t>anno</w:t>
            </w:r>
          </w:p>
        </w:tc>
        <w:tc>
          <w:tcPr>
            <w:tcW w:w="2250" w:type="dxa"/>
            <w:vAlign w:val="center"/>
          </w:tcPr>
          <w:p w:rsidR="00FD27BC" w:rsidRPr="00BD7CEA" w:rsidRDefault="00FD27BC" w:rsidP="00FD27BC">
            <w:pPr>
              <w:jc w:val="center"/>
              <w:rPr>
                <w:rFonts w:cs="Tahoma"/>
                <w:color w:val="000000"/>
                <w:szCs w:val="18"/>
              </w:rPr>
            </w:pPr>
            <w:r w:rsidRPr="00BD7CEA">
              <w:rPr>
                <w:rFonts w:cs="Tahoma"/>
                <w:color w:val="000000"/>
                <w:szCs w:val="18"/>
              </w:rPr>
              <w:t>Fino al 25% dell</w:t>
            </w:r>
            <w:r w:rsidR="007A1415" w:rsidRPr="00BD7CEA">
              <w:rPr>
                <w:rFonts w:cs="Tahoma"/>
                <w:color w:val="000000"/>
                <w:szCs w:val="18"/>
              </w:rPr>
              <w:t>’</w:t>
            </w:r>
            <w:r w:rsidRPr="00BD7CEA">
              <w:rPr>
                <w:rFonts w:cs="Tahoma"/>
                <w:color w:val="000000"/>
                <w:szCs w:val="18"/>
              </w:rPr>
              <w:t>impegno di un Architect all</w:t>
            </w:r>
            <w:r w:rsidR="007A1415" w:rsidRPr="00BD7CEA">
              <w:rPr>
                <w:rFonts w:cs="Tahoma"/>
                <w:color w:val="000000"/>
                <w:szCs w:val="18"/>
              </w:rPr>
              <w:t>’</w:t>
            </w:r>
            <w:r w:rsidRPr="00BD7CEA">
              <w:rPr>
                <w:rFonts w:cs="Tahoma"/>
                <w:color w:val="000000"/>
                <w:szCs w:val="18"/>
              </w:rPr>
              <w:t>anno</w:t>
            </w:r>
          </w:p>
        </w:tc>
      </w:tr>
      <w:tr w:rsidR="00FD27BC" w:rsidRPr="00BD7CEA" w:rsidTr="002A6416">
        <w:tc>
          <w:tcPr>
            <w:tcW w:w="2555" w:type="dxa"/>
            <w:vAlign w:val="center"/>
          </w:tcPr>
          <w:p w:rsidR="00FD27BC" w:rsidRPr="00BD7CEA" w:rsidRDefault="00FD27BC" w:rsidP="00A52C82">
            <w:pPr>
              <w:rPr>
                <w:rFonts w:cs="Tahoma"/>
                <w:color w:val="000000"/>
                <w:szCs w:val="18"/>
              </w:rPr>
            </w:pPr>
            <w:r w:rsidRPr="00BD7CEA">
              <w:rPr>
                <w:rFonts w:cs="Tahoma"/>
                <w:color w:val="000000"/>
                <w:szCs w:val="18"/>
              </w:rPr>
              <w:t>Progetto Enterprise Strategy</w:t>
            </w:r>
            <w:r w:rsidR="00A52C82" w:rsidRPr="00BD7CEA">
              <w:rPr>
                <w:rFonts w:cs="Tahoma"/>
                <w:b/>
                <w:bCs/>
                <w:color w:val="000000"/>
                <w:sz w:val="20"/>
                <w:szCs w:val="18"/>
              </w:rPr>
              <w:t> </w:t>
            </w:r>
            <w:r w:rsidRPr="00BD7CEA">
              <w:rPr>
                <w:rFonts w:cs="Tahoma"/>
                <w:b/>
                <w:bCs/>
                <w:color w:val="000000"/>
                <w:sz w:val="20"/>
                <w:szCs w:val="18"/>
                <w:vertAlign w:val="superscript"/>
              </w:rPr>
              <w:t>2</w:t>
            </w:r>
          </w:p>
        </w:tc>
        <w:tc>
          <w:tcPr>
            <w:tcW w:w="2215" w:type="dxa"/>
            <w:vAlign w:val="center"/>
          </w:tcPr>
          <w:p w:rsidR="00FD27BC" w:rsidRPr="00BD7CEA" w:rsidRDefault="00FD27BC" w:rsidP="00FD27BC">
            <w:pPr>
              <w:jc w:val="center"/>
              <w:rPr>
                <w:rFonts w:cs="Tahoma"/>
                <w:color w:val="000000"/>
                <w:szCs w:val="18"/>
              </w:rPr>
            </w:pPr>
            <w:r w:rsidRPr="00BD7CEA">
              <w:rPr>
                <w:rFonts w:cs="Tahoma"/>
                <w:color w:val="000000"/>
                <w:szCs w:val="18"/>
              </w:rPr>
              <w:t>Fino al 75% dell</w:t>
            </w:r>
            <w:r w:rsidR="007A1415" w:rsidRPr="00BD7CEA">
              <w:rPr>
                <w:rFonts w:cs="Tahoma"/>
                <w:color w:val="000000"/>
                <w:szCs w:val="18"/>
              </w:rPr>
              <w:t>’</w:t>
            </w:r>
            <w:r w:rsidRPr="00BD7CEA">
              <w:rPr>
                <w:rFonts w:cs="Tahoma"/>
                <w:color w:val="000000"/>
                <w:szCs w:val="18"/>
              </w:rPr>
              <w:t>impegno di un Architect all</w:t>
            </w:r>
            <w:r w:rsidR="007A1415" w:rsidRPr="00BD7CEA">
              <w:rPr>
                <w:rFonts w:cs="Tahoma"/>
                <w:color w:val="000000"/>
                <w:szCs w:val="18"/>
              </w:rPr>
              <w:t>’</w:t>
            </w:r>
            <w:r w:rsidRPr="00BD7CEA">
              <w:rPr>
                <w:rFonts w:cs="Tahoma"/>
                <w:color w:val="000000"/>
                <w:szCs w:val="18"/>
              </w:rPr>
              <w:t>anno</w:t>
            </w:r>
          </w:p>
        </w:tc>
        <w:tc>
          <w:tcPr>
            <w:tcW w:w="2340" w:type="dxa"/>
            <w:vAlign w:val="center"/>
          </w:tcPr>
          <w:p w:rsidR="00FD27BC" w:rsidRPr="00BD7CEA" w:rsidRDefault="00FD27BC" w:rsidP="00FD27BC">
            <w:pPr>
              <w:jc w:val="center"/>
              <w:rPr>
                <w:rFonts w:cs="Tahoma"/>
                <w:color w:val="000000"/>
                <w:szCs w:val="18"/>
              </w:rPr>
            </w:pPr>
            <w:r w:rsidRPr="00BD7CEA">
              <w:rPr>
                <w:rFonts w:cs="Tahoma"/>
                <w:color w:val="000000"/>
                <w:szCs w:val="18"/>
              </w:rPr>
              <w:t>Fino al 75% dell</w:t>
            </w:r>
            <w:r w:rsidR="007A1415" w:rsidRPr="00BD7CEA">
              <w:rPr>
                <w:rFonts w:cs="Tahoma"/>
                <w:color w:val="000000"/>
                <w:szCs w:val="18"/>
              </w:rPr>
              <w:t>’</w:t>
            </w:r>
            <w:r w:rsidRPr="00BD7CEA">
              <w:rPr>
                <w:rFonts w:cs="Tahoma"/>
                <w:color w:val="000000"/>
                <w:szCs w:val="18"/>
              </w:rPr>
              <w:t>impegno di un Architect all</w:t>
            </w:r>
            <w:r w:rsidR="007A1415" w:rsidRPr="00BD7CEA">
              <w:rPr>
                <w:rFonts w:cs="Tahoma"/>
                <w:color w:val="000000"/>
                <w:szCs w:val="18"/>
              </w:rPr>
              <w:t>’</w:t>
            </w:r>
            <w:r w:rsidRPr="00BD7CEA">
              <w:rPr>
                <w:rFonts w:cs="Tahoma"/>
                <w:color w:val="000000"/>
                <w:szCs w:val="18"/>
              </w:rPr>
              <w:t>anno</w:t>
            </w:r>
          </w:p>
        </w:tc>
        <w:tc>
          <w:tcPr>
            <w:tcW w:w="2250" w:type="dxa"/>
            <w:vAlign w:val="center"/>
          </w:tcPr>
          <w:p w:rsidR="00FD27BC" w:rsidRPr="00BD7CEA" w:rsidRDefault="00FD27BC" w:rsidP="00FD27BC">
            <w:pPr>
              <w:jc w:val="center"/>
              <w:rPr>
                <w:rFonts w:cs="Tahoma"/>
                <w:color w:val="000000"/>
                <w:szCs w:val="18"/>
              </w:rPr>
            </w:pPr>
            <w:r w:rsidRPr="00BD7CEA">
              <w:rPr>
                <w:rFonts w:cs="Tahoma"/>
                <w:color w:val="000000"/>
                <w:szCs w:val="18"/>
              </w:rPr>
              <w:t>Fino al 75% dell</w:t>
            </w:r>
            <w:r w:rsidR="007A1415" w:rsidRPr="00BD7CEA">
              <w:rPr>
                <w:rFonts w:cs="Tahoma"/>
                <w:color w:val="000000"/>
                <w:szCs w:val="18"/>
              </w:rPr>
              <w:t>’</w:t>
            </w:r>
            <w:r w:rsidRPr="00BD7CEA">
              <w:rPr>
                <w:rFonts w:cs="Tahoma"/>
                <w:color w:val="000000"/>
                <w:szCs w:val="18"/>
              </w:rPr>
              <w:t>impegno di un Architect all</w:t>
            </w:r>
            <w:r w:rsidR="007A1415" w:rsidRPr="00BD7CEA">
              <w:rPr>
                <w:rFonts w:cs="Tahoma"/>
                <w:color w:val="000000"/>
                <w:szCs w:val="18"/>
              </w:rPr>
              <w:t>’</w:t>
            </w:r>
            <w:r w:rsidRPr="00BD7CEA">
              <w:rPr>
                <w:rFonts w:cs="Tahoma"/>
                <w:color w:val="000000"/>
                <w:szCs w:val="18"/>
              </w:rPr>
              <w:t>anno</w:t>
            </w:r>
          </w:p>
        </w:tc>
      </w:tr>
      <w:tr w:rsidR="00FD27BC" w:rsidRPr="00BD7CEA" w:rsidTr="002A6416">
        <w:tc>
          <w:tcPr>
            <w:tcW w:w="2555" w:type="dxa"/>
            <w:vAlign w:val="center"/>
          </w:tcPr>
          <w:p w:rsidR="00FD27BC" w:rsidRPr="00BD7CEA" w:rsidRDefault="00FD27BC" w:rsidP="00FD27BC">
            <w:pPr>
              <w:rPr>
                <w:rFonts w:cs="Tahoma"/>
                <w:color w:val="000000"/>
                <w:szCs w:val="18"/>
              </w:rPr>
            </w:pPr>
            <w:r w:rsidRPr="00BD7CEA">
              <w:rPr>
                <w:rFonts w:cs="Tahoma"/>
                <w:color w:val="000000"/>
                <w:szCs w:val="18"/>
              </w:rPr>
              <w:t>Workshop relativi all</w:t>
            </w:r>
            <w:r w:rsidR="007A1415" w:rsidRPr="00BD7CEA">
              <w:rPr>
                <w:rFonts w:cs="Tahoma"/>
                <w:color w:val="000000"/>
                <w:szCs w:val="18"/>
              </w:rPr>
              <w:t>’</w:t>
            </w:r>
            <w:r w:rsidRPr="00BD7CEA">
              <w:rPr>
                <w:rFonts w:cs="Tahoma"/>
                <w:color w:val="000000"/>
                <w:szCs w:val="18"/>
              </w:rPr>
              <w:t>engagement</w:t>
            </w:r>
          </w:p>
        </w:tc>
        <w:tc>
          <w:tcPr>
            <w:tcW w:w="2215" w:type="dxa"/>
            <w:vAlign w:val="center"/>
          </w:tcPr>
          <w:p w:rsidR="00FD27BC" w:rsidRPr="00BD7CEA" w:rsidRDefault="00FD27BC" w:rsidP="00FD27BC">
            <w:pPr>
              <w:jc w:val="center"/>
              <w:rPr>
                <w:rFonts w:cs="Tahoma"/>
                <w:color w:val="000000"/>
                <w:szCs w:val="18"/>
              </w:rPr>
            </w:pPr>
            <w:r w:rsidRPr="00BD7CEA">
              <w:rPr>
                <w:rFonts w:cs="Tahoma"/>
                <w:color w:val="000000"/>
                <w:szCs w:val="18"/>
              </w:rPr>
              <w:t>Fino a 1 all</w:t>
            </w:r>
            <w:r w:rsidR="007A1415" w:rsidRPr="00BD7CEA">
              <w:rPr>
                <w:rFonts w:cs="Tahoma"/>
                <w:color w:val="000000"/>
                <w:szCs w:val="18"/>
              </w:rPr>
              <w:t>’</w:t>
            </w:r>
            <w:r w:rsidRPr="00BD7CEA">
              <w:rPr>
                <w:rFonts w:cs="Tahoma"/>
                <w:color w:val="000000"/>
                <w:szCs w:val="18"/>
              </w:rPr>
              <w:t>anno</w:t>
            </w:r>
          </w:p>
        </w:tc>
        <w:tc>
          <w:tcPr>
            <w:tcW w:w="2340" w:type="dxa"/>
            <w:vAlign w:val="center"/>
          </w:tcPr>
          <w:p w:rsidR="00FD27BC" w:rsidRPr="00BD7CEA" w:rsidRDefault="00FD27BC" w:rsidP="00FD27BC">
            <w:pPr>
              <w:jc w:val="center"/>
              <w:rPr>
                <w:rFonts w:cs="Tahoma"/>
                <w:color w:val="000000"/>
                <w:szCs w:val="18"/>
              </w:rPr>
            </w:pPr>
            <w:r w:rsidRPr="00BD7CEA">
              <w:rPr>
                <w:rFonts w:cs="Tahoma"/>
                <w:color w:val="000000"/>
                <w:szCs w:val="18"/>
              </w:rPr>
              <w:t>Fino a 2 all</w:t>
            </w:r>
            <w:r w:rsidR="007A1415" w:rsidRPr="00BD7CEA">
              <w:rPr>
                <w:rFonts w:cs="Tahoma"/>
                <w:color w:val="000000"/>
                <w:szCs w:val="18"/>
              </w:rPr>
              <w:t>’</w:t>
            </w:r>
            <w:r w:rsidRPr="00BD7CEA">
              <w:rPr>
                <w:rFonts w:cs="Tahoma"/>
                <w:color w:val="000000"/>
                <w:szCs w:val="18"/>
              </w:rPr>
              <w:t>anno</w:t>
            </w:r>
          </w:p>
        </w:tc>
        <w:tc>
          <w:tcPr>
            <w:tcW w:w="2250" w:type="dxa"/>
            <w:vAlign w:val="center"/>
          </w:tcPr>
          <w:p w:rsidR="00FD27BC" w:rsidRPr="00BD7CEA" w:rsidRDefault="00FD27BC" w:rsidP="00FD27BC">
            <w:pPr>
              <w:spacing w:before="120"/>
              <w:jc w:val="center"/>
              <w:rPr>
                <w:rFonts w:cs="Tahoma"/>
                <w:color w:val="000000"/>
                <w:szCs w:val="18"/>
              </w:rPr>
            </w:pPr>
            <w:r w:rsidRPr="00BD7CEA">
              <w:t>Fino a 4 all</w:t>
            </w:r>
            <w:r w:rsidR="007A1415" w:rsidRPr="00BD7CEA">
              <w:t>’</w:t>
            </w:r>
            <w:r w:rsidRPr="00BD7CEA">
              <w:t>anno</w:t>
            </w:r>
          </w:p>
        </w:tc>
      </w:tr>
      <w:tr w:rsidR="00FD27BC" w:rsidRPr="00BD7CEA" w:rsidTr="002A6416">
        <w:tc>
          <w:tcPr>
            <w:tcW w:w="2555" w:type="dxa"/>
            <w:vAlign w:val="center"/>
          </w:tcPr>
          <w:p w:rsidR="00FD27BC" w:rsidRPr="00BD7CEA" w:rsidRDefault="00FD27BC" w:rsidP="00FD27BC">
            <w:pPr>
              <w:rPr>
                <w:rFonts w:cs="Tahoma"/>
                <w:color w:val="000000"/>
                <w:szCs w:val="18"/>
              </w:rPr>
            </w:pPr>
            <w:r w:rsidRPr="00BD7CEA">
              <w:rPr>
                <w:rFonts w:cs="Tahoma"/>
                <w:color w:val="000000"/>
                <w:szCs w:val="18"/>
              </w:rPr>
              <w:t>Enterprise Strategy Network</w:t>
            </w:r>
          </w:p>
        </w:tc>
        <w:tc>
          <w:tcPr>
            <w:tcW w:w="2215" w:type="dxa"/>
            <w:vAlign w:val="center"/>
          </w:tcPr>
          <w:p w:rsidR="00FD27BC" w:rsidRPr="00BD7CEA" w:rsidRDefault="00FD27BC" w:rsidP="00FD27BC">
            <w:pPr>
              <w:jc w:val="center"/>
              <w:rPr>
                <w:rFonts w:ascii="MS UI Gothic" w:eastAsia="MS UI Gothic" w:hAnsi="MS UI Gothic" w:cs="MS UI Gothic"/>
                <w:color w:val="000000"/>
                <w:szCs w:val="18"/>
              </w:rPr>
            </w:pPr>
            <w:r w:rsidRPr="00BD7CEA">
              <w:rPr>
                <w:rFonts w:ascii="MS UI Gothic" w:eastAsia="MS UI Gothic" w:hAnsi="MS UI Gothic" w:cs="MS UI Gothic"/>
                <w:color w:val="000000"/>
                <w:szCs w:val="18"/>
              </w:rPr>
              <w:t>✓</w:t>
            </w:r>
          </w:p>
        </w:tc>
        <w:tc>
          <w:tcPr>
            <w:tcW w:w="2340" w:type="dxa"/>
            <w:vAlign w:val="center"/>
          </w:tcPr>
          <w:p w:rsidR="00FD27BC" w:rsidRPr="00BD7CEA" w:rsidRDefault="00FD27BC" w:rsidP="00FD27BC">
            <w:pPr>
              <w:jc w:val="center"/>
              <w:rPr>
                <w:rFonts w:ascii="MS UI Gothic" w:eastAsia="MS UI Gothic" w:hAnsi="MS UI Gothic" w:cs="MS UI Gothic"/>
                <w:color w:val="000000"/>
                <w:szCs w:val="18"/>
              </w:rPr>
            </w:pPr>
            <w:r w:rsidRPr="00BD7CEA">
              <w:rPr>
                <w:rFonts w:ascii="MS UI Gothic" w:eastAsia="MS UI Gothic" w:hAnsi="MS UI Gothic" w:cs="MS UI Gothic"/>
                <w:color w:val="000000"/>
                <w:szCs w:val="18"/>
              </w:rPr>
              <w:t>✓</w:t>
            </w:r>
          </w:p>
        </w:tc>
        <w:tc>
          <w:tcPr>
            <w:tcW w:w="2250" w:type="dxa"/>
            <w:vAlign w:val="center"/>
          </w:tcPr>
          <w:p w:rsidR="00FD27BC" w:rsidRPr="00BD7CEA" w:rsidRDefault="00FD27BC" w:rsidP="00FD27BC">
            <w:pPr>
              <w:jc w:val="center"/>
              <w:rPr>
                <w:rFonts w:ascii="MS UI Gothic" w:eastAsia="MS UI Gothic" w:hAnsi="MS UI Gothic" w:cs="MS UI Gothic"/>
              </w:rPr>
            </w:pPr>
            <w:r w:rsidRPr="00BD7CEA">
              <w:rPr>
                <w:rFonts w:ascii="MS UI Gothic" w:eastAsia="MS UI Gothic" w:hAnsi="MS UI Gothic" w:cs="MS UI Gothic"/>
                <w:color w:val="000000"/>
                <w:szCs w:val="18"/>
              </w:rPr>
              <w:t>✓</w:t>
            </w:r>
          </w:p>
        </w:tc>
      </w:tr>
      <w:tr w:rsidR="00FD27BC" w:rsidRPr="00BD7CEA" w:rsidTr="002A6416">
        <w:tc>
          <w:tcPr>
            <w:tcW w:w="2555" w:type="dxa"/>
            <w:vAlign w:val="center"/>
          </w:tcPr>
          <w:p w:rsidR="00FD27BC" w:rsidRPr="00BD7CEA" w:rsidRDefault="00FD27BC" w:rsidP="00FD27BC">
            <w:pPr>
              <w:rPr>
                <w:rFonts w:cs="Tahoma"/>
                <w:color w:val="000000"/>
                <w:szCs w:val="18"/>
              </w:rPr>
            </w:pPr>
            <w:r w:rsidRPr="00BD7CEA">
              <w:rPr>
                <w:rFonts w:cs="Tahoma"/>
                <w:color w:val="000000"/>
                <w:szCs w:val="18"/>
              </w:rPr>
              <w:t>Enterprise Strategy Library</w:t>
            </w:r>
          </w:p>
        </w:tc>
        <w:tc>
          <w:tcPr>
            <w:tcW w:w="2215" w:type="dxa"/>
            <w:vAlign w:val="center"/>
          </w:tcPr>
          <w:p w:rsidR="00FD27BC" w:rsidRPr="00BD7CEA" w:rsidRDefault="00FD27BC" w:rsidP="00FD27BC">
            <w:pPr>
              <w:jc w:val="center"/>
              <w:rPr>
                <w:rFonts w:ascii="MS UI Gothic" w:eastAsia="MS UI Gothic" w:hAnsi="MS UI Gothic" w:cs="MS UI Gothic"/>
                <w:color w:val="000000"/>
                <w:szCs w:val="18"/>
              </w:rPr>
            </w:pPr>
            <w:r w:rsidRPr="00BD7CEA">
              <w:rPr>
                <w:rFonts w:ascii="MS UI Gothic" w:eastAsia="MS UI Gothic" w:hAnsi="MS UI Gothic" w:cs="MS UI Gothic"/>
                <w:color w:val="000000"/>
                <w:szCs w:val="18"/>
              </w:rPr>
              <w:t>✓</w:t>
            </w:r>
          </w:p>
        </w:tc>
        <w:tc>
          <w:tcPr>
            <w:tcW w:w="2340" w:type="dxa"/>
            <w:vAlign w:val="center"/>
          </w:tcPr>
          <w:p w:rsidR="00FD27BC" w:rsidRPr="00BD7CEA" w:rsidRDefault="00FD27BC" w:rsidP="00FD27BC">
            <w:pPr>
              <w:jc w:val="center"/>
              <w:rPr>
                <w:rFonts w:ascii="MS UI Gothic" w:eastAsia="MS UI Gothic" w:hAnsi="MS UI Gothic" w:cs="MS UI Gothic"/>
                <w:color w:val="000000"/>
                <w:szCs w:val="18"/>
              </w:rPr>
            </w:pPr>
            <w:r w:rsidRPr="00BD7CEA">
              <w:rPr>
                <w:rFonts w:ascii="MS UI Gothic" w:eastAsia="MS UI Gothic" w:hAnsi="MS UI Gothic" w:cs="MS UI Gothic"/>
                <w:color w:val="000000"/>
                <w:szCs w:val="18"/>
              </w:rPr>
              <w:t>✓</w:t>
            </w:r>
          </w:p>
        </w:tc>
        <w:tc>
          <w:tcPr>
            <w:tcW w:w="2250" w:type="dxa"/>
            <w:vAlign w:val="center"/>
          </w:tcPr>
          <w:p w:rsidR="00FD27BC" w:rsidRPr="00BD7CEA" w:rsidRDefault="00FD27BC" w:rsidP="00FD27BC">
            <w:pPr>
              <w:jc w:val="center"/>
              <w:rPr>
                <w:rFonts w:ascii="MS UI Gothic" w:eastAsia="MS UI Gothic" w:hAnsi="MS UI Gothic" w:cs="MS UI Gothic"/>
              </w:rPr>
            </w:pPr>
            <w:r w:rsidRPr="00BD7CEA">
              <w:rPr>
                <w:rFonts w:ascii="MS UI Gothic" w:eastAsia="MS UI Gothic" w:hAnsi="MS UI Gothic" w:cs="MS UI Gothic"/>
                <w:color w:val="000000"/>
                <w:szCs w:val="18"/>
              </w:rPr>
              <w:t>✓</w:t>
            </w:r>
          </w:p>
        </w:tc>
      </w:tr>
      <w:tr w:rsidR="00FD27BC" w:rsidRPr="00BD7CEA" w:rsidTr="002A6416">
        <w:tc>
          <w:tcPr>
            <w:tcW w:w="2555" w:type="dxa"/>
            <w:vAlign w:val="center"/>
          </w:tcPr>
          <w:p w:rsidR="00FD27BC" w:rsidRPr="00BD7CEA" w:rsidRDefault="00FD27BC" w:rsidP="00FD27BC">
            <w:pPr>
              <w:rPr>
                <w:rFonts w:cs="Tahoma"/>
                <w:color w:val="000000"/>
                <w:szCs w:val="18"/>
              </w:rPr>
            </w:pPr>
            <w:r w:rsidRPr="00BD7CEA">
              <w:rPr>
                <w:rFonts w:cs="Tahoma"/>
                <w:color w:val="000000"/>
                <w:szCs w:val="18"/>
              </w:rPr>
              <w:t>Briefing strategici</w:t>
            </w:r>
          </w:p>
        </w:tc>
        <w:tc>
          <w:tcPr>
            <w:tcW w:w="2215" w:type="dxa"/>
            <w:vAlign w:val="center"/>
          </w:tcPr>
          <w:p w:rsidR="00FD27BC" w:rsidRPr="00BD7CEA" w:rsidRDefault="00FD27BC" w:rsidP="00FD27BC">
            <w:pPr>
              <w:jc w:val="center"/>
              <w:rPr>
                <w:rFonts w:ascii="MS UI Gothic" w:eastAsia="MS UI Gothic" w:hAnsi="MS UI Gothic" w:cs="MS UI Gothic"/>
                <w:color w:val="000000"/>
                <w:szCs w:val="18"/>
              </w:rPr>
            </w:pPr>
            <w:r w:rsidRPr="00BD7CEA">
              <w:rPr>
                <w:rFonts w:ascii="MS UI Gothic" w:eastAsia="MS UI Gothic" w:hAnsi="MS UI Gothic" w:cs="MS UI Gothic"/>
                <w:color w:val="000000"/>
                <w:szCs w:val="18"/>
              </w:rPr>
              <w:t>✓</w:t>
            </w:r>
          </w:p>
        </w:tc>
        <w:tc>
          <w:tcPr>
            <w:tcW w:w="2340" w:type="dxa"/>
            <w:vAlign w:val="center"/>
          </w:tcPr>
          <w:p w:rsidR="00FD27BC" w:rsidRPr="00BD7CEA" w:rsidRDefault="00FD27BC" w:rsidP="00FD27BC">
            <w:pPr>
              <w:jc w:val="center"/>
              <w:rPr>
                <w:rFonts w:cs="Tahoma"/>
                <w:color w:val="000000"/>
                <w:szCs w:val="18"/>
              </w:rPr>
            </w:pPr>
            <w:r w:rsidRPr="00BD7CEA">
              <w:rPr>
                <w:rFonts w:ascii="MS UI Gothic" w:eastAsia="MS UI Gothic" w:hAnsi="MS UI Gothic" w:cs="MS UI Gothic"/>
                <w:color w:val="000000"/>
                <w:szCs w:val="18"/>
              </w:rPr>
              <w:t>✓</w:t>
            </w:r>
          </w:p>
        </w:tc>
        <w:tc>
          <w:tcPr>
            <w:tcW w:w="2250" w:type="dxa"/>
            <w:vAlign w:val="center"/>
          </w:tcPr>
          <w:p w:rsidR="00FD27BC" w:rsidRPr="00BD7CEA" w:rsidRDefault="00FD27BC" w:rsidP="00FD27BC">
            <w:pPr>
              <w:jc w:val="center"/>
              <w:rPr>
                <w:rFonts w:cs="Tahoma"/>
                <w:color w:val="000000"/>
                <w:szCs w:val="18"/>
              </w:rPr>
            </w:pPr>
            <w:r w:rsidRPr="00BD7CEA">
              <w:rPr>
                <w:rFonts w:ascii="MS UI Gothic" w:eastAsia="MS UI Gothic" w:hAnsi="MS UI Gothic" w:cs="MS UI Gothic"/>
              </w:rPr>
              <w:t>✓</w:t>
            </w:r>
          </w:p>
        </w:tc>
      </w:tr>
      <w:tr w:rsidR="009B78AB" w:rsidRPr="00BD7CEA" w:rsidTr="002A6416">
        <w:tc>
          <w:tcPr>
            <w:tcW w:w="2555" w:type="dxa"/>
            <w:vAlign w:val="center"/>
          </w:tcPr>
          <w:p w:rsidR="009B78AB" w:rsidRPr="00BD7CEA" w:rsidRDefault="009B78AB" w:rsidP="009B78AB">
            <w:pPr>
              <w:rPr>
                <w:rFonts w:cs="Tahoma"/>
                <w:color w:val="000000"/>
                <w:szCs w:val="18"/>
              </w:rPr>
            </w:pPr>
            <w:r w:rsidRPr="00BD7CEA">
              <w:rPr>
                <w:rFonts w:cs="Tahoma"/>
                <w:color w:val="000000"/>
                <w:szCs w:val="18"/>
              </w:rPr>
              <w:t>Enterprise Strategy Forum</w:t>
            </w:r>
          </w:p>
        </w:tc>
        <w:tc>
          <w:tcPr>
            <w:tcW w:w="2215" w:type="dxa"/>
            <w:vAlign w:val="center"/>
          </w:tcPr>
          <w:p w:rsidR="009B78AB" w:rsidRPr="00BD7CEA" w:rsidRDefault="009B78AB" w:rsidP="00FD27BC">
            <w:pPr>
              <w:jc w:val="center"/>
              <w:rPr>
                <w:rFonts w:cs="Tahoma"/>
                <w:color w:val="000000"/>
                <w:szCs w:val="18"/>
              </w:rPr>
            </w:pPr>
          </w:p>
        </w:tc>
        <w:tc>
          <w:tcPr>
            <w:tcW w:w="2340" w:type="dxa"/>
            <w:vAlign w:val="center"/>
          </w:tcPr>
          <w:p w:rsidR="009B78AB" w:rsidRPr="00BD7CEA" w:rsidRDefault="009B78AB" w:rsidP="00FD27BC">
            <w:pPr>
              <w:jc w:val="center"/>
              <w:rPr>
                <w:rFonts w:cs="Tahoma"/>
                <w:color w:val="000000"/>
                <w:szCs w:val="18"/>
              </w:rPr>
            </w:pPr>
            <w:r w:rsidRPr="00BD7CEA">
              <w:rPr>
                <w:rFonts w:ascii="MS UI Gothic" w:eastAsia="MS UI Gothic" w:hAnsi="MS UI Gothic" w:cs="MS UI Gothic"/>
                <w:color w:val="000000"/>
                <w:szCs w:val="18"/>
              </w:rPr>
              <w:t>✓</w:t>
            </w:r>
          </w:p>
        </w:tc>
        <w:tc>
          <w:tcPr>
            <w:tcW w:w="2250" w:type="dxa"/>
            <w:vAlign w:val="center"/>
          </w:tcPr>
          <w:p w:rsidR="009B78AB" w:rsidRPr="00BD7CEA" w:rsidRDefault="009B78AB" w:rsidP="00FD27BC">
            <w:pPr>
              <w:jc w:val="center"/>
              <w:rPr>
                <w:rFonts w:cs="Tahoma"/>
                <w:color w:val="000000"/>
                <w:szCs w:val="18"/>
              </w:rPr>
            </w:pPr>
            <w:r w:rsidRPr="00BD7CEA">
              <w:rPr>
                <w:rFonts w:ascii="MS UI Gothic" w:eastAsia="MS UI Gothic" w:hAnsi="MS UI Gothic" w:cs="MS UI Gothic"/>
                <w:color w:val="000000"/>
                <w:szCs w:val="18"/>
              </w:rPr>
              <w:t>✓</w:t>
            </w:r>
          </w:p>
        </w:tc>
      </w:tr>
      <w:tr w:rsidR="00FD27BC" w:rsidRPr="00BD7CEA" w:rsidTr="002A6416">
        <w:tc>
          <w:tcPr>
            <w:tcW w:w="2555" w:type="dxa"/>
            <w:vAlign w:val="center"/>
          </w:tcPr>
          <w:p w:rsidR="00FD27BC" w:rsidRPr="00BD7CEA" w:rsidRDefault="00FD27BC" w:rsidP="009B78AB">
            <w:pPr>
              <w:rPr>
                <w:rFonts w:cs="Tahoma"/>
                <w:color w:val="000000"/>
                <w:szCs w:val="18"/>
              </w:rPr>
            </w:pPr>
            <w:r w:rsidRPr="00BD7CEA">
              <w:rPr>
                <w:rFonts w:cs="Tahoma"/>
                <w:color w:val="000000"/>
                <w:szCs w:val="18"/>
              </w:rPr>
              <w:t>Componente Aggiuntivo Enterprise Strategy Capacity</w:t>
            </w:r>
          </w:p>
        </w:tc>
        <w:tc>
          <w:tcPr>
            <w:tcW w:w="2215" w:type="dxa"/>
            <w:vAlign w:val="center"/>
          </w:tcPr>
          <w:p w:rsidR="00FD27BC" w:rsidRPr="00BD7CEA" w:rsidRDefault="00FD27BC" w:rsidP="00FD27BC">
            <w:pPr>
              <w:jc w:val="center"/>
              <w:rPr>
                <w:rFonts w:ascii="MS UI Gothic" w:eastAsia="MS UI Gothic" w:hAnsi="MS UI Gothic" w:cs="MS UI Gothic"/>
                <w:color w:val="000000"/>
                <w:szCs w:val="18"/>
              </w:rPr>
            </w:pPr>
            <w:r w:rsidRPr="00BD7CEA">
              <w:rPr>
                <w:rFonts w:cs="Tahoma"/>
                <w:color w:val="000000"/>
                <w:szCs w:val="18"/>
              </w:rPr>
              <w:t>200 ore</w:t>
            </w:r>
          </w:p>
        </w:tc>
        <w:tc>
          <w:tcPr>
            <w:tcW w:w="2340" w:type="dxa"/>
            <w:vAlign w:val="center"/>
          </w:tcPr>
          <w:p w:rsidR="00FD27BC" w:rsidRPr="00BD7CEA" w:rsidRDefault="00FD27BC" w:rsidP="00FD27BC">
            <w:pPr>
              <w:jc w:val="center"/>
              <w:rPr>
                <w:rFonts w:ascii="MS UI Gothic" w:eastAsia="MS UI Gothic" w:hAnsi="MS UI Gothic" w:cs="MS UI Gothic"/>
                <w:color w:val="000000"/>
                <w:szCs w:val="18"/>
              </w:rPr>
            </w:pPr>
            <w:r w:rsidRPr="00BD7CEA">
              <w:rPr>
                <w:rFonts w:cs="Tahoma"/>
                <w:color w:val="000000"/>
                <w:szCs w:val="18"/>
              </w:rPr>
              <w:t>200 ore</w:t>
            </w:r>
          </w:p>
        </w:tc>
        <w:tc>
          <w:tcPr>
            <w:tcW w:w="2250" w:type="dxa"/>
            <w:vAlign w:val="center"/>
          </w:tcPr>
          <w:p w:rsidR="00FD27BC" w:rsidRPr="00BD7CEA" w:rsidRDefault="00FD27BC" w:rsidP="00FD27BC">
            <w:pPr>
              <w:jc w:val="center"/>
              <w:rPr>
                <w:rFonts w:ascii="MS UI Gothic" w:eastAsia="MS UI Gothic" w:hAnsi="MS UI Gothic" w:cs="MS UI Gothic"/>
              </w:rPr>
            </w:pPr>
            <w:r w:rsidRPr="00BD7CEA">
              <w:rPr>
                <w:rFonts w:cs="Tahoma"/>
                <w:color w:val="000000"/>
                <w:szCs w:val="18"/>
              </w:rPr>
              <w:t>200 ore</w:t>
            </w:r>
          </w:p>
        </w:tc>
      </w:tr>
    </w:tbl>
    <w:p w:rsidR="009B78AB" w:rsidRPr="00BD7CEA" w:rsidRDefault="00415DDA" w:rsidP="00DD7F8E">
      <w:r w:rsidRPr="00BD7CEA">
        <w:rPr>
          <w:rFonts w:cs="Tahoma"/>
          <w:b/>
          <w:bCs/>
          <w:color w:val="000000"/>
          <w:sz w:val="20"/>
          <w:szCs w:val="18"/>
          <w:vertAlign w:val="superscript"/>
        </w:rPr>
        <w:t>1</w:t>
      </w:r>
      <w:r w:rsidRPr="00BD7CEA">
        <w:rPr>
          <w:rFonts w:cs="Tahoma"/>
          <w:b/>
          <w:bCs/>
          <w:i/>
          <w:color w:val="000000"/>
          <w:sz w:val="20"/>
          <w:szCs w:val="18"/>
          <w:vertAlign w:val="superscript"/>
        </w:rPr>
        <w:t xml:space="preserve"> </w:t>
      </w:r>
      <w:r w:rsidRPr="00BD7CEA">
        <w:rPr>
          <w:rFonts w:eastAsia="Times New Roman" w:cs="Tahoma"/>
          <w:i/>
          <w:sz w:val="16"/>
          <w:szCs w:val="20"/>
        </w:rPr>
        <w:t>Un programma Enterprise Strategy Connect implica fino a 400 ore di lavoro. Un programma Enterprise Strategy Foundation implica fino a 800 ore di lavoro. Un programma Enterprise Strategy Portfolio implica fino a 1600 ore di lavoro. Le risorse Microsoft che offrono il lavoro sono personalizzate in base alle esigenze specifiche delle società e includono una combinazione di risorse Enterprise Architects ed Enterprise Strategy Network.</w:t>
      </w:r>
    </w:p>
    <w:p w:rsidR="009B78AB" w:rsidRPr="00BD7CEA" w:rsidRDefault="009B78AB" w:rsidP="00DD7F8E">
      <w:pPr>
        <w:rPr>
          <w:b/>
          <w:i/>
          <w:sz w:val="20"/>
          <w:szCs w:val="20"/>
          <w:vertAlign w:val="superscript"/>
        </w:rPr>
      </w:pPr>
    </w:p>
    <w:p w:rsidR="00DD7F8E" w:rsidRPr="00BD7CEA" w:rsidRDefault="009B78AB" w:rsidP="00DD7F8E">
      <w:r w:rsidRPr="00BD7CEA">
        <w:rPr>
          <w:rFonts w:cs="Tahoma"/>
          <w:b/>
          <w:bCs/>
          <w:i/>
          <w:color w:val="000000"/>
          <w:sz w:val="20"/>
          <w:szCs w:val="18"/>
          <w:vertAlign w:val="superscript"/>
        </w:rPr>
        <w:t>2</w:t>
      </w:r>
      <w:r w:rsidRPr="00BD7CEA">
        <w:rPr>
          <w:rFonts w:eastAsia="Times New Roman" w:cs="Tahoma"/>
          <w:i/>
          <w:sz w:val="16"/>
          <w:szCs w:val="20"/>
        </w:rPr>
        <w:t>La quantità effettiva di impegno è concordata tra Microsoft e la Società</w:t>
      </w:r>
    </w:p>
    <w:p w:rsidR="00415DDA" w:rsidRPr="00BD7CEA" w:rsidRDefault="00415DDA" w:rsidP="00DD7F8E">
      <w:pPr>
        <w:rPr>
          <w:b/>
          <w:i/>
          <w:sz w:val="16"/>
          <w:szCs w:val="16"/>
          <w:vertAlign w:val="superscript"/>
        </w:rPr>
      </w:pPr>
    </w:p>
    <w:p w:rsidR="00DD7F8E" w:rsidRPr="00BD7CEA" w:rsidRDefault="00DD7F8E" w:rsidP="00E77F1E">
      <w:pPr>
        <w:spacing w:after="60"/>
      </w:pPr>
      <w:r w:rsidRPr="00BD7CEA">
        <w:rPr>
          <w:rFonts w:cs="Arial"/>
          <w:b/>
        </w:rPr>
        <w:t xml:space="preserve">Enterprise Architect: </w:t>
      </w:r>
    </w:p>
    <w:p w:rsidR="00DD7F8E" w:rsidRPr="00BD7CEA" w:rsidRDefault="00DD7F8E" w:rsidP="007358C5">
      <w:pPr>
        <w:numPr>
          <w:ilvl w:val="0"/>
          <w:numId w:val="74"/>
        </w:numPr>
        <w:spacing w:after="60"/>
        <w:ind w:left="1440"/>
      </w:pPr>
      <w:r w:rsidRPr="00BD7CEA">
        <w:rPr>
          <w:rFonts w:eastAsia="Times New Roman" w:cs="Tahoma"/>
          <w:szCs w:val="20"/>
        </w:rPr>
        <w:t>Lavorerà a stretto contatto con la Società per sviluppare un Piano di Erogazione dei Servizi di</w:t>
      </w:r>
      <w:r w:rsidR="00A52C82" w:rsidRPr="00BD7CEA">
        <w:rPr>
          <w:rFonts w:eastAsia="Times New Roman" w:cs="Tahoma"/>
          <w:szCs w:val="20"/>
        </w:rPr>
        <w:t> </w:t>
      </w:r>
      <w:r w:rsidRPr="00BD7CEA">
        <w:rPr>
          <w:rFonts w:eastAsia="Times New Roman" w:cs="Tahoma"/>
          <w:szCs w:val="20"/>
        </w:rPr>
        <w:t>Architettura da implementare, nel quale verranno definiti obiettivi e milestone e verranno stabiliti</w:t>
      </w:r>
      <w:r w:rsidR="00A52C82" w:rsidRPr="00BD7CEA">
        <w:rPr>
          <w:rFonts w:eastAsia="Times New Roman" w:cs="Tahoma"/>
          <w:szCs w:val="20"/>
        </w:rPr>
        <w:t> </w:t>
      </w:r>
      <w:r w:rsidRPr="00BD7CEA">
        <w:rPr>
          <w:rFonts w:eastAsia="Times New Roman" w:cs="Tahoma"/>
          <w:szCs w:val="20"/>
        </w:rPr>
        <w:t>processi, dati e regole che consentiranno di tenere traccia dei progressi conseguiti.</w:t>
      </w:r>
      <w:r w:rsidR="008D782D" w:rsidRPr="00BD7CEA">
        <w:rPr>
          <w:rFonts w:eastAsia="Times New Roman" w:cs="Tahoma"/>
          <w:szCs w:val="20"/>
        </w:rPr>
        <w:t xml:space="preserve"> </w:t>
      </w:r>
    </w:p>
    <w:p w:rsidR="00DD7F8E" w:rsidRPr="00BD7CEA" w:rsidRDefault="00DD7F8E" w:rsidP="007358C5">
      <w:pPr>
        <w:numPr>
          <w:ilvl w:val="0"/>
          <w:numId w:val="74"/>
        </w:numPr>
        <w:spacing w:after="60"/>
        <w:ind w:left="1440"/>
      </w:pPr>
      <w:r w:rsidRPr="00BD7CEA">
        <w:rPr>
          <w:rFonts w:eastAsia="Times New Roman" w:cs="Tahoma"/>
          <w:szCs w:val="20"/>
        </w:rPr>
        <w:t>Presenterà inoltre aggiornamenti mensili dello stato relativi ai progressi conseguiti dalla Società rispetto al piano prestabilito.</w:t>
      </w:r>
    </w:p>
    <w:p w:rsidR="00415DDA" w:rsidRPr="00BD7CEA" w:rsidRDefault="00415DDA" w:rsidP="007358C5">
      <w:pPr>
        <w:numPr>
          <w:ilvl w:val="0"/>
          <w:numId w:val="74"/>
        </w:numPr>
        <w:spacing w:after="60"/>
        <w:ind w:left="1440"/>
      </w:pPr>
      <w:r w:rsidRPr="00BD7CEA">
        <w:rPr>
          <w:rFonts w:cs="Tahoma"/>
        </w:rPr>
        <w:t>Gestirà l</w:t>
      </w:r>
      <w:r w:rsidR="007A1415" w:rsidRPr="00BD7CEA">
        <w:rPr>
          <w:rFonts w:cs="Tahoma"/>
        </w:rPr>
        <w:t>’</w:t>
      </w:r>
      <w:r w:rsidRPr="00BD7CEA">
        <w:rPr>
          <w:rFonts w:cs="Tahoma"/>
        </w:rPr>
        <w:t>accesso alla Microsoft Enterprise Strategy Network.</w:t>
      </w:r>
    </w:p>
    <w:p w:rsidR="00E03856" w:rsidRPr="00BD7CEA" w:rsidRDefault="00E03856"/>
    <w:p w:rsidR="00DD7F8E" w:rsidRPr="00BD7CEA" w:rsidRDefault="00DD7F8E" w:rsidP="00DD7F8E">
      <w:pPr>
        <w:spacing w:after="60"/>
      </w:pPr>
      <w:r w:rsidRPr="00BD7CEA">
        <w:rPr>
          <w:rFonts w:cs="Arial"/>
          <w:b/>
        </w:rPr>
        <w:t>Valutazione:</w:t>
      </w:r>
    </w:p>
    <w:p w:rsidR="00DD7F8E" w:rsidRPr="00BD7CEA" w:rsidRDefault="00DD7F8E" w:rsidP="007358C5">
      <w:pPr>
        <w:numPr>
          <w:ilvl w:val="0"/>
          <w:numId w:val="75"/>
        </w:numPr>
        <w:spacing w:after="60"/>
        <w:ind w:left="1440"/>
      </w:pPr>
      <w:r w:rsidRPr="00BD7CEA">
        <w:rPr>
          <w:rFonts w:eastAsia="Times New Roman" w:cs="Tahoma"/>
          <w:szCs w:val="20"/>
        </w:rPr>
        <w:t>Identifica le opportunità a livello IT allineabili agli obiettivi aziendali della Società.</w:t>
      </w:r>
    </w:p>
    <w:p w:rsidR="00DD7F8E" w:rsidRPr="00BD7CEA" w:rsidRDefault="005F0406" w:rsidP="007358C5">
      <w:pPr>
        <w:numPr>
          <w:ilvl w:val="0"/>
          <w:numId w:val="75"/>
        </w:numPr>
        <w:spacing w:after="60"/>
        <w:ind w:left="1440"/>
      </w:pPr>
      <w:r w:rsidRPr="00BD7CEA">
        <w:rPr>
          <w:rFonts w:eastAsia="Times New Roman" w:cs="Tahoma"/>
          <w:szCs w:val="20"/>
        </w:rPr>
        <w:t>Stabilisce i contesti aziendali e architetturali precedenti alla progettazione relativamente ai servizi IT e ai gruppi aziendali interessati, allo scopo di individuare le dipendenze e definire attività e costi che giustifichino l</w:t>
      </w:r>
      <w:r w:rsidR="007A1415" w:rsidRPr="00BD7CEA">
        <w:rPr>
          <w:rFonts w:eastAsia="Times New Roman" w:cs="Tahoma"/>
          <w:szCs w:val="20"/>
        </w:rPr>
        <w:t>’</w:t>
      </w:r>
      <w:r w:rsidRPr="00BD7CEA">
        <w:rPr>
          <w:rFonts w:eastAsia="Times New Roman" w:cs="Tahoma"/>
          <w:szCs w:val="20"/>
        </w:rPr>
        <w:t>ulteriore pianificazione.</w:t>
      </w:r>
    </w:p>
    <w:p w:rsidR="00DD7F8E" w:rsidRPr="00BD7CEA" w:rsidRDefault="00DD7F8E" w:rsidP="007358C5">
      <w:pPr>
        <w:numPr>
          <w:ilvl w:val="0"/>
          <w:numId w:val="75"/>
        </w:numPr>
        <w:spacing w:after="60"/>
        <w:ind w:left="1440"/>
      </w:pPr>
      <w:r w:rsidRPr="00BD7CEA">
        <w:rPr>
          <w:rFonts w:eastAsia="Times New Roman" w:cs="Tahoma"/>
          <w:szCs w:val="20"/>
        </w:rPr>
        <w:t>Definisce e conferma le iniziative e ne stabilisce la priorità nel Piano di Erogazione dei Servizi.</w:t>
      </w:r>
    </w:p>
    <w:p w:rsidR="00DD7F8E" w:rsidRPr="00BD7CEA" w:rsidRDefault="00DD7F8E" w:rsidP="007358C5">
      <w:pPr>
        <w:numPr>
          <w:ilvl w:val="0"/>
          <w:numId w:val="75"/>
        </w:numPr>
        <w:spacing w:after="60"/>
        <w:ind w:left="1440"/>
      </w:pPr>
      <w:r w:rsidRPr="00BD7CEA">
        <w:rPr>
          <w:rFonts w:eastAsia="Times New Roman" w:cs="Tahoma"/>
          <w:szCs w:val="20"/>
        </w:rPr>
        <w:t>Fornisce la Relazione di Valutazione Finale in cui viene consigliata almeno un</w:t>
      </w:r>
      <w:r w:rsidR="007A1415" w:rsidRPr="00BD7CEA">
        <w:rPr>
          <w:rFonts w:eastAsia="Times New Roman" w:cs="Tahoma"/>
          <w:szCs w:val="20"/>
        </w:rPr>
        <w:t>’</w:t>
      </w:r>
      <w:r w:rsidRPr="00BD7CEA">
        <w:rPr>
          <w:rFonts w:eastAsia="Times New Roman" w:cs="Tahoma"/>
          <w:szCs w:val="20"/>
        </w:rPr>
        <w:t>iniziativa come Progetto Enterprise Strategy.</w:t>
      </w:r>
    </w:p>
    <w:p w:rsidR="00DD7F8E" w:rsidRPr="00BD7CEA" w:rsidRDefault="00DD7F8E" w:rsidP="00DD7F8E">
      <w:pPr>
        <w:spacing w:after="60"/>
      </w:pPr>
    </w:p>
    <w:p w:rsidR="00DD7F8E" w:rsidRPr="00BD7CEA" w:rsidRDefault="00DD7F8E" w:rsidP="00E77F1E">
      <w:pPr>
        <w:spacing w:after="60"/>
      </w:pPr>
      <w:r w:rsidRPr="00BD7CEA">
        <w:rPr>
          <w:rFonts w:cs="Arial"/>
          <w:b/>
        </w:rPr>
        <w:t>Progetti Enterprise Strategy</w:t>
      </w:r>
    </w:p>
    <w:p w:rsidR="00DD7F8E" w:rsidRPr="00BD7CEA" w:rsidRDefault="00DD7F8E" w:rsidP="00CA52FE">
      <w:r w:rsidRPr="00BD7CEA">
        <w:rPr>
          <w:rFonts w:eastAsia="Arial" w:cs="Tahoma"/>
          <w:bCs/>
          <w:color w:val="000000"/>
          <w:szCs w:val="18"/>
        </w:rPr>
        <w:t>L</w:t>
      </w:r>
      <w:r w:rsidR="007A1415" w:rsidRPr="00BD7CEA">
        <w:rPr>
          <w:rFonts w:eastAsia="Arial" w:cs="Tahoma"/>
          <w:bCs/>
          <w:color w:val="000000"/>
          <w:szCs w:val="18"/>
        </w:rPr>
        <w:t>’</w:t>
      </w:r>
      <w:r w:rsidRPr="00BD7CEA">
        <w:rPr>
          <w:rFonts w:eastAsia="Arial" w:cs="Tahoma"/>
          <w:bCs/>
          <w:color w:val="000000"/>
          <w:szCs w:val="18"/>
        </w:rPr>
        <w:t xml:space="preserve">Enterprise </w:t>
      </w:r>
      <w:r w:rsidRPr="00BD7CEA">
        <w:rPr>
          <w:rFonts w:cs="Tahoma"/>
          <w:bCs/>
          <w:szCs w:val="18"/>
        </w:rPr>
        <w:t xml:space="preserve">Architect collaborerà con la Società </w:t>
      </w:r>
      <w:r w:rsidRPr="00BD7CEA">
        <w:rPr>
          <w:rFonts w:cs="Tahoma"/>
          <w:bCs/>
          <w:color w:val="000000"/>
          <w:szCs w:val="18"/>
        </w:rPr>
        <w:t xml:space="preserve">allo sviluppo di un piano </w:t>
      </w:r>
      <w:r w:rsidRPr="00BD7CEA">
        <w:rPr>
          <w:rFonts w:cs="Tahoma"/>
          <w:color w:val="000000"/>
          <w:szCs w:val="18"/>
        </w:rPr>
        <w:t>che consenta a quest</w:t>
      </w:r>
      <w:r w:rsidR="007A1415" w:rsidRPr="00BD7CEA">
        <w:rPr>
          <w:rFonts w:cs="Tahoma"/>
          <w:color w:val="000000"/>
          <w:szCs w:val="18"/>
        </w:rPr>
        <w:t>’</w:t>
      </w:r>
      <w:r w:rsidRPr="00BD7CEA">
        <w:rPr>
          <w:rFonts w:cs="Tahoma"/>
          <w:color w:val="000000"/>
          <w:szCs w:val="18"/>
        </w:rPr>
        <w:t>ultima di realizzare gli</w:t>
      </w:r>
      <w:r w:rsidR="00A52C82" w:rsidRPr="00BD7CEA">
        <w:rPr>
          <w:rFonts w:cs="Tahoma"/>
          <w:color w:val="000000"/>
          <w:szCs w:val="18"/>
        </w:rPr>
        <w:t> </w:t>
      </w:r>
      <w:r w:rsidRPr="00BD7CEA">
        <w:rPr>
          <w:rFonts w:cs="Tahoma"/>
          <w:color w:val="000000"/>
          <w:szCs w:val="18"/>
        </w:rPr>
        <w:t>obiettivi aziendali identificati per l</w:t>
      </w:r>
      <w:r w:rsidR="007A1415" w:rsidRPr="00BD7CEA">
        <w:rPr>
          <w:rFonts w:cs="Tahoma"/>
          <w:color w:val="000000"/>
          <w:szCs w:val="18"/>
        </w:rPr>
        <w:t>’</w:t>
      </w:r>
      <w:r w:rsidRPr="00BD7CEA">
        <w:rPr>
          <w:rFonts w:cs="Tahoma"/>
          <w:color w:val="000000"/>
          <w:szCs w:val="18"/>
        </w:rPr>
        <w:t>iniziativa o le iniziative selezionate e di passare allo stato IT definito, riducendo al contempo le interruzioni relative alla distribuzione e alle operazioni e massimizzando il ROI.</w:t>
      </w:r>
    </w:p>
    <w:p w:rsidR="00CA52FE" w:rsidRPr="00BD7CEA" w:rsidRDefault="00CA52FE" w:rsidP="00CA52FE"/>
    <w:p w:rsidR="00DD7F8E" w:rsidRPr="00BD7CEA" w:rsidRDefault="00415DDA" w:rsidP="00E77F1E">
      <w:pPr>
        <w:spacing w:after="60"/>
      </w:pPr>
      <w:r w:rsidRPr="00BD7CEA">
        <w:rPr>
          <w:rFonts w:cs="Tahoma"/>
          <w:b/>
          <w:color w:val="000000"/>
          <w:szCs w:val="18"/>
        </w:rPr>
        <w:t>I Progetti Enterprise Strategy includono:</w:t>
      </w:r>
    </w:p>
    <w:p w:rsidR="00DD7F8E" w:rsidRPr="00BD7CEA" w:rsidRDefault="00DD7F8E" w:rsidP="007358C5">
      <w:pPr>
        <w:numPr>
          <w:ilvl w:val="0"/>
          <w:numId w:val="76"/>
        </w:numPr>
        <w:spacing w:after="60"/>
        <w:ind w:left="1440"/>
      </w:pPr>
      <w:r w:rsidRPr="00BD7CEA">
        <w:rPr>
          <w:rFonts w:eastAsia="Times New Roman" w:cs="Tahoma"/>
          <w:szCs w:val="20"/>
        </w:rPr>
        <w:t xml:space="preserve">Documentazione e allineamento di tecnologie Microsoft a obiettivi aziendali fondamentali. </w:t>
      </w:r>
    </w:p>
    <w:p w:rsidR="00DD7F8E" w:rsidRPr="00BD7CEA" w:rsidRDefault="00DD7F8E" w:rsidP="007358C5">
      <w:pPr>
        <w:numPr>
          <w:ilvl w:val="0"/>
          <w:numId w:val="76"/>
        </w:numPr>
        <w:tabs>
          <w:tab w:val="left" w:pos="1080"/>
        </w:tabs>
        <w:spacing w:after="60"/>
        <w:ind w:left="1440"/>
      </w:pPr>
      <w:r w:rsidRPr="00BD7CEA">
        <w:rPr>
          <w:rFonts w:eastAsia="Times New Roman" w:cs="Tahoma"/>
          <w:szCs w:val="20"/>
        </w:rPr>
        <w:t>Sviluppo di un business case per l</w:t>
      </w:r>
      <w:r w:rsidR="007A1415" w:rsidRPr="00BD7CEA">
        <w:rPr>
          <w:rFonts w:eastAsia="Times New Roman" w:cs="Tahoma"/>
          <w:szCs w:val="20"/>
        </w:rPr>
        <w:t>’</w:t>
      </w:r>
      <w:r w:rsidRPr="00BD7CEA">
        <w:rPr>
          <w:rFonts w:eastAsia="Times New Roman" w:cs="Tahoma"/>
          <w:szCs w:val="20"/>
        </w:rPr>
        <w:t>identificazione dei vantaggi e dei costi potenziali relativi a ogni unità aziendale o funzionale interessata dal progetto.</w:t>
      </w:r>
    </w:p>
    <w:p w:rsidR="00DD7F8E" w:rsidRPr="00BD7CEA" w:rsidRDefault="00DD7F8E" w:rsidP="007358C5">
      <w:pPr>
        <w:numPr>
          <w:ilvl w:val="0"/>
          <w:numId w:val="76"/>
        </w:numPr>
        <w:tabs>
          <w:tab w:val="left" w:pos="1080"/>
        </w:tabs>
        <w:spacing w:after="60"/>
        <w:ind w:left="1440"/>
      </w:pPr>
      <w:r w:rsidRPr="00BD7CEA">
        <w:rPr>
          <w:rFonts w:eastAsia="Times New Roman" w:cs="Tahoma"/>
          <w:szCs w:val="20"/>
        </w:rPr>
        <w:t>Creazione di un Documento di Definizione dell</w:t>
      </w:r>
      <w:r w:rsidR="007A1415" w:rsidRPr="00BD7CEA">
        <w:rPr>
          <w:rFonts w:eastAsia="Times New Roman" w:cs="Tahoma"/>
          <w:szCs w:val="20"/>
        </w:rPr>
        <w:t>’</w:t>
      </w:r>
      <w:r w:rsidRPr="00BD7CEA">
        <w:rPr>
          <w:rFonts w:eastAsia="Times New Roman" w:cs="Tahoma"/>
          <w:szCs w:val="20"/>
        </w:rPr>
        <w:t>Architettura nel quale vengono descritti i requisiti delle specifiche e l</w:t>
      </w:r>
      <w:r w:rsidR="007A1415" w:rsidRPr="00BD7CEA">
        <w:rPr>
          <w:rFonts w:eastAsia="Times New Roman" w:cs="Tahoma"/>
          <w:szCs w:val="20"/>
        </w:rPr>
        <w:t>’</w:t>
      </w:r>
      <w:r w:rsidRPr="00BD7CEA">
        <w:rPr>
          <w:rFonts w:eastAsia="Times New Roman" w:cs="Tahoma"/>
          <w:szCs w:val="20"/>
        </w:rPr>
        <w:t>architettura funzionale delle applicazioni e della tecnologia a supporto della consulenza fornita.</w:t>
      </w:r>
    </w:p>
    <w:p w:rsidR="00DD7F8E" w:rsidRPr="00BD7CEA" w:rsidRDefault="00DD7F8E" w:rsidP="007358C5">
      <w:pPr>
        <w:numPr>
          <w:ilvl w:val="0"/>
          <w:numId w:val="76"/>
        </w:numPr>
        <w:tabs>
          <w:tab w:val="left" w:pos="1080"/>
        </w:tabs>
        <w:spacing w:after="60"/>
        <w:ind w:left="1440"/>
      </w:pPr>
      <w:r w:rsidRPr="00BD7CEA">
        <w:rPr>
          <w:rFonts w:eastAsia="Times New Roman" w:cs="Tahoma"/>
          <w:szCs w:val="20"/>
        </w:rPr>
        <w:t>Creazione di un Piano di Misurazione nel quale viene descritta la metrica utilizzata per la misurazione dei progressi conseguiti a fronte della responsabilità, della tempistica e degli obiettivi aziendali proposti.</w:t>
      </w:r>
    </w:p>
    <w:p w:rsidR="00DD7F8E" w:rsidRPr="00BD7CEA" w:rsidRDefault="00DD7F8E" w:rsidP="007358C5">
      <w:pPr>
        <w:numPr>
          <w:ilvl w:val="0"/>
          <w:numId w:val="76"/>
        </w:numPr>
        <w:spacing w:after="60"/>
        <w:ind w:left="1440"/>
      </w:pPr>
      <w:r w:rsidRPr="00BD7CEA">
        <w:rPr>
          <w:rFonts w:eastAsia="Times New Roman" w:cs="Tahoma"/>
          <w:szCs w:val="20"/>
        </w:rPr>
        <w:t>Personalizzazione, in base all</w:t>
      </w:r>
      <w:r w:rsidR="007A1415" w:rsidRPr="00BD7CEA">
        <w:rPr>
          <w:rFonts w:eastAsia="Times New Roman" w:cs="Tahoma"/>
          <w:szCs w:val="20"/>
        </w:rPr>
        <w:t>’</w:t>
      </w:r>
      <w:r w:rsidRPr="00BD7CEA">
        <w:rPr>
          <w:rFonts w:eastAsia="Times New Roman" w:cs="Tahoma"/>
          <w:szCs w:val="20"/>
        </w:rPr>
        <w:t>ambiente della Società, delle Procedure Consigliate Microsoft relativamente a supervisione/direzione, adozione e misurazione.</w:t>
      </w:r>
    </w:p>
    <w:p w:rsidR="00DD7F8E" w:rsidRPr="00BD7CEA" w:rsidRDefault="00DD7F8E" w:rsidP="007358C5">
      <w:pPr>
        <w:numPr>
          <w:ilvl w:val="0"/>
          <w:numId w:val="76"/>
        </w:numPr>
        <w:spacing w:after="60"/>
        <w:ind w:left="1440"/>
      </w:pPr>
      <w:r w:rsidRPr="00BD7CEA">
        <w:rPr>
          <w:rFonts w:eastAsia="Times New Roman" w:cs="Tahoma"/>
          <w:szCs w:val="20"/>
        </w:rPr>
        <w:t>Collaborazione con il team esecutivo della Società per la definizione della governance del</w:t>
      </w:r>
      <w:r w:rsidR="00267F87" w:rsidRPr="00BD7CEA">
        <w:rPr>
          <w:rFonts w:eastAsia="Times New Roman" w:cs="Tahoma"/>
          <w:szCs w:val="20"/>
        </w:rPr>
        <w:t> </w:t>
      </w:r>
      <w:r w:rsidRPr="00BD7CEA">
        <w:rPr>
          <w:rFonts w:eastAsia="Times New Roman" w:cs="Tahoma"/>
          <w:szCs w:val="20"/>
        </w:rPr>
        <w:t>programma</w:t>
      </w:r>
      <w:r w:rsidRPr="00BD7CEA">
        <w:rPr>
          <w:rFonts w:eastAsia="Arial" w:cs="Tahoma"/>
          <w:szCs w:val="18"/>
        </w:rPr>
        <w:t>.</w:t>
      </w:r>
    </w:p>
    <w:p w:rsidR="00415DDA" w:rsidRPr="00BD7CEA" w:rsidDel="00954C6A" w:rsidRDefault="00415DDA" w:rsidP="007358C5">
      <w:pPr>
        <w:numPr>
          <w:ilvl w:val="0"/>
          <w:numId w:val="76"/>
        </w:numPr>
        <w:ind w:left="1440"/>
        <w:rPr>
          <w:spacing w:val="-2"/>
        </w:rPr>
      </w:pPr>
      <w:r w:rsidRPr="00BD7CEA">
        <w:rPr>
          <w:rFonts w:eastAsia="Times New Roman" w:cs="Tahoma"/>
          <w:spacing w:val="-2"/>
          <w:szCs w:val="20"/>
        </w:rPr>
        <w:t>Esame periodico dei progressi conseguiti dalla Società rispetto alla scorecard degli obiettivi aziendali.</w:t>
      </w:r>
    </w:p>
    <w:p w:rsidR="00CA52FE" w:rsidRPr="00BD7CEA" w:rsidRDefault="00CA52FE" w:rsidP="00E77F1E"/>
    <w:p w:rsidR="00DD7F8E" w:rsidRPr="00BD7CEA" w:rsidRDefault="00DD7F8E" w:rsidP="00DD7F8E">
      <w:r w:rsidRPr="00BD7CEA">
        <w:rPr>
          <w:rFonts w:eastAsia="Arial" w:cs="Arial"/>
          <w:b/>
          <w:sz w:val="24"/>
          <w:szCs w:val="18"/>
        </w:rPr>
        <w:t>Vantaggi del Programma</w:t>
      </w:r>
    </w:p>
    <w:p w:rsidR="00DD7F8E" w:rsidRPr="00BD7CEA" w:rsidRDefault="00DD7F8E" w:rsidP="00DD7F8E"/>
    <w:p w:rsidR="00DD7F8E" w:rsidRPr="00BD7CEA" w:rsidRDefault="00DD7F8E" w:rsidP="00DD7F8E">
      <w:r w:rsidRPr="00BD7CEA">
        <w:rPr>
          <w:rFonts w:eastAsia="Arial" w:cs="Arial"/>
          <w:szCs w:val="18"/>
        </w:rPr>
        <w:t xml:space="preserve">La partecipazione al programma consente di usufruire dei vantaggi seguenti: </w:t>
      </w:r>
    </w:p>
    <w:p w:rsidR="00DD7F8E" w:rsidRPr="00BD7CEA" w:rsidRDefault="00DD7F8E" w:rsidP="00DD7F8E">
      <w:pPr>
        <w:spacing w:after="60"/>
      </w:pPr>
    </w:p>
    <w:p w:rsidR="00E77F1E" w:rsidRPr="00BD7CEA" w:rsidRDefault="00E77F1E" w:rsidP="00E77F1E">
      <w:pPr>
        <w:spacing w:after="60"/>
      </w:pPr>
      <w:r w:rsidRPr="00BD7CEA">
        <w:rPr>
          <w:b/>
          <w:szCs w:val="18"/>
        </w:rPr>
        <w:t>Enterprise Strategy Network</w:t>
      </w:r>
    </w:p>
    <w:p w:rsidR="00C151FB" w:rsidRPr="00BD7CEA" w:rsidRDefault="00C151FB" w:rsidP="00C151FB">
      <w:r w:rsidRPr="00BD7CEA">
        <w:rPr>
          <w:szCs w:val="18"/>
        </w:rPr>
        <w:t>Il Programma Enterprise Strategy include una connessione integrale ai team di ricerca e sviluppo di Microsoft e agli esperti con competenze specifiche dei reparti dei servizi Microsoft. Gli Enterprise Architect utilizzano tali esperti per fornire alle Società procedure appropriate, indicazioni specifiche su determinate tecnologie di Microsoft e architetture di riferimento. Le procedure consigliate e il materiale e gli strumenti associati sono inclusi nella Microsoft Enterprise Strategy Library al fine di accelerare l</w:t>
      </w:r>
      <w:r w:rsidR="007A1415" w:rsidRPr="00BD7CEA">
        <w:rPr>
          <w:szCs w:val="18"/>
        </w:rPr>
        <w:t>’</w:t>
      </w:r>
      <w:r w:rsidRPr="00BD7CEA">
        <w:rPr>
          <w:szCs w:val="18"/>
        </w:rPr>
        <w:t>erogazione degli engagement ESP per le società.</w:t>
      </w:r>
    </w:p>
    <w:p w:rsidR="001C1727" w:rsidRPr="00BD7CEA" w:rsidRDefault="001C1727"/>
    <w:p w:rsidR="00E77F1E" w:rsidRPr="00BD7CEA" w:rsidRDefault="00C151FB" w:rsidP="00E77F1E">
      <w:pPr>
        <w:spacing w:after="60"/>
      </w:pPr>
      <w:r w:rsidRPr="00BD7CEA">
        <w:rPr>
          <w:b/>
          <w:szCs w:val="18"/>
        </w:rPr>
        <w:t>Enterprise Strategy Library</w:t>
      </w:r>
    </w:p>
    <w:p w:rsidR="00C151FB" w:rsidRPr="00BD7CEA" w:rsidRDefault="00C151FB" w:rsidP="00E77F1E">
      <w:pPr>
        <w:rPr>
          <w:spacing w:val="-2"/>
        </w:rPr>
      </w:pPr>
      <w:r w:rsidRPr="00BD7CEA">
        <w:rPr>
          <w:spacing w:val="-2"/>
          <w:szCs w:val="18"/>
        </w:rPr>
        <w:t xml:space="preserve">Il Programma Enterprise Strategy include </w:t>
      </w:r>
      <w:r w:rsidRPr="00BD7CEA">
        <w:rPr>
          <w:rFonts w:eastAsia="Arial" w:cs="Arial"/>
          <w:spacing w:val="-2"/>
          <w:szCs w:val="18"/>
        </w:rPr>
        <w:t>un</w:t>
      </w:r>
      <w:r w:rsidR="007A1415" w:rsidRPr="00BD7CEA">
        <w:rPr>
          <w:rFonts w:eastAsia="Arial" w:cs="Arial"/>
          <w:spacing w:val="-2"/>
          <w:szCs w:val="18"/>
        </w:rPr>
        <w:t>’</w:t>
      </w:r>
      <w:r w:rsidRPr="00BD7CEA">
        <w:rPr>
          <w:rFonts w:eastAsia="Arial" w:cs="Arial"/>
          <w:spacing w:val="-2"/>
          <w:szCs w:val="18"/>
        </w:rPr>
        <w:t>ampia raccolta di materiale, inclusi gli strumenti per gli approfondimenti del settore e le prove comparative e i modelli e i metodi di riferimento di Enterprise Architecture e Technology Architecture. A seconda delle esigenze della Società, l</w:t>
      </w:r>
      <w:r w:rsidR="007A1415" w:rsidRPr="00BD7CEA">
        <w:rPr>
          <w:rFonts w:eastAsia="Arial" w:cs="Arial"/>
          <w:spacing w:val="-2"/>
          <w:szCs w:val="18"/>
        </w:rPr>
        <w:t>’</w:t>
      </w:r>
      <w:r w:rsidRPr="00BD7CEA">
        <w:rPr>
          <w:rFonts w:eastAsia="Arial" w:cs="Arial"/>
          <w:spacing w:val="-2"/>
          <w:szCs w:val="18"/>
        </w:rPr>
        <w:t>Enterprise Architect utilizza il materiale e gli strumenti appropriati.</w:t>
      </w:r>
    </w:p>
    <w:p w:rsidR="00C151FB" w:rsidRPr="00BD7CEA" w:rsidRDefault="00C151FB" w:rsidP="00E77F1E"/>
    <w:p w:rsidR="00E77F1E" w:rsidRPr="00BD7CEA" w:rsidRDefault="00E77F1E" w:rsidP="00E77F1E">
      <w:pPr>
        <w:spacing w:after="60"/>
      </w:pPr>
      <w:r w:rsidRPr="00BD7CEA">
        <w:rPr>
          <w:b/>
          <w:szCs w:val="18"/>
        </w:rPr>
        <w:t>Workshop relativi all</w:t>
      </w:r>
      <w:r w:rsidR="007A1415" w:rsidRPr="00BD7CEA">
        <w:rPr>
          <w:b/>
          <w:szCs w:val="18"/>
        </w:rPr>
        <w:t>’</w:t>
      </w:r>
      <w:r w:rsidRPr="00BD7CEA">
        <w:rPr>
          <w:b/>
          <w:szCs w:val="18"/>
        </w:rPr>
        <w:t>engagement</w:t>
      </w:r>
    </w:p>
    <w:p w:rsidR="00DD7F8E" w:rsidRPr="00BD7CEA" w:rsidRDefault="00DD7F8E" w:rsidP="00E77F1E">
      <w:r w:rsidRPr="00BD7CEA">
        <w:rPr>
          <w:rFonts w:eastAsia="Arial" w:cs="Arial"/>
        </w:rPr>
        <w:t>Questi workshop destinati all</w:t>
      </w:r>
      <w:r w:rsidR="007A1415" w:rsidRPr="00BD7CEA">
        <w:rPr>
          <w:rFonts w:eastAsia="Arial" w:cs="Arial"/>
        </w:rPr>
        <w:t>’</w:t>
      </w:r>
      <w:r w:rsidRPr="00BD7CEA">
        <w:rPr>
          <w:rFonts w:eastAsia="Arial" w:cs="Arial"/>
        </w:rPr>
        <w:t>esecutivo della Società hanno durata giornaliera e vengono generalmente svolti negli uffici regionali di Microsoft presso la filiale locale. Sono ideati e personalizzati per i responsabili aziendali e IT della Società, in quanto consentiranno loro di comprendere la rilevanza delle tecnologie emergenti e ricevere informazioni settoriali importanti per l</w:t>
      </w:r>
      <w:r w:rsidR="007A1415" w:rsidRPr="00BD7CEA">
        <w:rPr>
          <w:rFonts w:eastAsia="Arial" w:cs="Arial"/>
        </w:rPr>
        <w:t>’</w:t>
      </w:r>
      <w:r w:rsidRPr="00BD7CEA">
        <w:rPr>
          <w:rFonts w:eastAsia="Arial" w:cs="Arial"/>
        </w:rPr>
        <w:t>attività svolta.</w:t>
      </w:r>
      <w:r w:rsidR="008D782D" w:rsidRPr="00BD7CEA">
        <w:rPr>
          <w:rFonts w:eastAsia="Arial" w:cs="Arial"/>
        </w:rPr>
        <w:t xml:space="preserve"> </w:t>
      </w:r>
      <w:r w:rsidRPr="00BD7CEA">
        <w:rPr>
          <w:rFonts w:eastAsia="Arial" w:cs="Arial"/>
        </w:rPr>
        <w:t>La Società è responsabile dei costi da essa stessa sostenuti relativamente alla partecipazione a tali workshop.</w:t>
      </w:r>
    </w:p>
    <w:p w:rsidR="00DD7F8E" w:rsidRPr="00BD7CEA" w:rsidRDefault="00DD7F8E" w:rsidP="00E77F1E"/>
    <w:p w:rsidR="00E77F1E" w:rsidRPr="00BD7CEA" w:rsidRDefault="00E77F1E" w:rsidP="00E77F1E">
      <w:pPr>
        <w:spacing w:after="60"/>
      </w:pPr>
      <w:r w:rsidRPr="00BD7CEA">
        <w:rPr>
          <w:b/>
          <w:szCs w:val="18"/>
        </w:rPr>
        <w:t>Briefing strategici</w:t>
      </w:r>
    </w:p>
    <w:p w:rsidR="00DD7F8E" w:rsidRPr="00BD7CEA" w:rsidRDefault="00DD7F8E" w:rsidP="00E77F1E">
      <w:pPr>
        <w:spacing w:after="60"/>
        <w:rPr>
          <w:spacing w:val="-2"/>
        </w:rPr>
      </w:pPr>
      <w:r w:rsidRPr="00BD7CEA">
        <w:rPr>
          <w:rFonts w:eastAsia="Arial" w:cs="Arial"/>
          <w:spacing w:val="-2"/>
        </w:rPr>
        <w:t>si tratta di conferenze Web globali della durata di un</w:t>
      </w:r>
      <w:r w:rsidR="007A1415" w:rsidRPr="00BD7CEA">
        <w:rPr>
          <w:rFonts w:eastAsia="Arial" w:cs="Arial"/>
          <w:spacing w:val="-2"/>
        </w:rPr>
        <w:t>’</w:t>
      </w:r>
      <w:r w:rsidRPr="00BD7CEA">
        <w:rPr>
          <w:rFonts w:eastAsia="Arial" w:cs="Arial"/>
          <w:spacing w:val="-2"/>
        </w:rPr>
        <w:t>ora, destinate a responsabili aziendali e IT, riguardanti le opportunità aziendali e di settore, le tendenze tecnologiche e la prospettiva di Microsoft in merito a punti di vista strategici su problemi importanti.</w:t>
      </w:r>
      <w:r w:rsidR="008D782D" w:rsidRPr="00BD7CEA">
        <w:rPr>
          <w:rFonts w:eastAsia="Arial" w:cs="Arial"/>
          <w:spacing w:val="-2"/>
        </w:rPr>
        <w:t xml:space="preserve"> </w:t>
      </w:r>
      <w:r w:rsidRPr="00BD7CEA">
        <w:rPr>
          <w:rFonts w:eastAsia="Arial" w:cs="Arial"/>
          <w:spacing w:val="-2"/>
        </w:rPr>
        <w:t>Le Società avranno la possibilità di vedere i Briefing Strategici registrati in precedenza.</w:t>
      </w:r>
    </w:p>
    <w:p w:rsidR="00DD7F8E" w:rsidRPr="00BD7CEA" w:rsidRDefault="00DD7F8E" w:rsidP="00E77F1E"/>
    <w:p w:rsidR="00267F87" w:rsidRPr="00BD7CEA" w:rsidRDefault="00267F87" w:rsidP="00E77F1E"/>
    <w:p w:rsidR="00267F87" w:rsidRPr="00BD7CEA" w:rsidRDefault="00267F87" w:rsidP="00E77F1E"/>
    <w:p w:rsidR="00267F87" w:rsidRPr="00BD7CEA" w:rsidRDefault="00267F87" w:rsidP="00E77F1E"/>
    <w:p w:rsidR="00267F87" w:rsidRPr="00BD7CEA" w:rsidRDefault="00267F87" w:rsidP="00E77F1E"/>
    <w:p w:rsidR="00267F87" w:rsidRPr="00BD7CEA" w:rsidRDefault="00267F87" w:rsidP="00E77F1E"/>
    <w:p w:rsidR="009B78AB" w:rsidRPr="00BD7CEA" w:rsidRDefault="009B78AB" w:rsidP="009B78AB">
      <w:pPr>
        <w:spacing w:after="60"/>
      </w:pPr>
      <w:r w:rsidRPr="00BD7CEA">
        <w:rPr>
          <w:rFonts w:eastAsia="Arial" w:cs="Arial"/>
          <w:b/>
        </w:rPr>
        <w:t>Enterprise Strategy Forum</w:t>
      </w:r>
    </w:p>
    <w:p w:rsidR="009B78AB" w:rsidRPr="00BD7CEA" w:rsidRDefault="009B78AB" w:rsidP="009B78AB">
      <w:pPr>
        <w:spacing w:after="60"/>
      </w:pPr>
      <w:r w:rsidRPr="00BD7CEA">
        <w:rPr>
          <w:rFonts w:eastAsia="Arial" w:cs="Arial"/>
        </w:rPr>
        <w:t>si tratta di una conferenza, con partecipazione esclusivamente su invito, dedicata ai Chief Architect e ai rispettivi dirigenti, fruibile esclusivamente dalle Società partecipanti al Programma Enterprise Strategy di tutto il mondo. Offrirà</w:t>
      </w:r>
      <w:r w:rsidR="00267F87" w:rsidRPr="00BD7CEA">
        <w:rPr>
          <w:rFonts w:eastAsia="Arial" w:cs="Arial"/>
        </w:rPr>
        <w:t> </w:t>
      </w:r>
      <w:r w:rsidRPr="00BD7CEA">
        <w:rPr>
          <w:rFonts w:eastAsia="Arial" w:cs="Arial"/>
        </w:rPr>
        <w:t>ai Chief Architect un</w:t>
      </w:r>
      <w:r w:rsidR="007A1415" w:rsidRPr="00BD7CEA">
        <w:rPr>
          <w:rFonts w:eastAsia="Arial" w:cs="Arial"/>
        </w:rPr>
        <w:t>’</w:t>
      </w:r>
      <w:r w:rsidRPr="00BD7CEA">
        <w:rPr>
          <w:rFonts w:eastAsia="Arial" w:cs="Arial"/>
        </w:rPr>
        <w:t>opportunità di scambio con colleghi e dirigenti Microsoft. Durante il forum verranno discussi alcuni dei problemi delle grandi Società nonché le varie modalità di risoluzione degli stessi.</w:t>
      </w:r>
      <w:r w:rsidR="008D782D" w:rsidRPr="00BD7CEA">
        <w:rPr>
          <w:rFonts w:eastAsia="Arial" w:cs="Arial"/>
        </w:rPr>
        <w:t xml:space="preserve"> </w:t>
      </w:r>
      <w:r w:rsidRPr="00BD7CEA">
        <w:rPr>
          <w:rFonts w:eastAsia="Arial" w:cs="Arial"/>
        </w:rPr>
        <w:t>La Società è responsabile dei costi da essa stessa sostenuti relativamente alla partecipazione a tali forum.</w:t>
      </w:r>
      <w:r w:rsidRPr="00BD7CEA">
        <w:rPr>
          <w:rFonts w:ascii="Calibri" w:hAnsi="Calibri"/>
          <w:sz w:val="22"/>
        </w:rPr>
        <w:t xml:space="preserve"> </w:t>
      </w:r>
    </w:p>
    <w:p w:rsidR="00C151FB" w:rsidRPr="00BD7CEA" w:rsidRDefault="00C151FB" w:rsidP="00E77F1E"/>
    <w:p w:rsidR="00E77F1E" w:rsidRPr="00BD7CEA" w:rsidRDefault="00C151FB" w:rsidP="00E77F1E">
      <w:pPr>
        <w:spacing w:after="60"/>
      </w:pPr>
      <w:r w:rsidRPr="00BD7CEA">
        <w:rPr>
          <w:rFonts w:cs="Tahoma"/>
          <w:b/>
          <w:bCs/>
          <w:color w:val="000000"/>
          <w:szCs w:val="18"/>
        </w:rPr>
        <w:t>Componente Aggiuntivo Enterprise Strategy Capacity</w:t>
      </w:r>
    </w:p>
    <w:p w:rsidR="00C151FB" w:rsidRPr="00BD7CEA" w:rsidRDefault="00C151FB" w:rsidP="00E77F1E">
      <w:r w:rsidRPr="00BD7CEA">
        <w:rPr>
          <w:rFonts w:cs="Tahoma"/>
          <w:color w:val="000000"/>
          <w:szCs w:val="18"/>
        </w:rPr>
        <w:t>La Società può acquistare blocchi di 200 ore di risorse di consulenza di Microsoft Enterprise Service per migliorare la capacità di erogazione dei Progetti Enterprise Strategy oppure per colmare le lacune tra i programmi. Il Componente Aggiuntivo Enterprise Strategy Capacity è disponibile per le Società che hanno acquistato l</w:t>
      </w:r>
      <w:r w:rsidR="007A1415" w:rsidRPr="00BD7CEA">
        <w:rPr>
          <w:rFonts w:cs="Tahoma"/>
          <w:color w:val="000000"/>
          <w:szCs w:val="18"/>
        </w:rPr>
        <w:t>’</w:t>
      </w:r>
      <w:r w:rsidRPr="00BD7CEA">
        <w:rPr>
          <w:rFonts w:cs="Tahoma"/>
          <w:color w:val="000000"/>
          <w:szCs w:val="18"/>
        </w:rPr>
        <w:t>offerta Enterprise Strategy Connect, Enterprise Strategy Foundation o Enterprise Strategy Portfolio tramite i contratti multilicenza o di Servizi standard di Microsoft.</w:t>
      </w:r>
    </w:p>
    <w:p w:rsidR="00DD7F8E" w:rsidRPr="00BD7CEA" w:rsidRDefault="00DD7F8E" w:rsidP="00E77F1E"/>
    <w:bookmarkEnd w:id="975"/>
    <w:bookmarkEnd w:id="976"/>
    <w:p w:rsidR="00DD7F8E" w:rsidRPr="00BD7CEA" w:rsidRDefault="00DD7F8E" w:rsidP="00DD7F8E">
      <w:r w:rsidRPr="00BD7CEA">
        <w:rPr>
          <w:b/>
          <w:sz w:val="24"/>
          <w:szCs w:val="18"/>
        </w:rPr>
        <w:t>Servizi non Inclusi nell</w:t>
      </w:r>
      <w:r w:rsidR="007A1415" w:rsidRPr="00BD7CEA">
        <w:rPr>
          <w:b/>
          <w:sz w:val="24"/>
          <w:szCs w:val="18"/>
        </w:rPr>
        <w:t>’</w:t>
      </w:r>
      <w:r w:rsidRPr="00BD7CEA">
        <w:rPr>
          <w:b/>
          <w:sz w:val="24"/>
          <w:szCs w:val="18"/>
        </w:rPr>
        <w:t>Ambito del Programma</w:t>
      </w:r>
      <w:r w:rsidR="008D782D" w:rsidRPr="00BD7CEA">
        <w:rPr>
          <w:sz w:val="20"/>
          <w:szCs w:val="18"/>
        </w:rPr>
        <w:t xml:space="preserve"> </w:t>
      </w:r>
    </w:p>
    <w:p w:rsidR="00DD7F8E" w:rsidRPr="00BD7CEA" w:rsidRDefault="00DD7F8E" w:rsidP="00E77F1E"/>
    <w:p w:rsidR="00DD7F8E" w:rsidRPr="00BD7CEA" w:rsidRDefault="00DD7F8E" w:rsidP="00DD7F8E">
      <w:pPr>
        <w:rPr>
          <w:spacing w:val="-2"/>
        </w:rPr>
      </w:pPr>
      <w:r w:rsidRPr="00BD7CEA">
        <w:rPr>
          <w:spacing w:val="-2"/>
          <w:szCs w:val="18"/>
        </w:rPr>
        <w:t>Il Programma Enterprise Strategy include esclusivamente consulenza e assistenza relative all</w:t>
      </w:r>
      <w:r w:rsidR="007A1415" w:rsidRPr="00BD7CEA">
        <w:rPr>
          <w:spacing w:val="-2"/>
          <w:szCs w:val="18"/>
        </w:rPr>
        <w:t>’</w:t>
      </w:r>
      <w:r w:rsidRPr="00BD7CEA">
        <w:rPr>
          <w:spacing w:val="-2"/>
          <w:szCs w:val="18"/>
        </w:rPr>
        <w:t>adozione di tecnologie Microsoft da parte della Società.</w:t>
      </w:r>
      <w:r w:rsidR="008D782D" w:rsidRPr="00BD7CEA">
        <w:rPr>
          <w:spacing w:val="-2"/>
          <w:szCs w:val="18"/>
        </w:rPr>
        <w:t xml:space="preserve"> </w:t>
      </w:r>
      <w:r w:rsidRPr="00BD7CEA">
        <w:rPr>
          <w:rFonts w:eastAsia="Arial" w:cs="Arial"/>
          <w:bCs/>
          <w:spacing w:val="-2"/>
          <w:sz w:val="19"/>
          <w:szCs w:val="19"/>
        </w:rPr>
        <w:t>Spetta solamente alla Società scegliere se seguire o ignorare la consulenza, l</w:t>
      </w:r>
      <w:r w:rsidR="007A1415" w:rsidRPr="00BD7CEA">
        <w:rPr>
          <w:rFonts w:eastAsia="Arial" w:cs="Arial"/>
          <w:bCs/>
          <w:spacing w:val="-2"/>
          <w:sz w:val="19"/>
          <w:szCs w:val="19"/>
        </w:rPr>
        <w:t>’</w:t>
      </w:r>
      <w:r w:rsidRPr="00BD7CEA">
        <w:rPr>
          <w:rFonts w:eastAsia="Arial" w:cs="Arial"/>
          <w:bCs/>
          <w:spacing w:val="-2"/>
          <w:sz w:val="19"/>
          <w:szCs w:val="19"/>
        </w:rPr>
        <w:t>assistenza e i consigli di Microsoft.</w:t>
      </w:r>
      <w:r w:rsidR="008D782D" w:rsidRPr="00BD7CEA">
        <w:rPr>
          <w:rFonts w:eastAsia="Arial" w:cs="Arial"/>
          <w:bCs/>
          <w:spacing w:val="-2"/>
          <w:sz w:val="19"/>
          <w:szCs w:val="19"/>
        </w:rPr>
        <w:t xml:space="preserve"> </w:t>
      </w:r>
      <w:r w:rsidRPr="00BD7CEA">
        <w:rPr>
          <w:rFonts w:eastAsia="Arial" w:cs="Arial"/>
          <w:bCs/>
          <w:spacing w:val="-2"/>
          <w:sz w:val="19"/>
          <w:szCs w:val="19"/>
        </w:rPr>
        <w:t>Microsoft non rilascia alcuna dichiarazione, garanzia o condizione relativamente ai risultati ottenibili dalla Società in seguito all</w:t>
      </w:r>
      <w:r w:rsidR="007A1415" w:rsidRPr="00BD7CEA">
        <w:rPr>
          <w:rFonts w:eastAsia="Arial" w:cs="Arial"/>
          <w:bCs/>
          <w:spacing w:val="-2"/>
          <w:sz w:val="19"/>
          <w:szCs w:val="19"/>
        </w:rPr>
        <w:t>’</w:t>
      </w:r>
      <w:r w:rsidRPr="00BD7CEA">
        <w:rPr>
          <w:rFonts w:eastAsia="Arial" w:cs="Arial"/>
          <w:bCs/>
          <w:spacing w:val="-2"/>
          <w:sz w:val="19"/>
          <w:szCs w:val="19"/>
        </w:rPr>
        <w:t>applicazione della consulenza, dell</w:t>
      </w:r>
      <w:r w:rsidR="007A1415" w:rsidRPr="00BD7CEA">
        <w:rPr>
          <w:rFonts w:eastAsia="Arial" w:cs="Arial"/>
          <w:bCs/>
          <w:spacing w:val="-2"/>
          <w:sz w:val="19"/>
          <w:szCs w:val="19"/>
        </w:rPr>
        <w:t>’</w:t>
      </w:r>
      <w:r w:rsidRPr="00BD7CEA">
        <w:rPr>
          <w:rFonts w:eastAsia="Arial" w:cs="Arial"/>
          <w:bCs/>
          <w:spacing w:val="-2"/>
          <w:sz w:val="19"/>
          <w:szCs w:val="19"/>
        </w:rPr>
        <w:t>assistenza e dei</w:t>
      </w:r>
      <w:r w:rsidR="00267F87" w:rsidRPr="00BD7CEA">
        <w:rPr>
          <w:rFonts w:eastAsia="Arial" w:cs="Arial"/>
          <w:bCs/>
          <w:spacing w:val="-2"/>
          <w:sz w:val="19"/>
          <w:szCs w:val="19"/>
        </w:rPr>
        <w:t> </w:t>
      </w:r>
      <w:r w:rsidRPr="00BD7CEA">
        <w:rPr>
          <w:rFonts w:eastAsia="Arial" w:cs="Arial"/>
          <w:bCs/>
          <w:spacing w:val="-2"/>
          <w:sz w:val="19"/>
          <w:szCs w:val="19"/>
        </w:rPr>
        <w:t>consigli forniti da Microsoft stessa e riportati di seguito.</w:t>
      </w:r>
      <w:r w:rsidR="008D782D" w:rsidRPr="00BD7CEA">
        <w:rPr>
          <w:rFonts w:eastAsia="Arial" w:cs="Arial"/>
          <w:bCs/>
          <w:spacing w:val="-2"/>
          <w:sz w:val="19"/>
          <w:szCs w:val="19"/>
        </w:rPr>
        <w:t xml:space="preserve"> </w:t>
      </w:r>
      <w:r w:rsidRPr="00BD7CEA">
        <w:rPr>
          <w:spacing w:val="-2"/>
          <w:szCs w:val="18"/>
        </w:rPr>
        <w:t>Le licenze per i prodotti non sono incluse.</w:t>
      </w:r>
      <w:r w:rsidR="008D782D" w:rsidRPr="00BD7CEA">
        <w:rPr>
          <w:spacing w:val="-2"/>
          <w:szCs w:val="18"/>
        </w:rPr>
        <w:t xml:space="preserve"> </w:t>
      </w:r>
      <w:r w:rsidRPr="00BD7CEA">
        <w:rPr>
          <w:spacing w:val="-2"/>
          <w:szCs w:val="18"/>
        </w:rPr>
        <w:t>I Servizi dell</w:t>
      </w:r>
      <w:r w:rsidR="007A1415" w:rsidRPr="00BD7CEA">
        <w:rPr>
          <w:spacing w:val="-2"/>
          <w:szCs w:val="18"/>
        </w:rPr>
        <w:t>’</w:t>
      </w:r>
      <w:r w:rsidRPr="00BD7CEA">
        <w:rPr>
          <w:spacing w:val="-2"/>
          <w:szCs w:val="18"/>
        </w:rPr>
        <w:t>Enterprise Architect, inoltre, non includono la distribuzione dei prodotti, la risoluzione dei problemi, l</w:t>
      </w:r>
      <w:r w:rsidR="007A1415" w:rsidRPr="00BD7CEA">
        <w:rPr>
          <w:spacing w:val="-2"/>
          <w:szCs w:val="18"/>
        </w:rPr>
        <w:t>’</w:t>
      </w:r>
      <w:r w:rsidRPr="00BD7CEA">
        <w:rPr>
          <w:spacing w:val="-2"/>
          <w:szCs w:val="18"/>
        </w:rPr>
        <w:t>assistenza in garanzia, l</w:t>
      </w:r>
      <w:r w:rsidR="007A1415" w:rsidRPr="00BD7CEA">
        <w:rPr>
          <w:spacing w:val="-2"/>
          <w:szCs w:val="18"/>
        </w:rPr>
        <w:t>’</w:t>
      </w:r>
      <w:r w:rsidRPr="00BD7CEA">
        <w:rPr>
          <w:spacing w:val="-2"/>
          <w:szCs w:val="18"/>
        </w:rPr>
        <w:t>analisi di codice sorgente non Microsoft né la consulenza tecnica o architetturale che non rientri nella risultati finali di cui sopra. Nel caso di codice sorgente non Microsoft, i Servizi di Microsoft saranno limitati solo all</w:t>
      </w:r>
      <w:r w:rsidR="007A1415" w:rsidRPr="00BD7CEA">
        <w:rPr>
          <w:spacing w:val="-2"/>
          <w:szCs w:val="18"/>
        </w:rPr>
        <w:t>’</w:t>
      </w:r>
      <w:r w:rsidRPr="00BD7CEA">
        <w:rPr>
          <w:spacing w:val="-2"/>
          <w:szCs w:val="18"/>
        </w:rPr>
        <w:t>analisi dei dati binari, ad esempio un dump di processo o una traccia di Network Monitor.</w:t>
      </w:r>
    </w:p>
    <w:p w:rsidR="00DD7F8E" w:rsidRPr="00BD7CEA" w:rsidRDefault="00DD7F8E" w:rsidP="00E77F1E"/>
    <w:p w:rsidR="00DD7F8E" w:rsidRPr="00BD7CEA" w:rsidRDefault="00DD7F8E" w:rsidP="00DD7F8E">
      <w:pPr>
        <w:rPr>
          <w:sz w:val="24"/>
          <w:szCs w:val="24"/>
        </w:rPr>
      </w:pPr>
      <w:r w:rsidRPr="00BD7CEA">
        <w:rPr>
          <w:b/>
          <w:sz w:val="24"/>
          <w:szCs w:val="24"/>
        </w:rPr>
        <w:t>Responsabilità della Società</w:t>
      </w:r>
      <w:r w:rsidR="008D782D" w:rsidRPr="00BD7CEA">
        <w:rPr>
          <w:sz w:val="24"/>
          <w:szCs w:val="24"/>
        </w:rPr>
        <w:t xml:space="preserve"> </w:t>
      </w:r>
    </w:p>
    <w:p w:rsidR="00DD7F8E" w:rsidRPr="00BD7CEA" w:rsidRDefault="00DD7F8E" w:rsidP="00DD7F8E"/>
    <w:p w:rsidR="00DD7F8E" w:rsidRPr="00BD7CEA" w:rsidRDefault="00DD7F8E" w:rsidP="00DD7F8E">
      <w:r w:rsidRPr="00BD7CEA">
        <w:rPr>
          <w:szCs w:val="18"/>
        </w:rPr>
        <w:t>Il successo del Programma Enterprise Strategy e le prestazioni di Microsoft relativamente alle proprie obbligazioni dipendono dal coinvolgimento della Società nel programma, inclusi, a titolo esemplificativo:</w:t>
      </w:r>
    </w:p>
    <w:p w:rsidR="00DD7F8E" w:rsidRPr="00BD7CEA" w:rsidRDefault="00DD7F8E" w:rsidP="00DD7F8E"/>
    <w:p w:rsidR="00DD7F8E" w:rsidRPr="00BD7CEA" w:rsidRDefault="00DD7F8E" w:rsidP="007358C5">
      <w:pPr>
        <w:numPr>
          <w:ilvl w:val="0"/>
          <w:numId w:val="77"/>
        </w:numPr>
        <w:tabs>
          <w:tab w:val="left" w:pos="1440"/>
        </w:tabs>
        <w:spacing w:after="60"/>
        <w:ind w:left="1440"/>
      </w:pPr>
      <w:r w:rsidRPr="00BD7CEA">
        <w:rPr>
          <w:color w:val="000000"/>
          <w:szCs w:val="18"/>
        </w:rPr>
        <w:t xml:space="preserve">disponibilità dei rappresentanti, del personale IT e delle risorse della Società, inclusi, a titolo esemplificativo, hardware, software, connettività Internet e spazi ragionevolmente sufficienti; </w:t>
      </w:r>
    </w:p>
    <w:p w:rsidR="00DD7F8E" w:rsidRPr="00BD7CEA" w:rsidRDefault="00DD7F8E" w:rsidP="007358C5">
      <w:pPr>
        <w:numPr>
          <w:ilvl w:val="0"/>
          <w:numId w:val="77"/>
        </w:numPr>
        <w:tabs>
          <w:tab w:val="left" w:pos="1440"/>
        </w:tabs>
        <w:spacing w:after="60"/>
        <w:ind w:left="1440"/>
      </w:pPr>
      <w:r w:rsidRPr="00BD7CEA">
        <w:rPr>
          <w:color w:val="000000"/>
          <w:szCs w:val="18"/>
        </w:rPr>
        <w:t xml:space="preserve">tempestiva comunicazione, da parte della Società, di informazioni accurate e complete; </w:t>
      </w:r>
    </w:p>
    <w:p w:rsidR="00DD7F8E" w:rsidRPr="00BD7CEA" w:rsidRDefault="00DD7F8E" w:rsidP="007358C5">
      <w:pPr>
        <w:numPr>
          <w:ilvl w:val="0"/>
          <w:numId w:val="77"/>
        </w:numPr>
        <w:tabs>
          <w:tab w:val="left" w:pos="1440"/>
        </w:tabs>
        <w:spacing w:after="60"/>
        <w:ind w:left="1440"/>
      </w:pPr>
      <w:r w:rsidRPr="00BD7CEA">
        <w:rPr>
          <w:color w:val="000000"/>
          <w:szCs w:val="18"/>
        </w:rPr>
        <w:t>accesso a informazioni riguardanti l</w:t>
      </w:r>
      <w:r w:rsidR="007A1415" w:rsidRPr="00BD7CEA">
        <w:rPr>
          <w:color w:val="000000"/>
          <w:szCs w:val="18"/>
        </w:rPr>
        <w:t>’</w:t>
      </w:r>
      <w:r w:rsidRPr="00BD7CEA">
        <w:rPr>
          <w:color w:val="000000"/>
          <w:szCs w:val="18"/>
        </w:rPr>
        <w:t>organizzazione della Società;</w:t>
      </w:r>
    </w:p>
    <w:p w:rsidR="00DD7F8E" w:rsidRPr="00BD7CEA" w:rsidRDefault="00DD7F8E" w:rsidP="007358C5">
      <w:pPr>
        <w:numPr>
          <w:ilvl w:val="0"/>
          <w:numId w:val="77"/>
        </w:numPr>
        <w:tabs>
          <w:tab w:val="left" w:pos="1440"/>
        </w:tabs>
        <w:spacing w:after="60"/>
        <w:ind w:left="1440"/>
      </w:pPr>
      <w:r w:rsidRPr="00BD7CEA">
        <w:rPr>
          <w:color w:val="000000"/>
          <w:szCs w:val="18"/>
        </w:rPr>
        <w:t>adempimento tempestivo ed efficace delle responsabilità della Società e</w:t>
      </w:r>
    </w:p>
    <w:p w:rsidR="00DD7F8E" w:rsidRPr="00BD7CEA" w:rsidRDefault="00DD7F8E" w:rsidP="007358C5">
      <w:pPr>
        <w:numPr>
          <w:ilvl w:val="0"/>
          <w:numId w:val="77"/>
        </w:numPr>
        <w:tabs>
          <w:tab w:val="left" w:pos="1440"/>
        </w:tabs>
        <w:spacing w:after="60"/>
        <w:ind w:left="1440"/>
      </w:pPr>
      <w:r w:rsidRPr="00BD7CEA">
        <w:rPr>
          <w:color w:val="000000"/>
          <w:szCs w:val="18"/>
        </w:rPr>
        <w:t>approvazioni e decisioni tempestive da parte dei dirigenti e manager della Società.</w:t>
      </w:r>
      <w:r w:rsidR="008D782D" w:rsidRPr="00BD7CEA">
        <w:rPr>
          <w:color w:val="000000"/>
          <w:szCs w:val="18"/>
        </w:rPr>
        <w:t xml:space="preserve"> </w:t>
      </w:r>
    </w:p>
    <w:p w:rsidR="0064651F" w:rsidRPr="00BD7CEA" w:rsidRDefault="0064651F" w:rsidP="00CA52FE">
      <w:bookmarkStart w:id="977" w:name="_Toc288760404"/>
    </w:p>
    <w:p w:rsidR="00DD7F8E" w:rsidRPr="00BD7CEA" w:rsidRDefault="00DD7F8E" w:rsidP="00CA52FE">
      <w:r w:rsidRPr="00BD7CEA">
        <w:rPr>
          <w:b/>
          <w:sz w:val="24"/>
          <w:szCs w:val="18"/>
        </w:rPr>
        <w:t>Condizioni di Servizio Aggiuntive</w:t>
      </w:r>
    </w:p>
    <w:p w:rsidR="00DD7F8E" w:rsidRPr="00BD7CEA" w:rsidRDefault="00DD7F8E" w:rsidP="00CA52FE"/>
    <w:p w:rsidR="00DD7F8E" w:rsidRPr="00BD7CEA" w:rsidRDefault="00DB2D1E" w:rsidP="00E77F1E">
      <w:pPr>
        <w:spacing w:after="60"/>
      </w:pPr>
      <w:bookmarkStart w:id="978" w:name="_Toc317591257"/>
      <w:bookmarkStart w:id="979" w:name="_Toc336338248"/>
      <w:bookmarkStart w:id="980" w:name="_Toc353376028"/>
      <w:r w:rsidRPr="00BD7CEA">
        <w:rPr>
          <w:rStyle w:val="Heading2Char"/>
          <w:rFonts w:ascii="Tahoma" w:hAnsi="Tahoma"/>
          <w:sz w:val="20"/>
          <w:szCs w:val="20"/>
        </w:rPr>
        <w:t>Diritti sull</w:t>
      </w:r>
      <w:r w:rsidR="007A1415" w:rsidRPr="00BD7CEA">
        <w:rPr>
          <w:rStyle w:val="Heading2Char"/>
          <w:rFonts w:ascii="Tahoma" w:hAnsi="Tahoma"/>
          <w:sz w:val="20"/>
          <w:szCs w:val="20"/>
        </w:rPr>
        <w:t>’</w:t>
      </w:r>
      <w:r w:rsidRPr="00BD7CEA">
        <w:rPr>
          <w:rStyle w:val="Heading2Char"/>
          <w:rFonts w:ascii="Tahoma" w:hAnsi="Tahoma"/>
          <w:sz w:val="20"/>
          <w:szCs w:val="20"/>
        </w:rPr>
        <w:t>utilizzo, di titolarità e di licenza</w:t>
      </w:r>
      <w:bookmarkEnd w:id="977"/>
      <w:bookmarkEnd w:id="978"/>
      <w:bookmarkEnd w:id="979"/>
      <w:bookmarkEnd w:id="980"/>
    </w:p>
    <w:p w:rsidR="00DB2D1E" w:rsidRPr="00BD7CEA" w:rsidRDefault="00DB2D1E" w:rsidP="00CA52FE">
      <w:pPr>
        <w:pStyle w:val="normal1"/>
      </w:pPr>
      <w:r w:rsidRPr="00BD7CEA">
        <w:rPr>
          <w:rFonts w:ascii="Tahoma" w:hAnsi="Tahoma" w:cs="Tahoma"/>
          <w:b/>
          <w:bCs/>
          <w:color w:val="000000"/>
          <w:sz w:val="18"/>
          <w:szCs w:val="18"/>
        </w:rPr>
        <w:t>Fix.</w:t>
      </w:r>
      <w:r w:rsidR="008D782D" w:rsidRPr="00BD7CEA">
        <w:rPr>
          <w:rFonts w:ascii="Tahoma" w:hAnsi="Tahoma" w:cs="Tahoma"/>
          <w:b/>
          <w:bCs/>
          <w:color w:val="000000"/>
          <w:sz w:val="18"/>
          <w:szCs w:val="18"/>
        </w:rPr>
        <w:t xml:space="preserve"> </w:t>
      </w:r>
      <w:r w:rsidRPr="00BD7CEA">
        <w:rPr>
          <w:rFonts w:ascii="Tahoma" w:hAnsi="Tahoma" w:cs="Tahoma"/>
          <w:bCs/>
          <w:color w:val="000000"/>
          <w:sz w:val="18"/>
          <w:szCs w:val="18"/>
        </w:rPr>
        <w:t>Qualora Microsoft fornisca Fix alla Società durante la prestazione dei Servizi, tali</w:t>
      </w:r>
      <w:r w:rsidRPr="00BD7CEA">
        <w:rPr>
          <w:rFonts w:ascii="Tahoma" w:hAnsi="Tahoma" w:cs="Tahoma"/>
          <w:b/>
          <w:bCs/>
          <w:color w:val="000000"/>
          <w:sz w:val="18"/>
          <w:szCs w:val="18"/>
        </w:rPr>
        <w:t xml:space="preserve"> </w:t>
      </w:r>
      <w:r w:rsidRPr="00BD7CEA">
        <w:rPr>
          <w:rFonts w:ascii="Tahoma" w:hAnsi="Tahoma" w:cs="Tahoma"/>
          <w:color w:val="000000"/>
          <w:sz w:val="18"/>
          <w:szCs w:val="18"/>
        </w:rPr>
        <w:t>Fix sono concessi in licenza in</w:t>
      </w:r>
      <w:r w:rsidR="00267F87" w:rsidRPr="00BD7CEA">
        <w:rPr>
          <w:rFonts w:ascii="Tahoma" w:hAnsi="Tahoma" w:cs="Tahoma"/>
          <w:color w:val="000000"/>
          <w:sz w:val="18"/>
          <w:szCs w:val="18"/>
        </w:rPr>
        <w:t> </w:t>
      </w:r>
      <w:r w:rsidRPr="00BD7CEA">
        <w:rPr>
          <w:rFonts w:ascii="Tahoma" w:hAnsi="Tahoma" w:cs="Tahoma"/>
          <w:color w:val="000000"/>
          <w:sz w:val="18"/>
          <w:szCs w:val="18"/>
        </w:rPr>
        <w:t>conformità alle condizioni di licenza applicabili al Prodotto cui si riferiscono. Qualora i Fix non siano relativi a un Prodotto specifico, si applicheranno le condizioni per l</w:t>
      </w:r>
      <w:r w:rsidR="007A1415" w:rsidRPr="00BD7CEA">
        <w:rPr>
          <w:rFonts w:ascii="Tahoma" w:hAnsi="Tahoma" w:cs="Tahoma"/>
          <w:color w:val="000000"/>
          <w:sz w:val="18"/>
          <w:szCs w:val="18"/>
        </w:rPr>
        <w:t>’</w:t>
      </w:r>
      <w:r w:rsidRPr="00BD7CEA">
        <w:rPr>
          <w:rFonts w:ascii="Tahoma" w:hAnsi="Tahoma" w:cs="Tahoma"/>
          <w:color w:val="000000"/>
          <w:sz w:val="18"/>
          <w:szCs w:val="18"/>
        </w:rPr>
        <w:t>utilizzo fornite da Microsoft con i Fix. Nel caso non siano fornite condizioni per l</w:t>
      </w:r>
      <w:r w:rsidR="007A1415" w:rsidRPr="00BD7CEA">
        <w:rPr>
          <w:rFonts w:ascii="Tahoma" w:hAnsi="Tahoma" w:cs="Tahoma"/>
          <w:color w:val="000000"/>
          <w:sz w:val="18"/>
          <w:szCs w:val="18"/>
        </w:rPr>
        <w:t>’</w:t>
      </w:r>
      <w:r w:rsidRPr="00BD7CEA">
        <w:rPr>
          <w:rFonts w:ascii="Tahoma" w:hAnsi="Tahoma" w:cs="Tahoma"/>
          <w:color w:val="000000"/>
          <w:sz w:val="18"/>
          <w:szCs w:val="18"/>
        </w:rPr>
        <w:t>utilizzo, la Società avrà una licenza non esclusiva, perpetua e gratuita di utilizzare e riprodurre i Fix esclusivamente per uso interno. La Società non potrà modificare, cambiare il nome del file né combinare i Fix con altro codice per computer che non sia di Microsoft.</w:t>
      </w:r>
    </w:p>
    <w:p w:rsidR="003F47CB" w:rsidRPr="00BD7CEA" w:rsidRDefault="003F47CB" w:rsidP="00CA52FE">
      <w:pPr>
        <w:pStyle w:val="normal1"/>
      </w:pPr>
    </w:p>
    <w:p w:rsidR="00DB2D1E" w:rsidRPr="00BD7CEA" w:rsidRDefault="00DB2D1E" w:rsidP="00CA52FE">
      <w:pPr>
        <w:pStyle w:val="normal1"/>
      </w:pPr>
      <w:r w:rsidRPr="00BD7CEA">
        <w:rPr>
          <w:rFonts w:ascii="Tahoma" w:hAnsi="Tahoma" w:cs="Tahoma"/>
          <w:b/>
          <w:bCs/>
          <w:color w:val="000000"/>
          <w:sz w:val="18"/>
          <w:szCs w:val="18"/>
        </w:rPr>
        <w:t>Lavoro Pre-esistente.</w:t>
      </w:r>
      <w:r w:rsidR="008D782D" w:rsidRPr="00BD7CEA">
        <w:rPr>
          <w:rFonts w:ascii="Tahoma" w:hAnsi="Tahoma" w:cs="Tahoma"/>
          <w:color w:val="000000"/>
          <w:sz w:val="18"/>
          <w:szCs w:val="18"/>
        </w:rPr>
        <w:t xml:space="preserve"> </w:t>
      </w:r>
      <w:r w:rsidRPr="00BD7CEA">
        <w:rPr>
          <w:rFonts w:ascii="Tahoma" w:hAnsi="Tahoma" w:cs="Tahoma"/>
          <w:color w:val="000000"/>
          <w:sz w:val="18"/>
          <w:szCs w:val="18"/>
        </w:rPr>
        <w:t>Tutti i diritti riguardanti il codice per computer o qualsiasi altro materiale scritto non basato su codice sviluppato o altrimenti ottenuto da o per le parti o le relative Consociate e indipendente dal presente contratto (“Lavoro Pre-Esistente”) resteranno di esclusiva proprietà della parte che lo fornisce. Durante l</w:t>
      </w:r>
      <w:r w:rsidR="007A1415" w:rsidRPr="00BD7CEA">
        <w:rPr>
          <w:rFonts w:ascii="Tahoma" w:hAnsi="Tahoma" w:cs="Tahoma"/>
          <w:color w:val="000000"/>
          <w:sz w:val="18"/>
          <w:szCs w:val="18"/>
        </w:rPr>
        <w:t>’</w:t>
      </w:r>
      <w:r w:rsidRPr="00BD7CEA">
        <w:rPr>
          <w:rFonts w:ascii="Tahoma" w:hAnsi="Tahoma" w:cs="Tahoma"/>
          <w:color w:val="000000"/>
          <w:sz w:val="18"/>
          <w:szCs w:val="18"/>
        </w:rPr>
        <w:t>esecuzione dei Servizi ciascuna parte concederà all</w:t>
      </w:r>
      <w:r w:rsidR="007A1415" w:rsidRPr="00BD7CEA">
        <w:rPr>
          <w:rFonts w:ascii="Tahoma" w:hAnsi="Tahoma" w:cs="Tahoma"/>
          <w:color w:val="000000"/>
          <w:sz w:val="18"/>
          <w:szCs w:val="18"/>
        </w:rPr>
        <w:t>’</w:t>
      </w:r>
      <w:r w:rsidRPr="00BD7CEA">
        <w:rPr>
          <w:rFonts w:ascii="Tahoma" w:hAnsi="Tahoma" w:cs="Tahoma"/>
          <w:color w:val="000000"/>
          <w:sz w:val="18"/>
          <w:szCs w:val="18"/>
        </w:rPr>
        <w:t>altra, e se necessario ai fornitori di Microsoft, una licenza temporanea e non esclusiva di utilizzare, riprodurre e modificare qualsiasi Lavoro Pre-esistente fornito all</w:t>
      </w:r>
      <w:r w:rsidR="007A1415" w:rsidRPr="00BD7CEA">
        <w:rPr>
          <w:rFonts w:ascii="Tahoma" w:hAnsi="Tahoma" w:cs="Tahoma"/>
          <w:color w:val="000000"/>
          <w:sz w:val="18"/>
          <w:szCs w:val="18"/>
        </w:rPr>
        <w:t>’</w:t>
      </w:r>
      <w:r w:rsidRPr="00BD7CEA">
        <w:rPr>
          <w:rFonts w:ascii="Tahoma" w:hAnsi="Tahoma" w:cs="Tahoma"/>
          <w:color w:val="000000"/>
          <w:sz w:val="18"/>
          <w:szCs w:val="18"/>
        </w:rPr>
        <w:t>altra parte, al solo fine di eseguire i Servizi.</w:t>
      </w:r>
    </w:p>
    <w:p w:rsidR="00DB2D1E" w:rsidRPr="00BD7CEA" w:rsidRDefault="00DB2D1E" w:rsidP="00CA52FE">
      <w:pPr>
        <w:pStyle w:val="normal1"/>
      </w:pPr>
      <w:r w:rsidRPr="00BD7CEA">
        <w:rPr>
          <w:rFonts w:ascii="Tahoma" w:hAnsi="Tahoma" w:cs="Tahoma"/>
          <w:color w:val="000000"/>
          <w:sz w:val="18"/>
          <w:szCs w:val="18"/>
        </w:rPr>
        <w:lastRenderedPageBreak/>
        <w:t>Fatto salvo quanto diversamente concordato per iscritto tra le parti, Microsoft, ricevuto l</w:t>
      </w:r>
      <w:r w:rsidR="007A1415" w:rsidRPr="00BD7CEA">
        <w:rPr>
          <w:rFonts w:ascii="Tahoma" w:hAnsi="Tahoma" w:cs="Tahoma"/>
          <w:color w:val="000000"/>
          <w:sz w:val="18"/>
          <w:szCs w:val="18"/>
        </w:rPr>
        <w:t>’</w:t>
      </w:r>
      <w:r w:rsidRPr="00BD7CEA">
        <w:rPr>
          <w:rFonts w:ascii="Tahoma" w:hAnsi="Tahoma" w:cs="Tahoma"/>
          <w:color w:val="000000"/>
          <w:sz w:val="18"/>
          <w:szCs w:val="18"/>
        </w:rPr>
        <w:t>intero corrispettivo, concede alla Società una licenza non esclusiva, perpetua e gratuita di utilizzare, riprodurre e modificare (se applicabile) il</w:t>
      </w:r>
      <w:r w:rsidR="00267F87" w:rsidRPr="00BD7CEA">
        <w:rPr>
          <w:rFonts w:ascii="Tahoma" w:hAnsi="Tahoma" w:cs="Tahoma"/>
          <w:color w:val="000000"/>
          <w:sz w:val="18"/>
          <w:szCs w:val="18"/>
        </w:rPr>
        <w:t> </w:t>
      </w:r>
      <w:r w:rsidRPr="00BD7CEA">
        <w:rPr>
          <w:rFonts w:ascii="Tahoma" w:hAnsi="Tahoma" w:cs="Tahoma"/>
          <w:color w:val="000000"/>
          <w:sz w:val="18"/>
          <w:szCs w:val="18"/>
        </w:rPr>
        <w:t>Lavoro Pre-esistente di Microsoft esclusivamente nella forma consegnata alla Società come parte del Materiale Fornito con i Servizi ed esclusivamente per l</w:t>
      </w:r>
      <w:r w:rsidR="007A1415" w:rsidRPr="00BD7CEA">
        <w:rPr>
          <w:rFonts w:ascii="Tahoma" w:hAnsi="Tahoma" w:cs="Tahoma"/>
          <w:color w:val="000000"/>
          <w:sz w:val="18"/>
          <w:szCs w:val="18"/>
        </w:rPr>
        <w:t>’</w:t>
      </w:r>
      <w:r w:rsidRPr="00BD7CEA">
        <w:rPr>
          <w:rFonts w:ascii="Tahoma" w:hAnsi="Tahoma" w:cs="Tahoma"/>
          <w:color w:val="000000"/>
          <w:sz w:val="18"/>
          <w:szCs w:val="18"/>
        </w:rPr>
        <w:t xml:space="preserve">attività interna della Società stessa. La licenza riguardante il Lavoro </w:t>
      </w:r>
      <w:r w:rsidR="00267F87" w:rsidRPr="00BD7CEA">
        <w:rPr>
          <w:rFonts w:ascii="Tahoma" w:hAnsi="Tahoma" w:cs="Tahoma"/>
          <w:color w:val="000000"/>
          <w:sz w:val="18"/>
          <w:szCs w:val="18"/>
        </w:rPr>
        <w:br/>
      </w:r>
      <w:r w:rsidRPr="00BD7CEA">
        <w:rPr>
          <w:rFonts w:ascii="Tahoma" w:hAnsi="Tahoma" w:cs="Tahoma"/>
          <w:color w:val="000000"/>
          <w:sz w:val="18"/>
          <w:szCs w:val="18"/>
        </w:rPr>
        <w:t>Pre-esistente di Microsoft è subordinata al rispetto da parte della Società delle condizioni del presente contratto.</w:t>
      </w:r>
    </w:p>
    <w:p w:rsidR="003F47CB" w:rsidRPr="00BD7CEA" w:rsidRDefault="003F47CB" w:rsidP="00CA52FE">
      <w:pPr>
        <w:pStyle w:val="normal1"/>
        <w:rPr>
          <w:sz w:val="16"/>
          <w:szCs w:val="16"/>
        </w:rPr>
      </w:pPr>
    </w:p>
    <w:p w:rsidR="00DB2D1E" w:rsidRPr="00BD7CEA" w:rsidRDefault="00DB2D1E" w:rsidP="00CA52FE">
      <w:pPr>
        <w:pStyle w:val="normal1"/>
      </w:pPr>
      <w:r w:rsidRPr="00BD7CEA">
        <w:rPr>
          <w:rFonts w:ascii="Tahoma" w:hAnsi="Tahoma" w:cs="Tahoma"/>
          <w:b/>
          <w:bCs/>
          <w:color w:val="000000"/>
          <w:sz w:val="18"/>
          <w:szCs w:val="18"/>
        </w:rPr>
        <w:t>Sviluppi</w:t>
      </w:r>
      <w:r w:rsidRPr="00BD7CEA">
        <w:rPr>
          <w:rFonts w:ascii="Tahoma" w:hAnsi="Tahoma" w:cs="Tahoma"/>
          <w:b/>
          <w:color w:val="000000"/>
          <w:sz w:val="18"/>
          <w:szCs w:val="18"/>
        </w:rPr>
        <w:t>.</w:t>
      </w:r>
      <w:r w:rsidRPr="00BD7CEA">
        <w:rPr>
          <w:rFonts w:ascii="Tahoma" w:hAnsi="Tahoma" w:cs="Tahoma"/>
          <w:color w:val="000000"/>
          <w:sz w:val="18"/>
          <w:szCs w:val="18"/>
        </w:rPr>
        <w:t xml:space="preserve"> Microsoft, ricevuto l</w:t>
      </w:r>
      <w:r w:rsidR="007A1415" w:rsidRPr="00BD7CEA">
        <w:rPr>
          <w:rFonts w:ascii="Tahoma" w:hAnsi="Tahoma" w:cs="Tahoma"/>
          <w:color w:val="000000"/>
          <w:sz w:val="18"/>
          <w:szCs w:val="18"/>
        </w:rPr>
        <w:t>’</w:t>
      </w:r>
      <w:r w:rsidRPr="00BD7CEA">
        <w:rPr>
          <w:rFonts w:ascii="Tahoma" w:hAnsi="Tahoma" w:cs="Tahoma"/>
          <w:color w:val="000000"/>
          <w:sz w:val="18"/>
          <w:szCs w:val="18"/>
        </w:rPr>
        <w:t>intero corrispettivo, concede alla Società la titolarità congiunta di qualsiasi codice per computer o materiale scritto non basato su codice (diverso da Prodotti, Fix o Lavoro Pre-esistente) sviluppato da Microsoft o in collaborazione con la Società e lasciato presso quest</w:t>
      </w:r>
      <w:r w:rsidR="007A1415" w:rsidRPr="00BD7CEA">
        <w:rPr>
          <w:rFonts w:ascii="Tahoma" w:hAnsi="Tahoma" w:cs="Tahoma"/>
          <w:color w:val="000000"/>
          <w:sz w:val="18"/>
          <w:szCs w:val="18"/>
        </w:rPr>
        <w:t>’</w:t>
      </w:r>
      <w:r w:rsidRPr="00BD7CEA">
        <w:rPr>
          <w:rFonts w:ascii="Tahoma" w:hAnsi="Tahoma" w:cs="Tahoma"/>
          <w:color w:val="000000"/>
          <w:sz w:val="18"/>
          <w:szCs w:val="18"/>
        </w:rPr>
        <w:t>ultima alla conclusione dei Servizi (“Sviluppi”). Ciascuna parte sarà l</w:t>
      </w:r>
      <w:r w:rsidR="007A1415" w:rsidRPr="00BD7CEA">
        <w:rPr>
          <w:rFonts w:ascii="Tahoma" w:hAnsi="Tahoma" w:cs="Tahoma"/>
          <w:color w:val="000000"/>
          <w:sz w:val="18"/>
          <w:szCs w:val="18"/>
        </w:rPr>
        <w:t>’</w:t>
      </w:r>
      <w:r w:rsidRPr="00BD7CEA">
        <w:rPr>
          <w:rFonts w:ascii="Tahoma" w:hAnsi="Tahoma" w:cs="Tahoma"/>
          <w:color w:val="000000"/>
          <w:sz w:val="18"/>
          <w:szCs w:val="18"/>
        </w:rPr>
        <w:t>unica titolare dei diritti attinenti alle modifiche effettuate in base agli sviluppi. La Società accetta di esercitare i propri diritti in relazione a qualsiasi Sviluppo esclusivamente per le proprie attività interne e di non rivendere né distribuire gli Sviluppi a terzi.</w:t>
      </w:r>
    </w:p>
    <w:p w:rsidR="003F47CB" w:rsidRPr="00BD7CEA" w:rsidRDefault="003F47CB" w:rsidP="00CA52FE">
      <w:pPr>
        <w:pStyle w:val="normal1"/>
        <w:rPr>
          <w:sz w:val="16"/>
          <w:szCs w:val="16"/>
        </w:rPr>
      </w:pPr>
    </w:p>
    <w:p w:rsidR="00222641" w:rsidRPr="00BD7CEA" w:rsidRDefault="00222641" w:rsidP="00CA52FE">
      <w:r w:rsidRPr="00BD7CEA">
        <w:rPr>
          <w:rFonts w:eastAsia="Calibri" w:cs="Tahoma"/>
          <w:b/>
          <w:bCs/>
          <w:color w:val="000000"/>
          <w:szCs w:val="18"/>
        </w:rPr>
        <w:t>Materiale.</w:t>
      </w:r>
      <w:r w:rsidR="008D782D" w:rsidRPr="00BD7CEA">
        <w:rPr>
          <w:rFonts w:eastAsia="Calibri" w:cs="Tahoma"/>
          <w:b/>
          <w:bCs/>
          <w:color w:val="000000"/>
          <w:szCs w:val="18"/>
        </w:rPr>
        <w:t xml:space="preserve"> </w:t>
      </w:r>
      <w:r w:rsidRPr="00BD7CEA">
        <w:rPr>
          <w:rFonts w:eastAsia="Calibri" w:cs="Tahoma"/>
          <w:bCs/>
          <w:color w:val="000000"/>
          <w:szCs w:val="18"/>
        </w:rPr>
        <w:t>Tutti i diritti relativi a qualsiasi materiale sviluppato da Microsoft, diverso dal codice di software, e fornito alla società al fine di erogare il Supporto per Windows Azure e il Supporto Professionale (“Materiale”) saranno di proprietà esclusiva di Microsoft, fatta eccezione per i casi in cui il suddetto Materiale costituisca il Lavoro Preesistente della società.</w:t>
      </w:r>
      <w:r w:rsidR="008D782D" w:rsidRPr="00BD7CEA">
        <w:rPr>
          <w:rFonts w:eastAsia="Calibri" w:cs="Tahoma"/>
          <w:bCs/>
          <w:color w:val="000000"/>
          <w:szCs w:val="18"/>
        </w:rPr>
        <w:t xml:space="preserve"> </w:t>
      </w:r>
      <w:r w:rsidRPr="00BD7CEA">
        <w:rPr>
          <w:rFonts w:eastAsia="Calibri" w:cs="Tahoma"/>
          <w:bCs/>
          <w:color w:val="000000"/>
          <w:szCs w:val="18"/>
        </w:rPr>
        <w:t>Microsoft concede alle società una licenza non esclusiva, perpetua, gratuita di utilizzo, riproduzione e</w:t>
      </w:r>
      <w:r w:rsidR="00267F87" w:rsidRPr="00BD7CEA">
        <w:rPr>
          <w:rFonts w:eastAsia="Calibri" w:cs="Tahoma"/>
          <w:bCs/>
          <w:color w:val="000000"/>
          <w:szCs w:val="18"/>
        </w:rPr>
        <w:t> </w:t>
      </w:r>
      <w:r w:rsidRPr="00BD7CEA">
        <w:rPr>
          <w:rFonts w:eastAsia="Calibri" w:cs="Tahoma"/>
          <w:bCs/>
          <w:color w:val="000000"/>
          <w:szCs w:val="18"/>
        </w:rPr>
        <w:t>modifica del Materiale esclusivamente per le loro attività interne e senza alcuna obbligazione di contabilizzazione o</w:t>
      </w:r>
      <w:r w:rsidR="00267F87" w:rsidRPr="00BD7CEA">
        <w:rPr>
          <w:rFonts w:eastAsia="Calibri" w:cs="Tahoma"/>
          <w:bCs/>
          <w:color w:val="000000"/>
          <w:szCs w:val="18"/>
        </w:rPr>
        <w:t> </w:t>
      </w:r>
      <w:r w:rsidRPr="00BD7CEA">
        <w:rPr>
          <w:rFonts w:eastAsia="Calibri" w:cs="Tahoma"/>
          <w:bCs/>
          <w:color w:val="000000"/>
          <w:szCs w:val="18"/>
        </w:rPr>
        <w:t>pagamento di royalty.</w:t>
      </w:r>
      <w:r w:rsidR="008D782D" w:rsidRPr="00BD7CEA">
        <w:rPr>
          <w:rFonts w:eastAsia="Calibri" w:cs="Tahoma"/>
          <w:bCs/>
          <w:color w:val="000000"/>
          <w:szCs w:val="18"/>
        </w:rPr>
        <w:t xml:space="preserve"> </w:t>
      </w:r>
      <w:r w:rsidRPr="00BD7CEA">
        <w:rPr>
          <w:rFonts w:eastAsia="Calibri" w:cs="Tahoma"/>
          <w:bCs/>
          <w:color w:val="000000"/>
          <w:szCs w:val="18"/>
        </w:rPr>
        <w:t>Le società potranno concedere in sublicenza alle proprie Consociate i diritti concessi nel presente documento.</w:t>
      </w:r>
      <w:r w:rsidR="008D782D" w:rsidRPr="00BD7CEA">
        <w:rPr>
          <w:rFonts w:eastAsia="Calibri" w:cs="Tahoma"/>
          <w:bCs/>
          <w:color w:val="000000"/>
          <w:szCs w:val="18"/>
        </w:rPr>
        <w:t xml:space="preserve"> </w:t>
      </w:r>
      <w:r w:rsidRPr="00BD7CEA">
        <w:rPr>
          <w:rFonts w:eastAsia="Calibri" w:cs="Tahoma"/>
          <w:bCs/>
          <w:color w:val="000000"/>
          <w:szCs w:val="18"/>
        </w:rPr>
        <w:t>Tutti i diritti non espressamente concessi sono riservati.</w:t>
      </w:r>
    </w:p>
    <w:p w:rsidR="003F47CB" w:rsidRPr="00BD7CEA" w:rsidRDefault="003F47CB" w:rsidP="00CA52FE">
      <w:pPr>
        <w:rPr>
          <w:sz w:val="16"/>
          <w:szCs w:val="16"/>
        </w:rPr>
      </w:pPr>
    </w:p>
    <w:p w:rsidR="00B53C3C" w:rsidRPr="00BD7CEA" w:rsidRDefault="00B53C3C" w:rsidP="00CA52FE">
      <w:r w:rsidRPr="00BD7CEA">
        <w:rPr>
          <w:rFonts w:eastAsia="Calibri" w:cs="Tahoma"/>
          <w:b/>
          <w:bCs/>
          <w:color w:val="000000"/>
          <w:szCs w:val="18"/>
        </w:rPr>
        <w:t>Codice Campione.</w:t>
      </w:r>
      <w:r w:rsidR="008D782D" w:rsidRPr="00BD7CEA">
        <w:rPr>
          <w:rFonts w:eastAsia="Calibri" w:cs="Tahoma"/>
          <w:b/>
          <w:bCs/>
          <w:color w:val="000000"/>
          <w:szCs w:val="18"/>
        </w:rPr>
        <w:t xml:space="preserve"> </w:t>
      </w:r>
      <w:r w:rsidRPr="00BD7CEA">
        <w:rPr>
          <w:rFonts w:eastAsia="Calibri" w:cs="Tahoma"/>
          <w:bCs/>
          <w:color w:val="000000"/>
          <w:szCs w:val="18"/>
        </w:rPr>
        <w:t>Microsoft concede alle società un diritto non esclusivo, perpetuo e gratuito di utilizzare e</w:t>
      </w:r>
      <w:r w:rsidR="00267F87" w:rsidRPr="00BD7CEA">
        <w:rPr>
          <w:rFonts w:eastAsia="Calibri" w:cs="Tahoma"/>
          <w:bCs/>
          <w:color w:val="000000"/>
          <w:szCs w:val="18"/>
        </w:rPr>
        <w:t> </w:t>
      </w:r>
      <w:r w:rsidRPr="00BD7CEA">
        <w:rPr>
          <w:rFonts w:eastAsia="Calibri" w:cs="Tahoma"/>
          <w:bCs/>
          <w:color w:val="000000"/>
          <w:szCs w:val="18"/>
        </w:rPr>
        <w:t>modificare qualsiasi codice di software (“Codice Campione”) fornito da Microsoft allo scopo di illustrare e di riprodurre e distribuire il formato in codice oggetto del Codice Campione, a condizione che le società accettino di: (i) astenersi dall</w:t>
      </w:r>
      <w:r w:rsidR="007A1415" w:rsidRPr="00BD7CEA">
        <w:rPr>
          <w:rFonts w:eastAsia="Calibri" w:cs="Tahoma"/>
          <w:bCs/>
          <w:color w:val="000000"/>
          <w:szCs w:val="18"/>
        </w:rPr>
        <w:t>’</w:t>
      </w:r>
      <w:r w:rsidRPr="00BD7CEA">
        <w:rPr>
          <w:rFonts w:eastAsia="Calibri" w:cs="Tahoma"/>
          <w:bCs/>
          <w:color w:val="000000"/>
          <w:szCs w:val="18"/>
        </w:rPr>
        <w:t>utilizzare il nome, il logo o i marchi Microsoft per commercializzare il proprio prodotto software nel quale è incorporato il Codice Campione, (ii) includere valide informazioni sul copyright nel proprio prodotto software nel quale è incorporato il Codice Campione e (iii) indennizzare, manlevare e difendere Microsoft e i suoi fornitori da ogni e qualsiasi reclamo o azione giudiziaria, ivi incluse le spese legali che derivino o risultino dall</w:t>
      </w:r>
      <w:r w:rsidR="007A1415" w:rsidRPr="00BD7CEA">
        <w:rPr>
          <w:rFonts w:eastAsia="Calibri" w:cs="Tahoma"/>
          <w:bCs/>
          <w:color w:val="000000"/>
          <w:szCs w:val="18"/>
        </w:rPr>
        <w:t>’</w:t>
      </w:r>
      <w:r w:rsidRPr="00BD7CEA">
        <w:rPr>
          <w:rFonts w:eastAsia="Calibri" w:cs="Tahoma"/>
          <w:bCs/>
          <w:color w:val="000000"/>
          <w:szCs w:val="18"/>
        </w:rPr>
        <w:t xml:space="preserve">utilizzo o dalla distribuzione del Codice Campione. </w:t>
      </w:r>
    </w:p>
    <w:p w:rsidR="003F47CB" w:rsidRPr="00BD7CEA" w:rsidRDefault="003F47CB" w:rsidP="00CA52FE">
      <w:pPr>
        <w:rPr>
          <w:sz w:val="16"/>
          <w:szCs w:val="16"/>
        </w:rPr>
      </w:pPr>
    </w:p>
    <w:p w:rsidR="00DB2D1E" w:rsidRPr="00BD7CEA" w:rsidRDefault="00DB2D1E" w:rsidP="00CA52FE">
      <w:pPr>
        <w:pStyle w:val="normal1"/>
      </w:pPr>
      <w:r w:rsidRPr="00BD7CEA">
        <w:rPr>
          <w:rFonts w:ascii="Tahoma" w:hAnsi="Tahoma" w:cs="Tahoma"/>
          <w:b/>
          <w:bCs/>
          <w:color w:val="000000"/>
          <w:sz w:val="18"/>
          <w:szCs w:val="18"/>
        </w:rPr>
        <w:t>Restrizioni di Licenza Open Source</w:t>
      </w:r>
      <w:r w:rsidRPr="00BD7CEA">
        <w:rPr>
          <w:rFonts w:ascii="Tahoma" w:hAnsi="Tahoma" w:cs="Tahoma"/>
          <w:b/>
          <w:color w:val="000000"/>
          <w:sz w:val="18"/>
          <w:szCs w:val="18"/>
        </w:rPr>
        <w:t>.</w:t>
      </w:r>
      <w:r w:rsidRPr="00BD7CEA">
        <w:rPr>
          <w:rFonts w:ascii="Tahoma" w:hAnsi="Tahoma" w:cs="Tahoma"/>
          <w:color w:val="000000"/>
          <w:sz w:val="18"/>
          <w:szCs w:val="18"/>
        </w:rPr>
        <w:t xml:space="preserve"> Poiché alcune condizioni di licenza di terzi richiedono che il codice per computer sia a livello generale (i) divulgato a terzi nel formato in codice sorgente, (ii) concesso in licenza a terzi allo scopo di creare lavori derivati oppure (iii) ridistribuibile gratuitamente a terzi (collettivamente, “Condizioni di Licenza Open Source”), i diritti di licenza concessi da ciascuna parte relativamente a qualsiasi codice per computer, o a qualsiasi proprietà intellettuale ad esso associata, non comprendono alcuna licenza, diritto o potere di incorporare, modificare, associare e/o distribuire tale codice per computer con qualsiasi altro codice per computer in modo tale da assoggettare il codice per computer dell</w:t>
      </w:r>
      <w:r w:rsidR="007A1415" w:rsidRPr="00BD7CEA">
        <w:rPr>
          <w:rFonts w:ascii="Tahoma" w:hAnsi="Tahoma" w:cs="Tahoma"/>
          <w:color w:val="000000"/>
          <w:sz w:val="18"/>
          <w:szCs w:val="18"/>
        </w:rPr>
        <w:t>’</w:t>
      </w:r>
      <w:r w:rsidRPr="00BD7CEA">
        <w:rPr>
          <w:rFonts w:ascii="Tahoma" w:hAnsi="Tahoma" w:cs="Tahoma"/>
          <w:color w:val="000000"/>
          <w:sz w:val="18"/>
          <w:szCs w:val="18"/>
        </w:rPr>
        <w:t>altra parte a Condizioni di Licenza Open Source. Inoltre, ciascuna parte garantisce che non fornirà né metterà a disposizione dell</w:t>
      </w:r>
      <w:r w:rsidR="007A1415" w:rsidRPr="00BD7CEA">
        <w:rPr>
          <w:rFonts w:ascii="Tahoma" w:hAnsi="Tahoma" w:cs="Tahoma"/>
          <w:color w:val="000000"/>
          <w:sz w:val="18"/>
          <w:szCs w:val="18"/>
        </w:rPr>
        <w:t>’</w:t>
      </w:r>
      <w:r w:rsidRPr="00BD7CEA">
        <w:rPr>
          <w:rFonts w:ascii="Tahoma" w:hAnsi="Tahoma" w:cs="Tahoma"/>
          <w:color w:val="000000"/>
          <w:sz w:val="18"/>
          <w:szCs w:val="18"/>
        </w:rPr>
        <w:t>altra parte codice per computer che sia disciplinato da Condizioni di Licenza Open Source.</w:t>
      </w:r>
    </w:p>
    <w:p w:rsidR="003F47CB" w:rsidRPr="00BD7CEA" w:rsidRDefault="003F47CB" w:rsidP="00CA52FE">
      <w:pPr>
        <w:pStyle w:val="normal1"/>
        <w:rPr>
          <w:sz w:val="16"/>
          <w:szCs w:val="16"/>
        </w:rPr>
      </w:pPr>
    </w:p>
    <w:p w:rsidR="00DB2D1E" w:rsidRPr="00BD7CEA" w:rsidRDefault="00DB2D1E" w:rsidP="00CA52FE">
      <w:pPr>
        <w:pStyle w:val="normal1"/>
      </w:pPr>
      <w:r w:rsidRPr="00BD7CEA">
        <w:rPr>
          <w:rFonts w:ascii="Tahoma" w:hAnsi="Tahoma" w:cs="Tahoma"/>
          <w:b/>
          <w:bCs/>
          <w:color w:val="000000"/>
          <w:sz w:val="18"/>
          <w:szCs w:val="18"/>
        </w:rPr>
        <w:t>Diritti delle Consociate.</w:t>
      </w:r>
      <w:r w:rsidR="008D782D" w:rsidRPr="00BD7CEA">
        <w:rPr>
          <w:rFonts w:ascii="Tahoma" w:hAnsi="Tahoma" w:cs="Tahoma"/>
          <w:color w:val="000000"/>
          <w:sz w:val="18"/>
          <w:szCs w:val="18"/>
        </w:rPr>
        <w:t xml:space="preserve"> </w:t>
      </w:r>
      <w:r w:rsidRPr="00BD7CEA">
        <w:rPr>
          <w:rFonts w:ascii="Tahoma" w:hAnsi="Tahoma" w:cs="Tahoma"/>
          <w:color w:val="000000"/>
          <w:sz w:val="18"/>
          <w:szCs w:val="18"/>
        </w:rPr>
        <w:t>La Società può concedere in sublicenza alle proprie Consociate i diritti contenuti nel</w:t>
      </w:r>
      <w:r w:rsidR="00267F87" w:rsidRPr="00BD7CEA">
        <w:rPr>
          <w:rFonts w:ascii="Tahoma" w:hAnsi="Tahoma" w:cs="Tahoma"/>
          <w:color w:val="000000"/>
          <w:sz w:val="18"/>
          <w:szCs w:val="18"/>
        </w:rPr>
        <w:t> </w:t>
      </w:r>
      <w:r w:rsidRPr="00BD7CEA">
        <w:rPr>
          <w:rFonts w:ascii="Tahoma" w:hAnsi="Tahoma" w:cs="Tahoma"/>
          <w:color w:val="000000"/>
          <w:sz w:val="18"/>
          <w:szCs w:val="18"/>
        </w:rPr>
        <w:t>presente sottoparagrafo relativi al Materiale Fornito con i Servizi. Tali Consociate, tuttavia, non potranno ulteriormente concedere in sublicenza tali diritti e il loro utilizzo dovrà essere conforme alle condizioni di licenza previste nel presente contratto.</w:t>
      </w:r>
    </w:p>
    <w:p w:rsidR="001C1727" w:rsidRPr="00BD7CEA" w:rsidRDefault="001C1727">
      <w:pPr>
        <w:rPr>
          <w:sz w:val="16"/>
          <w:szCs w:val="16"/>
        </w:rPr>
      </w:pPr>
    </w:p>
    <w:p w:rsidR="00DB2D1E" w:rsidRPr="00BD7CEA" w:rsidRDefault="00DB2D1E" w:rsidP="00CA52FE">
      <w:r w:rsidRPr="00BD7CEA">
        <w:rPr>
          <w:rFonts w:cs="Tahoma"/>
          <w:b/>
          <w:bCs/>
          <w:color w:val="000000"/>
          <w:szCs w:val="18"/>
        </w:rPr>
        <w:t>Riserva di Diritti.</w:t>
      </w:r>
      <w:r w:rsidR="008D782D" w:rsidRPr="00BD7CEA">
        <w:rPr>
          <w:rFonts w:cs="Tahoma"/>
          <w:color w:val="000000"/>
          <w:szCs w:val="18"/>
        </w:rPr>
        <w:t xml:space="preserve"> </w:t>
      </w:r>
      <w:r w:rsidRPr="00BD7CEA">
        <w:rPr>
          <w:rFonts w:cs="Tahoma"/>
          <w:color w:val="000000"/>
          <w:szCs w:val="18"/>
        </w:rPr>
        <w:t>Tutti i diritti non espressamente concessi sono riservati.</w:t>
      </w:r>
    </w:p>
    <w:p w:rsidR="00DB2D1E" w:rsidRPr="00BD7CEA" w:rsidRDefault="00DB2D1E" w:rsidP="00CA52FE"/>
    <w:p w:rsidR="00DD7F8E" w:rsidRPr="00BD7CEA" w:rsidRDefault="00DD7F8E" w:rsidP="00E77F1E">
      <w:pPr>
        <w:spacing w:after="60"/>
      </w:pPr>
      <w:r w:rsidRPr="00BD7CEA">
        <w:rPr>
          <w:b/>
          <w:szCs w:val="18"/>
        </w:rPr>
        <w:t>Garanzie, Dichiarazioni di non Responsabilità e Limitazioni di Responsabilità</w:t>
      </w:r>
    </w:p>
    <w:p w:rsidR="00DD7F8E" w:rsidRPr="00BD7CEA" w:rsidRDefault="00DD7F8E" w:rsidP="00CA52FE">
      <w:pPr>
        <w:ind w:left="360"/>
      </w:pPr>
      <w:r w:rsidRPr="00BD7CEA">
        <w:rPr>
          <w:rFonts w:cs="Tahoma"/>
          <w:b/>
          <w:color w:val="000000"/>
          <w:szCs w:val="18"/>
        </w:rPr>
        <w:t>Garanzia per i Servizi</w:t>
      </w:r>
      <w:r w:rsidRPr="00BD7CEA">
        <w:rPr>
          <w:rFonts w:cs="Tahoma"/>
          <w:color w:val="000000"/>
          <w:szCs w:val="18"/>
        </w:rPr>
        <w:t>.</w:t>
      </w:r>
      <w:r w:rsidR="008D782D" w:rsidRPr="00BD7CEA">
        <w:rPr>
          <w:rFonts w:cs="Tahoma"/>
          <w:color w:val="000000"/>
          <w:szCs w:val="18"/>
        </w:rPr>
        <w:t xml:space="preserve"> </w:t>
      </w:r>
      <w:r w:rsidRPr="00BD7CEA">
        <w:rPr>
          <w:rFonts w:cs="Tahoma"/>
          <w:color w:val="000000"/>
          <w:szCs w:val="18"/>
        </w:rPr>
        <w:t>Microsoft garantisce che tutti i Servizi verranno eseguiti con cura e competenza professionali.</w:t>
      </w:r>
    </w:p>
    <w:p w:rsidR="00DD7F8E" w:rsidRPr="00BD7CEA" w:rsidRDefault="00DD7F8E" w:rsidP="00CA52FE">
      <w:pPr>
        <w:ind w:left="360"/>
      </w:pPr>
    </w:p>
    <w:p w:rsidR="00DD7F8E" w:rsidRPr="00A73368" w:rsidRDefault="00DD7F8E" w:rsidP="00CA52FE">
      <w:pPr>
        <w:ind w:left="360"/>
        <w:rPr>
          <w:szCs w:val="18"/>
        </w:rPr>
      </w:pPr>
      <w:r w:rsidRPr="00A73368">
        <w:rPr>
          <w:b/>
          <w:szCs w:val="18"/>
        </w:rPr>
        <w:t>ESCLUSIONE DI ALTRE GARANZIE.</w:t>
      </w:r>
      <w:r w:rsidR="008D782D" w:rsidRPr="00A73368">
        <w:rPr>
          <w:szCs w:val="18"/>
        </w:rPr>
        <w:t xml:space="preserve"> </w:t>
      </w:r>
      <w:r w:rsidRPr="00A73368">
        <w:rPr>
          <w:szCs w:val="18"/>
        </w:rPr>
        <w:t>NELLA MISURA MASSIMA CONSENTITA DALLA LEGGE APPLICABILE, MICROSOFT NON RICONOSCE ED ESCLUDE TUTTE LE DICHIARAZIONI, LE GARANZIE E LE CONDIZIONI ESPRESSE, IMPLICITE O DI LEGGE DIVERSE DA QUELLE SPECIFICATAMENTE INDICATE NEL PRESENTE CONTRATTO.</w:t>
      </w:r>
      <w:r w:rsidR="008D782D" w:rsidRPr="00A73368">
        <w:rPr>
          <w:szCs w:val="18"/>
        </w:rPr>
        <w:t xml:space="preserve"> </w:t>
      </w:r>
      <w:r w:rsidRPr="00A73368">
        <w:rPr>
          <w:szCs w:val="18"/>
        </w:rPr>
        <w:t>LA PRESENTE DICHIARAZIONE DI NON RESPONSABILITÀ INCLUDE QUALSIASI GARANZIA O</w:t>
      </w:r>
      <w:r w:rsidR="00267F87" w:rsidRPr="00A73368">
        <w:rPr>
          <w:szCs w:val="18"/>
        </w:rPr>
        <w:t> </w:t>
      </w:r>
      <w:r w:rsidRPr="00A73368">
        <w:rPr>
          <w:szCs w:val="18"/>
        </w:rPr>
        <w:t>CONDIZIONE DI TITOLARITÀ, DI NON VIOLAZIONE DI DIRITTI ALTRUI, DI QUALITÀ O RISULTATI SODDISFACENTI, DI COMMERCIABILITÀ (QUALITÀ NON INFERIORE ALLA MEDIA) E DI ADEGUATEZZA PER</w:t>
      </w:r>
      <w:r w:rsidR="00267F87" w:rsidRPr="00A73368">
        <w:rPr>
          <w:szCs w:val="18"/>
        </w:rPr>
        <w:t> </w:t>
      </w:r>
      <w:r w:rsidRPr="00A73368">
        <w:rPr>
          <w:szCs w:val="18"/>
        </w:rPr>
        <w:t>UNO SCOPO SPECIFICO, RELATIVAMENTE A CONSULENZA, RACCOMANDAZIONI, FIX, MATERIALE FORNITO CON I SERVIZI E MATERIALE CORRELATO FORNITO DA MICROSOFT E DA CONSOCIATE, FORNITORI</w:t>
      </w:r>
      <w:r w:rsidR="00267F87" w:rsidRPr="00A73368">
        <w:rPr>
          <w:szCs w:val="18"/>
        </w:rPr>
        <w:t> </w:t>
      </w:r>
      <w:r w:rsidRPr="00A73368">
        <w:rPr>
          <w:szCs w:val="18"/>
        </w:rPr>
        <w:t>E APPALTATORI MICROSOFT DURANTE L</w:t>
      </w:r>
      <w:r w:rsidR="007A1415" w:rsidRPr="00A73368">
        <w:rPr>
          <w:szCs w:val="18"/>
        </w:rPr>
        <w:t>’</w:t>
      </w:r>
      <w:r w:rsidRPr="00A73368">
        <w:rPr>
          <w:szCs w:val="18"/>
        </w:rPr>
        <w:t>EROGAZIONE DEI SERVIZI.</w:t>
      </w:r>
      <w:r w:rsidR="008D782D" w:rsidRPr="00A73368">
        <w:rPr>
          <w:szCs w:val="18"/>
        </w:rPr>
        <w:t xml:space="preserve"> </w:t>
      </w:r>
    </w:p>
    <w:p w:rsidR="00DD7F8E" w:rsidRPr="00BD7CEA" w:rsidRDefault="00DD7F8E" w:rsidP="00CA52FE">
      <w:pPr>
        <w:ind w:left="360"/>
      </w:pPr>
      <w:r w:rsidRPr="00BD7CEA">
        <w:rPr>
          <w:b/>
          <w:szCs w:val="18"/>
        </w:rPr>
        <w:lastRenderedPageBreak/>
        <w:t>Limitazione di Responsabilità</w:t>
      </w:r>
      <w:r w:rsidRPr="00BD7CEA">
        <w:rPr>
          <w:szCs w:val="18"/>
        </w:rPr>
        <w:t>.</w:t>
      </w:r>
      <w:r w:rsidR="008D782D" w:rsidRPr="00BD7CEA">
        <w:rPr>
          <w:szCs w:val="18"/>
        </w:rPr>
        <w:t xml:space="preserve"> </w:t>
      </w:r>
      <w:r w:rsidRPr="00BD7CEA">
        <w:rPr>
          <w:szCs w:val="18"/>
        </w:rPr>
        <w:t>La responsabilità complessiva di Microsoft per i danni diretti sarà limitata alla misura massima consentita dalla legge applicabile agli importi versati dalla Società per il pagamento dei Servizi che hanno dato origine al reclamo nei 12 mesi precedenti al reclamo.</w:t>
      </w:r>
      <w:r w:rsidR="008D782D" w:rsidRPr="00BD7CEA">
        <w:rPr>
          <w:szCs w:val="18"/>
        </w:rPr>
        <w:t xml:space="preserve"> </w:t>
      </w:r>
    </w:p>
    <w:p w:rsidR="00DD7F8E" w:rsidRPr="00BD7CEA" w:rsidRDefault="00DD7F8E" w:rsidP="00CA52FE">
      <w:pPr>
        <w:ind w:left="360"/>
      </w:pPr>
    </w:p>
    <w:p w:rsidR="00DD7F8E" w:rsidRPr="00BD7CEA" w:rsidRDefault="00DD7F8E" w:rsidP="00CA52FE">
      <w:pPr>
        <w:ind w:left="360"/>
      </w:pPr>
      <w:r w:rsidRPr="00BD7CEA">
        <w:rPr>
          <w:b/>
          <w:szCs w:val="18"/>
        </w:rPr>
        <w:t>ESCLUSIONE DI RESPONSABILITÀ PER DANNI PARTICOLARI</w:t>
      </w:r>
      <w:r w:rsidRPr="00BD7CEA">
        <w:rPr>
          <w:szCs w:val="18"/>
        </w:rPr>
        <w:t>.</w:t>
      </w:r>
      <w:r w:rsidR="008D782D" w:rsidRPr="00BD7CEA">
        <w:rPr>
          <w:szCs w:val="18"/>
        </w:rPr>
        <w:t xml:space="preserve"> </w:t>
      </w:r>
      <w:r w:rsidRPr="00BD7CEA">
        <w:rPr>
          <w:szCs w:val="18"/>
        </w:rPr>
        <w:t>NELLA MISURA MASSIMA CONSENTITA DALLA LEGGE APPLICABILE, NESSUNA DELLE PARTI NÉ DELLE RELATIVE CONSOCIATE O DEI RELATIVI FORNITORI O APPALTATORI SARÀ RESPONSABILE DI EVENTUALI DANNI INDIRETTI (INCLUSI, A TITOLO ESEMPLIFICATIVO, DANNI CONSEQUENZIALI, SPECIALI O INCIDENTALI, DANNI PER PERDITA O MANCATO GUADAGNO, INTERRUZIONE DELL</w:t>
      </w:r>
      <w:r w:rsidR="007A1415" w:rsidRPr="00BD7CEA">
        <w:rPr>
          <w:szCs w:val="18"/>
        </w:rPr>
        <w:t>’</w:t>
      </w:r>
      <w:r w:rsidRPr="00BD7CEA">
        <w:rPr>
          <w:szCs w:val="18"/>
        </w:rPr>
        <w:t>ATTIVITÀ O PERDITA DI INFORMAZIONI) CORRELATI AL PRESENTE CONTRATTO, ANCHE NEL CASO IN CUI LA POSSIBILITÀ DEL VERIFICARSI DI TALI DANNI FOSSE STATA COMUNICATA O FOSSE RAGIONEVOLMENTE PREVEDIBILE.</w:t>
      </w:r>
      <w:r w:rsidR="008D782D" w:rsidRPr="00BD7CEA">
        <w:rPr>
          <w:szCs w:val="18"/>
        </w:rPr>
        <w:t xml:space="preserve"> </w:t>
      </w:r>
      <w:r w:rsidRPr="00BD7CEA">
        <w:rPr>
          <w:szCs w:val="18"/>
        </w:rPr>
        <w:t>TALE ESCLUSIONE DI RESPONSABILITÀ NON SI</w:t>
      </w:r>
      <w:r w:rsidR="00D35075" w:rsidRPr="00BD7CEA">
        <w:rPr>
          <w:szCs w:val="18"/>
        </w:rPr>
        <w:t> </w:t>
      </w:r>
      <w:r w:rsidRPr="00BD7CEA">
        <w:rPr>
          <w:szCs w:val="18"/>
        </w:rPr>
        <w:t>APPLICA NEL CASO DI INADEMPIMENTO DELLE OBBLIGAZIONI DI RISERVATEZZA DI UNA PARTE NEI CONFRONTI DELL</w:t>
      </w:r>
      <w:r w:rsidR="007A1415" w:rsidRPr="00BD7CEA">
        <w:rPr>
          <w:szCs w:val="18"/>
        </w:rPr>
        <w:t>’</w:t>
      </w:r>
      <w:r w:rsidRPr="00BD7CEA">
        <w:rPr>
          <w:szCs w:val="18"/>
        </w:rPr>
        <w:t>ALTRA O NEL CASO DI VIOLAZIONE DEI DIRITTI DI PROPRIETÀ INTELLETTUALE DELL</w:t>
      </w:r>
      <w:r w:rsidR="007A1415" w:rsidRPr="00BD7CEA">
        <w:rPr>
          <w:szCs w:val="18"/>
        </w:rPr>
        <w:t>’</w:t>
      </w:r>
      <w:r w:rsidRPr="00BD7CEA">
        <w:rPr>
          <w:szCs w:val="18"/>
        </w:rPr>
        <w:t>ALTRA PARTE.</w:t>
      </w:r>
    </w:p>
    <w:p w:rsidR="00DD7F8E" w:rsidRPr="00BD7CEA" w:rsidRDefault="00DD7F8E" w:rsidP="00CA52FE">
      <w:pPr>
        <w:ind w:left="360" w:hanging="360"/>
        <w:jc w:val="both"/>
      </w:pPr>
    </w:p>
    <w:p w:rsidR="00DD7F8E" w:rsidRPr="00BD7CEA" w:rsidRDefault="00DD7F8E" w:rsidP="00CA52FE">
      <w:pPr>
        <w:ind w:left="360"/>
      </w:pPr>
      <w:r w:rsidRPr="00BD7CEA">
        <w:rPr>
          <w:b/>
          <w:szCs w:val="18"/>
        </w:rPr>
        <w:t>Applicazione</w:t>
      </w:r>
      <w:r w:rsidRPr="00BD7CEA">
        <w:rPr>
          <w:szCs w:val="18"/>
        </w:rPr>
        <w:t>.</w:t>
      </w:r>
      <w:r w:rsidR="008D782D" w:rsidRPr="00BD7CEA">
        <w:rPr>
          <w:szCs w:val="18"/>
        </w:rPr>
        <w:t xml:space="preserve"> </w:t>
      </w:r>
      <w:r w:rsidRPr="00BD7CEA">
        <w:rPr>
          <w:szCs w:val="18"/>
        </w:rPr>
        <w:t>Fatto salvo quanto espressamente indicato nel presente documento, le limitazioni e le esclusioni di responsabilità per danni, contenute nel presente contratto, sono comunque applicabili qualunque sia la natura della responsabilità, ovvero anche nel caso in cui la responsabilità derivi da inadempimento contrattuale, illecito civile (inclusa la negligenza), responsabilità oggettiva o violazione di garanzie.</w:t>
      </w:r>
    </w:p>
    <w:p w:rsidR="00023FE7" w:rsidRPr="00BD7CEA" w:rsidRDefault="00023FE7">
      <w:pPr>
        <w:tabs>
          <w:tab w:val="left" w:pos="2936"/>
        </w:tabs>
      </w:pPr>
    </w:p>
    <w:p w:rsidR="00023FE7" w:rsidRPr="00BD7CEA" w:rsidRDefault="00023FE7">
      <w:r w:rsidRPr="00BD7CEA">
        <w:br w:type="page"/>
      </w:r>
    </w:p>
    <w:p w:rsidR="008A1637" w:rsidRPr="00BD7CEA" w:rsidRDefault="008A1637" w:rsidP="003B23CC">
      <w:pPr>
        <w:pStyle w:val="Heading1"/>
      </w:pPr>
      <w:bookmarkStart w:id="981" w:name="_Toc336338249"/>
      <w:bookmarkStart w:id="982" w:name="_Toc353376029"/>
      <w:r w:rsidRPr="00BD7CEA">
        <w:lastRenderedPageBreak/>
        <w:t>ARTICOLO 9</w:t>
      </w:r>
      <w:r w:rsidR="00FD7C0D">
        <w:t xml:space="preserve"> – </w:t>
      </w:r>
      <w:r w:rsidRPr="00BD7CEA">
        <w:t>Condizioni Aggiuntive</w:t>
      </w:r>
      <w:bookmarkEnd w:id="981"/>
      <w:bookmarkEnd w:id="982"/>
    </w:p>
    <w:p w:rsidR="008A1637" w:rsidRPr="00BD7CEA" w:rsidRDefault="008A1637" w:rsidP="003B23CC">
      <w:pPr>
        <w:pStyle w:val="Heading1"/>
      </w:pPr>
      <w:r w:rsidRPr="00BD7CEA">
        <w:t xml:space="preserve"> </w:t>
      </w:r>
    </w:p>
    <w:p w:rsidR="008A1637" w:rsidRPr="00BD7CEA" w:rsidRDefault="008A1637" w:rsidP="008A1637">
      <w:pPr>
        <w:pStyle w:val="Heading3"/>
        <w:ind w:left="800" w:right="720" w:hanging="800"/>
      </w:pPr>
      <w:bookmarkStart w:id="983" w:name="_Toc323159781"/>
      <w:bookmarkStart w:id="984" w:name="_Toc336338250"/>
      <w:bookmarkStart w:id="985" w:name="_Toc353376030"/>
      <w:r w:rsidRPr="00BD7CEA">
        <w:rPr>
          <w:rFonts w:ascii="Tahoma" w:eastAsia="Times New Roman" w:hAnsi="Tahoma" w:cs="Tahoma"/>
          <w:color w:val="000000"/>
          <w:sz w:val="24"/>
          <w:szCs w:val="22"/>
        </w:rPr>
        <w:t>Client Access Licenses (CAL) e Licenze di Gestione Client (ML)</w:t>
      </w:r>
      <w:bookmarkEnd w:id="983"/>
      <w:bookmarkEnd w:id="984"/>
      <w:bookmarkEnd w:id="985"/>
    </w:p>
    <w:p w:rsidR="008A1637" w:rsidRPr="00BD7CEA" w:rsidRDefault="008A1637" w:rsidP="008A1637">
      <w:pPr>
        <w:pStyle w:val="AppendixFlushBulletedList"/>
        <w:tabs>
          <w:tab w:val="clear" w:pos="360"/>
        </w:tabs>
        <w:ind w:left="720" w:right="720" w:firstLine="0"/>
      </w:pPr>
    </w:p>
    <w:p w:rsidR="008A1637" w:rsidRPr="00BD7CEA" w:rsidRDefault="008A1637" w:rsidP="007358C5">
      <w:pPr>
        <w:pStyle w:val="AppendixFlushBulletedList"/>
        <w:numPr>
          <w:ilvl w:val="0"/>
          <w:numId w:val="78"/>
        </w:numPr>
        <w:ind w:left="1440" w:right="720"/>
      </w:pPr>
      <w:r w:rsidRPr="00BD7CEA">
        <w:rPr>
          <w:rFonts w:ascii="Tahoma" w:hAnsi="Tahoma" w:cs="Tahoma"/>
          <w:b/>
          <w:bCs/>
          <w:color w:val="000000"/>
          <w:sz w:val="18"/>
          <w:szCs w:val="18"/>
        </w:rPr>
        <w:t>Transizione tra User CAL e CAL per Dispositivo</w:t>
      </w:r>
    </w:p>
    <w:p w:rsidR="008A1637" w:rsidRPr="00BD7CEA" w:rsidRDefault="008A1637" w:rsidP="007358C5">
      <w:pPr>
        <w:pStyle w:val="AppendixBodyText"/>
        <w:numPr>
          <w:ilvl w:val="0"/>
          <w:numId w:val="79"/>
        </w:numPr>
        <w:spacing w:afterLines="60" w:after="144"/>
        <w:ind w:left="1800" w:right="720"/>
        <w:rPr>
          <w:spacing w:val="-2"/>
        </w:rPr>
      </w:pPr>
      <w:r w:rsidRPr="00BD7CEA">
        <w:rPr>
          <w:rFonts w:ascii="Tahoma" w:hAnsi="Tahoma" w:cs="Tahoma"/>
          <w:color w:val="000000"/>
          <w:spacing w:val="-2"/>
          <w:sz w:val="18"/>
          <w:szCs w:val="18"/>
        </w:rPr>
        <w:t>Le società con Software Assurance attiva per le CAL possono passare da Utente a Dispositivo e viceversa quando effettuano il rinnovo della loro copertura Software Assurance. Tale transizione non cambia l</w:t>
      </w:r>
      <w:r w:rsidR="007A1415" w:rsidRPr="00BD7CEA">
        <w:rPr>
          <w:rFonts w:ascii="Tahoma" w:hAnsi="Tahoma" w:cs="Tahoma"/>
          <w:color w:val="000000"/>
          <w:spacing w:val="-2"/>
          <w:sz w:val="18"/>
          <w:szCs w:val="18"/>
        </w:rPr>
        <w:t>’</w:t>
      </w:r>
      <w:r w:rsidRPr="00BD7CEA">
        <w:rPr>
          <w:rFonts w:ascii="Tahoma" w:hAnsi="Tahoma" w:cs="Tahoma"/>
          <w:color w:val="000000"/>
          <w:spacing w:val="-2"/>
          <w:sz w:val="18"/>
          <w:szCs w:val="18"/>
        </w:rPr>
        <w:t xml:space="preserve">edizione della CAL (ad esempio, da Standard a Enterprise). Fare riferimento alle Note del Prodotto per informazioni sui singoli prodotti </w:t>
      </w:r>
    </w:p>
    <w:p w:rsidR="008A1637" w:rsidRPr="00BD7CEA" w:rsidRDefault="008A1637" w:rsidP="007358C5">
      <w:pPr>
        <w:pStyle w:val="AppendixFlushBulletedList"/>
        <w:numPr>
          <w:ilvl w:val="0"/>
          <w:numId w:val="78"/>
        </w:numPr>
        <w:ind w:left="1440" w:right="720"/>
      </w:pPr>
      <w:r w:rsidRPr="00BD7CEA">
        <w:rPr>
          <w:rFonts w:ascii="Tahoma" w:hAnsi="Tahoma" w:cs="Tahoma"/>
          <w:b/>
          <w:bCs/>
          <w:color w:val="000000"/>
          <w:sz w:val="18"/>
          <w:szCs w:val="18"/>
        </w:rPr>
        <w:t>Transizione tra client ML per Utente e per OSE</w:t>
      </w:r>
    </w:p>
    <w:p w:rsidR="008A1637" w:rsidRPr="00BD7CEA" w:rsidRDefault="008A1637" w:rsidP="007358C5">
      <w:pPr>
        <w:pStyle w:val="AppendixBodyText"/>
        <w:numPr>
          <w:ilvl w:val="0"/>
          <w:numId w:val="79"/>
        </w:numPr>
        <w:spacing w:afterLines="60" w:after="144"/>
        <w:ind w:left="1800" w:right="720"/>
        <w:rPr>
          <w:spacing w:val="-2"/>
        </w:rPr>
      </w:pPr>
      <w:r w:rsidRPr="00BD7CEA">
        <w:rPr>
          <w:rFonts w:ascii="Tahoma" w:hAnsi="Tahoma" w:cs="Tahoma"/>
          <w:color w:val="000000"/>
          <w:spacing w:val="-2"/>
          <w:sz w:val="18"/>
          <w:szCs w:val="18"/>
        </w:rPr>
        <w:t>Le società con Software Assurance attiva per le client ML possono passare da Utente</w:t>
      </w:r>
      <w:r w:rsidR="00D35075" w:rsidRPr="00BD7CEA">
        <w:rPr>
          <w:rFonts w:ascii="Tahoma" w:hAnsi="Tahoma" w:cs="Tahoma"/>
          <w:color w:val="000000"/>
          <w:spacing w:val="-2"/>
          <w:sz w:val="18"/>
          <w:szCs w:val="18"/>
        </w:rPr>
        <w:t> </w:t>
      </w:r>
      <w:r w:rsidRPr="00BD7CEA">
        <w:rPr>
          <w:rFonts w:ascii="Tahoma" w:hAnsi="Tahoma" w:cs="Tahoma"/>
          <w:color w:val="000000"/>
          <w:spacing w:val="-2"/>
          <w:sz w:val="18"/>
          <w:szCs w:val="18"/>
        </w:rPr>
        <w:t>a</w:t>
      </w:r>
      <w:r w:rsidR="00D35075" w:rsidRPr="00BD7CEA">
        <w:rPr>
          <w:rFonts w:ascii="Tahoma" w:hAnsi="Tahoma" w:cs="Tahoma"/>
          <w:color w:val="000000"/>
          <w:spacing w:val="-2"/>
          <w:sz w:val="18"/>
          <w:szCs w:val="18"/>
        </w:rPr>
        <w:t> </w:t>
      </w:r>
      <w:r w:rsidRPr="00BD7CEA">
        <w:rPr>
          <w:rFonts w:ascii="Tahoma" w:hAnsi="Tahoma" w:cs="Tahoma"/>
          <w:color w:val="000000"/>
          <w:spacing w:val="-2"/>
          <w:sz w:val="18"/>
          <w:szCs w:val="18"/>
        </w:rPr>
        <w:t xml:space="preserve">OSE e viceversa quando effettuano il rinnovo della loro copertura Software Assurance. Fare riferimento alle Note del Prodotto per informazioni sui singoli prodotti. </w:t>
      </w:r>
    </w:p>
    <w:p w:rsidR="008A1637" w:rsidRPr="00BD7CEA" w:rsidRDefault="008A1637" w:rsidP="007358C5">
      <w:pPr>
        <w:pStyle w:val="AppendixFlushBulletedList"/>
        <w:numPr>
          <w:ilvl w:val="0"/>
          <w:numId w:val="78"/>
        </w:numPr>
        <w:ind w:left="1440" w:right="720"/>
      </w:pPr>
      <w:r w:rsidRPr="00BD7CEA">
        <w:rPr>
          <w:rFonts w:ascii="Tahoma" w:hAnsi="Tahoma" w:cs="Tahoma"/>
          <w:b/>
          <w:bCs/>
          <w:color w:val="000000"/>
          <w:sz w:val="18"/>
          <w:szCs w:val="18"/>
        </w:rPr>
        <w:t>In fase di rinnovo</w:t>
      </w:r>
    </w:p>
    <w:p w:rsidR="008A1637" w:rsidRPr="00BD7CEA" w:rsidRDefault="008A1637" w:rsidP="007358C5">
      <w:pPr>
        <w:pStyle w:val="AppendixBodyText"/>
        <w:numPr>
          <w:ilvl w:val="0"/>
          <w:numId w:val="79"/>
        </w:numPr>
        <w:spacing w:afterLines="60" w:after="144"/>
        <w:ind w:left="1800" w:right="720"/>
      </w:pPr>
      <w:r w:rsidRPr="00BD7CEA">
        <w:rPr>
          <w:rFonts w:ascii="Tahoma" w:hAnsi="Tahoma" w:cs="Tahoma"/>
          <w:color w:val="000000"/>
          <w:sz w:val="18"/>
          <w:szCs w:val="18"/>
        </w:rPr>
        <w:t>Nel caso in cui siano disponibili sia User CAL che CAL per Dispositivo, le società potranno rinnovare Software Assurance per entrambi i tipi. I diritti di utilizzo del prodotto per il tipo di licenze CAL per il quale è stata ordinata la copertura Software Assurance determinano la modalità di assegnazione e uso delle licenze CAL. Le società che hanno effettuato l</w:t>
      </w:r>
      <w:r w:rsidR="007A1415" w:rsidRPr="00BD7CEA">
        <w:rPr>
          <w:rFonts w:ascii="Tahoma" w:hAnsi="Tahoma" w:cs="Tahoma"/>
          <w:color w:val="000000"/>
          <w:sz w:val="18"/>
          <w:szCs w:val="18"/>
        </w:rPr>
        <w:t>’</w:t>
      </w:r>
      <w:r w:rsidRPr="00BD7CEA">
        <w:rPr>
          <w:rFonts w:ascii="Tahoma" w:hAnsi="Tahoma" w:cs="Tahoma"/>
          <w:color w:val="000000"/>
          <w:sz w:val="18"/>
          <w:szCs w:val="18"/>
        </w:rPr>
        <w:t xml:space="preserve">Iscrizione Enterprise e che scelgono di ordinare Software Assurance per le User CAL potranno acquistare le licenze CAL sulla base del loro numero di utenti. Fare riferimento alle note per informazioni sui singoli prodotti. </w:t>
      </w:r>
    </w:p>
    <w:p w:rsidR="008A1637" w:rsidRPr="00BD7CEA" w:rsidRDefault="008A1637" w:rsidP="007358C5">
      <w:pPr>
        <w:pStyle w:val="AppendixFlushBulletedList"/>
        <w:numPr>
          <w:ilvl w:val="0"/>
          <w:numId w:val="78"/>
        </w:numPr>
        <w:ind w:left="1440" w:right="720"/>
      </w:pPr>
      <w:r w:rsidRPr="00BD7CEA">
        <w:rPr>
          <w:rFonts w:ascii="Tahoma" w:hAnsi="Tahoma" w:cs="Tahoma"/>
          <w:b/>
          <w:bCs/>
          <w:color w:val="000000"/>
          <w:sz w:val="18"/>
          <w:szCs w:val="18"/>
        </w:rPr>
        <w:t>CAL in Eccedenza</w:t>
      </w:r>
    </w:p>
    <w:p w:rsidR="008A1637" w:rsidRPr="00BD7CEA" w:rsidRDefault="008A1637" w:rsidP="007358C5">
      <w:pPr>
        <w:pStyle w:val="AppendixBodyText"/>
        <w:numPr>
          <w:ilvl w:val="0"/>
          <w:numId w:val="79"/>
        </w:numPr>
        <w:spacing w:afterLines="60" w:after="144"/>
        <w:ind w:left="1800" w:right="720"/>
      </w:pPr>
      <w:r w:rsidRPr="00BD7CEA">
        <w:rPr>
          <w:rFonts w:ascii="Tahoma" w:hAnsi="Tahoma" w:cs="Tahoma"/>
          <w:color w:val="000000"/>
          <w:sz w:val="18"/>
          <w:szCs w:val="18"/>
        </w:rPr>
        <w:t>La transizione tra User CAL e CAL per Dispositivo, nella modalità consentita sopra, potrebbe dar luogo a un</w:t>
      </w:r>
      <w:r w:rsidR="007A1415" w:rsidRPr="00BD7CEA">
        <w:rPr>
          <w:rFonts w:ascii="Tahoma" w:hAnsi="Tahoma" w:cs="Tahoma"/>
          <w:color w:val="000000"/>
          <w:sz w:val="18"/>
          <w:szCs w:val="18"/>
        </w:rPr>
        <w:t>’</w:t>
      </w:r>
      <w:r w:rsidRPr="00BD7CEA">
        <w:rPr>
          <w:rFonts w:ascii="Tahoma" w:hAnsi="Tahoma" w:cs="Tahoma"/>
          <w:color w:val="000000"/>
          <w:sz w:val="18"/>
          <w:szCs w:val="18"/>
        </w:rPr>
        <w:t>eccedenza di CAL. Le società potranno riassegnare le CAL in</w:t>
      </w:r>
      <w:r w:rsidR="00D35075" w:rsidRPr="00BD7CEA">
        <w:rPr>
          <w:rFonts w:ascii="Tahoma" w:hAnsi="Tahoma" w:cs="Tahoma"/>
          <w:color w:val="000000"/>
          <w:sz w:val="18"/>
          <w:szCs w:val="18"/>
        </w:rPr>
        <w:t> </w:t>
      </w:r>
      <w:r w:rsidRPr="00BD7CEA">
        <w:rPr>
          <w:rFonts w:ascii="Tahoma" w:hAnsi="Tahoma" w:cs="Tahoma"/>
          <w:color w:val="000000"/>
          <w:sz w:val="18"/>
          <w:szCs w:val="18"/>
        </w:rPr>
        <w:t>eccedenza quando il loro numero di utenti o dispositivi crescerà. In fase di rinnovo le società potranno scegliere di tenere Software Assurance per le CAL in eccedenza. Le società non potranno rinnovare successivamente Software Assurance per le CAL in</w:t>
      </w:r>
      <w:r w:rsidR="00D35075" w:rsidRPr="00BD7CEA">
        <w:rPr>
          <w:rFonts w:ascii="Tahoma" w:hAnsi="Tahoma" w:cs="Tahoma"/>
          <w:color w:val="000000"/>
          <w:sz w:val="18"/>
          <w:szCs w:val="18"/>
        </w:rPr>
        <w:t> </w:t>
      </w:r>
      <w:r w:rsidRPr="00BD7CEA">
        <w:rPr>
          <w:rFonts w:ascii="Tahoma" w:hAnsi="Tahoma" w:cs="Tahoma"/>
          <w:color w:val="000000"/>
          <w:sz w:val="18"/>
          <w:szCs w:val="18"/>
        </w:rPr>
        <w:t xml:space="preserve">eccedenza, per le quali è scaduta la copertura. </w:t>
      </w:r>
    </w:p>
    <w:p w:rsidR="008A1637" w:rsidRPr="00BD7CEA" w:rsidRDefault="008A1637" w:rsidP="007358C5">
      <w:pPr>
        <w:pStyle w:val="AppendixFlushBulletedList"/>
        <w:numPr>
          <w:ilvl w:val="0"/>
          <w:numId w:val="78"/>
        </w:numPr>
        <w:ind w:left="1440" w:right="720"/>
      </w:pPr>
      <w:r w:rsidRPr="00BD7CEA">
        <w:rPr>
          <w:rFonts w:ascii="Tahoma" w:hAnsi="Tahoma" w:cs="Tahoma"/>
          <w:b/>
          <w:bCs/>
          <w:color w:val="000000"/>
          <w:sz w:val="18"/>
          <w:szCs w:val="18"/>
        </w:rPr>
        <w:t>ML in Eccedenza</w:t>
      </w:r>
    </w:p>
    <w:p w:rsidR="008A1637" w:rsidRPr="00BD7CEA" w:rsidRDefault="008A1637" w:rsidP="007358C5">
      <w:pPr>
        <w:pStyle w:val="AppendixBodyText"/>
        <w:numPr>
          <w:ilvl w:val="0"/>
          <w:numId w:val="79"/>
        </w:numPr>
        <w:spacing w:afterLines="60" w:after="144"/>
        <w:ind w:left="1800" w:right="720"/>
      </w:pPr>
      <w:r w:rsidRPr="00BD7CEA">
        <w:rPr>
          <w:rFonts w:ascii="Tahoma" w:hAnsi="Tahoma" w:cs="Tahoma"/>
          <w:color w:val="000000"/>
          <w:sz w:val="18"/>
          <w:szCs w:val="18"/>
        </w:rPr>
        <w:t>La transizione tra client ML per Utente e per OSE, nella modalità consentita sopra, potrebbe dar luogo a un</w:t>
      </w:r>
      <w:r w:rsidR="007A1415" w:rsidRPr="00BD7CEA">
        <w:rPr>
          <w:rFonts w:ascii="Tahoma" w:hAnsi="Tahoma" w:cs="Tahoma"/>
          <w:color w:val="000000"/>
          <w:sz w:val="18"/>
          <w:szCs w:val="18"/>
        </w:rPr>
        <w:t>’</w:t>
      </w:r>
      <w:r w:rsidRPr="00BD7CEA">
        <w:rPr>
          <w:rFonts w:ascii="Tahoma" w:hAnsi="Tahoma" w:cs="Tahoma"/>
          <w:color w:val="000000"/>
          <w:sz w:val="18"/>
          <w:szCs w:val="18"/>
        </w:rPr>
        <w:t>eccedenza di ML. Le società potranno riassegnare le ML in eccedenza quando il loro numero di utenti o di OSE gestiti crescerà. In fase di rinnovo le società potranno scegliere di tenere Software Assurance per le ML in eccedenza. Le</w:t>
      </w:r>
      <w:r w:rsidR="00D35075" w:rsidRPr="00BD7CEA">
        <w:rPr>
          <w:rFonts w:ascii="Tahoma" w:hAnsi="Tahoma" w:cs="Tahoma"/>
          <w:color w:val="000000"/>
          <w:sz w:val="18"/>
          <w:szCs w:val="18"/>
        </w:rPr>
        <w:t> </w:t>
      </w:r>
      <w:r w:rsidRPr="00BD7CEA">
        <w:rPr>
          <w:rFonts w:ascii="Tahoma" w:hAnsi="Tahoma" w:cs="Tahoma"/>
          <w:color w:val="000000"/>
          <w:sz w:val="18"/>
          <w:szCs w:val="18"/>
        </w:rPr>
        <w:t>società non potranno rinnovare successivamente Software Assurance per le ML in</w:t>
      </w:r>
      <w:r w:rsidR="00D35075" w:rsidRPr="00BD7CEA">
        <w:rPr>
          <w:rFonts w:ascii="Tahoma" w:hAnsi="Tahoma" w:cs="Tahoma"/>
          <w:color w:val="000000"/>
          <w:sz w:val="18"/>
          <w:szCs w:val="18"/>
        </w:rPr>
        <w:t> </w:t>
      </w:r>
      <w:r w:rsidRPr="00BD7CEA">
        <w:rPr>
          <w:rFonts w:ascii="Tahoma" w:hAnsi="Tahoma" w:cs="Tahoma"/>
          <w:color w:val="000000"/>
          <w:sz w:val="18"/>
          <w:szCs w:val="18"/>
        </w:rPr>
        <w:t xml:space="preserve">eccedenza, per le quali è scaduta la copertura. </w:t>
      </w:r>
    </w:p>
    <w:p w:rsidR="008A1637" w:rsidRPr="00BD7CEA" w:rsidRDefault="008A1637" w:rsidP="007358C5">
      <w:pPr>
        <w:pStyle w:val="AppendixFlushBulletedList"/>
        <w:numPr>
          <w:ilvl w:val="0"/>
          <w:numId w:val="78"/>
        </w:numPr>
        <w:ind w:left="1440" w:right="720"/>
      </w:pPr>
      <w:r w:rsidRPr="00BD7CEA">
        <w:rPr>
          <w:rFonts w:ascii="Tahoma" w:hAnsi="Tahoma" w:cs="Tahoma"/>
          <w:b/>
          <w:bCs/>
          <w:color w:val="000000"/>
          <w:sz w:val="18"/>
          <w:szCs w:val="18"/>
        </w:rPr>
        <w:t>Prova di Licenze</w:t>
      </w:r>
    </w:p>
    <w:p w:rsidR="007022C1" w:rsidRPr="00BD7CEA" w:rsidRDefault="008A1637" w:rsidP="007358C5">
      <w:pPr>
        <w:pStyle w:val="AppendixBodyText"/>
        <w:numPr>
          <w:ilvl w:val="0"/>
          <w:numId w:val="79"/>
        </w:numPr>
        <w:spacing w:after="0"/>
        <w:ind w:left="1800" w:right="720"/>
      </w:pPr>
      <w:r w:rsidRPr="00BD7CEA">
        <w:rPr>
          <w:rFonts w:ascii="Tahoma" w:hAnsi="Tahoma" w:cs="Tahoma"/>
          <w:color w:val="000000"/>
          <w:sz w:val="18"/>
          <w:szCs w:val="18"/>
        </w:rPr>
        <w:t>Il diritto di migrare alle User CAL e di utilizzarle è evidenziato nella presente Lista dei</w:t>
      </w:r>
      <w:r w:rsidR="00D35075" w:rsidRPr="00BD7CEA">
        <w:rPr>
          <w:rFonts w:ascii="Tahoma" w:hAnsi="Tahoma" w:cs="Tahoma"/>
          <w:color w:val="000000"/>
          <w:sz w:val="18"/>
          <w:szCs w:val="18"/>
        </w:rPr>
        <w:t> </w:t>
      </w:r>
      <w:r w:rsidRPr="00BD7CEA">
        <w:rPr>
          <w:rFonts w:ascii="Tahoma" w:hAnsi="Tahoma" w:cs="Tahoma"/>
          <w:color w:val="000000"/>
          <w:sz w:val="18"/>
          <w:szCs w:val="18"/>
        </w:rPr>
        <w:t>Prodotti, nelle documentazioni relative a Software Assurance delle società e nelle CAL sottostanti. Il diritto di migrare alle User ML e di utilizzarle è evidenziato nella presente Lista dei Prodotti, nelle documentazioni relative a Software Assurance delle società e nelle ML sottostanti.</w:t>
      </w:r>
    </w:p>
    <w:p w:rsidR="007022C1" w:rsidRPr="00BD7CEA" w:rsidRDefault="007022C1" w:rsidP="00944EE1">
      <w:pPr>
        <w:pStyle w:val="AppendixBodyText"/>
        <w:spacing w:after="0"/>
        <w:ind w:right="720"/>
      </w:pPr>
    </w:p>
    <w:p w:rsidR="008A1637" w:rsidRPr="00BD7CEA" w:rsidRDefault="008A1637" w:rsidP="008A1637">
      <w:pPr>
        <w:pStyle w:val="Heading3"/>
        <w:ind w:right="720"/>
      </w:pPr>
      <w:bookmarkStart w:id="986" w:name="_Toc323159782"/>
      <w:bookmarkStart w:id="987" w:name="_Toc336338251"/>
      <w:bookmarkStart w:id="988" w:name="_Toc353376031"/>
      <w:r w:rsidRPr="00BD7CEA">
        <w:rPr>
          <w:rFonts w:ascii="Tahoma" w:hAnsi="Tahoma" w:cs="Tahoma"/>
          <w:sz w:val="24"/>
          <w:szCs w:val="22"/>
        </w:rPr>
        <w:t>Limitazioni dei Controlli EI</w:t>
      </w:r>
      <w:bookmarkEnd w:id="986"/>
      <w:bookmarkEnd w:id="987"/>
      <w:bookmarkEnd w:id="988"/>
    </w:p>
    <w:p w:rsidR="008A1637" w:rsidRPr="00BD7CEA" w:rsidRDefault="008A1637" w:rsidP="008A1637">
      <w:pPr>
        <w:ind w:right="720"/>
      </w:pPr>
    </w:p>
    <w:p w:rsidR="008A1637" w:rsidRPr="00BD7CEA" w:rsidRDefault="008A1637" w:rsidP="008A1637">
      <w:pPr>
        <w:pStyle w:val="AppendixBodyText"/>
        <w:ind w:right="720"/>
      </w:pPr>
      <w:r w:rsidRPr="00BD7CEA">
        <w:rPr>
          <w:rFonts w:ascii="Tahoma" w:hAnsi="Tahoma" w:cs="Tahoma"/>
          <w:sz w:val="18"/>
        </w:rPr>
        <w:t>L</w:t>
      </w:r>
      <w:r w:rsidR="007A1415" w:rsidRPr="00BD7CEA">
        <w:rPr>
          <w:rFonts w:ascii="Tahoma" w:hAnsi="Tahoma" w:cs="Tahoma"/>
          <w:sz w:val="18"/>
        </w:rPr>
        <w:t>’</w:t>
      </w:r>
      <w:r w:rsidRPr="00BD7CEA">
        <w:rPr>
          <w:rFonts w:ascii="Tahoma" w:hAnsi="Tahoma" w:cs="Tahoma"/>
          <w:sz w:val="18"/>
        </w:rPr>
        <w:t>esportazione di alcuni prodotti Microsoft dagli Stati Uniti è regolata ai sensi dei “Controlli EI” dell</w:t>
      </w:r>
      <w:r w:rsidR="007A1415" w:rsidRPr="00BD7CEA">
        <w:rPr>
          <w:rFonts w:ascii="Tahoma" w:hAnsi="Tahoma" w:cs="Tahoma"/>
          <w:sz w:val="18"/>
        </w:rPr>
        <w:t>’</w:t>
      </w:r>
      <w:r w:rsidRPr="00BD7CEA">
        <w:rPr>
          <w:rFonts w:ascii="Tahoma" w:hAnsi="Tahoma" w:cs="Tahoma"/>
          <w:sz w:val="18"/>
        </w:rPr>
        <w:t xml:space="preserve">Export Administration Regulations (EAR, 15 CFR 730-744) del Commerce Department, Bureau of Export Administration (BXA) degli Stati Uniti. Per ulteriori informazioni, visitare la pagina: </w:t>
      </w:r>
      <w:hyperlink r:id="rId37" w:history="1">
        <w:r w:rsidRPr="00BD7CEA">
          <w:rPr>
            <w:rStyle w:val="Hyperlink"/>
            <w:rFonts w:ascii="Tahoma" w:hAnsi="Tahoma" w:cs="Tahoma"/>
            <w:sz w:val="18"/>
          </w:rPr>
          <w:t>www.microsoft.com/products/exporting/basics.htm</w:t>
        </w:r>
      </w:hyperlink>
    </w:p>
    <w:p w:rsidR="008A1637" w:rsidRPr="00BD7CEA" w:rsidRDefault="008A1637" w:rsidP="008A1637"/>
    <w:p w:rsidR="00D35075" w:rsidRPr="00BD7CEA" w:rsidRDefault="00D35075" w:rsidP="008A1637"/>
    <w:p w:rsidR="00D35075" w:rsidRPr="00BD7CEA" w:rsidRDefault="00D35075" w:rsidP="008A1637"/>
    <w:p w:rsidR="008A1637" w:rsidRPr="00BD7CEA" w:rsidRDefault="008A1637" w:rsidP="00944EE1">
      <w:pPr>
        <w:pStyle w:val="Heading3"/>
        <w:spacing w:after="60"/>
        <w:ind w:right="720"/>
      </w:pPr>
      <w:bookmarkStart w:id="989" w:name="_Toc323159783"/>
      <w:bookmarkStart w:id="990" w:name="_Toc336338252"/>
      <w:bookmarkStart w:id="991" w:name="_Toc353376032"/>
      <w:r w:rsidRPr="00BD7CEA">
        <w:rPr>
          <w:rFonts w:ascii="Tahoma" w:hAnsi="Tahoma" w:cs="Tahoma"/>
          <w:bCs/>
        </w:rPr>
        <w:lastRenderedPageBreak/>
        <w:t>Multilanguage Pack (MLP), Funzionalità Multilanguage User Interface (MUI) e Nuovi Diritti sulle Lingue</w:t>
      </w:r>
      <w:bookmarkEnd w:id="989"/>
      <w:bookmarkEnd w:id="990"/>
      <w:bookmarkEnd w:id="991"/>
    </w:p>
    <w:p w:rsidR="008A1637" w:rsidRPr="00BD7CEA" w:rsidRDefault="008A1637" w:rsidP="008A1637">
      <w:r w:rsidRPr="00BD7CEA">
        <w:t>Le funzionalità MLP e MUI consentono alle società di eseguire e alternare versioni in lingua diversa di prodotti con licenza. Il diritto di utilizzare entrambi varia in base al tipo di prodotto, programma e licenza.</w:t>
      </w:r>
      <w:r w:rsidR="008D782D" w:rsidRPr="00BD7CEA">
        <w:t xml:space="preserve"> </w:t>
      </w:r>
    </w:p>
    <w:p w:rsidR="008A1637" w:rsidRPr="00BD7CEA" w:rsidRDefault="008A1637" w:rsidP="008A1637">
      <w:pPr>
        <w:pStyle w:val="Heading3"/>
        <w:ind w:right="720"/>
      </w:pPr>
    </w:p>
    <w:p w:rsidR="008A1637" w:rsidRPr="00BD7CEA" w:rsidRDefault="008A1637" w:rsidP="007022C1">
      <w:pPr>
        <w:numPr>
          <w:ilvl w:val="0"/>
          <w:numId w:val="17"/>
        </w:numPr>
        <w:tabs>
          <w:tab w:val="left" w:pos="1440"/>
        </w:tabs>
        <w:spacing w:after="60"/>
      </w:pPr>
      <w:r w:rsidRPr="00BD7CEA">
        <w:t>Per la maggior parte dei prodotti server, ad esempio Windows Server, la funzionalità MUI è</w:t>
      </w:r>
      <w:r w:rsidR="00D35075" w:rsidRPr="00BD7CEA">
        <w:t> </w:t>
      </w:r>
      <w:r w:rsidRPr="00BD7CEA">
        <w:t>inclusa</w:t>
      </w:r>
      <w:r w:rsidR="00D35075" w:rsidRPr="00BD7CEA">
        <w:t> </w:t>
      </w:r>
      <w:r w:rsidRPr="00BD7CEA">
        <w:t>nel prodotto base. Le società che ottengono in licenza tali prodotti potranno utilizzare tale</w:t>
      </w:r>
      <w:r w:rsidR="00D35075" w:rsidRPr="00BD7CEA">
        <w:t> </w:t>
      </w:r>
      <w:r w:rsidRPr="00BD7CEA">
        <w:t>funzionalità in conformità ai diritti sull</w:t>
      </w:r>
      <w:r w:rsidR="007A1415" w:rsidRPr="00BD7CEA">
        <w:t>’</w:t>
      </w:r>
      <w:r w:rsidRPr="00BD7CEA">
        <w:t>utilizzo per tali prodotti.</w:t>
      </w:r>
      <w:r w:rsidR="008D782D" w:rsidRPr="00BD7CEA">
        <w:t xml:space="preserve"> </w:t>
      </w:r>
    </w:p>
    <w:p w:rsidR="008A1637" w:rsidRPr="00BD7CEA" w:rsidRDefault="008A1637" w:rsidP="007022C1">
      <w:pPr>
        <w:numPr>
          <w:ilvl w:val="0"/>
          <w:numId w:val="17"/>
        </w:numPr>
        <w:tabs>
          <w:tab w:val="left" w:pos="1440"/>
        </w:tabs>
        <w:spacing w:after="60"/>
        <w:rPr>
          <w:spacing w:val="-2"/>
        </w:rPr>
      </w:pPr>
      <w:r w:rsidRPr="00BD7CEA">
        <w:rPr>
          <w:spacing w:val="-2"/>
        </w:rPr>
        <w:t>Nel caso dei prodotti Office System, che non siano server, e delle famiglie di prodotti, a partire dal 1</w:t>
      </w:r>
      <w:r w:rsidR="00FD26E7">
        <w:rPr>
          <w:spacing w:val="-2"/>
        </w:rPr>
        <w:t> </w:t>
      </w:r>
      <w:r w:rsidRPr="00BD7CEA">
        <w:rPr>
          <w:spacing w:val="-2"/>
        </w:rPr>
        <w:t>ottobre 2008 il diritto di utilizzare la funzionalità MLP è disponibile per le società con copertura Software Assurance attiva sulle licenze qualificanti (per dettagli consultare l</w:t>
      </w:r>
      <w:r w:rsidR="007A1415" w:rsidRPr="00BD7CEA">
        <w:rPr>
          <w:spacing w:val="-2"/>
        </w:rPr>
        <w:t>’</w:t>
      </w:r>
      <w:r w:rsidRPr="00BD7CEA">
        <w:rPr>
          <w:spacing w:val="-2"/>
        </w:rPr>
        <w:t xml:space="preserve">Articolo 6). Ai sensi di alcuni programmi, ad esempio Select, i pacchetti MLP per i prodotti e le famiglie di prodotti Office System continuano a essere disponibili separatamente al di fuori della copertura Software Assurance. </w:t>
      </w:r>
    </w:p>
    <w:p w:rsidR="008A1637" w:rsidRPr="00BD7CEA" w:rsidRDefault="008A1637" w:rsidP="007022C1">
      <w:pPr>
        <w:numPr>
          <w:ilvl w:val="0"/>
          <w:numId w:val="17"/>
        </w:numPr>
        <w:spacing w:after="60"/>
      </w:pPr>
      <w:r w:rsidRPr="00BD7CEA">
        <w:t>Nel caso di Windows 8 la funzionalità MUI è inclusa nella versione Windows 8 Pro.</w:t>
      </w:r>
      <w:r w:rsidR="008D782D" w:rsidRPr="00BD7CEA">
        <w:t xml:space="preserve"> </w:t>
      </w:r>
    </w:p>
    <w:p w:rsidR="008A1637" w:rsidRPr="00BD7CEA" w:rsidRDefault="008A1637" w:rsidP="008A1637"/>
    <w:p w:rsidR="008A1637" w:rsidRPr="00BD7CEA" w:rsidRDefault="008A1637" w:rsidP="008A1637">
      <w:r w:rsidRPr="00BD7CEA">
        <w:t>Le versioni in lingua, grazie alle quali alle società è consentito utilizzare nello stesso modo le funzionalità MUI e MLP, variano in base al programma, al prodotto e al paese.</w:t>
      </w:r>
      <w:r w:rsidR="008D782D" w:rsidRPr="00BD7CEA">
        <w:t xml:space="preserve"> </w:t>
      </w:r>
    </w:p>
    <w:p w:rsidR="008A1637" w:rsidRPr="00BD7CEA" w:rsidRDefault="008A1637" w:rsidP="008A1637">
      <w:pPr>
        <w:pStyle w:val="Heading3"/>
        <w:ind w:right="720"/>
      </w:pPr>
    </w:p>
    <w:p w:rsidR="008A1637" w:rsidRPr="00BD7CEA" w:rsidRDefault="008A1637" w:rsidP="00024C3C">
      <w:pPr>
        <w:numPr>
          <w:ilvl w:val="0"/>
          <w:numId w:val="18"/>
        </w:numPr>
        <w:tabs>
          <w:tab w:val="clear" w:pos="1080"/>
          <w:tab w:val="num" w:pos="1440"/>
        </w:tabs>
        <w:ind w:left="1440"/>
      </w:pPr>
      <w:r w:rsidRPr="00BD7CEA">
        <w:t>A partire dal 1 ottobre 2008 le società che acquistano il diritto di utilizzare le funzionalità MUI e</w:t>
      </w:r>
      <w:r w:rsidR="00D35075" w:rsidRPr="00BD7CEA">
        <w:t> </w:t>
      </w:r>
      <w:r w:rsidRPr="00BD7CEA">
        <w:t>MLP ai sensi di un Contratto Enterprise, Enterprise Subscription, Open Value (per l</w:t>
      </w:r>
      <w:r w:rsidR="007A1415" w:rsidRPr="00BD7CEA">
        <w:t>’</w:t>
      </w:r>
      <w:r w:rsidRPr="00BD7CEA">
        <w:t xml:space="preserve">intera organizzazione/a livello aziendale) o Open Value Subscription potranno usare tali funzionalità </w:t>
      </w:r>
      <w:r w:rsidR="00D35075" w:rsidRPr="00BD7CEA">
        <w:br/>
      </w:r>
      <w:r w:rsidRPr="00BD7CEA">
        <w:t>con i prodotti con licenza</w:t>
      </w:r>
      <w:r w:rsidRPr="00BD7CEA">
        <w:rPr>
          <w:b/>
        </w:rPr>
        <w:t xml:space="preserve"> </w:t>
      </w:r>
      <w:r w:rsidRPr="00BD7CEA">
        <w:rPr>
          <w:b/>
          <w:u w:val="single"/>
        </w:rPr>
        <w:t>in tutte le versioni in lingua</w:t>
      </w:r>
      <w:r w:rsidRPr="00FD26E7">
        <w:rPr>
          <w:b/>
        </w:rPr>
        <w:t xml:space="preserve">, </w:t>
      </w:r>
      <w:r w:rsidRPr="00BD7CEA">
        <w:t>nonostante qualsiasi limitazione in tali contratti rispetto all</w:t>
      </w:r>
      <w:r w:rsidR="007A1415" w:rsidRPr="00BD7CEA">
        <w:t>’</w:t>
      </w:r>
      <w:r w:rsidRPr="00BD7CEA">
        <w:t xml:space="preserve">utilizzo di determinate lingue. </w:t>
      </w:r>
    </w:p>
    <w:p w:rsidR="008A1637" w:rsidRPr="00BD7CEA" w:rsidRDefault="008A1637" w:rsidP="008A1637">
      <w:pPr>
        <w:pStyle w:val="Heading3"/>
        <w:ind w:right="720"/>
      </w:pPr>
    </w:p>
    <w:p w:rsidR="008A1637" w:rsidRPr="00BD7CEA" w:rsidRDefault="008A1637" w:rsidP="008A1637">
      <w:r w:rsidRPr="00BD7CEA">
        <w:t>Le società che acquistano il diritto di utilizzare le funzionalità MUI e MLP ai sensi di contratti diversi da un Contratto Enterprise o Open Value (per l</w:t>
      </w:r>
      <w:r w:rsidR="007A1415" w:rsidRPr="00BD7CEA">
        <w:t>’</w:t>
      </w:r>
      <w:r w:rsidRPr="00BD7CEA">
        <w:t>intera organizzazione/a livello aziendale) (con il prodotto base o tramite Software Assurance) rimangono soggette a eventuali limitazioni presenti nel loro contratto per quanto riguarda l</w:t>
      </w:r>
      <w:r w:rsidR="007A1415" w:rsidRPr="00BD7CEA">
        <w:t>’</w:t>
      </w:r>
      <w:r w:rsidRPr="00BD7CEA">
        <w:t>uso di alcune lingue. Ad esempio, nel caso in cui la versione in lingua locale di un prodotto sia ottenuta in licenza a un prezzo diverso da quello riportato sul listino prezzi della società, il diritto di tale società di utilizzare altre versioni in lingua al</w:t>
      </w:r>
      <w:r w:rsidR="00FD26E7">
        <w:t> </w:t>
      </w:r>
      <w:r w:rsidRPr="00BD7CEA">
        <w:t>posto di tale versione (con o senza funzionalità MUI o MLP) potrà essere limitato.</w:t>
      </w:r>
      <w:r w:rsidR="008D782D" w:rsidRPr="00BD7CEA">
        <w:t xml:space="preserve"> </w:t>
      </w:r>
      <w:r w:rsidRPr="00BD7CEA">
        <w:t>Le società dovranno esaminare il</w:t>
      </w:r>
      <w:r w:rsidR="00D35075" w:rsidRPr="00BD7CEA">
        <w:t> </w:t>
      </w:r>
      <w:r w:rsidRPr="00BD7CEA">
        <w:t>loro Contratto di Licenza oppure contattare il loro Rivenditore o l</w:t>
      </w:r>
      <w:r w:rsidR="007A1415" w:rsidRPr="00BD7CEA">
        <w:t>’</w:t>
      </w:r>
      <w:r w:rsidRPr="00BD7CEA">
        <w:t xml:space="preserve">Account Manager designato da Microsoft per ulteriori informazioni sul loro diritto di utilizzare altre lingue. </w:t>
      </w:r>
    </w:p>
    <w:p w:rsidR="007022C1" w:rsidRPr="00BD7CEA" w:rsidRDefault="007022C1" w:rsidP="008A1637"/>
    <w:p w:rsidR="008A1637" w:rsidRPr="00BD7CEA" w:rsidRDefault="008A1637" w:rsidP="007022C1">
      <w:pPr>
        <w:pStyle w:val="Heading2"/>
        <w:ind w:left="0"/>
      </w:pPr>
      <w:bookmarkStart w:id="992" w:name="_Toc323159784"/>
      <w:bookmarkStart w:id="993" w:name="_Toc336338253"/>
      <w:bookmarkStart w:id="994" w:name="_Toc353376033"/>
      <w:r w:rsidRPr="00BD7CEA">
        <w:rPr>
          <w:rFonts w:ascii="Tahoma" w:hAnsi="Tahoma" w:cs="Tahoma"/>
        </w:rPr>
        <w:t>Licenze Indipendenti dalla Piattaforma</w:t>
      </w:r>
      <w:bookmarkEnd w:id="992"/>
      <w:bookmarkEnd w:id="993"/>
      <w:bookmarkEnd w:id="994"/>
    </w:p>
    <w:p w:rsidR="008A1637" w:rsidRPr="00BD7CEA" w:rsidRDefault="008A1637" w:rsidP="007022C1">
      <w:pPr>
        <w:tabs>
          <w:tab w:val="num" w:pos="0"/>
        </w:tabs>
        <w:ind w:right="720"/>
      </w:pPr>
    </w:p>
    <w:p w:rsidR="008A1637" w:rsidRPr="00BD7CEA" w:rsidRDefault="008A1637" w:rsidP="00D45A36">
      <w:pPr>
        <w:pStyle w:val="AppendixBodyText"/>
        <w:spacing w:after="0"/>
        <w:ind w:right="720"/>
        <w:rPr>
          <w:spacing w:val="-2"/>
        </w:rPr>
      </w:pPr>
      <w:r w:rsidRPr="00BD7CEA">
        <w:rPr>
          <w:rFonts w:ascii="Tahoma" w:hAnsi="Tahoma" w:cs="Tahoma"/>
          <w:color w:val="000000"/>
          <w:spacing w:val="-2"/>
          <w:sz w:val="18"/>
          <w:szCs w:val="18"/>
        </w:rPr>
        <w:t>Microsoft Office Standard, Office Professional Plus, Word, Excel, PowerPoint, Outlook, Lync Office per Mac, Word per Mac, Excel per Mac, PowerPoint per Mac, Lync per Mac e Outlook per Mac sono licenze “indipendenti dalla piattaforma”. Una licenza indipendente dalla piattaforma consente l</w:t>
      </w:r>
      <w:r w:rsidR="007A1415" w:rsidRPr="00BD7CEA">
        <w:rPr>
          <w:rFonts w:ascii="Tahoma" w:hAnsi="Tahoma" w:cs="Tahoma"/>
          <w:color w:val="000000"/>
          <w:spacing w:val="-2"/>
          <w:sz w:val="18"/>
          <w:szCs w:val="18"/>
        </w:rPr>
        <w:t>’</w:t>
      </w:r>
      <w:r w:rsidRPr="00BD7CEA">
        <w:rPr>
          <w:rFonts w:ascii="Tahoma" w:hAnsi="Tahoma" w:cs="Tahoma"/>
          <w:color w:val="000000"/>
          <w:spacing w:val="-2"/>
          <w:sz w:val="18"/>
          <w:szCs w:val="18"/>
        </w:rPr>
        <w:t>utilizzo di un prodotto specifico su qualsiasi piattaforma di computer su cui è in esecuzione il software, a condizione che la versione usata sia identica o precedente alla versione originale ottenuta in licenza. Ad esempio, una società che ha ottenuto in licenza Office per Mac Standard 2011 potrà scegliere di utilizzare tale licenza per eseguire Office Standard 2010 per Windows.</w:t>
      </w:r>
    </w:p>
    <w:p w:rsidR="008A1637" w:rsidRPr="00BD7CEA" w:rsidRDefault="008A1637" w:rsidP="007022C1">
      <w:pPr>
        <w:pStyle w:val="AppendixBodyText"/>
        <w:spacing w:after="0"/>
      </w:pPr>
    </w:p>
    <w:p w:rsidR="008A1637" w:rsidRPr="00BD7CEA" w:rsidRDefault="008A1637" w:rsidP="007022C1">
      <w:pPr>
        <w:pStyle w:val="AppendixBodyText"/>
        <w:spacing w:after="0"/>
        <w:ind w:right="720"/>
      </w:pPr>
      <w:r w:rsidRPr="00BD7CEA">
        <w:rPr>
          <w:rFonts w:ascii="Tahoma" w:hAnsi="Tahoma" w:cs="Tahoma"/>
          <w:color w:val="000000"/>
          <w:sz w:val="18"/>
          <w:szCs w:val="18"/>
        </w:rPr>
        <w:t>I componenti di una famiglia di prodotti potranno essere diversi a seconda della versione della piattaforma. La società potrà utilizzare esclusivamente i componenti della famiglia di prodotti che ha scelto di distribuire. Ad esempio, nel caso in cui una società con licenza per Office per Mac Standard 2011 scelga di eseguire Office Standard 2010, tale società potrà eseguire solo i componenti inclusi in Office Standard 2010. Non avrà, ad esempio, il diritto di eseguire Lync, bensì OneNote.</w:t>
      </w:r>
    </w:p>
    <w:p w:rsidR="008A1637" w:rsidRPr="00BD7CEA" w:rsidRDefault="008A1637" w:rsidP="007022C1">
      <w:pPr>
        <w:pStyle w:val="AppendixBodyText"/>
        <w:spacing w:after="0"/>
        <w:ind w:right="720"/>
      </w:pPr>
      <w:r w:rsidRPr="00BD7CEA">
        <w:rPr>
          <w:rFonts w:ascii="Tahoma" w:hAnsi="Tahoma" w:cs="Tahoma"/>
          <w:color w:val="000000"/>
          <w:sz w:val="18"/>
        </w:rPr>
        <w:t>Inoltre, la copertura Software Assurance attiva per una licenza indipendente dalla piattaforma permette a una società di utilizzare al posto del prodotto con licenza la versione più corrente di una delle due versioni della piattaforma del prodotto che diventa disponibile durante il periodo di validità della copertura Software Assurance (in conformità alla limitazione relativa ai componenti di cui sopra). Ad esempio, una società che ha una copertura Software Assurance attiva per una licenza Office per Mac è idonea a utilizzare al posto di Office per Mac la versione più corrente della corrispondente edizione di Office per Windows rilasciata nel periodo di validità della copertura.</w:t>
      </w:r>
    </w:p>
    <w:p w:rsidR="008A1637" w:rsidRPr="00BD7CEA" w:rsidRDefault="008A1637" w:rsidP="007022C1">
      <w:pPr>
        <w:tabs>
          <w:tab w:val="left" w:pos="360"/>
        </w:tabs>
        <w:ind w:right="720"/>
      </w:pPr>
    </w:p>
    <w:p w:rsidR="008A1637" w:rsidRPr="00BD7CEA" w:rsidRDefault="008A1637" w:rsidP="007022C1">
      <w:pPr>
        <w:pStyle w:val="AppendixBodyText"/>
        <w:spacing w:after="0"/>
        <w:ind w:right="720"/>
        <w:rPr>
          <w:spacing w:val="-4"/>
        </w:rPr>
      </w:pPr>
      <w:r w:rsidRPr="00BD7CEA">
        <w:rPr>
          <w:rFonts w:ascii="Tahoma" w:hAnsi="Tahoma" w:cs="Tahoma"/>
          <w:spacing w:val="-4"/>
          <w:sz w:val="18"/>
        </w:rPr>
        <w:lastRenderedPageBreak/>
        <w:t>Microsoft SQL Server è una licenza “indipendente dalla piattaforma”. Una licenza indipendente dalla piattaforma consente l</w:t>
      </w:r>
      <w:r w:rsidR="007A1415" w:rsidRPr="00BD7CEA">
        <w:rPr>
          <w:rFonts w:ascii="Tahoma" w:hAnsi="Tahoma" w:cs="Tahoma"/>
          <w:spacing w:val="-4"/>
          <w:sz w:val="18"/>
        </w:rPr>
        <w:t>’</w:t>
      </w:r>
      <w:r w:rsidRPr="00BD7CEA">
        <w:rPr>
          <w:rFonts w:ascii="Tahoma" w:hAnsi="Tahoma" w:cs="Tahoma"/>
          <w:spacing w:val="-4"/>
          <w:sz w:val="18"/>
        </w:rPr>
        <w:t>utilizzo di un prodotto specifico su qualsiasi piattaforma di computer su cui è in esecuzione il software, a condizione che la versione usata sia identica o precedente alla versione originale ottenuta in licenza.</w:t>
      </w:r>
    </w:p>
    <w:p w:rsidR="008A1637" w:rsidRPr="00BD7CEA" w:rsidRDefault="008A1637" w:rsidP="007022C1">
      <w:pPr>
        <w:pStyle w:val="AppendixBodyText"/>
        <w:spacing w:after="0"/>
        <w:ind w:right="720"/>
      </w:pPr>
    </w:p>
    <w:p w:rsidR="008A1637" w:rsidRPr="00BD7CEA" w:rsidRDefault="008A1637" w:rsidP="007022C1">
      <w:pPr>
        <w:pStyle w:val="AppendixBodyText"/>
        <w:spacing w:after="0"/>
        <w:ind w:right="720"/>
      </w:pPr>
      <w:r w:rsidRPr="00BD7CEA">
        <w:rPr>
          <w:rFonts w:ascii="Tahoma" w:hAnsi="Tahoma" w:cs="Tahoma"/>
          <w:sz w:val="18"/>
        </w:rPr>
        <w:t>Inoltre, una società che si iscrive a una licenza indipendente dalla piattaforma in Software Assurance è</w:t>
      </w:r>
      <w:r w:rsidR="000935B1" w:rsidRPr="00BD7CEA">
        <w:rPr>
          <w:rFonts w:ascii="Tahoma" w:hAnsi="Tahoma" w:cs="Tahoma"/>
          <w:sz w:val="18"/>
        </w:rPr>
        <w:t> </w:t>
      </w:r>
      <w:r w:rsidRPr="00BD7CEA">
        <w:rPr>
          <w:rFonts w:ascii="Tahoma" w:hAnsi="Tahoma" w:cs="Tahoma"/>
          <w:sz w:val="18"/>
        </w:rPr>
        <w:t>idonea a utilizzare la versione più corrente di quel particolare prodotto che è disponibile durante il periodo di validità della copertura Software Assurance, indipendentemente dalla piattaforma (a condizione che sia installata o utilizzata una sola versione alla volta).</w:t>
      </w:r>
    </w:p>
    <w:p w:rsidR="00973A93" w:rsidRPr="00BD7CEA" w:rsidRDefault="00973A93">
      <w:bookmarkStart w:id="995" w:name="_Toc336338254"/>
    </w:p>
    <w:p w:rsidR="008A1637" w:rsidRPr="00BD7CEA" w:rsidRDefault="008A1637" w:rsidP="008A1637">
      <w:pPr>
        <w:pStyle w:val="Heading2"/>
        <w:ind w:left="0"/>
      </w:pPr>
      <w:bookmarkStart w:id="996" w:name="_Toc353376034"/>
      <w:r w:rsidRPr="00BD7CEA">
        <w:rPr>
          <w:rFonts w:ascii="Tahoma" w:hAnsi="Tahoma" w:cs="Tahoma"/>
        </w:rPr>
        <w:t>Codice “Product Key” per Volume Licensing</w:t>
      </w:r>
      <w:bookmarkEnd w:id="995"/>
      <w:bookmarkEnd w:id="996"/>
    </w:p>
    <w:p w:rsidR="008A1637" w:rsidRPr="00BD7CEA" w:rsidRDefault="008A1637" w:rsidP="008A1637">
      <w:pPr>
        <w:spacing w:after="60"/>
        <w:ind w:right="720"/>
      </w:pPr>
    </w:p>
    <w:p w:rsidR="008A1637" w:rsidRPr="00BD7CEA" w:rsidRDefault="008A1637" w:rsidP="007022C1">
      <w:pPr>
        <w:ind w:right="720"/>
      </w:pPr>
      <w:r w:rsidRPr="00BD7CEA">
        <w:rPr>
          <w:rFonts w:cs="Tahoma"/>
          <w:color w:val="000000"/>
          <w:szCs w:val="18"/>
        </w:rPr>
        <w:t xml:space="preserve">I codici Product Key consentono alle organizzazioni di utilizzare il software e i prodotti ricevuti in licenza. Tutti i codici vengono rilasciati a una società ai sensi di un contratto di licenza specifico. Per ottenere i codici Product Key, visitare </w:t>
      </w:r>
      <w:hyperlink r:id="rId38" w:history="1">
        <w:r w:rsidRPr="00BD7CEA">
          <w:rPr>
            <w:rStyle w:val="Hyperlink"/>
            <w:szCs w:val="18"/>
          </w:rPr>
          <w:t>Microsoft Volume Licensing Service Center (VLSC)</w:t>
        </w:r>
      </w:hyperlink>
      <w:r w:rsidRPr="00BD7CEA">
        <w:rPr>
          <w:rFonts w:cs="Tahoma"/>
          <w:color w:val="000000"/>
          <w:szCs w:val="18"/>
        </w:rPr>
        <w:t xml:space="preserve">. Sarà inoltre possibile contattare il </w:t>
      </w:r>
      <w:hyperlink r:id="rId39" w:history="1">
        <w:r w:rsidRPr="00BD7CEA">
          <w:rPr>
            <w:rStyle w:val="Hyperlink"/>
            <w:color w:val="0070C0"/>
            <w:szCs w:val="18"/>
          </w:rPr>
          <w:t>Centro di Attivazione dei Contratti Multilicenza Microsoft</w:t>
        </w:r>
      </w:hyperlink>
      <w:r w:rsidRPr="00BD7CEA">
        <w:rPr>
          <w:rFonts w:cs="Tahoma"/>
          <w:color w:val="0070C0"/>
          <w:szCs w:val="18"/>
        </w:rPr>
        <w:t>.</w:t>
      </w:r>
      <w:r w:rsidRPr="00BD7CEA">
        <w:rPr>
          <w:rFonts w:cs="Tahoma"/>
          <w:color w:val="000000"/>
          <w:szCs w:val="18"/>
        </w:rPr>
        <w:t xml:space="preserve"> </w:t>
      </w:r>
    </w:p>
    <w:p w:rsidR="008A1637" w:rsidRPr="00BD7CEA" w:rsidRDefault="008A1637" w:rsidP="007022C1">
      <w:pPr>
        <w:ind w:right="720"/>
      </w:pPr>
    </w:p>
    <w:p w:rsidR="008A1637" w:rsidRPr="00BD7CEA" w:rsidRDefault="008A1637" w:rsidP="007022C1">
      <w:pPr>
        <w:ind w:right="720"/>
      </w:pPr>
      <w:r w:rsidRPr="00BD7CEA">
        <w:rPr>
          <w:rFonts w:cs="Tahoma"/>
          <w:color w:val="000000"/>
          <w:szCs w:val="18"/>
        </w:rPr>
        <w:t>Per prendere visione di una lista di prodotti Volume Licensing che richiedono i codici “Product Key” e</w:t>
      </w:r>
      <w:r w:rsidR="000935B1" w:rsidRPr="00BD7CEA">
        <w:rPr>
          <w:rFonts w:cs="Tahoma"/>
          <w:color w:val="000000"/>
          <w:szCs w:val="18"/>
        </w:rPr>
        <w:t> </w:t>
      </w:r>
      <w:r w:rsidRPr="00BD7CEA">
        <w:rPr>
          <w:rFonts w:cs="Tahoma"/>
          <w:color w:val="000000"/>
          <w:szCs w:val="18"/>
        </w:rPr>
        <w:t>per</w:t>
      </w:r>
      <w:r w:rsidR="000935B1" w:rsidRPr="00BD7CEA">
        <w:rPr>
          <w:rFonts w:cs="Tahoma"/>
          <w:color w:val="000000"/>
          <w:szCs w:val="18"/>
        </w:rPr>
        <w:t> </w:t>
      </w:r>
      <w:r w:rsidRPr="00BD7CEA">
        <w:rPr>
          <w:rFonts w:cs="Tahoma"/>
          <w:color w:val="000000"/>
          <w:szCs w:val="18"/>
        </w:rPr>
        <w:t xml:space="preserve">ulteriori informazioni, fare riferimento a: </w:t>
      </w:r>
      <w:hyperlink r:id="rId40" w:history="1">
        <w:r w:rsidRPr="00BD7CEA">
          <w:rPr>
            <w:rStyle w:val="Hyperlink"/>
            <w:szCs w:val="18"/>
          </w:rPr>
          <w:t>http://www.microsoft.com/licensing/resources/vol/volumelicensekey/default.mspx</w:t>
        </w:r>
      </w:hyperlink>
      <w:r w:rsidRPr="00BD7CEA">
        <w:rPr>
          <w:rFonts w:cs="Tahoma"/>
          <w:szCs w:val="18"/>
        </w:rPr>
        <w:t>.</w:t>
      </w:r>
      <w:r w:rsidRPr="00BD7CEA">
        <w:rPr>
          <w:rFonts w:cs="Tahoma"/>
          <w:color w:val="000000"/>
          <w:szCs w:val="18"/>
        </w:rPr>
        <w:t xml:space="preserve"> </w:t>
      </w:r>
    </w:p>
    <w:p w:rsidR="008A1637" w:rsidRPr="00BD7CEA" w:rsidRDefault="008A1637" w:rsidP="007022C1">
      <w:pPr>
        <w:ind w:right="720"/>
      </w:pPr>
      <w:r w:rsidRPr="00BD7CEA">
        <w:rPr>
          <w:rFonts w:cs="Tahoma"/>
          <w:color w:val="1F497D"/>
          <w:szCs w:val="18"/>
        </w:rPr>
        <w:br/>
      </w:r>
      <w:r w:rsidRPr="00BD7CEA">
        <w:rPr>
          <w:rFonts w:cs="Tahoma"/>
          <w:color w:val="000000"/>
          <w:szCs w:val="18"/>
        </w:rPr>
        <w:t>Non tutti i prodotti con contratti multilicenza (Volume Licensing) richiedono un codice “Product Key”.</w:t>
      </w:r>
      <w:r w:rsidRPr="00BD7CEA">
        <w:rPr>
          <w:rFonts w:ascii="Verdana" w:hAnsi="Verdana"/>
          <w:color w:val="333333"/>
          <w:sz w:val="17"/>
          <w:szCs w:val="17"/>
        </w:rPr>
        <w:t xml:space="preserve"> </w:t>
      </w:r>
      <w:r w:rsidRPr="00BD7CEA">
        <w:rPr>
          <w:rFonts w:cs="Tahoma"/>
          <w:color w:val="000000"/>
          <w:szCs w:val="18"/>
        </w:rPr>
        <w:t>Se</w:t>
      </w:r>
      <w:r w:rsidR="000935B1" w:rsidRPr="00BD7CEA">
        <w:rPr>
          <w:rFonts w:cs="Tahoma"/>
          <w:color w:val="000000"/>
          <w:szCs w:val="18"/>
        </w:rPr>
        <w:t> </w:t>
      </w:r>
      <w:r w:rsidRPr="00BD7CEA">
        <w:rPr>
          <w:rFonts w:cs="Tahoma"/>
          <w:color w:val="000000"/>
          <w:szCs w:val="18"/>
        </w:rPr>
        <w:t>il</w:t>
      </w:r>
      <w:r w:rsidR="000935B1" w:rsidRPr="00BD7CEA">
        <w:rPr>
          <w:rFonts w:cs="Tahoma"/>
          <w:color w:val="000000"/>
          <w:szCs w:val="18"/>
        </w:rPr>
        <w:t> </w:t>
      </w:r>
      <w:r w:rsidRPr="00BD7CEA">
        <w:rPr>
          <w:rFonts w:cs="Tahoma"/>
          <w:color w:val="000000"/>
          <w:szCs w:val="18"/>
        </w:rPr>
        <w:t>prodotto non è indicato nell</w:t>
      </w:r>
      <w:r w:rsidR="007A1415" w:rsidRPr="00BD7CEA">
        <w:rPr>
          <w:rFonts w:cs="Tahoma"/>
          <w:color w:val="000000"/>
          <w:szCs w:val="18"/>
        </w:rPr>
        <w:t>’</w:t>
      </w:r>
      <w:r w:rsidRPr="00BD7CEA">
        <w:rPr>
          <w:rFonts w:cs="Tahoma"/>
          <w:color w:val="000000"/>
          <w:szCs w:val="18"/>
        </w:rPr>
        <w:t>elenco, non richiede un codice “Product Key”.</w:t>
      </w:r>
    </w:p>
    <w:p w:rsidR="008A1637" w:rsidRPr="00BD7CEA" w:rsidRDefault="008A1637" w:rsidP="007022C1">
      <w:pPr>
        <w:ind w:right="720"/>
      </w:pPr>
    </w:p>
    <w:p w:rsidR="008A1637" w:rsidRPr="00C710F3" w:rsidRDefault="008A1637" w:rsidP="00C710F3">
      <w:pPr>
        <w:ind w:right="270"/>
      </w:pPr>
      <w:r w:rsidRPr="00C710F3">
        <w:rPr>
          <w:rFonts w:cs="Tahoma"/>
          <w:b/>
          <w:bCs/>
          <w:color w:val="000000"/>
          <w:szCs w:val="18"/>
        </w:rPr>
        <w:t>Nota:</w:t>
      </w:r>
      <w:r w:rsidR="008D782D" w:rsidRPr="00C710F3">
        <w:rPr>
          <w:rFonts w:cs="Tahoma"/>
          <w:color w:val="000000"/>
          <w:szCs w:val="18"/>
        </w:rPr>
        <w:t xml:space="preserve"> </w:t>
      </w:r>
      <w:r w:rsidRPr="00C710F3">
        <w:rPr>
          <w:rFonts w:cs="Tahoma"/>
          <w:color w:val="000000"/>
          <w:szCs w:val="18"/>
        </w:rPr>
        <w:t>i codici Product Key vengono ceduti all</w:t>
      </w:r>
      <w:r w:rsidR="007A1415" w:rsidRPr="00C710F3">
        <w:rPr>
          <w:rFonts w:cs="Tahoma"/>
          <w:color w:val="000000"/>
          <w:szCs w:val="18"/>
        </w:rPr>
        <w:t>’</w:t>
      </w:r>
      <w:r w:rsidRPr="00C710F3">
        <w:rPr>
          <w:rFonts w:cs="Tahoma"/>
          <w:color w:val="000000"/>
          <w:szCs w:val="18"/>
        </w:rPr>
        <w:t>organizzazione e sono a suo esclusivo utilizzo. La società sarà responsabile dell</w:t>
      </w:r>
      <w:r w:rsidR="007A1415" w:rsidRPr="00C710F3">
        <w:rPr>
          <w:rFonts w:cs="Tahoma"/>
          <w:color w:val="000000"/>
          <w:szCs w:val="18"/>
        </w:rPr>
        <w:t>’</w:t>
      </w:r>
      <w:r w:rsidRPr="00C710F3">
        <w:rPr>
          <w:rFonts w:cs="Tahoma"/>
          <w:color w:val="000000"/>
          <w:szCs w:val="18"/>
        </w:rPr>
        <w:t>utilizzo non autorizzato dei codici “Product Key” rilasciati ai sensi del contratto stipulato. La</w:t>
      </w:r>
      <w:r w:rsidR="00D45A36" w:rsidRPr="00C710F3">
        <w:rPr>
          <w:rFonts w:cs="Tahoma"/>
          <w:color w:val="000000"/>
          <w:szCs w:val="18"/>
        </w:rPr>
        <w:t> </w:t>
      </w:r>
      <w:r w:rsidRPr="00C710F3">
        <w:rPr>
          <w:rFonts w:cs="Tahoma"/>
          <w:color w:val="000000"/>
          <w:szCs w:val="18"/>
        </w:rPr>
        <w:t xml:space="preserve">società dovrà adottare le precauzioni necessarie per proteggerli. Non dovrà divulgarli a terzi non autorizzati. </w:t>
      </w:r>
    </w:p>
    <w:p w:rsidR="00023FE7" w:rsidRPr="00BD7CEA" w:rsidRDefault="008A1637" w:rsidP="003B23CC">
      <w:pPr>
        <w:pStyle w:val="Heading1"/>
      </w:pPr>
      <w:r w:rsidRPr="00BD7CEA">
        <w:br w:type="page"/>
      </w:r>
      <w:bookmarkStart w:id="997" w:name="_Toc336338255"/>
      <w:bookmarkStart w:id="998" w:name="_Toc353376035"/>
      <w:r w:rsidRPr="00BD7CEA">
        <w:lastRenderedPageBreak/>
        <w:t>NOTE del Prodotto</w:t>
      </w:r>
      <w:bookmarkEnd w:id="997"/>
      <w:bookmarkEnd w:id="998"/>
    </w:p>
    <w:p w:rsidR="00023FE7" w:rsidRPr="00BD7CEA" w:rsidRDefault="00023FE7">
      <w:pPr>
        <w:pStyle w:val="Heading2"/>
        <w:ind w:hanging="540"/>
      </w:pPr>
    </w:p>
    <w:p w:rsidR="00023FE7" w:rsidRPr="00BD7CEA" w:rsidRDefault="00023FE7">
      <w:pPr>
        <w:pStyle w:val="Heading2"/>
        <w:ind w:left="0"/>
      </w:pPr>
      <w:bookmarkStart w:id="999" w:name="_Toc336338256"/>
      <w:bookmarkStart w:id="1000" w:name="_Toc353376036"/>
      <w:r w:rsidRPr="00BD7CEA">
        <w:rPr>
          <w:rFonts w:ascii="Tahoma" w:hAnsi="Tahoma" w:cs="Tahoma"/>
          <w:sz w:val="28"/>
        </w:rPr>
        <w:t>Pool di Applicazioni</w:t>
      </w:r>
      <w:bookmarkEnd w:id="999"/>
      <w:bookmarkEnd w:id="1000"/>
    </w:p>
    <w:p w:rsidR="00023FE7" w:rsidRPr="00BD7CEA" w:rsidRDefault="00023FE7" w:rsidP="00D94745">
      <w:bookmarkStart w:id="1001" w:name="_1_Data_Analyzer"/>
      <w:bookmarkStart w:id="1002" w:name="Aps_1BingMapsDesktopandContentPack"/>
      <w:bookmarkEnd w:id="1001"/>
    </w:p>
    <w:p w:rsidR="004A2FC2" w:rsidRPr="00BD7CEA" w:rsidRDefault="004A2FC2" w:rsidP="004A2FC2">
      <w:bookmarkStart w:id="1003" w:name="Aps_ExpStudioproducts"/>
      <w:bookmarkStart w:id="1004" w:name="Aps_ExpStudio2"/>
      <w:bookmarkStart w:id="1005" w:name="Aps_1ExpStudio3"/>
      <w:bookmarkEnd w:id="1002"/>
    </w:p>
    <w:p w:rsidR="00176313" w:rsidRPr="00BD7CEA" w:rsidRDefault="00B54C21" w:rsidP="004A2FC2">
      <w:pPr>
        <w:pStyle w:val="Heading3"/>
        <w:ind w:left="180" w:hanging="180"/>
      </w:pPr>
      <w:bookmarkStart w:id="1006" w:name="_12_Expression_Encoder"/>
      <w:bookmarkStart w:id="1007" w:name="_Toc336338258"/>
      <w:bookmarkStart w:id="1008" w:name="_Toc353376037"/>
      <w:bookmarkEnd w:id="1006"/>
      <w:r w:rsidRPr="00BD7CEA">
        <w:rPr>
          <w:rFonts w:ascii="Tahoma" w:hAnsi="Tahoma"/>
          <w:caps/>
          <w:color w:val="F66400"/>
          <w:sz w:val="22"/>
          <w:vertAlign w:val="superscript"/>
        </w:rPr>
        <w:t>1</w:t>
      </w:r>
      <w:r w:rsidRPr="00BD7CEA">
        <w:rPr>
          <w:rFonts w:ascii="Tahoma" w:hAnsi="Tahoma"/>
          <w:color w:val="F66400"/>
          <w:sz w:val="22"/>
        </w:rPr>
        <w:t xml:space="preserve"> Expression Encoder Pro 4</w:t>
      </w:r>
      <w:bookmarkEnd w:id="1003"/>
      <w:bookmarkEnd w:id="1007"/>
      <w:bookmarkEnd w:id="1008"/>
    </w:p>
    <w:p w:rsidR="00176313" w:rsidRPr="00BD7CEA" w:rsidRDefault="00176313" w:rsidP="004A2FC2"/>
    <w:p w:rsidR="00176313" w:rsidRPr="00BD7CEA" w:rsidRDefault="00176313" w:rsidP="00864B8A">
      <w:pPr>
        <w:spacing w:after="60"/>
        <w:ind w:left="720"/>
      </w:pPr>
      <w:r w:rsidRPr="00BD7CEA">
        <w:rPr>
          <w:rFonts w:cs="Tahoma"/>
          <w:b/>
          <w:szCs w:val="20"/>
        </w:rPr>
        <w:t>Expression Encoder Pro 4</w:t>
      </w:r>
    </w:p>
    <w:p w:rsidR="00176313" w:rsidRPr="00BD7CEA" w:rsidRDefault="00176313" w:rsidP="004A2FC2">
      <w:pPr>
        <w:ind w:left="720"/>
      </w:pPr>
      <w:r w:rsidRPr="00BD7CEA">
        <w:rPr>
          <w:rFonts w:cs="Tahoma"/>
          <w:color w:val="000000"/>
          <w:szCs w:val="18"/>
        </w:rPr>
        <w:t>È stato applicato un nuovo marchio alla linea di prodotti Expression.</w:t>
      </w:r>
      <w:r w:rsidR="008D782D" w:rsidRPr="00BD7CEA">
        <w:rPr>
          <w:rFonts w:cs="Tahoma"/>
          <w:color w:val="000000"/>
          <w:szCs w:val="18"/>
        </w:rPr>
        <w:t xml:space="preserve"> </w:t>
      </w:r>
      <w:r w:rsidRPr="00BD7CEA">
        <w:rPr>
          <w:rFonts w:cs="Tahoma"/>
          <w:color w:val="000000"/>
          <w:szCs w:val="18"/>
        </w:rPr>
        <w:t>È stato modificato solo il marchio del prodotto. La versione 3 e la versione 4 del software sono uguali.</w:t>
      </w:r>
      <w:r w:rsidR="008D782D" w:rsidRPr="00BD7CEA">
        <w:rPr>
          <w:rFonts w:cs="Tahoma"/>
          <w:color w:val="000000"/>
          <w:szCs w:val="18"/>
        </w:rPr>
        <w:t xml:space="preserve"> </w:t>
      </w:r>
      <w:r w:rsidRPr="00BD7CEA">
        <w:rPr>
          <w:rFonts w:cs="Tahoma"/>
          <w:color w:val="000000"/>
          <w:szCs w:val="18"/>
        </w:rPr>
        <w:t>Di conseguenza, le società che dispongono della licenza per i prodotti con versione 3 saranno considerate titolari della licenza per i prodotti con versione 4 corrispondenti (come illustrato di seguito) e potranno utilizzare il software con il marchio associato alla versione 4 al posto del software con il marchio associato alla versione 3. Il diritto di utilizzo del software continuerà a essere disciplinato dalle condizioni del Contratto Multilicenza (Volume Licensing) della società e dai diritti di utilizzo del prodotto per il software integrati dalla presente nota relativa alle condizioni del prodotto.</w:t>
      </w:r>
      <w:r w:rsidR="008D782D" w:rsidRPr="00BD7CEA">
        <w:rPr>
          <w:rFonts w:cs="Tahoma"/>
          <w:color w:val="000000"/>
          <w:szCs w:val="18"/>
        </w:rPr>
        <w:t xml:space="preserve"> </w:t>
      </w:r>
      <w:r w:rsidRPr="00BD7CEA">
        <w:rPr>
          <w:rFonts w:cs="Tahoma"/>
          <w:color w:val="000000"/>
          <w:szCs w:val="18"/>
        </w:rPr>
        <w:t>La modifica del marchio non estende la garanzia né le obbligazioni correlate al supporto tecnico di Microsoft in relazione alla copertura Software Assurance per il prodotto.</w:t>
      </w:r>
    </w:p>
    <w:p w:rsidR="00973A93" w:rsidRPr="00BD7CEA" w:rsidRDefault="00973A93"/>
    <w:p w:rsidR="004A2FC2" w:rsidRPr="00BD7CEA" w:rsidRDefault="004A2FC2" w:rsidP="004A2FC2">
      <w:bookmarkStart w:id="1009" w:name="_Toc254806117"/>
      <w:bookmarkStart w:id="1010" w:name="Aps_MSDNOPSystems"/>
      <w:bookmarkStart w:id="1011" w:name="Aps_3MSDNOPSystems"/>
      <w:bookmarkStart w:id="1012" w:name="Aps_5OffCommunicator07"/>
      <w:bookmarkEnd w:id="1004"/>
      <w:bookmarkEnd w:id="1005"/>
    </w:p>
    <w:p w:rsidR="00E316C2" w:rsidRPr="00BD7CEA" w:rsidRDefault="00B54C21" w:rsidP="00E316C2">
      <w:pPr>
        <w:pStyle w:val="Heading3"/>
      </w:pPr>
      <w:bookmarkStart w:id="1013" w:name="_23_Lync_for"/>
      <w:bookmarkStart w:id="1014" w:name="_Toc336338259"/>
      <w:bookmarkStart w:id="1015" w:name="_Toc353376038"/>
      <w:bookmarkStart w:id="1016" w:name="Aps_3Lync2010"/>
      <w:bookmarkEnd w:id="1013"/>
      <w:r w:rsidRPr="00BD7CEA">
        <w:rPr>
          <w:rFonts w:ascii="Tahoma" w:hAnsi="Tahoma"/>
          <w:caps/>
          <w:color w:val="F66400"/>
          <w:sz w:val="22"/>
          <w:vertAlign w:val="superscript"/>
        </w:rPr>
        <w:t>2</w:t>
      </w:r>
      <w:r w:rsidRPr="00BD7CEA">
        <w:rPr>
          <w:rFonts w:ascii="Tahoma" w:hAnsi="Tahoma"/>
          <w:color w:val="F66400"/>
          <w:sz w:val="22"/>
        </w:rPr>
        <w:t xml:space="preserve"> </w:t>
      </w:r>
      <w:bookmarkStart w:id="1017" w:name="Aps_4LyncforMac2011"/>
      <w:r w:rsidRPr="00BD7CEA">
        <w:rPr>
          <w:rFonts w:ascii="Tahoma" w:hAnsi="Tahoma"/>
          <w:color w:val="F66400"/>
          <w:sz w:val="22"/>
        </w:rPr>
        <w:t xml:space="preserve">Lync </w:t>
      </w:r>
      <w:bookmarkEnd w:id="1014"/>
      <w:r w:rsidRPr="00BD7CEA">
        <w:rPr>
          <w:rFonts w:ascii="Tahoma" w:hAnsi="Tahoma"/>
          <w:color w:val="F66400"/>
          <w:sz w:val="22"/>
        </w:rPr>
        <w:t>per Mac 2011</w:t>
      </w:r>
      <w:bookmarkEnd w:id="1015"/>
      <w:bookmarkEnd w:id="1017"/>
    </w:p>
    <w:p w:rsidR="00AE5A9F" w:rsidRPr="00BD7CEA" w:rsidRDefault="00AE5A9F" w:rsidP="00AE5A9F"/>
    <w:bookmarkEnd w:id="1016"/>
    <w:p w:rsidR="004A2FC2" w:rsidRPr="00BD7CEA" w:rsidRDefault="00E316C2" w:rsidP="00864B8A">
      <w:pPr>
        <w:spacing w:after="60"/>
        <w:ind w:left="720"/>
      </w:pPr>
      <w:r w:rsidRPr="00BD7CEA">
        <w:rPr>
          <w:rFonts w:cs="Tahoma"/>
          <w:b/>
          <w:szCs w:val="20"/>
        </w:rPr>
        <w:t xml:space="preserve">Percorso di Migrazione a Software Assurance per Communicator per Mac 2011 </w:t>
      </w:r>
    </w:p>
    <w:p w:rsidR="00B9674D" w:rsidRPr="00BD7CEA" w:rsidRDefault="00E316C2" w:rsidP="004A2FC2">
      <w:pPr>
        <w:adjustRightInd w:val="0"/>
        <w:ind w:left="720"/>
        <w:textAlignment w:val="baseline"/>
      </w:pPr>
      <w:r w:rsidRPr="00BD7CEA">
        <w:rPr>
          <w:rFonts w:cs="Tahoma"/>
        </w:rPr>
        <w:t>La versione sostitutiva di Communicator per Mac 2011 è Lync per Mac 2011.</w:t>
      </w:r>
    </w:p>
    <w:p w:rsidR="004A2FC2" w:rsidRPr="00BD7CEA" w:rsidRDefault="004A2FC2" w:rsidP="004A2FC2">
      <w:pPr>
        <w:adjustRightInd w:val="0"/>
        <w:textAlignment w:val="baseline"/>
      </w:pPr>
    </w:p>
    <w:p w:rsidR="004A2FC2" w:rsidRPr="00BD7CEA" w:rsidRDefault="004A2FC2" w:rsidP="004A2FC2">
      <w:pPr>
        <w:adjustRightInd w:val="0"/>
        <w:textAlignment w:val="baseline"/>
      </w:pPr>
    </w:p>
    <w:p w:rsidR="00DC2291" w:rsidRPr="00BD7CEA" w:rsidRDefault="00B54C21" w:rsidP="00DC2291">
      <w:pPr>
        <w:pStyle w:val="Heading3"/>
      </w:pPr>
      <w:bookmarkStart w:id="1018" w:name="_34_MSDN_Operating"/>
      <w:bookmarkStart w:id="1019" w:name="_Toc336338261"/>
      <w:bookmarkStart w:id="1020" w:name="_Toc353376039"/>
      <w:bookmarkEnd w:id="1018"/>
      <w:r w:rsidRPr="00BD7CEA">
        <w:rPr>
          <w:rFonts w:ascii="Tahoma" w:hAnsi="Tahoma"/>
          <w:caps/>
          <w:color w:val="F66400"/>
          <w:sz w:val="22"/>
          <w:vertAlign w:val="superscript"/>
        </w:rPr>
        <w:t>3</w:t>
      </w:r>
      <w:r w:rsidRPr="00BD7CEA">
        <w:rPr>
          <w:rFonts w:ascii="Tahoma" w:hAnsi="Tahoma"/>
          <w:color w:val="F66400"/>
          <w:sz w:val="22"/>
        </w:rPr>
        <w:t xml:space="preserve"> Sistemi Operativi MSDN</w:t>
      </w:r>
      <w:bookmarkEnd w:id="1009"/>
      <w:bookmarkEnd w:id="1019"/>
      <w:bookmarkEnd w:id="1020"/>
    </w:p>
    <w:bookmarkEnd w:id="1010"/>
    <w:bookmarkEnd w:id="1011"/>
    <w:p w:rsidR="00D16EA8" w:rsidRPr="00BD7CEA" w:rsidRDefault="00D16EA8" w:rsidP="00D16EA8">
      <w:pPr>
        <w:pStyle w:val="FootnoteBulletLevel1"/>
        <w:tabs>
          <w:tab w:val="clear" w:pos="900"/>
        </w:tabs>
        <w:spacing w:before="0" w:after="0"/>
        <w:ind w:left="720" w:firstLine="0"/>
      </w:pPr>
    </w:p>
    <w:p w:rsidR="00D16EA8" w:rsidRPr="00BD7CEA" w:rsidRDefault="00DC2291" w:rsidP="00864B8A">
      <w:pPr>
        <w:spacing w:after="60"/>
        <w:ind w:left="720"/>
      </w:pPr>
      <w:r w:rsidRPr="00BD7CEA">
        <w:rPr>
          <w:rFonts w:cs="Tahoma"/>
          <w:b/>
          <w:szCs w:val="20"/>
        </w:rPr>
        <w:t>Requisiti di Idoneità per Software Assurance</w:t>
      </w:r>
    </w:p>
    <w:p w:rsidR="008368B4" w:rsidRPr="00BD7CEA" w:rsidRDefault="00DC2291" w:rsidP="008368B4">
      <w:pPr>
        <w:pStyle w:val="EndnoteText"/>
        <w:tabs>
          <w:tab w:val="num" w:pos="1080"/>
        </w:tabs>
        <w:ind w:left="720"/>
      </w:pPr>
      <w:r w:rsidRPr="00BD7CEA">
        <w:rPr>
          <w:rFonts w:ascii="Tahoma" w:hAnsi="Tahoma" w:cs="Tahoma"/>
          <w:sz w:val="18"/>
        </w:rPr>
        <w:t>Le società con copertura Software Assurance in scadenza sulle licenze relative ai seguenti prodotti soddisfano i requisiti di idoneità per il rinnovo della copertura Software Assurance per i Sistemi Operativi MSDN. Quando viene effettuato il rinnovo a un livello di sottoscrizione MSDN diverso, le nuove condizioni per l</w:t>
      </w:r>
      <w:r w:rsidR="007A1415" w:rsidRPr="00BD7CEA">
        <w:rPr>
          <w:rFonts w:ascii="Tahoma" w:hAnsi="Tahoma" w:cs="Tahoma"/>
          <w:sz w:val="18"/>
        </w:rPr>
        <w:t>’</w:t>
      </w:r>
      <w:r w:rsidRPr="00BD7CEA">
        <w:rPr>
          <w:rFonts w:ascii="Tahoma" w:hAnsi="Tahoma" w:cs="Tahoma"/>
          <w:sz w:val="18"/>
        </w:rPr>
        <w:t>utilizzo sostituiscono quelle precedenti e qualsiasi prodotto software non incluso nella nuova sottoscrizione MSDN dovrà essere rimosso.</w:t>
      </w:r>
    </w:p>
    <w:p w:rsidR="00DC2291" w:rsidRPr="00BD7CEA" w:rsidRDefault="00DC2291" w:rsidP="00D16EA8">
      <w:pPr>
        <w:pStyle w:val="EndnoteText"/>
        <w:tabs>
          <w:tab w:val="num" w:pos="1080"/>
        </w:tabs>
        <w:ind w:left="720"/>
      </w:pPr>
    </w:p>
    <w:p w:rsidR="00DC2291" w:rsidRPr="00BD7CEA" w:rsidRDefault="00DC2291" w:rsidP="00D16EA8">
      <w:pPr>
        <w:pStyle w:val="FootnoteBulletLevel2"/>
        <w:numPr>
          <w:ilvl w:val="0"/>
          <w:numId w:val="4"/>
        </w:numPr>
        <w:spacing w:before="0" w:after="60"/>
        <w:ind w:left="1440"/>
      </w:pPr>
      <w:r w:rsidRPr="00BD7CEA">
        <w:rPr>
          <w:rFonts w:ascii="Tahoma" w:hAnsi="Tahoma" w:cs="Tahoma"/>
          <w:sz w:val="18"/>
        </w:rPr>
        <w:t>Visual Studio Ultimate con MSDN</w:t>
      </w:r>
    </w:p>
    <w:p w:rsidR="00DC2291" w:rsidRPr="00BD7CEA" w:rsidRDefault="00DC2291" w:rsidP="00D16EA8">
      <w:pPr>
        <w:pStyle w:val="FootnoteBulletLevel2"/>
        <w:numPr>
          <w:ilvl w:val="0"/>
          <w:numId w:val="4"/>
        </w:numPr>
        <w:spacing w:before="0" w:after="60"/>
        <w:ind w:left="1440"/>
      </w:pPr>
      <w:r w:rsidRPr="00BD7CEA">
        <w:rPr>
          <w:rFonts w:ascii="Tahoma" w:hAnsi="Tahoma" w:cs="Tahoma"/>
          <w:sz w:val="18"/>
        </w:rPr>
        <w:t>Visual Studio Premium con MSDN</w:t>
      </w:r>
    </w:p>
    <w:p w:rsidR="00DC2291" w:rsidRPr="00BD7CEA" w:rsidRDefault="00DC2291" w:rsidP="00D16EA8">
      <w:pPr>
        <w:pStyle w:val="FootnoteBulletLevel2"/>
        <w:numPr>
          <w:ilvl w:val="0"/>
          <w:numId w:val="4"/>
        </w:numPr>
        <w:spacing w:before="0" w:after="60"/>
        <w:ind w:left="1440"/>
      </w:pPr>
      <w:r w:rsidRPr="00BD7CEA">
        <w:rPr>
          <w:rFonts w:ascii="Tahoma" w:hAnsi="Tahoma" w:cs="Tahoma"/>
          <w:sz w:val="18"/>
        </w:rPr>
        <w:t>Visual Studio Professional con MSDN</w:t>
      </w:r>
    </w:p>
    <w:p w:rsidR="00DC2291" w:rsidRPr="00BD7CEA" w:rsidRDefault="00DC2291" w:rsidP="00D16EA8">
      <w:pPr>
        <w:pStyle w:val="FootnoteBulletLevel2"/>
        <w:numPr>
          <w:ilvl w:val="0"/>
          <w:numId w:val="4"/>
        </w:numPr>
        <w:spacing w:before="0" w:after="60"/>
        <w:ind w:left="1440"/>
      </w:pPr>
      <w:r w:rsidRPr="00BD7CEA">
        <w:rPr>
          <w:rFonts w:ascii="Tahoma" w:hAnsi="Tahoma" w:cs="Tahoma"/>
          <w:sz w:val="18"/>
        </w:rPr>
        <w:t>Visual Studio Professional con MSDN Embedded</w:t>
      </w:r>
    </w:p>
    <w:p w:rsidR="00DC2291" w:rsidRPr="00BD7CEA" w:rsidRDefault="00DC2291" w:rsidP="00D16EA8">
      <w:pPr>
        <w:pStyle w:val="FootnoteBulletLevel2"/>
        <w:numPr>
          <w:ilvl w:val="0"/>
          <w:numId w:val="4"/>
        </w:numPr>
        <w:spacing w:before="0" w:after="60"/>
        <w:ind w:left="1440"/>
      </w:pPr>
      <w:r w:rsidRPr="00BD7CEA">
        <w:rPr>
          <w:rFonts w:ascii="Tahoma" w:hAnsi="Tahoma" w:cs="Tahoma"/>
          <w:sz w:val="18"/>
        </w:rPr>
        <w:t>Visual Studio Test Professional con MSDN</w:t>
      </w:r>
    </w:p>
    <w:p w:rsidR="00DC2291" w:rsidRPr="00BD7CEA" w:rsidRDefault="00DC2291" w:rsidP="00D16EA8">
      <w:pPr>
        <w:pStyle w:val="FootnoteBulletLevel2"/>
        <w:numPr>
          <w:ilvl w:val="0"/>
          <w:numId w:val="4"/>
        </w:numPr>
        <w:spacing w:before="0" w:after="60"/>
        <w:ind w:left="1440"/>
      </w:pPr>
      <w:r w:rsidRPr="00BD7CEA">
        <w:rPr>
          <w:rFonts w:ascii="Tahoma" w:hAnsi="Tahoma" w:cs="Tahoma"/>
          <w:sz w:val="18"/>
        </w:rPr>
        <w:t>Visual Studio Professional con MSDN Professional</w:t>
      </w:r>
    </w:p>
    <w:p w:rsidR="00DC2291" w:rsidRPr="00BD7CEA" w:rsidRDefault="00DC2291" w:rsidP="00D16EA8">
      <w:pPr>
        <w:pStyle w:val="FootnoteBulletLevel2"/>
        <w:numPr>
          <w:ilvl w:val="0"/>
          <w:numId w:val="4"/>
        </w:numPr>
        <w:spacing w:before="0" w:after="60"/>
        <w:ind w:left="1440"/>
      </w:pPr>
      <w:r w:rsidRPr="00BD7CEA">
        <w:rPr>
          <w:rFonts w:ascii="Tahoma" w:hAnsi="Tahoma" w:cs="Tahoma"/>
          <w:sz w:val="18"/>
        </w:rPr>
        <w:t>Visual Studio Professional con MSDN Premium</w:t>
      </w:r>
    </w:p>
    <w:p w:rsidR="00DC2291" w:rsidRPr="00BD7CEA" w:rsidRDefault="00DC2291" w:rsidP="00D16EA8">
      <w:pPr>
        <w:pStyle w:val="FootnoteBulletLevel2"/>
        <w:numPr>
          <w:ilvl w:val="0"/>
          <w:numId w:val="4"/>
        </w:numPr>
        <w:spacing w:before="0" w:after="60"/>
        <w:ind w:left="1440"/>
      </w:pPr>
      <w:r w:rsidRPr="00BD7CEA">
        <w:rPr>
          <w:rFonts w:ascii="Tahoma" w:hAnsi="Tahoma" w:cs="Tahoma"/>
          <w:sz w:val="18"/>
        </w:rPr>
        <w:t>Visual Studio Team System Team Suite con MSDN Premium</w:t>
      </w:r>
    </w:p>
    <w:p w:rsidR="00DC2291" w:rsidRPr="00BD7CEA" w:rsidRDefault="00DC2291" w:rsidP="00D16EA8">
      <w:pPr>
        <w:pStyle w:val="FootnoteBulletLevel2"/>
        <w:numPr>
          <w:ilvl w:val="0"/>
          <w:numId w:val="4"/>
        </w:numPr>
        <w:spacing w:before="0" w:after="60"/>
        <w:ind w:left="1440"/>
      </w:pPr>
      <w:r w:rsidRPr="00BD7CEA">
        <w:rPr>
          <w:rFonts w:ascii="Tahoma" w:hAnsi="Tahoma" w:cs="Tahoma"/>
          <w:sz w:val="18"/>
        </w:rPr>
        <w:t>Visual Studio Team System Test Edition con MSDN Premium</w:t>
      </w:r>
    </w:p>
    <w:p w:rsidR="00DC2291" w:rsidRPr="00BD7CEA" w:rsidRDefault="00DC2291" w:rsidP="00D16EA8">
      <w:pPr>
        <w:pStyle w:val="FootnoteBulletLevel2"/>
        <w:numPr>
          <w:ilvl w:val="0"/>
          <w:numId w:val="4"/>
        </w:numPr>
        <w:spacing w:before="0" w:after="60"/>
        <w:ind w:left="1440"/>
      </w:pPr>
      <w:r w:rsidRPr="00BD7CEA">
        <w:rPr>
          <w:rFonts w:ascii="Tahoma" w:hAnsi="Tahoma" w:cs="Tahoma"/>
          <w:sz w:val="18"/>
        </w:rPr>
        <w:t>Visual Studio Team System Development Edition con MSDN Premium</w:t>
      </w:r>
    </w:p>
    <w:p w:rsidR="00DC2291" w:rsidRPr="00BD7CEA" w:rsidRDefault="00DC2291" w:rsidP="00D16EA8">
      <w:pPr>
        <w:pStyle w:val="FootnoteBulletLevel2"/>
        <w:numPr>
          <w:ilvl w:val="0"/>
          <w:numId w:val="4"/>
        </w:numPr>
        <w:spacing w:before="0" w:after="60"/>
        <w:ind w:left="1440"/>
      </w:pPr>
      <w:r w:rsidRPr="00BD7CEA">
        <w:rPr>
          <w:rFonts w:ascii="Tahoma" w:hAnsi="Tahoma" w:cs="Tahoma"/>
          <w:sz w:val="18"/>
        </w:rPr>
        <w:t xml:space="preserve">Visual Studio Team System Architecture Edition con MSDN Premium </w:t>
      </w:r>
    </w:p>
    <w:p w:rsidR="00DC2291" w:rsidRPr="00BD7CEA" w:rsidRDefault="00DC2291" w:rsidP="00D16EA8">
      <w:pPr>
        <w:pStyle w:val="FootnoteBulletLevel2"/>
        <w:numPr>
          <w:ilvl w:val="0"/>
          <w:numId w:val="4"/>
        </w:numPr>
        <w:spacing w:before="0" w:after="60"/>
        <w:ind w:left="1440"/>
      </w:pPr>
      <w:r w:rsidRPr="00BD7CEA">
        <w:rPr>
          <w:rFonts w:ascii="Tahoma" w:hAnsi="Tahoma" w:cs="Tahoma"/>
          <w:sz w:val="18"/>
        </w:rPr>
        <w:t>Visual Studio Team System Database Edition con MSDN Premium</w:t>
      </w:r>
    </w:p>
    <w:p w:rsidR="00DC2291" w:rsidRPr="00BD7CEA" w:rsidRDefault="00DC2291" w:rsidP="00D16EA8">
      <w:pPr>
        <w:pStyle w:val="FootnoteBulletLevel2"/>
        <w:numPr>
          <w:ilvl w:val="0"/>
          <w:numId w:val="4"/>
        </w:numPr>
        <w:spacing w:before="0" w:after="60"/>
        <w:ind w:left="1440"/>
      </w:pPr>
      <w:r w:rsidRPr="00BD7CEA">
        <w:rPr>
          <w:rFonts w:ascii="Tahoma" w:hAnsi="Tahoma" w:cs="Tahoma"/>
          <w:sz w:val="18"/>
        </w:rPr>
        <w:t>Sistemi Operativi MSDN</w:t>
      </w:r>
    </w:p>
    <w:p w:rsidR="00DC2291" w:rsidRPr="00BD7CEA" w:rsidRDefault="00DC2291" w:rsidP="00D16EA8">
      <w:pPr>
        <w:pStyle w:val="FootnoteBulletLevel2"/>
        <w:numPr>
          <w:ilvl w:val="0"/>
          <w:numId w:val="4"/>
        </w:numPr>
        <w:spacing w:before="0" w:after="60"/>
        <w:ind w:left="1440"/>
      </w:pPr>
      <w:r w:rsidRPr="00BD7CEA">
        <w:rPr>
          <w:rFonts w:ascii="Tahoma" w:hAnsi="Tahoma" w:cs="Tahoma"/>
          <w:sz w:val="18"/>
        </w:rPr>
        <w:t>Società titolari di un abbonamento retail attivo per qualsiasi prodotto software indicato nel precedente elenco.</w:t>
      </w:r>
    </w:p>
    <w:p w:rsidR="002333B5" w:rsidRPr="00BD7CEA" w:rsidRDefault="002333B5" w:rsidP="00D16EA8">
      <w:pPr>
        <w:pStyle w:val="FootnoteBulletLevel2"/>
        <w:tabs>
          <w:tab w:val="clear" w:pos="1260"/>
        </w:tabs>
        <w:spacing w:before="0"/>
        <w:ind w:left="0" w:firstLine="0"/>
      </w:pPr>
    </w:p>
    <w:p w:rsidR="00D16EA8" w:rsidRPr="00BD7CEA" w:rsidRDefault="00F51051" w:rsidP="00864B8A">
      <w:pPr>
        <w:spacing w:after="60"/>
        <w:ind w:left="720"/>
      </w:pPr>
      <w:r w:rsidRPr="00BD7CEA">
        <w:rPr>
          <w:rFonts w:cs="Tahoma"/>
          <w:b/>
          <w:szCs w:val="20"/>
        </w:rPr>
        <w:lastRenderedPageBreak/>
        <w:t>Servizi “Subscription”</w:t>
      </w:r>
    </w:p>
    <w:p w:rsidR="00B26237" w:rsidRPr="00BD7CEA" w:rsidRDefault="002333B5" w:rsidP="00D16EA8">
      <w:pPr>
        <w:pStyle w:val="FootnoteBulletLevel2"/>
        <w:tabs>
          <w:tab w:val="clear" w:pos="1260"/>
        </w:tabs>
        <w:spacing w:before="0"/>
        <w:ind w:left="720" w:firstLine="0"/>
      </w:pPr>
      <w:r w:rsidRPr="00BD7CEA">
        <w:rPr>
          <w:rFonts w:ascii="Tahoma" w:hAnsi="Tahoma" w:cs="Tahoma"/>
          <w:sz w:val="18"/>
        </w:rPr>
        <w:t>I servizi MSDN in abbonamento, che potranno includere download, codici Product Key, vantaggi di Windows Azure, e-learning, supporto tecnico, vantaggi di Windows Store e altri servizi, sono disponibili solo durante il periodo di validità dell</w:t>
      </w:r>
      <w:r w:rsidR="007A1415" w:rsidRPr="00BD7CEA">
        <w:rPr>
          <w:rFonts w:ascii="Tahoma" w:hAnsi="Tahoma" w:cs="Tahoma"/>
          <w:sz w:val="18"/>
        </w:rPr>
        <w:t>’</w:t>
      </w:r>
      <w:r w:rsidRPr="00BD7CEA">
        <w:rPr>
          <w:rFonts w:ascii="Tahoma" w:hAnsi="Tahoma" w:cs="Tahoma"/>
          <w:sz w:val="18"/>
        </w:rPr>
        <w:t>abbonamento.</w:t>
      </w:r>
    </w:p>
    <w:p w:rsidR="00D16EA8" w:rsidRPr="00BD7CEA" w:rsidRDefault="00D16EA8" w:rsidP="00D16EA8">
      <w:pPr>
        <w:pStyle w:val="FootnoteBulletLevel2"/>
        <w:tabs>
          <w:tab w:val="clear" w:pos="1260"/>
        </w:tabs>
        <w:spacing w:before="0"/>
        <w:ind w:left="0" w:firstLine="0"/>
      </w:pPr>
    </w:p>
    <w:p w:rsidR="00D16EA8" w:rsidRPr="00BD7CEA" w:rsidRDefault="00D16EA8" w:rsidP="00D16EA8">
      <w:pPr>
        <w:pStyle w:val="FootnoteBulletLevel2"/>
        <w:tabs>
          <w:tab w:val="clear" w:pos="1260"/>
        </w:tabs>
        <w:spacing w:before="0"/>
        <w:ind w:left="0" w:firstLine="0"/>
      </w:pPr>
    </w:p>
    <w:p w:rsidR="00B26237" w:rsidRPr="00BD7CEA" w:rsidRDefault="00B54C21" w:rsidP="00B26237">
      <w:pPr>
        <w:pStyle w:val="Heading2"/>
        <w:ind w:left="0"/>
      </w:pPr>
      <w:bookmarkStart w:id="1021" w:name="_6_Office_365"/>
      <w:bookmarkStart w:id="1022" w:name="_45_Office_365"/>
      <w:bookmarkStart w:id="1023" w:name="_Toc336338262"/>
      <w:bookmarkStart w:id="1024" w:name="_Toc353376040"/>
      <w:bookmarkEnd w:id="1021"/>
      <w:bookmarkEnd w:id="1022"/>
      <w:r w:rsidRPr="00BD7CEA">
        <w:rPr>
          <w:rFonts w:ascii="Tahoma" w:hAnsi="Tahoma" w:cs="Tahoma"/>
          <w:caps/>
          <w:color w:val="F66400"/>
          <w:sz w:val="22"/>
          <w:szCs w:val="20"/>
          <w:vertAlign w:val="superscript"/>
        </w:rPr>
        <w:t>4</w:t>
      </w:r>
      <w:r w:rsidRPr="00BD7CEA">
        <w:rPr>
          <w:color w:val="F66400"/>
          <w:sz w:val="22"/>
          <w:szCs w:val="20"/>
        </w:rPr>
        <w:t xml:space="preserve"> </w:t>
      </w:r>
      <w:r w:rsidRPr="00BD7CEA">
        <w:rPr>
          <w:rFonts w:ascii="Tahoma" w:hAnsi="Tahoma" w:cs="Tahoma"/>
          <w:color w:val="FF6600"/>
          <w:sz w:val="22"/>
          <w:szCs w:val="22"/>
        </w:rPr>
        <w:t>Office 365 Education A2-A4 (SL per Utente)</w:t>
      </w:r>
      <w:bookmarkEnd w:id="1023"/>
      <w:bookmarkEnd w:id="1024"/>
    </w:p>
    <w:p w:rsidR="00B26237" w:rsidRPr="00BD7CEA" w:rsidRDefault="00B26237" w:rsidP="00AE5A9F"/>
    <w:p w:rsidR="00B26237" w:rsidRPr="00BD7CEA" w:rsidRDefault="00B26237" w:rsidP="00B26237">
      <w:pPr>
        <w:ind w:left="720"/>
      </w:pPr>
      <w:r w:rsidRPr="00BD7CEA">
        <w:rPr>
          <w:rFonts w:eastAsia="Calibri" w:cs="Tahoma"/>
          <w:color w:val="000000"/>
          <w:szCs w:val="18"/>
        </w:rPr>
        <w:t>Office 365 Education A2-A4 consistono di versioni specifiche Academic degli stessi servizi online che costituiscono Office 365 Enterprise E2-E4.</w:t>
      </w:r>
      <w:r w:rsidR="008D782D" w:rsidRPr="00BD7CEA">
        <w:rPr>
          <w:rFonts w:eastAsia="Calibri" w:cs="Tahoma"/>
          <w:color w:val="000000"/>
          <w:szCs w:val="18"/>
        </w:rPr>
        <w:t xml:space="preserve"> </w:t>
      </w:r>
      <w:r w:rsidRPr="00BD7CEA">
        <w:rPr>
          <w:rFonts w:eastAsia="Calibri" w:cs="Tahoma"/>
          <w:color w:val="000000"/>
          <w:szCs w:val="18"/>
        </w:rPr>
        <w:t>I diritti sull</w:t>
      </w:r>
      <w:r w:rsidR="007A1415" w:rsidRPr="00BD7CEA">
        <w:rPr>
          <w:rFonts w:eastAsia="Calibri" w:cs="Tahoma"/>
          <w:color w:val="000000"/>
          <w:szCs w:val="18"/>
        </w:rPr>
        <w:t>’</w:t>
      </w:r>
      <w:r w:rsidRPr="00BD7CEA">
        <w:rPr>
          <w:rFonts w:eastAsia="Calibri" w:cs="Tahoma"/>
          <w:color w:val="000000"/>
          <w:szCs w:val="18"/>
        </w:rPr>
        <w:t>utilizzo di Education A2-A4 e dei relativi componenti sono equivalenti alle loro controparti commerciali.</w:t>
      </w:r>
      <w:r w:rsidR="008D782D" w:rsidRPr="00BD7CEA">
        <w:rPr>
          <w:rFonts w:eastAsia="Calibri" w:cs="Tahoma"/>
          <w:color w:val="000000"/>
          <w:szCs w:val="18"/>
        </w:rPr>
        <w:t xml:space="preserve"> </w:t>
      </w:r>
      <w:r w:rsidRPr="00BD7CEA">
        <w:rPr>
          <w:rFonts w:eastAsia="Calibri" w:cs="Tahoma"/>
          <w:color w:val="000000"/>
          <w:szCs w:val="18"/>
        </w:rPr>
        <w:t>Tuttavia, gli utenti in possesso di USL per Office 365 Education A2 non sono autorizzati ad accedere ai propri server locali.</w:t>
      </w:r>
    </w:p>
    <w:p w:rsidR="00B26237" w:rsidRPr="00BD7CEA" w:rsidRDefault="00B26237" w:rsidP="00B26237">
      <w:pPr>
        <w:ind w:left="720"/>
      </w:pPr>
    </w:p>
    <w:p w:rsidR="00B26237" w:rsidRPr="00BD7CEA" w:rsidRDefault="00B26237" w:rsidP="00B26237">
      <w:pPr>
        <w:ind w:left="720"/>
      </w:pPr>
      <w:r w:rsidRPr="00BD7CEA">
        <w:rPr>
          <w:rFonts w:eastAsia="Calibri" w:cs="Tahoma"/>
          <w:color w:val="000000"/>
          <w:szCs w:val="18"/>
        </w:rPr>
        <w:t>Ai sensi del Contratto School le licenze “Subscription” per i Piani di Office 365 dovranno essere acquistate in</w:t>
      </w:r>
      <w:r w:rsidR="000935B1" w:rsidRPr="00BD7CEA">
        <w:rPr>
          <w:rFonts w:eastAsia="Calibri" w:cs="Tahoma"/>
          <w:color w:val="000000"/>
          <w:szCs w:val="18"/>
        </w:rPr>
        <w:t> </w:t>
      </w:r>
      <w:r w:rsidRPr="00BD7CEA">
        <w:rPr>
          <w:rFonts w:eastAsia="Calibri" w:cs="Tahoma"/>
          <w:color w:val="000000"/>
          <w:szCs w:val="18"/>
        </w:rPr>
        <w:t>modalità per utente per l</w:t>
      </w:r>
      <w:r w:rsidR="007A1415" w:rsidRPr="00BD7CEA">
        <w:rPr>
          <w:rFonts w:eastAsia="Calibri" w:cs="Tahoma"/>
          <w:color w:val="000000"/>
          <w:szCs w:val="18"/>
        </w:rPr>
        <w:t>’</w:t>
      </w:r>
      <w:r w:rsidRPr="00BD7CEA">
        <w:rPr>
          <w:rFonts w:eastAsia="Calibri" w:cs="Tahoma"/>
          <w:color w:val="000000"/>
          <w:szCs w:val="18"/>
        </w:rPr>
        <w:t>intero istituto oppure non per l</w:t>
      </w:r>
      <w:r w:rsidR="007A1415" w:rsidRPr="00BD7CEA">
        <w:rPr>
          <w:rFonts w:eastAsia="Calibri" w:cs="Tahoma"/>
          <w:color w:val="000000"/>
          <w:szCs w:val="18"/>
        </w:rPr>
        <w:t>’</w:t>
      </w:r>
      <w:r w:rsidRPr="00BD7CEA">
        <w:rPr>
          <w:rFonts w:eastAsia="Calibri" w:cs="Tahoma"/>
          <w:color w:val="000000"/>
          <w:szCs w:val="18"/>
        </w:rPr>
        <w:t>intero istituto. Qualora occorressero Licenze “Subscription” per Utente per accedere a un Piano a medio termine di Office 365, l</w:t>
      </w:r>
      <w:r w:rsidR="007A1415" w:rsidRPr="00BD7CEA">
        <w:rPr>
          <w:rFonts w:eastAsia="Calibri" w:cs="Tahoma"/>
          <w:color w:val="000000"/>
          <w:szCs w:val="18"/>
        </w:rPr>
        <w:t>’</w:t>
      </w:r>
      <w:r w:rsidRPr="00BD7CEA">
        <w:rPr>
          <w:rFonts w:eastAsia="Calibri" w:cs="Tahoma"/>
          <w:color w:val="000000"/>
          <w:szCs w:val="18"/>
        </w:rPr>
        <w:t>Istituto dovrà ordinare tali Licenze.</w:t>
      </w:r>
      <w:r w:rsidR="008D782D" w:rsidRPr="00BD7CEA">
        <w:rPr>
          <w:rFonts w:eastAsia="Calibri" w:cs="Tahoma"/>
          <w:color w:val="000000"/>
          <w:szCs w:val="18"/>
        </w:rPr>
        <w:t xml:space="preserve"> </w:t>
      </w:r>
      <w:r w:rsidRPr="00BD7CEA">
        <w:rPr>
          <w:rFonts w:eastAsia="Calibri" w:cs="Tahoma"/>
          <w:color w:val="000000"/>
          <w:szCs w:val="18"/>
        </w:rPr>
        <w:t>L</w:t>
      </w:r>
      <w:r w:rsidR="007A1415" w:rsidRPr="00BD7CEA">
        <w:rPr>
          <w:rFonts w:eastAsia="Calibri" w:cs="Tahoma"/>
          <w:color w:val="000000"/>
          <w:szCs w:val="18"/>
        </w:rPr>
        <w:t>’</w:t>
      </w:r>
      <w:r w:rsidRPr="00BD7CEA">
        <w:rPr>
          <w:rFonts w:eastAsia="Calibri" w:cs="Tahoma"/>
          <w:color w:val="000000"/>
          <w:szCs w:val="18"/>
        </w:rPr>
        <w:t>Istituto può utilizzare un qualsiasi Piano di Office 365 per soddisfare i requisiti minimi del</w:t>
      </w:r>
      <w:r w:rsidR="000935B1" w:rsidRPr="00BD7CEA">
        <w:rPr>
          <w:rFonts w:eastAsia="Calibri" w:cs="Tahoma"/>
          <w:color w:val="000000"/>
          <w:szCs w:val="18"/>
        </w:rPr>
        <w:t> </w:t>
      </w:r>
      <w:r w:rsidRPr="00BD7CEA">
        <w:rPr>
          <w:rFonts w:eastAsia="Calibri" w:cs="Tahoma"/>
          <w:color w:val="000000"/>
          <w:szCs w:val="18"/>
        </w:rPr>
        <w:t>programma. Quando si ottiene una licenza Add-on per Office 365, anche la licenza per il prodotto qualificante corrispondente dovrà essere acquistata ai sensi della stessa iscrizione.</w:t>
      </w:r>
      <w:r w:rsidR="008D782D" w:rsidRPr="00BD7CEA">
        <w:rPr>
          <w:rFonts w:eastAsia="Calibri" w:cs="Tahoma"/>
          <w:color w:val="000000"/>
          <w:szCs w:val="18"/>
        </w:rPr>
        <w:t xml:space="preserve"> </w:t>
      </w:r>
      <w:r w:rsidRPr="00BD7CEA">
        <w:rPr>
          <w:color w:val="000000"/>
        </w:rPr>
        <w:t>In occasione della ricorrenza annuale l</w:t>
      </w:r>
      <w:r w:rsidR="007A1415" w:rsidRPr="00BD7CEA">
        <w:rPr>
          <w:color w:val="000000"/>
        </w:rPr>
        <w:t>’</w:t>
      </w:r>
      <w:r w:rsidRPr="00BD7CEA">
        <w:rPr>
          <w:color w:val="000000"/>
        </w:rPr>
        <w:t>Istituto potrà ordinare un numero di licenze per i Servizi Online inferiore rispetto alla quantità dell</w:t>
      </w:r>
      <w:r w:rsidR="007A1415" w:rsidRPr="00BD7CEA">
        <w:rPr>
          <w:color w:val="000000"/>
        </w:rPr>
        <w:t>’</w:t>
      </w:r>
      <w:r w:rsidRPr="00BD7CEA">
        <w:rPr>
          <w:color w:val="000000"/>
        </w:rPr>
        <w:t>ordine iniziale purché l</w:t>
      </w:r>
      <w:r w:rsidR="007A1415" w:rsidRPr="00BD7CEA">
        <w:rPr>
          <w:color w:val="000000"/>
        </w:rPr>
        <w:t>’</w:t>
      </w:r>
      <w:r w:rsidRPr="00BD7CEA">
        <w:rPr>
          <w:color w:val="000000"/>
        </w:rPr>
        <w:t>ordine soddisfi i requisiti minimi per i Servizi Online Piattaforma.</w:t>
      </w:r>
    </w:p>
    <w:p w:rsidR="00B26237" w:rsidRPr="00BD7CEA" w:rsidRDefault="00B26237" w:rsidP="00B26237">
      <w:pPr>
        <w:ind w:left="720"/>
      </w:pPr>
    </w:p>
    <w:p w:rsidR="00996781" w:rsidRPr="00BD7CEA" w:rsidRDefault="00996781" w:rsidP="00B26237">
      <w:pPr>
        <w:ind w:left="720"/>
      </w:pPr>
      <w:r w:rsidRPr="00BD7CEA">
        <w:rPr>
          <w:iCs/>
        </w:rPr>
        <w:t>Grazie a un</w:t>
      </w:r>
      <w:r w:rsidR="007A1415" w:rsidRPr="00BD7CEA">
        <w:rPr>
          <w:iCs/>
        </w:rPr>
        <w:t>’</w:t>
      </w:r>
      <w:r w:rsidRPr="00BD7CEA">
        <w:rPr>
          <w:iCs/>
        </w:rPr>
        <w:t>offerta di durata limitata, le società in possesso della licenza per Office 365 Education A1, A2, A3 o A4 riceveranno gratuitamente in licenza una copia di Lync 2013 (o Lync per Mac 2011) per ogni licenza “subscription” per utente per Office 365 Education A1, A2, A3 e A4. Il software potrà essere utilizzato esclusivamente con Office 365 Education A1, A2, A3, A4 (che include Lync Online) e tutti i diritti di utilizzo del software cesseranno alla scadenza della licenza "subscription" sottostante, oppure in occasione della migrazione alla successiva nuova versione principale di Office 365 Education A1, A2, A3, A4 e Lync Online, a</w:t>
      </w:r>
      <w:r w:rsidR="00F60C1B" w:rsidRPr="00BD7CEA">
        <w:rPr>
          <w:iCs/>
        </w:rPr>
        <w:t> </w:t>
      </w:r>
      <w:r w:rsidRPr="00BD7CEA">
        <w:rPr>
          <w:iCs/>
        </w:rPr>
        <w:t>seconda di quale evento si verifichi per primo.</w:t>
      </w:r>
    </w:p>
    <w:p w:rsidR="00996781" w:rsidRPr="00BD7CEA" w:rsidRDefault="00996781" w:rsidP="00B26237">
      <w:pPr>
        <w:ind w:left="720"/>
      </w:pPr>
    </w:p>
    <w:p w:rsidR="00B26237" w:rsidRPr="00BD7CEA" w:rsidRDefault="0035314F" w:rsidP="00864B8A">
      <w:pPr>
        <w:spacing w:after="60"/>
        <w:ind w:left="720"/>
      </w:pPr>
      <w:r w:rsidRPr="00BD7CEA">
        <w:rPr>
          <w:rFonts w:cs="Tahoma"/>
          <w:b/>
          <w:szCs w:val="20"/>
        </w:rPr>
        <w:t>USL Add-On</w:t>
      </w:r>
    </w:p>
    <w:p w:rsidR="00B26237" w:rsidRPr="00BD7CEA" w:rsidRDefault="00B26237" w:rsidP="00B26237">
      <w:pPr>
        <w:ind w:left="720"/>
      </w:pPr>
      <w:r w:rsidRPr="00BD7CEA">
        <w:rPr>
          <w:rFonts w:eastAsia="Calibri" w:cs="Tahoma"/>
          <w:color w:val="000000"/>
          <w:szCs w:val="18"/>
        </w:rPr>
        <w:t>Gli Istituti che dispongono di una copertura per i prodotti qualificanti potranno acquistare la Licenza “Subscription” per Utente corrispondente per il Piano Add-on di Office 365, come descritto in dettaglio nella</w:t>
      </w:r>
      <w:r w:rsidR="00F60C1B" w:rsidRPr="00BD7CEA">
        <w:rPr>
          <w:rFonts w:eastAsia="Calibri" w:cs="Tahoma"/>
          <w:color w:val="000000"/>
          <w:szCs w:val="18"/>
        </w:rPr>
        <w:t> </w:t>
      </w:r>
      <w:r w:rsidRPr="00BD7CEA">
        <w:rPr>
          <w:rFonts w:eastAsia="Calibri" w:cs="Tahoma"/>
          <w:color w:val="000000"/>
          <w:szCs w:val="18"/>
        </w:rPr>
        <w:t>tabella che segue. Istituti che hanno stipulato un Contratto School: gli Istituti potranno acquistare la corrispondente Licenza “Subscription” per Utente per il Piano Add-on di Office 365 per i loro Utenti, fino al raggiungimento della quantità indicata nel conteggio dei PC Idonei, purché siano in possesso della copertura per i prodotti qualificanti.</w:t>
      </w:r>
      <w:r w:rsidR="008D782D" w:rsidRPr="00BD7CEA">
        <w:rPr>
          <w:rFonts w:eastAsia="Calibri" w:cs="Tahoma"/>
          <w:color w:val="000000"/>
          <w:szCs w:val="18"/>
        </w:rPr>
        <w:t xml:space="preserve"> </w:t>
      </w:r>
    </w:p>
    <w:p w:rsidR="00B26237" w:rsidRPr="00BD7CEA" w:rsidRDefault="00B26237" w:rsidP="00B26237"/>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4"/>
        <w:gridCol w:w="4258"/>
      </w:tblGrid>
      <w:tr w:rsidR="00B26237" w:rsidRPr="00BD7CEA" w:rsidTr="00B42A20">
        <w:tc>
          <w:tcPr>
            <w:tcW w:w="4320" w:type="dxa"/>
            <w:shd w:val="clear" w:color="auto" w:fill="FABF8F"/>
          </w:tcPr>
          <w:p w:rsidR="00B26237" w:rsidRPr="00BD7CEA" w:rsidRDefault="00B26237" w:rsidP="00B42A20">
            <w:pPr>
              <w:rPr>
                <w:rFonts w:eastAsia="Calibri" w:cs="Tahoma"/>
                <w:b/>
                <w:color w:val="000000"/>
                <w:szCs w:val="18"/>
              </w:rPr>
            </w:pPr>
            <w:r w:rsidRPr="00BD7CEA">
              <w:rPr>
                <w:rFonts w:eastAsia="Calibri" w:cs="Tahoma"/>
                <w:b/>
                <w:color w:val="000000"/>
                <w:szCs w:val="18"/>
              </w:rPr>
              <w:t>Licenza Qualificante</w:t>
            </w:r>
          </w:p>
        </w:tc>
        <w:tc>
          <w:tcPr>
            <w:tcW w:w="4320" w:type="dxa"/>
            <w:shd w:val="clear" w:color="auto" w:fill="FABF8F"/>
          </w:tcPr>
          <w:p w:rsidR="00B26237" w:rsidRPr="00BD7CEA" w:rsidRDefault="00B26237" w:rsidP="00B42A20">
            <w:pPr>
              <w:rPr>
                <w:rFonts w:eastAsia="Calibri" w:cs="Tahoma"/>
                <w:b/>
                <w:color w:val="000000"/>
                <w:szCs w:val="18"/>
              </w:rPr>
            </w:pPr>
            <w:r w:rsidRPr="00BD7CEA">
              <w:rPr>
                <w:rFonts w:eastAsia="Calibri" w:cs="Tahoma"/>
                <w:b/>
                <w:color w:val="000000"/>
                <w:szCs w:val="18"/>
              </w:rPr>
              <w:t>USL Add-On</w:t>
            </w:r>
          </w:p>
        </w:tc>
      </w:tr>
      <w:tr w:rsidR="00B26237" w:rsidRPr="00BD7CEA" w:rsidTr="00B42A20">
        <w:tc>
          <w:tcPr>
            <w:tcW w:w="4320" w:type="dxa"/>
            <w:shd w:val="clear" w:color="auto" w:fill="auto"/>
          </w:tcPr>
          <w:p w:rsidR="00B26237" w:rsidRPr="00BD7CEA" w:rsidRDefault="00B26237" w:rsidP="00B42A20">
            <w:pPr>
              <w:rPr>
                <w:rFonts w:eastAsia="Calibri" w:cs="Tahoma"/>
                <w:color w:val="000000"/>
                <w:szCs w:val="18"/>
              </w:rPr>
            </w:pPr>
            <w:r w:rsidRPr="00BD7CEA">
              <w:rPr>
                <w:rFonts w:eastAsia="Calibri" w:cs="Tahoma"/>
                <w:color w:val="000000"/>
                <w:szCs w:val="18"/>
              </w:rPr>
              <w:t>Core CAL Suite</w:t>
            </w:r>
            <w:r w:rsidRPr="00BD7CEA">
              <w:rPr>
                <w:rFonts w:eastAsia="Calibri" w:cs="Tahoma"/>
                <w:color w:val="000000"/>
                <w:szCs w:val="18"/>
                <w:vertAlign w:val="superscript"/>
              </w:rPr>
              <w:t>1</w:t>
            </w:r>
            <w:r w:rsidRPr="00BD7CEA">
              <w:rPr>
                <w:rFonts w:eastAsia="Calibri" w:cs="Tahoma"/>
                <w:color w:val="000000"/>
                <w:szCs w:val="18"/>
              </w:rPr>
              <w:t xml:space="preserve"> o ECAL Suite</w:t>
            </w:r>
            <w:r w:rsidRPr="00BD7CEA">
              <w:rPr>
                <w:rFonts w:eastAsia="Calibri" w:cs="Tahoma"/>
                <w:color w:val="000000"/>
                <w:szCs w:val="18"/>
                <w:vertAlign w:val="superscript"/>
              </w:rPr>
              <w:t>1</w:t>
            </w:r>
          </w:p>
        </w:tc>
        <w:tc>
          <w:tcPr>
            <w:tcW w:w="4320" w:type="dxa"/>
            <w:shd w:val="clear" w:color="auto" w:fill="auto"/>
          </w:tcPr>
          <w:p w:rsidR="00B26237" w:rsidRPr="00BD7CEA" w:rsidRDefault="00B26237" w:rsidP="009B3FA2">
            <w:pPr>
              <w:rPr>
                <w:rFonts w:eastAsia="Calibri" w:cs="Tahoma"/>
                <w:color w:val="000000"/>
                <w:szCs w:val="18"/>
              </w:rPr>
            </w:pPr>
            <w:r w:rsidRPr="00BD7CEA">
              <w:rPr>
                <w:rFonts w:eastAsia="Calibri" w:cs="Tahoma"/>
                <w:color w:val="000000"/>
                <w:szCs w:val="18"/>
              </w:rPr>
              <w:t>USL Add-On per Office 365 Education A3 per Core CAL o ECAL</w:t>
            </w:r>
          </w:p>
        </w:tc>
      </w:tr>
      <w:tr w:rsidR="00B26237" w:rsidRPr="00BD7CEA" w:rsidTr="00B42A20">
        <w:tc>
          <w:tcPr>
            <w:tcW w:w="4320" w:type="dxa"/>
            <w:shd w:val="clear" w:color="auto" w:fill="auto"/>
          </w:tcPr>
          <w:p w:rsidR="00B26237" w:rsidRPr="00BD7CEA" w:rsidRDefault="00B26237" w:rsidP="00B42A20">
            <w:pPr>
              <w:rPr>
                <w:rFonts w:eastAsia="Calibri" w:cs="Tahoma"/>
                <w:color w:val="000000"/>
                <w:szCs w:val="18"/>
              </w:rPr>
            </w:pPr>
            <w:r w:rsidRPr="00BD7CEA">
              <w:rPr>
                <w:rFonts w:eastAsia="Calibri" w:cs="Tahoma"/>
                <w:color w:val="000000"/>
                <w:szCs w:val="18"/>
              </w:rPr>
              <w:t>Office Pro Plus</w:t>
            </w:r>
            <w:r w:rsidRPr="00BD7CEA">
              <w:rPr>
                <w:rFonts w:eastAsia="Calibri" w:cs="Tahoma"/>
                <w:color w:val="000000"/>
                <w:szCs w:val="18"/>
                <w:vertAlign w:val="superscript"/>
              </w:rPr>
              <w:t>1</w:t>
            </w:r>
          </w:p>
        </w:tc>
        <w:tc>
          <w:tcPr>
            <w:tcW w:w="4320" w:type="dxa"/>
            <w:shd w:val="clear" w:color="auto" w:fill="auto"/>
          </w:tcPr>
          <w:p w:rsidR="00B26237" w:rsidRPr="00BD7CEA" w:rsidRDefault="00B26237" w:rsidP="009B3FA2">
            <w:pPr>
              <w:rPr>
                <w:rFonts w:eastAsia="Calibri" w:cs="Tahoma"/>
                <w:color w:val="000000"/>
                <w:szCs w:val="18"/>
              </w:rPr>
            </w:pPr>
            <w:r w:rsidRPr="00BD7CEA">
              <w:rPr>
                <w:rFonts w:eastAsia="Calibri" w:cs="Tahoma"/>
                <w:color w:val="000000"/>
                <w:szCs w:val="18"/>
              </w:rPr>
              <w:t>USL Add-On per Office 365 Education A3 per Office Pro Plus</w:t>
            </w:r>
          </w:p>
        </w:tc>
      </w:tr>
      <w:tr w:rsidR="00B26237" w:rsidRPr="00BD7CEA" w:rsidTr="00B42A20">
        <w:tc>
          <w:tcPr>
            <w:tcW w:w="4320" w:type="dxa"/>
            <w:shd w:val="clear" w:color="auto" w:fill="auto"/>
          </w:tcPr>
          <w:p w:rsidR="00B26237" w:rsidRPr="00BD7CEA" w:rsidRDefault="00B26237" w:rsidP="00B42A20">
            <w:pPr>
              <w:rPr>
                <w:rFonts w:eastAsia="Calibri" w:cs="Tahoma"/>
                <w:color w:val="000000"/>
                <w:szCs w:val="18"/>
              </w:rPr>
            </w:pPr>
            <w:r w:rsidRPr="00BD7CEA">
              <w:rPr>
                <w:rFonts w:eastAsia="Calibri" w:cs="Tahoma"/>
                <w:color w:val="000000"/>
                <w:szCs w:val="18"/>
              </w:rPr>
              <w:t>Core CAL Suite</w:t>
            </w:r>
            <w:r w:rsidRPr="00BD7CEA">
              <w:rPr>
                <w:rFonts w:eastAsia="Calibri" w:cs="Tahoma"/>
                <w:color w:val="000000"/>
                <w:szCs w:val="18"/>
                <w:vertAlign w:val="superscript"/>
              </w:rPr>
              <w:t>1</w:t>
            </w:r>
            <w:r w:rsidRPr="00BD7CEA">
              <w:rPr>
                <w:rFonts w:eastAsia="Calibri" w:cs="Tahoma"/>
                <w:color w:val="000000"/>
                <w:szCs w:val="18"/>
              </w:rPr>
              <w:t xml:space="preserve"> o ECAL Suite</w:t>
            </w:r>
            <w:r w:rsidRPr="00BD7CEA">
              <w:rPr>
                <w:rFonts w:eastAsia="Calibri" w:cs="Tahoma"/>
                <w:color w:val="000000"/>
                <w:szCs w:val="18"/>
                <w:vertAlign w:val="superscript"/>
              </w:rPr>
              <w:t>1</w:t>
            </w:r>
            <w:r w:rsidRPr="00BD7CEA">
              <w:rPr>
                <w:rFonts w:eastAsia="Calibri" w:cs="Tahoma"/>
                <w:color w:val="000000"/>
                <w:szCs w:val="18"/>
              </w:rPr>
              <w:t xml:space="preserve"> + Office Pro Plus</w:t>
            </w:r>
            <w:r w:rsidRPr="00BD7CEA">
              <w:rPr>
                <w:rFonts w:eastAsia="Calibri" w:cs="Tahoma"/>
                <w:color w:val="000000"/>
                <w:szCs w:val="18"/>
                <w:vertAlign w:val="superscript"/>
              </w:rPr>
              <w:t>1</w:t>
            </w:r>
          </w:p>
        </w:tc>
        <w:tc>
          <w:tcPr>
            <w:tcW w:w="4320" w:type="dxa"/>
            <w:shd w:val="clear" w:color="auto" w:fill="auto"/>
          </w:tcPr>
          <w:p w:rsidR="00B26237" w:rsidRPr="00BD7CEA" w:rsidRDefault="00B26237" w:rsidP="009B3FA2">
            <w:pPr>
              <w:rPr>
                <w:rFonts w:eastAsia="Calibri" w:cs="Tahoma"/>
                <w:color w:val="000000"/>
                <w:szCs w:val="18"/>
              </w:rPr>
            </w:pPr>
            <w:r w:rsidRPr="00BD7CEA">
              <w:rPr>
                <w:rFonts w:eastAsia="Calibri" w:cs="Tahoma"/>
                <w:color w:val="000000"/>
                <w:szCs w:val="18"/>
              </w:rPr>
              <w:t>USL Add-On per Office 365 Education A3 per Core CAL o ECAL + Office Pro Plus</w:t>
            </w:r>
          </w:p>
        </w:tc>
      </w:tr>
      <w:tr w:rsidR="00B26237" w:rsidRPr="00BD7CEA" w:rsidTr="00B42A20">
        <w:tc>
          <w:tcPr>
            <w:tcW w:w="4320" w:type="dxa"/>
            <w:shd w:val="clear" w:color="auto" w:fill="auto"/>
          </w:tcPr>
          <w:p w:rsidR="00B26237" w:rsidRPr="00BD7CEA" w:rsidRDefault="00B26237" w:rsidP="00B42A20">
            <w:pPr>
              <w:rPr>
                <w:rFonts w:eastAsia="Calibri" w:cs="Tahoma"/>
                <w:color w:val="000000"/>
                <w:szCs w:val="18"/>
              </w:rPr>
            </w:pPr>
            <w:r w:rsidRPr="00BD7CEA">
              <w:rPr>
                <w:rFonts w:eastAsia="Calibri" w:cs="Tahoma"/>
                <w:color w:val="000000"/>
                <w:szCs w:val="18"/>
              </w:rPr>
              <w:t>Core CAL Suite</w:t>
            </w:r>
            <w:r w:rsidRPr="00BD7CEA">
              <w:rPr>
                <w:rFonts w:eastAsia="Calibri" w:cs="Tahoma"/>
                <w:color w:val="000000"/>
                <w:szCs w:val="18"/>
                <w:vertAlign w:val="superscript"/>
              </w:rPr>
              <w:t>1</w:t>
            </w:r>
            <w:r w:rsidRPr="00BD7CEA">
              <w:rPr>
                <w:rFonts w:eastAsia="Calibri" w:cs="Tahoma"/>
                <w:color w:val="000000"/>
                <w:szCs w:val="18"/>
              </w:rPr>
              <w:t xml:space="preserve"> o ECAL Suite</w:t>
            </w:r>
            <w:r w:rsidRPr="00BD7CEA">
              <w:rPr>
                <w:rFonts w:eastAsia="Calibri" w:cs="Tahoma"/>
                <w:color w:val="000000"/>
                <w:szCs w:val="18"/>
                <w:vertAlign w:val="superscript"/>
              </w:rPr>
              <w:t>1</w:t>
            </w:r>
          </w:p>
        </w:tc>
        <w:tc>
          <w:tcPr>
            <w:tcW w:w="4320" w:type="dxa"/>
            <w:shd w:val="clear" w:color="auto" w:fill="auto"/>
          </w:tcPr>
          <w:p w:rsidR="00B26237" w:rsidRPr="00BD7CEA" w:rsidRDefault="00B26237" w:rsidP="009B3FA2">
            <w:pPr>
              <w:rPr>
                <w:rFonts w:eastAsia="Calibri" w:cs="Tahoma"/>
                <w:color w:val="000000"/>
                <w:szCs w:val="18"/>
              </w:rPr>
            </w:pPr>
            <w:r w:rsidRPr="00BD7CEA">
              <w:rPr>
                <w:rFonts w:eastAsia="Calibri" w:cs="Tahoma"/>
                <w:color w:val="000000"/>
                <w:szCs w:val="18"/>
              </w:rPr>
              <w:t>USL Add-On per Office 365 Education A4 per Core CAL o ECAL</w:t>
            </w:r>
          </w:p>
        </w:tc>
      </w:tr>
      <w:tr w:rsidR="00B26237" w:rsidRPr="00BD7CEA" w:rsidTr="00B42A20">
        <w:tc>
          <w:tcPr>
            <w:tcW w:w="4320" w:type="dxa"/>
            <w:shd w:val="clear" w:color="auto" w:fill="auto"/>
          </w:tcPr>
          <w:p w:rsidR="00B26237" w:rsidRPr="00BD7CEA" w:rsidRDefault="00B26237" w:rsidP="00B42A20">
            <w:pPr>
              <w:rPr>
                <w:rFonts w:eastAsia="Calibri" w:cs="Tahoma"/>
                <w:color w:val="000000"/>
                <w:szCs w:val="18"/>
              </w:rPr>
            </w:pPr>
            <w:r w:rsidRPr="00BD7CEA">
              <w:rPr>
                <w:rFonts w:eastAsia="Calibri" w:cs="Tahoma"/>
                <w:color w:val="000000"/>
                <w:szCs w:val="18"/>
              </w:rPr>
              <w:t>Office Pro Plus</w:t>
            </w:r>
            <w:r w:rsidRPr="00BD7CEA">
              <w:rPr>
                <w:rFonts w:eastAsia="Calibri" w:cs="Tahoma"/>
                <w:color w:val="000000"/>
                <w:szCs w:val="18"/>
                <w:vertAlign w:val="superscript"/>
              </w:rPr>
              <w:t>1</w:t>
            </w:r>
          </w:p>
        </w:tc>
        <w:tc>
          <w:tcPr>
            <w:tcW w:w="4320" w:type="dxa"/>
            <w:shd w:val="clear" w:color="auto" w:fill="auto"/>
          </w:tcPr>
          <w:p w:rsidR="00B26237" w:rsidRPr="00BD7CEA" w:rsidRDefault="00B26237" w:rsidP="009B3FA2">
            <w:pPr>
              <w:rPr>
                <w:rFonts w:eastAsia="Calibri" w:cs="Tahoma"/>
                <w:color w:val="000000"/>
                <w:szCs w:val="18"/>
              </w:rPr>
            </w:pPr>
            <w:r w:rsidRPr="00BD7CEA">
              <w:rPr>
                <w:rFonts w:eastAsia="Calibri" w:cs="Tahoma"/>
                <w:color w:val="000000"/>
                <w:szCs w:val="18"/>
              </w:rPr>
              <w:t>USL Add-On per Office 365 Education A4 per Office Pro Plus</w:t>
            </w:r>
          </w:p>
        </w:tc>
      </w:tr>
      <w:tr w:rsidR="00B26237" w:rsidRPr="00BD7CEA" w:rsidTr="00B42A20">
        <w:tc>
          <w:tcPr>
            <w:tcW w:w="4320" w:type="dxa"/>
            <w:shd w:val="clear" w:color="auto" w:fill="auto"/>
          </w:tcPr>
          <w:p w:rsidR="00B26237" w:rsidRPr="00BD7CEA" w:rsidRDefault="00B26237" w:rsidP="00B42A20">
            <w:pPr>
              <w:rPr>
                <w:rFonts w:eastAsia="Calibri" w:cs="Tahoma"/>
                <w:color w:val="000000"/>
                <w:szCs w:val="18"/>
              </w:rPr>
            </w:pPr>
            <w:r w:rsidRPr="00BD7CEA">
              <w:rPr>
                <w:rFonts w:eastAsia="Calibri" w:cs="Tahoma"/>
                <w:color w:val="000000"/>
                <w:szCs w:val="18"/>
              </w:rPr>
              <w:t>Core CAL Suite o ECAL Suite</w:t>
            </w:r>
            <w:r w:rsidRPr="00BD7CEA">
              <w:rPr>
                <w:rFonts w:eastAsia="Calibri" w:cs="Tahoma"/>
                <w:color w:val="000000"/>
                <w:szCs w:val="18"/>
                <w:vertAlign w:val="superscript"/>
              </w:rPr>
              <w:t>1</w:t>
            </w:r>
            <w:r w:rsidRPr="00BD7CEA">
              <w:rPr>
                <w:rFonts w:eastAsia="Calibri" w:cs="Tahoma"/>
                <w:color w:val="000000"/>
                <w:szCs w:val="18"/>
              </w:rPr>
              <w:t xml:space="preserve"> + Office Pro Plus</w:t>
            </w:r>
            <w:r w:rsidRPr="00BD7CEA">
              <w:rPr>
                <w:rFonts w:eastAsia="Calibri" w:cs="Tahoma"/>
                <w:color w:val="000000"/>
                <w:szCs w:val="18"/>
                <w:vertAlign w:val="superscript"/>
              </w:rPr>
              <w:t>1</w:t>
            </w:r>
          </w:p>
        </w:tc>
        <w:tc>
          <w:tcPr>
            <w:tcW w:w="4320" w:type="dxa"/>
            <w:shd w:val="clear" w:color="auto" w:fill="auto"/>
          </w:tcPr>
          <w:p w:rsidR="00B26237" w:rsidRPr="00BD7CEA" w:rsidRDefault="00B26237" w:rsidP="009B3FA2">
            <w:pPr>
              <w:rPr>
                <w:rFonts w:eastAsia="Calibri" w:cs="Tahoma"/>
                <w:color w:val="000000"/>
                <w:szCs w:val="18"/>
              </w:rPr>
            </w:pPr>
            <w:r w:rsidRPr="00BD7CEA">
              <w:rPr>
                <w:rFonts w:eastAsia="Calibri" w:cs="Tahoma"/>
                <w:color w:val="000000"/>
                <w:szCs w:val="18"/>
              </w:rPr>
              <w:t>USL Add-On per Office 365 Education A4 per Core CAL o ECAL + Office Pro Plus</w:t>
            </w:r>
          </w:p>
        </w:tc>
      </w:tr>
    </w:tbl>
    <w:p w:rsidR="00B26237" w:rsidRPr="00BD7CEA" w:rsidRDefault="00B26237" w:rsidP="00B26237">
      <w:pPr>
        <w:ind w:left="900"/>
      </w:pPr>
      <w:r w:rsidRPr="00BD7CEA">
        <w:rPr>
          <w:rFonts w:eastAsia="Calibri" w:cs="Tahoma"/>
          <w:i/>
          <w:color w:val="000000"/>
          <w:sz w:val="16"/>
          <w:szCs w:val="18"/>
          <w:vertAlign w:val="superscript"/>
        </w:rPr>
        <w:t>1</w:t>
      </w:r>
      <w:r w:rsidRPr="00BD7CEA">
        <w:rPr>
          <w:rFonts w:eastAsia="Calibri" w:cs="Tahoma"/>
          <w:i/>
          <w:color w:val="000000"/>
          <w:sz w:val="16"/>
          <w:szCs w:val="18"/>
        </w:rPr>
        <w:t>Con Software Assurance Attiva</w:t>
      </w:r>
    </w:p>
    <w:p w:rsidR="00B26237" w:rsidRPr="00BD7CEA" w:rsidRDefault="00B26237" w:rsidP="00B26237">
      <w:pPr>
        <w:ind w:left="720"/>
      </w:pPr>
    </w:p>
    <w:p w:rsidR="00B26237" w:rsidRPr="00BD7CEA" w:rsidRDefault="00B26237" w:rsidP="00B26237">
      <w:pPr>
        <w:ind w:left="720"/>
      </w:pPr>
      <w:r w:rsidRPr="00BD7CEA">
        <w:rPr>
          <w:rFonts w:eastAsia="Calibri" w:cs="Tahoma"/>
          <w:iCs/>
          <w:color w:val="000000"/>
          <w:szCs w:val="18"/>
        </w:rPr>
        <w:t>Gli Istituti in possesso di USL per Office 365 Education A3 o Office 365 Education A4 cedute a tutto il personale docente e non docente potranno installare il software Office Professional Plus 2010 in qualsiasi laboratorio o biblioteca ad accesso libero all</w:t>
      </w:r>
      <w:r w:rsidR="007A1415" w:rsidRPr="00BD7CEA">
        <w:rPr>
          <w:rFonts w:eastAsia="Calibri" w:cs="Tahoma"/>
          <w:iCs/>
          <w:color w:val="000000"/>
          <w:szCs w:val="18"/>
        </w:rPr>
        <w:t>’</w:t>
      </w:r>
      <w:r w:rsidRPr="00BD7CEA">
        <w:rPr>
          <w:rFonts w:eastAsia="Calibri" w:cs="Tahoma"/>
          <w:iCs/>
          <w:color w:val="000000"/>
          <w:szCs w:val="18"/>
        </w:rPr>
        <w:t>interno dell</w:t>
      </w:r>
      <w:r w:rsidR="007A1415" w:rsidRPr="00BD7CEA">
        <w:rPr>
          <w:rFonts w:eastAsia="Calibri" w:cs="Tahoma"/>
          <w:iCs/>
          <w:color w:val="000000"/>
          <w:szCs w:val="18"/>
        </w:rPr>
        <w:t>’</w:t>
      </w:r>
      <w:r w:rsidRPr="00BD7CEA">
        <w:rPr>
          <w:rFonts w:eastAsia="Calibri" w:cs="Tahoma"/>
          <w:iCs/>
          <w:color w:val="000000"/>
          <w:szCs w:val="18"/>
        </w:rPr>
        <w:t>Organizzazione dell</w:t>
      </w:r>
      <w:r w:rsidR="007A1415" w:rsidRPr="00BD7CEA">
        <w:rPr>
          <w:rFonts w:eastAsia="Calibri" w:cs="Tahoma"/>
          <w:iCs/>
          <w:color w:val="000000"/>
          <w:szCs w:val="18"/>
        </w:rPr>
        <w:t>’</w:t>
      </w:r>
      <w:r w:rsidRPr="00BD7CEA">
        <w:rPr>
          <w:rFonts w:eastAsia="Calibri" w:cs="Tahoma"/>
          <w:iCs/>
          <w:color w:val="000000"/>
          <w:szCs w:val="18"/>
        </w:rPr>
        <w:t>Istituto.</w:t>
      </w:r>
      <w:r w:rsidR="008D782D" w:rsidRPr="00BD7CEA">
        <w:rPr>
          <w:rFonts w:eastAsia="Calibri" w:cs="Tahoma"/>
          <w:iCs/>
          <w:color w:val="000000"/>
          <w:szCs w:val="18"/>
        </w:rPr>
        <w:t xml:space="preserve"> </w:t>
      </w:r>
      <w:r w:rsidRPr="00BD7CEA">
        <w:rPr>
          <w:rFonts w:eastAsia="Calibri" w:cs="Tahoma"/>
          <w:iCs/>
          <w:color w:val="000000"/>
          <w:szCs w:val="18"/>
        </w:rPr>
        <w:t>L</w:t>
      </w:r>
      <w:r w:rsidR="007A1415" w:rsidRPr="00BD7CEA">
        <w:rPr>
          <w:rFonts w:eastAsia="Calibri" w:cs="Tahoma"/>
          <w:iCs/>
          <w:color w:val="000000"/>
          <w:szCs w:val="18"/>
        </w:rPr>
        <w:t>’</w:t>
      </w:r>
      <w:r w:rsidRPr="00BD7CEA">
        <w:rPr>
          <w:rFonts w:eastAsia="Calibri" w:cs="Tahoma"/>
          <w:iCs/>
          <w:color w:val="000000"/>
          <w:szCs w:val="18"/>
        </w:rPr>
        <w:t>utilizzo del software è</w:t>
      </w:r>
      <w:r w:rsidR="00F60C1B" w:rsidRPr="00BD7CEA">
        <w:rPr>
          <w:rFonts w:eastAsia="Calibri" w:cs="Tahoma"/>
          <w:iCs/>
          <w:color w:val="000000"/>
          <w:szCs w:val="18"/>
        </w:rPr>
        <w:t> </w:t>
      </w:r>
      <w:r w:rsidRPr="00BD7CEA">
        <w:rPr>
          <w:rFonts w:eastAsia="Calibri" w:cs="Tahoma"/>
          <w:iCs/>
          <w:color w:val="000000"/>
          <w:szCs w:val="18"/>
        </w:rPr>
        <w:t>soggetto alle condizioni di licenza di Office Pro Plus 2010.</w:t>
      </w:r>
      <w:r w:rsidR="008D782D" w:rsidRPr="00BD7CEA">
        <w:rPr>
          <w:rFonts w:eastAsia="Calibri" w:cs="Tahoma"/>
          <w:iCs/>
          <w:color w:val="000000"/>
          <w:szCs w:val="18"/>
        </w:rPr>
        <w:t xml:space="preserve"> </w:t>
      </w:r>
    </w:p>
    <w:p w:rsidR="00B26237" w:rsidRPr="00BD7CEA" w:rsidRDefault="00B26237" w:rsidP="00B26237">
      <w:pPr>
        <w:ind w:left="720"/>
      </w:pPr>
    </w:p>
    <w:p w:rsidR="00B26237" w:rsidRPr="00BD7CEA" w:rsidRDefault="00B26237" w:rsidP="00810479">
      <w:pPr>
        <w:pStyle w:val="FootnoteBulletLevel2"/>
        <w:tabs>
          <w:tab w:val="clear" w:pos="1260"/>
        </w:tabs>
        <w:spacing w:before="0"/>
        <w:ind w:left="720" w:firstLine="0"/>
      </w:pPr>
      <w:r w:rsidRPr="00BD7CEA">
        <w:rPr>
          <w:rFonts w:ascii="Tahoma" w:eastAsia="Calibri" w:hAnsi="Tahoma" w:cs="Tahoma"/>
          <w:color w:val="000000"/>
          <w:sz w:val="18"/>
          <w:szCs w:val="18"/>
        </w:rPr>
        <w:lastRenderedPageBreak/>
        <w:t>Lync Online Piano 1A e Piano 2A richiedono l</w:t>
      </w:r>
      <w:r w:rsidR="007A1415" w:rsidRPr="00BD7CEA">
        <w:rPr>
          <w:rFonts w:ascii="Tahoma" w:eastAsia="Calibri" w:hAnsi="Tahoma" w:cs="Tahoma"/>
          <w:color w:val="000000"/>
          <w:sz w:val="18"/>
          <w:szCs w:val="18"/>
        </w:rPr>
        <w:t>’</w:t>
      </w:r>
      <w:r w:rsidRPr="00BD7CEA">
        <w:rPr>
          <w:rFonts w:ascii="Tahoma" w:eastAsia="Calibri" w:hAnsi="Tahoma" w:cs="Tahoma"/>
          <w:color w:val="000000"/>
          <w:sz w:val="18"/>
          <w:szCs w:val="18"/>
        </w:rPr>
        <w:t>acquisto e l</w:t>
      </w:r>
      <w:r w:rsidR="007A1415" w:rsidRPr="00BD7CEA">
        <w:rPr>
          <w:rFonts w:ascii="Tahoma" w:eastAsia="Calibri" w:hAnsi="Tahoma" w:cs="Tahoma"/>
          <w:color w:val="000000"/>
          <w:sz w:val="18"/>
          <w:szCs w:val="18"/>
        </w:rPr>
        <w:t>’</w:t>
      </w:r>
      <w:r w:rsidRPr="00BD7CEA">
        <w:rPr>
          <w:rFonts w:ascii="Tahoma" w:eastAsia="Calibri" w:hAnsi="Tahoma" w:cs="Tahoma"/>
          <w:color w:val="000000"/>
          <w:sz w:val="18"/>
          <w:szCs w:val="18"/>
        </w:rPr>
        <w:t>installazione separati di Microsoft Lync 2013 (o</w:t>
      </w:r>
      <w:r w:rsidR="00F60C1B" w:rsidRPr="00BD7CEA">
        <w:rPr>
          <w:rFonts w:ascii="Tahoma" w:eastAsia="Calibri" w:hAnsi="Tahoma" w:cs="Tahoma"/>
          <w:color w:val="000000"/>
          <w:sz w:val="18"/>
          <w:szCs w:val="18"/>
        </w:rPr>
        <w:t> </w:t>
      </w:r>
      <w:r w:rsidRPr="00BD7CEA">
        <w:rPr>
          <w:rFonts w:ascii="Tahoma" w:eastAsia="Calibri" w:hAnsi="Tahoma" w:cs="Tahoma"/>
          <w:color w:val="000000"/>
          <w:sz w:val="18"/>
          <w:szCs w:val="18"/>
        </w:rPr>
        <w:t>Lync per Mac 2011) per accedere al set completo di funzionalità di Lync Online Piano 1A e Piano 2A. Grazie a un</w:t>
      </w:r>
      <w:r w:rsidR="007A1415" w:rsidRPr="00BD7CEA">
        <w:rPr>
          <w:rFonts w:ascii="Tahoma" w:eastAsia="Calibri" w:hAnsi="Tahoma" w:cs="Tahoma"/>
          <w:color w:val="000000"/>
          <w:sz w:val="18"/>
          <w:szCs w:val="18"/>
        </w:rPr>
        <w:t>’</w:t>
      </w:r>
      <w:r w:rsidRPr="00BD7CEA">
        <w:rPr>
          <w:rFonts w:ascii="Tahoma" w:eastAsia="Calibri" w:hAnsi="Tahoma" w:cs="Tahoma"/>
          <w:color w:val="000000"/>
          <w:sz w:val="18"/>
          <w:szCs w:val="18"/>
        </w:rPr>
        <w:t>offerta di durata limitata, le società in possesso della licenza per Lync Online riceveranno gratuitamente in licenza una copia di Lync per Mac 2011 per ogni licenza “Subscription” per Lync Online. Il</w:t>
      </w:r>
      <w:r w:rsidR="00F60C1B" w:rsidRPr="00BD7CEA">
        <w:rPr>
          <w:rFonts w:ascii="Tahoma" w:eastAsia="Calibri" w:hAnsi="Tahoma" w:cs="Tahoma"/>
          <w:color w:val="000000"/>
          <w:sz w:val="18"/>
          <w:szCs w:val="18"/>
        </w:rPr>
        <w:t> </w:t>
      </w:r>
      <w:r w:rsidRPr="00BD7CEA">
        <w:rPr>
          <w:rFonts w:ascii="Tahoma" w:eastAsia="Calibri" w:hAnsi="Tahoma" w:cs="Tahoma"/>
          <w:color w:val="000000"/>
          <w:sz w:val="18"/>
          <w:szCs w:val="18"/>
        </w:rPr>
        <w:t>software potrà essere utilizzato esclusivamente con Lync Online e tutti i diritti di utilizzo del software cesseranno alla scadenza della licenza “Subscription” sottostante oppure in occasione della migrazione alla successiva nuova versione principale di Lync Online, a seconda di quale evento si verificherà per primo.</w:t>
      </w:r>
      <w:r w:rsidR="008D782D" w:rsidRPr="00BD7CEA">
        <w:rPr>
          <w:rFonts w:ascii="Tahoma" w:eastAsia="Calibri" w:hAnsi="Tahoma" w:cs="Tahoma"/>
          <w:color w:val="000000"/>
          <w:sz w:val="18"/>
          <w:szCs w:val="18"/>
        </w:rPr>
        <w:t xml:space="preserve"> </w:t>
      </w:r>
      <w:r w:rsidRPr="00BD7CEA">
        <w:rPr>
          <w:rFonts w:ascii="Tahoma" w:eastAsia="Calibri" w:hAnsi="Tahoma" w:cs="Tahoma"/>
          <w:color w:val="000000"/>
          <w:sz w:val="18"/>
          <w:szCs w:val="18"/>
        </w:rPr>
        <w:t>Le società potranno utilizzare il client gratuito Lync Basic 2013 per i loro utenti finali in possesso di Windows.</w:t>
      </w:r>
    </w:p>
    <w:p w:rsidR="00B26237" w:rsidRPr="00BD7CEA" w:rsidRDefault="00B26237" w:rsidP="00E03856">
      <w:pPr>
        <w:pStyle w:val="FootnoteBulletLevel2"/>
        <w:tabs>
          <w:tab w:val="clear" w:pos="1260"/>
        </w:tabs>
        <w:spacing w:before="0"/>
        <w:ind w:left="0" w:firstLine="0"/>
      </w:pPr>
    </w:p>
    <w:p w:rsidR="00B26237" w:rsidRPr="00BD7CEA" w:rsidRDefault="00B26237" w:rsidP="00D16EA8">
      <w:pPr>
        <w:pStyle w:val="FootnoteBulletLevel2"/>
        <w:tabs>
          <w:tab w:val="clear" w:pos="1260"/>
        </w:tabs>
        <w:spacing w:before="0"/>
        <w:ind w:left="0" w:firstLine="0"/>
      </w:pPr>
    </w:p>
    <w:p w:rsidR="00996781" w:rsidRPr="00BD7CEA" w:rsidRDefault="00B54C21" w:rsidP="00B26237">
      <w:pPr>
        <w:pStyle w:val="Heading2"/>
        <w:ind w:left="0"/>
      </w:pPr>
      <w:bookmarkStart w:id="1025" w:name="_7_Office_365"/>
      <w:bookmarkStart w:id="1026" w:name="_65_Office_365"/>
      <w:bookmarkStart w:id="1027" w:name="_5_Office_365"/>
      <w:bookmarkStart w:id="1028" w:name="_Toc353376041"/>
      <w:bookmarkStart w:id="1029" w:name="_Toc336338263"/>
      <w:bookmarkEnd w:id="1025"/>
      <w:bookmarkEnd w:id="1026"/>
      <w:bookmarkEnd w:id="1027"/>
      <w:r w:rsidRPr="00BD7CEA">
        <w:rPr>
          <w:rFonts w:ascii="Tahoma" w:hAnsi="Tahoma" w:cs="Tahoma"/>
          <w:caps/>
          <w:color w:val="FF6600"/>
          <w:sz w:val="22"/>
          <w:szCs w:val="22"/>
          <w:vertAlign w:val="superscript"/>
        </w:rPr>
        <w:t>5</w:t>
      </w:r>
      <w:r w:rsidRPr="00BD7CEA">
        <w:rPr>
          <w:rFonts w:ascii="Tahoma" w:hAnsi="Tahoma" w:cs="Tahoma"/>
          <w:color w:val="FF6600"/>
        </w:rPr>
        <w:t xml:space="preserve"> </w:t>
      </w:r>
      <w:r w:rsidRPr="00BD7CEA">
        <w:rPr>
          <w:rFonts w:ascii="Tahoma" w:hAnsi="Tahoma" w:cs="Tahoma"/>
          <w:color w:val="FF6600"/>
          <w:sz w:val="22"/>
          <w:szCs w:val="22"/>
        </w:rPr>
        <w:t>Office 365 Midsize Business (SL per Utente)</w:t>
      </w:r>
      <w:bookmarkEnd w:id="1028"/>
    </w:p>
    <w:p w:rsidR="00996781" w:rsidRPr="00BD7CEA" w:rsidRDefault="00996781" w:rsidP="00996781">
      <w:pPr>
        <w:ind w:left="720"/>
      </w:pPr>
    </w:p>
    <w:p w:rsidR="00996781" w:rsidRPr="00BD7CEA" w:rsidRDefault="00996781" w:rsidP="00996781">
      <w:pPr>
        <w:ind w:left="720"/>
      </w:pPr>
      <w:r w:rsidRPr="00BD7CEA">
        <w:rPr>
          <w:color w:val="000000"/>
        </w:rPr>
        <w:t>Office 365 Midsized Business è adatto a società con 10</w:t>
      </w:r>
      <w:r w:rsidR="00FD7C0D">
        <w:rPr>
          <w:color w:val="000000"/>
        </w:rPr>
        <w:t xml:space="preserve"> – </w:t>
      </w:r>
      <w:r w:rsidRPr="00BD7CEA">
        <w:rPr>
          <w:color w:val="000000"/>
        </w:rPr>
        <w:t>250 postazioni.</w:t>
      </w:r>
      <w:r w:rsidR="008D782D" w:rsidRPr="00BD7CEA">
        <w:rPr>
          <w:color w:val="000000"/>
        </w:rPr>
        <w:t xml:space="preserve"> </w:t>
      </w:r>
      <w:r w:rsidRPr="00BD7CEA">
        <w:rPr>
          <w:color w:val="000000"/>
        </w:rPr>
        <w:t>Viene venduto solo con i Programmi Open License, Open Value e Open Value Subscription.</w:t>
      </w:r>
      <w:r w:rsidR="008D782D" w:rsidRPr="00BD7CEA">
        <w:rPr>
          <w:color w:val="000000"/>
        </w:rPr>
        <w:t xml:space="preserve"> </w:t>
      </w:r>
      <w:r w:rsidRPr="00BD7CEA">
        <w:rPr>
          <w:color w:val="000000"/>
        </w:rPr>
        <w:t>Al momento dell</w:t>
      </w:r>
      <w:r w:rsidR="007A1415" w:rsidRPr="00BD7CEA">
        <w:rPr>
          <w:color w:val="000000"/>
        </w:rPr>
        <w:t>’</w:t>
      </w:r>
      <w:r w:rsidRPr="00BD7CEA">
        <w:rPr>
          <w:color w:val="000000"/>
        </w:rPr>
        <w:t xml:space="preserve">acquisto di Office 365 Midsized Business viene emesso un codice Product Key che consente di attivare il servizio. </w:t>
      </w:r>
    </w:p>
    <w:p w:rsidR="00996781" w:rsidRPr="00BD7CEA" w:rsidRDefault="00996781" w:rsidP="00996781">
      <w:pPr>
        <w:ind w:left="720"/>
      </w:pPr>
    </w:p>
    <w:p w:rsidR="00996781" w:rsidRPr="00BD7CEA" w:rsidRDefault="00996781" w:rsidP="00996781">
      <w:pPr>
        <w:ind w:left="720"/>
      </w:pPr>
      <w:r w:rsidRPr="00BD7CEA">
        <w:rPr>
          <w:color w:val="000000"/>
        </w:rPr>
        <w:t>Office 365 Midsized Business viene venduto con l</w:t>
      </w:r>
      <w:r w:rsidR="007A1415" w:rsidRPr="00BD7CEA">
        <w:rPr>
          <w:color w:val="000000"/>
        </w:rPr>
        <w:t>’</w:t>
      </w:r>
      <w:r w:rsidRPr="00BD7CEA">
        <w:rPr>
          <w:color w:val="000000"/>
        </w:rPr>
        <w:t>opzione di pagamento anticipato di un anno.</w:t>
      </w:r>
      <w:r w:rsidR="008D782D" w:rsidRPr="00BD7CEA">
        <w:rPr>
          <w:color w:val="000000"/>
        </w:rPr>
        <w:t xml:space="preserve"> </w:t>
      </w:r>
      <w:r w:rsidRPr="00BD7CEA">
        <w:rPr>
          <w:color w:val="000000"/>
        </w:rPr>
        <w:t>La data di inizio e la data di fine della sottoscrizione del servizio sono indipendenti dal periodo di validità del Contratto Multilicenza.</w:t>
      </w:r>
      <w:r w:rsidR="008D782D" w:rsidRPr="00BD7CEA">
        <w:rPr>
          <w:color w:val="000000"/>
        </w:rPr>
        <w:t xml:space="preserve"> </w:t>
      </w:r>
      <w:r w:rsidRPr="00BD7CEA">
        <w:rPr>
          <w:color w:val="000000"/>
        </w:rPr>
        <w:t>Il periodo di sottoscrizione inizia al momento dell</w:t>
      </w:r>
      <w:r w:rsidR="007A1415" w:rsidRPr="00BD7CEA">
        <w:rPr>
          <w:color w:val="000000"/>
        </w:rPr>
        <w:t>’</w:t>
      </w:r>
      <w:r w:rsidRPr="00BD7CEA">
        <w:rPr>
          <w:color w:val="000000"/>
        </w:rPr>
        <w:t>attivazione del codice Product Key e non quando viene effettuato l</w:t>
      </w:r>
      <w:r w:rsidR="007A1415" w:rsidRPr="00BD7CEA">
        <w:rPr>
          <w:color w:val="000000"/>
        </w:rPr>
        <w:t>’</w:t>
      </w:r>
      <w:r w:rsidRPr="00BD7CEA">
        <w:rPr>
          <w:color w:val="000000"/>
        </w:rPr>
        <w:t>ordine.</w:t>
      </w:r>
      <w:r w:rsidR="008D782D" w:rsidRPr="00BD7CEA">
        <w:rPr>
          <w:color w:val="000000"/>
        </w:rPr>
        <w:t xml:space="preserve"> </w:t>
      </w:r>
      <w:r w:rsidRPr="00BD7CEA">
        <w:rPr>
          <w:color w:val="000000"/>
        </w:rPr>
        <w:t xml:space="preserve">Una volta attivato il codice Product Key di Office 365, Microsoft non accetterà le richieste di restituzione inviate dai partner. </w:t>
      </w:r>
    </w:p>
    <w:p w:rsidR="00996781" w:rsidRPr="00BD7CEA" w:rsidRDefault="00996781" w:rsidP="00996781">
      <w:pPr>
        <w:ind w:left="720"/>
      </w:pPr>
    </w:p>
    <w:p w:rsidR="00996781" w:rsidRPr="00BD7CEA" w:rsidRDefault="00996781" w:rsidP="00996781">
      <w:pPr>
        <w:ind w:left="720"/>
      </w:pPr>
      <w:r w:rsidRPr="00BD7CEA">
        <w:rPr>
          <w:color w:val="000000"/>
        </w:rPr>
        <w:t>Le società finali in possesso di un Contratto attivo Open Value/Open Value Subscription con un impegno per l</w:t>
      </w:r>
      <w:r w:rsidR="007A1415" w:rsidRPr="00BD7CEA">
        <w:rPr>
          <w:color w:val="000000"/>
        </w:rPr>
        <w:t>’</w:t>
      </w:r>
      <w:r w:rsidRPr="00BD7CEA">
        <w:rPr>
          <w:color w:val="000000"/>
        </w:rPr>
        <w:t>intera organizzazione per Office Pro Plus e/o Client Access License Suite si qualificano per una riduzione del prezzo di Office 365 Midsized Business.</w:t>
      </w:r>
      <w:r w:rsidR="008D782D" w:rsidRPr="00BD7CEA">
        <w:rPr>
          <w:color w:val="000000"/>
        </w:rPr>
        <w:t xml:space="preserve"> </w:t>
      </w:r>
      <w:r w:rsidRPr="00BD7CEA">
        <w:rPr>
          <w:color w:val="000000"/>
        </w:rPr>
        <w:t>L</w:t>
      </w:r>
      <w:r w:rsidR="007A1415" w:rsidRPr="00BD7CEA">
        <w:rPr>
          <w:color w:val="000000"/>
        </w:rPr>
        <w:t>’</w:t>
      </w:r>
      <w:r w:rsidRPr="00BD7CEA">
        <w:rPr>
          <w:color w:val="000000"/>
        </w:rPr>
        <w:t xml:space="preserve">offerta è definita Offerta Office 365 Open Value e la società potrà contattare il rivenditore per ulteriori dettagli. </w:t>
      </w:r>
    </w:p>
    <w:p w:rsidR="00996781" w:rsidRPr="00BD7CEA" w:rsidRDefault="00996781" w:rsidP="00996781">
      <w:pPr>
        <w:ind w:left="720"/>
      </w:pPr>
    </w:p>
    <w:p w:rsidR="00996781" w:rsidRPr="00BD7CEA" w:rsidRDefault="00996781" w:rsidP="00996781">
      <w:pPr>
        <w:ind w:left="720"/>
      </w:pPr>
      <w:r w:rsidRPr="00BD7CEA">
        <w:rPr>
          <w:color w:val="000000"/>
        </w:rPr>
        <w:t>Nell</w:t>
      </w:r>
      <w:r w:rsidR="007A1415" w:rsidRPr="00BD7CEA">
        <w:rPr>
          <w:color w:val="000000"/>
        </w:rPr>
        <w:t>’</w:t>
      </w:r>
      <w:r w:rsidRPr="00BD7CEA">
        <w:rPr>
          <w:color w:val="000000"/>
        </w:rPr>
        <w:t>eventualità di una discrepanza tra le condizioni di licenza per Office 365 Midsized Business e questa nota, i Diritti di Utilizzo del Prodotto correnti avranno prevalenza.</w:t>
      </w:r>
    </w:p>
    <w:p w:rsidR="00996781" w:rsidRPr="00BD7CEA" w:rsidRDefault="00996781" w:rsidP="00B26237">
      <w:pPr>
        <w:pStyle w:val="Heading2"/>
        <w:ind w:left="0"/>
      </w:pPr>
    </w:p>
    <w:p w:rsidR="00996781" w:rsidRPr="00BD7CEA" w:rsidRDefault="00996781" w:rsidP="00B26237">
      <w:pPr>
        <w:pStyle w:val="Heading2"/>
        <w:ind w:left="0"/>
      </w:pPr>
    </w:p>
    <w:p w:rsidR="00B26237" w:rsidRPr="00BD7CEA" w:rsidRDefault="004668D9" w:rsidP="00B26237">
      <w:pPr>
        <w:pStyle w:val="Heading2"/>
        <w:ind w:left="0"/>
      </w:pPr>
      <w:bookmarkStart w:id="1030" w:name="_6_Office_365_1"/>
      <w:bookmarkStart w:id="1031" w:name="_Toc353376042"/>
      <w:bookmarkEnd w:id="1030"/>
      <w:r w:rsidRPr="00BD7CEA">
        <w:rPr>
          <w:rFonts w:ascii="Tahoma" w:hAnsi="Tahoma" w:cs="Tahoma"/>
          <w:caps/>
          <w:color w:val="FF6600"/>
          <w:sz w:val="22"/>
          <w:szCs w:val="22"/>
          <w:vertAlign w:val="superscript"/>
        </w:rPr>
        <w:t xml:space="preserve">6 </w:t>
      </w:r>
      <w:r w:rsidRPr="00BD7CEA">
        <w:rPr>
          <w:rFonts w:ascii="Tahoma" w:hAnsi="Tahoma" w:cs="Tahoma"/>
          <w:color w:val="FF6600"/>
          <w:sz w:val="22"/>
          <w:szCs w:val="22"/>
        </w:rPr>
        <w:t>Office 365 Enterprise E2-E4</w:t>
      </w:r>
      <w:bookmarkEnd w:id="1029"/>
      <w:bookmarkEnd w:id="1031"/>
    </w:p>
    <w:p w:rsidR="00B26237" w:rsidRPr="00BD7CEA" w:rsidRDefault="00B26237" w:rsidP="00AE5A9F"/>
    <w:p w:rsidR="00B26237" w:rsidRPr="00BD7CEA" w:rsidRDefault="00B26237" w:rsidP="00B26237">
      <w:pPr>
        <w:ind w:left="720"/>
      </w:pPr>
      <w:r w:rsidRPr="00BD7CEA">
        <w:rPr>
          <w:color w:val="000000"/>
        </w:rPr>
        <w:t>Office 365 Piani E2-E4 permette l</w:t>
      </w:r>
      <w:r w:rsidR="007A1415" w:rsidRPr="00BD7CEA">
        <w:rPr>
          <w:color w:val="000000"/>
        </w:rPr>
        <w:t>’</w:t>
      </w:r>
      <w:r w:rsidRPr="00BD7CEA">
        <w:rPr>
          <w:color w:val="000000"/>
        </w:rPr>
        <w:t>accesso ai seguenti Servizi Online:</w:t>
      </w:r>
    </w:p>
    <w:p w:rsidR="00B26237" w:rsidRPr="00BD7CEA" w:rsidRDefault="00B26237" w:rsidP="00B26237"/>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0"/>
        <w:gridCol w:w="2765"/>
        <w:gridCol w:w="2765"/>
      </w:tblGrid>
      <w:tr w:rsidR="00B26237" w:rsidRPr="00BD7CEA" w:rsidTr="007E466C">
        <w:tc>
          <w:tcPr>
            <w:tcW w:w="2760" w:type="dxa"/>
            <w:shd w:val="clear" w:color="auto" w:fill="FABF8F"/>
          </w:tcPr>
          <w:p w:rsidR="00B26237" w:rsidRPr="00BD7CEA" w:rsidRDefault="00B26237" w:rsidP="009B3FA2">
            <w:pPr>
              <w:jc w:val="center"/>
              <w:rPr>
                <w:rFonts w:eastAsia="Calibri"/>
                <w:b/>
                <w:color w:val="000000"/>
                <w:sz w:val="20"/>
              </w:rPr>
            </w:pPr>
            <w:r w:rsidRPr="00BD7CEA">
              <w:rPr>
                <w:rFonts w:eastAsia="Calibri"/>
                <w:b/>
                <w:color w:val="000000"/>
                <w:sz w:val="20"/>
              </w:rPr>
              <w:t>Office 365 Enterprise E2</w:t>
            </w:r>
          </w:p>
        </w:tc>
        <w:tc>
          <w:tcPr>
            <w:tcW w:w="2765" w:type="dxa"/>
            <w:shd w:val="clear" w:color="auto" w:fill="FABF8F"/>
          </w:tcPr>
          <w:p w:rsidR="00B26237" w:rsidRPr="00BD7CEA" w:rsidRDefault="00B26237" w:rsidP="009B3FA2">
            <w:pPr>
              <w:jc w:val="center"/>
              <w:rPr>
                <w:rFonts w:eastAsia="Calibri"/>
                <w:b/>
                <w:color w:val="000000"/>
                <w:sz w:val="20"/>
              </w:rPr>
            </w:pPr>
            <w:r w:rsidRPr="00BD7CEA">
              <w:rPr>
                <w:rFonts w:eastAsia="Calibri"/>
                <w:b/>
                <w:color w:val="000000"/>
                <w:sz w:val="20"/>
              </w:rPr>
              <w:t>Office 365 Enterprise E3</w:t>
            </w:r>
          </w:p>
        </w:tc>
        <w:tc>
          <w:tcPr>
            <w:tcW w:w="2765" w:type="dxa"/>
            <w:shd w:val="clear" w:color="auto" w:fill="FABF8F"/>
          </w:tcPr>
          <w:p w:rsidR="00B26237" w:rsidRPr="00BD7CEA" w:rsidRDefault="00B26237" w:rsidP="009B3FA2">
            <w:pPr>
              <w:jc w:val="center"/>
              <w:rPr>
                <w:rFonts w:eastAsia="Calibri"/>
                <w:b/>
                <w:color w:val="000000"/>
                <w:sz w:val="20"/>
              </w:rPr>
            </w:pPr>
            <w:r w:rsidRPr="00BD7CEA">
              <w:rPr>
                <w:rFonts w:eastAsia="Calibri"/>
                <w:b/>
                <w:color w:val="000000"/>
                <w:sz w:val="20"/>
              </w:rPr>
              <w:t>Office 365 Enterprise E4</w:t>
            </w:r>
          </w:p>
        </w:tc>
      </w:tr>
      <w:tr w:rsidR="00B26237" w:rsidRPr="00BD7CEA" w:rsidTr="007E466C">
        <w:tc>
          <w:tcPr>
            <w:tcW w:w="2760" w:type="dxa"/>
            <w:shd w:val="clear" w:color="auto" w:fill="auto"/>
          </w:tcPr>
          <w:p w:rsidR="00B26237" w:rsidRPr="00BD7CEA" w:rsidRDefault="00B26237" w:rsidP="00B42A20">
            <w:pPr>
              <w:ind w:left="180" w:right="186"/>
              <w:rPr>
                <w:rFonts w:eastAsia="Calibri"/>
                <w:color w:val="000000"/>
              </w:rPr>
            </w:pPr>
            <w:r w:rsidRPr="00BD7CEA">
              <w:rPr>
                <w:rFonts w:eastAsia="Calibri"/>
                <w:color w:val="000000"/>
              </w:rPr>
              <w:t>Exchange Online Piano 1</w:t>
            </w:r>
          </w:p>
        </w:tc>
        <w:tc>
          <w:tcPr>
            <w:tcW w:w="2765" w:type="dxa"/>
            <w:shd w:val="clear" w:color="auto" w:fill="auto"/>
          </w:tcPr>
          <w:p w:rsidR="00B26237" w:rsidRPr="00BD7CEA" w:rsidRDefault="00B26237" w:rsidP="00B42A20">
            <w:pPr>
              <w:ind w:left="138" w:right="138"/>
              <w:rPr>
                <w:rFonts w:eastAsia="Calibri"/>
                <w:color w:val="000000"/>
              </w:rPr>
            </w:pPr>
            <w:r w:rsidRPr="00BD7CEA">
              <w:rPr>
                <w:rFonts w:eastAsia="Calibri"/>
                <w:color w:val="000000"/>
              </w:rPr>
              <w:t>Exchange Online Piano 2</w:t>
            </w:r>
          </w:p>
        </w:tc>
        <w:tc>
          <w:tcPr>
            <w:tcW w:w="2765" w:type="dxa"/>
            <w:shd w:val="clear" w:color="auto" w:fill="auto"/>
          </w:tcPr>
          <w:p w:rsidR="00B26237" w:rsidRPr="00BD7CEA" w:rsidRDefault="00B26237" w:rsidP="00B42A20">
            <w:pPr>
              <w:ind w:left="186" w:right="180"/>
              <w:rPr>
                <w:rFonts w:eastAsia="Calibri"/>
                <w:color w:val="000000"/>
              </w:rPr>
            </w:pPr>
            <w:r w:rsidRPr="00BD7CEA">
              <w:rPr>
                <w:rFonts w:eastAsia="Calibri"/>
                <w:color w:val="000000"/>
              </w:rPr>
              <w:t>Exchange Online Piano 2</w:t>
            </w:r>
          </w:p>
        </w:tc>
      </w:tr>
      <w:tr w:rsidR="00B26237" w:rsidRPr="00BD7CEA" w:rsidTr="007E466C">
        <w:tc>
          <w:tcPr>
            <w:tcW w:w="2760" w:type="dxa"/>
            <w:shd w:val="clear" w:color="auto" w:fill="auto"/>
          </w:tcPr>
          <w:p w:rsidR="00B26237" w:rsidRPr="00BD7CEA" w:rsidRDefault="00B26237" w:rsidP="00B42A20">
            <w:pPr>
              <w:ind w:left="180" w:right="186"/>
              <w:rPr>
                <w:rFonts w:eastAsia="Calibri"/>
                <w:color w:val="000000"/>
              </w:rPr>
            </w:pPr>
            <w:r w:rsidRPr="00BD7CEA">
              <w:rPr>
                <w:rFonts w:eastAsia="Calibri"/>
                <w:color w:val="000000"/>
              </w:rPr>
              <w:t>SharePoint Online Piano 1</w:t>
            </w:r>
          </w:p>
        </w:tc>
        <w:tc>
          <w:tcPr>
            <w:tcW w:w="2765" w:type="dxa"/>
            <w:shd w:val="clear" w:color="auto" w:fill="auto"/>
          </w:tcPr>
          <w:p w:rsidR="00B26237" w:rsidRPr="00BD7CEA" w:rsidRDefault="00B26237" w:rsidP="00B42A20">
            <w:pPr>
              <w:ind w:left="138" w:right="138"/>
              <w:rPr>
                <w:rFonts w:eastAsia="Calibri"/>
                <w:color w:val="000000"/>
              </w:rPr>
            </w:pPr>
            <w:r w:rsidRPr="00BD7CEA">
              <w:rPr>
                <w:rFonts w:eastAsia="Calibri"/>
                <w:color w:val="000000"/>
              </w:rPr>
              <w:t>SharePoint Online Piano 2</w:t>
            </w:r>
          </w:p>
        </w:tc>
        <w:tc>
          <w:tcPr>
            <w:tcW w:w="2765" w:type="dxa"/>
            <w:shd w:val="clear" w:color="auto" w:fill="auto"/>
          </w:tcPr>
          <w:p w:rsidR="00B26237" w:rsidRPr="00BD7CEA" w:rsidRDefault="00B26237" w:rsidP="00B42A20">
            <w:pPr>
              <w:ind w:left="186" w:right="180"/>
              <w:rPr>
                <w:rFonts w:eastAsia="Calibri"/>
                <w:color w:val="000000"/>
              </w:rPr>
            </w:pPr>
            <w:r w:rsidRPr="00BD7CEA">
              <w:rPr>
                <w:rFonts w:eastAsia="Calibri"/>
                <w:color w:val="000000"/>
              </w:rPr>
              <w:t>SharePoint Online Piano 2</w:t>
            </w:r>
          </w:p>
        </w:tc>
      </w:tr>
      <w:tr w:rsidR="00B26237" w:rsidRPr="00BD7CEA" w:rsidTr="007E466C">
        <w:tc>
          <w:tcPr>
            <w:tcW w:w="2760" w:type="dxa"/>
            <w:shd w:val="clear" w:color="auto" w:fill="auto"/>
          </w:tcPr>
          <w:p w:rsidR="00B26237" w:rsidRPr="00BD7CEA" w:rsidRDefault="00B26237" w:rsidP="00B42A20">
            <w:pPr>
              <w:ind w:left="180" w:right="186"/>
              <w:rPr>
                <w:rFonts w:eastAsia="Calibri"/>
                <w:color w:val="000000"/>
              </w:rPr>
            </w:pPr>
            <w:r w:rsidRPr="00BD7CEA">
              <w:rPr>
                <w:rFonts w:eastAsia="Calibri"/>
                <w:color w:val="000000"/>
              </w:rPr>
              <w:t>Lync Online Piano 2</w:t>
            </w:r>
          </w:p>
        </w:tc>
        <w:tc>
          <w:tcPr>
            <w:tcW w:w="2765" w:type="dxa"/>
            <w:shd w:val="clear" w:color="auto" w:fill="auto"/>
          </w:tcPr>
          <w:p w:rsidR="00B26237" w:rsidRPr="00BD7CEA" w:rsidRDefault="00B26237" w:rsidP="00B42A20">
            <w:pPr>
              <w:ind w:left="138" w:right="138"/>
              <w:rPr>
                <w:rFonts w:eastAsia="Calibri"/>
                <w:color w:val="000000"/>
              </w:rPr>
            </w:pPr>
            <w:r w:rsidRPr="00BD7CEA">
              <w:rPr>
                <w:rFonts w:eastAsia="Calibri"/>
                <w:color w:val="000000"/>
              </w:rPr>
              <w:t>Lync Online Piano 2</w:t>
            </w:r>
          </w:p>
        </w:tc>
        <w:tc>
          <w:tcPr>
            <w:tcW w:w="2765" w:type="dxa"/>
            <w:shd w:val="clear" w:color="auto" w:fill="auto"/>
          </w:tcPr>
          <w:p w:rsidR="00B26237" w:rsidRPr="00BD7CEA" w:rsidRDefault="00B26237" w:rsidP="00B42A20">
            <w:pPr>
              <w:ind w:left="186" w:right="180"/>
              <w:rPr>
                <w:rFonts w:eastAsia="Calibri"/>
                <w:color w:val="000000"/>
              </w:rPr>
            </w:pPr>
            <w:r w:rsidRPr="00BD7CEA">
              <w:rPr>
                <w:rFonts w:eastAsia="Calibri"/>
                <w:color w:val="000000"/>
              </w:rPr>
              <w:t>Lync Online Piano 2</w:t>
            </w:r>
          </w:p>
        </w:tc>
      </w:tr>
      <w:tr w:rsidR="00B26237" w:rsidRPr="00BD7CEA" w:rsidTr="007E466C">
        <w:tc>
          <w:tcPr>
            <w:tcW w:w="2760" w:type="dxa"/>
            <w:shd w:val="clear" w:color="auto" w:fill="auto"/>
          </w:tcPr>
          <w:p w:rsidR="00B26237" w:rsidRPr="00BD7CEA" w:rsidRDefault="00B26237" w:rsidP="00B42A20">
            <w:pPr>
              <w:ind w:left="180" w:right="186"/>
              <w:rPr>
                <w:rFonts w:eastAsia="Calibri"/>
                <w:color w:val="000000"/>
              </w:rPr>
            </w:pPr>
            <w:r w:rsidRPr="00BD7CEA">
              <w:rPr>
                <w:rFonts w:eastAsia="Calibri"/>
                <w:color w:val="000000"/>
              </w:rPr>
              <w:t>Office Web Applications (Microsoft Hosted)</w:t>
            </w:r>
          </w:p>
        </w:tc>
        <w:tc>
          <w:tcPr>
            <w:tcW w:w="2765" w:type="dxa"/>
            <w:shd w:val="clear" w:color="auto" w:fill="auto"/>
          </w:tcPr>
          <w:p w:rsidR="00B26237" w:rsidRPr="00BD7CEA" w:rsidRDefault="00B26237" w:rsidP="00B42A20">
            <w:pPr>
              <w:ind w:left="138" w:right="138"/>
              <w:rPr>
                <w:rFonts w:eastAsia="Calibri"/>
                <w:color w:val="000000"/>
              </w:rPr>
            </w:pPr>
            <w:r w:rsidRPr="00BD7CEA">
              <w:rPr>
                <w:rFonts w:eastAsia="Calibri"/>
                <w:color w:val="000000"/>
              </w:rPr>
              <w:t>Office Web Applications (Microsoft Hosted)</w:t>
            </w:r>
          </w:p>
        </w:tc>
        <w:tc>
          <w:tcPr>
            <w:tcW w:w="2765" w:type="dxa"/>
            <w:shd w:val="clear" w:color="auto" w:fill="auto"/>
          </w:tcPr>
          <w:p w:rsidR="00B26237" w:rsidRPr="00BD7CEA" w:rsidRDefault="00B26237" w:rsidP="00B42A20">
            <w:pPr>
              <w:ind w:left="186" w:right="180"/>
              <w:rPr>
                <w:rFonts w:eastAsia="Calibri"/>
                <w:color w:val="000000"/>
              </w:rPr>
            </w:pPr>
            <w:r w:rsidRPr="00BD7CEA">
              <w:rPr>
                <w:rFonts w:eastAsia="Calibri"/>
                <w:color w:val="000000"/>
              </w:rPr>
              <w:t>Office Web Applications (Microsoft Hosted)</w:t>
            </w:r>
          </w:p>
        </w:tc>
      </w:tr>
      <w:tr w:rsidR="00B26237" w:rsidRPr="00BD7CEA" w:rsidTr="007E466C">
        <w:tc>
          <w:tcPr>
            <w:tcW w:w="2760" w:type="dxa"/>
            <w:shd w:val="clear" w:color="auto" w:fill="auto"/>
          </w:tcPr>
          <w:p w:rsidR="00B26237" w:rsidRPr="00BD7CEA" w:rsidRDefault="00B26237" w:rsidP="00B42A20">
            <w:pPr>
              <w:ind w:left="180" w:right="186"/>
              <w:rPr>
                <w:rFonts w:eastAsia="Calibri"/>
                <w:color w:val="000000"/>
              </w:rPr>
            </w:pPr>
          </w:p>
        </w:tc>
        <w:tc>
          <w:tcPr>
            <w:tcW w:w="2765" w:type="dxa"/>
            <w:shd w:val="clear" w:color="auto" w:fill="auto"/>
          </w:tcPr>
          <w:p w:rsidR="00B26237" w:rsidRPr="00BD7CEA" w:rsidRDefault="008368B4" w:rsidP="00B42A20">
            <w:pPr>
              <w:ind w:left="138" w:right="138"/>
              <w:rPr>
                <w:rFonts w:eastAsia="Calibri"/>
                <w:color w:val="000000"/>
              </w:rPr>
            </w:pPr>
            <w:r w:rsidRPr="00BD7CEA">
              <w:rPr>
                <w:rFonts w:eastAsia="Calibri"/>
                <w:color w:val="000000"/>
              </w:rPr>
              <w:t>Office 365 ProPlus</w:t>
            </w:r>
          </w:p>
        </w:tc>
        <w:tc>
          <w:tcPr>
            <w:tcW w:w="2765" w:type="dxa"/>
            <w:shd w:val="clear" w:color="auto" w:fill="auto"/>
          </w:tcPr>
          <w:p w:rsidR="00B26237" w:rsidRPr="00BD7CEA" w:rsidRDefault="008368B4" w:rsidP="008368B4">
            <w:pPr>
              <w:ind w:left="186" w:right="180"/>
              <w:rPr>
                <w:rFonts w:eastAsia="Calibri"/>
                <w:color w:val="000000"/>
              </w:rPr>
            </w:pPr>
            <w:r w:rsidRPr="00BD7CEA">
              <w:rPr>
                <w:rFonts w:eastAsia="Calibri"/>
                <w:color w:val="000000"/>
              </w:rPr>
              <w:t>Office 365 ProPlus</w:t>
            </w:r>
          </w:p>
        </w:tc>
      </w:tr>
    </w:tbl>
    <w:p w:rsidR="00B26237" w:rsidRPr="00BD7CEA" w:rsidRDefault="00B26237" w:rsidP="00D16EA8">
      <w:pPr>
        <w:ind w:left="720"/>
      </w:pPr>
      <w:r w:rsidRPr="00BD7CEA">
        <w:rPr>
          <w:color w:val="000000"/>
        </w:rPr>
        <w:br/>
      </w:r>
      <w:r w:rsidRPr="00BD7CEA">
        <w:rPr>
          <w:rFonts w:cs="Tahoma"/>
          <w:color w:val="000000"/>
          <w:szCs w:val="18"/>
        </w:rPr>
        <w:t>Questa lista è soggetta a modifiche. Nell</w:t>
      </w:r>
      <w:r w:rsidR="007A1415" w:rsidRPr="00BD7CEA">
        <w:rPr>
          <w:rFonts w:cs="Tahoma"/>
          <w:color w:val="000000"/>
          <w:szCs w:val="18"/>
        </w:rPr>
        <w:t>’</w:t>
      </w:r>
      <w:r w:rsidRPr="00BD7CEA">
        <w:rPr>
          <w:rFonts w:cs="Tahoma"/>
          <w:color w:val="000000"/>
          <w:szCs w:val="18"/>
        </w:rPr>
        <w:t>eventualità di una discrepanza tra le condizioni di licenza per Office</w:t>
      </w:r>
      <w:r w:rsidR="00F60C1B" w:rsidRPr="00BD7CEA">
        <w:rPr>
          <w:rFonts w:cs="Tahoma"/>
          <w:color w:val="000000"/>
          <w:szCs w:val="18"/>
        </w:rPr>
        <w:t> </w:t>
      </w:r>
      <w:r w:rsidRPr="00BD7CEA">
        <w:rPr>
          <w:rFonts w:cs="Tahoma"/>
          <w:color w:val="000000"/>
          <w:szCs w:val="18"/>
        </w:rPr>
        <w:t>365 Enterprise E2</w:t>
      </w:r>
      <w:r w:rsidR="00FD7C0D">
        <w:rPr>
          <w:rFonts w:cs="Tahoma"/>
          <w:color w:val="000000"/>
          <w:szCs w:val="18"/>
        </w:rPr>
        <w:t xml:space="preserve"> – </w:t>
      </w:r>
      <w:r w:rsidRPr="00BD7CEA">
        <w:rPr>
          <w:rFonts w:cs="Tahoma"/>
          <w:color w:val="000000"/>
          <w:szCs w:val="18"/>
        </w:rPr>
        <w:t>E4 e questa nota, i Diritti di Utilizzo del Prodotto correnti avranno prevalenza. Gli</w:t>
      </w:r>
      <w:r w:rsidR="00F60C1B" w:rsidRPr="00BD7CEA">
        <w:rPr>
          <w:rFonts w:cs="Tahoma"/>
          <w:color w:val="000000"/>
          <w:szCs w:val="18"/>
        </w:rPr>
        <w:t> </w:t>
      </w:r>
      <w:r w:rsidRPr="00BD7CEA">
        <w:rPr>
          <w:rFonts w:cs="Tahoma"/>
          <w:color w:val="000000"/>
          <w:szCs w:val="18"/>
        </w:rPr>
        <w:t>eventuali diritti di accesso aggiuntivi per il software On-Premise concesso in licenza separatamente sono</w:t>
      </w:r>
      <w:r w:rsidR="00F60C1B" w:rsidRPr="00BD7CEA">
        <w:rPr>
          <w:rFonts w:cs="Tahoma"/>
          <w:color w:val="000000"/>
          <w:szCs w:val="18"/>
        </w:rPr>
        <w:t> </w:t>
      </w:r>
      <w:r w:rsidRPr="00BD7CEA">
        <w:rPr>
          <w:rFonts w:cs="Tahoma"/>
          <w:color w:val="000000"/>
          <w:szCs w:val="18"/>
        </w:rPr>
        <w:t>specificati nei Diritti di Utilizzo del Prodotto.</w:t>
      </w:r>
      <w:r w:rsidR="008D782D" w:rsidRPr="00BD7CEA">
        <w:rPr>
          <w:rFonts w:cs="Tahoma"/>
          <w:color w:val="000000"/>
          <w:szCs w:val="18"/>
        </w:rPr>
        <w:t xml:space="preserve"> </w:t>
      </w:r>
    </w:p>
    <w:p w:rsidR="00B26237" w:rsidRPr="00BD7CEA" w:rsidRDefault="00B26237" w:rsidP="00D16EA8">
      <w:pPr>
        <w:ind w:left="720"/>
      </w:pPr>
    </w:p>
    <w:p w:rsidR="00DC2291" w:rsidRPr="00BD7CEA" w:rsidRDefault="00B26237" w:rsidP="00D16EA8">
      <w:pPr>
        <w:pStyle w:val="FootnoteBulletLevel1"/>
        <w:tabs>
          <w:tab w:val="clear" w:pos="900"/>
        </w:tabs>
        <w:spacing w:before="0" w:after="0"/>
        <w:ind w:left="720" w:firstLine="0"/>
      </w:pPr>
      <w:r w:rsidRPr="00BD7CEA">
        <w:rPr>
          <w:rFonts w:ascii="Tahoma" w:hAnsi="Tahoma" w:cs="Tahoma"/>
          <w:color w:val="000000"/>
          <w:sz w:val="18"/>
          <w:szCs w:val="18"/>
        </w:rPr>
        <w:t>Lync Online Piano 1 e Piano 2 richiedono l</w:t>
      </w:r>
      <w:r w:rsidR="007A1415" w:rsidRPr="00BD7CEA">
        <w:rPr>
          <w:rFonts w:ascii="Tahoma" w:hAnsi="Tahoma" w:cs="Tahoma"/>
          <w:color w:val="000000"/>
          <w:sz w:val="18"/>
          <w:szCs w:val="18"/>
        </w:rPr>
        <w:t>’</w:t>
      </w:r>
      <w:r w:rsidRPr="00BD7CEA">
        <w:rPr>
          <w:rFonts w:ascii="Tahoma" w:hAnsi="Tahoma" w:cs="Tahoma"/>
          <w:color w:val="000000"/>
          <w:sz w:val="18"/>
          <w:szCs w:val="18"/>
        </w:rPr>
        <w:t>acquisto e l</w:t>
      </w:r>
      <w:r w:rsidR="007A1415" w:rsidRPr="00BD7CEA">
        <w:rPr>
          <w:rFonts w:ascii="Tahoma" w:hAnsi="Tahoma" w:cs="Tahoma"/>
          <w:color w:val="000000"/>
          <w:sz w:val="18"/>
          <w:szCs w:val="18"/>
        </w:rPr>
        <w:t>’</w:t>
      </w:r>
      <w:r w:rsidRPr="00BD7CEA">
        <w:rPr>
          <w:rFonts w:ascii="Tahoma" w:hAnsi="Tahoma" w:cs="Tahoma"/>
          <w:color w:val="000000"/>
          <w:sz w:val="18"/>
          <w:szCs w:val="18"/>
        </w:rPr>
        <w:t>installazione separati di Microsoft Lync 2013 (o di Lync per Mac 2011) per accedere al set completo di funzionalità di Lync Online Piano 1 e Piano 2. Grazie a un</w:t>
      </w:r>
      <w:r w:rsidR="007A1415" w:rsidRPr="00BD7CEA">
        <w:rPr>
          <w:rFonts w:ascii="Tahoma" w:hAnsi="Tahoma" w:cs="Tahoma"/>
          <w:color w:val="000000"/>
          <w:sz w:val="18"/>
          <w:szCs w:val="18"/>
        </w:rPr>
        <w:t>’</w:t>
      </w:r>
      <w:r w:rsidRPr="00BD7CEA">
        <w:rPr>
          <w:rFonts w:ascii="Tahoma" w:hAnsi="Tahoma" w:cs="Tahoma"/>
          <w:color w:val="000000"/>
          <w:sz w:val="18"/>
          <w:szCs w:val="18"/>
        </w:rPr>
        <w:t>offerta di durata limitata, le società titolari di licenza per Lync Online riceveranno gratuitamente in licenza una copia di Lync 2010 (o di Lync per Mac 2011) per ciascuna licenza "subscription" acquistata o in versione di valutazione di Lync Online. Il software potrà essere utilizzato esclusivamente con Lync Online e tutti i diritti di utilizzo del software cesseranno alla scadenza della licenza "subscription" sottostante oppure in occasione della migrazione alla successiva nuova versione principale di Lync Online, a seconda di quale evento si verificherà per primo. Le società potranno utilizzare il client gratuito Lync Basic 2013 per i loro utenti finali in possesso di Windows.</w:t>
      </w:r>
    </w:p>
    <w:p w:rsidR="00704723" w:rsidRPr="00BD7CEA" w:rsidRDefault="004668D9" w:rsidP="000429EF">
      <w:pPr>
        <w:pStyle w:val="Heading3"/>
      </w:pPr>
      <w:bookmarkStart w:id="1032" w:name="_76_Office_for"/>
      <w:bookmarkStart w:id="1033" w:name="_7_Office_per"/>
      <w:bookmarkStart w:id="1034" w:name="_Toc336338264"/>
      <w:bookmarkStart w:id="1035" w:name="_Toc353376043"/>
      <w:bookmarkStart w:id="1036" w:name="Srv_4OfficeMacStandard2011"/>
      <w:bookmarkEnd w:id="1012"/>
      <w:bookmarkEnd w:id="1032"/>
      <w:bookmarkEnd w:id="1033"/>
      <w:r w:rsidRPr="00BD7CEA">
        <w:rPr>
          <w:rFonts w:ascii="Tahoma" w:hAnsi="Tahoma"/>
          <w:caps/>
          <w:color w:val="F66400"/>
          <w:sz w:val="22"/>
          <w:vertAlign w:val="superscript"/>
        </w:rPr>
        <w:lastRenderedPageBreak/>
        <w:t xml:space="preserve">7 </w:t>
      </w:r>
      <w:r w:rsidRPr="00BD7CEA">
        <w:rPr>
          <w:rFonts w:ascii="Tahoma" w:hAnsi="Tahoma"/>
          <w:color w:val="F66400"/>
          <w:sz w:val="22"/>
        </w:rPr>
        <w:t>Office per Mac Standard 2011</w:t>
      </w:r>
      <w:bookmarkEnd w:id="1034"/>
      <w:bookmarkEnd w:id="1035"/>
      <w:r w:rsidRPr="00BD7CEA">
        <w:rPr>
          <w:rFonts w:ascii="Tahoma" w:hAnsi="Tahoma"/>
          <w:color w:val="F66400"/>
          <w:sz w:val="22"/>
        </w:rPr>
        <w:t xml:space="preserve"> </w:t>
      </w:r>
      <w:bookmarkEnd w:id="1036"/>
    </w:p>
    <w:p w:rsidR="00FD5FBA" w:rsidRPr="00BD7CEA" w:rsidRDefault="00FD5FBA" w:rsidP="00AE5A9F"/>
    <w:p w:rsidR="00FD5FBA" w:rsidRPr="00BD7CEA" w:rsidRDefault="00FD5FBA" w:rsidP="007358C5">
      <w:pPr>
        <w:pStyle w:val="EndnoteText"/>
        <w:numPr>
          <w:ilvl w:val="0"/>
          <w:numId w:val="113"/>
        </w:numPr>
        <w:ind w:left="990"/>
      </w:pPr>
      <w:r w:rsidRPr="00BD7CEA">
        <w:rPr>
          <w:rFonts w:ascii="Tahoma" w:hAnsi="Tahoma" w:cs="Tahoma"/>
          <w:sz w:val="18"/>
          <w:szCs w:val="20"/>
        </w:rPr>
        <w:t xml:space="preserve">Licenza Work at Home (WAH) disponibile per le società con Contratto Select </w:t>
      </w:r>
      <w:r w:rsidRPr="00BD7CEA">
        <w:rPr>
          <w:rFonts w:ascii="Tahoma" w:hAnsi="Tahoma" w:cs="Tahoma"/>
          <w:sz w:val="18"/>
          <w:szCs w:val="18"/>
        </w:rPr>
        <w:t>e Select Plus</w:t>
      </w:r>
    </w:p>
    <w:p w:rsidR="00CA6122" w:rsidRPr="00BD7CEA" w:rsidRDefault="00CA6122" w:rsidP="00CA6122">
      <w:pPr>
        <w:adjustRightInd w:val="0"/>
        <w:ind w:left="720"/>
        <w:textAlignment w:val="baseline"/>
      </w:pPr>
    </w:p>
    <w:p w:rsidR="00864B8A" w:rsidRPr="00BD7CEA" w:rsidRDefault="00704723" w:rsidP="00864B8A">
      <w:pPr>
        <w:spacing w:after="60"/>
        <w:ind w:left="720"/>
      </w:pPr>
      <w:r w:rsidRPr="00BD7CEA">
        <w:rPr>
          <w:rFonts w:cs="Tahoma"/>
          <w:b/>
          <w:szCs w:val="20"/>
        </w:rPr>
        <w:t>Office per Mac Standard 2011</w:t>
      </w:r>
    </w:p>
    <w:p w:rsidR="00704723" w:rsidRPr="00BD7CEA" w:rsidRDefault="00704723" w:rsidP="00864B8A">
      <w:pPr>
        <w:spacing w:after="60"/>
        <w:ind w:left="720"/>
      </w:pPr>
      <w:r w:rsidRPr="00BD7CEA">
        <w:rPr>
          <w:rFonts w:cs="Tahoma"/>
          <w:szCs w:val="20"/>
        </w:rPr>
        <w:t>Una Licenza per Office per Mac Standard 2011 è composta dai seguenti elementi: Lync per Mac 2011, Excel</w:t>
      </w:r>
      <w:r w:rsidR="00D45A36">
        <w:rPr>
          <w:rFonts w:cs="Tahoma"/>
          <w:szCs w:val="20"/>
        </w:rPr>
        <w:t> </w:t>
      </w:r>
      <w:r w:rsidRPr="00BD7CEA">
        <w:rPr>
          <w:rFonts w:cs="Tahoma"/>
          <w:szCs w:val="20"/>
        </w:rPr>
        <w:t xml:space="preserve">per Mac 2011, Outlook per Mac 2011, </w:t>
      </w:r>
      <w:r w:rsidRPr="00BD7CEA">
        <w:rPr>
          <w:rFonts w:cs="Tahoma"/>
        </w:rPr>
        <w:t>Office Home and Student RT 2013 Commercial Use,</w:t>
      </w:r>
      <w:r w:rsidRPr="00BD7CEA">
        <w:rPr>
          <w:rFonts w:cs="Tahoma"/>
          <w:szCs w:val="20"/>
        </w:rPr>
        <w:t xml:space="preserve"> </w:t>
      </w:r>
      <w:r w:rsidR="00D45A36">
        <w:rPr>
          <w:rFonts w:cs="Tahoma"/>
          <w:szCs w:val="20"/>
        </w:rPr>
        <w:br/>
      </w:r>
      <w:r w:rsidRPr="00BD7CEA">
        <w:rPr>
          <w:rFonts w:cs="Tahoma"/>
          <w:szCs w:val="20"/>
        </w:rPr>
        <w:t>Office Web Apps 2010, PowerPoint per Mac 2011 e Word per Mac 2011.</w:t>
      </w:r>
    </w:p>
    <w:p w:rsidR="00CA6122" w:rsidRPr="00BD7CEA" w:rsidRDefault="00CA6122" w:rsidP="00CA6122">
      <w:pPr>
        <w:adjustRightInd w:val="0"/>
        <w:ind w:left="720"/>
        <w:textAlignment w:val="baseline"/>
      </w:pPr>
    </w:p>
    <w:p w:rsidR="00864B8A" w:rsidRPr="00BD7CEA" w:rsidRDefault="00704723" w:rsidP="00864B8A">
      <w:pPr>
        <w:spacing w:after="60"/>
        <w:ind w:left="720"/>
      </w:pPr>
      <w:r w:rsidRPr="00BD7CEA">
        <w:rPr>
          <w:rFonts w:cs="Tahoma"/>
          <w:b/>
          <w:szCs w:val="20"/>
        </w:rPr>
        <w:t>Impossibilità di Separare Microsoft Office per Mac Standard 2011</w:t>
      </w:r>
    </w:p>
    <w:p w:rsidR="00704723" w:rsidRPr="00BD7CEA" w:rsidRDefault="00704723" w:rsidP="00864B8A">
      <w:pPr>
        <w:spacing w:after="60"/>
        <w:ind w:left="720"/>
      </w:pPr>
      <w:r w:rsidRPr="00BD7CEA">
        <w:rPr>
          <w:rFonts w:cs="Tahoma"/>
          <w:szCs w:val="20"/>
        </w:rPr>
        <w:t>Office per Mac Standard 2011 è composto da più di un prodotto offerto ai sensi di un</w:t>
      </w:r>
      <w:r w:rsidR="007A1415" w:rsidRPr="00BD7CEA">
        <w:rPr>
          <w:rFonts w:cs="Tahoma"/>
          <w:szCs w:val="20"/>
        </w:rPr>
        <w:t>’</w:t>
      </w:r>
      <w:r w:rsidRPr="00BD7CEA">
        <w:rPr>
          <w:rFonts w:cs="Tahoma"/>
          <w:szCs w:val="20"/>
        </w:rPr>
        <w:t>unica licenza. Il</w:t>
      </w:r>
      <w:r w:rsidR="00F60C1B" w:rsidRPr="00BD7CEA">
        <w:rPr>
          <w:rFonts w:cs="Tahoma"/>
          <w:szCs w:val="20"/>
        </w:rPr>
        <w:t> </w:t>
      </w:r>
      <w:r w:rsidRPr="00BD7CEA">
        <w:rPr>
          <w:rFonts w:cs="Tahoma"/>
          <w:szCs w:val="20"/>
        </w:rPr>
        <w:t>software non può essere separato per l</w:t>
      </w:r>
      <w:r w:rsidR="007A1415" w:rsidRPr="00BD7CEA">
        <w:rPr>
          <w:rFonts w:cs="Tahoma"/>
          <w:szCs w:val="20"/>
        </w:rPr>
        <w:t>’</w:t>
      </w:r>
      <w:r w:rsidRPr="00BD7CEA">
        <w:rPr>
          <w:rFonts w:cs="Tahoma"/>
          <w:szCs w:val="20"/>
        </w:rPr>
        <w:t>utilizzo su più di un computer.</w:t>
      </w:r>
    </w:p>
    <w:p w:rsidR="00CA6122" w:rsidRPr="00BD7CEA" w:rsidRDefault="00CA6122" w:rsidP="00CA6122">
      <w:pPr>
        <w:adjustRightInd w:val="0"/>
        <w:ind w:left="720"/>
        <w:textAlignment w:val="baseline"/>
      </w:pPr>
    </w:p>
    <w:p w:rsidR="00704723" w:rsidRPr="00BD7CEA" w:rsidRDefault="0035314F" w:rsidP="00864B8A">
      <w:pPr>
        <w:spacing w:after="60"/>
        <w:ind w:left="720"/>
      </w:pPr>
      <w:r w:rsidRPr="00BD7CEA">
        <w:rPr>
          <w:rFonts w:cs="Tahoma"/>
          <w:b/>
          <w:szCs w:val="20"/>
        </w:rPr>
        <w:t>Diritti di Utilizzo di Lync per Mac 2011</w:t>
      </w:r>
    </w:p>
    <w:p w:rsidR="00CA6122" w:rsidRPr="00BD7CEA" w:rsidRDefault="00F14B59" w:rsidP="00737831">
      <w:pPr>
        <w:adjustRightInd w:val="0"/>
        <w:ind w:left="720"/>
        <w:textAlignment w:val="baseline"/>
      </w:pPr>
      <w:r w:rsidRPr="00BD7CEA">
        <w:rPr>
          <w:rFonts w:cs="Tahoma"/>
          <w:szCs w:val="20"/>
        </w:rPr>
        <w:t>Le società che hanno acquistato Office per Mac Standard 2011 alla data del 1 ottobre 2011 riceveranno una famiglia di prodotti Office che include Lync per Mac 2011 anziché Communicator per Mac 2011. Le società con copertura Software Assurance attiva per Office per Mac Standard 2011 alla data del 1 ottobre 2011 possono utilizzare Communicator per Mac 2011 o fare l</w:t>
      </w:r>
      <w:r w:rsidR="007A1415" w:rsidRPr="00BD7CEA">
        <w:rPr>
          <w:rFonts w:cs="Tahoma"/>
          <w:szCs w:val="20"/>
        </w:rPr>
        <w:t>’</w:t>
      </w:r>
      <w:r w:rsidRPr="00BD7CEA">
        <w:rPr>
          <w:rFonts w:cs="Tahoma"/>
          <w:szCs w:val="20"/>
        </w:rPr>
        <w:t xml:space="preserve">aggiornamento a Lync per Mac 2011. </w:t>
      </w:r>
    </w:p>
    <w:p w:rsidR="007631EF" w:rsidRPr="00BD7CEA" w:rsidRDefault="007631EF"/>
    <w:p w:rsidR="00697E59" w:rsidRPr="00BD7CEA" w:rsidRDefault="00697E59">
      <w:bookmarkStart w:id="1037" w:name="_Toc336338265"/>
    </w:p>
    <w:p w:rsidR="00023FE7" w:rsidRPr="00BD7CEA" w:rsidRDefault="004668D9">
      <w:pPr>
        <w:pStyle w:val="Heading3"/>
      </w:pPr>
      <w:bookmarkStart w:id="1038" w:name="_5_Office_Multi-Language"/>
      <w:bookmarkStart w:id="1039" w:name="_7_Office_Multi-Language"/>
      <w:bookmarkStart w:id="1040" w:name="_87_Office_Multi-Language"/>
      <w:bookmarkStart w:id="1041" w:name="_8_Office_Multi-Language"/>
      <w:bookmarkStart w:id="1042" w:name="Aps_8OffMultiLangPack07"/>
      <w:bookmarkStart w:id="1043" w:name="Aps_6OfficeMultiLangPack2010"/>
      <w:bookmarkStart w:id="1044" w:name="Aps_5OfficeMultiLangPack2010"/>
      <w:bookmarkStart w:id="1045" w:name="_Toc353376044"/>
      <w:bookmarkEnd w:id="1038"/>
      <w:bookmarkEnd w:id="1039"/>
      <w:bookmarkEnd w:id="1040"/>
      <w:bookmarkEnd w:id="1041"/>
      <w:r w:rsidRPr="00BD7CEA">
        <w:rPr>
          <w:rFonts w:ascii="Tahoma" w:hAnsi="Tahoma"/>
          <w:caps/>
          <w:color w:val="F66400"/>
          <w:sz w:val="22"/>
          <w:vertAlign w:val="superscript"/>
        </w:rPr>
        <w:t>8</w:t>
      </w:r>
      <w:r w:rsidRPr="00BD7CEA">
        <w:rPr>
          <w:rFonts w:ascii="Tahoma" w:hAnsi="Tahoma"/>
          <w:color w:val="F66400"/>
          <w:sz w:val="22"/>
        </w:rPr>
        <w:t xml:space="preserve"> Office Multi-Language Pack </w:t>
      </w:r>
      <w:bookmarkEnd w:id="1037"/>
      <w:bookmarkEnd w:id="1042"/>
      <w:bookmarkEnd w:id="1043"/>
      <w:bookmarkEnd w:id="1044"/>
      <w:r w:rsidRPr="00BD7CEA">
        <w:rPr>
          <w:rFonts w:ascii="Tahoma" w:hAnsi="Tahoma"/>
          <w:color w:val="F66400"/>
          <w:sz w:val="22"/>
        </w:rPr>
        <w:t>2013</w:t>
      </w:r>
      <w:bookmarkEnd w:id="1045"/>
    </w:p>
    <w:p w:rsidR="00023FE7" w:rsidRPr="00BD7CEA" w:rsidRDefault="00023FE7" w:rsidP="00AE5A9F"/>
    <w:p w:rsidR="00223A77" w:rsidRPr="00BD7CEA" w:rsidRDefault="0035314F" w:rsidP="00864B8A">
      <w:pPr>
        <w:spacing w:after="60"/>
        <w:ind w:left="720"/>
      </w:pPr>
      <w:r w:rsidRPr="00BD7CEA">
        <w:rPr>
          <w:rFonts w:cs="Tahoma"/>
          <w:b/>
          <w:szCs w:val="20"/>
        </w:rPr>
        <w:t>Diritti di Downgrade per Office Multi-Language Pack 2013</w:t>
      </w:r>
    </w:p>
    <w:p w:rsidR="00223A77" w:rsidRPr="00BD7CEA" w:rsidRDefault="00223A77" w:rsidP="00CA6122">
      <w:pPr>
        <w:ind w:left="720"/>
      </w:pPr>
      <w:r w:rsidRPr="00BD7CEA">
        <w:rPr>
          <w:rFonts w:cs="Tahoma"/>
          <w:szCs w:val="18"/>
        </w:rPr>
        <w:t xml:space="preserve">Le società che abbiano stipulato contratti Volume License e che dispongono di una licenza per Office </w:t>
      </w:r>
      <w:r w:rsidR="00D45A36">
        <w:rPr>
          <w:rFonts w:cs="Tahoma"/>
          <w:szCs w:val="18"/>
        </w:rPr>
        <w:br/>
      </w:r>
      <w:r w:rsidRPr="00BD7CEA">
        <w:rPr>
          <w:rFonts w:cs="Tahoma"/>
          <w:szCs w:val="18"/>
        </w:rPr>
        <w:t>Multi-Language Pack 2013 e con una licenza per uno qualsiasi dei seguenti prodotti:</w:t>
      </w:r>
    </w:p>
    <w:p w:rsidR="00C2130B" w:rsidRPr="00BD7CEA" w:rsidRDefault="00C2130B" w:rsidP="00CA6122">
      <w:pPr>
        <w:ind w:left="900"/>
      </w:pPr>
    </w:p>
    <w:p w:rsidR="00223A77" w:rsidRPr="00BD7CEA" w:rsidRDefault="00223A77" w:rsidP="00CA6122">
      <w:pPr>
        <w:numPr>
          <w:ilvl w:val="0"/>
          <w:numId w:val="9"/>
        </w:numPr>
        <w:spacing w:after="60"/>
        <w:ind w:left="1440"/>
      </w:pPr>
      <w:r w:rsidRPr="00BD7CEA">
        <w:rPr>
          <w:rFonts w:cs="Tahoma"/>
          <w:szCs w:val="18"/>
        </w:rPr>
        <w:t>Office Standard 2013</w:t>
      </w:r>
    </w:p>
    <w:p w:rsidR="00223A77" w:rsidRPr="00BD7CEA" w:rsidRDefault="00223A77" w:rsidP="00CA6122">
      <w:pPr>
        <w:numPr>
          <w:ilvl w:val="0"/>
          <w:numId w:val="9"/>
        </w:numPr>
        <w:spacing w:after="60"/>
        <w:ind w:left="1440"/>
      </w:pPr>
      <w:r w:rsidRPr="00BD7CEA">
        <w:rPr>
          <w:rFonts w:cs="Tahoma"/>
          <w:szCs w:val="18"/>
        </w:rPr>
        <w:t>Office Professional Plus 2013</w:t>
      </w:r>
    </w:p>
    <w:p w:rsidR="00223A77" w:rsidRPr="00BD7CEA" w:rsidRDefault="00223A77" w:rsidP="00CA6122">
      <w:pPr>
        <w:numPr>
          <w:ilvl w:val="0"/>
          <w:numId w:val="9"/>
        </w:numPr>
        <w:spacing w:after="60"/>
        <w:ind w:left="1440"/>
      </w:pPr>
      <w:r w:rsidRPr="00BD7CEA">
        <w:rPr>
          <w:rFonts w:cs="Tahoma"/>
          <w:szCs w:val="18"/>
        </w:rPr>
        <w:t>Project Standard 2013</w:t>
      </w:r>
    </w:p>
    <w:p w:rsidR="00223A77" w:rsidRPr="00BD7CEA" w:rsidRDefault="00223A77" w:rsidP="00CA6122">
      <w:pPr>
        <w:numPr>
          <w:ilvl w:val="0"/>
          <w:numId w:val="9"/>
        </w:numPr>
        <w:spacing w:after="60"/>
        <w:ind w:left="1440"/>
      </w:pPr>
      <w:r w:rsidRPr="00BD7CEA">
        <w:rPr>
          <w:rFonts w:cs="Tahoma"/>
          <w:szCs w:val="18"/>
        </w:rPr>
        <w:t>Project Professional 2013</w:t>
      </w:r>
    </w:p>
    <w:p w:rsidR="00223A77" w:rsidRPr="00BD7CEA" w:rsidRDefault="00223A77" w:rsidP="00CA6122">
      <w:pPr>
        <w:numPr>
          <w:ilvl w:val="0"/>
          <w:numId w:val="9"/>
        </w:numPr>
        <w:spacing w:after="60"/>
        <w:ind w:left="1440"/>
      </w:pPr>
      <w:r w:rsidRPr="00BD7CEA">
        <w:rPr>
          <w:rFonts w:cs="Tahoma"/>
          <w:szCs w:val="18"/>
        </w:rPr>
        <w:t>Visio Standard 2013</w:t>
      </w:r>
    </w:p>
    <w:p w:rsidR="00223A77" w:rsidRPr="00BD7CEA" w:rsidRDefault="00223A77" w:rsidP="00CA6122">
      <w:pPr>
        <w:numPr>
          <w:ilvl w:val="0"/>
          <w:numId w:val="9"/>
        </w:numPr>
        <w:spacing w:after="60"/>
        <w:ind w:left="1440"/>
      </w:pPr>
      <w:r w:rsidRPr="00BD7CEA">
        <w:rPr>
          <w:rFonts w:cs="Tahoma"/>
          <w:szCs w:val="18"/>
        </w:rPr>
        <w:t>Visio Professional 2013</w:t>
      </w:r>
    </w:p>
    <w:p w:rsidR="00223A77" w:rsidRPr="00BD7CEA" w:rsidRDefault="00223A77" w:rsidP="00CA6122">
      <w:pPr>
        <w:ind w:left="1260"/>
      </w:pPr>
    </w:p>
    <w:p w:rsidR="00223A77" w:rsidRPr="00BD7CEA" w:rsidRDefault="00223A77" w:rsidP="00CA6122">
      <w:pPr>
        <w:ind w:left="720"/>
      </w:pPr>
      <w:r w:rsidRPr="00BD7CEA">
        <w:rPr>
          <w:rFonts w:cs="Tahoma"/>
          <w:szCs w:val="18"/>
        </w:rPr>
        <w:t>sono idonee a utilizzare la versione Inglese/Multilingua di una versione sottoposta a downgrade del prodotto, al posto della versione concessa in licenza</w:t>
      </w:r>
      <w:r w:rsidRPr="00BD7CEA">
        <w:rPr>
          <w:rFonts w:cs="Tahoma"/>
          <w:i/>
          <w:iCs/>
          <w:szCs w:val="18"/>
        </w:rPr>
        <w:t>.</w:t>
      </w:r>
      <w:r w:rsidRPr="00BD7CEA">
        <w:rPr>
          <w:rFonts w:cs="Tahoma"/>
          <w:szCs w:val="18"/>
        </w:rPr>
        <w:t xml:space="preserve"> L</w:t>
      </w:r>
      <w:r w:rsidR="007A1415" w:rsidRPr="00BD7CEA">
        <w:rPr>
          <w:rFonts w:cs="Tahoma"/>
          <w:szCs w:val="18"/>
        </w:rPr>
        <w:t>’</w:t>
      </w:r>
      <w:r w:rsidRPr="00BD7CEA">
        <w:rPr>
          <w:rFonts w:cs="Tahoma"/>
          <w:szCs w:val="18"/>
        </w:rPr>
        <w:t>utilizzo della versione sottoposta a downgrade del prodotto è soggetta ai diritti di utilizzo della versione 2013 del prodotto. Tali diritti cesseranno alla scadenza dei diritti della società di utilizzare il prodotto Office Multi-Language Pack 2013 o i prodotti 2013 indicati in precedenza.</w:t>
      </w:r>
    </w:p>
    <w:p w:rsidR="00CA6122" w:rsidRPr="00BD7CEA" w:rsidRDefault="00CA6122">
      <w:pPr>
        <w:pStyle w:val="Heading3"/>
      </w:pPr>
      <w:bookmarkStart w:id="1046" w:name="_Toc336338266"/>
      <w:bookmarkStart w:id="1047" w:name="Aps_9OffProPlus07forWin"/>
      <w:bookmarkStart w:id="1048" w:name="Aps_7OfficeProPlus2010"/>
      <w:bookmarkStart w:id="1049" w:name="Aps_6OfficeProPlus2010"/>
    </w:p>
    <w:p w:rsidR="00CA6122" w:rsidRPr="00BD7CEA" w:rsidRDefault="00CA6122">
      <w:pPr>
        <w:pStyle w:val="Heading3"/>
      </w:pPr>
    </w:p>
    <w:p w:rsidR="00023FE7" w:rsidRPr="00BD7CEA" w:rsidRDefault="004668D9">
      <w:pPr>
        <w:pStyle w:val="Heading3"/>
      </w:pPr>
      <w:bookmarkStart w:id="1050" w:name="_98_Office_Professional"/>
      <w:bookmarkStart w:id="1051" w:name="_9_Office_Professional"/>
      <w:bookmarkStart w:id="1052" w:name="_Toc353376045"/>
      <w:bookmarkEnd w:id="1050"/>
      <w:bookmarkEnd w:id="1051"/>
      <w:r w:rsidRPr="00BD7CEA">
        <w:rPr>
          <w:rFonts w:ascii="Tahoma" w:hAnsi="Tahoma"/>
          <w:caps/>
          <w:color w:val="F66400"/>
          <w:sz w:val="22"/>
          <w:vertAlign w:val="superscript"/>
        </w:rPr>
        <w:t>9</w:t>
      </w:r>
      <w:r w:rsidRPr="00BD7CEA">
        <w:rPr>
          <w:rFonts w:ascii="Tahoma" w:hAnsi="Tahoma"/>
          <w:color w:val="F66400"/>
          <w:sz w:val="22"/>
        </w:rPr>
        <w:t xml:space="preserve"> Office Professional Plus </w:t>
      </w:r>
      <w:bookmarkEnd w:id="1046"/>
      <w:r w:rsidRPr="00BD7CEA">
        <w:rPr>
          <w:rFonts w:ascii="Tahoma" w:hAnsi="Tahoma"/>
          <w:color w:val="F66400"/>
          <w:sz w:val="22"/>
        </w:rPr>
        <w:t>2013</w:t>
      </w:r>
      <w:bookmarkEnd w:id="1052"/>
    </w:p>
    <w:bookmarkEnd w:id="1047"/>
    <w:bookmarkEnd w:id="1048"/>
    <w:bookmarkEnd w:id="1049"/>
    <w:p w:rsidR="00023FE7" w:rsidRPr="00BD7CEA" w:rsidRDefault="00023FE7" w:rsidP="00AE5A9F"/>
    <w:p w:rsidR="00223A77" w:rsidRPr="00BD7CEA" w:rsidRDefault="00223A77" w:rsidP="007358C5">
      <w:pPr>
        <w:pStyle w:val="EndnoteText"/>
        <w:numPr>
          <w:ilvl w:val="0"/>
          <w:numId w:val="113"/>
        </w:numPr>
        <w:ind w:left="1080"/>
      </w:pPr>
      <w:r w:rsidRPr="00BD7CEA">
        <w:rPr>
          <w:rFonts w:ascii="Tahoma" w:hAnsi="Tahoma" w:cs="Tahoma"/>
          <w:sz w:val="18"/>
          <w:szCs w:val="20"/>
        </w:rPr>
        <w:t xml:space="preserve">Licenza Work at Home (WAH) disponibile per le società con Contratto Select </w:t>
      </w:r>
      <w:r w:rsidRPr="00BD7CEA">
        <w:rPr>
          <w:rFonts w:ascii="Tahoma" w:hAnsi="Tahoma" w:cs="Tahoma"/>
          <w:sz w:val="18"/>
          <w:szCs w:val="18"/>
        </w:rPr>
        <w:t>e Select Plus</w:t>
      </w:r>
    </w:p>
    <w:p w:rsidR="00223A77" w:rsidRPr="00BD7CEA" w:rsidRDefault="00223A77" w:rsidP="007358C5">
      <w:pPr>
        <w:pStyle w:val="EndnoteText"/>
        <w:numPr>
          <w:ilvl w:val="0"/>
          <w:numId w:val="113"/>
        </w:numPr>
        <w:ind w:left="1080"/>
      </w:pPr>
      <w:r w:rsidRPr="00BD7CEA">
        <w:rPr>
          <w:rFonts w:ascii="Tahoma" w:hAnsi="Tahoma" w:cs="Tahoma"/>
          <w:sz w:val="18"/>
          <w:szCs w:val="20"/>
        </w:rPr>
        <w:t>Licenza Work at Home (WAH) disponibile per le società con Contratto Enterprise</w:t>
      </w:r>
    </w:p>
    <w:p w:rsidR="00223A77" w:rsidRPr="00BD7CEA" w:rsidRDefault="00223A77" w:rsidP="00D16C5F">
      <w:pPr>
        <w:pStyle w:val="FootnoteBulletLevel1"/>
        <w:tabs>
          <w:tab w:val="clear" w:pos="900"/>
        </w:tabs>
        <w:spacing w:before="0" w:after="0"/>
        <w:ind w:left="720" w:firstLine="0"/>
      </w:pPr>
    </w:p>
    <w:p w:rsidR="00864B8A" w:rsidRPr="00BD7CEA" w:rsidRDefault="00223A77" w:rsidP="00864B8A">
      <w:pPr>
        <w:spacing w:after="60"/>
        <w:ind w:left="720"/>
      </w:pPr>
      <w:r w:rsidRPr="00BD7CEA">
        <w:rPr>
          <w:rFonts w:cs="Tahoma"/>
          <w:b/>
        </w:rPr>
        <w:t>Office Professional Plus 2013</w:t>
      </w:r>
    </w:p>
    <w:p w:rsidR="00223A77" w:rsidRPr="00BD7CEA" w:rsidRDefault="00223A77" w:rsidP="00864B8A">
      <w:pPr>
        <w:spacing w:after="60"/>
        <w:ind w:left="720"/>
      </w:pPr>
      <w:r w:rsidRPr="00BD7CEA">
        <w:rPr>
          <w:rFonts w:cs="Tahoma"/>
        </w:rPr>
        <w:t>Una Licenza per Office Professional Plus 2013 è composta dai seguenti elementi: Access 2013, Lync 2013, Excel 2013</w:t>
      </w:r>
      <w:r w:rsidRPr="00BD7CEA">
        <w:rPr>
          <w:rFonts w:cs="Tahoma"/>
          <w:color w:val="000000" w:themeColor="text1"/>
        </w:rPr>
        <w:t xml:space="preserve">, </w:t>
      </w:r>
      <w:r w:rsidRPr="00BD7CEA">
        <w:rPr>
          <w:rFonts w:cs="Tahoma"/>
        </w:rPr>
        <w:t>InfoPath 2013, OneNote 2013, Outlook 2013, Office Home and Student RT 2013 Commercial Use, Office Web Apps, PowerPoint 2013, Publisher 2013 e Word 2013.</w:t>
      </w:r>
    </w:p>
    <w:p w:rsidR="00973A93" w:rsidRPr="00BD7CEA" w:rsidRDefault="00973A93"/>
    <w:p w:rsidR="00F60C1B" w:rsidRPr="00BD7CEA" w:rsidRDefault="00F60C1B"/>
    <w:p w:rsidR="00F60C1B" w:rsidRPr="00BD7CEA" w:rsidRDefault="00F60C1B"/>
    <w:p w:rsidR="00F60C1B" w:rsidRPr="00BD7CEA" w:rsidRDefault="00F60C1B"/>
    <w:p w:rsidR="00F60C1B" w:rsidRPr="00BD7CEA" w:rsidRDefault="00F60C1B"/>
    <w:p w:rsidR="00223A77" w:rsidRPr="00BD7CEA" w:rsidRDefault="00223A77" w:rsidP="00864B8A">
      <w:pPr>
        <w:spacing w:after="60"/>
        <w:ind w:left="720"/>
      </w:pPr>
      <w:r w:rsidRPr="00BD7CEA">
        <w:rPr>
          <w:rFonts w:cs="Tahoma"/>
          <w:b/>
        </w:rPr>
        <w:lastRenderedPageBreak/>
        <w:t>Impossibilità di Separare Office Professional Plus 2013</w:t>
      </w:r>
    </w:p>
    <w:p w:rsidR="00223A77" w:rsidRPr="00BD7CEA" w:rsidRDefault="00223A77" w:rsidP="00D16C5F">
      <w:pPr>
        <w:pStyle w:val="FootnoteBulletLevel1"/>
        <w:tabs>
          <w:tab w:val="clear" w:pos="900"/>
        </w:tabs>
        <w:spacing w:before="0" w:after="0"/>
        <w:ind w:left="720" w:firstLine="0"/>
      </w:pPr>
      <w:r w:rsidRPr="00BD7CEA">
        <w:rPr>
          <w:rFonts w:ascii="Tahoma" w:hAnsi="Tahoma" w:cs="Tahoma"/>
          <w:sz w:val="18"/>
        </w:rPr>
        <w:t>Microsoft Office Professional Plus 2013 è composto da più di un prodotto offerto ai sensi di un</w:t>
      </w:r>
      <w:r w:rsidR="007A1415" w:rsidRPr="00BD7CEA">
        <w:rPr>
          <w:rFonts w:ascii="Tahoma" w:hAnsi="Tahoma" w:cs="Tahoma"/>
          <w:sz w:val="18"/>
        </w:rPr>
        <w:t>’</w:t>
      </w:r>
      <w:r w:rsidRPr="00BD7CEA">
        <w:rPr>
          <w:rFonts w:ascii="Tahoma" w:hAnsi="Tahoma" w:cs="Tahoma"/>
          <w:sz w:val="18"/>
        </w:rPr>
        <w:t>unica licenza. Il software non può essere separato per l</w:t>
      </w:r>
      <w:r w:rsidR="007A1415" w:rsidRPr="00BD7CEA">
        <w:rPr>
          <w:rFonts w:ascii="Tahoma" w:hAnsi="Tahoma" w:cs="Tahoma"/>
          <w:sz w:val="18"/>
        </w:rPr>
        <w:t>’</w:t>
      </w:r>
      <w:r w:rsidRPr="00BD7CEA">
        <w:rPr>
          <w:rFonts w:ascii="Tahoma" w:hAnsi="Tahoma" w:cs="Tahoma"/>
          <w:sz w:val="18"/>
        </w:rPr>
        <w:t>utilizzo su più di un computer.</w:t>
      </w:r>
    </w:p>
    <w:p w:rsidR="00952A87" w:rsidRPr="00BD7CEA" w:rsidRDefault="00952A87" w:rsidP="00D16C5F">
      <w:pPr>
        <w:ind w:left="720"/>
      </w:pPr>
    </w:p>
    <w:p w:rsidR="00952A87" w:rsidRPr="00BD7CEA" w:rsidRDefault="00952A87" w:rsidP="00864B8A">
      <w:pPr>
        <w:spacing w:after="60"/>
        <w:ind w:left="720"/>
      </w:pPr>
      <w:r w:rsidRPr="00BD7CEA">
        <w:rPr>
          <w:rFonts w:cs="Tahoma"/>
          <w:b/>
        </w:rPr>
        <w:t>Contratto Campus e School</w:t>
      </w:r>
    </w:p>
    <w:p w:rsidR="00001A9A" w:rsidRPr="00BD7CEA" w:rsidRDefault="00952A87" w:rsidP="00D16C5F">
      <w:pPr>
        <w:ind w:left="720"/>
      </w:pPr>
      <w:r w:rsidRPr="00BD7CEA">
        <w:rPr>
          <w:rFonts w:eastAsia="Calibri" w:cs="Tahoma"/>
          <w:iCs/>
          <w:color w:val="000000"/>
          <w:szCs w:val="18"/>
        </w:rPr>
        <w:t>Gli Istituti in possesso di USL per Office Professional Plus Subscription cedute a tutto il personale docente e non docente potranno installare il software Office Professional Plus 2013 in qualsiasi laboratorio o biblioteca ad accesso libero all</w:t>
      </w:r>
      <w:r w:rsidR="007A1415" w:rsidRPr="00BD7CEA">
        <w:rPr>
          <w:rFonts w:eastAsia="Calibri" w:cs="Tahoma"/>
          <w:iCs/>
          <w:color w:val="000000"/>
          <w:szCs w:val="18"/>
        </w:rPr>
        <w:t>’</w:t>
      </w:r>
      <w:r w:rsidRPr="00BD7CEA">
        <w:rPr>
          <w:rFonts w:eastAsia="Calibri" w:cs="Tahoma"/>
          <w:iCs/>
          <w:color w:val="000000"/>
          <w:szCs w:val="18"/>
        </w:rPr>
        <w:t>interno dell</w:t>
      </w:r>
      <w:r w:rsidR="007A1415" w:rsidRPr="00BD7CEA">
        <w:rPr>
          <w:rFonts w:eastAsia="Calibri" w:cs="Tahoma"/>
          <w:iCs/>
          <w:color w:val="000000"/>
          <w:szCs w:val="18"/>
        </w:rPr>
        <w:t>’</w:t>
      </w:r>
      <w:r w:rsidRPr="00BD7CEA">
        <w:rPr>
          <w:rFonts w:eastAsia="Calibri" w:cs="Tahoma"/>
          <w:iCs/>
          <w:color w:val="000000"/>
          <w:szCs w:val="18"/>
        </w:rPr>
        <w:t>Organizzazione dell</w:t>
      </w:r>
      <w:r w:rsidR="007A1415" w:rsidRPr="00BD7CEA">
        <w:rPr>
          <w:rFonts w:eastAsia="Calibri" w:cs="Tahoma"/>
          <w:iCs/>
          <w:color w:val="000000"/>
          <w:szCs w:val="18"/>
        </w:rPr>
        <w:t>’</w:t>
      </w:r>
      <w:r w:rsidRPr="00BD7CEA">
        <w:rPr>
          <w:rFonts w:eastAsia="Calibri" w:cs="Tahoma"/>
          <w:iCs/>
          <w:color w:val="000000"/>
          <w:szCs w:val="18"/>
        </w:rPr>
        <w:t>Istituto.</w:t>
      </w:r>
      <w:r w:rsidR="008D782D" w:rsidRPr="00BD7CEA">
        <w:rPr>
          <w:rFonts w:eastAsia="Calibri" w:cs="Tahoma"/>
          <w:iCs/>
          <w:color w:val="000000"/>
          <w:szCs w:val="18"/>
        </w:rPr>
        <w:t xml:space="preserve"> </w:t>
      </w:r>
      <w:r w:rsidRPr="00BD7CEA">
        <w:rPr>
          <w:rFonts w:eastAsia="Calibri" w:cs="Tahoma"/>
          <w:iCs/>
          <w:color w:val="000000"/>
          <w:szCs w:val="18"/>
        </w:rPr>
        <w:t>L</w:t>
      </w:r>
      <w:r w:rsidR="007A1415" w:rsidRPr="00BD7CEA">
        <w:rPr>
          <w:rFonts w:eastAsia="Calibri" w:cs="Tahoma"/>
          <w:iCs/>
          <w:color w:val="000000"/>
          <w:szCs w:val="18"/>
        </w:rPr>
        <w:t>’</w:t>
      </w:r>
      <w:r w:rsidRPr="00BD7CEA">
        <w:rPr>
          <w:rFonts w:eastAsia="Calibri" w:cs="Tahoma"/>
          <w:iCs/>
          <w:color w:val="000000"/>
          <w:szCs w:val="18"/>
        </w:rPr>
        <w:t>utilizzo del software è soggetto alle condizioni di licenza di Office Pro Plus 2013.</w:t>
      </w:r>
    </w:p>
    <w:p w:rsidR="00952A87" w:rsidRPr="00BD7CEA" w:rsidRDefault="00952A87" w:rsidP="00D16C5F"/>
    <w:p w:rsidR="00133069" w:rsidRPr="00BD7CEA" w:rsidRDefault="00133069" w:rsidP="00133069"/>
    <w:p w:rsidR="00223A77" w:rsidRPr="00BD7CEA" w:rsidRDefault="004668D9" w:rsidP="00223A77">
      <w:pPr>
        <w:pStyle w:val="Heading3"/>
      </w:pPr>
      <w:bookmarkStart w:id="1053" w:name="_109_Office_Standard"/>
      <w:bookmarkStart w:id="1054" w:name="_10_Office_Standard"/>
      <w:bookmarkStart w:id="1055" w:name="Aps_OfficeStandard2010"/>
      <w:bookmarkStart w:id="1056" w:name="_Toc254806115"/>
      <w:bookmarkStart w:id="1057" w:name="_Toc328146032"/>
      <w:bookmarkStart w:id="1058" w:name="_Toc353376046"/>
      <w:bookmarkStart w:id="1059" w:name="Aps_7OfficeStandard2010"/>
      <w:bookmarkStart w:id="1060" w:name="_Toc336338268"/>
      <w:bookmarkEnd w:id="1053"/>
      <w:bookmarkEnd w:id="1054"/>
      <w:r w:rsidRPr="00BD7CEA">
        <w:rPr>
          <w:rFonts w:ascii="Tahoma" w:hAnsi="Tahoma"/>
          <w:caps/>
          <w:color w:val="F66400"/>
          <w:sz w:val="22"/>
          <w:vertAlign w:val="superscript"/>
        </w:rPr>
        <w:t>10</w:t>
      </w:r>
      <w:r w:rsidRPr="00BD7CEA">
        <w:rPr>
          <w:rFonts w:ascii="Tahoma" w:hAnsi="Tahoma"/>
          <w:color w:val="F66400"/>
          <w:sz w:val="22"/>
        </w:rPr>
        <w:t xml:space="preserve"> Office Standard </w:t>
      </w:r>
      <w:bookmarkEnd w:id="1055"/>
      <w:bookmarkEnd w:id="1056"/>
      <w:bookmarkEnd w:id="1057"/>
      <w:r w:rsidRPr="00BD7CEA">
        <w:rPr>
          <w:rFonts w:ascii="Tahoma" w:hAnsi="Tahoma"/>
          <w:color w:val="F66400"/>
          <w:sz w:val="22"/>
        </w:rPr>
        <w:t>2013</w:t>
      </w:r>
      <w:bookmarkEnd w:id="1058"/>
    </w:p>
    <w:bookmarkEnd w:id="1059"/>
    <w:p w:rsidR="00223A77" w:rsidRPr="00BD7CEA" w:rsidRDefault="00223A77" w:rsidP="00AE5A9F"/>
    <w:p w:rsidR="00223A77" w:rsidRPr="00BD7CEA" w:rsidRDefault="00223A77" w:rsidP="007358C5">
      <w:pPr>
        <w:pStyle w:val="EndnoteText"/>
        <w:numPr>
          <w:ilvl w:val="3"/>
          <w:numId w:val="80"/>
        </w:numPr>
        <w:ind w:left="990"/>
      </w:pPr>
      <w:r w:rsidRPr="00BD7CEA">
        <w:rPr>
          <w:rFonts w:ascii="Tahoma" w:hAnsi="Tahoma" w:cs="Tahoma"/>
          <w:sz w:val="18"/>
          <w:szCs w:val="20"/>
        </w:rPr>
        <w:t>Licenza Work at Home (WAH)</w:t>
      </w:r>
      <w:r w:rsidRPr="00BD7CEA">
        <w:rPr>
          <w:rFonts w:ascii="Tahoma" w:hAnsi="Tahoma" w:cs="Tahoma"/>
          <w:sz w:val="18"/>
        </w:rPr>
        <w:t xml:space="preserve"> disponibile per le società con Contratto Select </w:t>
      </w:r>
      <w:r w:rsidRPr="00BD7CEA">
        <w:rPr>
          <w:rFonts w:ascii="Tahoma" w:hAnsi="Tahoma" w:cs="Tahoma"/>
        </w:rPr>
        <w:t>e Select Plus</w:t>
      </w:r>
    </w:p>
    <w:p w:rsidR="00223A77" w:rsidRPr="00BD7CEA" w:rsidRDefault="00223A77" w:rsidP="007358C5">
      <w:pPr>
        <w:pStyle w:val="EndnoteText"/>
        <w:numPr>
          <w:ilvl w:val="3"/>
          <w:numId w:val="80"/>
        </w:numPr>
        <w:ind w:left="990"/>
      </w:pPr>
      <w:r w:rsidRPr="00BD7CEA">
        <w:rPr>
          <w:rFonts w:ascii="Tahoma" w:hAnsi="Tahoma" w:cs="Tahoma"/>
          <w:sz w:val="18"/>
        </w:rPr>
        <w:t>Licenza Work at Home (WAH) disponibile per le società con Contratto Enterprise</w:t>
      </w:r>
    </w:p>
    <w:p w:rsidR="00223A77" w:rsidRPr="00BD7CEA" w:rsidRDefault="00223A77" w:rsidP="00DF0E39">
      <w:pPr>
        <w:pStyle w:val="FootnoteBulletLevel1"/>
        <w:tabs>
          <w:tab w:val="clear" w:pos="900"/>
        </w:tabs>
        <w:spacing w:before="0" w:after="0"/>
        <w:ind w:left="720" w:firstLine="0"/>
      </w:pPr>
    </w:p>
    <w:p w:rsidR="00864B8A" w:rsidRPr="00BD7CEA" w:rsidRDefault="00223A77" w:rsidP="00864B8A">
      <w:pPr>
        <w:spacing w:after="60"/>
        <w:ind w:left="720"/>
      </w:pPr>
      <w:r w:rsidRPr="00BD7CEA">
        <w:rPr>
          <w:rFonts w:cs="Tahoma"/>
          <w:b/>
        </w:rPr>
        <w:t>Office Standard 2013</w:t>
      </w:r>
    </w:p>
    <w:p w:rsidR="00223A77" w:rsidRPr="00BD7CEA" w:rsidRDefault="00223A77" w:rsidP="00DF0E39">
      <w:pPr>
        <w:pStyle w:val="FootnoteBulletLevel1"/>
        <w:tabs>
          <w:tab w:val="clear" w:pos="900"/>
        </w:tabs>
        <w:spacing w:before="0" w:after="0"/>
        <w:ind w:left="720" w:firstLine="0"/>
      </w:pPr>
      <w:r w:rsidRPr="00BD7CEA">
        <w:rPr>
          <w:rFonts w:ascii="Tahoma" w:hAnsi="Tahoma" w:cs="Tahoma"/>
          <w:sz w:val="18"/>
        </w:rPr>
        <w:t>Una Licenza per Office Standard 2013 è composta dai seguenti elementi: Excel 2013, OneNote 2013, Outlook 2013,</w:t>
      </w:r>
      <w:r w:rsidRPr="00BD7CEA">
        <w:rPr>
          <w:rFonts w:cs="Tahoma"/>
        </w:rPr>
        <w:t xml:space="preserve"> Office Home and Student RT 2013 Commercial Use,</w:t>
      </w:r>
      <w:r w:rsidRPr="00BD7CEA">
        <w:rPr>
          <w:rFonts w:ascii="Tahoma" w:hAnsi="Tahoma" w:cs="Tahoma"/>
          <w:sz w:val="18"/>
        </w:rPr>
        <w:t xml:space="preserve"> Office Web Apps, PowerPoint</w:t>
      </w:r>
      <w:r w:rsidR="00F62389">
        <w:rPr>
          <w:rFonts w:ascii="Tahoma" w:hAnsi="Tahoma" w:cs="Tahoma"/>
          <w:sz w:val="18"/>
        </w:rPr>
        <w:t> </w:t>
      </w:r>
      <w:r w:rsidRPr="00BD7CEA">
        <w:rPr>
          <w:rFonts w:ascii="Tahoma" w:hAnsi="Tahoma" w:cs="Tahoma"/>
          <w:sz w:val="18"/>
        </w:rPr>
        <w:t>2013, Publisher 2013 e Word 2013.</w:t>
      </w:r>
    </w:p>
    <w:p w:rsidR="00DF0E39" w:rsidRPr="00BD7CEA" w:rsidRDefault="00DF0E39" w:rsidP="00DF0E39">
      <w:pPr>
        <w:pStyle w:val="FootnoteBulletLevel1"/>
        <w:tabs>
          <w:tab w:val="clear" w:pos="900"/>
        </w:tabs>
        <w:spacing w:before="0" w:after="0"/>
        <w:ind w:left="720" w:firstLine="0"/>
      </w:pPr>
    </w:p>
    <w:p w:rsidR="00864B8A" w:rsidRPr="00BD7CEA" w:rsidRDefault="00223A77" w:rsidP="00864B8A">
      <w:pPr>
        <w:spacing w:after="60"/>
        <w:ind w:left="720"/>
      </w:pPr>
      <w:r w:rsidRPr="00BD7CEA">
        <w:rPr>
          <w:rFonts w:cs="Tahoma"/>
          <w:b/>
        </w:rPr>
        <w:t>Impossibilità di Separare Microsoft Office Standard 2013</w:t>
      </w:r>
    </w:p>
    <w:p w:rsidR="00223A77" w:rsidRPr="00BD7CEA" w:rsidRDefault="00223A77" w:rsidP="002F39A5">
      <w:pPr>
        <w:spacing w:after="60"/>
        <w:ind w:left="720"/>
      </w:pPr>
      <w:r w:rsidRPr="00BD7CEA">
        <w:rPr>
          <w:rFonts w:cs="Tahoma"/>
        </w:rPr>
        <w:t>Office Standard 2013 è composto da più di un prodotto offerto ai sensi di un</w:t>
      </w:r>
      <w:r w:rsidR="007A1415" w:rsidRPr="00BD7CEA">
        <w:rPr>
          <w:rFonts w:cs="Tahoma"/>
        </w:rPr>
        <w:t>’</w:t>
      </w:r>
      <w:r w:rsidRPr="00BD7CEA">
        <w:rPr>
          <w:rFonts w:cs="Tahoma"/>
        </w:rPr>
        <w:t>unica licenza. Il software non può essere separato per l</w:t>
      </w:r>
      <w:r w:rsidR="007A1415" w:rsidRPr="00BD7CEA">
        <w:rPr>
          <w:rFonts w:cs="Tahoma"/>
        </w:rPr>
        <w:t>’</w:t>
      </w:r>
      <w:r w:rsidRPr="00BD7CEA">
        <w:rPr>
          <w:rFonts w:cs="Tahoma"/>
        </w:rPr>
        <w:t>utilizzo su più di un computer.</w:t>
      </w:r>
    </w:p>
    <w:p w:rsidR="002F39A5" w:rsidRPr="00BD7CEA" w:rsidRDefault="002F39A5" w:rsidP="002F39A5"/>
    <w:p w:rsidR="002F39A5" w:rsidRPr="00BD7CEA" w:rsidRDefault="002F39A5" w:rsidP="002F39A5"/>
    <w:p w:rsidR="00B2182D" w:rsidRPr="00BD7CEA" w:rsidRDefault="004668D9" w:rsidP="00461CA9">
      <w:pPr>
        <w:pStyle w:val="Heading3"/>
      </w:pPr>
      <w:bookmarkStart w:id="1061" w:name="_110_Office_365"/>
      <w:bookmarkStart w:id="1062" w:name="_11_Office_365"/>
      <w:bookmarkStart w:id="1063" w:name="_Toc353376047"/>
      <w:bookmarkStart w:id="1064" w:name="Aps_9OfficeProPlusSubUserSL"/>
      <w:bookmarkEnd w:id="1061"/>
      <w:bookmarkEnd w:id="1062"/>
      <w:r w:rsidRPr="00BD7CEA">
        <w:rPr>
          <w:rFonts w:ascii="Tahoma" w:hAnsi="Tahoma" w:cs="Tahoma"/>
          <w:caps/>
          <w:color w:val="F26200"/>
          <w:sz w:val="22"/>
          <w:vertAlign w:val="superscript"/>
        </w:rPr>
        <w:t>11</w:t>
      </w:r>
      <w:r w:rsidRPr="00BD7CEA">
        <w:rPr>
          <w:rFonts w:ascii="Tahoma" w:hAnsi="Tahoma" w:cs="Tahoma"/>
          <w:color w:val="F26200"/>
          <w:sz w:val="22"/>
        </w:rPr>
        <w:t xml:space="preserve"> Office 365 ProPlus (SL per Utente)</w:t>
      </w:r>
      <w:bookmarkEnd w:id="1060"/>
      <w:bookmarkEnd w:id="1063"/>
    </w:p>
    <w:bookmarkEnd w:id="1064"/>
    <w:p w:rsidR="00B2182D" w:rsidRPr="00BD7CEA" w:rsidRDefault="00B2182D" w:rsidP="00AE5A9F"/>
    <w:p w:rsidR="003418C5" w:rsidRPr="00BD7CEA" w:rsidRDefault="003418C5" w:rsidP="003418C5">
      <w:pPr>
        <w:spacing w:after="60"/>
        <w:ind w:left="720"/>
      </w:pPr>
      <w:r w:rsidRPr="00BD7CEA">
        <w:rPr>
          <w:b/>
          <w:bCs/>
        </w:rPr>
        <w:t>Idoneità all</w:t>
      </w:r>
      <w:r w:rsidR="007A1415" w:rsidRPr="00BD7CEA">
        <w:rPr>
          <w:b/>
          <w:bCs/>
        </w:rPr>
        <w:t>’</w:t>
      </w:r>
      <w:r w:rsidRPr="00BD7CEA">
        <w:rPr>
          <w:b/>
          <w:bCs/>
        </w:rPr>
        <w:t>acquisto</w:t>
      </w:r>
    </w:p>
    <w:p w:rsidR="003418C5" w:rsidRPr="00BD7CEA" w:rsidRDefault="003418C5" w:rsidP="003418C5">
      <w:pPr>
        <w:ind w:left="720"/>
      </w:pPr>
      <w:r w:rsidRPr="00BD7CEA">
        <w:t xml:space="preserve">Il licenziatario potrà acquistare la licenza Office 365 ProPlus SA Transition solo qualora disponga di una licenza sottostante per Office Professional Plus con Software Assurance per un Contratto Enterprise attivo. </w:t>
      </w:r>
    </w:p>
    <w:p w:rsidR="003418C5" w:rsidRPr="00BD7CEA" w:rsidRDefault="003418C5" w:rsidP="00864B8A">
      <w:pPr>
        <w:spacing w:after="60"/>
        <w:ind w:left="720"/>
      </w:pPr>
    </w:p>
    <w:p w:rsidR="005C647E" w:rsidRPr="00BD7CEA" w:rsidRDefault="005C647E" w:rsidP="00864B8A">
      <w:pPr>
        <w:spacing w:after="60"/>
        <w:ind w:left="720"/>
      </w:pPr>
      <w:r w:rsidRPr="00BD7CEA">
        <w:rPr>
          <w:rFonts w:cs="Tahoma"/>
          <w:b/>
        </w:rPr>
        <w:t>Campus and School</w:t>
      </w:r>
    </w:p>
    <w:p w:rsidR="005C647E" w:rsidRPr="00BD7CEA" w:rsidRDefault="005C647E" w:rsidP="00810479">
      <w:pPr>
        <w:ind w:left="720"/>
      </w:pPr>
      <w:r w:rsidRPr="00BD7CEA">
        <w:rPr>
          <w:color w:val="000000"/>
        </w:rPr>
        <w:t>Qualora un Istituto disponga di una Sottoscrizione di Office Professional Plus, dovrà acquistare una licenza per ogni Utente Qualificato dell</w:t>
      </w:r>
      <w:r w:rsidR="007A1415" w:rsidRPr="00BD7CEA">
        <w:rPr>
          <w:color w:val="000000"/>
        </w:rPr>
        <w:t>’</w:t>
      </w:r>
      <w:r w:rsidRPr="00BD7CEA">
        <w:rPr>
          <w:color w:val="000000"/>
        </w:rPr>
        <w:t>organizzazione dell</w:t>
      </w:r>
      <w:r w:rsidR="007A1415" w:rsidRPr="00BD7CEA">
        <w:rPr>
          <w:color w:val="000000"/>
        </w:rPr>
        <w:t>’</w:t>
      </w:r>
      <w:r w:rsidRPr="00BD7CEA">
        <w:rPr>
          <w:color w:val="000000"/>
        </w:rPr>
        <w:t>Istituto. Qualora un Istituto aderisca all</w:t>
      </w:r>
      <w:r w:rsidR="007A1415" w:rsidRPr="00BD7CEA">
        <w:rPr>
          <w:color w:val="000000"/>
        </w:rPr>
        <w:t>’</w:t>
      </w:r>
      <w:r w:rsidRPr="00BD7CEA">
        <w:rPr>
          <w:color w:val="000000"/>
        </w:rPr>
        <w:t>Opzione Studente</w:t>
      </w:r>
      <w:r w:rsidR="00D45A36">
        <w:rPr>
          <w:color w:val="000000"/>
        </w:rPr>
        <w:t> </w:t>
      </w:r>
      <w:r w:rsidRPr="00BD7CEA">
        <w:rPr>
          <w:color w:val="000000"/>
        </w:rPr>
        <w:t>per la Sottoscrizione di Office Professional Plus, dovrà acquistare una licenza per ogni Studente dell</w:t>
      </w:r>
      <w:r w:rsidR="007A1415" w:rsidRPr="00BD7CEA">
        <w:rPr>
          <w:color w:val="000000"/>
        </w:rPr>
        <w:t>’</w:t>
      </w:r>
      <w:r w:rsidRPr="00BD7CEA">
        <w:rPr>
          <w:color w:val="000000"/>
        </w:rPr>
        <w:t>Organizzazione.</w:t>
      </w:r>
    </w:p>
    <w:p w:rsidR="005C647E" w:rsidRPr="00BD7CEA" w:rsidRDefault="005C647E" w:rsidP="00810479">
      <w:pPr>
        <w:ind w:left="720"/>
      </w:pPr>
    </w:p>
    <w:p w:rsidR="008368B4" w:rsidRPr="00BD7CEA" w:rsidRDefault="008368B4" w:rsidP="008368B4">
      <w:pPr>
        <w:ind w:left="720"/>
      </w:pPr>
      <w:r w:rsidRPr="00BD7CEA">
        <w:rPr>
          <w:rFonts w:cs="Tahoma"/>
          <w:b/>
          <w:bCs/>
          <w:szCs w:val="18"/>
        </w:rPr>
        <w:t>Utilizzo di Office Professional Plus 2010 o Office per Mac Standard 2011</w:t>
      </w:r>
    </w:p>
    <w:p w:rsidR="008368B4" w:rsidRPr="00BD7CEA" w:rsidRDefault="008368B4" w:rsidP="008368B4">
      <w:pPr>
        <w:ind w:left="720"/>
      </w:pPr>
      <w:r w:rsidRPr="00BD7CEA">
        <w:rPr>
          <w:rFonts w:cs="Tahoma"/>
          <w:bCs/>
          <w:szCs w:val="18"/>
        </w:rPr>
        <w:t>Con il rilascio del servizio aggiornato per Office 365 ProPlus il diritto di idoneità dei supporti di memorizzazione di utilizzare Office Professional Plus 2010 o Office per Mac Standard 2011 al posto del software Office 365 ProPlus ai sensi di sottoscrizioni attive è stato interrotto. La società avrà a disposizione un anno, fino al 28 febbraio 2014 per aggiornare i dispositivi e utilizzare i supporti di memorizzazione di</w:t>
      </w:r>
      <w:r w:rsidR="00F60C1B" w:rsidRPr="00BD7CEA">
        <w:rPr>
          <w:rFonts w:cs="Tahoma"/>
          <w:bCs/>
          <w:szCs w:val="18"/>
        </w:rPr>
        <w:t> </w:t>
      </w:r>
      <w:r w:rsidRPr="00BD7CEA">
        <w:rPr>
          <w:rFonts w:cs="Tahoma"/>
          <w:bCs/>
          <w:szCs w:val="18"/>
        </w:rPr>
        <w:t>Office 365 ProPlus.</w:t>
      </w:r>
    </w:p>
    <w:p w:rsidR="008368B4" w:rsidRPr="00BD7CEA" w:rsidRDefault="008368B4" w:rsidP="008368B4">
      <w:pPr>
        <w:ind w:left="720"/>
      </w:pPr>
    </w:p>
    <w:p w:rsidR="008368B4" w:rsidRPr="00BD7CEA" w:rsidRDefault="008368B4" w:rsidP="008368B4">
      <w:pPr>
        <w:spacing w:after="60"/>
        <w:ind w:left="720"/>
      </w:pPr>
      <w:r w:rsidRPr="00BD7CEA">
        <w:rPr>
          <w:rFonts w:cs="Tahoma"/>
          <w:b/>
        </w:rPr>
        <w:t>Idoneità dei Supporti di Memorizzazione con i Servizi Desktop Remoto (RDS)</w:t>
      </w:r>
    </w:p>
    <w:p w:rsidR="008368B4" w:rsidRPr="00547F49" w:rsidRDefault="008368B4" w:rsidP="008368B4">
      <w:pPr>
        <w:ind w:left="720"/>
        <w:rPr>
          <w:szCs w:val="18"/>
        </w:rPr>
      </w:pPr>
      <w:r w:rsidRPr="00547F49">
        <w:rPr>
          <w:rFonts w:cs="Tahoma"/>
          <w:szCs w:val="18"/>
        </w:rPr>
        <w:t>Qualora l</w:t>
      </w:r>
      <w:r w:rsidR="007A1415" w:rsidRPr="00547F49">
        <w:rPr>
          <w:rFonts w:cs="Tahoma"/>
          <w:szCs w:val="18"/>
        </w:rPr>
        <w:t>’</w:t>
      </w:r>
      <w:r w:rsidRPr="00547F49">
        <w:rPr>
          <w:rFonts w:cs="Tahoma"/>
          <w:szCs w:val="18"/>
        </w:rPr>
        <w:t>utente al quale è stata ceduta una licenza per Office 365 ProPlus utilizzi il software su un server di rete con il ruolo RDS attivato anziché installare una copia del software fornito con Office 365 ProPlus su uno dei cinque dispositivi autorizzati in conformità ai Diritti di Utilizzo del Prodotto per Office 365 ProPlus, tale utente potrà 1) installare una copia del software Office Professional Plus 2013 su un server di rete e 2)</w:t>
      </w:r>
      <w:r w:rsidR="00547F49">
        <w:rPr>
          <w:rFonts w:cs="Tahoma"/>
          <w:szCs w:val="18"/>
        </w:rPr>
        <w:t> </w:t>
      </w:r>
      <w:r w:rsidRPr="00547F49">
        <w:rPr>
          <w:rFonts w:cs="Tahoma"/>
          <w:szCs w:val="18"/>
        </w:rPr>
        <w:t>accedere al software Office Professional Plus 2013 da qualsiasi dispositivo.</w:t>
      </w:r>
      <w:r w:rsidR="008D782D" w:rsidRPr="00547F49">
        <w:rPr>
          <w:rFonts w:cs="Tahoma"/>
          <w:szCs w:val="18"/>
        </w:rPr>
        <w:t xml:space="preserve"> </w:t>
      </w:r>
      <w:r w:rsidRPr="00547F49">
        <w:rPr>
          <w:rFonts w:cs="Tahoma"/>
          <w:szCs w:val="18"/>
        </w:rPr>
        <w:t>Alla scadenza della sottoscrizione di Office 365 ProPlus la società dovrà disinstallare il software Office Professional Plus 2013 dal</w:t>
      </w:r>
      <w:r w:rsidR="00547F49">
        <w:rPr>
          <w:rFonts w:cs="Tahoma"/>
          <w:szCs w:val="18"/>
        </w:rPr>
        <w:t> </w:t>
      </w:r>
      <w:r w:rsidRPr="00547F49">
        <w:rPr>
          <w:rFonts w:cs="Tahoma"/>
          <w:szCs w:val="18"/>
        </w:rPr>
        <w:t xml:space="preserve">server di rete. </w:t>
      </w:r>
    </w:p>
    <w:p w:rsidR="00B2182D" w:rsidRPr="00BD7CEA" w:rsidRDefault="00B2182D" w:rsidP="00810479">
      <w:pPr>
        <w:ind w:left="720"/>
      </w:pPr>
    </w:p>
    <w:p w:rsidR="00F60C1B" w:rsidRPr="00BD7CEA" w:rsidRDefault="00F60C1B" w:rsidP="00810479">
      <w:pPr>
        <w:ind w:left="720"/>
      </w:pPr>
    </w:p>
    <w:p w:rsidR="00F60C1B" w:rsidRPr="00BD7CEA" w:rsidRDefault="00F60C1B" w:rsidP="00810479">
      <w:pPr>
        <w:ind w:left="720"/>
      </w:pPr>
    </w:p>
    <w:p w:rsidR="00ED6F81" w:rsidRPr="00BD7CEA" w:rsidRDefault="00ED6F81" w:rsidP="00864B8A">
      <w:pPr>
        <w:spacing w:after="60"/>
        <w:ind w:left="720"/>
      </w:pPr>
      <w:r w:rsidRPr="00BD7CEA">
        <w:rPr>
          <w:rFonts w:cs="Tahoma"/>
          <w:b/>
        </w:rPr>
        <w:lastRenderedPageBreak/>
        <w:t>Idoneità dei Supporti di Memorizzazione con Windows To Go Rights</w:t>
      </w:r>
    </w:p>
    <w:p w:rsidR="008368B4" w:rsidRPr="00BD7CEA" w:rsidRDefault="008368B4" w:rsidP="008368B4">
      <w:pPr>
        <w:ind w:left="720"/>
      </w:pPr>
      <w:r w:rsidRPr="00BD7CEA">
        <w:rPr>
          <w:rFonts w:cs="Tahoma"/>
          <w:szCs w:val="18"/>
        </w:rPr>
        <w:t>Nell</w:t>
      </w:r>
      <w:r w:rsidR="007A1415" w:rsidRPr="00BD7CEA">
        <w:rPr>
          <w:rFonts w:cs="Tahoma"/>
          <w:szCs w:val="18"/>
        </w:rPr>
        <w:t>’</w:t>
      </w:r>
      <w:r w:rsidRPr="00BD7CEA">
        <w:rPr>
          <w:rFonts w:cs="Tahoma"/>
          <w:szCs w:val="18"/>
        </w:rPr>
        <w:t>ambito della presentazione di Windows To Go Rights, qualora l</w:t>
      </w:r>
      <w:r w:rsidR="007A1415" w:rsidRPr="00BD7CEA">
        <w:rPr>
          <w:rFonts w:cs="Tahoma"/>
          <w:szCs w:val="18"/>
        </w:rPr>
        <w:t>’</w:t>
      </w:r>
      <w:r w:rsidRPr="00BD7CEA">
        <w:rPr>
          <w:rFonts w:cs="Tahoma"/>
          <w:szCs w:val="18"/>
        </w:rPr>
        <w:t xml:space="preserve">utente al quale è stata ceduta una licenza per Office 365 ProPlus richieda il diritto di utilizzare il software ai sensi di Windows to Go Rights, anziché installare una copia del software fornito con una licenza per Office 365 ProPlus su uno dei cinque dispositivi autorizzati in conformità ai Diritti di Utilizzo del Prodotto per la licenza per Office 365 ProPlus, tale utente potrà 1) installare una copia del software Office Professional </w:t>
      </w:r>
      <w:r w:rsidRPr="00BD7CEA">
        <w:rPr>
          <w:rFonts w:cs="Tahoma"/>
          <w:color w:val="000000" w:themeColor="text1"/>
          <w:szCs w:val="18"/>
        </w:rPr>
        <w:t>Plus 2013 sull</w:t>
      </w:r>
      <w:r w:rsidR="007A1415" w:rsidRPr="00BD7CEA">
        <w:rPr>
          <w:rFonts w:cs="Tahoma"/>
          <w:color w:val="000000" w:themeColor="text1"/>
          <w:szCs w:val="18"/>
        </w:rPr>
        <w:t>’</w:t>
      </w:r>
      <w:r w:rsidRPr="00BD7CEA">
        <w:rPr>
          <w:rFonts w:cs="Tahoma"/>
          <w:color w:val="000000" w:themeColor="text1"/>
          <w:szCs w:val="18"/>
        </w:rPr>
        <w:t xml:space="preserve">unità USB utilizzata per Windows to Go Rights e 2) usare il software Office Professional Plus 2013 </w:t>
      </w:r>
      <w:r w:rsidRPr="00BD7CEA">
        <w:rPr>
          <w:rFonts w:cs="Tahoma"/>
          <w:szCs w:val="18"/>
        </w:rPr>
        <w:t>su tale unità USB su qualsiasi dispositivo con licenza. Alla scadenza della sottoscrizione di Office 365 ProPlus la società dovrà disinstallare il</w:t>
      </w:r>
      <w:r w:rsidR="00D45A36">
        <w:rPr>
          <w:rFonts w:cs="Tahoma"/>
          <w:szCs w:val="18"/>
        </w:rPr>
        <w:t> </w:t>
      </w:r>
      <w:r w:rsidRPr="00BD7CEA">
        <w:rPr>
          <w:rFonts w:cs="Tahoma"/>
          <w:szCs w:val="18"/>
        </w:rPr>
        <w:t>software Office Professional Plus 2013 dall</w:t>
      </w:r>
      <w:r w:rsidR="007A1415" w:rsidRPr="00BD7CEA">
        <w:rPr>
          <w:rFonts w:cs="Tahoma"/>
          <w:szCs w:val="18"/>
        </w:rPr>
        <w:t>’</w:t>
      </w:r>
      <w:r w:rsidRPr="00BD7CEA">
        <w:rPr>
          <w:rFonts w:cs="Tahoma"/>
          <w:szCs w:val="18"/>
        </w:rPr>
        <w:t xml:space="preserve">unità USB. </w:t>
      </w:r>
    </w:p>
    <w:p w:rsidR="00ED6F81" w:rsidRPr="00BD7CEA" w:rsidRDefault="00ED6F81" w:rsidP="00810479">
      <w:pPr>
        <w:ind w:left="720"/>
      </w:pPr>
    </w:p>
    <w:p w:rsidR="00B2182D" w:rsidRPr="00BD7CEA" w:rsidRDefault="00B2182D" w:rsidP="00864B8A">
      <w:pPr>
        <w:spacing w:after="60"/>
        <w:ind w:left="720"/>
      </w:pPr>
      <w:r w:rsidRPr="00BD7CEA">
        <w:rPr>
          <w:rFonts w:cs="Tahoma"/>
          <w:b/>
        </w:rPr>
        <w:t>Diritti di Downgrade</w:t>
      </w:r>
    </w:p>
    <w:p w:rsidR="008368B4" w:rsidRPr="00BD7CEA" w:rsidRDefault="008368B4" w:rsidP="008368B4">
      <w:pPr>
        <w:ind w:left="720"/>
      </w:pPr>
      <w:r w:rsidRPr="00BD7CEA">
        <w:rPr>
          <w:rFonts w:cs="Tahoma"/>
          <w:bCs/>
          <w:szCs w:val="18"/>
        </w:rPr>
        <w:t>Per il servizio Office 365 ProPlus non sono previsti diritti di downgrade. Per ulteriori informazioni in merito ai requisiti per l</w:t>
      </w:r>
      <w:r w:rsidR="007A1415" w:rsidRPr="00BD7CEA">
        <w:rPr>
          <w:rFonts w:cs="Tahoma"/>
          <w:bCs/>
          <w:szCs w:val="18"/>
        </w:rPr>
        <w:t>’</w:t>
      </w:r>
      <w:r w:rsidRPr="00BD7CEA">
        <w:rPr>
          <w:rFonts w:cs="Tahoma"/>
          <w:bCs/>
          <w:szCs w:val="18"/>
        </w:rPr>
        <w:t xml:space="preserve">aggiornamento dei Servizi Online, consultare il documento Diritti di Utilizzo del Prodotto (Product Use Rights o PUR) alla pagina </w:t>
      </w:r>
      <w:hyperlink r:id="rId41" w:history="1">
        <w:r w:rsidRPr="00BD7CEA">
          <w:rPr>
            <w:rStyle w:val="Hyperlink"/>
            <w:rFonts w:cs="Tahoma"/>
            <w:bCs/>
            <w:szCs w:val="18"/>
          </w:rPr>
          <w:t>www.microsoftvolumelicensing.com/userights/PUR.aspx</w:t>
        </w:r>
      </w:hyperlink>
    </w:p>
    <w:p w:rsidR="00AE5A9F" w:rsidRPr="00BD7CEA" w:rsidRDefault="00AE5A9F" w:rsidP="00AE5A9F">
      <w:bookmarkStart w:id="1065" w:name="Srv_9OutlookMac2011"/>
    </w:p>
    <w:p w:rsidR="00AE5A9F" w:rsidRPr="00BD7CEA" w:rsidRDefault="00AE5A9F" w:rsidP="00AE5A9F"/>
    <w:p w:rsidR="00704723" w:rsidRPr="00BD7CEA" w:rsidRDefault="004668D9" w:rsidP="00704723">
      <w:pPr>
        <w:pStyle w:val="Heading3"/>
      </w:pPr>
      <w:bookmarkStart w:id="1066" w:name="_121_Outlook_for"/>
      <w:bookmarkStart w:id="1067" w:name="_12_Outlook_per"/>
      <w:bookmarkStart w:id="1068" w:name="_Toc336338270"/>
      <w:bookmarkStart w:id="1069" w:name="_Toc353376048"/>
      <w:bookmarkEnd w:id="1066"/>
      <w:bookmarkEnd w:id="1067"/>
      <w:r w:rsidRPr="00BD7CEA">
        <w:rPr>
          <w:rFonts w:ascii="Tahoma" w:hAnsi="Tahoma"/>
          <w:caps/>
          <w:color w:val="F66400"/>
          <w:sz w:val="22"/>
          <w:vertAlign w:val="superscript"/>
        </w:rPr>
        <w:t>12</w:t>
      </w:r>
      <w:r w:rsidRPr="00BD7CEA">
        <w:rPr>
          <w:rFonts w:ascii="Tahoma" w:hAnsi="Tahoma"/>
          <w:color w:val="F66400"/>
          <w:sz w:val="22"/>
        </w:rPr>
        <w:t xml:space="preserve"> Outlook per Mac 2011</w:t>
      </w:r>
      <w:bookmarkEnd w:id="1068"/>
      <w:bookmarkEnd w:id="1069"/>
      <w:r w:rsidRPr="00BD7CEA">
        <w:rPr>
          <w:rFonts w:ascii="Tahoma" w:hAnsi="Tahoma"/>
          <w:color w:val="F66400"/>
          <w:sz w:val="22"/>
        </w:rPr>
        <w:t xml:space="preserve"> </w:t>
      </w:r>
    </w:p>
    <w:bookmarkEnd w:id="1065"/>
    <w:p w:rsidR="00704723" w:rsidRPr="00BD7CEA" w:rsidRDefault="00704723" w:rsidP="00AE5A9F"/>
    <w:p w:rsidR="00704723" w:rsidRPr="00BD7CEA" w:rsidRDefault="00704723" w:rsidP="00864B8A">
      <w:pPr>
        <w:spacing w:after="60"/>
        <w:ind w:left="720"/>
      </w:pPr>
      <w:r w:rsidRPr="00BD7CEA">
        <w:rPr>
          <w:rFonts w:cs="Tahoma"/>
          <w:b/>
        </w:rPr>
        <w:t>Percorso di Migrazione a Software Assurance per Entourage per Mac 2008</w:t>
      </w:r>
    </w:p>
    <w:p w:rsidR="00223A77" w:rsidRPr="00BD7CEA" w:rsidRDefault="00704723" w:rsidP="00AE5A9F">
      <w:pPr>
        <w:adjustRightInd w:val="0"/>
        <w:ind w:left="720"/>
        <w:textAlignment w:val="baseline"/>
      </w:pPr>
      <w:r w:rsidRPr="00BD7CEA">
        <w:rPr>
          <w:rFonts w:cs="Tahoma"/>
          <w:szCs w:val="20"/>
        </w:rPr>
        <w:t>La versione sostitutiva di Entourage per Mac</w:t>
      </w:r>
      <w:bookmarkStart w:id="1070" w:name="Srv_8Project2010Pro"/>
      <w:r w:rsidRPr="00BD7CEA">
        <w:rPr>
          <w:rFonts w:cs="Tahoma"/>
          <w:szCs w:val="20"/>
        </w:rPr>
        <w:t xml:space="preserve"> 2008 è Outlook per Mac 2011.</w:t>
      </w:r>
    </w:p>
    <w:p w:rsidR="00AE5A9F" w:rsidRPr="00BD7CEA" w:rsidRDefault="00AE5A9F" w:rsidP="00AE5A9F">
      <w:pPr>
        <w:adjustRightInd w:val="0"/>
        <w:textAlignment w:val="baseline"/>
      </w:pPr>
    </w:p>
    <w:p w:rsidR="00AE5A9F" w:rsidRPr="00BD7CEA" w:rsidRDefault="00AE5A9F" w:rsidP="00AE5A9F">
      <w:pPr>
        <w:adjustRightInd w:val="0"/>
        <w:textAlignment w:val="baseline"/>
      </w:pPr>
    </w:p>
    <w:p w:rsidR="00223A77" w:rsidRPr="00BD7CEA" w:rsidRDefault="004668D9" w:rsidP="00223A77">
      <w:pPr>
        <w:pStyle w:val="Heading3"/>
      </w:pPr>
      <w:bookmarkStart w:id="1071" w:name="_132_Project_2013"/>
      <w:bookmarkStart w:id="1072" w:name="_13_Project_2013"/>
      <w:bookmarkStart w:id="1073" w:name="_Toc336338271"/>
      <w:bookmarkStart w:id="1074" w:name="_Toc353376049"/>
      <w:bookmarkStart w:id="1075" w:name="_Toc254806116"/>
      <w:bookmarkStart w:id="1076" w:name="Srv_Project2010Pro"/>
      <w:bookmarkStart w:id="1077" w:name="Aps_8Project2010Pro"/>
      <w:bookmarkEnd w:id="1071"/>
      <w:bookmarkEnd w:id="1072"/>
      <w:r w:rsidRPr="00BD7CEA">
        <w:rPr>
          <w:rFonts w:ascii="Tahoma" w:hAnsi="Tahoma"/>
          <w:caps/>
          <w:color w:val="F66400"/>
          <w:sz w:val="22"/>
          <w:vertAlign w:val="superscript"/>
        </w:rPr>
        <w:t>13</w:t>
      </w:r>
      <w:r w:rsidRPr="00BD7CEA">
        <w:rPr>
          <w:rFonts w:ascii="Tahoma" w:hAnsi="Tahoma"/>
          <w:color w:val="F66400"/>
          <w:sz w:val="22"/>
        </w:rPr>
        <w:t xml:space="preserve"> Project 2013 Professional</w:t>
      </w:r>
      <w:bookmarkEnd w:id="1073"/>
      <w:bookmarkEnd w:id="1074"/>
      <w:r w:rsidRPr="00BD7CEA">
        <w:rPr>
          <w:rFonts w:ascii="Tahoma" w:hAnsi="Tahoma"/>
          <w:color w:val="F66400"/>
          <w:sz w:val="22"/>
        </w:rPr>
        <w:t xml:space="preserve"> </w:t>
      </w:r>
      <w:bookmarkEnd w:id="1075"/>
    </w:p>
    <w:bookmarkEnd w:id="1070"/>
    <w:bookmarkEnd w:id="1076"/>
    <w:bookmarkEnd w:id="1077"/>
    <w:p w:rsidR="00223A77" w:rsidRPr="00BD7CEA" w:rsidRDefault="00223A77" w:rsidP="00AE5A9F">
      <w:pPr>
        <w:ind w:left="720"/>
      </w:pPr>
    </w:p>
    <w:p w:rsidR="00223A77" w:rsidRPr="00BD7CEA" w:rsidRDefault="00223A77" w:rsidP="00864B8A">
      <w:pPr>
        <w:spacing w:after="60"/>
        <w:ind w:left="720"/>
      </w:pPr>
      <w:r w:rsidRPr="00BD7CEA">
        <w:rPr>
          <w:rFonts w:cs="Tahoma"/>
          <w:b/>
        </w:rPr>
        <w:t>CAL gratuita per Project Server</w:t>
      </w:r>
    </w:p>
    <w:p w:rsidR="00223A77" w:rsidRPr="00BD7CEA" w:rsidRDefault="00223A77" w:rsidP="00AE5A9F">
      <w:pPr>
        <w:pStyle w:val="EndnoteText"/>
        <w:ind w:left="720"/>
      </w:pPr>
      <w:r w:rsidRPr="00BD7CEA">
        <w:rPr>
          <w:rStyle w:val="EndnoteTextChar"/>
          <w:rFonts w:ascii="Tahoma" w:hAnsi="Tahoma" w:cs="Tahoma"/>
          <w:sz w:val="18"/>
        </w:rPr>
        <w:t>Le società che acquistano una licenza per Project Professional 2013 saranno considerate titolari di una CAL per Dispositivo per Project Server 2013. Il diritto di accedere a Project Server 2013 in virtù della CAL cesserà alla scadenza della corrispondente Licenza per Project Professional.</w:t>
      </w:r>
    </w:p>
    <w:p w:rsidR="00223A77" w:rsidRPr="00BD7CEA" w:rsidRDefault="00223A77" w:rsidP="00AE5A9F">
      <w:pPr>
        <w:pStyle w:val="EndnoteText"/>
        <w:ind w:left="720"/>
      </w:pPr>
    </w:p>
    <w:p w:rsidR="00223A77" w:rsidRPr="00BD7CEA" w:rsidRDefault="00223A77" w:rsidP="00AE5A9F">
      <w:pPr>
        <w:pStyle w:val="EndnoteText"/>
        <w:ind w:left="720"/>
      </w:pPr>
      <w:r w:rsidRPr="00BD7CEA">
        <w:rPr>
          <w:rStyle w:val="EndnoteTextChar"/>
          <w:rFonts w:ascii="Tahoma" w:hAnsi="Tahoma" w:cs="Tahoma"/>
          <w:sz w:val="18"/>
        </w:rPr>
        <w:t>Le società con copertura Software Assurance attiva sulla rispettiva licenza per Project Professional saranno considerate titolari di una copertura Software Assurance relativa alle Licenze CAL gratuite per Project Server. Tale copertura cesserà alla scadenza della copertura Project Professional corrispondente.</w:t>
      </w:r>
    </w:p>
    <w:p w:rsidR="00223A77" w:rsidRPr="00BD7CEA" w:rsidRDefault="00223A77" w:rsidP="00AE5A9F">
      <w:pPr>
        <w:pStyle w:val="EndnoteText"/>
        <w:ind w:left="720"/>
      </w:pPr>
    </w:p>
    <w:p w:rsidR="00223A77" w:rsidRPr="00BD7CEA" w:rsidRDefault="00223A77" w:rsidP="00AE5A9F">
      <w:pPr>
        <w:pStyle w:val="EndnoteText"/>
        <w:ind w:left="720"/>
      </w:pPr>
      <w:r w:rsidRPr="00BD7CEA">
        <w:rPr>
          <w:rStyle w:val="EndnoteTextChar"/>
          <w:rFonts w:ascii="Tahoma" w:hAnsi="Tahoma" w:cs="Tahoma"/>
          <w:sz w:val="18"/>
        </w:rPr>
        <w:t>Per ulteriori dettagli sui diritti aggiuntivi che si applicano a tali CAL, fare riferimento alle note relative alle condizioni del prodotto Project Server.</w:t>
      </w:r>
    </w:p>
    <w:p w:rsidR="00AE5A9F" w:rsidRPr="00BD7CEA" w:rsidRDefault="00AE5A9F" w:rsidP="00AE5A9F"/>
    <w:p w:rsidR="00AE5A9F" w:rsidRPr="00BD7CEA" w:rsidRDefault="00AE5A9F" w:rsidP="00AE5A9F"/>
    <w:p w:rsidR="002202DB" w:rsidRPr="00BD7CEA" w:rsidRDefault="004668D9" w:rsidP="002202DB">
      <w:pPr>
        <w:pStyle w:val="Heading3"/>
      </w:pPr>
      <w:bookmarkStart w:id="1078" w:name="_143_Project_Pro"/>
      <w:bookmarkStart w:id="1079" w:name="_14_Project_Pro"/>
      <w:bookmarkStart w:id="1080" w:name="_Toc353376050"/>
      <w:bookmarkEnd w:id="1078"/>
      <w:bookmarkEnd w:id="1079"/>
      <w:r w:rsidRPr="00BD7CEA">
        <w:rPr>
          <w:rFonts w:ascii="Tahoma" w:hAnsi="Tahoma"/>
          <w:caps/>
          <w:color w:val="F66400"/>
          <w:sz w:val="22"/>
          <w:vertAlign w:val="superscript"/>
        </w:rPr>
        <w:t xml:space="preserve">14 </w:t>
      </w:r>
      <w:r w:rsidRPr="00BD7CEA">
        <w:rPr>
          <w:rFonts w:ascii="Tahoma" w:hAnsi="Tahoma"/>
          <w:color w:val="F66400"/>
          <w:sz w:val="22"/>
        </w:rPr>
        <w:t>Project Pro per Office 365</w:t>
      </w:r>
      <w:bookmarkEnd w:id="1080"/>
      <w:r w:rsidRPr="00BD7CEA">
        <w:rPr>
          <w:rFonts w:ascii="Tahoma" w:hAnsi="Tahoma"/>
          <w:color w:val="F66400"/>
          <w:sz w:val="22"/>
        </w:rPr>
        <w:t xml:space="preserve"> </w:t>
      </w:r>
    </w:p>
    <w:p w:rsidR="00A32FE7" w:rsidRPr="00BD7CEA" w:rsidRDefault="00A32FE7" w:rsidP="00A32FE7"/>
    <w:p w:rsidR="002202DB" w:rsidRPr="00BD7CEA" w:rsidRDefault="002202DB" w:rsidP="002202DB">
      <w:pPr>
        <w:spacing w:after="60"/>
        <w:ind w:left="720"/>
      </w:pPr>
      <w:r w:rsidRPr="00BD7CEA">
        <w:rPr>
          <w:rFonts w:cs="Tahoma"/>
          <w:b/>
        </w:rPr>
        <w:t>Idoneità dei Supporti di Memorizzazione con i Servizi Desktop Remoto (RDS)</w:t>
      </w:r>
    </w:p>
    <w:p w:rsidR="002202DB" w:rsidRPr="00BD7CEA" w:rsidRDefault="002202DB" w:rsidP="002202DB">
      <w:pPr>
        <w:ind w:left="720"/>
      </w:pPr>
      <w:r w:rsidRPr="00BD7CEA">
        <w:rPr>
          <w:rFonts w:cs="Tahoma"/>
          <w:szCs w:val="18"/>
        </w:rPr>
        <w:t>Qualora l</w:t>
      </w:r>
      <w:r w:rsidR="007A1415" w:rsidRPr="00BD7CEA">
        <w:rPr>
          <w:rFonts w:cs="Tahoma"/>
          <w:szCs w:val="18"/>
        </w:rPr>
        <w:t>’</w:t>
      </w:r>
      <w:r w:rsidRPr="00BD7CEA">
        <w:rPr>
          <w:rFonts w:cs="Tahoma"/>
          <w:szCs w:val="18"/>
        </w:rPr>
        <w:t>utente al quale è stata ceduta una licenza per Project Pro per Office 365 utilizzi il software su un server di rete con il ruolo RDS attivato anziché installare una copia del software fornito con Project Pro per Office 365 su uno dei cinque dispositivi autorizzati in conformità ai Diritti di Utilizzo del Prodotto per Project Pro per Office 365, tale utente potrà 1) installare una copia del software Project 2013 Professional su un server di rete e 2) accedere al software Project 2013 Professional da qualsiasi dispositivo.</w:t>
      </w:r>
      <w:r w:rsidR="008D782D" w:rsidRPr="00BD7CEA">
        <w:rPr>
          <w:rFonts w:cs="Tahoma"/>
          <w:szCs w:val="18"/>
        </w:rPr>
        <w:t xml:space="preserve"> </w:t>
      </w:r>
      <w:r w:rsidRPr="00BD7CEA">
        <w:rPr>
          <w:rFonts w:cs="Tahoma"/>
          <w:szCs w:val="18"/>
        </w:rPr>
        <w:t xml:space="preserve">Alla scadenza della sottoscrizione di Project Pro per Office 365 la società dovrà disinstallare il software Project 2013 Professional dal server di rete. </w:t>
      </w:r>
    </w:p>
    <w:p w:rsidR="002202DB" w:rsidRPr="00BD7CEA" w:rsidRDefault="002202DB" w:rsidP="002202DB">
      <w:pPr>
        <w:ind w:left="720"/>
      </w:pPr>
    </w:p>
    <w:p w:rsidR="002202DB" w:rsidRPr="00BD7CEA" w:rsidRDefault="002202DB" w:rsidP="002202DB">
      <w:pPr>
        <w:spacing w:after="60"/>
        <w:ind w:left="720"/>
      </w:pPr>
      <w:r w:rsidRPr="00BD7CEA">
        <w:rPr>
          <w:rFonts w:cs="Tahoma"/>
          <w:b/>
        </w:rPr>
        <w:t>Diritti di Downgrade</w:t>
      </w:r>
    </w:p>
    <w:p w:rsidR="002202DB" w:rsidRPr="00BD7CEA" w:rsidRDefault="002202DB" w:rsidP="002202DB">
      <w:pPr>
        <w:ind w:left="720"/>
        <w:rPr>
          <w:spacing w:val="-2"/>
        </w:rPr>
      </w:pPr>
      <w:r w:rsidRPr="00BD7CEA">
        <w:rPr>
          <w:rFonts w:cs="Tahoma"/>
          <w:bCs/>
          <w:spacing w:val="-2"/>
          <w:szCs w:val="18"/>
        </w:rPr>
        <w:t>Per il servizio Project Pro per Office 365 non sono previsti diritti di downgrade. Per ulteriori informazioni in</w:t>
      </w:r>
      <w:r w:rsidR="00F60C1B" w:rsidRPr="00BD7CEA">
        <w:rPr>
          <w:rFonts w:cs="Tahoma"/>
          <w:bCs/>
          <w:spacing w:val="-2"/>
          <w:szCs w:val="18"/>
        </w:rPr>
        <w:t> </w:t>
      </w:r>
      <w:r w:rsidRPr="00BD7CEA">
        <w:rPr>
          <w:rFonts w:cs="Tahoma"/>
          <w:bCs/>
          <w:spacing w:val="-2"/>
          <w:szCs w:val="18"/>
        </w:rPr>
        <w:t>merito ai requisiti per l</w:t>
      </w:r>
      <w:r w:rsidR="007A1415" w:rsidRPr="00BD7CEA">
        <w:rPr>
          <w:rFonts w:cs="Tahoma"/>
          <w:bCs/>
          <w:spacing w:val="-2"/>
          <w:szCs w:val="18"/>
        </w:rPr>
        <w:t>’</w:t>
      </w:r>
      <w:r w:rsidRPr="00BD7CEA">
        <w:rPr>
          <w:rFonts w:cs="Tahoma"/>
          <w:bCs/>
          <w:spacing w:val="-2"/>
          <w:szCs w:val="18"/>
        </w:rPr>
        <w:t xml:space="preserve">aggiornamento dei Servizi Online, consultare il documento Diritti di Utilizzo del Prodotto (Product Use Rights o PUR) alla pagina </w:t>
      </w:r>
      <w:hyperlink r:id="rId42" w:history="1">
        <w:r w:rsidRPr="00BD7CEA">
          <w:rPr>
            <w:rStyle w:val="Hyperlink"/>
            <w:rFonts w:cs="Tahoma"/>
            <w:bCs/>
            <w:spacing w:val="-2"/>
            <w:szCs w:val="18"/>
          </w:rPr>
          <w:t>http://www.microsoftvolumelicensing.com/userights/PUR.aspx</w:t>
        </w:r>
      </w:hyperlink>
    </w:p>
    <w:p w:rsidR="002202DB" w:rsidRPr="00BD7CEA" w:rsidRDefault="002202DB" w:rsidP="00AE5A9F"/>
    <w:p w:rsidR="002202DB" w:rsidRPr="00BD7CEA" w:rsidRDefault="002202DB" w:rsidP="00AE5A9F"/>
    <w:p w:rsidR="00BA65A9" w:rsidRPr="00BD7CEA" w:rsidRDefault="00BA65A9" w:rsidP="00AE5A9F"/>
    <w:p w:rsidR="00BA65A9" w:rsidRPr="00BD7CEA" w:rsidRDefault="00BA65A9" w:rsidP="00AE5A9F"/>
    <w:p w:rsidR="00223A77" w:rsidRPr="00BD7CEA" w:rsidRDefault="004668D9" w:rsidP="002541AE">
      <w:pPr>
        <w:pStyle w:val="Heading3"/>
      </w:pPr>
      <w:bookmarkStart w:id="1081" w:name="_145_Rental_Rights"/>
      <w:bookmarkStart w:id="1082" w:name="_15_Diritti_di"/>
      <w:bookmarkStart w:id="1083" w:name="_Toc336338272"/>
      <w:bookmarkStart w:id="1084" w:name="_Toc353376051"/>
      <w:bookmarkStart w:id="1085" w:name="Aps_9RentalRightsOffice"/>
      <w:bookmarkStart w:id="1086" w:name="Srv_RentalRightsOffice"/>
      <w:bookmarkStart w:id="1087" w:name="Srv_9RentalRightsOffice"/>
      <w:bookmarkEnd w:id="1081"/>
      <w:bookmarkEnd w:id="1082"/>
      <w:r w:rsidRPr="00BD7CEA">
        <w:rPr>
          <w:rFonts w:ascii="Tahoma" w:hAnsi="Tahoma" w:cs="Tahoma"/>
          <w:caps/>
          <w:color w:val="E65D08"/>
          <w:sz w:val="22"/>
          <w:szCs w:val="22"/>
          <w:vertAlign w:val="superscript"/>
        </w:rPr>
        <w:lastRenderedPageBreak/>
        <w:t>15</w:t>
      </w:r>
      <w:r w:rsidRPr="00BD7CEA">
        <w:rPr>
          <w:rFonts w:ascii="Tahoma" w:hAnsi="Tahoma" w:cs="Tahoma"/>
          <w:color w:val="E65D08"/>
          <w:sz w:val="22"/>
          <w:szCs w:val="22"/>
        </w:rPr>
        <w:t xml:space="preserve"> Diritti di Noleggio per Office</w:t>
      </w:r>
      <w:bookmarkEnd w:id="1083"/>
      <w:bookmarkEnd w:id="1084"/>
    </w:p>
    <w:bookmarkEnd w:id="1085"/>
    <w:p w:rsidR="002541AE" w:rsidRPr="00BD7CEA" w:rsidRDefault="002541AE" w:rsidP="002541AE"/>
    <w:bookmarkEnd w:id="1086"/>
    <w:bookmarkEnd w:id="1087"/>
    <w:p w:rsidR="000B0A08" w:rsidRPr="00BD7CEA" w:rsidRDefault="000B0A08" w:rsidP="005E3B5E">
      <w:pPr>
        <w:pStyle w:val="FootnoteBulletLevel1"/>
        <w:tabs>
          <w:tab w:val="clear" w:pos="900"/>
        </w:tabs>
        <w:spacing w:before="0" w:after="0"/>
        <w:ind w:left="720" w:firstLine="0"/>
      </w:pPr>
      <w:r w:rsidRPr="00BD7CEA">
        <w:rPr>
          <w:rFonts w:ascii="Tahoma" w:hAnsi="Tahoma" w:cs="Tahoma"/>
          <w:color w:val="000000"/>
          <w:sz w:val="18"/>
          <w:szCs w:val="18"/>
        </w:rPr>
        <w:t>Le licenze per i diritti di noleggio fornite in base ai presenti programmi sono unicamente licenze aggiuntive. Tali licenze non sono licenze complete per i prodotti. Pertanto, ogni desktop a cui la società assegni una licenza per i diritti di noleggio dovrà avere la licenza per eseguire una delle applicazioni qualificanti indicate di seguito.</w:t>
      </w:r>
    </w:p>
    <w:p w:rsidR="00980240" w:rsidRPr="00BD7CEA" w:rsidRDefault="00980240" w:rsidP="005E3B5E">
      <w:pPr>
        <w:ind w:left="720"/>
      </w:pPr>
    </w:p>
    <w:p w:rsidR="00980240" w:rsidRPr="00BD7CEA" w:rsidRDefault="000B0A08" w:rsidP="00864B8A">
      <w:pPr>
        <w:spacing w:after="60"/>
        <w:ind w:left="720"/>
      </w:pPr>
      <w:r w:rsidRPr="00BD7CEA">
        <w:rPr>
          <w:rFonts w:cs="Tahoma"/>
          <w:b/>
        </w:rPr>
        <w:t>Regole per le Applicazioni Qualificanti</w:t>
      </w:r>
    </w:p>
    <w:p w:rsidR="000B0A08" w:rsidRPr="00BD7CEA" w:rsidRDefault="000B0A08" w:rsidP="005E3B5E">
      <w:pPr>
        <w:ind w:left="720"/>
      </w:pPr>
      <w:r w:rsidRPr="00BD7CEA">
        <w:rPr>
          <w:rFonts w:cs="Tahoma"/>
          <w:color w:val="000000"/>
          <w:szCs w:val="18"/>
        </w:rPr>
        <w:t>(Ciascuna delle seguenti condizioni deve essere soddisfatta affinché la Licenza di base qualifichi la società per ottenere la licenza relativa ai Diritti di Noleggio):</w:t>
      </w:r>
    </w:p>
    <w:p w:rsidR="005E3B5E" w:rsidRPr="00BD7CEA" w:rsidRDefault="005E3B5E" w:rsidP="005E3B5E">
      <w:pPr>
        <w:ind w:left="900"/>
      </w:pPr>
    </w:p>
    <w:p w:rsidR="000B0A08" w:rsidRPr="00BD7CEA" w:rsidRDefault="000B0A08" w:rsidP="005E3B5E">
      <w:pPr>
        <w:numPr>
          <w:ilvl w:val="0"/>
          <w:numId w:val="20"/>
        </w:numPr>
        <w:spacing w:after="60"/>
        <w:ind w:left="1440"/>
      </w:pPr>
      <w:r w:rsidRPr="00BD7CEA">
        <w:rPr>
          <w:rFonts w:cs="Tahoma"/>
          <w:color w:val="000000"/>
          <w:szCs w:val="18"/>
        </w:rPr>
        <w:t>La licenza per l</w:t>
      </w:r>
      <w:r w:rsidR="007A1415" w:rsidRPr="00BD7CEA">
        <w:rPr>
          <w:rFonts w:cs="Tahoma"/>
          <w:color w:val="000000"/>
          <w:szCs w:val="18"/>
        </w:rPr>
        <w:t>’</w:t>
      </w:r>
      <w:r w:rsidRPr="00BD7CEA">
        <w:rPr>
          <w:rFonts w:cs="Tahoma"/>
          <w:color w:val="000000"/>
          <w:szCs w:val="18"/>
        </w:rPr>
        <w:t>applicazione qualificante deve essere assegnata allo stesso dispositivo a cui deve essere assegnata la licenza per i Diritti di Noleggio VL.</w:t>
      </w:r>
    </w:p>
    <w:p w:rsidR="000B0A08" w:rsidRPr="00BD7CEA" w:rsidRDefault="000B0A08" w:rsidP="005E3B5E">
      <w:pPr>
        <w:numPr>
          <w:ilvl w:val="0"/>
          <w:numId w:val="20"/>
        </w:numPr>
        <w:tabs>
          <w:tab w:val="left" w:pos="1440"/>
        </w:tabs>
        <w:spacing w:after="60"/>
        <w:ind w:left="1440"/>
      </w:pPr>
      <w:r w:rsidRPr="00BD7CEA">
        <w:rPr>
          <w:rFonts w:cs="Tahoma"/>
          <w:color w:val="000000"/>
          <w:szCs w:val="18"/>
        </w:rPr>
        <w:t>L</w:t>
      </w:r>
      <w:r w:rsidR="007A1415" w:rsidRPr="00BD7CEA">
        <w:rPr>
          <w:rFonts w:cs="Tahoma"/>
          <w:color w:val="000000"/>
          <w:szCs w:val="18"/>
        </w:rPr>
        <w:t>’</w:t>
      </w:r>
      <w:r w:rsidRPr="00BD7CEA">
        <w:rPr>
          <w:rFonts w:cs="Tahoma"/>
          <w:color w:val="000000"/>
          <w:szCs w:val="18"/>
        </w:rPr>
        <w:t>applicazione qualificante deve essere installata su tale dispositivo.</w:t>
      </w:r>
    </w:p>
    <w:p w:rsidR="000B0A08" w:rsidRPr="00BD7CEA" w:rsidRDefault="000B0A08" w:rsidP="005E3B5E">
      <w:pPr>
        <w:pStyle w:val="EndnoteText"/>
      </w:pPr>
    </w:p>
    <w:p w:rsidR="000B0A08" w:rsidRPr="00BD7CEA" w:rsidRDefault="000B0A08" w:rsidP="005E3B5E">
      <w:pPr>
        <w:pStyle w:val="EndnoteText"/>
        <w:ind w:left="720"/>
      </w:pPr>
      <w:r w:rsidRPr="00BD7CEA">
        <w:rPr>
          <w:rFonts w:ascii="Tahoma" w:hAnsi="Tahoma" w:cs="Tahoma"/>
          <w:color w:val="000000"/>
          <w:sz w:val="18"/>
          <w:szCs w:val="18"/>
        </w:rPr>
        <w:t>Le applicazioni qualificanti in base al tipo di Programma sono:</w:t>
      </w:r>
    </w:p>
    <w:p w:rsidR="000B0A08" w:rsidRPr="00BD7CEA" w:rsidRDefault="000B0A08" w:rsidP="000B0A08"/>
    <w:tbl>
      <w:tblPr>
        <w:tblW w:w="7763" w:type="dxa"/>
        <w:tblInd w:w="87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0B0A08" w:rsidRPr="00BD7CEA" w:rsidTr="002A6416">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hideMark/>
          </w:tcPr>
          <w:p w:rsidR="000B0A08" w:rsidRPr="00BD7CEA" w:rsidRDefault="000B0A08" w:rsidP="00AD69BD">
            <w:pPr>
              <w:jc w:val="center"/>
              <w:rPr>
                <w:rFonts w:eastAsia="MS PGothic" w:cs="Tahoma"/>
                <w:b/>
                <w:bCs/>
                <w:color w:val="000000"/>
                <w:szCs w:val="18"/>
              </w:rPr>
            </w:pPr>
            <w:r w:rsidRPr="00BD7CEA">
              <w:rPr>
                <w:rFonts w:cs="Tahoma"/>
                <w:b/>
                <w:bCs/>
                <w:color w:val="000000"/>
                <w:szCs w:val="18"/>
              </w:rPr>
              <w:t>Applicazioni Qualificanti per l</w:t>
            </w:r>
            <w:r w:rsidR="007A1415" w:rsidRPr="00BD7CEA">
              <w:rPr>
                <w:rFonts w:cs="Tahoma"/>
                <w:b/>
                <w:bCs/>
                <w:color w:val="000000"/>
                <w:szCs w:val="18"/>
              </w:rPr>
              <w:t>’</w:t>
            </w:r>
            <w:r w:rsidRPr="00BD7CEA">
              <w:rPr>
                <w:rFonts w:cs="Tahoma"/>
                <w:b/>
                <w:bCs/>
                <w:color w:val="000000"/>
                <w:szCs w:val="18"/>
              </w:rPr>
              <w:t>Acquisto dei Diritti di Noleggio per Office Standard</w:t>
            </w:r>
          </w:p>
        </w:tc>
        <w:tc>
          <w:tcPr>
            <w:tcW w:w="1333" w:type="dxa"/>
            <w:gridSpan w:val="2"/>
            <w:tcBorders>
              <w:top w:val="nil"/>
              <w:left w:val="nil"/>
              <w:bottom w:val="single" w:sz="8" w:space="0" w:color="auto"/>
              <w:right w:val="nil"/>
            </w:tcBorders>
          </w:tcPr>
          <w:p w:rsidR="000B0A08" w:rsidRPr="00BD7CEA" w:rsidRDefault="000B0A08" w:rsidP="00AD69BD">
            <w:pPr>
              <w:jc w:val="both"/>
              <w:rPr>
                <w:rFonts w:ascii="Arial" w:eastAsia="MS PGothic" w:hAnsi="Arial" w:cs="Arial"/>
                <w:color w:val="000000"/>
                <w:sz w:val="21"/>
                <w:szCs w:val="21"/>
              </w:rPr>
            </w:pPr>
          </w:p>
        </w:tc>
      </w:tr>
      <w:tr w:rsidR="000B0A08" w:rsidRPr="00BD7CEA" w:rsidTr="002A6416">
        <w:trPr>
          <w:cantSplit/>
          <w:trHeight w:val="730"/>
          <w:tblHeader/>
        </w:trPr>
        <w:tc>
          <w:tcPr>
            <w:tcW w:w="2910" w:type="dxa"/>
            <w:vMerge/>
            <w:tcBorders>
              <w:top w:val="single" w:sz="8" w:space="0" w:color="auto"/>
              <w:left w:val="single" w:sz="8" w:space="0" w:color="auto"/>
              <w:bottom w:val="single" w:sz="4" w:space="0" w:color="auto"/>
              <w:right w:val="single" w:sz="4" w:space="0" w:color="auto"/>
            </w:tcBorders>
            <w:vAlign w:val="center"/>
            <w:hideMark/>
          </w:tcPr>
          <w:p w:rsidR="000B0A08" w:rsidRPr="00BD7CEA" w:rsidRDefault="000B0A08" w:rsidP="00AD69BD">
            <w:pPr>
              <w:rPr>
                <w:rFonts w:eastAsia="MS PGothic" w:cs="Tahoma"/>
                <w:b/>
                <w:bCs/>
                <w:color w:val="000000"/>
                <w:szCs w:val="18"/>
              </w:rPr>
            </w:pPr>
          </w:p>
        </w:tc>
        <w:tc>
          <w:tcPr>
            <w:tcW w:w="124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BD7CEA" w:rsidRDefault="000B0A08" w:rsidP="00AD69BD">
            <w:pPr>
              <w:jc w:val="center"/>
              <w:rPr>
                <w:rFonts w:cs="Tahoma"/>
                <w:b/>
                <w:bCs/>
                <w:color w:val="000000"/>
                <w:szCs w:val="18"/>
              </w:rPr>
            </w:pPr>
            <w:r w:rsidRPr="00BD7CEA">
              <w:rPr>
                <w:rFonts w:cs="Tahoma"/>
                <w:b/>
                <w:bCs/>
                <w:color w:val="000000"/>
                <w:szCs w:val="18"/>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center"/>
            <w:hideMark/>
          </w:tcPr>
          <w:p w:rsidR="000B0A08" w:rsidRPr="00BD7CEA" w:rsidRDefault="000B0A08" w:rsidP="00AD69BD">
            <w:pPr>
              <w:jc w:val="center"/>
            </w:pPr>
            <w:r w:rsidRPr="00BD7CEA">
              <w:rPr>
                <w:rFonts w:cs="Tahoma"/>
                <w:b/>
                <w:bCs/>
                <w:color w:val="000000"/>
                <w:szCs w:val="18"/>
              </w:rPr>
              <w:t>PIPC</w:t>
            </w:r>
          </w:p>
          <w:p w:rsidR="000B0A08" w:rsidRPr="00BD7CEA" w:rsidRDefault="000B0A08" w:rsidP="00AD69BD">
            <w:pPr>
              <w:jc w:val="center"/>
              <w:rPr>
                <w:rFonts w:cs="Tahoma"/>
                <w:b/>
                <w:bCs/>
                <w:color w:val="000000"/>
                <w:szCs w:val="18"/>
              </w:rPr>
            </w:pPr>
            <w:r w:rsidRPr="00BD7CEA">
              <w:rPr>
                <w:rFonts w:cs="Tahoma"/>
                <w:b/>
                <w:bCs/>
                <w:color w:val="000000"/>
                <w:szCs w:val="18"/>
              </w:rPr>
              <w:t>(solo Giappone)</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BD7CEA" w:rsidRDefault="000B0A08" w:rsidP="00AD69BD">
            <w:pPr>
              <w:jc w:val="center"/>
              <w:rPr>
                <w:rFonts w:cs="Tahoma"/>
                <w:b/>
                <w:bCs/>
                <w:color w:val="000000"/>
                <w:szCs w:val="18"/>
              </w:rPr>
            </w:pPr>
            <w:r w:rsidRPr="00BD7CEA">
              <w:rPr>
                <w:rFonts w:cs="Tahoma"/>
                <w:b/>
                <w:bCs/>
                <w:color w:val="000000"/>
                <w:szCs w:val="18"/>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BD7CEA" w:rsidRDefault="000B0A08" w:rsidP="00AD69BD">
            <w:pPr>
              <w:jc w:val="center"/>
              <w:rPr>
                <w:rFonts w:cs="Tahoma"/>
                <w:b/>
                <w:bCs/>
                <w:color w:val="000000"/>
                <w:szCs w:val="18"/>
              </w:rPr>
            </w:pPr>
            <w:r w:rsidRPr="00BD7CEA">
              <w:rPr>
                <w:rFonts w:cs="Tahoma"/>
                <w:b/>
                <w:bCs/>
                <w:color w:val="000000"/>
                <w:szCs w:val="18"/>
              </w:rPr>
              <w:t>Licenza Open</w:t>
            </w:r>
          </w:p>
        </w:tc>
      </w:tr>
      <w:tr w:rsidR="000B0A08" w:rsidRPr="00BD7CEA" w:rsidTr="002A6416">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BD7CEA" w:rsidRDefault="000B0A08" w:rsidP="00257298">
            <w:pPr>
              <w:rPr>
                <w:rFonts w:cs="Tahoma"/>
                <w:b/>
                <w:bCs/>
                <w:color w:val="000000"/>
                <w:szCs w:val="18"/>
              </w:rPr>
            </w:pPr>
            <w:r w:rsidRPr="00BD7CEA">
              <w:rPr>
                <w:rFonts w:cs="Tahoma"/>
                <w:b/>
                <w:bCs/>
                <w:color w:val="000000"/>
                <w:szCs w:val="18"/>
              </w:rPr>
              <w:t xml:space="preserve">Office Standard 2013 </w:t>
            </w:r>
          </w:p>
        </w:tc>
        <w:tc>
          <w:tcPr>
            <w:tcW w:w="1242"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rsidR="000B0A08" w:rsidRPr="00BD7CEA" w:rsidRDefault="000B0A08" w:rsidP="00AD69BD">
            <w:pPr>
              <w:jc w:val="center"/>
              <w:rPr>
                <w:rFonts w:eastAsia="MS PGothic" w:cs="Tahoma"/>
                <w:color w:val="000000"/>
                <w:sz w:val="21"/>
                <w:szCs w:val="21"/>
              </w:rPr>
            </w:pPr>
          </w:p>
        </w:tc>
        <w:tc>
          <w:tcPr>
            <w:tcW w:w="1185" w:type="dxa"/>
            <w:gridSpan w:val="2"/>
            <w:tcBorders>
              <w:top w:val="single" w:sz="4" w:space="0" w:color="auto"/>
              <w:left w:val="nil"/>
              <w:bottom w:val="single" w:sz="8" w:space="0" w:color="auto"/>
              <w:right w:val="single" w:sz="8" w:space="0" w:color="auto"/>
            </w:tcBorders>
          </w:tcPr>
          <w:p w:rsidR="000B0A08" w:rsidRPr="00BD7CEA" w:rsidRDefault="000B0A08" w:rsidP="00AD69BD">
            <w:pPr>
              <w:jc w:val="center"/>
              <w:rPr>
                <w:rFonts w:ascii="Arial" w:eastAsia="MS PGothic" w:hAnsi="Arial" w:cs="Arial"/>
                <w:color w:val="000000"/>
                <w:sz w:val="21"/>
                <w:szCs w:val="21"/>
              </w:rPr>
            </w:pPr>
          </w:p>
        </w:tc>
        <w:tc>
          <w:tcPr>
            <w:tcW w:w="1424"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BD7CEA" w:rsidRDefault="000B0A08" w:rsidP="00AD69BD">
            <w:pPr>
              <w:jc w:val="center"/>
              <w:rPr>
                <w:rFonts w:eastAsia="MS PGothic" w:cs="Tahoma"/>
                <w:color w:val="000000"/>
                <w:sz w:val="21"/>
                <w:szCs w:val="21"/>
              </w:rPr>
            </w:pPr>
            <w:r w:rsidRPr="00BD7CEA">
              <w:rPr>
                <w:color w:val="000000"/>
              </w:rPr>
              <w:t>x</w:t>
            </w:r>
          </w:p>
        </w:tc>
        <w:tc>
          <w:tcPr>
            <w:tcW w:w="1002"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BD7CEA" w:rsidRDefault="000B0A08" w:rsidP="00AD69BD">
            <w:pPr>
              <w:jc w:val="center"/>
              <w:rPr>
                <w:rFonts w:eastAsia="MS PGothic" w:cs="Tahoma"/>
                <w:color w:val="000000"/>
                <w:sz w:val="21"/>
                <w:szCs w:val="21"/>
              </w:rPr>
            </w:pPr>
            <w:r w:rsidRPr="00BD7CEA">
              <w:rPr>
                <w:color w:val="000000"/>
              </w:rPr>
              <w:t>x</w:t>
            </w:r>
          </w:p>
        </w:tc>
      </w:tr>
      <w:tr w:rsidR="000B0A08" w:rsidRPr="00BD7CEA" w:rsidTr="002A6416">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BD7CEA" w:rsidRDefault="000B0A08" w:rsidP="00257298">
            <w:pPr>
              <w:rPr>
                <w:rFonts w:cs="Tahoma"/>
                <w:b/>
                <w:bCs/>
                <w:color w:val="000000"/>
                <w:szCs w:val="18"/>
              </w:rPr>
            </w:pPr>
            <w:r w:rsidRPr="00BD7CEA">
              <w:rPr>
                <w:rFonts w:cs="Tahoma"/>
                <w:b/>
                <w:bCs/>
                <w:color w:val="000000"/>
                <w:szCs w:val="18"/>
              </w:rPr>
              <w:t>Office Standard 2010</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BD7CEA" w:rsidRDefault="000B0A08" w:rsidP="00AD69BD">
            <w:pPr>
              <w:jc w:val="center"/>
              <w:rPr>
                <w:rFonts w:eastAsia="MS PGothic" w:cs="Tahoma"/>
                <w:color w:val="000000"/>
                <w:sz w:val="21"/>
                <w:szCs w:val="21"/>
              </w:rPr>
            </w:pPr>
            <w:r w:rsidRPr="00BD7CEA">
              <w:rPr>
                <w:color w:val="000000"/>
              </w:rPr>
              <w:t>x</w:t>
            </w:r>
          </w:p>
        </w:tc>
        <w:tc>
          <w:tcPr>
            <w:tcW w:w="1185" w:type="dxa"/>
            <w:gridSpan w:val="2"/>
            <w:tcBorders>
              <w:top w:val="nil"/>
              <w:left w:val="nil"/>
              <w:bottom w:val="single" w:sz="8" w:space="0" w:color="auto"/>
              <w:right w:val="single" w:sz="8" w:space="0" w:color="auto"/>
            </w:tcBorders>
          </w:tcPr>
          <w:p w:rsidR="000B0A08" w:rsidRPr="00BD7CEA" w:rsidRDefault="000B0A08" w:rsidP="00AD69BD">
            <w:pPr>
              <w:jc w:val="center"/>
              <w:rPr>
                <w:rFonts w:ascii="Arial" w:eastAsia="MS PGothic" w:hAnsi="Arial" w:cs="Arial"/>
                <w:color w:val="000000"/>
                <w:sz w:val="21"/>
                <w:szCs w:val="21"/>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BD7CEA" w:rsidRDefault="000B0A08" w:rsidP="00AD69BD">
            <w:pPr>
              <w:jc w:val="center"/>
              <w:rPr>
                <w:rFonts w:eastAsia="MS PGothic" w:cs="Tahoma"/>
                <w:color w:val="000000"/>
                <w:sz w:val="21"/>
                <w:szCs w:val="21"/>
              </w:rPr>
            </w:pPr>
            <w:r w:rsidRPr="00BD7CEA">
              <w:rPr>
                <w:color w:val="000000"/>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BD7CEA" w:rsidRDefault="000B0A08" w:rsidP="00AD69BD">
            <w:pPr>
              <w:jc w:val="center"/>
              <w:rPr>
                <w:rFonts w:eastAsia="MS PGothic" w:cs="Tahoma"/>
                <w:color w:val="000000"/>
                <w:sz w:val="21"/>
                <w:szCs w:val="21"/>
              </w:rPr>
            </w:pPr>
            <w:r w:rsidRPr="00BD7CEA">
              <w:rPr>
                <w:color w:val="000000"/>
              </w:rPr>
              <w:t>x</w:t>
            </w:r>
          </w:p>
        </w:tc>
      </w:tr>
    </w:tbl>
    <w:p w:rsidR="00980240" w:rsidRPr="00BD7CEA" w:rsidRDefault="00980240" w:rsidP="000B0A08"/>
    <w:p w:rsidR="001C1727" w:rsidRPr="00BD7CEA" w:rsidRDefault="001C1727"/>
    <w:tbl>
      <w:tblPr>
        <w:tblW w:w="7763" w:type="dxa"/>
        <w:tblInd w:w="100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0B0A08" w:rsidRPr="00BD7CEA" w:rsidTr="00AD69BD">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hideMark/>
          </w:tcPr>
          <w:p w:rsidR="000B0A08" w:rsidRPr="00BD7CEA" w:rsidRDefault="000B0A08" w:rsidP="00AD69BD">
            <w:pPr>
              <w:jc w:val="center"/>
              <w:rPr>
                <w:rFonts w:eastAsia="MS PGothic" w:cs="Tahoma"/>
                <w:b/>
                <w:bCs/>
                <w:szCs w:val="18"/>
              </w:rPr>
            </w:pPr>
            <w:r w:rsidRPr="00BD7CEA">
              <w:rPr>
                <w:rFonts w:cs="Tahoma"/>
                <w:b/>
                <w:bCs/>
                <w:szCs w:val="18"/>
              </w:rPr>
              <w:t>Applicazioni Qualificanti per l</w:t>
            </w:r>
            <w:r w:rsidR="007A1415" w:rsidRPr="00BD7CEA">
              <w:rPr>
                <w:rFonts w:cs="Tahoma"/>
                <w:b/>
                <w:bCs/>
                <w:szCs w:val="18"/>
              </w:rPr>
              <w:t>’</w:t>
            </w:r>
            <w:r w:rsidRPr="00BD7CEA">
              <w:rPr>
                <w:rFonts w:cs="Tahoma"/>
                <w:b/>
                <w:bCs/>
                <w:szCs w:val="18"/>
              </w:rPr>
              <w:t>Acquisto dei Diritti di Noleggio per Office Professional Plus</w:t>
            </w:r>
          </w:p>
        </w:tc>
        <w:tc>
          <w:tcPr>
            <w:tcW w:w="1333" w:type="dxa"/>
            <w:gridSpan w:val="2"/>
            <w:tcBorders>
              <w:top w:val="nil"/>
              <w:left w:val="nil"/>
              <w:bottom w:val="single" w:sz="8" w:space="0" w:color="auto"/>
              <w:right w:val="nil"/>
            </w:tcBorders>
          </w:tcPr>
          <w:p w:rsidR="000B0A08" w:rsidRPr="00BD7CEA" w:rsidRDefault="000B0A08" w:rsidP="00AD69BD">
            <w:pPr>
              <w:jc w:val="both"/>
              <w:rPr>
                <w:rFonts w:ascii="Arial" w:eastAsia="MS PGothic" w:hAnsi="Arial" w:cs="Arial"/>
                <w:szCs w:val="21"/>
              </w:rPr>
            </w:pPr>
          </w:p>
        </w:tc>
      </w:tr>
      <w:tr w:rsidR="000B0A08" w:rsidRPr="00BD7CEA" w:rsidTr="00AD69BD">
        <w:trPr>
          <w:cantSplit/>
          <w:trHeight w:val="736"/>
          <w:tblHeader/>
        </w:trPr>
        <w:tc>
          <w:tcPr>
            <w:tcW w:w="2910" w:type="dxa"/>
            <w:vMerge/>
            <w:tcBorders>
              <w:top w:val="single" w:sz="8" w:space="0" w:color="auto"/>
              <w:left w:val="single" w:sz="8" w:space="0" w:color="auto"/>
              <w:bottom w:val="single" w:sz="8" w:space="0" w:color="000000"/>
              <w:right w:val="single" w:sz="8" w:space="0" w:color="auto"/>
            </w:tcBorders>
            <w:vAlign w:val="center"/>
            <w:hideMark/>
          </w:tcPr>
          <w:p w:rsidR="000B0A08" w:rsidRPr="00BD7CEA" w:rsidRDefault="000B0A08" w:rsidP="00AD69BD">
            <w:pPr>
              <w:rPr>
                <w:rFonts w:eastAsia="MS PGothic" w:cs="Tahoma"/>
                <w:b/>
                <w:bCs/>
                <w:szCs w:val="18"/>
              </w:rPr>
            </w:pPr>
          </w:p>
        </w:tc>
        <w:tc>
          <w:tcPr>
            <w:tcW w:w="1242" w:type="dxa"/>
            <w:tcBorders>
              <w:top w:val="nil"/>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rsidR="000B0A08" w:rsidRPr="00BD7CEA" w:rsidRDefault="000B0A08" w:rsidP="00AD69BD">
            <w:pPr>
              <w:jc w:val="center"/>
              <w:rPr>
                <w:rFonts w:cs="Tahoma"/>
                <w:b/>
                <w:bCs/>
                <w:szCs w:val="18"/>
              </w:rPr>
            </w:pPr>
            <w:r w:rsidRPr="00BD7CEA">
              <w:rPr>
                <w:rFonts w:cs="Tahoma"/>
                <w:b/>
                <w:bCs/>
                <w:szCs w:val="18"/>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bottom"/>
            <w:hideMark/>
          </w:tcPr>
          <w:p w:rsidR="000B0A08" w:rsidRPr="00BD7CEA" w:rsidRDefault="000B0A08" w:rsidP="00AD69BD">
            <w:pPr>
              <w:jc w:val="center"/>
            </w:pPr>
            <w:r w:rsidRPr="00BD7CEA">
              <w:rPr>
                <w:rFonts w:cs="Tahoma"/>
                <w:b/>
                <w:bCs/>
                <w:szCs w:val="18"/>
              </w:rPr>
              <w:t>PIPC</w:t>
            </w:r>
          </w:p>
          <w:p w:rsidR="000B0A08" w:rsidRPr="00BD7CEA" w:rsidRDefault="000B0A08" w:rsidP="00AD69BD">
            <w:pPr>
              <w:jc w:val="center"/>
              <w:rPr>
                <w:rFonts w:cs="Tahoma"/>
                <w:b/>
                <w:bCs/>
                <w:szCs w:val="16"/>
                <w:lang w:eastAsia="ja-JP"/>
              </w:rPr>
            </w:pPr>
            <w:r w:rsidRPr="00BD7CEA">
              <w:rPr>
                <w:rFonts w:cs="Tahoma"/>
                <w:b/>
                <w:bCs/>
                <w:szCs w:val="18"/>
              </w:rPr>
              <w:t>(solo Giappone)</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BD7CEA" w:rsidRDefault="000B0A08" w:rsidP="00AD69BD">
            <w:pPr>
              <w:jc w:val="center"/>
              <w:rPr>
                <w:rFonts w:cs="Tahoma"/>
                <w:b/>
                <w:bCs/>
                <w:szCs w:val="18"/>
              </w:rPr>
            </w:pPr>
            <w:r w:rsidRPr="00BD7CEA">
              <w:rPr>
                <w:rFonts w:cs="Tahoma"/>
                <w:b/>
                <w:bCs/>
                <w:szCs w:val="18"/>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BD7CEA" w:rsidRDefault="000B0A08" w:rsidP="00AD69BD">
            <w:pPr>
              <w:jc w:val="center"/>
              <w:rPr>
                <w:rFonts w:cs="Tahoma"/>
                <w:b/>
                <w:bCs/>
                <w:szCs w:val="18"/>
              </w:rPr>
            </w:pPr>
            <w:r w:rsidRPr="00BD7CEA">
              <w:rPr>
                <w:rFonts w:cs="Tahoma"/>
                <w:b/>
                <w:bCs/>
                <w:szCs w:val="18"/>
              </w:rPr>
              <w:t>Licenza Open</w:t>
            </w:r>
          </w:p>
        </w:tc>
      </w:tr>
      <w:tr w:rsidR="000B0A08" w:rsidRPr="00BD7CEA" w:rsidTr="00AD69BD">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rsidR="000B0A08" w:rsidRPr="00BD7CEA" w:rsidRDefault="000B0A08" w:rsidP="00257298">
            <w:pPr>
              <w:rPr>
                <w:rFonts w:cs="Tahoma"/>
                <w:b/>
                <w:bCs/>
                <w:szCs w:val="18"/>
                <w:lang w:eastAsia="ja-JP"/>
              </w:rPr>
            </w:pPr>
            <w:r w:rsidRPr="00BD7CEA">
              <w:rPr>
                <w:rFonts w:cs="Tahoma"/>
                <w:b/>
                <w:bCs/>
                <w:szCs w:val="18"/>
              </w:rPr>
              <w:t>Office Professional Plus 2013</w:t>
            </w:r>
          </w:p>
        </w:tc>
        <w:tc>
          <w:tcPr>
            <w:tcW w:w="12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BD7CEA" w:rsidRDefault="000B0A08" w:rsidP="00AD69BD">
            <w:pPr>
              <w:jc w:val="center"/>
              <w:rPr>
                <w:rFonts w:eastAsia="MS PGothic" w:cs="Tahoma"/>
                <w:szCs w:val="18"/>
              </w:rPr>
            </w:pPr>
            <w:r w:rsidRPr="00BD7CEA">
              <w:rPr>
                <w:rFonts w:cs="Tahoma"/>
                <w:szCs w:val="18"/>
              </w:rPr>
              <w:t> </w:t>
            </w:r>
          </w:p>
        </w:tc>
        <w:tc>
          <w:tcPr>
            <w:tcW w:w="1185" w:type="dxa"/>
            <w:gridSpan w:val="2"/>
            <w:tcBorders>
              <w:top w:val="nil"/>
              <w:left w:val="nil"/>
              <w:bottom w:val="single" w:sz="8" w:space="0" w:color="auto"/>
              <w:right w:val="single" w:sz="8" w:space="0" w:color="auto"/>
            </w:tcBorders>
          </w:tcPr>
          <w:p w:rsidR="000B0A08" w:rsidRPr="00BD7CEA" w:rsidRDefault="000B0A08" w:rsidP="00AD69BD">
            <w:pPr>
              <w:jc w:val="center"/>
              <w:rPr>
                <w:rFonts w:eastAsia="MS PGothic"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BD7CEA" w:rsidRDefault="000B0A08" w:rsidP="00AD69BD">
            <w:pPr>
              <w:jc w:val="center"/>
              <w:rPr>
                <w:rFonts w:eastAsia="MS PGothic" w:cs="Tahoma"/>
                <w:szCs w:val="18"/>
              </w:rPr>
            </w:pPr>
            <w:r w:rsidRPr="00BD7CEA">
              <w:rPr>
                <w:rFonts w:cs="Tahoma"/>
                <w:szCs w:val="18"/>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BD7CEA" w:rsidRDefault="000B0A08" w:rsidP="00AD69BD">
            <w:pPr>
              <w:jc w:val="center"/>
              <w:rPr>
                <w:rFonts w:eastAsia="MS PGothic" w:cs="Tahoma"/>
                <w:szCs w:val="18"/>
              </w:rPr>
            </w:pPr>
            <w:r w:rsidRPr="00BD7CEA">
              <w:rPr>
                <w:rFonts w:cs="Tahoma"/>
                <w:szCs w:val="18"/>
              </w:rPr>
              <w:t>x</w:t>
            </w:r>
          </w:p>
        </w:tc>
      </w:tr>
      <w:tr w:rsidR="000B0A08" w:rsidRPr="00BD7CEA" w:rsidTr="00AD69BD">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BD7CEA" w:rsidRDefault="000B0A08" w:rsidP="00257298">
            <w:pPr>
              <w:rPr>
                <w:rFonts w:cs="Tahoma"/>
                <w:b/>
                <w:bCs/>
                <w:szCs w:val="18"/>
                <w:lang w:eastAsia="ja-JP"/>
              </w:rPr>
            </w:pPr>
            <w:r w:rsidRPr="00BD7CEA">
              <w:rPr>
                <w:rFonts w:cs="Tahoma"/>
                <w:b/>
                <w:bCs/>
                <w:szCs w:val="18"/>
              </w:rPr>
              <w:t>Office Professional Plus 2010</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BD7CEA" w:rsidRDefault="000B0A08" w:rsidP="00AD69BD">
            <w:pPr>
              <w:jc w:val="center"/>
              <w:rPr>
                <w:rFonts w:eastAsia="MS PGothic" w:cs="Tahoma"/>
                <w:szCs w:val="18"/>
              </w:rPr>
            </w:pPr>
            <w:r w:rsidRPr="00BD7CEA">
              <w:rPr>
                <w:rFonts w:cs="Tahoma"/>
                <w:szCs w:val="18"/>
              </w:rPr>
              <w:t> </w:t>
            </w:r>
          </w:p>
        </w:tc>
        <w:tc>
          <w:tcPr>
            <w:tcW w:w="1185" w:type="dxa"/>
            <w:gridSpan w:val="2"/>
            <w:tcBorders>
              <w:top w:val="nil"/>
              <w:left w:val="nil"/>
              <w:bottom w:val="single" w:sz="8" w:space="0" w:color="auto"/>
              <w:right w:val="single" w:sz="8" w:space="0" w:color="auto"/>
            </w:tcBorders>
          </w:tcPr>
          <w:p w:rsidR="000B0A08" w:rsidRPr="00BD7CEA" w:rsidRDefault="000B0A08" w:rsidP="00AD69BD">
            <w:pPr>
              <w:jc w:val="center"/>
              <w:rPr>
                <w:rFonts w:eastAsia="MS PGothic"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BD7CEA" w:rsidRDefault="000B0A08" w:rsidP="00AD69BD">
            <w:pPr>
              <w:jc w:val="center"/>
              <w:rPr>
                <w:rFonts w:eastAsia="MS PGothic" w:cs="Tahoma"/>
                <w:szCs w:val="18"/>
              </w:rPr>
            </w:pPr>
            <w:r w:rsidRPr="00BD7CEA">
              <w:rPr>
                <w:rFonts w:cs="Tahoma"/>
                <w:szCs w:val="18"/>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BD7CEA" w:rsidRDefault="000B0A08" w:rsidP="00AD69BD">
            <w:pPr>
              <w:jc w:val="center"/>
              <w:rPr>
                <w:rFonts w:eastAsia="MS PGothic" w:cs="Tahoma"/>
                <w:szCs w:val="18"/>
              </w:rPr>
            </w:pPr>
            <w:r w:rsidRPr="00BD7CEA">
              <w:rPr>
                <w:rFonts w:cs="Tahoma"/>
                <w:szCs w:val="18"/>
              </w:rPr>
              <w:t>x</w:t>
            </w:r>
          </w:p>
        </w:tc>
      </w:tr>
      <w:tr w:rsidR="000B0A08" w:rsidRPr="00BD7CEA" w:rsidTr="00AD69BD">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BD7CEA" w:rsidRDefault="000B0A08" w:rsidP="00257298">
            <w:pPr>
              <w:rPr>
                <w:rFonts w:cs="Tahoma"/>
                <w:b/>
                <w:bCs/>
                <w:szCs w:val="18"/>
              </w:rPr>
            </w:pPr>
            <w:r w:rsidRPr="00BD7CEA">
              <w:rPr>
                <w:rFonts w:cs="Tahoma"/>
                <w:b/>
                <w:bCs/>
                <w:szCs w:val="18"/>
              </w:rPr>
              <w:t>Office Personal 2013</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BD7CEA" w:rsidRDefault="000B0A08" w:rsidP="00AD69BD">
            <w:pPr>
              <w:rPr>
                <w:rFonts w:eastAsia="Times New Roman" w:cs="Tahoma"/>
                <w:szCs w:val="18"/>
              </w:rPr>
            </w:pPr>
          </w:p>
        </w:tc>
        <w:tc>
          <w:tcPr>
            <w:tcW w:w="1185" w:type="dxa"/>
            <w:gridSpan w:val="2"/>
            <w:tcBorders>
              <w:top w:val="nil"/>
              <w:left w:val="nil"/>
              <w:bottom w:val="single" w:sz="8" w:space="0" w:color="auto"/>
              <w:right w:val="single" w:sz="8" w:space="0" w:color="auto"/>
            </w:tcBorders>
            <w:vAlign w:val="bottom"/>
            <w:hideMark/>
          </w:tcPr>
          <w:p w:rsidR="000B0A08" w:rsidRPr="00BD7CEA" w:rsidRDefault="000B0A08" w:rsidP="00AD69BD">
            <w:pPr>
              <w:jc w:val="center"/>
              <w:rPr>
                <w:rFonts w:eastAsia="MS PGothic" w:cs="Tahoma"/>
                <w:color w:val="000000"/>
                <w:szCs w:val="18"/>
              </w:rPr>
            </w:pPr>
            <w:r w:rsidRPr="00BD7CEA">
              <w:rPr>
                <w:rFonts w:cs="Tahoma"/>
                <w:szCs w:val="18"/>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BD7CEA" w:rsidRDefault="000B0A08" w:rsidP="00AD69BD">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BD7CEA" w:rsidRDefault="000B0A08" w:rsidP="00AD69BD">
            <w:pPr>
              <w:rPr>
                <w:rFonts w:eastAsia="Times New Roman" w:cs="Tahoma"/>
                <w:szCs w:val="18"/>
              </w:rPr>
            </w:pPr>
          </w:p>
        </w:tc>
      </w:tr>
      <w:tr w:rsidR="000B0A08" w:rsidRPr="00BD7CEA" w:rsidTr="00AD69BD">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BD7CEA" w:rsidRDefault="000B0A08" w:rsidP="00257298">
            <w:pPr>
              <w:rPr>
                <w:rFonts w:cs="Tahoma"/>
                <w:b/>
                <w:bCs/>
                <w:szCs w:val="18"/>
              </w:rPr>
            </w:pPr>
            <w:r w:rsidRPr="00BD7CEA">
              <w:rPr>
                <w:rFonts w:cs="Tahoma"/>
                <w:b/>
                <w:bCs/>
                <w:szCs w:val="18"/>
              </w:rPr>
              <w:t>Office Home &amp; Business 2013</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BD7CEA" w:rsidRDefault="000B0A08" w:rsidP="00AD69BD">
            <w:pPr>
              <w:rPr>
                <w:rFonts w:eastAsia="Times New Roman" w:cs="Tahoma"/>
                <w:szCs w:val="18"/>
              </w:rPr>
            </w:pPr>
          </w:p>
        </w:tc>
        <w:tc>
          <w:tcPr>
            <w:tcW w:w="1185" w:type="dxa"/>
            <w:gridSpan w:val="2"/>
            <w:tcBorders>
              <w:top w:val="nil"/>
              <w:left w:val="nil"/>
              <w:bottom w:val="single" w:sz="8" w:space="0" w:color="auto"/>
              <w:right w:val="single" w:sz="8" w:space="0" w:color="auto"/>
            </w:tcBorders>
            <w:vAlign w:val="bottom"/>
            <w:hideMark/>
          </w:tcPr>
          <w:p w:rsidR="000B0A08" w:rsidRPr="00BD7CEA" w:rsidRDefault="000B0A08" w:rsidP="00AD69BD">
            <w:pPr>
              <w:jc w:val="center"/>
              <w:rPr>
                <w:rFonts w:eastAsia="MS PGothic" w:cs="Tahoma"/>
                <w:color w:val="000000"/>
                <w:szCs w:val="18"/>
              </w:rPr>
            </w:pPr>
            <w:r w:rsidRPr="00BD7CEA">
              <w:rPr>
                <w:rFonts w:cs="Tahoma"/>
                <w:szCs w:val="18"/>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BD7CEA" w:rsidRDefault="000B0A08" w:rsidP="00AD69BD">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BD7CEA" w:rsidRDefault="000B0A08" w:rsidP="00AD69BD">
            <w:pPr>
              <w:rPr>
                <w:rFonts w:eastAsia="Times New Roman" w:cs="Tahoma"/>
                <w:szCs w:val="18"/>
              </w:rPr>
            </w:pPr>
          </w:p>
        </w:tc>
      </w:tr>
      <w:tr w:rsidR="000B0A08" w:rsidRPr="00BD7CEA" w:rsidTr="00AD69BD">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BD7CEA" w:rsidRDefault="000B0A08" w:rsidP="00257298">
            <w:pPr>
              <w:rPr>
                <w:rFonts w:cs="Tahoma"/>
                <w:b/>
                <w:bCs/>
                <w:szCs w:val="18"/>
              </w:rPr>
            </w:pPr>
            <w:r w:rsidRPr="00BD7CEA">
              <w:rPr>
                <w:rFonts w:cs="Tahoma"/>
                <w:b/>
                <w:bCs/>
                <w:szCs w:val="18"/>
              </w:rPr>
              <w:t>Office Professional 2013</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BD7CEA" w:rsidRDefault="000B0A08" w:rsidP="00AD69BD">
            <w:pPr>
              <w:rPr>
                <w:rFonts w:eastAsia="Times New Roman" w:cs="Tahoma"/>
                <w:szCs w:val="18"/>
              </w:rPr>
            </w:pPr>
          </w:p>
        </w:tc>
        <w:tc>
          <w:tcPr>
            <w:tcW w:w="1185" w:type="dxa"/>
            <w:gridSpan w:val="2"/>
            <w:tcBorders>
              <w:top w:val="nil"/>
              <w:left w:val="nil"/>
              <w:bottom w:val="single" w:sz="8" w:space="0" w:color="auto"/>
              <w:right w:val="single" w:sz="8" w:space="0" w:color="auto"/>
            </w:tcBorders>
            <w:vAlign w:val="bottom"/>
            <w:hideMark/>
          </w:tcPr>
          <w:p w:rsidR="000B0A08" w:rsidRPr="00BD7CEA" w:rsidRDefault="000B0A08" w:rsidP="00AD69BD">
            <w:pPr>
              <w:jc w:val="center"/>
              <w:rPr>
                <w:rFonts w:eastAsia="MS PGothic" w:cs="Tahoma"/>
                <w:color w:val="FF0000"/>
                <w:szCs w:val="18"/>
              </w:rPr>
            </w:pPr>
            <w:r w:rsidRPr="00BD7CEA">
              <w:rPr>
                <w:rFonts w:cs="Tahoma"/>
                <w:szCs w:val="18"/>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BD7CEA" w:rsidRDefault="000B0A08" w:rsidP="00AD69BD">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BD7CEA" w:rsidRDefault="000B0A08" w:rsidP="00AD69BD">
            <w:pPr>
              <w:rPr>
                <w:rFonts w:eastAsia="Times New Roman" w:cs="Tahoma"/>
                <w:szCs w:val="18"/>
              </w:rPr>
            </w:pPr>
          </w:p>
        </w:tc>
      </w:tr>
    </w:tbl>
    <w:p w:rsidR="000B0A08" w:rsidRPr="00BD7CEA" w:rsidRDefault="000B0A08" w:rsidP="00980240"/>
    <w:p w:rsidR="000B0A08" w:rsidRPr="00BD7CEA" w:rsidRDefault="000B0A08" w:rsidP="005C382A">
      <w:pPr>
        <w:ind w:left="720"/>
      </w:pPr>
      <w:r w:rsidRPr="00BD7CEA">
        <w:rPr>
          <w:rFonts w:cs="Tahoma"/>
          <w:color w:val="000000"/>
          <w:szCs w:val="18"/>
        </w:rPr>
        <w:t>Le società che acquistano la licenza relativa ai diritti di noleggio in aggiunta alla licenza per l</w:t>
      </w:r>
      <w:r w:rsidR="007A1415" w:rsidRPr="00BD7CEA">
        <w:rPr>
          <w:rFonts w:cs="Tahoma"/>
          <w:color w:val="000000"/>
          <w:szCs w:val="18"/>
        </w:rPr>
        <w:t>’</w:t>
      </w:r>
      <w:r w:rsidRPr="00BD7CEA">
        <w:rPr>
          <w:rFonts w:cs="Tahoma"/>
          <w:color w:val="000000"/>
          <w:szCs w:val="18"/>
        </w:rPr>
        <w:t>applicazione qualificante beneficeranno di un</w:t>
      </w:r>
      <w:r w:rsidR="007A1415" w:rsidRPr="00BD7CEA">
        <w:rPr>
          <w:rFonts w:cs="Tahoma"/>
          <w:color w:val="000000"/>
          <w:szCs w:val="18"/>
        </w:rPr>
        <w:t>’</w:t>
      </w:r>
      <w:r w:rsidRPr="00BD7CEA">
        <w:rPr>
          <w:rFonts w:cs="Tahoma"/>
          <w:color w:val="000000"/>
          <w:szCs w:val="18"/>
        </w:rPr>
        <w:t>estensione dei diritti contemplati dalla licenza dell</w:t>
      </w:r>
      <w:r w:rsidR="007A1415" w:rsidRPr="00BD7CEA">
        <w:rPr>
          <w:rFonts w:cs="Tahoma"/>
          <w:color w:val="000000"/>
          <w:szCs w:val="18"/>
        </w:rPr>
        <w:t>’</w:t>
      </w:r>
      <w:r w:rsidRPr="00BD7CEA">
        <w:rPr>
          <w:rFonts w:cs="Tahoma"/>
          <w:color w:val="000000"/>
          <w:szCs w:val="18"/>
        </w:rPr>
        <w:t>applicazione qualificante per consentire l</w:t>
      </w:r>
      <w:r w:rsidR="007A1415" w:rsidRPr="00BD7CEA">
        <w:rPr>
          <w:rFonts w:cs="Tahoma"/>
          <w:color w:val="000000"/>
          <w:szCs w:val="18"/>
        </w:rPr>
        <w:t>’</w:t>
      </w:r>
      <w:r w:rsidRPr="00BD7CEA">
        <w:rPr>
          <w:rFonts w:cs="Tahoma"/>
          <w:color w:val="000000"/>
          <w:szCs w:val="18"/>
        </w:rPr>
        <w:t xml:space="preserve">utilizzo da parte di terzi dello stesso software. La licenza di noleggio non è una licenza </w:t>
      </w:r>
      <w:r w:rsidR="00D45A36">
        <w:rPr>
          <w:rFonts w:cs="Tahoma"/>
          <w:color w:val="000000"/>
          <w:szCs w:val="18"/>
        </w:rPr>
        <w:br/>
      </w:r>
      <w:r w:rsidRPr="00BD7CEA">
        <w:rPr>
          <w:rFonts w:cs="Tahoma"/>
          <w:color w:val="000000"/>
          <w:szCs w:val="18"/>
        </w:rPr>
        <w:t>step-up per una versione superiore del prodotto.</w:t>
      </w:r>
    </w:p>
    <w:p w:rsidR="00223A77" w:rsidRPr="00BD7CEA" w:rsidRDefault="00223A77" w:rsidP="005C382A">
      <w:pPr>
        <w:ind w:left="720"/>
      </w:pPr>
    </w:p>
    <w:p w:rsidR="00223A77" w:rsidRPr="00BD7CEA" w:rsidRDefault="00223A77" w:rsidP="00864B8A">
      <w:pPr>
        <w:spacing w:after="60"/>
        <w:ind w:left="720"/>
      </w:pPr>
      <w:r w:rsidRPr="00BD7CEA">
        <w:rPr>
          <w:rFonts w:cs="Tahoma"/>
          <w:b/>
        </w:rPr>
        <w:t>Eccezione per Software Assurance</w:t>
      </w:r>
    </w:p>
    <w:p w:rsidR="009504CA" w:rsidRPr="00BD7CEA" w:rsidRDefault="00223A77" w:rsidP="005C382A">
      <w:pPr>
        <w:ind w:left="720"/>
      </w:pPr>
      <w:r w:rsidRPr="00BD7CEA">
        <w:rPr>
          <w:rFonts w:cs="Tahoma"/>
          <w:color w:val="000000"/>
          <w:szCs w:val="18"/>
        </w:rPr>
        <w:t>Le società che acquistano licenze per i diritti di noleggio non sono idonee a ricevere Software Assurance per le licenze per i diritti di noleggio, né per le licenze software qualificanti sottostanti.</w:t>
      </w:r>
    </w:p>
    <w:p w:rsidR="00980240" w:rsidRPr="00BD7CEA" w:rsidRDefault="00980240" w:rsidP="00980240"/>
    <w:p w:rsidR="00980240" w:rsidRPr="00BD7CEA" w:rsidRDefault="00980240" w:rsidP="00980240"/>
    <w:p w:rsidR="005F584F" w:rsidRPr="00BD7CEA" w:rsidRDefault="004668D9" w:rsidP="005F584F">
      <w:pPr>
        <w:pStyle w:val="Heading3"/>
      </w:pPr>
      <w:bookmarkStart w:id="1088" w:name="_15_Visio_Professional"/>
      <w:bookmarkStart w:id="1089" w:name="_16_Vexcel_Desktop"/>
      <w:bookmarkStart w:id="1090" w:name="_Toc353376052"/>
      <w:bookmarkEnd w:id="1088"/>
      <w:bookmarkEnd w:id="1089"/>
      <w:r w:rsidRPr="00BD7CEA">
        <w:rPr>
          <w:rFonts w:ascii="Tahoma" w:hAnsi="Tahoma" w:cs="Tahoma"/>
          <w:caps/>
          <w:color w:val="EE6000"/>
          <w:sz w:val="22"/>
          <w:szCs w:val="18"/>
          <w:vertAlign w:val="superscript"/>
        </w:rPr>
        <w:t xml:space="preserve">16 </w:t>
      </w:r>
      <w:r w:rsidRPr="00BD7CEA">
        <w:rPr>
          <w:rFonts w:ascii="Tahoma" w:hAnsi="Tahoma"/>
          <w:color w:val="F66400"/>
          <w:sz w:val="22"/>
        </w:rPr>
        <w:t>Vexcel Desktop con Enhanced Content Pack</w:t>
      </w:r>
      <w:bookmarkEnd w:id="1090"/>
    </w:p>
    <w:p w:rsidR="005F584F" w:rsidRPr="00BD7CEA" w:rsidRDefault="005F584F" w:rsidP="005F584F"/>
    <w:p w:rsidR="005F584F" w:rsidRPr="00BD7CEA" w:rsidRDefault="005F584F" w:rsidP="007F574F">
      <w:pPr>
        <w:spacing w:after="60"/>
        <w:ind w:left="720"/>
      </w:pPr>
      <w:r w:rsidRPr="00BD7CEA">
        <w:rPr>
          <w:b/>
        </w:rPr>
        <w:t>Servizi di Compilazione Necessari</w:t>
      </w:r>
      <w:r w:rsidR="008D782D" w:rsidRPr="00BD7CEA">
        <w:rPr>
          <w:b/>
        </w:rPr>
        <w:t xml:space="preserve"> </w:t>
      </w:r>
    </w:p>
    <w:p w:rsidR="005F584F" w:rsidRPr="00BD7CEA" w:rsidRDefault="005F584F" w:rsidP="007F574F">
      <w:pPr>
        <w:ind w:left="720"/>
        <w:rPr>
          <w:spacing w:val="-4"/>
        </w:rPr>
      </w:pPr>
      <w:r w:rsidRPr="00BD7CEA">
        <w:rPr>
          <w:spacing w:val="-4"/>
          <w:szCs w:val="18"/>
        </w:rPr>
        <w:t>Vexcel Desktop con Enhanced Content Pack richiede i servizi di compilazione del sistema di Vexcel, filiale geospaziale di Microsoft.</w:t>
      </w:r>
      <w:r w:rsidR="008D782D" w:rsidRPr="00BD7CEA">
        <w:rPr>
          <w:spacing w:val="-4"/>
          <w:szCs w:val="18"/>
        </w:rPr>
        <w:t xml:space="preserve"> </w:t>
      </w:r>
      <w:r w:rsidRPr="00BD7CEA">
        <w:rPr>
          <w:spacing w:val="-4"/>
          <w:szCs w:val="18"/>
        </w:rPr>
        <w:t xml:space="preserve">Servizi aggiuntivi di formazione, supporto e manutenzione sono disponibili, ma non necessari. Per ulteriori informazioni, visitare il sito </w:t>
      </w:r>
      <w:hyperlink r:id="rId43" w:history="1">
        <w:r w:rsidRPr="00BD7CEA">
          <w:rPr>
            <w:rStyle w:val="Hyperlink"/>
            <w:rFonts w:cs="Tahoma"/>
            <w:spacing w:val="-4"/>
            <w:szCs w:val="18"/>
          </w:rPr>
          <w:t>http://www.vexcel.com/geospatial/bingmapsserver/index.asp</w:t>
        </w:r>
      </w:hyperlink>
    </w:p>
    <w:p w:rsidR="005F584F" w:rsidRPr="00BD7CEA" w:rsidRDefault="005F584F" w:rsidP="007F574F">
      <w:pPr>
        <w:ind w:left="720"/>
      </w:pPr>
    </w:p>
    <w:p w:rsidR="00257298" w:rsidRPr="00BD7CEA" w:rsidRDefault="004668D9" w:rsidP="005C382A">
      <w:pPr>
        <w:pStyle w:val="Heading3"/>
      </w:pPr>
      <w:bookmarkStart w:id="1091" w:name="_17_Visio_Professional"/>
      <w:bookmarkStart w:id="1092" w:name="_Toc353376053"/>
      <w:bookmarkEnd w:id="1091"/>
      <w:r w:rsidRPr="00BD7CEA">
        <w:rPr>
          <w:rFonts w:ascii="Tahoma" w:hAnsi="Tahoma"/>
          <w:caps/>
          <w:color w:val="F66400"/>
          <w:sz w:val="22"/>
          <w:vertAlign w:val="superscript"/>
        </w:rPr>
        <w:lastRenderedPageBreak/>
        <w:t>17</w:t>
      </w:r>
      <w:r w:rsidRPr="00BD7CEA">
        <w:rPr>
          <w:rFonts w:ascii="Tahoma" w:hAnsi="Tahoma"/>
          <w:color w:val="F66400"/>
          <w:sz w:val="22"/>
        </w:rPr>
        <w:t xml:space="preserve"> Visio Professional 2013</w:t>
      </w:r>
      <w:bookmarkEnd w:id="1092"/>
    </w:p>
    <w:p w:rsidR="005C382A" w:rsidRPr="00941907" w:rsidRDefault="005C382A" w:rsidP="005C382A">
      <w:pPr>
        <w:rPr>
          <w:sz w:val="16"/>
          <w:szCs w:val="16"/>
        </w:rPr>
      </w:pPr>
    </w:p>
    <w:p w:rsidR="00257298" w:rsidRPr="00BD7CEA" w:rsidRDefault="00257298" w:rsidP="00864B8A">
      <w:pPr>
        <w:spacing w:after="60"/>
        <w:ind w:left="720"/>
      </w:pPr>
      <w:r w:rsidRPr="00BD7CEA">
        <w:rPr>
          <w:rFonts w:cs="Tahoma"/>
          <w:b/>
        </w:rPr>
        <w:t xml:space="preserve">Percorso di Migrazione di Software Assurance per </w:t>
      </w:r>
      <w:bookmarkStart w:id="1093" w:name="Srv_11VisioPremium2010"/>
      <w:bookmarkStart w:id="1094" w:name="Aps_11VisioPremium2010"/>
      <w:bookmarkStart w:id="1095" w:name="_Toc336338274"/>
      <w:bookmarkStart w:id="1096" w:name="Srv_VisioPremium2010"/>
      <w:r w:rsidRPr="00BD7CEA">
        <w:rPr>
          <w:rFonts w:cs="Tahoma"/>
          <w:b/>
        </w:rPr>
        <w:t>Visio Premium 2010</w:t>
      </w:r>
      <w:bookmarkEnd w:id="1093"/>
      <w:bookmarkEnd w:id="1094"/>
      <w:bookmarkEnd w:id="1095"/>
    </w:p>
    <w:bookmarkEnd w:id="1096"/>
    <w:p w:rsidR="00257298" w:rsidRPr="00BD7CEA" w:rsidRDefault="00257298" w:rsidP="005C382A">
      <w:pPr>
        <w:pStyle w:val="FootnoteBulletLevel1"/>
        <w:spacing w:before="0" w:after="0"/>
        <w:ind w:left="720" w:firstLine="0"/>
      </w:pPr>
      <w:r w:rsidRPr="00BD7CEA">
        <w:rPr>
          <w:rFonts w:ascii="Tahoma" w:hAnsi="Tahoma" w:cs="Tahoma"/>
          <w:sz w:val="18"/>
        </w:rPr>
        <w:t>Le società con una copertura Software Assurance attiva per Visio Premium 2010 alla data di disponibilità del download di Visio Professional 2013 sono idonee a utilizzare Visio Professional 2013 anziché Visio Premium 2010. Il diritto di utilizzo di Visio Professional 2013 ai sensi di tale offerta cesserà alla cessazione dei diritti di utilizzo di Visio Premium 2010 ai sensi della relativa licenza qualificante.</w:t>
      </w:r>
      <w:r w:rsidR="008D782D" w:rsidRPr="00BD7CEA">
        <w:rPr>
          <w:rFonts w:ascii="Tahoma" w:hAnsi="Tahoma" w:cs="Tahoma"/>
          <w:sz w:val="18"/>
        </w:rPr>
        <w:t xml:space="preserve"> </w:t>
      </w:r>
      <w:r w:rsidRPr="00BD7CEA">
        <w:rPr>
          <w:rFonts w:ascii="Tahoma" w:hAnsi="Tahoma" w:cs="Tahoma"/>
          <w:sz w:val="18"/>
        </w:rPr>
        <w:t>L</w:t>
      </w:r>
      <w:r w:rsidR="007A1415" w:rsidRPr="00BD7CEA">
        <w:rPr>
          <w:rFonts w:ascii="Tahoma" w:hAnsi="Tahoma" w:cs="Tahoma"/>
          <w:sz w:val="18"/>
        </w:rPr>
        <w:t>’</w:t>
      </w:r>
      <w:r w:rsidRPr="00BD7CEA">
        <w:rPr>
          <w:rFonts w:ascii="Tahoma" w:hAnsi="Tahoma" w:cs="Tahoma"/>
          <w:sz w:val="18"/>
        </w:rPr>
        <w:t>utilizzo di Visio Professional 2013 è disciplinato dai diritti sull</w:t>
      </w:r>
      <w:r w:rsidR="007A1415" w:rsidRPr="00BD7CEA">
        <w:rPr>
          <w:rFonts w:ascii="Tahoma" w:hAnsi="Tahoma" w:cs="Tahoma"/>
          <w:sz w:val="18"/>
        </w:rPr>
        <w:t>’</w:t>
      </w:r>
      <w:r w:rsidRPr="00BD7CEA">
        <w:rPr>
          <w:rFonts w:ascii="Tahoma" w:hAnsi="Tahoma" w:cs="Tahoma"/>
          <w:sz w:val="18"/>
        </w:rPr>
        <w:t>utilizzo di Visio Professional 2013 e dalle condizioni del Contratto Multilicenza della società.</w:t>
      </w:r>
      <w:r w:rsidR="008D782D" w:rsidRPr="00BD7CEA">
        <w:rPr>
          <w:rFonts w:ascii="Tahoma" w:hAnsi="Tahoma" w:cs="Tahoma"/>
          <w:sz w:val="18"/>
        </w:rPr>
        <w:t xml:space="preserve"> </w:t>
      </w:r>
      <w:r w:rsidRPr="00BD7CEA">
        <w:rPr>
          <w:rFonts w:ascii="Tahoma" w:hAnsi="Tahoma" w:cs="Tahoma"/>
          <w:sz w:val="18"/>
        </w:rPr>
        <w:t>La presente nota relativa alle condizioni del prodotto e la prova da parte della società della corrispondente licenza qualificante costituiscono insieme la prova del diritto di utilizzo di Visio Professional 2013 ai sensi della presente offerta.</w:t>
      </w:r>
      <w:r w:rsidR="008D782D" w:rsidRPr="00BD7CEA">
        <w:rPr>
          <w:rFonts w:ascii="Tahoma" w:hAnsi="Tahoma" w:cs="Tahoma"/>
          <w:sz w:val="18"/>
        </w:rPr>
        <w:t xml:space="preserve"> </w:t>
      </w:r>
      <w:r w:rsidRPr="00BD7CEA">
        <w:rPr>
          <w:rFonts w:ascii="Tahoma" w:hAnsi="Tahoma" w:cs="Tahoma"/>
          <w:sz w:val="18"/>
        </w:rPr>
        <w:t>Alla scadenza della copertura Software Assurance per Visio Premium 2010, la società potrà acquistare Software Assurance per Visio Professional 2013 senza dover acquistare separatamente una nuova licenza.</w:t>
      </w:r>
    </w:p>
    <w:p w:rsidR="005C382A" w:rsidRPr="00941907" w:rsidRDefault="005C382A" w:rsidP="005C382A">
      <w:pPr>
        <w:pStyle w:val="FootnoteBulletLevel1"/>
        <w:spacing w:before="0" w:after="0"/>
        <w:ind w:left="720" w:firstLine="0"/>
        <w:rPr>
          <w:rFonts w:ascii="Tahoma" w:hAnsi="Tahoma" w:cs="Tahoma"/>
          <w:sz w:val="16"/>
          <w:szCs w:val="16"/>
        </w:rPr>
      </w:pPr>
    </w:p>
    <w:p w:rsidR="00DF3CEE" w:rsidRPr="00BD7CEA" w:rsidRDefault="00DF3CEE" w:rsidP="00864B8A">
      <w:pPr>
        <w:spacing w:after="60"/>
        <w:ind w:left="720"/>
      </w:pPr>
      <w:r w:rsidRPr="00BD7CEA">
        <w:rPr>
          <w:rFonts w:cs="Tahoma"/>
          <w:b/>
        </w:rPr>
        <w:t>Diritti di Downgrade per Visio Professional 2013</w:t>
      </w:r>
    </w:p>
    <w:p w:rsidR="00DF3CEE" w:rsidRPr="00BD7CEA" w:rsidRDefault="00DF3CEE" w:rsidP="005C382A">
      <w:pPr>
        <w:pStyle w:val="FootnoteBulletLevel1"/>
        <w:spacing w:before="0" w:after="0"/>
        <w:ind w:left="720" w:firstLine="0"/>
      </w:pPr>
      <w:r w:rsidRPr="00BD7CEA">
        <w:rPr>
          <w:rFonts w:ascii="Tahoma" w:hAnsi="Tahoma" w:cs="Tahoma"/>
          <w:sz w:val="18"/>
        </w:rPr>
        <w:t>Le società con Software Assurance che hanno distribuito solo Visio Premium 2010 (ad esempio quelle che</w:t>
      </w:r>
      <w:r w:rsidR="00861D57">
        <w:rPr>
          <w:rFonts w:ascii="Tahoma" w:hAnsi="Tahoma" w:cs="Tahoma"/>
          <w:sz w:val="18"/>
        </w:rPr>
        <w:t> </w:t>
      </w:r>
      <w:r w:rsidRPr="00BD7CEA">
        <w:rPr>
          <w:rFonts w:ascii="Tahoma" w:hAnsi="Tahoma" w:cs="Tahoma"/>
          <w:sz w:val="18"/>
        </w:rPr>
        <w:t>non utilizzano altre edizioni di Visio nella loro organizzazione) e necessitano di ulteriori postazioni di Visio</w:t>
      </w:r>
      <w:r w:rsidR="00861D57">
        <w:rPr>
          <w:rFonts w:ascii="Tahoma" w:hAnsi="Tahoma" w:cs="Tahoma"/>
          <w:sz w:val="18"/>
        </w:rPr>
        <w:t> </w:t>
      </w:r>
      <w:r w:rsidRPr="00BD7CEA">
        <w:rPr>
          <w:rFonts w:ascii="Tahoma" w:hAnsi="Tahoma" w:cs="Tahoma"/>
          <w:sz w:val="18"/>
        </w:rPr>
        <w:t>Premium 2010 potranno acquistare licenze per Visio Professional 2013 ed effettuare il downgrade a Visio Premium 2010. Non sono consentiti altri downgrade da Visio Professional 2013 a Visio Premium 2010.</w:t>
      </w:r>
    </w:p>
    <w:p w:rsidR="005C382A" w:rsidRPr="00941907" w:rsidRDefault="005C382A" w:rsidP="005C382A">
      <w:pPr>
        <w:rPr>
          <w:sz w:val="16"/>
          <w:szCs w:val="16"/>
        </w:rPr>
      </w:pPr>
    </w:p>
    <w:p w:rsidR="00676723" w:rsidRPr="00941907" w:rsidRDefault="00676723" w:rsidP="005C382A">
      <w:pPr>
        <w:rPr>
          <w:sz w:val="16"/>
          <w:szCs w:val="16"/>
        </w:rPr>
      </w:pPr>
    </w:p>
    <w:p w:rsidR="00BE4D27" w:rsidRDefault="004668D9" w:rsidP="00BE4D27">
      <w:pPr>
        <w:pStyle w:val="Heading3"/>
        <w:rPr>
          <w:rFonts w:ascii="Tahoma" w:hAnsi="Tahoma"/>
          <w:color w:val="F66400"/>
          <w:sz w:val="22"/>
        </w:rPr>
      </w:pPr>
      <w:bookmarkStart w:id="1097" w:name="_18_Visio_Pro"/>
      <w:bookmarkStart w:id="1098" w:name="_Toc353376054"/>
      <w:bookmarkEnd w:id="1097"/>
      <w:r w:rsidRPr="00BD7CEA">
        <w:rPr>
          <w:rFonts w:ascii="Tahoma" w:hAnsi="Tahoma"/>
          <w:caps/>
          <w:color w:val="F66400"/>
          <w:sz w:val="22"/>
          <w:vertAlign w:val="superscript"/>
        </w:rPr>
        <w:t>18</w:t>
      </w:r>
      <w:r w:rsidRPr="00BD7CEA">
        <w:rPr>
          <w:rFonts w:ascii="Tahoma" w:hAnsi="Tahoma"/>
          <w:color w:val="F66400"/>
          <w:sz w:val="22"/>
        </w:rPr>
        <w:t xml:space="preserve"> Visio Pro per Office 365</w:t>
      </w:r>
      <w:bookmarkEnd w:id="1098"/>
      <w:r w:rsidRPr="00BD7CEA">
        <w:rPr>
          <w:rFonts w:ascii="Tahoma" w:hAnsi="Tahoma"/>
          <w:color w:val="F66400"/>
          <w:sz w:val="22"/>
        </w:rPr>
        <w:t xml:space="preserve"> </w:t>
      </w:r>
    </w:p>
    <w:p w:rsidR="00941907" w:rsidRPr="00941907" w:rsidRDefault="00941907" w:rsidP="00941907">
      <w:pPr>
        <w:rPr>
          <w:sz w:val="16"/>
          <w:szCs w:val="16"/>
        </w:rPr>
      </w:pPr>
    </w:p>
    <w:p w:rsidR="00BE4D27" w:rsidRPr="00BD7CEA" w:rsidRDefault="00BE4D27" w:rsidP="00BE4D27">
      <w:pPr>
        <w:spacing w:after="60"/>
        <w:ind w:left="720"/>
      </w:pPr>
      <w:r w:rsidRPr="00BD7CEA">
        <w:rPr>
          <w:rFonts w:cs="Tahoma"/>
          <w:b/>
        </w:rPr>
        <w:t>Idoneità dei Supporti di Memorizzazione con i Servizi Desktop Remoto (RDS)</w:t>
      </w:r>
    </w:p>
    <w:p w:rsidR="00BE4D27" w:rsidRPr="00BD7CEA" w:rsidRDefault="00BE4D27" w:rsidP="00BE4D27">
      <w:pPr>
        <w:ind w:left="720"/>
      </w:pPr>
      <w:r w:rsidRPr="00BD7CEA">
        <w:rPr>
          <w:rFonts w:cs="Tahoma"/>
          <w:szCs w:val="18"/>
        </w:rPr>
        <w:t>Qualora l</w:t>
      </w:r>
      <w:r w:rsidR="007A1415" w:rsidRPr="00BD7CEA">
        <w:rPr>
          <w:rFonts w:cs="Tahoma"/>
          <w:szCs w:val="18"/>
        </w:rPr>
        <w:t>’</w:t>
      </w:r>
      <w:r w:rsidRPr="00BD7CEA">
        <w:rPr>
          <w:rFonts w:cs="Tahoma"/>
          <w:szCs w:val="18"/>
        </w:rPr>
        <w:t>utente al quale è stata ceduta una licenza per Visio Pro per Office 365 utilizzi il software su un server di rete con il ruolo RDS attivato anziché installare una copia del software fornito con Visio Pro per Office 365 su uno dei cinque dispositivi autorizzati in conformità ai Diritti di Utilizzo del Prodotto per Visio Pro per Office 365, tale utente potrà 1) installare una copia del software Visio 2013 Professional su un server di rete e 2) accedere al software Visio 2013 Professional da qualsiasi dispositivo.</w:t>
      </w:r>
      <w:r w:rsidR="008D782D" w:rsidRPr="00BD7CEA">
        <w:rPr>
          <w:rFonts w:cs="Tahoma"/>
          <w:szCs w:val="18"/>
        </w:rPr>
        <w:t xml:space="preserve"> </w:t>
      </w:r>
      <w:r w:rsidRPr="00BD7CEA">
        <w:rPr>
          <w:rFonts w:cs="Tahoma"/>
          <w:szCs w:val="18"/>
        </w:rPr>
        <w:t xml:space="preserve">Alla scadenza della sottoscrizione di Visio Pro per Office 365 la società dovrà disinstallare il software Visio 2013 Professional dal server di rete. </w:t>
      </w:r>
    </w:p>
    <w:p w:rsidR="00BE4D27" w:rsidRPr="00941907" w:rsidRDefault="00BE4D27" w:rsidP="00BE4D27">
      <w:pPr>
        <w:ind w:left="720"/>
        <w:rPr>
          <w:sz w:val="16"/>
          <w:szCs w:val="16"/>
        </w:rPr>
      </w:pPr>
    </w:p>
    <w:p w:rsidR="00BE4D27" w:rsidRPr="00BD7CEA" w:rsidRDefault="00BE4D27" w:rsidP="00BE4D27">
      <w:pPr>
        <w:spacing w:after="60"/>
        <w:ind w:left="720"/>
      </w:pPr>
      <w:r w:rsidRPr="00BD7CEA">
        <w:rPr>
          <w:rFonts w:cs="Tahoma"/>
          <w:b/>
        </w:rPr>
        <w:t>Diritti di Downgrade</w:t>
      </w:r>
    </w:p>
    <w:p w:rsidR="00BE4D27" w:rsidRPr="00BD7CEA" w:rsidRDefault="00BE4D27" w:rsidP="00BE4D27">
      <w:pPr>
        <w:ind w:left="720"/>
        <w:rPr>
          <w:spacing w:val="-2"/>
        </w:rPr>
      </w:pPr>
      <w:r w:rsidRPr="00BD7CEA">
        <w:rPr>
          <w:rFonts w:cs="Tahoma"/>
          <w:bCs/>
          <w:spacing w:val="-2"/>
          <w:szCs w:val="18"/>
        </w:rPr>
        <w:t>Per il servizio Visio Pro per Office 365 non sono previsti diritti di downgrade. Per ulteriori informazioni in merito ai requisiti per l</w:t>
      </w:r>
      <w:r w:rsidR="007A1415" w:rsidRPr="00BD7CEA">
        <w:rPr>
          <w:rFonts w:cs="Tahoma"/>
          <w:bCs/>
          <w:spacing w:val="-2"/>
          <w:szCs w:val="18"/>
        </w:rPr>
        <w:t>’</w:t>
      </w:r>
      <w:r w:rsidRPr="00BD7CEA">
        <w:rPr>
          <w:rFonts w:cs="Tahoma"/>
          <w:bCs/>
          <w:spacing w:val="-2"/>
          <w:szCs w:val="18"/>
        </w:rPr>
        <w:t xml:space="preserve">aggiornamento dei Servizi Online, consultare il documento Diritti di Utilizzo del Prodotto (Product Use Rights o PUR) alla pagina </w:t>
      </w:r>
      <w:hyperlink r:id="rId44" w:history="1">
        <w:r w:rsidRPr="00BD7CEA">
          <w:rPr>
            <w:rStyle w:val="Hyperlink"/>
            <w:rFonts w:cs="Tahoma"/>
            <w:bCs/>
            <w:spacing w:val="-2"/>
            <w:szCs w:val="18"/>
          </w:rPr>
          <w:t>http://www.microsoftvolumelicensing.com/userights/PUR.aspx</w:t>
        </w:r>
      </w:hyperlink>
    </w:p>
    <w:p w:rsidR="00BE4D27" w:rsidRPr="00941907" w:rsidRDefault="00BE4D27" w:rsidP="005C382A">
      <w:pPr>
        <w:rPr>
          <w:sz w:val="16"/>
          <w:szCs w:val="16"/>
        </w:rPr>
      </w:pPr>
    </w:p>
    <w:p w:rsidR="005C382A" w:rsidRPr="00941907" w:rsidRDefault="005C382A" w:rsidP="005C382A">
      <w:pPr>
        <w:rPr>
          <w:sz w:val="16"/>
          <w:szCs w:val="16"/>
        </w:rPr>
      </w:pPr>
    </w:p>
    <w:p w:rsidR="00223A77" w:rsidRPr="00BD7CEA" w:rsidRDefault="004668D9" w:rsidP="00223A77">
      <w:pPr>
        <w:pStyle w:val="Heading3"/>
      </w:pPr>
      <w:bookmarkStart w:id="1099" w:name="_19_Visual_Studio"/>
      <w:bookmarkStart w:id="1100" w:name="_Toc336338275"/>
      <w:bookmarkStart w:id="1101" w:name="_Toc353376055"/>
      <w:bookmarkStart w:id="1102" w:name="Aps_12VS2010Professional"/>
      <w:bookmarkStart w:id="1103" w:name="_Toc252341836"/>
      <w:bookmarkEnd w:id="1099"/>
      <w:r w:rsidRPr="00BD7CEA">
        <w:rPr>
          <w:rFonts w:ascii="Tahoma" w:hAnsi="Tahoma"/>
          <w:caps/>
          <w:color w:val="F66400"/>
          <w:sz w:val="22"/>
          <w:vertAlign w:val="superscript"/>
        </w:rPr>
        <w:t>19</w:t>
      </w:r>
      <w:r w:rsidRPr="00BD7CEA">
        <w:rPr>
          <w:rFonts w:ascii="Tahoma" w:hAnsi="Tahoma"/>
          <w:color w:val="F66400"/>
          <w:sz w:val="22"/>
        </w:rPr>
        <w:t xml:space="preserve"> Visual Studio Professional 2012</w:t>
      </w:r>
      <w:bookmarkEnd w:id="1100"/>
      <w:bookmarkEnd w:id="1101"/>
    </w:p>
    <w:bookmarkEnd w:id="1102"/>
    <w:p w:rsidR="009275A3" w:rsidRPr="00941907" w:rsidRDefault="009275A3" w:rsidP="009275A3">
      <w:pPr>
        <w:pStyle w:val="FootnoteBulletLevel1"/>
        <w:tabs>
          <w:tab w:val="clear" w:pos="900"/>
        </w:tabs>
        <w:spacing w:before="0" w:after="0"/>
        <w:ind w:left="0" w:firstLine="0"/>
        <w:rPr>
          <w:sz w:val="16"/>
          <w:szCs w:val="16"/>
        </w:rPr>
      </w:pPr>
    </w:p>
    <w:p w:rsidR="006D58DB" w:rsidRPr="00BD7CEA" w:rsidRDefault="006D58DB" w:rsidP="00864B8A">
      <w:pPr>
        <w:spacing w:after="60"/>
        <w:ind w:left="720"/>
      </w:pPr>
      <w:r w:rsidRPr="00BD7CEA">
        <w:rPr>
          <w:rFonts w:cs="Tahoma"/>
          <w:b/>
        </w:rPr>
        <w:t>Percorso di Migrazione di Software Assurance per Visual Studio LightSwitch 2011</w:t>
      </w:r>
    </w:p>
    <w:p w:rsidR="006D58DB" w:rsidRPr="00BD7CEA" w:rsidRDefault="006D58DB" w:rsidP="009275A3">
      <w:pPr>
        <w:pStyle w:val="FootnoteBulletLevel1"/>
        <w:tabs>
          <w:tab w:val="clear" w:pos="900"/>
        </w:tabs>
        <w:spacing w:before="0" w:after="0"/>
        <w:ind w:left="720" w:firstLine="0"/>
      </w:pPr>
      <w:r w:rsidRPr="00BD7CEA">
        <w:rPr>
          <w:rFonts w:ascii="Tahoma" w:hAnsi="Tahoma" w:cs="Tahoma"/>
          <w:sz w:val="18"/>
        </w:rPr>
        <w:t>Le società con una copertura Software Assurance attiva per Visual Studio LightSwitch 2011 alla data di</w:t>
      </w:r>
      <w:r w:rsidR="00D45A36">
        <w:rPr>
          <w:rFonts w:ascii="Tahoma" w:hAnsi="Tahoma" w:cs="Tahoma"/>
          <w:sz w:val="18"/>
        </w:rPr>
        <w:t> </w:t>
      </w:r>
      <w:r w:rsidRPr="00BD7CEA">
        <w:rPr>
          <w:rFonts w:ascii="Tahoma" w:hAnsi="Tahoma" w:cs="Tahoma"/>
          <w:sz w:val="18"/>
        </w:rPr>
        <w:t>disponibilità del download di Visual Studio Professional 2012 potranno utilizzare Visual Studio Professional</w:t>
      </w:r>
      <w:r w:rsidR="00D45A36">
        <w:rPr>
          <w:rFonts w:ascii="Tahoma" w:hAnsi="Tahoma" w:cs="Tahoma"/>
          <w:sz w:val="18"/>
        </w:rPr>
        <w:t> </w:t>
      </w:r>
      <w:r w:rsidRPr="00BD7CEA">
        <w:rPr>
          <w:rFonts w:ascii="Tahoma" w:hAnsi="Tahoma" w:cs="Tahoma"/>
          <w:sz w:val="18"/>
        </w:rPr>
        <w:t>2012. Il diritto di utilizzo di Visual Studio Professional 2012 ai sensi di tale offerta cesserà alla cessazione del diritto di utilizzo di Visual Studio LightSwitch 2011 in virtù delle relative licenze qualificanti.</w:t>
      </w:r>
      <w:r w:rsidR="008D782D" w:rsidRPr="00BD7CEA">
        <w:rPr>
          <w:rFonts w:ascii="Tahoma" w:hAnsi="Tahoma" w:cs="Tahoma"/>
          <w:sz w:val="18"/>
        </w:rPr>
        <w:t xml:space="preserve"> </w:t>
      </w:r>
      <w:r w:rsidRPr="00BD7CEA">
        <w:rPr>
          <w:rFonts w:ascii="Tahoma" w:hAnsi="Tahoma" w:cs="Tahoma"/>
          <w:sz w:val="18"/>
        </w:rPr>
        <w:t>L</w:t>
      </w:r>
      <w:r w:rsidR="007A1415" w:rsidRPr="00BD7CEA">
        <w:rPr>
          <w:rFonts w:ascii="Tahoma" w:hAnsi="Tahoma" w:cs="Tahoma"/>
          <w:sz w:val="18"/>
        </w:rPr>
        <w:t>’</w:t>
      </w:r>
      <w:r w:rsidRPr="00BD7CEA">
        <w:rPr>
          <w:rFonts w:ascii="Tahoma" w:hAnsi="Tahoma" w:cs="Tahoma"/>
          <w:sz w:val="18"/>
        </w:rPr>
        <w:t>utilizzo di Visual Studio Professional 2012 è regolato dai diritti di utilizzo di Visual Studio Professional 2012 e dalle condizioni del contratto multilicenza della società.</w:t>
      </w:r>
      <w:r w:rsidR="008D782D" w:rsidRPr="00BD7CEA">
        <w:rPr>
          <w:rFonts w:ascii="Tahoma" w:hAnsi="Tahoma" w:cs="Tahoma"/>
          <w:sz w:val="18"/>
        </w:rPr>
        <w:t xml:space="preserve"> </w:t>
      </w:r>
      <w:r w:rsidRPr="00BD7CEA">
        <w:rPr>
          <w:rFonts w:ascii="Tahoma" w:hAnsi="Tahoma" w:cs="Tahoma"/>
          <w:sz w:val="18"/>
        </w:rPr>
        <w:t>La presente nota relativa alle condizioni del prodotto e la prova da</w:t>
      </w:r>
      <w:r w:rsidR="00861D57">
        <w:rPr>
          <w:rFonts w:ascii="Tahoma" w:hAnsi="Tahoma" w:cs="Tahoma"/>
          <w:sz w:val="18"/>
        </w:rPr>
        <w:t> </w:t>
      </w:r>
      <w:r w:rsidRPr="00BD7CEA">
        <w:rPr>
          <w:rFonts w:ascii="Tahoma" w:hAnsi="Tahoma" w:cs="Tahoma"/>
          <w:sz w:val="18"/>
        </w:rPr>
        <w:t>parte della società della corrispondente licenza qualificante costituiscono insieme la prova del diritto di</w:t>
      </w:r>
      <w:r w:rsidR="00861D57">
        <w:rPr>
          <w:rFonts w:ascii="Tahoma" w:hAnsi="Tahoma" w:cs="Tahoma"/>
          <w:sz w:val="18"/>
        </w:rPr>
        <w:t> </w:t>
      </w:r>
      <w:r w:rsidRPr="00BD7CEA">
        <w:rPr>
          <w:rFonts w:ascii="Tahoma" w:hAnsi="Tahoma" w:cs="Tahoma"/>
          <w:sz w:val="18"/>
        </w:rPr>
        <w:t>utilizzo di Visual Studio Professional 2012 ai sensi della presente offerta.</w:t>
      </w:r>
      <w:r w:rsidR="008D782D" w:rsidRPr="00BD7CEA">
        <w:rPr>
          <w:rFonts w:ascii="Tahoma" w:hAnsi="Tahoma" w:cs="Tahoma"/>
          <w:sz w:val="18"/>
        </w:rPr>
        <w:t xml:space="preserve"> </w:t>
      </w:r>
    </w:p>
    <w:p w:rsidR="00223A77" w:rsidRPr="00941907" w:rsidRDefault="00223A77" w:rsidP="009275A3">
      <w:pPr>
        <w:rPr>
          <w:sz w:val="16"/>
          <w:szCs w:val="16"/>
        </w:rPr>
      </w:pPr>
    </w:p>
    <w:p w:rsidR="00691648" w:rsidRPr="00BD7CEA" w:rsidRDefault="00691648" w:rsidP="00691648">
      <w:pPr>
        <w:spacing w:after="60"/>
        <w:ind w:left="720"/>
      </w:pPr>
      <w:r w:rsidRPr="00BD7CEA">
        <w:rPr>
          <w:b/>
          <w:bCs/>
        </w:rPr>
        <w:t>Percorso di Migrazione di Software Assurance per Expression Studio Ultimate 4</w:t>
      </w:r>
    </w:p>
    <w:p w:rsidR="00691648" w:rsidRPr="00BD7CEA" w:rsidRDefault="00691648" w:rsidP="00691648">
      <w:pPr>
        <w:ind w:left="720"/>
      </w:pPr>
      <w:r w:rsidRPr="00BD7CEA">
        <w:t>Le società con una copertura Software Assurance attiva per Expression Studio Ultimate 4 al 1 marzo 2013 sono idonee a utilizzare Visual Studio Professional 2012. Il diritto di utilizzo di Visual Studio Professional 2012 scadrà alla scadenza del diritto di utilizzo di Expression Studio Ultimate 4 ai sensi delle corrispondenti licenze qualificanti. L</w:t>
      </w:r>
      <w:r w:rsidR="007A1415" w:rsidRPr="00BD7CEA">
        <w:t>’</w:t>
      </w:r>
      <w:r w:rsidRPr="00BD7CEA">
        <w:t>utilizzo di Visual Studio Professional 2012 è disciplinato dai diritti sull</w:t>
      </w:r>
      <w:r w:rsidR="007A1415" w:rsidRPr="00BD7CEA">
        <w:t>’</w:t>
      </w:r>
      <w:r w:rsidRPr="00BD7CEA">
        <w:t>utilizzo per il software Visual Studio Professional 2012 e dalle condizioni del contratto multilicenza della società. La presente nota relativa alle condizioni del prodotto e la prova delle corrispondenti licenze qualificanti attestano il diritto di utilizzo di Visual Studio Professional 2012 ai sensi della presente offerta.</w:t>
      </w:r>
      <w:r w:rsidR="008D782D" w:rsidRPr="00BD7CEA">
        <w:t xml:space="preserve"> </w:t>
      </w:r>
    </w:p>
    <w:p w:rsidR="00223A77" w:rsidRPr="00BD7CEA" w:rsidRDefault="004668D9" w:rsidP="00223A77">
      <w:pPr>
        <w:pStyle w:val="Heading3"/>
      </w:pPr>
      <w:bookmarkStart w:id="1104" w:name="_20_Visual_Studio"/>
      <w:bookmarkStart w:id="1105" w:name="_Toc336338276"/>
      <w:bookmarkStart w:id="1106" w:name="_Toc353376056"/>
      <w:bookmarkStart w:id="1107" w:name="Aps_13VS2010ProfessionalMSDN"/>
      <w:bookmarkEnd w:id="1104"/>
      <w:r w:rsidRPr="00BD7CEA">
        <w:rPr>
          <w:rFonts w:ascii="Tahoma" w:hAnsi="Tahoma"/>
          <w:caps/>
          <w:color w:val="F66400"/>
          <w:sz w:val="22"/>
          <w:vertAlign w:val="superscript"/>
        </w:rPr>
        <w:lastRenderedPageBreak/>
        <w:t>20</w:t>
      </w:r>
      <w:r w:rsidRPr="00BD7CEA">
        <w:rPr>
          <w:rFonts w:ascii="Tahoma" w:hAnsi="Tahoma"/>
          <w:color w:val="F66400"/>
          <w:sz w:val="22"/>
        </w:rPr>
        <w:t xml:space="preserve"> Visual Studio Professional 2012 con MSDN</w:t>
      </w:r>
      <w:bookmarkEnd w:id="1105"/>
      <w:bookmarkEnd w:id="1106"/>
      <w:r w:rsidRPr="00BD7CEA">
        <w:rPr>
          <w:rFonts w:ascii="Tahoma" w:hAnsi="Tahoma"/>
          <w:color w:val="F66400"/>
          <w:sz w:val="22"/>
        </w:rPr>
        <w:t xml:space="preserve"> </w:t>
      </w:r>
      <w:bookmarkEnd w:id="1103"/>
    </w:p>
    <w:p w:rsidR="00F6352F" w:rsidRPr="00BD7CEA" w:rsidRDefault="00F6352F" w:rsidP="005B0791">
      <w:pPr>
        <w:ind w:left="720"/>
      </w:pPr>
    </w:p>
    <w:bookmarkEnd w:id="1107"/>
    <w:p w:rsidR="001026FD" w:rsidRPr="00BD7CEA" w:rsidRDefault="001026FD" w:rsidP="00864B8A">
      <w:pPr>
        <w:spacing w:after="60"/>
        <w:ind w:left="720"/>
      </w:pPr>
      <w:r w:rsidRPr="00BD7CEA">
        <w:rPr>
          <w:rFonts w:cs="Tahoma"/>
          <w:b/>
        </w:rPr>
        <w:t>Visual Studio Team Foundation Server 2012</w:t>
      </w:r>
    </w:p>
    <w:p w:rsidR="001026FD" w:rsidRPr="00BD7CEA" w:rsidRDefault="001026FD" w:rsidP="005B0791">
      <w:pPr>
        <w:pStyle w:val="EndnoteText"/>
        <w:tabs>
          <w:tab w:val="num" w:pos="1350"/>
        </w:tabs>
        <w:ind w:left="720"/>
      </w:pPr>
      <w:r w:rsidRPr="00BD7CEA">
        <w:rPr>
          <w:rFonts w:ascii="Tahoma" w:hAnsi="Tahoma" w:cs="Tahoma"/>
          <w:sz w:val="18"/>
        </w:rPr>
        <w:t>Il sottoscrittore è autorizzato a ricevere una licenza server per Visual Studio Team Foundation Server 2012 e</w:t>
      </w:r>
      <w:r w:rsidR="00BA65A9" w:rsidRPr="00BD7CEA">
        <w:rPr>
          <w:rFonts w:ascii="Tahoma" w:hAnsi="Tahoma" w:cs="Tahoma"/>
          <w:sz w:val="18"/>
        </w:rPr>
        <w:t> </w:t>
      </w:r>
      <w:r w:rsidRPr="00BD7CEA">
        <w:rPr>
          <w:rFonts w:ascii="Tahoma" w:hAnsi="Tahoma" w:cs="Tahoma"/>
          <w:sz w:val="18"/>
        </w:rPr>
        <w:t>una User CAL per Team Foundation Server. La licenza CAL può essere utilizzata esclusivamente dal sottoscrittore.</w:t>
      </w:r>
    </w:p>
    <w:p w:rsidR="001026FD" w:rsidRPr="00BD7CEA" w:rsidRDefault="001026FD" w:rsidP="005B0791">
      <w:pPr>
        <w:pStyle w:val="EndnoteText"/>
        <w:tabs>
          <w:tab w:val="num" w:pos="1350"/>
        </w:tabs>
        <w:ind w:left="720"/>
      </w:pPr>
    </w:p>
    <w:p w:rsidR="001026FD" w:rsidRPr="00BD7CEA" w:rsidRDefault="001026FD" w:rsidP="00864B8A">
      <w:pPr>
        <w:spacing w:after="60"/>
        <w:ind w:left="720"/>
      </w:pPr>
      <w:r w:rsidRPr="00BD7CEA">
        <w:rPr>
          <w:rFonts w:cs="Tahoma"/>
          <w:b/>
        </w:rPr>
        <w:t>SQL Server Parallel Data Warehouse Developer</w:t>
      </w:r>
    </w:p>
    <w:p w:rsidR="001026FD" w:rsidRPr="00BD7CEA" w:rsidRDefault="001026FD" w:rsidP="005B0791">
      <w:pPr>
        <w:pStyle w:val="EndnoteText"/>
        <w:tabs>
          <w:tab w:val="num" w:pos="1350"/>
        </w:tabs>
        <w:ind w:left="720"/>
      </w:pPr>
      <w:r w:rsidRPr="00BD7CEA">
        <w:rPr>
          <w:rFonts w:ascii="Tahoma" w:hAnsi="Tahoma" w:cs="Tahoma"/>
          <w:sz w:val="18"/>
        </w:rPr>
        <w:t>Il sottoscrittore è idoneo a ricevere una licenza per SQL Server 2008 R2 Parallel Data Warehouse Developer.</w:t>
      </w:r>
    </w:p>
    <w:p w:rsidR="005B0791" w:rsidRPr="00BD7CEA" w:rsidRDefault="005B0791" w:rsidP="005B0791">
      <w:pPr>
        <w:pStyle w:val="FootnoteBulletLevel1"/>
        <w:tabs>
          <w:tab w:val="clear" w:pos="900"/>
          <w:tab w:val="num" w:pos="1350"/>
        </w:tabs>
        <w:spacing w:before="0" w:after="0"/>
        <w:ind w:left="720" w:firstLine="0"/>
      </w:pPr>
    </w:p>
    <w:p w:rsidR="00223A77" w:rsidRPr="00BD7CEA" w:rsidRDefault="00223A77" w:rsidP="00864B8A">
      <w:pPr>
        <w:spacing w:after="60"/>
        <w:ind w:left="720"/>
      </w:pPr>
      <w:r w:rsidRPr="00BD7CEA">
        <w:rPr>
          <w:rFonts w:cs="Tahoma"/>
          <w:b/>
        </w:rPr>
        <w:t>Percorso di Migrazione di Software Assurance per Visual Studio 2010 Professional con MSDN Integrato</w:t>
      </w:r>
    </w:p>
    <w:p w:rsidR="00223A77" w:rsidRPr="00BD7CEA" w:rsidRDefault="00223A77" w:rsidP="005B0791">
      <w:pPr>
        <w:pStyle w:val="FootnoteBulletLevel1"/>
        <w:tabs>
          <w:tab w:val="clear" w:pos="900"/>
          <w:tab w:val="num" w:pos="1350"/>
        </w:tabs>
        <w:spacing w:before="0" w:after="0"/>
        <w:ind w:left="720" w:firstLine="0"/>
      </w:pPr>
      <w:r w:rsidRPr="00BD7CEA">
        <w:rPr>
          <w:rFonts w:ascii="Tahoma" w:hAnsi="Tahoma" w:cs="Tahoma"/>
          <w:sz w:val="18"/>
        </w:rPr>
        <w:t>La versione sostitutiva di Visual Studio 2010 Professional con MSDN Integrato è Visual Studio Professional</w:t>
      </w:r>
      <w:r w:rsidR="00BA65A9" w:rsidRPr="00BD7CEA">
        <w:rPr>
          <w:rFonts w:ascii="Tahoma" w:hAnsi="Tahoma" w:cs="Tahoma"/>
          <w:sz w:val="18"/>
        </w:rPr>
        <w:t> </w:t>
      </w:r>
      <w:r w:rsidRPr="00BD7CEA">
        <w:rPr>
          <w:rFonts w:ascii="Tahoma" w:hAnsi="Tahoma" w:cs="Tahoma"/>
          <w:sz w:val="18"/>
        </w:rPr>
        <w:t xml:space="preserve">2012 con MSDN. </w:t>
      </w:r>
    </w:p>
    <w:p w:rsidR="005B0791" w:rsidRPr="00BD7CEA" w:rsidRDefault="005B0791" w:rsidP="005B0791">
      <w:pPr>
        <w:pStyle w:val="FootnoteBulletLevel1"/>
        <w:tabs>
          <w:tab w:val="clear" w:pos="900"/>
          <w:tab w:val="num" w:pos="1350"/>
        </w:tabs>
        <w:spacing w:before="0" w:after="0"/>
        <w:ind w:left="720" w:firstLine="0"/>
      </w:pPr>
    </w:p>
    <w:p w:rsidR="00223A77" w:rsidRPr="00BD7CEA" w:rsidRDefault="00223A77" w:rsidP="00864B8A">
      <w:pPr>
        <w:spacing w:after="60"/>
        <w:ind w:left="720"/>
      </w:pPr>
      <w:r w:rsidRPr="00BD7CEA">
        <w:rPr>
          <w:rFonts w:cs="Tahoma"/>
          <w:b/>
        </w:rPr>
        <w:t>Requisiti di Idoneità per Software Assurance</w:t>
      </w:r>
    </w:p>
    <w:p w:rsidR="00BE4D27" w:rsidRPr="00BD7CEA" w:rsidRDefault="00223A77" w:rsidP="00BE4D27">
      <w:pPr>
        <w:pStyle w:val="EndnoteText"/>
        <w:rPr>
          <w:spacing w:val="-2"/>
        </w:rPr>
      </w:pPr>
      <w:r w:rsidRPr="00BD7CEA">
        <w:rPr>
          <w:rFonts w:ascii="Tahoma" w:hAnsi="Tahoma" w:cs="Tahoma"/>
          <w:spacing w:val="-2"/>
          <w:sz w:val="18"/>
        </w:rPr>
        <w:t>Le società con copertura Software Assurance in scadenza per le licenze dei seguenti prodotti sono idonee a</w:t>
      </w:r>
      <w:r w:rsidR="00BA65A9" w:rsidRPr="00BD7CEA">
        <w:rPr>
          <w:rFonts w:ascii="Tahoma" w:hAnsi="Tahoma" w:cs="Tahoma"/>
          <w:spacing w:val="-2"/>
          <w:sz w:val="18"/>
        </w:rPr>
        <w:t> </w:t>
      </w:r>
      <w:r w:rsidRPr="00BD7CEA">
        <w:rPr>
          <w:rFonts w:ascii="Tahoma" w:hAnsi="Tahoma" w:cs="Tahoma"/>
          <w:spacing w:val="-2"/>
          <w:sz w:val="18"/>
        </w:rPr>
        <w:t>rinnovare la copertura come Visual Studio Professional 2012 con MSDN.</w:t>
      </w:r>
      <w:r w:rsidRPr="00BD7CEA">
        <w:rPr>
          <w:rFonts w:cs="Tahoma"/>
          <w:spacing w:val="-2"/>
        </w:rPr>
        <w:t xml:space="preserve"> </w:t>
      </w:r>
      <w:r w:rsidRPr="00BD7CEA">
        <w:rPr>
          <w:rFonts w:ascii="Tahoma" w:hAnsi="Tahoma" w:cs="Tahoma"/>
          <w:spacing w:val="-2"/>
          <w:sz w:val="18"/>
        </w:rPr>
        <w:t>Quando viene effettuato il rinnovo a un livello di sottoscrizione MSDN diverso, le nuove condizioni per l</w:t>
      </w:r>
      <w:r w:rsidR="007A1415" w:rsidRPr="00BD7CEA">
        <w:rPr>
          <w:rFonts w:ascii="Tahoma" w:hAnsi="Tahoma" w:cs="Tahoma"/>
          <w:spacing w:val="-2"/>
          <w:sz w:val="18"/>
        </w:rPr>
        <w:t>’</w:t>
      </w:r>
      <w:r w:rsidRPr="00BD7CEA">
        <w:rPr>
          <w:rFonts w:ascii="Tahoma" w:hAnsi="Tahoma" w:cs="Tahoma"/>
          <w:spacing w:val="-2"/>
          <w:sz w:val="18"/>
        </w:rPr>
        <w:t>utilizzo sostituiscono quelle precedenti e</w:t>
      </w:r>
      <w:r w:rsidR="00BA65A9" w:rsidRPr="00BD7CEA">
        <w:rPr>
          <w:rFonts w:ascii="Tahoma" w:hAnsi="Tahoma" w:cs="Tahoma"/>
          <w:spacing w:val="-2"/>
          <w:sz w:val="18"/>
        </w:rPr>
        <w:t> </w:t>
      </w:r>
      <w:r w:rsidRPr="00BD7CEA">
        <w:rPr>
          <w:rFonts w:ascii="Tahoma" w:hAnsi="Tahoma" w:cs="Tahoma"/>
          <w:spacing w:val="-2"/>
          <w:sz w:val="18"/>
        </w:rPr>
        <w:t>qualsiasi prodotto software non incluso nella nuova sottoscrizione MSDN dovrà essere rimosso.</w:t>
      </w:r>
    </w:p>
    <w:p w:rsidR="00223A77" w:rsidRPr="00BD7CEA" w:rsidRDefault="00223A77" w:rsidP="00223A77">
      <w:pPr>
        <w:pStyle w:val="EndnoteText"/>
      </w:pPr>
    </w:p>
    <w:p w:rsidR="00223A77" w:rsidRPr="00BD7CEA" w:rsidRDefault="00223A77" w:rsidP="005B0791">
      <w:pPr>
        <w:pStyle w:val="FootnoteBulletLevel2"/>
        <w:numPr>
          <w:ilvl w:val="0"/>
          <w:numId w:val="4"/>
        </w:numPr>
        <w:spacing w:before="0" w:after="60"/>
        <w:ind w:left="1440"/>
      </w:pPr>
      <w:r w:rsidRPr="00BD7CEA">
        <w:rPr>
          <w:rFonts w:ascii="Tahoma" w:hAnsi="Tahoma" w:cs="Tahoma"/>
          <w:sz w:val="18"/>
        </w:rPr>
        <w:t>Visual Studio Ultimate con MSDN</w:t>
      </w:r>
    </w:p>
    <w:p w:rsidR="00223A77" w:rsidRPr="00BD7CEA" w:rsidRDefault="00223A77" w:rsidP="005B0791">
      <w:pPr>
        <w:pStyle w:val="FootnoteBulletLevel2"/>
        <w:numPr>
          <w:ilvl w:val="0"/>
          <w:numId w:val="4"/>
        </w:numPr>
        <w:spacing w:before="0" w:after="60"/>
        <w:ind w:left="1440"/>
      </w:pPr>
      <w:r w:rsidRPr="00BD7CEA">
        <w:rPr>
          <w:rFonts w:ascii="Tahoma" w:hAnsi="Tahoma" w:cs="Tahoma"/>
          <w:sz w:val="18"/>
        </w:rPr>
        <w:t>Visual Studio Premium con MSDN</w:t>
      </w:r>
    </w:p>
    <w:p w:rsidR="00223A77" w:rsidRPr="00BD7CEA" w:rsidRDefault="00223A77" w:rsidP="005B0791">
      <w:pPr>
        <w:pStyle w:val="FootnoteBulletLevel2"/>
        <w:numPr>
          <w:ilvl w:val="0"/>
          <w:numId w:val="4"/>
        </w:numPr>
        <w:spacing w:before="0" w:after="60"/>
        <w:ind w:left="1440"/>
      </w:pPr>
      <w:r w:rsidRPr="00BD7CEA">
        <w:rPr>
          <w:rFonts w:ascii="Tahoma" w:hAnsi="Tahoma" w:cs="Tahoma"/>
          <w:sz w:val="18"/>
        </w:rPr>
        <w:t>Visual Studio Professional con MSDN</w:t>
      </w:r>
    </w:p>
    <w:p w:rsidR="00223A77" w:rsidRPr="00BD7CEA" w:rsidRDefault="00223A77" w:rsidP="005B0791">
      <w:pPr>
        <w:pStyle w:val="FootnoteBulletLevel2"/>
        <w:numPr>
          <w:ilvl w:val="0"/>
          <w:numId w:val="4"/>
        </w:numPr>
        <w:spacing w:before="0" w:after="60"/>
        <w:ind w:left="1440"/>
      </w:pPr>
      <w:r w:rsidRPr="00BD7CEA">
        <w:rPr>
          <w:rFonts w:ascii="Tahoma" w:hAnsi="Tahoma" w:cs="Tahoma"/>
          <w:sz w:val="18"/>
        </w:rPr>
        <w:t>Visual Studio Professional con MSDN Embedded</w:t>
      </w:r>
    </w:p>
    <w:p w:rsidR="00223A77" w:rsidRPr="00BD7CEA" w:rsidRDefault="00223A77" w:rsidP="005B0791">
      <w:pPr>
        <w:pStyle w:val="FootnoteBulletLevel2"/>
        <w:numPr>
          <w:ilvl w:val="0"/>
          <w:numId w:val="4"/>
        </w:numPr>
        <w:spacing w:before="0" w:after="60"/>
        <w:ind w:left="1440"/>
      </w:pPr>
      <w:r w:rsidRPr="00BD7CEA">
        <w:rPr>
          <w:rFonts w:ascii="Tahoma" w:hAnsi="Tahoma" w:cs="Tahoma"/>
          <w:sz w:val="18"/>
        </w:rPr>
        <w:t>Visual Studio Professional con MSDN Professional</w:t>
      </w:r>
    </w:p>
    <w:p w:rsidR="00223A77" w:rsidRPr="00BD7CEA" w:rsidRDefault="00223A77" w:rsidP="005B0791">
      <w:pPr>
        <w:pStyle w:val="FootnoteBulletLevel2"/>
        <w:numPr>
          <w:ilvl w:val="0"/>
          <w:numId w:val="4"/>
        </w:numPr>
        <w:spacing w:before="0" w:after="60"/>
        <w:ind w:left="1440"/>
      </w:pPr>
      <w:r w:rsidRPr="00BD7CEA">
        <w:rPr>
          <w:rFonts w:ascii="Tahoma" w:hAnsi="Tahoma" w:cs="Tahoma"/>
          <w:sz w:val="18"/>
        </w:rPr>
        <w:t>Visual Studio Professional con MSDN Premium</w:t>
      </w:r>
    </w:p>
    <w:p w:rsidR="00223A77" w:rsidRPr="00BD7CEA" w:rsidRDefault="00223A77" w:rsidP="005B0791">
      <w:pPr>
        <w:pStyle w:val="FootnoteBulletLevel2"/>
        <w:numPr>
          <w:ilvl w:val="0"/>
          <w:numId w:val="4"/>
        </w:numPr>
        <w:spacing w:before="0" w:after="60"/>
        <w:ind w:left="1440"/>
      </w:pPr>
      <w:r w:rsidRPr="00BD7CEA">
        <w:rPr>
          <w:rFonts w:ascii="Tahoma" w:hAnsi="Tahoma" w:cs="Tahoma"/>
          <w:sz w:val="18"/>
        </w:rPr>
        <w:t>Visual Studio Team System Team Suite con MSDN Premium</w:t>
      </w:r>
    </w:p>
    <w:p w:rsidR="00223A77" w:rsidRPr="00BD7CEA" w:rsidRDefault="00223A77" w:rsidP="005B0791">
      <w:pPr>
        <w:pStyle w:val="FootnoteBulletLevel2"/>
        <w:numPr>
          <w:ilvl w:val="0"/>
          <w:numId w:val="4"/>
        </w:numPr>
        <w:spacing w:before="0" w:after="60"/>
        <w:ind w:left="1440"/>
      </w:pPr>
      <w:r w:rsidRPr="00BD7CEA">
        <w:rPr>
          <w:rFonts w:ascii="Tahoma" w:hAnsi="Tahoma" w:cs="Tahoma"/>
          <w:sz w:val="18"/>
        </w:rPr>
        <w:t>Visual Studio Team System Test Edition con MSDN Premium</w:t>
      </w:r>
    </w:p>
    <w:p w:rsidR="00223A77" w:rsidRPr="00BD7CEA" w:rsidRDefault="00223A77" w:rsidP="005B0791">
      <w:pPr>
        <w:pStyle w:val="FootnoteBulletLevel2"/>
        <w:numPr>
          <w:ilvl w:val="0"/>
          <w:numId w:val="4"/>
        </w:numPr>
        <w:spacing w:before="0" w:after="60"/>
        <w:ind w:left="1440"/>
      </w:pPr>
      <w:r w:rsidRPr="00BD7CEA">
        <w:rPr>
          <w:rFonts w:ascii="Tahoma" w:hAnsi="Tahoma" w:cs="Tahoma"/>
          <w:sz w:val="18"/>
        </w:rPr>
        <w:t>Visual Studio Team System Development Edition con MSDN Premium</w:t>
      </w:r>
    </w:p>
    <w:p w:rsidR="00223A77" w:rsidRPr="00BD7CEA" w:rsidRDefault="00223A77" w:rsidP="005B0791">
      <w:pPr>
        <w:pStyle w:val="FootnoteBulletLevel2"/>
        <w:numPr>
          <w:ilvl w:val="0"/>
          <w:numId w:val="4"/>
        </w:numPr>
        <w:spacing w:before="0" w:after="60"/>
        <w:ind w:left="1440"/>
      </w:pPr>
      <w:r w:rsidRPr="00BD7CEA">
        <w:rPr>
          <w:rFonts w:ascii="Tahoma" w:hAnsi="Tahoma" w:cs="Tahoma"/>
          <w:sz w:val="18"/>
        </w:rPr>
        <w:t xml:space="preserve">Visual Studio Team System Architecture Edition con MSDN Premium </w:t>
      </w:r>
    </w:p>
    <w:p w:rsidR="00223A77" w:rsidRPr="00BD7CEA" w:rsidRDefault="00223A77" w:rsidP="005B0791">
      <w:pPr>
        <w:pStyle w:val="FootnoteBulletLevel2"/>
        <w:numPr>
          <w:ilvl w:val="0"/>
          <w:numId w:val="4"/>
        </w:numPr>
        <w:spacing w:before="0" w:after="60"/>
        <w:ind w:left="1440"/>
      </w:pPr>
      <w:r w:rsidRPr="00BD7CEA">
        <w:rPr>
          <w:rFonts w:ascii="Tahoma" w:hAnsi="Tahoma" w:cs="Tahoma"/>
          <w:sz w:val="18"/>
        </w:rPr>
        <w:t>Visual Studio Team System Database Edition con MSDN Premium</w:t>
      </w:r>
    </w:p>
    <w:p w:rsidR="00223A77" w:rsidRPr="00BD7CEA" w:rsidRDefault="00223A77" w:rsidP="005B0791">
      <w:pPr>
        <w:pStyle w:val="FootnoteBulletLevel2"/>
        <w:numPr>
          <w:ilvl w:val="0"/>
          <w:numId w:val="4"/>
        </w:numPr>
        <w:spacing w:before="0" w:after="60"/>
        <w:ind w:left="1440"/>
      </w:pPr>
      <w:r w:rsidRPr="00BD7CEA">
        <w:rPr>
          <w:rFonts w:ascii="Tahoma" w:hAnsi="Tahoma" w:cs="Tahoma"/>
          <w:sz w:val="18"/>
        </w:rPr>
        <w:t>Società titolari di un abbonamento retail attivo per qualsiasi prodotto software indicato nel precedente elenco.</w:t>
      </w:r>
    </w:p>
    <w:p w:rsidR="00223A77" w:rsidRPr="00BD7CEA" w:rsidRDefault="00223A77" w:rsidP="005B0791">
      <w:pPr>
        <w:pStyle w:val="FootnoteBulletLevel2"/>
        <w:numPr>
          <w:ilvl w:val="0"/>
          <w:numId w:val="4"/>
        </w:numPr>
        <w:spacing w:before="0" w:after="60"/>
        <w:ind w:left="1440"/>
      </w:pPr>
      <w:r w:rsidRPr="00BD7CEA">
        <w:rPr>
          <w:rFonts w:ascii="Tahoma" w:hAnsi="Tahoma" w:cs="Tahoma"/>
          <w:sz w:val="18"/>
        </w:rPr>
        <w:t>MSDN Essentials (acquisto con la licenza retail di Visual Studio 2010 Professional)</w:t>
      </w:r>
    </w:p>
    <w:p w:rsidR="00223A77" w:rsidRPr="00BD7CEA" w:rsidRDefault="00223A77" w:rsidP="005B0791">
      <w:pPr>
        <w:pStyle w:val="FootnoteBulletLevel1"/>
        <w:spacing w:before="0" w:after="0"/>
        <w:ind w:left="0" w:firstLine="0"/>
      </w:pPr>
    </w:p>
    <w:p w:rsidR="00223A77" w:rsidRPr="00BD7CEA" w:rsidRDefault="00223A77" w:rsidP="005B0791">
      <w:pPr>
        <w:pStyle w:val="FootnoteBulletLevel1"/>
        <w:tabs>
          <w:tab w:val="clear" w:pos="900"/>
        </w:tabs>
        <w:spacing w:before="0" w:after="0"/>
        <w:ind w:left="720" w:firstLine="0"/>
      </w:pPr>
      <w:r w:rsidRPr="00BD7CEA">
        <w:rPr>
          <w:rFonts w:ascii="Tahoma" w:hAnsi="Tahoma" w:cs="Tahoma"/>
          <w:sz w:val="18"/>
        </w:rPr>
        <w:t>Le società che hanno stipulato contratti Enterprise, Select o Open Value e con copertura Software Assurance attiva su Visual Studio Professional 2012 con MSDN potranno anch</w:t>
      </w:r>
      <w:r w:rsidR="007A1415" w:rsidRPr="00BD7CEA">
        <w:rPr>
          <w:rFonts w:ascii="Tahoma" w:hAnsi="Tahoma" w:cs="Tahoma"/>
          <w:sz w:val="18"/>
        </w:rPr>
        <w:t>’</w:t>
      </w:r>
      <w:r w:rsidRPr="00BD7CEA">
        <w:rPr>
          <w:rFonts w:ascii="Tahoma" w:hAnsi="Tahoma" w:cs="Tahoma"/>
          <w:sz w:val="18"/>
        </w:rPr>
        <w:t xml:space="preserve">esse effettuare lo step-up a Visual Studio Premium 2012 con MSDN o a Visual Studio Ultimate 2012 con MSDN dopo aver acquistato gli </w:t>
      </w:r>
      <w:hyperlink w:anchor="Step_Up" w:history="1">
        <w:r w:rsidRPr="00BD7CEA">
          <w:rPr>
            <w:rFonts w:ascii="Tahoma" w:hAnsi="Tahoma" w:cs="Tahoma"/>
            <w:sz w:val="18"/>
          </w:rPr>
          <w:t xml:space="preserve">SKU di </w:t>
        </w:r>
        <w:r w:rsidR="00D45A36">
          <w:rPr>
            <w:rFonts w:ascii="Tahoma" w:hAnsi="Tahoma" w:cs="Tahoma"/>
            <w:sz w:val="18"/>
          </w:rPr>
          <w:br/>
        </w:r>
        <w:r w:rsidRPr="00BD7CEA">
          <w:rPr>
            <w:rFonts w:ascii="Tahoma" w:hAnsi="Tahoma" w:cs="Tahoma"/>
            <w:sz w:val="18"/>
          </w:rPr>
          <w:t>Step-Up</w:t>
        </w:r>
      </w:hyperlink>
      <w:r w:rsidRPr="00BD7CEA">
        <w:rPr>
          <w:rFonts w:ascii="Tahoma" w:hAnsi="Tahoma" w:cs="Tahoma"/>
          <w:sz w:val="18"/>
        </w:rPr>
        <w:t xml:space="preserve"> idonei.</w:t>
      </w:r>
    </w:p>
    <w:p w:rsidR="005B0791" w:rsidRPr="00BD7CEA" w:rsidRDefault="005B0791" w:rsidP="005B0791">
      <w:pPr>
        <w:pStyle w:val="FootnoteBulletLevel2"/>
        <w:tabs>
          <w:tab w:val="clear" w:pos="1260"/>
        </w:tabs>
        <w:spacing w:before="0"/>
        <w:ind w:left="720" w:firstLine="0"/>
      </w:pPr>
    </w:p>
    <w:p w:rsidR="0055611F" w:rsidRPr="00BD7CEA" w:rsidRDefault="009B2474" w:rsidP="00864B8A">
      <w:pPr>
        <w:spacing w:after="60"/>
        <w:ind w:left="720"/>
      </w:pPr>
      <w:r w:rsidRPr="00BD7CEA">
        <w:rPr>
          <w:rFonts w:cs="Tahoma"/>
          <w:b/>
        </w:rPr>
        <w:t>Servizi “Subscription”</w:t>
      </w:r>
    </w:p>
    <w:p w:rsidR="0055611F" w:rsidRPr="00BD7CEA" w:rsidRDefault="0055611F" w:rsidP="005B0791">
      <w:pPr>
        <w:pStyle w:val="FootnoteBulletLevel2"/>
        <w:tabs>
          <w:tab w:val="clear" w:pos="1260"/>
        </w:tabs>
        <w:spacing w:before="0"/>
        <w:ind w:left="720" w:firstLine="0"/>
      </w:pPr>
      <w:r w:rsidRPr="00BD7CEA">
        <w:rPr>
          <w:rFonts w:ascii="Tahoma" w:hAnsi="Tahoma" w:cs="Tahoma"/>
          <w:sz w:val="18"/>
        </w:rPr>
        <w:t>I servizi MSDN in abbonamento, che potranno includere download, codici Product Key, vantaggi di Windows</w:t>
      </w:r>
      <w:r w:rsidR="00D45A36">
        <w:rPr>
          <w:rFonts w:ascii="Tahoma" w:hAnsi="Tahoma" w:cs="Tahoma"/>
          <w:sz w:val="18"/>
        </w:rPr>
        <w:t> </w:t>
      </w:r>
      <w:r w:rsidRPr="00BD7CEA">
        <w:rPr>
          <w:rFonts w:ascii="Tahoma" w:hAnsi="Tahoma" w:cs="Tahoma"/>
          <w:sz w:val="18"/>
        </w:rPr>
        <w:t>Azure, vantaggi di Office 365 Developer, e-learning, supporto tecnico, vantaggi di Windows Store</w:t>
      </w:r>
      <w:r w:rsidR="00D45A36">
        <w:rPr>
          <w:rFonts w:ascii="Tahoma" w:hAnsi="Tahoma" w:cs="Tahoma"/>
          <w:sz w:val="18"/>
        </w:rPr>
        <w:t> </w:t>
      </w:r>
      <w:r w:rsidRPr="00BD7CEA">
        <w:rPr>
          <w:rFonts w:ascii="Tahoma" w:hAnsi="Tahoma" w:cs="Tahoma"/>
          <w:sz w:val="18"/>
        </w:rPr>
        <w:t>e altri servizi, sono disponibili solo durante il periodo di validità dell</w:t>
      </w:r>
      <w:r w:rsidR="007A1415" w:rsidRPr="00BD7CEA">
        <w:rPr>
          <w:rFonts w:ascii="Tahoma" w:hAnsi="Tahoma" w:cs="Tahoma"/>
          <w:sz w:val="18"/>
        </w:rPr>
        <w:t>’</w:t>
      </w:r>
      <w:r w:rsidRPr="00BD7CEA">
        <w:rPr>
          <w:rFonts w:ascii="Tahoma" w:hAnsi="Tahoma" w:cs="Tahoma"/>
          <w:sz w:val="18"/>
        </w:rPr>
        <w:t>abbonamento.</w:t>
      </w:r>
    </w:p>
    <w:p w:rsidR="0055611F" w:rsidRPr="00BD7CEA" w:rsidRDefault="0055611F" w:rsidP="005B0791">
      <w:pPr>
        <w:pStyle w:val="FootnoteBulletLevel1"/>
        <w:tabs>
          <w:tab w:val="clear" w:pos="900"/>
        </w:tabs>
        <w:spacing w:before="0" w:after="0"/>
        <w:ind w:left="720" w:firstLine="0"/>
      </w:pPr>
    </w:p>
    <w:p w:rsidR="0055611F" w:rsidRPr="00BD7CEA" w:rsidRDefault="009B2474" w:rsidP="00864B8A">
      <w:pPr>
        <w:spacing w:after="60"/>
        <w:ind w:left="720"/>
      </w:pPr>
      <w:r w:rsidRPr="00BD7CEA">
        <w:rPr>
          <w:rFonts w:cs="Tahoma"/>
          <w:b/>
        </w:rPr>
        <w:t>Servizi della Piattaforma Windows Azure</w:t>
      </w:r>
    </w:p>
    <w:p w:rsidR="0055611F" w:rsidRPr="00BD7CEA" w:rsidRDefault="0055611F" w:rsidP="005B0791">
      <w:pPr>
        <w:pStyle w:val="FootnoteBulletLevel2"/>
        <w:tabs>
          <w:tab w:val="clear" w:pos="1260"/>
        </w:tabs>
        <w:spacing w:before="0"/>
        <w:ind w:left="720" w:firstLine="0"/>
      </w:pPr>
      <w:r w:rsidRPr="00BD7CEA">
        <w:rPr>
          <w:rFonts w:ascii="Tahoma" w:hAnsi="Tahoma" w:cs="Tahoma"/>
          <w:sz w:val="18"/>
        </w:rPr>
        <w:t>I vantaggi di Windows Azure non possono essere una combinazione di più abbonamenti a MSDN su un singolo account di Windows Azure. L</w:t>
      </w:r>
      <w:r w:rsidR="007A1415" w:rsidRPr="00BD7CEA">
        <w:rPr>
          <w:rFonts w:ascii="Tahoma" w:hAnsi="Tahoma" w:cs="Tahoma"/>
          <w:sz w:val="18"/>
        </w:rPr>
        <w:t>’</w:t>
      </w:r>
      <w:r w:rsidRPr="00BD7CEA">
        <w:rPr>
          <w:rFonts w:ascii="Tahoma" w:hAnsi="Tahoma" w:cs="Tahoma"/>
          <w:sz w:val="18"/>
        </w:rPr>
        <w:t>uso di Windows Azure è soggetto alle relative condizioni per l</w:t>
      </w:r>
      <w:r w:rsidR="007A1415" w:rsidRPr="00BD7CEA">
        <w:rPr>
          <w:rFonts w:ascii="Tahoma" w:hAnsi="Tahoma" w:cs="Tahoma"/>
          <w:sz w:val="18"/>
        </w:rPr>
        <w:t>’</w:t>
      </w:r>
      <w:r w:rsidRPr="00BD7CEA">
        <w:rPr>
          <w:rFonts w:ascii="Tahoma" w:hAnsi="Tahoma" w:cs="Tahoma"/>
          <w:sz w:val="18"/>
        </w:rPr>
        <w:t>utilizzo.</w:t>
      </w:r>
    </w:p>
    <w:p w:rsidR="005B0791" w:rsidRPr="00BD7CEA" w:rsidRDefault="005B0791" w:rsidP="005B0791">
      <w:pPr>
        <w:pStyle w:val="FootnoteBulletLevel2"/>
        <w:tabs>
          <w:tab w:val="clear" w:pos="1260"/>
        </w:tabs>
        <w:spacing w:before="0"/>
        <w:ind w:left="0" w:firstLine="0"/>
      </w:pPr>
    </w:p>
    <w:p w:rsidR="005B0791" w:rsidRPr="00BD7CEA" w:rsidRDefault="005B0791" w:rsidP="005B0791">
      <w:pPr>
        <w:pStyle w:val="FootnoteBulletLevel2"/>
        <w:tabs>
          <w:tab w:val="clear" w:pos="1260"/>
        </w:tabs>
        <w:spacing w:before="0"/>
        <w:ind w:left="0" w:firstLine="0"/>
      </w:pPr>
    </w:p>
    <w:p w:rsidR="00BA65A9" w:rsidRPr="00BD7CEA" w:rsidRDefault="00BA65A9" w:rsidP="005B0791">
      <w:pPr>
        <w:pStyle w:val="FootnoteBulletLevel2"/>
        <w:tabs>
          <w:tab w:val="clear" w:pos="1260"/>
        </w:tabs>
        <w:spacing w:before="0"/>
        <w:ind w:left="0" w:firstLine="0"/>
      </w:pPr>
    </w:p>
    <w:p w:rsidR="00223A77" w:rsidRPr="00BD7CEA" w:rsidRDefault="004668D9" w:rsidP="00223A77">
      <w:pPr>
        <w:pStyle w:val="Heading3"/>
      </w:pPr>
      <w:bookmarkStart w:id="1108" w:name="_21_Visual_Studio"/>
      <w:bookmarkStart w:id="1109" w:name="_Toc336338277"/>
      <w:bookmarkStart w:id="1110" w:name="_Toc353376057"/>
      <w:bookmarkStart w:id="1111" w:name="_Toc252341837"/>
      <w:bookmarkStart w:id="1112" w:name="Aps_16VS2010PremiumMSDN"/>
      <w:bookmarkEnd w:id="1108"/>
      <w:r w:rsidRPr="00BD7CEA">
        <w:rPr>
          <w:rFonts w:ascii="Tahoma" w:hAnsi="Tahoma"/>
          <w:caps/>
          <w:color w:val="F66400"/>
          <w:sz w:val="22"/>
          <w:vertAlign w:val="superscript"/>
        </w:rPr>
        <w:lastRenderedPageBreak/>
        <w:t>21</w:t>
      </w:r>
      <w:r w:rsidRPr="00BD7CEA">
        <w:rPr>
          <w:rFonts w:ascii="Tahoma" w:hAnsi="Tahoma"/>
          <w:color w:val="F66400"/>
          <w:sz w:val="22"/>
        </w:rPr>
        <w:t xml:space="preserve"> Visual Studio Premium 2012 con MSDN</w:t>
      </w:r>
      <w:bookmarkEnd w:id="1109"/>
      <w:bookmarkEnd w:id="1110"/>
      <w:r w:rsidRPr="00BD7CEA">
        <w:rPr>
          <w:rFonts w:ascii="Tahoma" w:hAnsi="Tahoma"/>
          <w:color w:val="F66400"/>
          <w:sz w:val="22"/>
        </w:rPr>
        <w:t xml:space="preserve"> </w:t>
      </w:r>
      <w:bookmarkEnd w:id="1111"/>
    </w:p>
    <w:bookmarkEnd w:id="1112"/>
    <w:p w:rsidR="00CB436E" w:rsidRPr="00BD7CEA" w:rsidRDefault="00CB436E" w:rsidP="00CB436E">
      <w:pPr>
        <w:pStyle w:val="FootnoteBulletLevel1"/>
        <w:tabs>
          <w:tab w:val="clear" w:pos="900"/>
        </w:tabs>
        <w:spacing w:before="0" w:after="0"/>
        <w:ind w:left="720" w:firstLine="0"/>
      </w:pPr>
    </w:p>
    <w:p w:rsidR="001026FD" w:rsidRPr="00BD7CEA" w:rsidRDefault="001026FD" w:rsidP="00864B8A">
      <w:pPr>
        <w:spacing w:after="60"/>
        <w:ind w:left="720"/>
      </w:pPr>
      <w:r w:rsidRPr="00BD7CEA">
        <w:rPr>
          <w:rFonts w:cs="Tahoma"/>
          <w:b/>
        </w:rPr>
        <w:t>Visual Studio Team Foundation Server 2012</w:t>
      </w:r>
    </w:p>
    <w:p w:rsidR="001026FD" w:rsidRPr="00BD7CEA" w:rsidRDefault="001026FD" w:rsidP="00CB436E">
      <w:pPr>
        <w:pStyle w:val="EndnoteText"/>
        <w:ind w:left="720"/>
      </w:pPr>
      <w:r w:rsidRPr="00BD7CEA">
        <w:rPr>
          <w:rFonts w:ascii="Tahoma" w:hAnsi="Tahoma" w:cs="Tahoma"/>
          <w:sz w:val="18"/>
        </w:rPr>
        <w:t>Il sottoscrittore è autorizzato a ricevere una licenza server per Visual Studio Team Foundation Server 2012 e</w:t>
      </w:r>
      <w:r w:rsidR="00BA65A9" w:rsidRPr="00BD7CEA">
        <w:rPr>
          <w:rFonts w:ascii="Tahoma" w:hAnsi="Tahoma" w:cs="Tahoma"/>
          <w:sz w:val="18"/>
        </w:rPr>
        <w:t> </w:t>
      </w:r>
      <w:r w:rsidRPr="00BD7CEA">
        <w:rPr>
          <w:rFonts w:ascii="Tahoma" w:hAnsi="Tahoma" w:cs="Tahoma"/>
          <w:sz w:val="18"/>
        </w:rPr>
        <w:t>una User CAL per Team Foundation Server. La licenza CAL può essere utilizzata esclusivamente dal sottoscrittore.</w:t>
      </w:r>
    </w:p>
    <w:p w:rsidR="001026FD" w:rsidRPr="00BD7CEA" w:rsidRDefault="001026FD" w:rsidP="00CB436E">
      <w:pPr>
        <w:pStyle w:val="EndnoteText"/>
        <w:ind w:left="720"/>
      </w:pPr>
    </w:p>
    <w:p w:rsidR="001026FD" w:rsidRPr="00BD7CEA" w:rsidRDefault="001026FD" w:rsidP="00864B8A">
      <w:pPr>
        <w:spacing w:after="60"/>
        <w:ind w:left="720"/>
      </w:pPr>
      <w:r w:rsidRPr="00BD7CEA">
        <w:rPr>
          <w:rFonts w:cs="Tahoma"/>
          <w:b/>
        </w:rPr>
        <w:t>SQL Server Parallel Data Warehouse Developer</w:t>
      </w:r>
    </w:p>
    <w:p w:rsidR="001026FD" w:rsidRPr="00BD7CEA" w:rsidRDefault="001026FD" w:rsidP="00CB436E">
      <w:pPr>
        <w:pStyle w:val="EndnoteText"/>
        <w:ind w:left="720"/>
      </w:pPr>
      <w:r w:rsidRPr="00BD7CEA">
        <w:rPr>
          <w:rFonts w:ascii="Tahoma" w:hAnsi="Tahoma" w:cs="Tahoma"/>
          <w:sz w:val="18"/>
        </w:rPr>
        <w:t>Il sottoscrittore è idoneo a ricevere una licenza per SQL Server 2008 R2 Parallel Data Warehouse Developer.</w:t>
      </w:r>
    </w:p>
    <w:p w:rsidR="00CB436E" w:rsidRPr="00BD7CEA" w:rsidRDefault="00CB436E" w:rsidP="00CB436E">
      <w:pPr>
        <w:pStyle w:val="FootnoteBulletLevel1"/>
        <w:tabs>
          <w:tab w:val="clear" w:pos="900"/>
        </w:tabs>
        <w:spacing w:before="0" w:after="0"/>
        <w:ind w:left="720" w:firstLine="0"/>
      </w:pPr>
    </w:p>
    <w:p w:rsidR="00223A77" w:rsidRPr="00BD7CEA" w:rsidRDefault="009B2474" w:rsidP="00864B8A">
      <w:pPr>
        <w:spacing w:after="60"/>
        <w:ind w:left="720"/>
      </w:pPr>
      <w:r w:rsidRPr="00BD7CEA">
        <w:rPr>
          <w:rFonts w:cs="Tahoma"/>
          <w:b/>
        </w:rPr>
        <w:t>Requisiti di Idoneità per Software Assurance</w:t>
      </w:r>
    </w:p>
    <w:p w:rsidR="00BE4D27" w:rsidRPr="00BD7CEA" w:rsidRDefault="00223A77" w:rsidP="00BE4D27">
      <w:pPr>
        <w:pStyle w:val="EndnoteText"/>
      </w:pPr>
      <w:r w:rsidRPr="00BD7CEA">
        <w:rPr>
          <w:rFonts w:ascii="Tahoma" w:hAnsi="Tahoma" w:cs="Tahoma"/>
          <w:sz w:val="18"/>
        </w:rPr>
        <w:t>Le società con copertura Software Assurance in scadenza per i seguenti prodotti sono idonee a rinnovare la copertura come Visual Studio Premium 2012 con MSDN. Quando viene effettuato il rinnovo a un livello di sottoscrizione MSDN diverso, le nuove condizioni per l</w:t>
      </w:r>
      <w:r w:rsidR="007A1415" w:rsidRPr="00BD7CEA">
        <w:rPr>
          <w:rFonts w:ascii="Tahoma" w:hAnsi="Tahoma" w:cs="Tahoma"/>
          <w:sz w:val="18"/>
        </w:rPr>
        <w:t>’</w:t>
      </w:r>
      <w:r w:rsidRPr="00BD7CEA">
        <w:rPr>
          <w:rFonts w:ascii="Tahoma" w:hAnsi="Tahoma" w:cs="Tahoma"/>
          <w:sz w:val="18"/>
        </w:rPr>
        <w:t>utilizzo sostituiscono quelle precedenti e qualsiasi prodotto software non incluso nella nuova sottoscrizione MSDN dovrà essere rimosso.</w:t>
      </w:r>
    </w:p>
    <w:p w:rsidR="00223A77" w:rsidRPr="00BD7CEA" w:rsidRDefault="00223A77" w:rsidP="007E466C">
      <w:pPr>
        <w:pStyle w:val="EndnoteText"/>
        <w:ind w:left="720"/>
      </w:pPr>
    </w:p>
    <w:p w:rsidR="00223A77" w:rsidRPr="00BD7CEA" w:rsidRDefault="00223A77" w:rsidP="00CB436E">
      <w:pPr>
        <w:pStyle w:val="FootnoteBulletLevel2"/>
        <w:numPr>
          <w:ilvl w:val="0"/>
          <w:numId w:val="6"/>
        </w:numPr>
        <w:spacing w:before="0" w:after="60"/>
        <w:ind w:left="1440"/>
      </w:pPr>
      <w:r w:rsidRPr="00BD7CEA">
        <w:rPr>
          <w:rFonts w:ascii="Tahoma" w:hAnsi="Tahoma" w:cs="Tahoma"/>
          <w:sz w:val="18"/>
        </w:rPr>
        <w:t>Visual Studio Ultimate con MSDN</w:t>
      </w:r>
    </w:p>
    <w:p w:rsidR="00223A77" w:rsidRPr="00BD7CEA" w:rsidRDefault="00223A77" w:rsidP="00CB436E">
      <w:pPr>
        <w:pStyle w:val="FootnoteBulletLevel2"/>
        <w:numPr>
          <w:ilvl w:val="0"/>
          <w:numId w:val="6"/>
        </w:numPr>
        <w:spacing w:before="0" w:after="60"/>
        <w:ind w:left="1440"/>
      </w:pPr>
      <w:r w:rsidRPr="00BD7CEA">
        <w:rPr>
          <w:rFonts w:ascii="Tahoma" w:hAnsi="Tahoma" w:cs="Tahoma"/>
          <w:sz w:val="18"/>
        </w:rPr>
        <w:t>Visual Studio Premium con MSDN</w:t>
      </w:r>
    </w:p>
    <w:p w:rsidR="00223A77" w:rsidRPr="00BD7CEA" w:rsidRDefault="00223A77" w:rsidP="00CB436E">
      <w:pPr>
        <w:pStyle w:val="FootnoteBulletLevel2"/>
        <w:numPr>
          <w:ilvl w:val="0"/>
          <w:numId w:val="6"/>
        </w:numPr>
        <w:spacing w:before="0" w:after="60"/>
        <w:ind w:left="1440"/>
      </w:pPr>
      <w:r w:rsidRPr="00BD7CEA">
        <w:rPr>
          <w:rFonts w:ascii="Tahoma" w:hAnsi="Tahoma" w:cs="Tahoma"/>
          <w:sz w:val="18"/>
        </w:rPr>
        <w:t>Visual Studio Professional con MSDN Premium</w:t>
      </w:r>
    </w:p>
    <w:p w:rsidR="00223A77" w:rsidRPr="00BD7CEA" w:rsidRDefault="00223A77" w:rsidP="00CB436E">
      <w:pPr>
        <w:pStyle w:val="FootnoteBulletLevel2"/>
        <w:numPr>
          <w:ilvl w:val="0"/>
          <w:numId w:val="6"/>
        </w:numPr>
        <w:spacing w:before="0" w:after="60"/>
        <w:ind w:left="1440"/>
      </w:pPr>
      <w:r w:rsidRPr="00BD7CEA">
        <w:rPr>
          <w:rFonts w:ascii="Tahoma" w:hAnsi="Tahoma" w:cs="Tahoma"/>
          <w:sz w:val="18"/>
        </w:rPr>
        <w:t>Visual Studio Team System Team Suite con MSDN Premium</w:t>
      </w:r>
    </w:p>
    <w:p w:rsidR="00223A77" w:rsidRPr="00BD7CEA" w:rsidRDefault="00223A77" w:rsidP="00CB436E">
      <w:pPr>
        <w:pStyle w:val="FootnoteBulletLevel2"/>
        <w:numPr>
          <w:ilvl w:val="0"/>
          <w:numId w:val="6"/>
        </w:numPr>
        <w:spacing w:before="0" w:after="60"/>
        <w:ind w:left="1440"/>
      </w:pPr>
      <w:r w:rsidRPr="00BD7CEA">
        <w:rPr>
          <w:rFonts w:ascii="Tahoma" w:hAnsi="Tahoma" w:cs="Tahoma"/>
          <w:sz w:val="18"/>
        </w:rPr>
        <w:t>Visual Studio Team System Test Edition con MSDN Premium</w:t>
      </w:r>
    </w:p>
    <w:p w:rsidR="00223A77" w:rsidRPr="00BD7CEA" w:rsidRDefault="00223A77" w:rsidP="00CB436E">
      <w:pPr>
        <w:pStyle w:val="FootnoteBulletLevel2"/>
        <w:numPr>
          <w:ilvl w:val="0"/>
          <w:numId w:val="6"/>
        </w:numPr>
        <w:spacing w:before="0" w:after="60"/>
        <w:ind w:left="1440"/>
      </w:pPr>
      <w:r w:rsidRPr="00BD7CEA">
        <w:rPr>
          <w:rFonts w:ascii="Tahoma" w:hAnsi="Tahoma" w:cs="Tahoma"/>
          <w:sz w:val="18"/>
        </w:rPr>
        <w:t>Visual Studio Team System Development Edition con MSDN Premium</w:t>
      </w:r>
    </w:p>
    <w:p w:rsidR="00223A77" w:rsidRPr="00BD7CEA" w:rsidRDefault="00223A77" w:rsidP="00CB436E">
      <w:pPr>
        <w:pStyle w:val="FootnoteBulletLevel2"/>
        <w:numPr>
          <w:ilvl w:val="0"/>
          <w:numId w:val="6"/>
        </w:numPr>
        <w:spacing w:before="0" w:after="60"/>
        <w:ind w:left="1440"/>
      </w:pPr>
      <w:r w:rsidRPr="00BD7CEA">
        <w:rPr>
          <w:rFonts w:ascii="Tahoma" w:hAnsi="Tahoma" w:cs="Tahoma"/>
          <w:sz w:val="18"/>
        </w:rPr>
        <w:t xml:space="preserve">Visual Studio Team System Architecture Edition con MSDN Premium </w:t>
      </w:r>
    </w:p>
    <w:p w:rsidR="00223A77" w:rsidRPr="00BD7CEA" w:rsidRDefault="00223A77" w:rsidP="00CB436E">
      <w:pPr>
        <w:pStyle w:val="FootnoteBulletLevel2"/>
        <w:numPr>
          <w:ilvl w:val="0"/>
          <w:numId w:val="6"/>
        </w:numPr>
        <w:spacing w:before="0" w:after="60"/>
        <w:ind w:left="1440"/>
      </w:pPr>
      <w:r w:rsidRPr="00BD7CEA">
        <w:rPr>
          <w:rFonts w:ascii="Tahoma" w:hAnsi="Tahoma" w:cs="Tahoma"/>
          <w:sz w:val="18"/>
        </w:rPr>
        <w:t>Visual Studio Team System Database Edition con MSDN Premium</w:t>
      </w:r>
    </w:p>
    <w:p w:rsidR="00223A77" w:rsidRPr="00BD7CEA" w:rsidRDefault="00223A77" w:rsidP="00CB436E">
      <w:pPr>
        <w:pStyle w:val="FootnoteBulletLevel2"/>
        <w:numPr>
          <w:ilvl w:val="0"/>
          <w:numId w:val="6"/>
        </w:numPr>
        <w:spacing w:before="0" w:after="60"/>
        <w:ind w:left="1440"/>
      </w:pPr>
      <w:r w:rsidRPr="00BD7CEA">
        <w:rPr>
          <w:rFonts w:ascii="Tahoma" w:hAnsi="Tahoma" w:cs="Tahoma"/>
          <w:sz w:val="18"/>
        </w:rPr>
        <w:t>Società titolari di un abbonamento retail attivo per qualsiasi prodotto software indicato nel precedente elenco.</w:t>
      </w:r>
    </w:p>
    <w:p w:rsidR="00223A77" w:rsidRPr="00BD7CEA" w:rsidRDefault="00223A77" w:rsidP="00CB436E">
      <w:pPr>
        <w:pStyle w:val="FootnoteBulletLevel1"/>
        <w:spacing w:before="0" w:after="0"/>
        <w:ind w:left="907" w:firstLine="0"/>
      </w:pPr>
    </w:p>
    <w:p w:rsidR="00223A77" w:rsidRPr="00BD7CEA" w:rsidRDefault="00223A77" w:rsidP="00076CB4">
      <w:pPr>
        <w:pStyle w:val="FootnoteBulletLevel1"/>
        <w:tabs>
          <w:tab w:val="clear" w:pos="900"/>
        </w:tabs>
        <w:spacing w:before="0" w:after="0"/>
        <w:ind w:left="720" w:firstLine="0"/>
      </w:pPr>
      <w:r w:rsidRPr="00BD7CEA">
        <w:rPr>
          <w:rFonts w:ascii="Tahoma" w:hAnsi="Tahoma" w:cs="Tahoma"/>
          <w:sz w:val="18"/>
        </w:rPr>
        <w:t xml:space="preserve">Le società con copertura Software Assurance in scadenza per Visual Studio Premium 2012 con MSDN sono idonee a rinnovare la copertura come: </w:t>
      </w:r>
    </w:p>
    <w:p w:rsidR="00CB436E" w:rsidRPr="00BD7CEA" w:rsidRDefault="00CB436E" w:rsidP="00CB436E">
      <w:pPr>
        <w:pStyle w:val="FootnoteBulletLevel1"/>
        <w:spacing w:before="0" w:after="0"/>
        <w:ind w:left="907" w:firstLine="0"/>
      </w:pPr>
    </w:p>
    <w:p w:rsidR="00223A77" w:rsidRPr="00BD7CEA" w:rsidRDefault="00223A77" w:rsidP="00CB436E">
      <w:pPr>
        <w:pStyle w:val="FootnoteBulletLevel2"/>
        <w:numPr>
          <w:ilvl w:val="0"/>
          <w:numId w:val="6"/>
        </w:numPr>
        <w:spacing w:before="0" w:after="60"/>
        <w:ind w:left="1440"/>
      </w:pPr>
      <w:r w:rsidRPr="00BD7CEA">
        <w:rPr>
          <w:rFonts w:ascii="Tahoma" w:hAnsi="Tahoma" w:cs="Tahoma"/>
          <w:sz w:val="18"/>
        </w:rPr>
        <w:t>Visual Studio Professional con MSDN</w:t>
      </w:r>
    </w:p>
    <w:p w:rsidR="006771C8" w:rsidRPr="00BD7CEA" w:rsidRDefault="006771C8" w:rsidP="00CB436E">
      <w:pPr>
        <w:pStyle w:val="FootnoteBulletLevel2"/>
        <w:numPr>
          <w:ilvl w:val="0"/>
          <w:numId w:val="6"/>
        </w:numPr>
        <w:spacing w:before="0" w:after="60"/>
        <w:ind w:left="1440"/>
      </w:pPr>
      <w:r w:rsidRPr="00BD7CEA">
        <w:rPr>
          <w:rFonts w:ascii="Tahoma" w:hAnsi="Tahoma" w:cs="Tahoma"/>
          <w:sz w:val="18"/>
        </w:rPr>
        <w:t>Visual Studio Test Professional con MSDN</w:t>
      </w:r>
    </w:p>
    <w:p w:rsidR="00223A77" w:rsidRPr="00BD7CEA" w:rsidRDefault="00223A77" w:rsidP="00CB436E">
      <w:pPr>
        <w:pStyle w:val="FootnoteBulletLevel2"/>
        <w:numPr>
          <w:ilvl w:val="0"/>
          <w:numId w:val="6"/>
        </w:numPr>
        <w:spacing w:before="0" w:after="60"/>
        <w:ind w:left="1440"/>
      </w:pPr>
      <w:r w:rsidRPr="00BD7CEA">
        <w:rPr>
          <w:rFonts w:ascii="Tahoma" w:hAnsi="Tahoma" w:cs="Tahoma"/>
          <w:sz w:val="18"/>
        </w:rPr>
        <w:t>Sistemi Operativi MSDN</w:t>
      </w:r>
    </w:p>
    <w:p w:rsidR="00223A77" w:rsidRPr="00BD7CEA" w:rsidRDefault="00223A77" w:rsidP="00CB436E">
      <w:pPr>
        <w:pStyle w:val="FootnoteBulletLevel1"/>
        <w:spacing w:before="0" w:after="0"/>
        <w:ind w:left="907" w:firstLine="0"/>
      </w:pPr>
    </w:p>
    <w:p w:rsidR="0055611F" w:rsidRPr="00BD7CEA" w:rsidRDefault="00223A77" w:rsidP="00076CB4">
      <w:pPr>
        <w:pStyle w:val="FootnoteBulletLevel1"/>
        <w:tabs>
          <w:tab w:val="clear" w:pos="900"/>
        </w:tabs>
        <w:spacing w:before="0" w:after="0"/>
        <w:ind w:left="720" w:firstLine="0"/>
      </w:pPr>
      <w:r w:rsidRPr="00BD7CEA">
        <w:rPr>
          <w:rFonts w:ascii="Tahoma" w:hAnsi="Tahoma" w:cs="Tahoma"/>
          <w:sz w:val="18"/>
        </w:rPr>
        <w:t>Le società che hanno stipulato contratti Enterprise, Select o Open Value e con copertura Software Assurance attiva per Visual Studio Premium 2012 con MSDN potranno anch</w:t>
      </w:r>
      <w:r w:rsidR="007A1415" w:rsidRPr="00BD7CEA">
        <w:rPr>
          <w:rFonts w:ascii="Tahoma" w:hAnsi="Tahoma" w:cs="Tahoma"/>
          <w:sz w:val="18"/>
        </w:rPr>
        <w:t>’</w:t>
      </w:r>
      <w:r w:rsidRPr="00BD7CEA">
        <w:rPr>
          <w:rFonts w:ascii="Tahoma" w:hAnsi="Tahoma" w:cs="Tahoma"/>
          <w:sz w:val="18"/>
        </w:rPr>
        <w:t xml:space="preserve">esse effettuare lo step-up a Visual Studio Ultimate 2012 con MSDN dopo aver acquistato lo </w:t>
      </w:r>
      <w:hyperlink w:anchor="Step_Up" w:history="1">
        <w:r w:rsidRPr="00BD7CEA">
          <w:rPr>
            <w:rFonts w:ascii="Tahoma" w:hAnsi="Tahoma" w:cs="Tahoma"/>
            <w:sz w:val="18"/>
            <w:szCs w:val="24"/>
          </w:rPr>
          <w:t>SKU di Step-Up</w:t>
        </w:r>
      </w:hyperlink>
      <w:r w:rsidRPr="00BD7CEA">
        <w:rPr>
          <w:rFonts w:ascii="Tahoma" w:hAnsi="Tahoma" w:cs="Tahoma"/>
          <w:sz w:val="18"/>
        </w:rPr>
        <w:t>idoneo.</w:t>
      </w:r>
    </w:p>
    <w:p w:rsidR="00CB436E" w:rsidRPr="00BD7CEA" w:rsidRDefault="00CB436E" w:rsidP="00076CB4">
      <w:pPr>
        <w:pStyle w:val="FootnoteBulletLevel2"/>
        <w:tabs>
          <w:tab w:val="clear" w:pos="1260"/>
        </w:tabs>
        <w:spacing w:before="0"/>
        <w:ind w:left="720" w:firstLine="0"/>
      </w:pPr>
    </w:p>
    <w:p w:rsidR="0055611F" w:rsidRPr="00BD7CEA" w:rsidRDefault="0055611F" w:rsidP="00864B8A">
      <w:pPr>
        <w:spacing w:after="60"/>
        <w:ind w:left="720"/>
      </w:pPr>
      <w:r w:rsidRPr="00BD7CEA">
        <w:rPr>
          <w:rFonts w:cs="Tahoma"/>
          <w:b/>
        </w:rPr>
        <w:t>Servizi “Subscription”</w:t>
      </w:r>
    </w:p>
    <w:p w:rsidR="0055611F" w:rsidRPr="00BD7CEA" w:rsidRDefault="0055611F" w:rsidP="00076CB4">
      <w:pPr>
        <w:pStyle w:val="FootnoteBulletLevel2"/>
        <w:tabs>
          <w:tab w:val="clear" w:pos="1260"/>
        </w:tabs>
        <w:spacing w:before="0"/>
        <w:ind w:left="720" w:firstLine="0"/>
      </w:pPr>
      <w:r w:rsidRPr="00BD7CEA">
        <w:rPr>
          <w:rFonts w:ascii="Tahoma" w:hAnsi="Tahoma" w:cs="Tahoma"/>
          <w:sz w:val="18"/>
        </w:rPr>
        <w:t>I servizi MSDN in abbonamento, che potranno includere download, codici Product Key, vantaggi di Windows</w:t>
      </w:r>
      <w:r w:rsidR="00D45A36">
        <w:rPr>
          <w:rFonts w:ascii="Tahoma" w:hAnsi="Tahoma" w:cs="Tahoma"/>
          <w:sz w:val="18"/>
        </w:rPr>
        <w:t> </w:t>
      </w:r>
      <w:r w:rsidRPr="00BD7CEA">
        <w:rPr>
          <w:rFonts w:ascii="Tahoma" w:hAnsi="Tahoma" w:cs="Tahoma"/>
          <w:sz w:val="18"/>
        </w:rPr>
        <w:t>Azure, vantaggi di Office 365 Developer, e-learning, supporto tecnico, vantaggi di Windows Store</w:t>
      </w:r>
      <w:r w:rsidR="00D45A36">
        <w:rPr>
          <w:rFonts w:ascii="Tahoma" w:hAnsi="Tahoma" w:cs="Tahoma"/>
          <w:sz w:val="18"/>
        </w:rPr>
        <w:t> </w:t>
      </w:r>
      <w:r w:rsidRPr="00BD7CEA">
        <w:rPr>
          <w:rFonts w:ascii="Tahoma" w:hAnsi="Tahoma" w:cs="Tahoma"/>
          <w:sz w:val="18"/>
        </w:rPr>
        <w:t>e altri servizi, sono disponibili solo durante il periodo di validità dell</w:t>
      </w:r>
      <w:r w:rsidR="007A1415" w:rsidRPr="00BD7CEA">
        <w:rPr>
          <w:rFonts w:ascii="Tahoma" w:hAnsi="Tahoma" w:cs="Tahoma"/>
          <w:sz w:val="18"/>
        </w:rPr>
        <w:t>’</w:t>
      </w:r>
      <w:r w:rsidRPr="00BD7CEA">
        <w:rPr>
          <w:rFonts w:ascii="Tahoma" w:hAnsi="Tahoma" w:cs="Tahoma"/>
          <w:sz w:val="18"/>
        </w:rPr>
        <w:t>abbonamento.</w:t>
      </w:r>
    </w:p>
    <w:p w:rsidR="0055611F" w:rsidRPr="00BD7CEA" w:rsidRDefault="0055611F" w:rsidP="00076CB4">
      <w:pPr>
        <w:pStyle w:val="FootnoteBulletLevel1"/>
        <w:tabs>
          <w:tab w:val="clear" w:pos="900"/>
        </w:tabs>
        <w:spacing w:before="0" w:after="0"/>
        <w:ind w:left="720" w:firstLine="0"/>
      </w:pPr>
    </w:p>
    <w:p w:rsidR="0055611F" w:rsidRPr="00BD7CEA" w:rsidRDefault="009B2474" w:rsidP="00864B8A">
      <w:pPr>
        <w:spacing w:after="60"/>
        <w:ind w:left="720"/>
      </w:pPr>
      <w:r w:rsidRPr="00BD7CEA">
        <w:rPr>
          <w:rFonts w:cs="Tahoma"/>
          <w:b/>
        </w:rPr>
        <w:t>Servizi della Piattaforma Windows Azure</w:t>
      </w:r>
    </w:p>
    <w:p w:rsidR="0055611F" w:rsidRPr="00BD7CEA" w:rsidRDefault="0055611F" w:rsidP="00076CB4">
      <w:pPr>
        <w:pStyle w:val="FootnoteBulletLevel2"/>
        <w:tabs>
          <w:tab w:val="clear" w:pos="1260"/>
        </w:tabs>
        <w:spacing w:before="0"/>
        <w:ind w:left="720" w:firstLine="0"/>
      </w:pPr>
      <w:r w:rsidRPr="00BD7CEA">
        <w:rPr>
          <w:rFonts w:ascii="Tahoma" w:hAnsi="Tahoma" w:cs="Tahoma"/>
          <w:sz w:val="18"/>
        </w:rPr>
        <w:t>I vantaggi di Windows Azure non possono essere una combinazione di più abbonamenti a MSDN su un singolo account di Windows Azure. L</w:t>
      </w:r>
      <w:r w:rsidR="007A1415" w:rsidRPr="00BD7CEA">
        <w:rPr>
          <w:rFonts w:ascii="Tahoma" w:hAnsi="Tahoma" w:cs="Tahoma"/>
          <w:sz w:val="18"/>
        </w:rPr>
        <w:t>’</w:t>
      </w:r>
      <w:r w:rsidRPr="00BD7CEA">
        <w:rPr>
          <w:rFonts w:ascii="Tahoma" w:hAnsi="Tahoma" w:cs="Tahoma"/>
          <w:sz w:val="18"/>
        </w:rPr>
        <w:t>uso di Windows Azure è soggetto alle relative condizioni per l</w:t>
      </w:r>
      <w:r w:rsidR="007A1415" w:rsidRPr="00BD7CEA">
        <w:rPr>
          <w:rFonts w:ascii="Tahoma" w:hAnsi="Tahoma" w:cs="Tahoma"/>
          <w:sz w:val="18"/>
        </w:rPr>
        <w:t>’</w:t>
      </w:r>
      <w:r w:rsidRPr="00BD7CEA">
        <w:rPr>
          <w:rFonts w:ascii="Tahoma" w:hAnsi="Tahoma" w:cs="Tahoma"/>
          <w:sz w:val="18"/>
        </w:rPr>
        <w:t>utilizzo.</w:t>
      </w:r>
    </w:p>
    <w:p w:rsidR="0055611F" w:rsidRPr="00BD7CEA" w:rsidRDefault="0055611F" w:rsidP="00CB436E">
      <w:pPr>
        <w:pStyle w:val="FootnoteBulletLevel2"/>
        <w:tabs>
          <w:tab w:val="clear" w:pos="1260"/>
        </w:tabs>
        <w:spacing w:before="0"/>
        <w:ind w:left="0" w:firstLine="0"/>
      </w:pPr>
    </w:p>
    <w:p w:rsidR="00E03856" w:rsidRPr="00BD7CEA" w:rsidRDefault="00E03856" w:rsidP="00CB436E">
      <w:pPr>
        <w:pStyle w:val="FootnoteBulletLevel2"/>
        <w:tabs>
          <w:tab w:val="clear" w:pos="1260"/>
        </w:tabs>
        <w:spacing w:before="0"/>
        <w:ind w:left="0" w:firstLine="0"/>
      </w:pPr>
    </w:p>
    <w:p w:rsidR="00BA65A9" w:rsidRPr="00BD7CEA" w:rsidRDefault="00BA65A9" w:rsidP="00CB436E">
      <w:pPr>
        <w:pStyle w:val="FootnoteBulletLevel2"/>
        <w:tabs>
          <w:tab w:val="clear" w:pos="1260"/>
        </w:tabs>
        <w:spacing w:before="0"/>
        <w:ind w:left="0" w:firstLine="0"/>
      </w:pPr>
    </w:p>
    <w:p w:rsidR="00BA65A9" w:rsidRPr="00BD7CEA" w:rsidRDefault="00BA65A9" w:rsidP="00CB436E">
      <w:pPr>
        <w:pStyle w:val="FootnoteBulletLevel2"/>
        <w:tabs>
          <w:tab w:val="clear" w:pos="1260"/>
        </w:tabs>
        <w:spacing w:before="0"/>
        <w:ind w:left="0" w:firstLine="0"/>
      </w:pPr>
    </w:p>
    <w:p w:rsidR="00BA65A9" w:rsidRPr="00BD7CEA" w:rsidRDefault="00BA65A9" w:rsidP="00CB436E">
      <w:pPr>
        <w:pStyle w:val="FootnoteBulletLevel2"/>
        <w:tabs>
          <w:tab w:val="clear" w:pos="1260"/>
        </w:tabs>
        <w:spacing w:before="0"/>
        <w:ind w:left="0" w:firstLine="0"/>
      </w:pPr>
    </w:p>
    <w:p w:rsidR="00BA65A9" w:rsidRPr="00BD7CEA" w:rsidRDefault="00BA65A9" w:rsidP="00CB436E">
      <w:pPr>
        <w:pStyle w:val="FootnoteBulletLevel2"/>
        <w:tabs>
          <w:tab w:val="clear" w:pos="1260"/>
        </w:tabs>
        <w:spacing w:before="0"/>
        <w:ind w:left="0" w:firstLine="0"/>
      </w:pPr>
    </w:p>
    <w:p w:rsidR="00223A77" w:rsidRPr="00BD7CEA" w:rsidRDefault="004668D9" w:rsidP="00223A77">
      <w:pPr>
        <w:pStyle w:val="Heading3"/>
      </w:pPr>
      <w:bookmarkStart w:id="1113" w:name="_22_Visual_Studio"/>
      <w:bookmarkStart w:id="1114" w:name="_Toc336338278"/>
      <w:bookmarkStart w:id="1115" w:name="_Toc353376058"/>
      <w:bookmarkStart w:id="1116" w:name="Aps_18VS2010UltimateMSDN"/>
      <w:bookmarkEnd w:id="1113"/>
      <w:r w:rsidRPr="00BD7CEA">
        <w:rPr>
          <w:rFonts w:ascii="Tahoma" w:hAnsi="Tahoma"/>
          <w:caps/>
          <w:color w:val="F66400"/>
          <w:sz w:val="22"/>
          <w:vertAlign w:val="superscript"/>
        </w:rPr>
        <w:lastRenderedPageBreak/>
        <w:t>22</w:t>
      </w:r>
      <w:r w:rsidRPr="00BD7CEA">
        <w:rPr>
          <w:rFonts w:ascii="Tahoma" w:hAnsi="Tahoma"/>
          <w:color w:val="F66400"/>
          <w:sz w:val="22"/>
        </w:rPr>
        <w:t xml:space="preserve"> Visual Studio Ultimate 2012 con MSDN</w:t>
      </w:r>
      <w:bookmarkEnd w:id="1114"/>
      <w:bookmarkEnd w:id="1115"/>
      <w:r w:rsidRPr="00BD7CEA">
        <w:rPr>
          <w:rFonts w:ascii="Tahoma" w:hAnsi="Tahoma"/>
          <w:color w:val="F66400"/>
          <w:sz w:val="22"/>
        </w:rPr>
        <w:t xml:space="preserve"> </w:t>
      </w:r>
    </w:p>
    <w:bookmarkEnd w:id="1116"/>
    <w:p w:rsidR="0032113C" w:rsidRPr="00BD7CEA" w:rsidRDefault="0032113C" w:rsidP="007A4659">
      <w:pPr>
        <w:adjustRightInd w:val="0"/>
        <w:ind w:left="540"/>
        <w:textAlignment w:val="baseline"/>
      </w:pPr>
    </w:p>
    <w:p w:rsidR="001026FD" w:rsidRPr="00BD7CEA" w:rsidRDefault="001026FD" w:rsidP="00864B8A">
      <w:pPr>
        <w:spacing w:after="60"/>
        <w:ind w:left="720"/>
      </w:pPr>
      <w:r w:rsidRPr="00BD7CEA">
        <w:rPr>
          <w:rFonts w:cs="Tahoma"/>
          <w:b/>
        </w:rPr>
        <w:t>Visual Studio Team Foundation Server 2012</w:t>
      </w:r>
    </w:p>
    <w:p w:rsidR="001026FD" w:rsidRPr="00BD7CEA" w:rsidRDefault="001026FD" w:rsidP="007A4659">
      <w:pPr>
        <w:pStyle w:val="EndnoteText"/>
        <w:ind w:left="720"/>
      </w:pPr>
      <w:r w:rsidRPr="00BD7CEA">
        <w:rPr>
          <w:rFonts w:ascii="Tahoma" w:hAnsi="Tahoma" w:cs="Tahoma"/>
          <w:sz w:val="18"/>
        </w:rPr>
        <w:t>Il sottoscrittore è autorizzato a ricevere una licenza server per Visual Studio Team Foundation Server 2012 e</w:t>
      </w:r>
      <w:r w:rsidR="00BA65A9" w:rsidRPr="00BD7CEA">
        <w:rPr>
          <w:rFonts w:ascii="Tahoma" w:hAnsi="Tahoma" w:cs="Tahoma"/>
          <w:sz w:val="18"/>
        </w:rPr>
        <w:t> </w:t>
      </w:r>
      <w:r w:rsidRPr="00BD7CEA">
        <w:rPr>
          <w:rFonts w:ascii="Tahoma" w:hAnsi="Tahoma" w:cs="Tahoma"/>
          <w:sz w:val="18"/>
        </w:rPr>
        <w:t>una User CAL per Team Foundation Server. La licenza CAL può essere utilizzata esclusivamente dal sottoscrittore.</w:t>
      </w:r>
    </w:p>
    <w:p w:rsidR="001026FD" w:rsidRPr="00BD7CEA" w:rsidRDefault="001026FD" w:rsidP="007A4659">
      <w:pPr>
        <w:pStyle w:val="EndnoteText"/>
        <w:ind w:left="720"/>
      </w:pPr>
    </w:p>
    <w:p w:rsidR="001026FD" w:rsidRPr="00BD7CEA" w:rsidRDefault="001026FD" w:rsidP="00864B8A">
      <w:pPr>
        <w:spacing w:after="60"/>
        <w:ind w:left="720"/>
      </w:pPr>
      <w:r w:rsidRPr="00BD7CEA">
        <w:rPr>
          <w:rFonts w:cs="Tahoma"/>
          <w:b/>
        </w:rPr>
        <w:t>SQL Server Parallel Data Warehouse Developer</w:t>
      </w:r>
    </w:p>
    <w:p w:rsidR="001026FD" w:rsidRPr="00BD7CEA" w:rsidRDefault="001026FD" w:rsidP="007A4659">
      <w:pPr>
        <w:pStyle w:val="EndnoteText"/>
        <w:ind w:left="720"/>
      </w:pPr>
      <w:r w:rsidRPr="00BD7CEA">
        <w:rPr>
          <w:rFonts w:ascii="Tahoma" w:hAnsi="Tahoma" w:cs="Tahoma"/>
          <w:sz w:val="18"/>
        </w:rPr>
        <w:t>Il sottoscrittore è idoneo a ricevere una licenza per SQL Server 2008 R2 Parallel Data Warehouse Developer.</w:t>
      </w:r>
    </w:p>
    <w:p w:rsidR="007A4659" w:rsidRPr="00BD7CEA" w:rsidRDefault="007A4659" w:rsidP="007A4659">
      <w:pPr>
        <w:adjustRightInd w:val="0"/>
        <w:ind w:left="720"/>
        <w:textAlignment w:val="baseline"/>
      </w:pPr>
    </w:p>
    <w:p w:rsidR="0032113C" w:rsidRPr="00BD7CEA" w:rsidRDefault="0032113C" w:rsidP="00864B8A">
      <w:pPr>
        <w:spacing w:after="60"/>
        <w:ind w:left="720"/>
      </w:pPr>
      <w:r w:rsidRPr="00BD7CEA">
        <w:rPr>
          <w:rFonts w:cs="Tahoma"/>
          <w:b/>
        </w:rPr>
        <w:t>Requisiti di Idoneità per Software Assurance</w:t>
      </w:r>
    </w:p>
    <w:p w:rsidR="0032113C" w:rsidRPr="00D45A36" w:rsidRDefault="0032113C" w:rsidP="00101859">
      <w:pPr>
        <w:pStyle w:val="EndnoteText"/>
        <w:rPr>
          <w:rFonts w:ascii="Tahoma" w:hAnsi="Tahoma" w:cs="Tahoma"/>
          <w:sz w:val="18"/>
          <w:szCs w:val="18"/>
        </w:rPr>
      </w:pPr>
      <w:r w:rsidRPr="00D45A36">
        <w:rPr>
          <w:rFonts w:ascii="Tahoma" w:hAnsi="Tahoma" w:cs="Tahoma"/>
          <w:sz w:val="18"/>
          <w:szCs w:val="18"/>
        </w:rPr>
        <w:t>Le società con copertura Software Assurance in scadenza per i prodotti che seguono sono idonee a</w:t>
      </w:r>
      <w:r w:rsidR="00D45A36">
        <w:rPr>
          <w:rFonts w:ascii="Tahoma" w:hAnsi="Tahoma" w:cs="Tahoma"/>
          <w:sz w:val="18"/>
          <w:szCs w:val="18"/>
        </w:rPr>
        <w:t> </w:t>
      </w:r>
      <w:r w:rsidRPr="00D45A36">
        <w:rPr>
          <w:rFonts w:ascii="Tahoma" w:hAnsi="Tahoma" w:cs="Tahoma"/>
          <w:sz w:val="18"/>
          <w:szCs w:val="18"/>
        </w:rPr>
        <w:t>rinnovare la copertura come Visual Studio Ultimate 2012 con MSDN. Quando viene</w:t>
      </w:r>
      <w:r w:rsidR="00BA65A9" w:rsidRPr="00D45A36">
        <w:rPr>
          <w:rFonts w:ascii="Tahoma" w:hAnsi="Tahoma" w:cs="Tahoma"/>
          <w:sz w:val="18"/>
          <w:szCs w:val="18"/>
        </w:rPr>
        <w:t> </w:t>
      </w:r>
      <w:r w:rsidRPr="00D45A36">
        <w:rPr>
          <w:rFonts w:ascii="Tahoma" w:hAnsi="Tahoma" w:cs="Tahoma"/>
          <w:sz w:val="18"/>
          <w:szCs w:val="18"/>
        </w:rPr>
        <w:t>effettuato il rinnovo a un livello di sottoscrizione MSDN diverso, le nuove condizioni per l</w:t>
      </w:r>
      <w:r w:rsidR="007A1415" w:rsidRPr="00D45A36">
        <w:rPr>
          <w:rFonts w:ascii="Tahoma" w:hAnsi="Tahoma" w:cs="Tahoma"/>
          <w:sz w:val="18"/>
          <w:szCs w:val="18"/>
        </w:rPr>
        <w:t>’</w:t>
      </w:r>
      <w:r w:rsidRPr="00D45A36">
        <w:rPr>
          <w:rFonts w:ascii="Tahoma" w:hAnsi="Tahoma" w:cs="Tahoma"/>
          <w:sz w:val="18"/>
          <w:szCs w:val="18"/>
        </w:rPr>
        <w:t>utilizzo sostituiscono quelle precedenti e qualsiasi prodotto software non incluso nella nuova sottoscrizione MSDN</w:t>
      </w:r>
      <w:r w:rsidR="00BA65A9" w:rsidRPr="00D45A36">
        <w:rPr>
          <w:rFonts w:ascii="Tahoma" w:hAnsi="Tahoma" w:cs="Tahoma"/>
          <w:sz w:val="18"/>
          <w:szCs w:val="18"/>
        </w:rPr>
        <w:t> </w:t>
      </w:r>
      <w:r w:rsidRPr="00D45A36">
        <w:rPr>
          <w:rFonts w:ascii="Tahoma" w:hAnsi="Tahoma" w:cs="Tahoma"/>
          <w:sz w:val="18"/>
          <w:szCs w:val="18"/>
        </w:rPr>
        <w:t>dovrà essere rimosso.</w:t>
      </w:r>
    </w:p>
    <w:p w:rsidR="0032113C" w:rsidRPr="00BD7CEA" w:rsidRDefault="0032113C" w:rsidP="0032113C">
      <w:pPr>
        <w:ind w:left="900"/>
      </w:pPr>
    </w:p>
    <w:p w:rsidR="0032113C" w:rsidRPr="00BD7CEA" w:rsidRDefault="0032113C" w:rsidP="007A4659">
      <w:pPr>
        <w:numPr>
          <w:ilvl w:val="0"/>
          <w:numId w:val="6"/>
        </w:numPr>
        <w:adjustRightInd w:val="0"/>
        <w:snapToGrid w:val="0"/>
        <w:spacing w:after="60"/>
        <w:ind w:left="1440"/>
        <w:textAlignment w:val="baseline"/>
      </w:pPr>
      <w:r w:rsidRPr="00BD7CEA">
        <w:rPr>
          <w:rFonts w:cs="Tahoma"/>
          <w:szCs w:val="24"/>
        </w:rPr>
        <w:t>Visual Studio Ultimate con MSDN</w:t>
      </w:r>
    </w:p>
    <w:p w:rsidR="0032113C" w:rsidRPr="00BD7CEA" w:rsidRDefault="0032113C" w:rsidP="007A4659">
      <w:pPr>
        <w:numPr>
          <w:ilvl w:val="0"/>
          <w:numId w:val="6"/>
        </w:numPr>
        <w:adjustRightInd w:val="0"/>
        <w:snapToGrid w:val="0"/>
        <w:spacing w:after="60"/>
        <w:ind w:left="1440"/>
        <w:textAlignment w:val="baseline"/>
      </w:pPr>
      <w:r w:rsidRPr="00BD7CEA">
        <w:rPr>
          <w:rFonts w:cs="Tahoma"/>
          <w:szCs w:val="24"/>
        </w:rPr>
        <w:t>Visual Studio Team System Team Suite con MSDN Premium</w:t>
      </w:r>
    </w:p>
    <w:p w:rsidR="0032113C" w:rsidRPr="00BD7CEA" w:rsidRDefault="0032113C" w:rsidP="007A4659">
      <w:pPr>
        <w:numPr>
          <w:ilvl w:val="0"/>
          <w:numId w:val="6"/>
        </w:numPr>
        <w:adjustRightInd w:val="0"/>
        <w:snapToGrid w:val="0"/>
        <w:spacing w:after="60"/>
        <w:ind w:left="1440"/>
        <w:textAlignment w:val="baseline"/>
      </w:pPr>
      <w:r w:rsidRPr="00BD7CEA">
        <w:rPr>
          <w:rFonts w:cs="Tahoma"/>
          <w:szCs w:val="24"/>
        </w:rPr>
        <w:t>Visual Studio Team System Test Edition con MSDN Premium</w:t>
      </w:r>
    </w:p>
    <w:p w:rsidR="0032113C" w:rsidRPr="00BD7CEA" w:rsidRDefault="0032113C" w:rsidP="007A4659">
      <w:pPr>
        <w:numPr>
          <w:ilvl w:val="0"/>
          <w:numId w:val="6"/>
        </w:numPr>
        <w:adjustRightInd w:val="0"/>
        <w:snapToGrid w:val="0"/>
        <w:spacing w:after="60"/>
        <w:ind w:left="1440"/>
        <w:textAlignment w:val="baseline"/>
      </w:pPr>
      <w:r w:rsidRPr="00BD7CEA">
        <w:rPr>
          <w:rFonts w:cs="Tahoma"/>
          <w:szCs w:val="24"/>
        </w:rPr>
        <w:t>Visual Studio Team System Development Edition con MSDN Premium</w:t>
      </w:r>
    </w:p>
    <w:p w:rsidR="0032113C" w:rsidRPr="00BD7CEA" w:rsidRDefault="0032113C" w:rsidP="007A4659">
      <w:pPr>
        <w:numPr>
          <w:ilvl w:val="0"/>
          <w:numId w:val="6"/>
        </w:numPr>
        <w:adjustRightInd w:val="0"/>
        <w:snapToGrid w:val="0"/>
        <w:spacing w:after="60"/>
        <w:ind w:left="1440"/>
        <w:textAlignment w:val="baseline"/>
      </w:pPr>
      <w:r w:rsidRPr="00BD7CEA">
        <w:rPr>
          <w:rFonts w:cs="Tahoma"/>
          <w:szCs w:val="24"/>
        </w:rPr>
        <w:t xml:space="preserve">Visual Studio Team System Architecture Edition con MSDN Premium </w:t>
      </w:r>
    </w:p>
    <w:p w:rsidR="0032113C" w:rsidRPr="00BD7CEA" w:rsidRDefault="0032113C" w:rsidP="007A4659">
      <w:pPr>
        <w:numPr>
          <w:ilvl w:val="0"/>
          <w:numId w:val="6"/>
        </w:numPr>
        <w:adjustRightInd w:val="0"/>
        <w:snapToGrid w:val="0"/>
        <w:spacing w:after="60"/>
        <w:ind w:left="1440"/>
        <w:textAlignment w:val="baseline"/>
      </w:pPr>
      <w:r w:rsidRPr="00BD7CEA">
        <w:rPr>
          <w:rFonts w:cs="Tahoma"/>
          <w:szCs w:val="24"/>
        </w:rPr>
        <w:t>Visual Studio Team System Database Edition con MSDN Premium</w:t>
      </w:r>
    </w:p>
    <w:p w:rsidR="0032113C" w:rsidRPr="00BD7CEA" w:rsidRDefault="0032113C" w:rsidP="007A4659">
      <w:pPr>
        <w:numPr>
          <w:ilvl w:val="0"/>
          <w:numId w:val="6"/>
        </w:numPr>
        <w:adjustRightInd w:val="0"/>
        <w:snapToGrid w:val="0"/>
        <w:spacing w:after="60"/>
        <w:ind w:left="1440"/>
        <w:textAlignment w:val="baseline"/>
      </w:pPr>
      <w:r w:rsidRPr="00BD7CEA">
        <w:rPr>
          <w:rFonts w:cs="Tahoma"/>
          <w:szCs w:val="24"/>
        </w:rPr>
        <w:t>Società titolari di un abbonamento retail attivo per qualsiasi prodotto software indicato nel precedente elenco.</w:t>
      </w:r>
    </w:p>
    <w:p w:rsidR="0032113C" w:rsidRPr="00BD7CEA" w:rsidRDefault="0032113C" w:rsidP="007A4659">
      <w:pPr>
        <w:tabs>
          <w:tab w:val="num" w:pos="900"/>
        </w:tabs>
        <w:adjustRightInd w:val="0"/>
        <w:ind w:left="1440"/>
        <w:textAlignment w:val="baseline"/>
      </w:pPr>
    </w:p>
    <w:p w:rsidR="0032113C" w:rsidRPr="00BD7CEA" w:rsidRDefault="0032113C" w:rsidP="007A4659">
      <w:pPr>
        <w:adjustRightInd w:val="0"/>
        <w:ind w:left="720"/>
        <w:textAlignment w:val="baseline"/>
      </w:pPr>
      <w:r w:rsidRPr="00BD7CEA">
        <w:rPr>
          <w:rFonts w:cs="Tahoma"/>
          <w:szCs w:val="20"/>
        </w:rPr>
        <w:t xml:space="preserve">Le società con copertura Software Assurance in scadenza per Visual Studio Ultimate 2012 con MSDN sono idonee a rinnovare la copertura come: </w:t>
      </w:r>
    </w:p>
    <w:p w:rsidR="007A4659" w:rsidRPr="00BD7CEA" w:rsidRDefault="007A4659" w:rsidP="007A4659">
      <w:pPr>
        <w:adjustRightInd w:val="0"/>
        <w:ind w:left="720"/>
        <w:textAlignment w:val="baseline"/>
      </w:pPr>
    </w:p>
    <w:p w:rsidR="0032113C" w:rsidRPr="00BD7CEA" w:rsidRDefault="0032113C" w:rsidP="007A4659">
      <w:pPr>
        <w:numPr>
          <w:ilvl w:val="0"/>
          <w:numId w:val="6"/>
        </w:numPr>
        <w:adjustRightInd w:val="0"/>
        <w:snapToGrid w:val="0"/>
        <w:spacing w:after="60"/>
        <w:ind w:left="1440"/>
        <w:textAlignment w:val="baseline"/>
      </w:pPr>
      <w:r w:rsidRPr="00BD7CEA">
        <w:rPr>
          <w:rFonts w:cs="Tahoma"/>
          <w:szCs w:val="24"/>
        </w:rPr>
        <w:t>Visual Studio Premium con MSDN</w:t>
      </w:r>
    </w:p>
    <w:p w:rsidR="0032113C" w:rsidRPr="00BD7CEA" w:rsidRDefault="0032113C" w:rsidP="007A4659">
      <w:pPr>
        <w:numPr>
          <w:ilvl w:val="0"/>
          <w:numId w:val="6"/>
        </w:numPr>
        <w:adjustRightInd w:val="0"/>
        <w:snapToGrid w:val="0"/>
        <w:spacing w:after="60"/>
        <w:ind w:left="1440"/>
        <w:textAlignment w:val="baseline"/>
      </w:pPr>
      <w:r w:rsidRPr="00BD7CEA">
        <w:rPr>
          <w:rFonts w:cs="Tahoma"/>
          <w:szCs w:val="24"/>
        </w:rPr>
        <w:t>Visual Studio Professional con MSDN</w:t>
      </w:r>
    </w:p>
    <w:p w:rsidR="0032113C" w:rsidRPr="00BD7CEA" w:rsidRDefault="0032113C" w:rsidP="007A4659">
      <w:pPr>
        <w:numPr>
          <w:ilvl w:val="0"/>
          <w:numId w:val="6"/>
        </w:numPr>
        <w:adjustRightInd w:val="0"/>
        <w:snapToGrid w:val="0"/>
        <w:spacing w:after="60"/>
        <w:ind w:left="1440"/>
        <w:textAlignment w:val="baseline"/>
      </w:pPr>
      <w:r w:rsidRPr="00BD7CEA">
        <w:rPr>
          <w:rFonts w:cs="Tahoma"/>
          <w:szCs w:val="24"/>
        </w:rPr>
        <w:t>Visual Studio Test Professional con MSDN</w:t>
      </w:r>
    </w:p>
    <w:p w:rsidR="0032113C" w:rsidRPr="00BD7CEA" w:rsidRDefault="0032113C" w:rsidP="007A4659">
      <w:pPr>
        <w:numPr>
          <w:ilvl w:val="0"/>
          <w:numId w:val="6"/>
        </w:numPr>
        <w:adjustRightInd w:val="0"/>
        <w:snapToGrid w:val="0"/>
        <w:spacing w:after="60"/>
        <w:ind w:left="1440"/>
        <w:textAlignment w:val="baseline"/>
      </w:pPr>
      <w:r w:rsidRPr="00BD7CEA">
        <w:rPr>
          <w:rFonts w:cs="Tahoma"/>
          <w:szCs w:val="24"/>
        </w:rPr>
        <w:t>Sistemi Operativi MSDN</w:t>
      </w:r>
    </w:p>
    <w:p w:rsidR="0055611F" w:rsidRPr="00BD7CEA" w:rsidRDefault="0055611F" w:rsidP="007A4659">
      <w:pPr>
        <w:adjustRightInd w:val="0"/>
        <w:snapToGrid w:val="0"/>
        <w:textAlignment w:val="baseline"/>
      </w:pPr>
    </w:p>
    <w:p w:rsidR="0055611F" w:rsidRPr="00BD7CEA" w:rsidRDefault="009B2474" w:rsidP="00864B8A">
      <w:pPr>
        <w:spacing w:after="60"/>
        <w:ind w:left="720"/>
      </w:pPr>
      <w:r w:rsidRPr="00BD7CEA">
        <w:rPr>
          <w:rFonts w:cs="Tahoma"/>
          <w:b/>
        </w:rPr>
        <w:t>Servizi “Subscription”</w:t>
      </w:r>
    </w:p>
    <w:p w:rsidR="0055611F" w:rsidRPr="00BD7CEA" w:rsidRDefault="0055611F" w:rsidP="007A4659">
      <w:pPr>
        <w:pStyle w:val="FootnoteBulletLevel2"/>
        <w:tabs>
          <w:tab w:val="clear" w:pos="1260"/>
        </w:tabs>
        <w:spacing w:before="0"/>
        <w:ind w:left="720" w:firstLine="0"/>
      </w:pPr>
      <w:r w:rsidRPr="00BD7CEA">
        <w:rPr>
          <w:rFonts w:ascii="Tahoma" w:hAnsi="Tahoma" w:cs="Tahoma"/>
          <w:sz w:val="18"/>
        </w:rPr>
        <w:t>I servizi MSDN in abbonamento, che potranno includere download, codici Product Key, vantaggi di Windows Azure, vantaggi di Office 365 Developer, e-learning, supporto tecnico, vantaggi di Windows Store e altri servizi, sono disponibili solo durante il periodo di validità dell</w:t>
      </w:r>
      <w:r w:rsidR="007A1415" w:rsidRPr="00BD7CEA">
        <w:rPr>
          <w:rFonts w:ascii="Tahoma" w:hAnsi="Tahoma" w:cs="Tahoma"/>
          <w:sz w:val="18"/>
        </w:rPr>
        <w:t>’</w:t>
      </w:r>
      <w:r w:rsidRPr="00BD7CEA">
        <w:rPr>
          <w:rFonts w:ascii="Tahoma" w:hAnsi="Tahoma" w:cs="Tahoma"/>
          <w:sz w:val="18"/>
        </w:rPr>
        <w:t>abbonamento.</w:t>
      </w:r>
    </w:p>
    <w:p w:rsidR="0055611F" w:rsidRPr="00BD7CEA" w:rsidRDefault="0055611F" w:rsidP="007A4659">
      <w:pPr>
        <w:pStyle w:val="FootnoteBulletLevel1"/>
        <w:spacing w:before="0" w:after="0"/>
        <w:ind w:left="720" w:firstLine="0"/>
      </w:pPr>
    </w:p>
    <w:p w:rsidR="0055611F" w:rsidRPr="00BD7CEA" w:rsidRDefault="0055611F" w:rsidP="00864B8A">
      <w:pPr>
        <w:spacing w:after="60"/>
        <w:ind w:left="720"/>
      </w:pPr>
      <w:r w:rsidRPr="00BD7CEA">
        <w:rPr>
          <w:rFonts w:cs="Tahoma"/>
          <w:b/>
        </w:rPr>
        <w:t>Servizi della Piattaforma Windows Azure</w:t>
      </w:r>
    </w:p>
    <w:p w:rsidR="00C2130B" w:rsidRPr="00BD7CEA" w:rsidRDefault="0055611F" w:rsidP="007A4659">
      <w:pPr>
        <w:adjustRightInd w:val="0"/>
        <w:snapToGrid w:val="0"/>
        <w:ind w:left="720"/>
        <w:textAlignment w:val="baseline"/>
      </w:pPr>
      <w:r w:rsidRPr="00BD7CEA">
        <w:rPr>
          <w:rFonts w:cs="Tahoma"/>
        </w:rPr>
        <w:t>I vantaggi di Windows Azure non possono essere una combinazione di più abbonamenti a MSDN su un singolo account di Windows Azure. L</w:t>
      </w:r>
      <w:r w:rsidR="007A1415" w:rsidRPr="00BD7CEA">
        <w:rPr>
          <w:rFonts w:cs="Tahoma"/>
        </w:rPr>
        <w:t>’</w:t>
      </w:r>
      <w:r w:rsidRPr="00BD7CEA">
        <w:rPr>
          <w:rFonts w:cs="Tahoma"/>
        </w:rPr>
        <w:t>uso di Windows Azure è soggetto alle relative condizioni per l</w:t>
      </w:r>
      <w:r w:rsidR="007A1415" w:rsidRPr="00BD7CEA">
        <w:rPr>
          <w:rFonts w:cs="Tahoma"/>
        </w:rPr>
        <w:t>’</w:t>
      </w:r>
      <w:r w:rsidRPr="00BD7CEA">
        <w:rPr>
          <w:rFonts w:cs="Tahoma"/>
        </w:rPr>
        <w:t>utilizzo.</w:t>
      </w:r>
      <w:bookmarkStart w:id="1117" w:name="Aps_19VS2010TestMSDN"/>
    </w:p>
    <w:p w:rsidR="007A4659" w:rsidRPr="00BD7CEA" w:rsidRDefault="007A4659" w:rsidP="007A4659">
      <w:pPr>
        <w:adjustRightInd w:val="0"/>
        <w:snapToGrid w:val="0"/>
        <w:textAlignment w:val="baseline"/>
      </w:pPr>
    </w:p>
    <w:p w:rsidR="007A4659" w:rsidRPr="00BD7CEA" w:rsidRDefault="007A4659" w:rsidP="007A4659">
      <w:pPr>
        <w:adjustRightInd w:val="0"/>
        <w:snapToGrid w:val="0"/>
        <w:textAlignment w:val="baseline"/>
      </w:pPr>
    </w:p>
    <w:p w:rsidR="00223A77" w:rsidRPr="00BD7CEA" w:rsidRDefault="004668D9" w:rsidP="00223A77">
      <w:pPr>
        <w:pStyle w:val="Heading3"/>
      </w:pPr>
      <w:bookmarkStart w:id="1118" w:name="_23_Visual_Studio"/>
      <w:bookmarkStart w:id="1119" w:name="_Toc336338279"/>
      <w:bookmarkStart w:id="1120" w:name="_Toc353376059"/>
      <w:bookmarkEnd w:id="1118"/>
      <w:r w:rsidRPr="00BD7CEA">
        <w:rPr>
          <w:rFonts w:ascii="Tahoma" w:hAnsi="Tahoma"/>
          <w:caps/>
          <w:color w:val="F66400"/>
          <w:sz w:val="22"/>
          <w:vertAlign w:val="superscript"/>
        </w:rPr>
        <w:t>23</w:t>
      </w:r>
      <w:r w:rsidRPr="00BD7CEA">
        <w:rPr>
          <w:rFonts w:ascii="Tahoma" w:hAnsi="Tahoma"/>
          <w:color w:val="F66400"/>
          <w:sz w:val="22"/>
        </w:rPr>
        <w:t xml:space="preserve"> Visual Studio Test Professional 2012 con </w:t>
      </w:r>
      <w:bookmarkEnd w:id="1117"/>
      <w:r w:rsidRPr="00BD7CEA">
        <w:rPr>
          <w:rFonts w:ascii="Tahoma" w:hAnsi="Tahoma"/>
          <w:color w:val="F66400"/>
          <w:sz w:val="22"/>
        </w:rPr>
        <w:t>MSDN</w:t>
      </w:r>
      <w:bookmarkEnd w:id="1119"/>
      <w:bookmarkEnd w:id="1120"/>
      <w:r w:rsidRPr="00BD7CEA">
        <w:rPr>
          <w:rFonts w:ascii="Tahoma" w:hAnsi="Tahoma"/>
          <w:color w:val="F66400"/>
          <w:sz w:val="22"/>
        </w:rPr>
        <w:t xml:space="preserve"> </w:t>
      </w:r>
    </w:p>
    <w:p w:rsidR="00AC4485" w:rsidRPr="00BD7CEA" w:rsidRDefault="00AC4485" w:rsidP="00E7500D">
      <w:pPr>
        <w:pStyle w:val="FootnoteBulletLevel1"/>
        <w:spacing w:before="0" w:after="0"/>
      </w:pPr>
    </w:p>
    <w:p w:rsidR="001026FD" w:rsidRPr="00BD7CEA" w:rsidRDefault="001026FD" w:rsidP="00864B8A">
      <w:pPr>
        <w:spacing w:after="60"/>
        <w:ind w:left="720"/>
      </w:pPr>
      <w:r w:rsidRPr="00BD7CEA">
        <w:rPr>
          <w:rFonts w:cs="Tahoma"/>
          <w:b/>
        </w:rPr>
        <w:t>Visual Studio Team Foundation Server 2012</w:t>
      </w:r>
    </w:p>
    <w:p w:rsidR="001026FD" w:rsidRPr="00BD7CEA" w:rsidRDefault="001026FD" w:rsidP="00E7500D">
      <w:pPr>
        <w:pStyle w:val="EndnoteText"/>
        <w:ind w:left="720"/>
      </w:pPr>
      <w:r w:rsidRPr="00BD7CEA">
        <w:rPr>
          <w:rFonts w:ascii="Tahoma" w:hAnsi="Tahoma" w:cs="Tahoma"/>
          <w:sz w:val="18"/>
        </w:rPr>
        <w:t>Il sottoscrittore è autorizzato a ricevere una licenza server per Visual Studio Team Foundation Server 2012 e</w:t>
      </w:r>
      <w:r w:rsidR="00BA65A9" w:rsidRPr="00BD7CEA">
        <w:rPr>
          <w:rFonts w:ascii="Tahoma" w:hAnsi="Tahoma" w:cs="Tahoma"/>
          <w:sz w:val="18"/>
        </w:rPr>
        <w:t> </w:t>
      </w:r>
      <w:r w:rsidRPr="00BD7CEA">
        <w:rPr>
          <w:rFonts w:ascii="Tahoma" w:hAnsi="Tahoma" w:cs="Tahoma"/>
          <w:sz w:val="18"/>
        </w:rPr>
        <w:t>una User CAL per Team Foundation Server. La licenza CAL può essere utilizzata esclusivamente dal sottoscrittore.</w:t>
      </w:r>
    </w:p>
    <w:p w:rsidR="001026FD" w:rsidRPr="00BD7CEA" w:rsidRDefault="001026FD" w:rsidP="00E7500D">
      <w:pPr>
        <w:pStyle w:val="EndnoteText"/>
        <w:ind w:left="720"/>
      </w:pPr>
    </w:p>
    <w:p w:rsidR="001026FD" w:rsidRPr="00BD7CEA" w:rsidRDefault="001026FD" w:rsidP="00864B8A">
      <w:pPr>
        <w:spacing w:after="60"/>
        <w:ind w:left="720"/>
      </w:pPr>
      <w:r w:rsidRPr="00BD7CEA">
        <w:rPr>
          <w:rFonts w:cs="Tahoma"/>
          <w:b/>
        </w:rPr>
        <w:t>SQL Server Parallel Data Warehouse Developer</w:t>
      </w:r>
    </w:p>
    <w:p w:rsidR="001026FD" w:rsidRPr="00BD7CEA" w:rsidRDefault="001026FD" w:rsidP="00E7500D">
      <w:pPr>
        <w:pStyle w:val="EndnoteText"/>
        <w:ind w:left="720"/>
      </w:pPr>
      <w:r w:rsidRPr="00BD7CEA">
        <w:rPr>
          <w:rFonts w:ascii="Tahoma" w:hAnsi="Tahoma" w:cs="Tahoma"/>
          <w:sz w:val="18"/>
        </w:rPr>
        <w:t>Il sottoscrittore è idoneo a ricevere una licenza per SQL Server 2008 R2 Parallel Data Warehouse Developer.</w:t>
      </w:r>
    </w:p>
    <w:p w:rsidR="00D45A36" w:rsidRDefault="00D45A36" w:rsidP="00864B8A">
      <w:pPr>
        <w:spacing w:after="60"/>
        <w:ind w:left="720"/>
        <w:rPr>
          <w:rFonts w:cs="Tahoma"/>
          <w:b/>
        </w:rPr>
      </w:pPr>
    </w:p>
    <w:p w:rsidR="00223A77" w:rsidRPr="00BD7CEA" w:rsidRDefault="00223A77" w:rsidP="00864B8A">
      <w:pPr>
        <w:spacing w:after="60"/>
        <w:ind w:left="720"/>
      </w:pPr>
      <w:r w:rsidRPr="00BD7CEA">
        <w:rPr>
          <w:rFonts w:cs="Tahoma"/>
          <w:b/>
        </w:rPr>
        <w:lastRenderedPageBreak/>
        <w:t>Requisiti di Idoneità per Software Assurance</w:t>
      </w:r>
    </w:p>
    <w:p w:rsidR="00223A77" w:rsidRPr="00BD7CEA" w:rsidRDefault="00223A77" w:rsidP="00101859">
      <w:pPr>
        <w:tabs>
          <w:tab w:val="num" w:pos="1170"/>
        </w:tabs>
        <w:ind w:left="900"/>
        <w:rPr>
          <w:spacing w:val="-2"/>
        </w:rPr>
      </w:pPr>
      <w:r w:rsidRPr="00BD7CEA">
        <w:rPr>
          <w:rFonts w:cs="Tahoma"/>
          <w:spacing w:val="-2"/>
        </w:rPr>
        <w:t>Le società con copertura Software Assurance in scadenza sui prodotti che seguono sono idonee a rinnovare la copertura come Visual Studio Test Professional 2012 con MSDN</w:t>
      </w:r>
      <w:r w:rsidRPr="00BD7CEA">
        <w:rPr>
          <w:rFonts w:cs="Tahoma"/>
          <w:spacing w:val="-2"/>
          <w:szCs w:val="24"/>
        </w:rPr>
        <w:t xml:space="preserve">. </w:t>
      </w:r>
      <w:r w:rsidRPr="00BD7CEA">
        <w:rPr>
          <w:rFonts w:cs="Tahoma"/>
          <w:spacing w:val="-2"/>
        </w:rPr>
        <w:t>Quando viene effettuato il rinnovo a un livello di sottoscrizione MSDN diverso, le nuove condizioni per l</w:t>
      </w:r>
      <w:r w:rsidR="007A1415" w:rsidRPr="00BD7CEA">
        <w:rPr>
          <w:rFonts w:cs="Tahoma"/>
          <w:spacing w:val="-2"/>
        </w:rPr>
        <w:t>’</w:t>
      </w:r>
      <w:r w:rsidRPr="00BD7CEA">
        <w:rPr>
          <w:rFonts w:cs="Tahoma"/>
          <w:spacing w:val="-2"/>
        </w:rPr>
        <w:t>utilizzo sostituiscono quelle precedenti e</w:t>
      </w:r>
      <w:r w:rsidR="00C834A8" w:rsidRPr="00BD7CEA">
        <w:rPr>
          <w:rFonts w:cs="Tahoma"/>
          <w:spacing w:val="-2"/>
        </w:rPr>
        <w:t> </w:t>
      </w:r>
      <w:r w:rsidRPr="00BD7CEA">
        <w:rPr>
          <w:rFonts w:cs="Tahoma"/>
          <w:spacing w:val="-2"/>
        </w:rPr>
        <w:t>qualsiasi prodotto software non incluso nella nuova sottoscrizione MSDN dovrà essere rimosso.</w:t>
      </w:r>
    </w:p>
    <w:p w:rsidR="00223A77" w:rsidRPr="00BD7CEA" w:rsidRDefault="00223A77" w:rsidP="00E7500D">
      <w:pPr>
        <w:pStyle w:val="EndnoteText"/>
      </w:pPr>
    </w:p>
    <w:p w:rsidR="00223A77" w:rsidRPr="00BD7CEA" w:rsidRDefault="00223A77" w:rsidP="00E7500D">
      <w:pPr>
        <w:pStyle w:val="FootnoteBulletLevel2"/>
        <w:numPr>
          <w:ilvl w:val="0"/>
          <w:numId w:val="5"/>
        </w:numPr>
        <w:spacing w:before="0" w:after="60"/>
        <w:ind w:left="1440"/>
      </w:pPr>
      <w:r w:rsidRPr="00BD7CEA">
        <w:rPr>
          <w:rFonts w:ascii="Tahoma" w:hAnsi="Tahoma" w:cs="Tahoma"/>
          <w:sz w:val="18"/>
        </w:rPr>
        <w:t>Visual Studio Ultimate con MSDN</w:t>
      </w:r>
    </w:p>
    <w:p w:rsidR="00061A45" w:rsidRPr="00BD7CEA" w:rsidRDefault="00BE4D27" w:rsidP="00E7500D">
      <w:pPr>
        <w:pStyle w:val="FootnoteBulletLevel2"/>
        <w:numPr>
          <w:ilvl w:val="0"/>
          <w:numId w:val="5"/>
        </w:numPr>
        <w:spacing w:before="0" w:after="60"/>
        <w:ind w:left="1440"/>
      </w:pPr>
      <w:r w:rsidRPr="00BD7CEA">
        <w:rPr>
          <w:rFonts w:ascii="Tahoma" w:hAnsi="Tahoma" w:cs="Tahoma"/>
          <w:sz w:val="18"/>
        </w:rPr>
        <w:t>Visual Studio Premium con MSDN</w:t>
      </w:r>
    </w:p>
    <w:p w:rsidR="00223A77" w:rsidRPr="00BD7CEA" w:rsidRDefault="00223A77" w:rsidP="00E7500D">
      <w:pPr>
        <w:pStyle w:val="FootnoteBulletLevel2"/>
        <w:numPr>
          <w:ilvl w:val="0"/>
          <w:numId w:val="5"/>
        </w:numPr>
        <w:spacing w:before="0" w:after="60"/>
        <w:ind w:left="1440"/>
      </w:pPr>
      <w:r w:rsidRPr="00BD7CEA">
        <w:rPr>
          <w:rFonts w:ascii="Tahoma" w:hAnsi="Tahoma" w:cs="Tahoma"/>
          <w:sz w:val="18"/>
        </w:rPr>
        <w:t>Visual Studio Test Professional con MSDN</w:t>
      </w:r>
    </w:p>
    <w:p w:rsidR="00223A77" w:rsidRPr="00BD7CEA" w:rsidRDefault="00223A77" w:rsidP="00E7500D">
      <w:pPr>
        <w:pStyle w:val="FootnoteBulletLevel2"/>
        <w:numPr>
          <w:ilvl w:val="0"/>
          <w:numId w:val="5"/>
        </w:numPr>
        <w:spacing w:before="0" w:after="60"/>
        <w:ind w:left="1440"/>
      </w:pPr>
      <w:r w:rsidRPr="00BD7CEA">
        <w:rPr>
          <w:rFonts w:ascii="Tahoma" w:hAnsi="Tahoma" w:cs="Tahoma"/>
          <w:sz w:val="18"/>
        </w:rPr>
        <w:t>Società titolari di un abbonamento retail attivo per qualsiasi prodotto software indicato nel precedente elenco.</w:t>
      </w:r>
    </w:p>
    <w:p w:rsidR="00223A77" w:rsidRPr="00BD7CEA" w:rsidRDefault="00223A77" w:rsidP="00E7500D">
      <w:pPr>
        <w:pStyle w:val="FootnoteBulletLevel1"/>
        <w:spacing w:before="0" w:after="0"/>
        <w:ind w:firstLine="0"/>
      </w:pPr>
    </w:p>
    <w:p w:rsidR="00E7500D" w:rsidRPr="00BD7CEA" w:rsidRDefault="00223A77" w:rsidP="00E7500D">
      <w:pPr>
        <w:pStyle w:val="FootnoteBulletLevel2"/>
        <w:tabs>
          <w:tab w:val="clear" w:pos="1260"/>
        </w:tabs>
        <w:spacing w:before="0"/>
        <w:ind w:left="720" w:firstLine="0"/>
      </w:pPr>
      <w:r w:rsidRPr="00BD7CEA">
        <w:rPr>
          <w:rFonts w:ascii="Tahoma" w:hAnsi="Tahoma" w:cs="Tahoma"/>
          <w:sz w:val="18"/>
        </w:rPr>
        <w:t>Le società che hanno stipulato contratti Enterprise, Select o Open Value con copertura Software Assurance attiva per Visual Studio Test Professional 2012 con MSDN potranno anch</w:t>
      </w:r>
      <w:r w:rsidR="007A1415" w:rsidRPr="00BD7CEA">
        <w:rPr>
          <w:rFonts w:ascii="Tahoma" w:hAnsi="Tahoma" w:cs="Tahoma"/>
          <w:sz w:val="18"/>
        </w:rPr>
        <w:t>’</w:t>
      </w:r>
      <w:r w:rsidRPr="00BD7CEA">
        <w:rPr>
          <w:rFonts w:ascii="Tahoma" w:hAnsi="Tahoma" w:cs="Tahoma"/>
          <w:sz w:val="18"/>
        </w:rPr>
        <w:t xml:space="preserve">esse effettuare lo step-up a Visual Studio Premium 2012 con MSDN acquistando lo </w:t>
      </w:r>
      <w:hyperlink w:anchor="Step_Up" w:history="1">
        <w:r w:rsidRPr="00BD7CEA">
          <w:rPr>
            <w:rFonts w:ascii="Tahoma" w:hAnsi="Tahoma" w:cs="Tahoma"/>
            <w:sz w:val="18"/>
          </w:rPr>
          <w:t>SKU di Step-Up</w:t>
        </w:r>
      </w:hyperlink>
      <w:r w:rsidRPr="00BD7CEA">
        <w:t xml:space="preserve"> idoneo.</w:t>
      </w:r>
    </w:p>
    <w:p w:rsidR="00101859" w:rsidRPr="00BD7CEA" w:rsidRDefault="00101859"/>
    <w:p w:rsidR="005C11D1" w:rsidRPr="00BD7CEA" w:rsidRDefault="009B2474" w:rsidP="00864B8A">
      <w:pPr>
        <w:spacing w:after="60"/>
        <w:ind w:left="720"/>
      </w:pPr>
      <w:r w:rsidRPr="00BD7CEA">
        <w:rPr>
          <w:rFonts w:cs="Tahoma"/>
          <w:b/>
        </w:rPr>
        <w:t>Servizi “Subscription”</w:t>
      </w:r>
    </w:p>
    <w:p w:rsidR="001051D1" w:rsidRPr="00BD7CEA" w:rsidRDefault="005C11D1" w:rsidP="00E7500D">
      <w:pPr>
        <w:ind w:left="720"/>
      </w:pPr>
      <w:r w:rsidRPr="00BD7CEA">
        <w:t xml:space="preserve">I servizi MSDN in abbonamento, che potranno includere download, codici Product Key, vantaggi di Windows Azure, </w:t>
      </w:r>
      <w:r w:rsidRPr="00BD7CEA">
        <w:rPr>
          <w:rFonts w:cs="Tahoma"/>
        </w:rPr>
        <w:t xml:space="preserve">vantaggi di Office 365 Developer, </w:t>
      </w:r>
      <w:r w:rsidRPr="00BD7CEA">
        <w:t>e-learning, supporto tecnico, vantaggi di Windows Store e altri servizi, sono disponibili solo durante il periodo di validità dell</w:t>
      </w:r>
      <w:r w:rsidR="007A1415" w:rsidRPr="00BD7CEA">
        <w:t>’</w:t>
      </w:r>
      <w:r w:rsidRPr="00BD7CEA">
        <w:t>abbonamento.</w:t>
      </w:r>
      <w:bookmarkStart w:id="1121" w:name="_14_Operating_System"/>
      <w:bookmarkEnd w:id="1121"/>
    </w:p>
    <w:p w:rsidR="00E03856" w:rsidRPr="00BD7CEA" w:rsidRDefault="001051D1">
      <w:r w:rsidRPr="00BD7CEA">
        <w:br w:type="page"/>
      </w:r>
      <w:bookmarkStart w:id="1122" w:name="_Toc336338280"/>
    </w:p>
    <w:p w:rsidR="00023FE7" w:rsidRPr="000E6875" w:rsidRDefault="00023FE7" w:rsidP="002E57CF">
      <w:pPr>
        <w:pStyle w:val="Heading2"/>
        <w:ind w:left="0"/>
        <w:rPr>
          <w:sz w:val="28"/>
          <w:szCs w:val="28"/>
        </w:rPr>
      </w:pPr>
      <w:bookmarkStart w:id="1123" w:name="_Toc353376060"/>
      <w:r w:rsidRPr="000E6875">
        <w:rPr>
          <w:rFonts w:ascii="Tahoma" w:hAnsi="Tahoma" w:cs="Tahoma"/>
          <w:sz w:val="28"/>
          <w:szCs w:val="28"/>
        </w:rPr>
        <w:lastRenderedPageBreak/>
        <w:t>Pool di Sistemi</w:t>
      </w:r>
      <w:bookmarkEnd w:id="1122"/>
      <w:bookmarkEnd w:id="1123"/>
    </w:p>
    <w:p w:rsidR="00023FE7" w:rsidRPr="00BD7CEA" w:rsidRDefault="00023FE7"/>
    <w:p w:rsidR="009C2B6B" w:rsidRPr="00BD7CEA" w:rsidRDefault="009C2B6B"/>
    <w:p w:rsidR="00E14FF2" w:rsidRPr="00BD7CEA" w:rsidRDefault="004668D9" w:rsidP="00A53269">
      <w:pPr>
        <w:pStyle w:val="Heading3"/>
      </w:pPr>
      <w:bookmarkStart w:id="1124" w:name="_24_Microsoft_Desktop"/>
      <w:bookmarkStart w:id="1125" w:name="_Toc336338283"/>
      <w:bookmarkStart w:id="1126" w:name="_Toc353376061"/>
      <w:bookmarkStart w:id="1127" w:name="Sys_21MDOPforSA"/>
      <w:bookmarkStart w:id="1128" w:name="Sys_25MDOPforSA"/>
      <w:bookmarkEnd w:id="1124"/>
      <w:r w:rsidRPr="00BD7CEA">
        <w:rPr>
          <w:rFonts w:ascii="Tahoma" w:hAnsi="Tahoma"/>
          <w:caps/>
          <w:color w:val="F66400"/>
          <w:sz w:val="22"/>
          <w:vertAlign w:val="superscript"/>
        </w:rPr>
        <w:t>24</w:t>
      </w:r>
      <w:r w:rsidRPr="00BD7CEA">
        <w:rPr>
          <w:rFonts w:ascii="Tahoma" w:hAnsi="Tahoma"/>
          <w:color w:val="F66400"/>
          <w:sz w:val="22"/>
        </w:rPr>
        <w:t xml:space="preserve"> Microsoft Desktop Optimization Pack per Software Assurance</w:t>
      </w:r>
      <w:bookmarkEnd w:id="1125"/>
      <w:bookmarkEnd w:id="1126"/>
    </w:p>
    <w:bookmarkEnd w:id="1127"/>
    <w:p w:rsidR="007A73DF" w:rsidRPr="00BD7CEA" w:rsidRDefault="007A73DF" w:rsidP="00483B3D"/>
    <w:p w:rsidR="00475147" w:rsidRPr="00BD7CEA" w:rsidRDefault="0037362E" w:rsidP="00483B3D">
      <w:pPr>
        <w:ind w:left="720"/>
      </w:pPr>
      <w:r w:rsidRPr="00BD7CEA">
        <w:rPr>
          <w:rFonts w:eastAsia="Calibri" w:cs="Tahoma"/>
          <w:color w:val="000000"/>
          <w:szCs w:val="18"/>
        </w:rPr>
        <w:t>Le società che desiderano acquistare Microsoft Desktop Optimization Pack per Software Assurance (MDOP) dovranno innanzitutto avere acquistato e ceduto al desktop uno dei seguenti elementi:</w:t>
      </w:r>
    </w:p>
    <w:p w:rsidR="00676723" w:rsidRPr="00BD7CEA" w:rsidRDefault="00676723" w:rsidP="00483B3D">
      <w:pPr>
        <w:ind w:left="720"/>
      </w:pPr>
    </w:p>
    <w:p w:rsidR="00475147" w:rsidRPr="00BD7CEA" w:rsidRDefault="00475147" w:rsidP="007358C5">
      <w:pPr>
        <w:numPr>
          <w:ilvl w:val="0"/>
          <w:numId w:val="49"/>
        </w:numPr>
        <w:tabs>
          <w:tab w:val="left" w:pos="1440"/>
        </w:tabs>
        <w:ind w:left="1440" w:hanging="446"/>
      </w:pPr>
      <w:r w:rsidRPr="00BD7CEA">
        <w:rPr>
          <w:rFonts w:eastAsia="Calibri" w:cs="Tahoma"/>
          <w:color w:val="000000"/>
          <w:szCs w:val="18"/>
        </w:rPr>
        <w:t>copertura Software Assurance attiva per il sistema operativo desktop Windows;</w:t>
      </w:r>
    </w:p>
    <w:p w:rsidR="00475147" w:rsidRPr="00BD7CEA" w:rsidRDefault="00475147" w:rsidP="007358C5">
      <w:pPr>
        <w:numPr>
          <w:ilvl w:val="0"/>
          <w:numId w:val="49"/>
        </w:numPr>
        <w:tabs>
          <w:tab w:val="left" w:pos="1440"/>
        </w:tabs>
        <w:ind w:left="1440" w:hanging="446"/>
      </w:pPr>
      <w:r w:rsidRPr="00BD7CEA">
        <w:rPr>
          <w:rFonts w:eastAsia="Calibri" w:cs="Tahoma"/>
          <w:color w:val="000000"/>
          <w:szCs w:val="18"/>
        </w:rPr>
        <w:t>licenza per Windows Virtual Desktop Access o</w:t>
      </w:r>
    </w:p>
    <w:p w:rsidR="00475147" w:rsidRPr="00BD7CEA" w:rsidRDefault="00475147" w:rsidP="007358C5">
      <w:pPr>
        <w:numPr>
          <w:ilvl w:val="0"/>
          <w:numId w:val="49"/>
        </w:numPr>
        <w:tabs>
          <w:tab w:val="left" w:pos="1440"/>
        </w:tabs>
        <w:ind w:left="1440" w:hanging="446"/>
      </w:pPr>
      <w:r w:rsidRPr="00BD7CEA">
        <w:rPr>
          <w:rFonts w:eastAsia="Calibri" w:cs="Tahoma"/>
          <w:color w:val="000000"/>
          <w:szCs w:val="18"/>
        </w:rPr>
        <w:t xml:space="preserve">sottoscrizione attiva di Windows Intune </w:t>
      </w:r>
      <w:r w:rsidRPr="00BD7CEA">
        <w:rPr>
          <w:rFonts w:cs="Tahoma"/>
          <w:szCs w:val="18"/>
        </w:rPr>
        <w:t>(Per Dispositivo)</w:t>
      </w:r>
      <w:r w:rsidRPr="00BD7CEA">
        <w:rPr>
          <w:rFonts w:eastAsia="Calibri" w:cs="Tahoma"/>
          <w:color w:val="000000"/>
          <w:szCs w:val="18"/>
        </w:rPr>
        <w:t>.</w:t>
      </w:r>
    </w:p>
    <w:p w:rsidR="00475147" w:rsidRPr="00BD7CEA" w:rsidRDefault="00475147" w:rsidP="00483B3D">
      <w:pPr>
        <w:spacing w:before="120"/>
        <w:ind w:left="720"/>
      </w:pPr>
      <w:r w:rsidRPr="00BD7CEA">
        <w:rPr>
          <w:rFonts w:eastAsia="Calibri" w:cs="Tahoma"/>
          <w:color w:val="000000"/>
          <w:szCs w:val="18"/>
        </w:rPr>
        <w:t>Sono inoltre consentiti i dispositivi coperti da una Licenza “Subscription” per Windows Companion attiva.</w:t>
      </w:r>
    </w:p>
    <w:p w:rsidR="007A73DF" w:rsidRPr="00BD7CEA" w:rsidRDefault="007A73DF" w:rsidP="00483B3D">
      <w:pPr>
        <w:ind w:left="720"/>
      </w:pPr>
    </w:p>
    <w:p w:rsidR="00F7027D" w:rsidRPr="00BD7CEA" w:rsidRDefault="00F7027D" w:rsidP="00483B3D">
      <w:pPr>
        <w:ind w:left="720"/>
      </w:pPr>
      <w:r w:rsidRPr="00BD7CEA">
        <w:rPr>
          <w:rFonts w:eastAsia="Calibri" w:cs="Tahoma"/>
          <w:color w:val="000000"/>
          <w:szCs w:val="18"/>
        </w:rPr>
        <w:t>Le società che abbiano stipulato contratti Volume License con licenze attive per MDOP riceveranno il seguente software (non appena verrà reso disponibile).</w:t>
      </w:r>
    </w:p>
    <w:p w:rsidR="007A73DF" w:rsidRPr="00BD7CEA" w:rsidRDefault="007A73DF" w:rsidP="00483B3D">
      <w:pPr>
        <w:ind w:left="720"/>
      </w:pPr>
    </w:p>
    <w:p w:rsidR="00E52A26" w:rsidRPr="00BD7CEA" w:rsidRDefault="00E52A26" w:rsidP="007358C5">
      <w:pPr>
        <w:numPr>
          <w:ilvl w:val="0"/>
          <w:numId w:val="49"/>
        </w:numPr>
        <w:tabs>
          <w:tab w:val="left" w:pos="1440"/>
        </w:tabs>
        <w:spacing w:after="60"/>
        <w:ind w:left="1440" w:hanging="446"/>
      </w:pPr>
      <w:r w:rsidRPr="00BD7CEA">
        <w:rPr>
          <w:rFonts w:eastAsia="Calibri" w:cs="Tahoma"/>
          <w:color w:val="000000"/>
          <w:szCs w:val="18"/>
        </w:rPr>
        <w:t>Microsoft Application Virtualization per Desktop Windows (App-V)</w:t>
      </w:r>
    </w:p>
    <w:p w:rsidR="00E52A26" w:rsidRPr="00BD7CEA" w:rsidRDefault="00E52A26" w:rsidP="007358C5">
      <w:pPr>
        <w:numPr>
          <w:ilvl w:val="0"/>
          <w:numId w:val="49"/>
        </w:numPr>
        <w:tabs>
          <w:tab w:val="left" w:pos="1440"/>
        </w:tabs>
        <w:spacing w:after="60"/>
        <w:ind w:left="1440" w:hanging="446"/>
      </w:pPr>
      <w:r w:rsidRPr="00BD7CEA">
        <w:rPr>
          <w:rFonts w:eastAsia="Calibri" w:cs="Tahoma"/>
          <w:color w:val="000000"/>
          <w:szCs w:val="18"/>
        </w:rPr>
        <w:t>Gestione Avanzata Criteri di Gruppo Microsoft (AGPM)</w:t>
      </w:r>
    </w:p>
    <w:p w:rsidR="00E52A26" w:rsidRPr="00BD7CEA" w:rsidRDefault="00E52A26" w:rsidP="007358C5">
      <w:pPr>
        <w:numPr>
          <w:ilvl w:val="0"/>
          <w:numId w:val="49"/>
        </w:numPr>
        <w:tabs>
          <w:tab w:val="left" w:pos="1440"/>
        </w:tabs>
        <w:spacing w:after="60"/>
        <w:ind w:left="1440" w:hanging="446"/>
      </w:pPr>
      <w:r w:rsidRPr="00BD7CEA">
        <w:rPr>
          <w:rFonts w:eastAsia="Calibri" w:cs="Tahoma"/>
          <w:color w:val="000000"/>
          <w:szCs w:val="18"/>
        </w:rPr>
        <w:t>Set di Strumenti Microsoft di Diagnostica e Ripristino (DART)</w:t>
      </w:r>
    </w:p>
    <w:p w:rsidR="00E52A26" w:rsidRPr="00BD7CEA" w:rsidRDefault="00E52A26" w:rsidP="007358C5">
      <w:pPr>
        <w:numPr>
          <w:ilvl w:val="0"/>
          <w:numId w:val="49"/>
        </w:numPr>
        <w:tabs>
          <w:tab w:val="left" w:pos="1440"/>
        </w:tabs>
        <w:spacing w:after="60"/>
        <w:ind w:left="1440" w:hanging="446"/>
      </w:pPr>
      <w:r w:rsidRPr="00BD7CEA">
        <w:rPr>
          <w:rFonts w:eastAsia="Calibri" w:cs="Tahoma"/>
          <w:color w:val="000000"/>
          <w:szCs w:val="18"/>
        </w:rPr>
        <w:t>Microsoft Enterprise Desktop Virtualization (MED-V)</w:t>
      </w:r>
    </w:p>
    <w:p w:rsidR="00E52A26" w:rsidRPr="00BD7CEA" w:rsidRDefault="00E52A26" w:rsidP="007358C5">
      <w:pPr>
        <w:numPr>
          <w:ilvl w:val="0"/>
          <w:numId w:val="49"/>
        </w:numPr>
        <w:tabs>
          <w:tab w:val="left" w:pos="1440"/>
        </w:tabs>
        <w:spacing w:after="60"/>
        <w:ind w:left="1440" w:hanging="446"/>
      </w:pPr>
      <w:r w:rsidRPr="00BD7CEA">
        <w:rPr>
          <w:rFonts w:eastAsia="Calibri" w:cs="Tahoma"/>
          <w:color w:val="000000"/>
          <w:szCs w:val="18"/>
        </w:rPr>
        <w:t>Microsoft BitLocker</w:t>
      </w:r>
      <w:r w:rsidR="00700C4B" w:rsidRPr="00BD7CEA">
        <w:rPr>
          <w:rFonts w:eastAsia="Calibri" w:cs="Tahoma"/>
          <w:color w:val="000000"/>
          <w:szCs w:val="18"/>
          <w:vertAlign w:val="superscript"/>
        </w:rPr>
        <w:t>®</w:t>
      </w:r>
      <w:r w:rsidRPr="00BD7CEA">
        <w:rPr>
          <w:rFonts w:eastAsia="Calibri" w:cs="Tahoma"/>
          <w:color w:val="000000"/>
          <w:szCs w:val="18"/>
        </w:rPr>
        <w:t xml:space="preserve"> Administration and Monitoring (MBAM)</w:t>
      </w:r>
    </w:p>
    <w:p w:rsidR="00670296" w:rsidRPr="00BD7CEA" w:rsidRDefault="00670296" w:rsidP="007358C5">
      <w:pPr>
        <w:numPr>
          <w:ilvl w:val="0"/>
          <w:numId w:val="49"/>
        </w:numPr>
        <w:tabs>
          <w:tab w:val="left" w:pos="1440"/>
        </w:tabs>
        <w:spacing w:after="60"/>
        <w:ind w:left="1440" w:hanging="446"/>
      </w:pPr>
      <w:r w:rsidRPr="00BD7CEA">
        <w:rPr>
          <w:rFonts w:eastAsia="Calibri" w:cs="Tahoma"/>
          <w:color w:val="000000"/>
          <w:szCs w:val="18"/>
        </w:rPr>
        <w:t>Microsoft User Experience Virtualization (UE-V)</w:t>
      </w:r>
    </w:p>
    <w:p w:rsidR="007A73DF" w:rsidRPr="00BD7CEA" w:rsidRDefault="007A73DF" w:rsidP="00483B3D">
      <w:pPr>
        <w:tabs>
          <w:tab w:val="left" w:pos="1440"/>
        </w:tabs>
        <w:ind w:left="994"/>
      </w:pPr>
    </w:p>
    <w:p w:rsidR="007045C0" w:rsidRPr="00BD7CEA" w:rsidRDefault="007045C0" w:rsidP="00483B3D">
      <w:pPr>
        <w:spacing w:after="60"/>
        <w:ind w:left="720"/>
      </w:pPr>
      <w:r w:rsidRPr="00BD7CEA">
        <w:rPr>
          <w:rFonts w:eastAsia="Calibri" w:cs="Tahoma"/>
          <w:b/>
          <w:color w:val="000000"/>
          <w:szCs w:val="18"/>
        </w:rPr>
        <w:t>Licenza “Subscription” per Windows Companion (CSL) e MDOP</w:t>
      </w:r>
    </w:p>
    <w:p w:rsidR="007045C0" w:rsidRPr="00BD7CEA" w:rsidRDefault="007045C0" w:rsidP="00483B3D">
      <w:pPr>
        <w:tabs>
          <w:tab w:val="left" w:pos="1440"/>
        </w:tabs>
        <w:ind w:left="720"/>
      </w:pPr>
      <w:r w:rsidRPr="00BD7CEA">
        <w:rPr>
          <w:rFonts w:cs="Tahoma"/>
          <w:color w:val="000000"/>
          <w:szCs w:val="18"/>
        </w:rPr>
        <w:t>Gli Utenti Principali di un dispositivo coperto da una licenza MDOP attiva e da una CSL potranno accedere alla funzionalità MDOP tramite i loro dispositivi companion senza dover acquistare licenze MDOP aggiuntive per ciascun dispositivo companion.</w:t>
      </w:r>
    </w:p>
    <w:p w:rsidR="007045C0" w:rsidRPr="00BD7CEA" w:rsidRDefault="007045C0" w:rsidP="00483B3D">
      <w:pPr>
        <w:tabs>
          <w:tab w:val="left" w:pos="1440"/>
        </w:tabs>
        <w:ind w:left="994"/>
      </w:pPr>
    </w:p>
    <w:p w:rsidR="0031394C" w:rsidRPr="00BD7CEA" w:rsidRDefault="0031394C" w:rsidP="00483B3D">
      <w:pPr>
        <w:spacing w:after="60"/>
        <w:ind w:left="720"/>
      </w:pPr>
      <w:r w:rsidRPr="00BD7CEA">
        <w:rPr>
          <w:rFonts w:eastAsia="Calibri" w:cs="Tahoma"/>
          <w:b/>
          <w:color w:val="000000"/>
          <w:szCs w:val="18"/>
        </w:rPr>
        <w:t>Offerta di Windows Intune (Per Dispositivo) per le Società in possesso di Microsoft Desktop Optimization Pack (MDOP) che utilizzano Asset Inventory Service</w:t>
      </w:r>
    </w:p>
    <w:p w:rsidR="00BB0250" w:rsidRPr="00BD7CEA" w:rsidRDefault="00BB0250" w:rsidP="00483B3D">
      <w:pPr>
        <w:ind w:left="720"/>
      </w:pPr>
      <w:r w:rsidRPr="00BD7CEA">
        <w:rPr>
          <w:rFonts w:cs="Tahoma"/>
          <w:color w:val="000000"/>
          <w:szCs w:val="18"/>
        </w:rPr>
        <w:t>L</w:t>
      </w:r>
      <w:r w:rsidR="007A1415" w:rsidRPr="00BD7CEA">
        <w:rPr>
          <w:rFonts w:cs="Tahoma"/>
          <w:color w:val="000000"/>
          <w:szCs w:val="18"/>
        </w:rPr>
        <w:t>’</w:t>
      </w:r>
      <w:r w:rsidRPr="00BD7CEA">
        <w:rPr>
          <w:rFonts w:cs="Tahoma"/>
          <w:color w:val="000000"/>
          <w:szCs w:val="18"/>
        </w:rPr>
        <w:t>offerta di Asset Inventory Service (AIS) insieme a MDOP verrà interrotta il 3 aprile 2013. A partire da quella data le società non avranno più accesso al servizio.</w:t>
      </w:r>
      <w:r w:rsidR="008D782D" w:rsidRPr="00BD7CEA">
        <w:rPr>
          <w:rFonts w:cs="Tahoma"/>
          <w:color w:val="000000"/>
          <w:szCs w:val="18"/>
        </w:rPr>
        <w:t xml:space="preserve"> </w:t>
      </w:r>
      <w:r w:rsidRPr="00BD7CEA">
        <w:rPr>
          <w:rFonts w:cs="Tahoma"/>
          <w:color w:val="000000"/>
          <w:szCs w:val="18"/>
        </w:rPr>
        <w:t>Le società in possesso di MDOP con account AIS operativi attivati sul sito Volume Licensing Service Center il 30 aprile 2012 o in data precedente avranno la</w:t>
      </w:r>
      <w:r w:rsidR="00C834A8" w:rsidRPr="00BD7CEA">
        <w:rPr>
          <w:rFonts w:cs="Tahoma"/>
          <w:color w:val="000000"/>
          <w:szCs w:val="18"/>
        </w:rPr>
        <w:t> </w:t>
      </w:r>
      <w:r w:rsidRPr="00BD7CEA">
        <w:rPr>
          <w:rFonts w:cs="Tahoma"/>
          <w:color w:val="000000"/>
          <w:szCs w:val="18"/>
        </w:rPr>
        <w:t xml:space="preserve">possibilità di passare al servizio online Windows Intune </w:t>
      </w:r>
      <w:r w:rsidRPr="00BD7CEA">
        <w:rPr>
          <w:rFonts w:cs="Tahoma"/>
          <w:szCs w:val="18"/>
        </w:rPr>
        <w:t xml:space="preserve">(Per Dispositivo) </w:t>
      </w:r>
      <w:r w:rsidRPr="00BD7CEA">
        <w:rPr>
          <w:rFonts w:cs="Tahoma"/>
          <w:color w:val="000000"/>
          <w:szCs w:val="18"/>
        </w:rPr>
        <w:t xml:space="preserve">e di utilizzarlo </w:t>
      </w:r>
      <w:r w:rsidRPr="00BD7CEA">
        <w:rPr>
          <w:color w:val="000000"/>
        </w:rPr>
        <w:t xml:space="preserve">a condizione che </w:t>
      </w:r>
      <w:r w:rsidRPr="00BD7CEA">
        <w:rPr>
          <w:rFonts w:cs="Tahoma"/>
          <w:color w:val="000000"/>
          <w:szCs w:val="18"/>
        </w:rPr>
        <w:t xml:space="preserve">Windows Intune </w:t>
      </w:r>
      <w:r w:rsidRPr="00BD7CEA">
        <w:rPr>
          <w:rFonts w:cs="Tahoma"/>
          <w:szCs w:val="18"/>
        </w:rPr>
        <w:t xml:space="preserve">(Per Dispositivo) </w:t>
      </w:r>
      <w:r w:rsidRPr="00BD7CEA">
        <w:rPr>
          <w:color w:val="000000"/>
        </w:rPr>
        <w:t>sia disponibile a livello commerciale nei loro paesi.</w:t>
      </w:r>
      <w:r w:rsidR="008D782D" w:rsidRPr="00BD7CEA">
        <w:rPr>
          <w:color w:val="000000"/>
        </w:rPr>
        <w:t xml:space="preserve"> </w:t>
      </w:r>
      <w:r w:rsidRPr="00BD7CEA">
        <w:rPr>
          <w:color w:val="000000"/>
        </w:rPr>
        <w:t xml:space="preserve">Al seguente indirizzo è reperibile un elenco dei paesi nei quali Windows Intune </w:t>
      </w:r>
      <w:r w:rsidRPr="00BD7CEA">
        <w:rPr>
          <w:rFonts w:cs="Tahoma"/>
          <w:szCs w:val="18"/>
        </w:rPr>
        <w:t xml:space="preserve">(Per Dispositivo) </w:t>
      </w:r>
      <w:r w:rsidRPr="00BD7CEA">
        <w:rPr>
          <w:color w:val="000000"/>
        </w:rPr>
        <w:t xml:space="preserve">è disponibile a livello commerciale: </w:t>
      </w:r>
      <w:hyperlink r:id="rId45" w:history="1">
        <w:r w:rsidRPr="00BD7CEA">
          <w:rPr>
            <w:color w:val="0000FF"/>
            <w:u w:val="single"/>
          </w:rPr>
          <w:t>www.microsoft.com/en-us/windows/windowsintune/faq/default.aspx</w:t>
        </w:r>
      </w:hyperlink>
      <w:r w:rsidRPr="000E6875">
        <w:t>.</w:t>
      </w:r>
    </w:p>
    <w:p w:rsidR="007A73DF" w:rsidRPr="00BD7CEA" w:rsidRDefault="007A73DF" w:rsidP="00483B3D">
      <w:pPr>
        <w:ind w:left="720"/>
      </w:pPr>
    </w:p>
    <w:p w:rsidR="007A73DF" w:rsidRPr="00BD7CEA" w:rsidRDefault="0031394C" w:rsidP="00483B3D">
      <w:pPr>
        <w:spacing w:after="60"/>
        <w:ind w:left="720"/>
      </w:pPr>
      <w:r w:rsidRPr="00BD7CEA">
        <w:rPr>
          <w:rFonts w:eastAsia="Calibri" w:cs="Tahoma"/>
          <w:b/>
          <w:color w:val="000000"/>
          <w:szCs w:val="18"/>
        </w:rPr>
        <w:t>Dettagli dell</w:t>
      </w:r>
      <w:r w:rsidR="007A1415" w:rsidRPr="00BD7CEA">
        <w:rPr>
          <w:rFonts w:eastAsia="Calibri" w:cs="Tahoma"/>
          <w:b/>
          <w:color w:val="000000"/>
          <w:szCs w:val="18"/>
        </w:rPr>
        <w:t>’</w:t>
      </w:r>
      <w:r w:rsidRPr="00BD7CEA">
        <w:rPr>
          <w:rFonts w:eastAsia="Calibri" w:cs="Tahoma"/>
          <w:b/>
          <w:color w:val="000000"/>
          <w:szCs w:val="18"/>
        </w:rPr>
        <w:t>Offerta</w:t>
      </w:r>
    </w:p>
    <w:p w:rsidR="0031394C" w:rsidRPr="000E6875" w:rsidRDefault="0031394C" w:rsidP="007358C5">
      <w:pPr>
        <w:numPr>
          <w:ilvl w:val="1"/>
          <w:numId w:val="81"/>
        </w:numPr>
        <w:spacing w:after="60"/>
        <w:rPr>
          <w:szCs w:val="18"/>
        </w:rPr>
      </w:pPr>
      <w:r w:rsidRPr="000E6875">
        <w:rPr>
          <w:rFonts w:eastAsia="Calibri" w:cs="Tahoma"/>
          <w:color w:val="000000"/>
          <w:szCs w:val="18"/>
        </w:rPr>
        <w:t>L</w:t>
      </w:r>
      <w:r w:rsidR="007A1415" w:rsidRPr="000E6875">
        <w:rPr>
          <w:rFonts w:eastAsia="Calibri" w:cs="Tahoma"/>
          <w:color w:val="000000"/>
          <w:szCs w:val="18"/>
        </w:rPr>
        <w:t>’</w:t>
      </w:r>
      <w:r w:rsidRPr="000E6875">
        <w:rPr>
          <w:rFonts w:eastAsia="Calibri" w:cs="Tahoma"/>
          <w:color w:val="000000"/>
          <w:szCs w:val="18"/>
        </w:rPr>
        <w:t>offerta può essere accettata in qualsiasi momento compreso tra il 3 aprile 2012 e la data di scadenza della sottoscrizione MDOP corrente delle società.</w:t>
      </w:r>
    </w:p>
    <w:p w:rsidR="0031394C" w:rsidRPr="000E6875" w:rsidRDefault="0031394C" w:rsidP="007358C5">
      <w:pPr>
        <w:numPr>
          <w:ilvl w:val="1"/>
          <w:numId w:val="81"/>
        </w:numPr>
        <w:spacing w:after="60"/>
        <w:rPr>
          <w:szCs w:val="18"/>
        </w:rPr>
      </w:pPr>
      <w:r w:rsidRPr="000E6875">
        <w:rPr>
          <w:rFonts w:eastAsia="Calibri" w:cs="Tahoma"/>
          <w:color w:val="000000"/>
          <w:szCs w:val="18"/>
        </w:rPr>
        <w:t>Per accettare l</w:t>
      </w:r>
      <w:r w:rsidR="007A1415" w:rsidRPr="000E6875">
        <w:rPr>
          <w:rFonts w:eastAsia="Calibri" w:cs="Tahoma"/>
          <w:color w:val="000000"/>
          <w:szCs w:val="18"/>
        </w:rPr>
        <w:t>’</w:t>
      </w:r>
      <w:r w:rsidRPr="000E6875">
        <w:rPr>
          <w:rFonts w:eastAsia="Calibri" w:cs="Tahoma"/>
          <w:color w:val="000000"/>
          <w:szCs w:val="18"/>
        </w:rPr>
        <w:t xml:space="preserve">offerta, le società dovranno (1) creare un account di valutazione per Windows Intune </w:t>
      </w:r>
      <w:r w:rsidRPr="000E6875">
        <w:rPr>
          <w:rFonts w:cs="Tahoma"/>
          <w:szCs w:val="18"/>
        </w:rPr>
        <w:t xml:space="preserve">(Per Dispositivo) </w:t>
      </w:r>
      <w:r w:rsidRPr="000E6875">
        <w:rPr>
          <w:rFonts w:eastAsia="Calibri" w:cs="Tahoma"/>
          <w:color w:val="000000"/>
          <w:szCs w:val="18"/>
        </w:rPr>
        <w:t>sul sito http://www.microsoft.com/en-us/windows/windowsintune/try-</w:t>
      </w:r>
      <w:r w:rsidR="00C834A8" w:rsidRPr="000E6875">
        <w:rPr>
          <w:rFonts w:eastAsia="Calibri" w:cs="Tahoma"/>
          <w:color w:val="000000"/>
          <w:szCs w:val="18"/>
        </w:rPr>
        <w:br/>
      </w:r>
      <w:r w:rsidRPr="000E6875">
        <w:rPr>
          <w:rFonts w:eastAsia="Calibri" w:cs="Tahoma"/>
          <w:color w:val="000000"/>
          <w:szCs w:val="18"/>
        </w:rPr>
        <w:t>and-buy.aspx, quindi (2) inviare il modulo di accettazione dell</w:t>
      </w:r>
      <w:r w:rsidR="007A1415" w:rsidRPr="000E6875">
        <w:rPr>
          <w:rFonts w:eastAsia="Calibri" w:cs="Tahoma"/>
          <w:color w:val="000000"/>
          <w:szCs w:val="18"/>
        </w:rPr>
        <w:t>’</w:t>
      </w:r>
      <w:r w:rsidRPr="000E6875">
        <w:rPr>
          <w:rFonts w:eastAsia="Calibri" w:cs="Tahoma"/>
          <w:color w:val="000000"/>
          <w:szCs w:val="18"/>
        </w:rPr>
        <w:t>offerta all</w:t>
      </w:r>
      <w:r w:rsidR="007A1415" w:rsidRPr="000E6875">
        <w:rPr>
          <w:rFonts w:eastAsia="Calibri" w:cs="Tahoma"/>
          <w:color w:val="000000"/>
          <w:szCs w:val="18"/>
        </w:rPr>
        <w:t>’</w:t>
      </w:r>
      <w:r w:rsidRPr="000E6875">
        <w:rPr>
          <w:rFonts w:eastAsia="Calibri" w:cs="Tahoma"/>
          <w:color w:val="000000"/>
          <w:szCs w:val="18"/>
        </w:rPr>
        <w:t>indirizzo http://go.microsoft.com/fwlink/?LinkID=242876.</w:t>
      </w:r>
    </w:p>
    <w:p w:rsidR="0031394C" w:rsidRPr="000E6875" w:rsidRDefault="0031394C" w:rsidP="007358C5">
      <w:pPr>
        <w:numPr>
          <w:ilvl w:val="1"/>
          <w:numId w:val="81"/>
        </w:numPr>
        <w:spacing w:after="60"/>
        <w:rPr>
          <w:szCs w:val="18"/>
        </w:rPr>
      </w:pPr>
      <w:r w:rsidRPr="000E6875">
        <w:rPr>
          <w:rFonts w:eastAsia="Calibri" w:cs="Tahoma"/>
          <w:color w:val="000000"/>
          <w:szCs w:val="18"/>
        </w:rPr>
        <w:t>L</w:t>
      </w:r>
      <w:r w:rsidR="007A1415" w:rsidRPr="000E6875">
        <w:rPr>
          <w:rFonts w:eastAsia="Calibri" w:cs="Tahoma"/>
          <w:color w:val="000000"/>
          <w:szCs w:val="18"/>
        </w:rPr>
        <w:t>’</w:t>
      </w:r>
      <w:r w:rsidRPr="000E6875">
        <w:rPr>
          <w:rFonts w:eastAsia="Calibri" w:cs="Tahoma"/>
          <w:color w:val="000000"/>
          <w:szCs w:val="18"/>
        </w:rPr>
        <w:t xml:space="preserve">accesso a Windows Intune </w:t>
      </w:r>
      <w:r w:rsidRPr="000E6875">
        <w:rPr>
          <w:rFonts w:cs="Tahoma"/>
          <w:szCs w:val="18"/>
        </w:rPr>
        <w:t xml:space="preserve">(Per Dispositivo) </w:t>
      </w:r>
      <w:r w:rsidRPr="000E6875">
        <w:rPr>
          <w:rFonts w:eastAsia="Calibri" w:cs="Tahoma"/>
          <w:color w:val="000000"/>
          <w:szCs w:val="18"/>
        </w:rPr>
        <w:t>e il relativo utilizzo ai sensi di tale offerta terminerà alla scadenza della sottoscrizione MDOP della società.</w:t>
      </w:r>
    </w:p>
    <w:p w:rsidR="0031394C" w:rsidRPr="000E6875" w:rsidRDefault="0031394C" w:rsidP="007358C5">
      <w:pPr>
        <w:numPr>
          <w:ilvl w:val="1"/>
          <w:numId w:val="81"/>
        </w:numPr>
        <w:spacing w:after="60"/>
        <w:rPr>
          <w:szCs w:val="18"/>
        </w:rPr>
      </w:pPr>
      <w:r w:rsidRPr="000E6875">
        <w:rPr>
          <w:rFonts w:eastAsia="Calibri" w:cs="Tahoma"/>
          <w:color w:val="000000"/>
          <w:szCs w:val="18"/>
        </w:rPr>
        <w:t>Le condizioni dei contratti delle società, le Condizioni Universali di Licenza dei Diritti di Utilizzo del Prodotto e le Condizioni Generali di Licenza della sezione Servizi Online dei Diritti di Utilizzo del Prodotto disciplinano l</w:t>
      </w:r>
      <w:r w:rsidR="007A1415" w:rsidRPr="000E6875">
        <w:rPr>
          <w:rFonts w:eastAsia="Calibri" w:cs="Tahoma"/>
          <w:color w:val="000000"/>
          <w:szCs w:val="18"/>
        </w:rPr>
        <w:t>’</w:t>
      </w:r>
      <w:r w:rsidRPr="000E6875">
        <w:rPr>
          <w:rFonts w:eastAsia="Calibri" w:cs="Tahoma"/>
          <w:color w:val="000000"/>
          <w:szCs w:val="18"/>
        </w:rPr>
        <w:t>utilizzo del servizio.</w:t>
      </w:r>
    </w:p>
    <w:p w:rsidR="00C834A8" w:rsidRPr="00BD7CEA" w:rsidRDefault="00C834A8" w:rsidP="00C834A8">
      <w:pPr>
        <w:spacing w:after="60"/>
        <w:ind w:left="1440"/>
        <w:rPr>
          <w:rFonts w:eastAsia="Calibri" w:cs="Tahoma"/>
          <w:color w:val="000000"/>
          <w:szCs w:val="18"/>
        </w:rPr>
      </w:pPr>
    </w:p>
    <w:p w:rsidR="00C834A8" w:rsidRPr="00BD7CEA" w:rsidRDefault="00C834A8" w:rsidP="00C834A8">
      <w:pPr>
        <w:spacing w:after="60"/>
        <w:ind w:left="1440"/>
      </w:pPr>
    </w:p>
    <w:p w:rsidR="0031394C" w:rsidRPr="00BD7CEA" w:rsidRDefault="0031394C" w:rsidP="007358C5">
      <w:pPr>
        <w:numPr>
          <w:ilvl w:val="1"/>
          <w:numId w:val="81"/>
        </w:numPr>
        <w:spacing w:after="60"/>
      </w:pPr>
      <w:r w:rsidRPr="00BD7CEA">
        <w:rPr>
          <w:rFonts w:eastAsia="Calibri" w:cs="Tahoma"/>
          <w:color w:val="000000"/>
          <w:szCs w:val="18"/>
        </w:rPr>
        <w:lastRenderedPageBreak/>
        <w:t xml:space="preserve">Il numero di dispositivi che rendono una società idonea ad accedere a Windows Intune </w:t>
      </w:r>
      <w:r w:rsidRPr="00BD7CEA">
        <w:rPr>
          <w:rFonts w:cs="Tahoma"/>
          <w:szCs w:val="18"/>
        </w:rPr>
        <w:t>(Per</w:t>
      </w:r>
      <w:r w:rsidR="00C834A8" w:rsidRPr="00BD7CEA">
        <w:rPr>
          <w:rFonts w:cs="Tahoma"/>
          <w:szCs w:val="18"/>
        </w:rPr>
        <w:t> </w:t>
      </w:r>
      <w:r w:rsidRPr="00BD7CEA">
        <w:rPr>
          <w:rFonts w:cs="Tahoma"/>
          <w:szCs w:val="18"/>
        </w:rPr>
        <w:t>Dispositivo)</w:t>
      </w:r>
      <w:r w:rsidRPr="00BD7CEA">
        <w:rPr>
          <w:rFonts w:eastAsia="Calibri" w:cs="Tahoma"/>
          <w:color w:val="000000"/>
          <w:szCs w:val="18"/>
        </w:rPr>
        <w:t xml:space="preserve"> in base alla presente offerta è uguale al numero totale di postazioni per la sottoscrizione AIS della società al momento in cui la società accetta l</w:t>
      </w:r>
      <w:r w:rsidR="007A1415" w:rsidRPr="00BD7CEA">
        <w:rPr>
          <w:rFonts w:eastAsia="Calibri" w:cs="Tahoma"/>
          <w:color w:val="000000"/>
          <w:szCs w:val="18"/>
        </w:rPr>
        <w:t>’</w:t>
      </w:r>
      <w:r w:rsidRPr="00BD7CEA">
        <w:rPr>
          <w:rFonts w:eastAsia="Calibri" w:cs="Tahoma"/>
          <w:color w:val="000000"/>
          <w:szCs w:val="18"/>
        </w:rPr>
        <w:t xml:space="preserve">offerta di Windows Intune </w:t>
      </w:r>
      <w:r w:rsidRPr="00BD7CEA">
        <w:rPr>
          <w:rFonts w:cs="Tahoma"/>
          <w:szCs w:val="18"/>
        </w:rPr>
        <w:t>(Per Dispositivo)</w:t>
      </w:r>
      <w:r w:rsidRPr="00BD7CEA">
        <w:rPr>
          <w:rFonts w:eastAsia="Calibri" w:cs="Tahoma"/>
          <w:color w:val="000000"/>
          <w:szCs w:val="18"/>
        </w:rPr>
        <w:t>.</w:t>
      </w:r>
      <w:r w:rsidR="008D782D" w:rsidRPr="00BD7CEA">
        <w:rPr>
          <w:rFonts w:eastAsia="Calibri" w:cs="Tahoma"/>
          <w:color w:val="000000"/>
          <w:szCs w:val="18"/>
        </w:rPr>
        <w:t xml:space="preserve"> </w:t>
      </w:r>
      <w:r w:rsidRPr="00BD7CEA">
        <w:rPr>
          <w:rFonts w:eastAsia="Calibri" w:cs="Tahoma"/>
          <w:color w:val="000000"/>
          <w:szCs w:val="18"/>
        </w:rPr>
        <w:t>Le postazioni AIS aggiunte a un account attivo in un momento qualsiasi che precede l</w:t>
      </w:r>
      <w:r w:rsidR="007A1415" w:rsidRPr="00BD7CEA">
        <w:rPr>
          <w:rFonts w:eastAsia="Calibri" w:cs="Tahoma"/>
          <w:color w:val="000000"/>
          <w:szCs w:val="18"/>
        </w:rPr>
        <w:t>’</w:t>
      </w:r>
      <w:r w:rsidRPr="00BD7CEA">
        <w:rPr>
          <w:rFonts w:eastAsia="Calibri" w:cs="Tahoma"/>
          <w:color w:val="000000"/>
          <w:szCs w:val="18"/>
        </w:rPr>
        <w:t>accettazione da parte della società dell</w:t>
      </w:r>
      <w:r w:rsidR="007A1415" w:rsidRPr="00BD7CEA">
        <w:rPr>
          <w:rFonts w:eastAsia="Calibri" w:cs="Tahoma"/>
          <w:color w:val="000000"/>
          <w:szCs w:val="18"/>
        </w:rPr>
        <w:t>’</w:t>
      </w:r>
      <w:r w:rsidRPr="00BD7CEA">
        <w:rPr>
          <w:rFonts w:eastAsia="Calibri" w:cs="Tahoma"/>
          <w:color w:val="000000"/>
          <w:szCs w:val="18"/>
        </w:rPr>
        <w:t>offerta di Windows</w:t>
      </w:r>
      <w:r w:rsidR="00700C4B" w:rsidRPr="00BD7CEA">
        <w:rPr>
          <w:rFonts w:eastAsia="Calibri" w:cs="Tahoma"/>
          <w:color w:val="000000"/>
          <w:szCs w:val="18"/>
          <w:vertAlign w:val="superscript"/>
        </w:rPr>
        <w:t>®</w:t>
      </w:r>
      <w:r w:rsidRPr="00BD7CEA">
        <w:rPr>
          <w:rFonts w:eastAsia="Calibri" w:cs="Tahoma"/>
          <w:color w:val="000000"/>
          <w:szCs w:val="18"/>
        </w:rPr>
        <w:t xml:space="preserve"> Intune saranno incluse nel conteggio.</w:t>
      </w:r>
    </w:p>
    <w:p w:rsidR="0031394C" w:rsidRPr="00BD7CEA" w:rsidRDefault="0031394C" w:rsidP="007358C5">
      <w:pPr>
        <w:numPr>
          <w:ilvl w:val="1"/>
          <w:numId w:val="81"/>
        </w:numPr>
        <w:spacing w:after="60"/>
      </w:pPr>
      <w:r w:rsidRPr="00BD7CEA">
        <w:rPr>
          <w:rFonts w:eastAsia="Calibri" w:cs="Tahoma"/>
          <w:color w:val="000000"/>
          <w:szCs w:val="18"/>
        </w:rPr>
        <w:t>Le postazioni MDOP acquistate dopo l</w:t>
      </w:r>
      <w:r w:rsidR="007A1415" w:rsidRPr="00BD7CEA">
        <w:rPr>
          <w:rFonts w:eastAsia="Calibri" w:cs="Tahoma"/>
          <w:color w:val="000000"/>
          <w:szCs w:val="18"/>
        </w:rPr>
        <w:t>’</w:t>
      </w:r>
      <w:r w:rsidRPr="00BD7CEA">
        <w:rPr>
          <w:rFonts w:eastAsia="Calibri" w:cs="Tahoma"/>
          <w:color w:val="000000"/>
          <w:szCs w:val="18"/>
        </w:rPr>
        <w:t>accettazione da parte della società della presente offerta di</w:t>
      </w:r>
      <w:r w:rsidR="00C834A8" w:rsidRPr="00BD7CEA">
        <w:rPr>
          <w:rFonts w:eastAsia="Calibri" w:cs="Tahoma"/>
          <w:color w:val="000000"/>
          <w:szCs w:val="18"/>
        </w:rPr>
        <w:t> </w:t>
      </w:r>
      <w:r w:rsidRPr="00BD7CEA">
        <w:rPr>
          <w:rFonts w:eastAsia="Calibri" w:cs="Tahoma"/>
          <w:color w:val="000000"/>
          <w:szCs w:val="18"/>
        </w:rPr>
        <w:t xml:space="preserve">Windows Intune </w:t>
      </w:r>
      <w:r w:rsidRPr="00BD7CEA">
        <w:rPr>
          <w:rFonts w:cs="Tahoma"/>
          <w:szCs w:val="18"/>
        </w:rPr>
        <w:t>(Per Dispositivo)</w:t>
      </w:r>
      <w:r w:rsidRPr="00BD7CEA">
        <w:rPr>
          <w:rFonts w:eastAsia="Calibri" w:cs="Tahoma"/>
          <w:color w:val="000000"/>
          <w:szCs w:val="18"/>
        </w:rPr>
        <w:t xml:space="preserve">, incluse le licenze acquistate attraverso la procedura di true-up ai sensi del rispettivo contratto multilicenza, non saranno idonee ad accedere a Windows Intune </w:t>
      </w:r>
      <w:r w:rsidRPr="00BD7CEA">
        <w:rPr>
          <w:rFonts w:cs="Tahoma"/>
          <w:szCs w:val="18"/>
        </w:rPr>
        <w:t xml:space="preserve">(Per Dispositivo) </w:t>
      </w:r>
      <w:r w:rsidRPr="00BD7CEA">
        <w:rPr>
          <w:rFonts w:eastAsia="Calibri" w:cs="Tahoma"/>
          <w:color w:val="000000"/>
          <w:szCs w:val="18"/>
        </w:rPr>
        <w:t>ai sensi dell</w:t>
      </w:r>
      <w:r w:rsidR="007A1415" w:rsidRPr="00BD7CEA">
        <w:rPr>
          <w:rFonts w:eastAsia="Calibri" w:cs="Tahoma"/>
          <w:color w:val="000000"/>
          <w:szCs w:val="18"/>
        </w:rPr>
        <w:t>’</w:t>
      </w:r>
      <w:r w:rsidRPr="00BD7CEA">
        <w:rPr>
          <w:rFonts w:eastAsia="Calibri" w:cs="Tahoma"/>
          <w:color w:val="000000"/>
          <w:szCs w:val="18"/>
        </w:rPr>
        <w:t xml:space="preserve">offerta. Qualora una società desideri accedere a Windows Intune </w:t>
      </w:r>
      <w:r w:rsidRPr="00BD7CEA">
        <w:rPr>
          <w:rFonts w:cs="Tahoma"/>
          <w:szCs w:val="18"/>
        </w:rPr>
        <w:t>(Per</w:t>
      </w:r>
      <w:r w:rsidR="00C834A8" w:rsidRPr="00BD7CEA">
        <w:rPr>
          <w:rFonts w:cs="Tahoma"/>
          <w:szCs w:val="18"/>
        </w:rPr>
        <w:t> </w:t>
      </w:r>
      <w:r w:rsidRPr="00BD7CEA">
        <w:rPr>
          <w:rFonts w:cs="Tahoma"/>
          <w:szCs w:val="18"/>
        </w:rPr>
        <w:t>Dispositivo)</w:t>
      </w:r>
      <w:r w:rsidRPr="00BD7CEA">
        <w:rPr>
          <w:rFonts w:eastAsia="Calibri" w:cs="Tahoma"/>
          <w:color w:val="000000"/>
          <w:szCs w:val="18"/>
        </w:rPr>
        <w:t xml:space="preserve"> utilizzando un numero di dispositivi superiore al numero consentito dalla presente offerta, dovrà acquistare licenze aggiuntive separate.</w:t>
      </w:r>
    </w:p>
    <w:p w:rsidR="005403C8" w:rsidRPr="00BD7CEA" w:rsidRDefault="0031394C" w:rsidP="007358C5">
      <w:pPr>
        <w:numPr>
          <w:ilvl w:val="1"/>
          <w:numId w:val="81"/>
        </w:numPr>
        <w:spacing w:after="60"/>
      </w:pPr>
      <w:r w:rsidRPr="00BD7CEA">
        <w:rPr>
          <w:rFonts w:eastAsia="Calibri" w:cs="Tahoma"/>
          <w:color w:val="000000"/>
          <w:szCs w:val="18"/>
        </w:rPr>
        <w:t xml:space="preserve">I diritti di accesso a Windows Intune </w:t>
      </w:r>
      <w:r w:rsidRPr="00BD7CEA">
        <w:rPr>
          <w:rFonts w:cs="Tahoma"/>
          <w:szCs w:val="18"/>
        </w:rPr>
        <w:t>(Per Dispositivo)</w:t>
      </w:r>
      <w:r w:rsidRPr="00BD7CEA">
        <w:rPr>
          <w:rFonts w:eastAsia="Calibri" w:cs="Tahoma"/>
          <w:color w:val="000000"/>
          <w:szCs w:val="18"/>
        </w:rPr>
        <w:t xml:space="preserve"> ai sensi della presente offerta non includono i diritti di utilizzo del sistema operativo desktop Windows.</w:t>
      </w:r>
      <w:r w:rsidR="008D782D" w:rsidRPr="00BD7CEA">
        <w:rPr>
          <w:rFonts w:eastAsia="Calibri" w:cs="Tahoma"/>
          <w:color w:val="000000"/>
          <w:szCs w:val="18"/>
        </w:rPr>
        <w:t xml:space="preserve"> </w:t>
      </w:r>
      <w:bookmarkStart w:id="1129" w:name="_24_Windows®_Companion"/>
      <w:bookmarkStart w:id="1130" w:name="_24_Windows®_8"/>
      <w:bookmarkStart w:id="1131" w:name="Sys_22WindowsPartnersLearning"/>
      <w:bookmarkEnd w:id="1128"/>
      <w:bookmarkEnd w:id="1129"/>
      <w:bookmarkEnd w:id="1130"/>
    </w:p>
    <w:p w:rsidR="00810479" w:rsidRPr="00BD7CEA" w:rsidRDefault="00810479" w:rsidP="007A73DF">
      <w:pPr>
        <w:contextualSpacing/>
      </w:pPr>
    </w:p>
    <w:p w:rsidR="00483B3D" w:rsidRPr="00BD7CEA" w:rsidRDefault="00483B3D" w:rsidP="007A73DF">
      <w:pPr>
        <w:contextualSpacing/>
      </w:pPr>
    </w:p>
    <w:p w:rsidR="00483B3D" w:rsidRPr="00BD7CEA" w:rsidRDefault="004668D9" w:rsidP="00483B3D">
      <w:pPr>
        <w:pStyle w:val="Heading3"/>
      </w:pPr>
      <w:bookmarkStart w:id="1132" w:name="_25_Licenza_“Subscription”"/>
      <w:bookmarkStart w:id="1133" w:name="_Toc336338281"/>
      <w:bookmarkStart w:id="1134" w:name="_Toc353376062"/>
      <w:bookmarkEnd w:id="1132"/>
      <w:r w:rsidRPr="00BD7CEA">
        <w:rPr>
          <w:rFonts w:ascii="Tahoma" w:hAnsi="Tahoma"/>
          <w:caps/>
          <w:color w:val="F66400"/>
          <w:sz w:val="22"/>
          <w:vertAlign w:val="superscript"/>
        </w:rPr>
        <w:t xml:space="preserve">25 </w:t>
      </w:r>
      <w:r w:rsidRPr="00BD7CEA">
        <w:rPr>
          <w:rFonts w:ascii="Tahoma" w:hAnsi="Tahoma"/>
          <w:color w:val="F66400"/>
          <w:sz w:val="22"/>
        </w:rPr>
        <w:t>Licenza “Subscription” per Windows</w:t>
      </w:r>
      <w:r w:rsidR="00700C4B" w:rsidRPr="00BD7CEA">
        <w:rPr>
          <w:rFonts w:ascii="Tahoma" w:hAnsi="Tahoma"/>
          <w:color w:val="F66400"/>
          <w:sz w:val="22"/>
          <w:vertAlign w:val="superscript"/>
        </w:rPr>
        <w:t>®</w:t>
      </w:r>
      <w:r w:rsidRPr="00BD7CEA">
        <w:rPr>
          <w:rFonts w:ascii="Tahoma" w:hAnsi="Tahoma"/>
          <w:color w:val="F66400"/>
          <w:sz w:val="22"/>
        </w:rPr>
        <w:t xml:space="preserve"> Companion</w:t>
      </w:r>
      <w:bookmarkEnd w:id="1133"/>
      <w:bookmarkEnd w:id="1134"/>
    </w:p>
    <w:p w:rsidR="00483B3D" w:rsidRPr="00BD7CEA" w:rsidRDefault="00483B3D" w:rsidP="00483B3D"/>
    <w:p w:rsidR="00483B3D" w:rsidRPr="00BD7CEA" w:rsidRDefault="00483B3D" w:rsidP="00483B3D">
      <w:pPr>
        <w:spacing w:after="60"/>
        <w:ind w:left="720"/>
      </w:pPr>
      <w:r w:rsidRPr="00BD7CEA">
        <w:rPr>
          <w:b/>
          <w:color w:val="000000"/>
        </w:rPr>
        <w:t>Istituti che hanno stipulato un Contratto School</w:t>
      </w:r>
    </w:p>
    <w:p w:rsidR="00483B3D" w:rsidRPr="00BD7CEA" w:rsidRDefault="00483B3D" w:rsidP="00483B3D">
      <w:pPr>
        <w:ind w:left="720"/>
      </w:pPr>
      <w:r w:rsidRPr="00BD7CEA">
        <w:rPr>
          <w:color w:val="000000"/>
        </w:rPr>
        <w:t>gli Istituti potranno acquistare la Licenza “Subscription” per Windows Companion (Companion Subscription License o “CSL”), qualora dispongano della copertura per i prodotti qualificanti.</w:t>
      </w:r>
      <w:r w:rsidR="008D782D" w:rsidRPr="00BD7CEA">
        <w:rPr>
          <w:color w:val="000000"/>
        </w:rPr>
        <w:t xml:space="preserve"> </w:t>
      </w:r>
      <w:r w:rsidRPr="00BD7CEA">
        <w:rPr>
          <w:color w:val="000000"/>
        </w:rPr>
        <w:t>La quantità massima di CSL acquistabili è pari al numero di prodotti qualificanti per i PC Idonei dell</w:t>
      </w:r>
      <w:r w:rsidR="007A1415" w:rsidRPr="00BD7CEA">
        <w:rPr>
          <w:color w:val="000000"/>
        </w:rPr>
        <w:t>’</w:t>
      </w:r>
      <w:r w:rsidRPr="00BD7CEA">
        <w:rPr>
          <w:color w:val="000000"/>
        </w:rPr>
        <w:t>istituto.</w:t>
      </w:r>
    </w:p>
    <w:p w:rsidR="00483B3D" w:rsidRPr="00BD7CEA" w:rsidRDefault="00483B3D" w:rsidP="00483B3D"/>
    <w:p w:rsidR="00483B3D" w:rsidRPr="00BD7CEA" w:rsidRDefault="00483B3D" w:rsidP="00483B3D">
      <w:pPr>
        <w:spacing w:after="60"/>
        <w:ind w:left="720"/>
      </w:pPr>
      <w:r w:rsidRPr="00BD7CEA">
        <w:rPr>
          <w:b/>
          <w:color w:val="000000"/>
        </w:rPr>
        <w:t>Dispositivi Companion e Dispositivi Qualificati</w:t>
      </w:r>
    </w:p>
    <w:p w:rsidR="00483B3D" w:rsidRPr="00BD7CEA" w:rsidRDefault="00483B3D" w:rsidP="00483B3D">
      <w:pPr>
        <w:ind w:left="720"/>
      </w:pPr>
      <w:r w:rsidRPr="00BD7CEA">
        <w:rPr>
          <w:color w:val="000000"/>
        </w:rPr>
        <w:t>I Dispositivi Companion che usano i diritti sull</w:t>
      </w:r>
      <w:r w:rsidR="007A1415" w:rsidRPr="00BD7CEA">
        <w:rPr>
          <w:color w:val="000000"/>
        </w:rPr>
        <w:t>’</w:t>
      </w:r>
      <w:r w:rsidRPr="00BD7CEA">
        <w:rPr>
          <w:color w:val="000000"/>
        </w:rPr>
        <w:t>utilizzo forniti dalla CSL sono Dispositivi Qualificati.</w:t>
      </w:r>
      <w:r w:rsidR="008D782D" w:rsidRPr="00BD7CEA">
        <w:rPr>
          <w:color w:val="000000"/>
        </w:rPr>
        <w:t xml:space="preserve"> </w:t>
      </w:r>
      <w:r w:rsidR="00C834A8" w:rsidRPr="00BD7CEA">
        <w:rPr>
          <w:color w:val="000000"/>
        </w:rPr>
        <w:br/>
      </w:r>
      <w:r w:rsidRPr="00BD7CEA">
        <w:rPr>
          <w:color w:val="000000"/>
        </w:rPr>
        <w:t>La CSL è un Prodotto Enterprise e in tal modo completa la parte Sistemi di qualsiasi impegno di acquisto per</w:t>
      </w:r>
      <w:r w:rsidR="00D45A36">
        <w:rPr>
          <w:color w:val="000000"/>
        </w:rPr>
        <w:t> </w:t>
      </w:r>
      <w:r w:rsidRPr="00BD7CEA">
        <w:rPr>
          <w:color w:val="000000"/>
        </w:rPr>
        <w:t>i Dispositivi Qualificati.</w:t>
      </w:r>
      <w:r w:rsidR="008D782D" w:rsidRPr="00BD7CEA">
        <w:rPr>
          <w:color w:val="000000"/>
        </w:rPr>
        <w:t xml:space="preserve"> </w:t>
      </w:r>
      <w:r w:rsidRPr="00BD7CEA">
        <w:rPr>
          <w:color w:val="000000"/>
        </w:rPr>
        <w:t>Non esiste una quantità specifica di CSL acquistabili e non occorre acquistare CSL</w:t>
      </w:r>
      <w:r w:rsidR="00D45A36">
        <w:rPr>
          <w:color w:val="000000"/>
        </w:rPr>
        <w:t> </w:t>
      </w:r>
      <w:r w:rsidRPr="00BD7CEA">
        <w:rPr>
          <w:color w:val="000000"/>
        </w:rPr>
        <w:t xml:space="preserve">per tutti i Dispositivi </w:t>
      </w:r>
      <w:r w:rsidRPr="00BD7CEA">
        <w:t>Qualificati di un</w:t>
      </w:r>
      <w:r w:rsidR="007A1415" w:rsidRPr="00BD7CEA">
        <w:t>’</w:t>
      </w:r>
      <w:r w:rsidRPr="00BD7CEA">
        <w:t>organizzazione e in nessun caso il numero di CSL può superare la</w:t>
      </w:r>
      <w:r w:rsidR="00D45A36">
        <w:t> </w:t>
      </w:r>
      <w:r w:rsidRPr="00BD7CEA">
        <w:t>combinazione di tutte le Licenze per Windows Upgrade e VDA.</w:t>
      </w:r>
    </w:p>
    <w:p w:rsidR="00483B3D" w:rsidRPr="00BD7CEA" w:rsidRDefault="00483B3D" w:rsidP="00483B3D"/>
    <w:p w:rsidR="00483B3D" w:rsidRPr="00BD7CEA" w:rsidRDefault="00483B3D" w:rsidP="00483B3D"/>
    <w:p w:rsidR="00483B3D" w:rsidRPr="00BD7CEA" w:rsidRDefault="004668D9" w:rsidP="00483B3D">
      <w:pPr>
        <w:pStyle w:val="Heading3"/>
      </w:pPr>
      <w:bookmarkStart w:id="1135" w:name="_26_Windows_Vista"/>
      <w:bookmarkStart w:id="1136" w:name="_Toc336338282"/>
      <w:bookmarkStart w:id="1137" w:name="_Toc353376063"/>
      <w:bookmarkStart w:id="1138" w:name="Sys_24WindowsVistaDVDPack"/>
      <w:bookmarkEnd w:id="1135"/>
      <w:r w:rsidRPr="00BD7CEA">
        <w:rPr>
          <w:rFonts w:ascii="Tahoma" w:hAnsi="Tahoma"/>
          <w:caps/>
          <w:color w:val="F66400"/>
          <w:sz w:val="22"/>
          <w:vertAlign w:val="superscript"/>
        </w:rPr>
        <w:t>26</w:t>
      </w:r>
      <w:r w:rsidRPr="00BD7CEA">
        <w:rPr>
          <w:rFonts w:ascii="Tahoma" w:eastAsia="Times New Roman" w:hAnsi="Tahoma" w:cs="Tahoma"/>
          <w:bCs/>
          <w:color w:val="F66400"/>
          <w:sz w:val="22"/>
          <w:szCs w:val="22"/>
        </w:rPr>
        <w:t xml:space="preserve"> Windows Vista DVD Playback Pack</w:t>
      </w:r>
      <w:bookmarkEnd w:id="1136"/>
      <w:bookmarkEnd w:id="1137"/>
    </w:p>
    <w:bookmarkEnd w:id="1138"/>
    <w:p w:rsidR="00483B3D" w:rsidRPr="00BD7CEA" w:rsidRDefault="00483B3D" w:rsidP="00483B3D"/>
    <w:p w:rsidR="00483B3D" w:rsidRPr="00BD7CEA" w:rsidRDefault="00483B3D" w:rsidP="00483B3D">
      <w:pPr>
        <w:ind w:left="720"/>
      </w:pPr>
      <w:r w:rsidRPr="00BD7CEA">
        <w:rPr>
          <w:rFonts w:eastAsia="Calibri" w:cs="Tahoma"/>
          <w:color w:val="000000"/>
          <w:szCs w:val="18"/>
        </w:rPr>
        <w:t>Le società con Contratti Multilicenza che installano o eseguono Windows Vista DVD Playback Pack dovranno prendere visione dei Diritti di Utilizzo del Prodotto Concessi in Licenza da Microsoft del mese di dicembre 2010 per conoscere le condizioni di licenza.</w:t>
      </w:r>
    </w:p>
    <w:p w:rsidR="00483B3D" w:rsidRPr="00BD7CEA" w:rsidRDefault="00483B3D" w:rsidP="00483B3D"/>
    <w:p w:rsidR="007A73DF" w:rsidRPr="00BD7CEA" w:rsidRDefault="007A73DF" w:rsidP="007A73DF">
      <w:pPr>
        <w:contextualSpacing/>
      </w:pPr>
    </w:p>
    <w:p w:rsidR="005D4DAB" w:rsidRPr="00BD7CEA" w:rsidRDefault="004668D9" w:rsidP="00C646B3">
      <w:pPr>
        <w:pStyle w:val="Heading3"/>
      </w:pPr>
      <w:bookmarkStart w:id="1139" w:name="_27_Windows®_8"/>
      <w:bookmarkStart w:id="1140" w:name="_Toc336338284"/>
      <w:bookmarkStart w:id="1141" w:name="_Toc353376064"/>
      <w:bookmarkEnd w:id="1139"/>
      <w:r w:rsidRPr="00BD7CEA">
        <w:rPr>
          <w:rFonts w:ascii="Tahoma" w:hAnsi="Tahoma"/>
          <w:caps/>
          <w:color w:val="F66400"/>
          <w:sz w:val="22"/>
          <w:vertAlign w:val="superscript"/>
        </w:rPr>
        <w:t>27</w:t>
      </w:r>
      <w:r w:rsidRPr="00BD7CEA">
        <w:rPr>
          <w:rFonts w:ascii="Tahoma" w:hAnsi="Tahoma"/>
          <w:color w:val="F66400"/>
          <w:sz w:val="22"/>
        </w:rPr>
        <w:t xml:space="preserve"> Windows</w:t>
      </w:r>
      <w:r w:rsidR="00700C4B" w:rsidRPr="00BD7CEA">
        <w:rPr>
          <w:rFonts w:ascii="Tahoma" w:hAnsi="Tahoma"/>
          <w:color w:val="F66400"/>
          <w:sz w:val="22"/>
          <w:vertAlign w:val="superscript"/>
        </w:rPr>
        <w:t>®</w:t>
      </w:r>
      <w:r w:rsidRPr="00BD7CEA">
        <w:rPr>
          <w:rFonts w:ascii="Tahoma" w:hAnsi="Tahoma"/>
          <w:color w:val="F66400"/>
          <w:sz w:val="22"/>
        </w:rPr>
        <w:t xml:space="preserve"> 8 Enterprise Sideloading</w:t>
      </w:r>
      <w:bookmarkEnd w:id="1140"/>
      <w:bookmarkEnd w:id="1141"/>
    </w:p>
    <w:p w:rsidR="009B2474" w:rsidRPr="00BD7CEA" w:rsidRDefault="009B2474" w:rsidP="009B2474"/>
    <w:p w:rsidR="009B2474" w:rsidRPr="00BD7CEA" w:rsidRDefault="009B2474" w:rsidP="009B2474"/>
    <w:tbl>
      <w:tblPr>
        <w:tblW w:w="6430" w:type="dxa"/>
        <w:tblInd w:w="780" w:type="dxa"/>
        <w:tblCellMar>
          <w:left w:w="0" w:type="dxa"/>
          <w:right w:w="0" w:type="dxa"/>
        </w:tblCellMar>
        <w:tblLook w:val="04A0" w:firstRow="1" w:lastRow="0" w:firstColumn="1" w:lastColumn="0" w:noHBand="0" w:noVBand="1"/>
      </w:tblPr>
      <w:tblGrid>
        <w:gridCol w:w="3010"/>
        <w:gridCol w:w="1488"/>
        <w:gridCol w:w="1932"/>
      </w:tblGrid>
      <w:tr w:rsidR="005D4DAB" w:rsidRPr="00BD7CEA" w:rsidTr="00D45A36">
        <w:trPr>
          <w:trHeight w:val="900"/>
          <w:tblHeader/>
        </w:trPr>
        <w:tc>
          <w:tcPr>
            <w:tcW w:w="3010" w:type="dxa"/>
            <w:tcBorders>
              <w:top w:val="single" w:sz="8" w:space="0" w:color="auto"/>
              <w:left w:val="single" w:sz="8" w:space="0" w:color="auto"/>
              <w:bottom w:val="single" w:sz="4" w:space="0" w:color="auto"/>
              <w:right w:val="single" w:sz="8" w:space="0" w:color="auto"/>
            </w:tcBorders>
            <w:shd w:val="clear" w:color="auto" w:fill="FABF8F"/>
            <w:vAlign w:val="center"/>
            <w:hideMark/>
          </w:tcPr>
          <w:p w:rsidR="005D4DAB" w:rsidRPr="00BD7CEA" w:rsidRDefault="00433F5F" w:rsidP="005D4DAB">
            <w:pPr>
              <w:jc w:val="center"/>
              <w:rPr>
                <w:rFonts w:eastAsia="Calibri" w:cs="Tahoma"/>
                <w:b/>
                <w:bCs/>
                <w:szCs w:val="18"/>
              </w:rPr>
            </w:pPr>
            <w:r w:rsidRPr="00BD7CEA">
              <w:rPr>
                <w:rFonts w:cs="Tahoma"/>
                <w:b/>
                <w:bCs/>
                <w:szCs w:val="18"/>
              </w:rPr>
              <w:t>Disponibilità del Programma</w:t>
            </w:r>
          </w:p>
        </w:tc>
        <w:tc>
          <w:tcPr>
            <w:tcW w:w="1488" w:type="dxa"/>
            <w:tcBorders>
              <w:top w:val="single" w:sz="4" w:space="0" w:color="auto"/>
              <w:left w:val="nil"/>
              <w:bottom w:val="single" w:sz="4" w:space="0" w:color="auto"/>
              <w:right w:val="single" w:sz="4" w:space="0" w:color="auto"/>
            </w:tcBorders>
            <w:shd w:val="clear" w:color="auto" w:fill="FABF8F"/>
            <w:vAlign w:val="bottom"/>
          </w:tcPr>
          <w:p w:rsidR="005D4DAB" w:rsidRPr="00BD7CEA" w:rsidRDefault="005D4DAB" w:rsidP="005D4DAB">
            <w:pPr>
              <w:jc w:val="center"/>
              <w:rPr>
                <w:rFonts w:cs="Tahoma"/>
                <w:b/>
                <w:bCs/>
                <w:szCs w:val="18"/>
              </w:rPr>
            </w:pPr>
            <w:r w:rsidRPr="00BD7CEA">
              <w:rPr>
                <w:rFonts w:cs="Tahoma"/>
                <w:b/>
                <w:bCs/>
                <w:szCs w:val="18"/>
              </w:rPr>
              <w:t>Licenze Disponibili per l</w:t>
            </w:r>
            <w:r w:rsidR="007A1415" w:rsidRPr="00BD7CEA">
              <w:rPr>
                <w:rFonts w:cs="Tahoma"/>
                <w:b/>
                <w:bCs/>
                <w:szCs w:val="18"/>
              </w:rPr>
              <w:t>’</w:t>
            </w:r>
            <w:r w:rsidRPr="00BD7CEA">
              <w:rPr>
                <w:rFonts w:cs="Tahoma"/>
                <w:b/>
                <w:bCs/>
                <w:szCs w:val="18"/>
              </w:rPr>
              <w:t>Acquisto</w:t>
            </w:r>
          </w:p>
        </w:tc>
        <w:tc>
          <w:tcPr>
            <w:tcW w:w="1932"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rsidR="005D4DAB" w:rsidRPr="00BD7CEA" w:rsidRDefault="005D4DAB" w:rsidP="005D4DAB">
            <w:pPr>
              <w:jc w:val="center"/>
              <w:rPr>
                <w:rFonts w:eastAsia="Calibri" w:cs="Tahoma"/>
                <w:b/>
                <w:bCs/>
                <w:szCs w:val="18"/>
              </w:rPr>
            </w:pPr>
            <w:r w:rsidRPr="00BD7CEA">
              <w:rPr>
                <w:rFonts w:cs="Tahoma"/>
                <w:b/>
                <w:bCs/>
                <w:szCs w:val="18"/>
              </w:rPr>
              <w:t>Disponibili come Vantaggio di Software Assurance</w:t>
            </w:r>
          </w:p>
        </w:tc>
      </w:tr>
      <w:tr w:rsidR="005D4DAB" w:rsidRPr="00BD7CEA" w:rsidTr="00D45A36">
        <w:trPr>
          <w:trHeight w:val="337"/>
        </w:trPr>
        <w:tc>
          <w:tcPr>
            <w:tcW w:w="30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BD7CEA" w:rsidRDefault="005D4DAB" w:rsidP="005D4DAB">
            <w:pPr>
              <w:jc w:val="center"/>
              <w:rPr>
                <w:rFonts w:eastAsia="Calibri" w:cs="Tahoma"/>
                <w:b/>
                <w:bCs/>
                <w:szCs w:val="18"/>
              </w:rPr>
            </w:pPr>
            <w:r w:rsidRPr="00BD7CEA">
              <w:rPr>
                <w:rFonts w:cs="Tahoma"/>
                <w:b/>
                <w:bCs/>
                <w:szCs w:val="18"/>
              </w:rPr>
              <w:t>Licenza Open</w:t>
            </w:r>
          </w:p>
        </w:tc>
        <w:tc>
          <w:tcPr>
            <w:tcW w:w="1488" w:type="dxa"/>
            <w:tcBorders>
              <w:top w:val="single" w:sz="4" w:space="0" w:color="auto"/>
              <w:left w:val="single" w:sz="4" w:space="0" w:color="auto"/>
              <w:bottom w:val="single" w:sz="4" w:space="0" w:color="auto"/>
              <w:right w:val="single" w:sz="4" w:space="0" w:color="auto"/>
            </w:tcBorders>
            <w:vAlign w:val="center"/>
          </w:tcPr>
          <w:p w:rsidR="005D4DAB" w:rsidRPr="00BD7CEA" w:rsidRDefault="005D4DAB" w:rsidP="005D4DAB">
            <w:pPr>
              <w:jc w:val="center"/>
              <w:rPr>
                <w:rFonts w:cs="Tahoma"/>
                <w:szCs w:val="18"/>
              </w:rPr>
            </w:pPr>
            <w:r w:rsidRPr="00BD7CEA">
              <w:rPr>
                <w:rFonts w:cs="Tahoma"/>
                <w:szCs w:val="18"/>
              </w:rPr>
              <w:t>x</w:t>
            </w:r>
          </w:p>
        </w:tc>
        <w:tc>
          <w:tcPr>
            <w:tcW w:w="1932"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BD7CEA" w:rsidRDefault="005D4DAB" w:rsidP="005D4DAB">
            <w:pPr>
              <w:jc w:val="center"/>
              <w:rPr>
                <w:rFonts w:eastAsia="Calibri" w:cs="Tahoma"/>
                <w:szCs w:val="18"/>
              </w:rPr>
            </w:pPr>
          </w:p>
        </w:tc>
      </w:tr>
      <w:tr w:rsidR="005D4DAB" w:rsidRPr="00BD7CEA" w:rsidTr="00D45A36">
        <w:trPr>
          <w:trHeight w:val="337"/>
        </w:trPr>
        <w:tc>
          <w:tcPr>
            <w:tcW w:w="30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BD7CEA" w:rsidRDefault="005D4DAB" w:rsidP="005D4DAB">
            <w:pPr>
              <w:jc w:val="center"/>
              <w:rPr>
                <w:rFonts w:cs="Tahoma"/>
                <w:b/>
                <w:bCs/>
                <w:szCs w:val="18"/>
              </w:rPr>
            </w:pPr>
            <w:r w:rsidRPr="00BD7CEA">
              <w:rPr>
                <w:rFonts w:cs="Tahoma"/>
                <w:b/>
                <w:bCs/>
                <w:szCs w:val="18"/>
              </w:rPr>
              <w:t>Select</w:t>
            </w:r>
            <w:r w:rsidR="00DF26C7" w:rsidRPr="00BD7CEA">
              <w:rPr>
                <w:rFonts w:cs="Tahoma"/>
                <w:b/>
                <w:bCs/>
                <w:szCs w:val="18"/>
              </w:rPr>
              <w:t xml:space="preserve"> </w:t>
            </w:r>
            <w:r w:rsidRPr="00BD7CEA">
              <w:rPr>
                <w:rFonts w:cs="Tahoma"/>
                <w:b/>
                <w:bCs/>
                <w:szCs w:val="18"/>
              </w:rPr>
              <w:t>/</w:t>
            </w:r>
            <w:r w:rsidR="00DF26C7" w:rsidRPr="00BD7CEA">
              <w:rPr>
                <w:rFonts w:cs="Tahoma"/>
                <w:b/>
                <w:bCs/>
                <w:szCs w:val="18"/>
              </w:rPr>
              <w:t xml:space="preserve"> </w:t>
            </w:r>
            <w:r w:rsidRPr="00BD7CEA">
              <w:rPr>
                <w:rFonts w:cs="Tahoma"/>
                <w:b/>
                <w:bCs/>
                <w:szCs w:val="18"/>
              </w:rPr>
              <w:t>Select Plus</w:t>
            </w:r>
          </w:p>
        </w:tc>
        <w:tc>
          <w:tcPr>
            <w:tcW w:w="1488" w:type="dxa"/>
            <w:tcBorders>
              <w:top w:val="single" w:sz="4" w:space="0" w:color="auto"/>
              <w:left w:val="single" w:sz="4" w:space="0" w:color="auto"/>
              <w:bottom w:val="single" w:sz="4" w:space="0" w:color="auto"/>
              <w:right w:val="single" w:sz="4" w:space="0" w:color="auto"/>
            </w:tcBorders>
            <w:vAlign w:val="center"/>
          </w:tcPr>
          <w:p w:rsidR="005D4DAB" w:rsidRPr="00BD7CEA" w:rsidRDefault="005D4DAB" w:rsidP="005D4DAB">
            <w:pPr>
              <w:jc w:val="center"/>
              <w:rPr>
                <w:rFonts w:cs="Tahoma"/>
                <w:szCs w:val="18"/>
              </w:rPr>
            </w:pPr>
            <w:r w:rsidRPr="00BD7CEA">
              <w:rPr>
                <w:rFonts w:cs="Tahoma"/>
                <w:szCs w:val="18"/>
              </w:rPr>
              <w:t>x</w:t>
            </w:r>
          </w:p>
        </w:tc>
        <w:tc>
          <w:tcPr>
            <w:tcW w:w="1932"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BD7CEA" w:rsidRDefault="005D4DAB" w:rsidP="005D4DAB">
            <w:pPr>
              <w:jc w:val="center"/>
              <w:rPr>
                <w:rFonts w:eastAsia="Calibri" w:cs="Tahoma"/>
                <w:szCs w:val="18"/>
              </w:rPr>
            </w:pPr>
            <w:r w:rsidRPr="00BD7CEA">
              <w:rPr>
                <w:rFonts w:eastAsia="Calibri" w:cs="Tahoma"/>
                <w:szCs w:val="18"/>
              </w:rPr>
              <w:t>x</w:t>
            </w:r>
          </w:p>
        </w:tc>
      </w:tr>
      <w:tr w:rsidR="005D4DAB" w:rsidRPr="00BD7CEA" w:rsidTr="00D45A36">
        <w:trPr>
          <w:trHeight w:val="337"/>
        </w:trPr>
        <w:tc>
          <w:tcPr>
            <w:tcW w:w="30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BD7CEA" w:rsidRDefault="005D4DAB" w:rsidP="005D4DAB">
            <w:pPr>
              <w:jc w:val="center"/>
              <w:rPr>
                <w:rFonts w:cs="Tahoma"/>
                <w:b/>
                <w:bCs/>
                <w:szCs w:val="18"/>
              </w:rPr>
            </w:pPr>
            <w:r w:rsidRPr="00BD7CEA">
              <w:rPr>
                <w:rFonts w:cs="Tahoma"/>
                <w:b/>
                <w:bCs/>
                <w:szCs w:val="18"/>
              </w:rPr>
              <w:t>Contratto Enterprise / EAS</w:t>
            </w:r>
          </w:p>
        </w:tc>
        <w:tc>
          <w:tcPr>
            <w:tcW w:w="1488" w:type="dxa"/>
            <w:tcBorders>
              <w:top w:val="single" w:sz="4" w:space="0" w:color="auto"/>
              <w:left w:val="single" w:sz="4" w:space="0" w:color="auto"/>
              <w:bottom w:val="single" w:sz="4" w:space="0" w:color="auto"/>
              <w:right w:val="single" w:sz="4" w:space="0" w:color="auto"/>
            </w:tcBorders>
            <w:vAlign w:val="center"/>
          </w:tcPr>
          <w:p w:rsidR="005D4DAB" w:rsidRPr="00BD7CEA" w:rsidRDefault="005D4DAB" w:rsidP="005D4DAB">
            <w:pPr>
              <w:jc w:val="center"/>
              <w:rPr>
                <w:rFonts w:cs="Tahoma"/>
                <w:szCs w:val="18"/>
              </w:rPr>
            </w:pPr>
          </w:p>
        </w:tc>
        <w:tc>
          <w:tcPr>
            <w:tcW w:w="1932"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BD7CEA" w:rsidRDefault="005D4DAB" w:rsidP="005D4DAB">
            <w:pPr>
              <w:jc w:val="center"/>
              <w:rPr>
                <w:rFonts w:eastAsia="Calibri" w:cs="Tahoma"/>
                <w:szCs w:val="18"/>
              </w:rPr>
            </w:pPr>
            <w:r w:rsidRPr="00BD7CEA">
              <w:rPr>
                <w:rFonts w:eastAsia="Calibri" w:cs="Tahoma"/>
                <w:szCs w:val="18"/>
              </w:rPr>
              <w:t>x</w:t>
            </w:r>
          </w:p>
        </w:tc>
      </w:tr>
      <w:tr w:rsidR="00755633" w:rsidRPr="00BD7CEA" w:rsidTr="00D45A36">
        <w:trPr>
          <w:trHeight w:val="337"/>
        </w:trPr>
        <w:tc>
          <w:tcPr>
            <w:tcW w:w="30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BD7CEA" w:rsidRDefault="00755633" w:rsidP="005D4DAB">
            <w:pPr>
              <w:jc w:val="center"/>
              <w:rPr>
                <w:rFonts w:cs="Tahoma"/>
                <w:b/>
                <w:bCs/>
                <w:szCs w:val="18"/>
              </w:rPr>
            </w:pPr>
            <w:r w:rsidRPr="00BD7CEA">
              <w:rPr>
                <w:rFonts w:cs="Tahoma"/>
                <w:b/>
                <w:bCs/>
                <w:szCs w:val="18"/>
              </w:rPr>
              <w:t>EES</w:t>
            </w:r>
          </w:p>
        </w:tc>
        <w:tc>
          <w:tcPr>
            <w:tcW w:w="1488" w:type="dxa"/>
            <w:tcBorders>
              <w:top w:val="single" w:sz="4" w:space="0" w:color="auto"/>
              <w:left w:val="single" w:sz="4" w:space="0" w:color="auto"/>
              <w:bottom w:val="single" w:sz="4" w:space="0" w:color="auto"/>
              <w:right w:val="single" w:sz="4" w:space="0" w:color="auto"/>
            </w:tcBorders>
            <w:vAlign w:val="center"/>
          </w:tcPr>
          <w:p w:rsidR="00755633" w:rsidRPr="00BD7CEA" w:rsidRDefault="00755633" w:rsidP="005D4DAB">
            <w:pPr>
              <w:jc w:val="center"/>
              <w:rPr>
                <w:rFonts w:cs="Tahoma"/>
                <w:szCs w:val="18"/>
              </w:rPr>
            </w:pPr>
          </w:p>
        </w:tc>
        <w:tc>
          <w:tcPr>
            <w:tcW w:w="1932"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BD7CEA" w:rsidRDefault="00755633" w:rsidP="005D4DAB">
            <w:pPr>
              <w:jc w:val="center"/>
              <w:rPr>
                <w:rFonts w:eastAsia="Calibri" w:cs="Tahoma"/>
                <w:szCs w:val="18"/>
              </w:rPr>
            </w:pPr>
            <w:r w:rsidRPr="00BD7CEA">
              <w:rPr>
                <w:rFonts w:eastAsia="Calibri" w:cs="Tahoma"/>
                <w:szCs w:val="18"/>
              </w:rPr>
              <w:t>x</w:t>
            </w:r>
          </w:p>
        </w:tc>
      </w:tr>
    </w:tbl>
    <w:p w:rsidR="005D4DAB" w:rsidRPr="00BD7CEA" w:rsidRDefault="005D4DAB" w:rsidP="00572128">
      <w:pPr>
        <w:ind w:left="900"/>
      </w:pPr>
    </w:p>
    <w:p w:rsidR="00DF26C7" w:rsidRPr="00BD7CEA" w:rsidRDefault="00DF26C7" w:rsidP="00572128">
      <w:pPr>
        <w:ind w:left="900"/>
      </w:pPr>
    </w:p>
    <w:p w:rsidR="00DF26C7" w:rsidRDefault="00DF26C7" w:rsidP="00572128">
      <w:pPr>
        <w:ind w:left="900"/>
      </w:pPr>
    </w:p>
    <w:p w:rsidR="00D45A36" w:rsidRPr="00BD7CEA" w:rsidRDefault="00D45A36" w:rsidP="00572128">
      <w:pPr>
        <w:ind w:left="900"/>
      </w:pPr>
    </w:p>
    <w:p w:rsidR="005D4DAB" w:rsidRPr="00BD7CEA" w:rsidRDefault="005D4DAB" w:rsidP="00EE035D">
      <w:pPr>
        <w:ind w:left="720"/>
      </w:pPr>
      <w:r w:rsidRPr="00BD7CEA">
        <w:rPr>
          <w:rFonts w:cs="Tahoma"/>
          <w:szCs w:val="18"/>
        </w:rPr>
        <w:lastRenderedPageBreak/>
        <w:t>Windows Enterprise Sideloading consente alla società di installare le nuove Applicazioni di Windows 8 direttamente su un dispositivo senza passare per Windows Store.</w:t>
      </w:r>
      <w:r w:rsidR="008D782D" w:rsidRPr="00BD7CEA">
        <w:rPr>
          <w:rFonts w:cs="Tahoma"/>
          <w:szCs w:val="18"/>
        </w:rPr>
        <w:t xml:space="preserve"> </w:t>
      </w:r>
      <w:r w:rsidRPr="00BD7CEA">
        <w:rPr>
          <w:rFonts w:cs="Tahoma"/>
          <w:szCs w:val="18"/>
        </w:rPr>
        <w:t>I dispositivi aggiunti al dominio in cui è in esecuzione l</w:t>
      </w:r>
      <w:r w:rsidR="007A1415" w:rsidRPr="00BD7CEA">
        <w:rPr>
          <w:rFonts w:cs="Tahoma"/>
          <w:szCs w:val="18"/>
        </w:rPr>
        <w:t>’</w:t>
      </w:r>
      <w:r w:rsidRPr="00BD7CEA">
        <w:rPr>
          <w:rFonts w:cs="Tahoma"/>
          <w:szCs w:val="18"/>
        </w:rPr>
        <w:t>edizione Windows 8 Enterprise, con qualsiasi Contratto Multilicenza, sono dotati di funzionalità abilitate per Windows Enterprise Sideloading.</w:t>
      </w:r>
      <w:r w:rsidR="008D782D" w:rsidRPr="00BD7CEA">
        <w:rPr>
          <w:rFonts w:cs="Tahoma"/>
          <w:szCs w:val="18"/>
        </w:rPr>
        <w:t xml:space="preserve"> </w:t>
      </w:r>
      <w:r w:rsidRPr="00BD7CEA">
        <w:rPr>
          <w:rFonts w:cs="Tahoma"/>
          <w:szCs w:val="18"/>
        </w:rPr>
        <w:t>Windows Enterprise Sideloading può essere attivato anche su dispositivi in cui è in esecuzione Windows 8 Enterprise che non sono stati aggiunti al dominio e su dispositivi in cui si trova Windows 8 Pro o Windows RT mediante l</w:t>
      </w:r>
      <w:r w:rsidR="007A1415" w:rsidRPr="00BD7CEA">
        <w:rPr>
          <w:rFonts w:cs="Tahoma"/>
          <w:szCs w:val="18"/>
        </w:rPr>
        <w:t>’</w:t>
      </w:r>
      <w:r w:rsidRPr="00BD7CEA">
        <w:rPr>
          <w:rFonts w:cs="Tahoma"/>
          <w:szCs w:val="18"/>
        </w:rPr>
        <w:t>utilizzo di un codice Product Key.</w:t>
      </w:r>
      <w:r w:rsidR="008D782D" w:rsidRPr="00BD7CEA">
        <w:rPr>
          <w:rFonts w:cs="Tahoma"/>
          <w:szCs w:val="18"/>
        </w:rPr>
        <w:t xml:space="preserve"> </w:t>
      </w:r>
      <w:r w:rsidRPr="00BD7CEA">
        <w:rPr>
          <w:rFonts w:cs="Tahoma"/>
          <w:szCs w:val="18"/>
        </w:rPr>
        <w:t>In tutti i casi Windows Enterprise Sideloading potrà essere utilizzato esclusivamente per distribuire Applicazioni che apporteranno benefici alla società con Contratti Multilicenza.</w:t>
      </w:r>
      <w:r w:rsidR="008D782D" w:rsidRPr="00BD7CEA">
        <w:rPr>
          <w:rFonts w:cs="Tahoma"/>
          <w:szCs w:val="18"/>
        </w:rPr>
        <w:t xml:space="preserve"> </w:t>
      </w:r>
      <w:r w:rsidRPr="00BD7CEA">
        <w:rPr>
          <w:rFonts w:cs="Tahoma"/>
          <w:szCs w:val="18"/>
        </w:rPr>
        <w:t>La funzionalità Windows Enterprise Sideloading integra il Sistema Operativo Desktop Windows e di conseguenza le condizioni di licenza per il Sistema Operativo Desktop Windows fornite qui si applicano all</w:t>
      </w:r>
      <w:r w:rsidR="007A1415" w:rsidRPr="00BD7CEA">
        <w:rPr>
          <w:rFonts w:cs="Tahoma"/>
          <w:szCs w:val="18"/>
        </w:rPr>
        <w:t>’</w:t>
      </w:r>
      <w:r w:rsidRPr="00BD7CEA">
        <w:rPr>
          <w:rFonts w:cs="Tahoma"/>
          <w:szCs w:val="18"/>
        </w:rPr>
        <w:t>utilizzo di tale funzionalità da parte delle società.</w:t>
      </w:r>
    </w:p>
    <w:p w:rsidR="005D4DAB" w:rsidRPr="00BD7CEA" w:rsidRDefault="005D4DAB" w:rsidP="00572128">
      <w:pPr>
        <w:ind w:left="900"/>
      </w:pPr>
    </w:p>
    <w:p w:rsidR="005D4DAB" w:rsidRPr="00BD7CEA" w:rsidRDefault="005D4DAB" w:rsidP="009B2474">
      <w:pPr>
        <w:spacing w:after="60"/>
        <w:ind w:left="720"/>
      </w:pPr>
      <w:r w:rsidRPr="00BD7CEA">
        <w:rPr>
          <w:rFonts w:cs="Tahoma"/>
          <w:b/>
          <w:szCs w:val="18"/>
        </w:rPr>
        <w:t>Vantaggi di Software Assurance</w:t>
      </w:r>
    </w:p>
    <w:p w:rsidR="005D4DAB" w:rsidRPr="00BD7CEA" w:rsidRDefault="005D4DAB" w:rsidP="00EE035D">
      <w:pPr>
        <w:ind w:left="720"/>
      </w:pPr>
      <w:r w:rsidRPr="00BD7CEA">
        <w:rPr>
          <w:rFonts w:cs="Tahoma"/>
          <w:szCs w:val="18"/>
        </w:rPr>
        <w:t>Per attivare Windows Enterprise Sideloading su uno dei seguenti dispositivi potrà essere utilizzato un codice Product Key:</w:t>
      </w:r>
    </w:p>
    <w:p w:rsidR="009B2474" w:rsidRPr="00BD7CEA" w:rsidRDefault="009B2474" w:rsidP="00EE035D">
      <w:pPr>
        <w:ind w:left="720"/>
      </w:pPr>
    </w:p>
    <w:p w:rsidR="005D4DAB" w:rsidRPr="00BD7CEA" w:rsidRDefault="005D4DAB" w:rsidP="007358C5">
      <w:pPr>
        <w:pStyle w:val="ListParagraph"/>
        <w:numPr>
          <w:ilvl w:val="0"/>
          <w:numId w:val="82"/>
        </w:numPr>
        <w:spacing w:after="60"/>
        <w:ind w:left="1440"/>
        <w:contextualSpacing w:val="0"/>
      </w:pPr>
      <w:r w:rsidRPr="00BD7CEA">
        <w:rPr>
          <w:rFonts w:ascii="Tahoma" w:hAnsi="Tahoma" w:cs="Tahoma"/>
          <w:sz w:val="18"/>
          <w:szCs w:val="18"/>
        </w:rPr>
        <w:t>Dispositivi con copertura Windows Software Assurance attiva</w:t>
      </w:r>
    </w:p>
    <w:p w:rsidR="005D4DAB" w:rsidRPr="00BD7CEA" w:rsidRDefault="005D4DAB" w:rsidP="007358C5">
      <w:pPr>
        <w:pStyle w:val="ListParagraph"/>
        <w:numPr>
          <w:ilvl w:val="0"/>
          <w:numId w:val="82"/>
        </w:numPr>
        <w:spacing w:after="60"/>
        <w:ind w:left="1440"/>
        <w:contextualSpacing w:val="0"/>
      </w:pPr>
      <w:r w:rsidRPr="00BD7CEA">
        <w:rPr>
          <w:rFonts w:ascii="Tahoma" w:hAnsi="Tahoma" w:cs="Tahoma"/>
          <w:sz w:val="18"/>
          <w:szCs w:val="18"/>
        </w:rPr>
        <w:t>Dispositivi con una licenza “Subscription” per Windows Intune (Per Dispositivo) o VDA attiva</w:t>
      </w:r>
    </w:p>
    <w:p w:rsidR="005D4DAB" w:rsidRPr="00BD7CEA" w:rsidRDefault="005D4DAB" w:rsidP="007358C5">
      <w:pPr>
        <w:pStyle w:val="ListParagraph"/>
        <w:numPr>
          <w:ilvl w:val="0"/>
          <w:numId w:val="82"/>
        </w:numPr>
        <w:spacing w:after="60"/>
        <w:ind w:left="1440"/>
        <w:contextualSpacing w:val="0"/>
      </w:pPr>
      <w:r w:rsidRPr="00BD7CEA">
        <w:rPr>
          <w:rFonts w:ascii="Tahoma" w:hAnsi="Tahoma" w:cs="Tahoma"/>
          <w:sz w:val="18"/>
          <w:szCs w:val="18"/>
        </w:rPr>
        <w:t>Dispositivi con Windows RT</w:t>
      </w:r>
    </w:p>
    <w:p w:rsidR="00EB2B3F" w:rsidRPr="00BD7CEA" w:rsidRDefault="00EB2B3F" w:rsidP="007358C5">
      <w:pPr>
        <w:pStyle w:val="ListParagraph"/>
        <w:numPr>
          <w:ilvl w:val="0"/>
          <w:numId w:val="82"/>
        </w:numPr>
        <w:spacing w:after="60"/>
        <w:ind w:left="1440"/>
        <w:contextualSpacing w:val="0"/>
      </w:pPr>
      <w:r w:rsidRPr="00BD7CEA">
        <w:rPr>
          <w:rFonts w:ascii="Tahoma" w:hAnsi="Tahoma" w:cs="Tahoma"/>
          <w:sz w:val="18"/>
          <w:szCs w:val="18"/>
        </w:rPr>
        <w:t>Dispositivi coperti dalla Licenza “Subscription” per Windows Companion</w:t>
      </w:r>
    </w:p>
    <w:p w:rsidR="005D4DAB" w:rsidRPr="00BD7CEA" w:rsidRDefault="005D4DAB" w:rsidP="00572128">
      <w:pPr>
        <w:ind w:left="900"/>
      </w:pPr>
    </w:p>
    <w:p w:rsidR="005D4DAB" w:rsidRPr="00BD7CEA" w:rsidRDefault="005D4DAB" w:rsidP="00EE035D">
      <w:pPr>
        <w:ind w:left="720"/>
      </w:pPr>
      <w:r w:rsidRPr="00BD7CEA">
        <w:rPr>
          <w:rFonts w:cs="Tahoma"/>
          <w:szCs w:val="18"/>
        </w:rPr>
        <w:t xml:space="preserve">Windows Enterprise Sideloading potrà essere attivato su un qualsiasi dispositivo autorizzato solo prima della scadenza della copertura Software Assurance o della Licenza “Subscription” corrispondente. </w:t>
      </w:r>
      <w:r w:rsidRPr="00BD7CEA">
        <w:t>Nei programmi didattici Windows Enterprise Sideloading potrà essere attivato solo su dispositivi di proprietà di istituti</w:t>
      </w:r>
      <w:r w:rsidRPr="00BD7CEA">
        <w:rPr>
          <w:rFonts w:cs="Tahoma"/>
          <w:szCs w:val="18"/>
        </w:rPr>
        <w:t>.</w:t>
      </w:r>
    </w:p>
    <w:p w:rsidR="005D4DAB" w:rsidRPr="00BD7CEA" w:rsidRDefault="005D4DAB" w:rsidP="00572128">
      <w:pPr>
        <w:ind w:left="900"/>
      </w:pPr>
    </w:p>
    <w:p w:rsidR="005D4DAB" w:rsidRPr="00BD7CEA" w:rsidRDefault="009B2474" w:rsidP="009B2474">
      <w:pPr>
        <w:spacing w:after="60"/>
        <w:ind w:left="720"/>
      </w:pPr>
      <w:r w:rsidRPr="00BD7CEA">
        <w:rPr>
          <w:rFonts w:cs="Tahoma"/>
          <w:b/>
          <w:szCs w:val="18"/>
        </w:rPr>
        <w:t>Licenza per Enterprise Sideloading Disponibile per l</w:t>
      </w:r>
      <w:r w:rsidR="007A1415" w:rsidRPr="00BD7CEA">
        <w:rPr>
          <w:rFonts w:cs="Tahoma"/>
          <w:b/>
          <w:szCs w:val="18"/>
        </w:rPr>
        <w:t>’</w:t>
      </w:r>
      <w:r w:rsidRPr="00BD7CEA">
        <w:rPr>
          <w:rFonts w:cs="Tahoma"/>
          <w:b/>
          <w:szCs w:val="18"/>
        </w:rPr>
        <w:t>Acquisto</w:t>
      </w:r>
    </w:p>
    <w:p w:rsidR="00697E59" w:rsidRPr="00BD7CEA" w:rsidRDefault="005D4DAB" w:rsidP="00AF3B19">
      <w:pPr>
        <w:ind w:left="720"/>
      </w:pPr>
      <w:r w:rsidRPr="00BD7CEA">
        <w:rPr>
          <w:rFonts w:cs="Tahoma"/>
          <w:szCs w:val="18"/>
        </w:rPr>
        <w:t>Le società potranno acquistare licenze per Enterprise Sideloading.</w:t>
      </w:r>
      <w:r w:rsidR="008D782D" w:rsidRPr="00BD7CEA">
        <w:rPr>
          <w:rFonts w:cs="Tahoma"/>
          <w:szCs w:val="18"/>
        </w:rPr>
        <w:t xml:space="preserve"> </w:t>
      </w:r>
      <w:r w:rsidRPr="00BD7CEA">
        <w:rPr>
          <w:rFonts w:cs="Tahoma"/>
          <w:szCs w:val="18"/>
        </w:rPr>
        <w:t xml:space="preserve">Ciascuna di tali licenze per Enterprise Sideloading dovrà essere ceduta in modo definitivo a un dispositivo singolo. </w:t>
      </w:r>
      <w:r w:rsidRPr="00BD7CEA">
        <w:t>Nei programmi didattici Windows Enterprise Sideloading potrà essere attivato solo su dispositivi di proprietà di istituti</w:t>
      </w:r>
      <w:r w:rsidRPr="00BD7CEA">
        <w:rPr>
          <w:rFonts w:cs="Tahoma"/>
          <w:szCs w:val="18"/>
        </w:rPr>
        <w:t>.</w:t>
      </w:r>
      <w:bookmarkStart w:id="1142" w:name="_Toc336338285"/>
    </w:p>
    <w:p w:rsidR="00AF3B19" w:rsidRPr="00BD7CEA" w:rsidRDefault="00AF3B19" w:rsidP="00B50A5B">
      <w:pPr>
        <w:spacing w:after="60"/>
      </w:pPr>
    </w:p>
    <w:p w:rsidR="005C55EB" w:rsidRPr="00BD7CEA" w:rsidRDefault="005C55EB" w:rsidP="00B50A5B">
      <w:pPr>
        <w:spacing w:after="60"/>
        <w:ind w:left="720"/>
      </w:pPr>
      <w:r w:rsidRPr="00BD7CEA">
        <w:rPr>
          <w:rFonts w:cs="Tahoma"/>
          <w:b/>
          <w:szCs w:val="18"/>
        </w:rPr>
        <w:t>Windows Embedded 8 Pro Sideloading</w:t>
      </w:r>
    </w:p>
    <w:p w:rsidR="005C55EB" w:rsidRPr="00BD7CEA" w:rsidRDefault="005C55EB" w:rsidP="005C55EB">
      <w:pPr>
        <w:ind w:left="720"/>
      </w:pPr>
      <w:r w:rsidRPr="00BD7CEA">
        <w:rPr>
          <w:rFonts w:cs="Tahoma"/>
          <w:szCs w:val="18"/>
        </w:rPr>
        <w:t>Le società che acquistano dispositivi con Windows Embedded 8 Pro tramite un OEM potranno acquistare licenze per Windows 8 Enterprise Sideloading per tali dispositivi.</w:t>
      </w:r>
    </w:p>
    <w:p w:rsidR="005C55EB" w:rsidRPr="00BD7CEA" w:rsidRDefault="005C55EB" w:rsidP="00AF3B19"/>
    <w:p w:rsidR="00AF3B19" w:rsidRPr="00BD7CEA" w:rsidRDefault="00AF3B19" w:rsidP="00AF3B19"/>
    <w:p w:rsidR="00C646B3" w:rsidRPr="00BD7CEA" w:rsidRDefault="004668D9" w:rsidP="00C646B3">
      <w:pPr>
        <w:pStyle w:val="Heading3"/>
      </w:pPr>
      <w:bookmarkStart w:id="1143" w:name="_28_Windows®_7"/>
      <w:bookmarkStart w:id="1144" w:name="Sys_25WindowsPartnersLearning"/>
      <w:bookmarkStart w:id="1145" w:name="_Toc353376065"/>
      <w:bookmarkEnd w:id="1143"/>
      <w:r w:rsidRPr="00BD7CEA">
        <w:rPr>
          <w:rFonts w:ascii="Tahoma" w:hAnsi="Tahoma"/>
          <w:caps/>
          <w:color w:val="F66400"/>
          <w:sz w:val="22"/>
          <w:vertAlign w:val="superscript"/>
        </w:rPr>
        <w:t>28</w:t>
      </w:r>
      <w:r w:rsidRPr="00BD7CEA">
        <w:rPr>
          <w:rFonts w:ascii="Tahoma" w:hAnsi="Tahoma"/>
          <w:color w:val="F66400"/>
          <w:sz w:val="22"/>
        </w:rPr>
        <w:t xml:space="preserve"> Windows</w:t>
      </w:r>
      <w:r w:rsidR="00700C4B" w:rsidRPr="00BD7CEA">
        <w:rPr>
          <w:rFonts w:ascii="Tahoma" w:hAnsi="Tahoma"/>
          <w:color w:val="F66400"/>
          <w:sz w:val="22"/>
          <w:vertAlign w:val="superscript"/>
        </w:rPr>
        <w:t>®</w:t>
      </w:r>
      <w:r w:rsidRPr="00BD7CEA">
        <w:rPr>
          <w:rFonts w:ascii="Tahoma" w:hAnsi="Tahoma"/>
          <w:color w:val="F66400"/>
          <w:sz w:val="22"/>
        </w:rPr>
        <w:t xml:space="preserve"> 7 Partners in Learning</w:t>
      </w:r>
      <w:bookmarkEnd w:id="1131"/>
      <w:bookmarkEnd w:id="1142"/>
      <w:bookmarkEnd w:id="1144"/>
      <w:bookmarkEnd w:id="1145"/>
    </w:p>
    <w:p w:rsidR="00C646B3" w:rsidRPr="00BD7CEA" w:rsidRDefault="00C646B3" w:rsidP="00C646B3"/>
    <w:p w:rsidR="00C646B3" w:rsidRPr="00BD7CEA" w:rsidRDefault="00C646B3" w:rsidP="00EE035D">
      <w:pPr>
        <w:ind w:left="720" w:right="-810"/>
      </w:pPr>
      <w:r w:rsidRPr="00BD7CEA">
        <w:rPr>
          <w:rFonts w:cs="Tahoma"/>
          <w:color w:val="000000"/>
          <w:szCs w:val="18"/>
        </w:rPr>
        <w:t>Per i requisiti di idoneità e l</w:t>
      </w:r>
      <w:r w:rsidR="007A1415" w:rsidRPr="00BD7CEA">
        <w:rPr>
          <w:rFonts w:cs="Tahoma"/>
          <w:color w:val="000000"/>
          <w:szCs w:val="18"/>
        </w:rPr>
        <w:t>’</w:t>
      </w:r>
      <w:r w:rsidRPr="00BD7CEA">
        <w:rPr>
          <w:rFonts w:cs="Tahoma"/>
          <w:color w:val="000000"/>
          <w:szCs w:val="18"/>
        </w:rPr>
        <w:t xml:space="preserve">iscrizione dei partner, la società dovrà fare riferimento alla pagina </w:t>
      </w:r>
      <w:hyperlink r:id="rId46" w:history="1">
        <w:r w:rsidRPr="00BD7CEA">
          <w:rPr>
            <w:rStyle w:val="Hyperlink"/>
            <w:rFonts w:cs="Tahoma"/>
            <w:szCs w:val="18"/>
          </w:rPr>
          <w:t>http://www.microsoft.com/education/pil/partnersinlearning.aspx</w:t>
        </w:r>
      </w:hyperlink>
      <w:r w:rsidRPr="00BD7CEA">
        <w:rPr>
          <w:color w:val="000000"/>
        </w:rPr>
        <w:t xml:space="preserve"> </w:t>
      </w:r>
    </w:p>
    <w:p w:rsidR="00435C70" w:rsidRPr="00BD7CEA" w:rsidRDefault="00435C70" w:rsidP="00435C70">
      <w:pPr>
        <w:ind w:right="-810"/>
      </w:pPr>
    </w:p>
    <w:p w:rsidR="00435C70" w:rsidRPr="00BD7CEA" w:rsidRDefault="00435C70" w:rsidP="00435C70">
      <w:pPr>
        <w:ind w:right="-810"/>
      </w:pPr>
    </w:p>
    <w:p w:rsidR="00B73A46" w:rsidRPr="00BD7CEA" w:rsidRDefault="004668D9" w:rsidP="00B73A46">
      <w:pPr>
        <w:pStyle w:val="Heading3"/>
      </w:pPr>
      <w:bookmarkStart w:id="1146" w:name="_29_Windows®_8"/>
      <w:bookmarkStart w:id="1147" w:name="_29_Aggiornamento_per"/>
      <w:bookmarkStart w:id="1148" w:name="_Toc336338286"/>
      <w:bookmarkStart w:id="1149" w:name="_Toc353376066"/>
      <w:bookmarkStart w:id="1150" w:name="Sys_27Win7ProUpgradeWinIntune"/>
      <w:bookmarkStart w:id="1151" w:name="Sys_26WinVistaBizUpgrade"/>
      <w:bookmarkStart w:id="1152" w:name="Sys_23Windows7ProUpgrade"/>
      <w:bookmarkStart w:id="1153" w:name="Sys_27WindowsVistaProUpgrade"/>
      <w:bookmarkEnd w:id="1146"/>
      <w:bookmarkEnd w:id="1147"/>
      <w:r w:rsidRPr="00BD7CEA">
        <w:rPr>
          <w:rFonts w:ascii="Tahoma" w:hAnsi="Tahoma"/>
          <w:caps/>
          <w:color w:val="F66400"/>
          <w:sz w:val="22"/>
          <w:vertAlign w:val="superscript"/>
        </w:rPr>
        <w:t>29</w:t>
      </w:r>
      <w:r w:rsidRPr="00BD7CEA">
        <w:rPr>
          <w:rFonts w:ascii="Tahoma" w:hAnsi="Tahoma"/>
          <w:color w:val="F66400"/>
          <w:sz w:val="22"/>
        </w:rPr>
        <w:t xml:space="preserve"> </w:t>
      </w:r>
      <w:r w:rsidRPr="00BD7CEA">
        <w:rPr>
          <w:rFonts w:ascii="Tahoma" w:hAnsi="Tahoma"/>
          <w:color w:val="FF6D09"/>
          <w:sz w:val="22"/>
        </w:rPr>
        <w:t>Aggiornamento per Windows</w:t>
      </w:r>
      <w:r w:rsidR="00700C4B" w:rsidRPr="00BD7CEA">
        <w:rPr>
          <w:rFonts w:ascii="Tahoma" w:hAnsi="Tahoma"/>
          <w:color w:val="FF6D09"/>
          <w:sz w:val="22"/>
          <w:vertAlign w:val="superscript"/>
        </w:rPr>
        <w:t>®</w:t>
      </w:r>
      <w:r w:rsidRPr="00BD7CEA">
        <w:rPr>
          <w:rFonts w:ascii="Tahoma" w:hAnsi="Tahoma"/>
          <w:color w:val="FF6D09"/>
          <w:sz w:val="22"/>
        </w:rPr>
        <w:t xml:space="preserve"> 8 Pro e Windows Intune</w:t>
      </w:r>
      <w:bookmarkEnd w:id="1148"/>
      <w:r w:rsidRPr="00BD7CEA">
        <w:rPr>
          <w:rFonts w:ascii="Tahoma" w:hAnsi="Tahoma"/>
          <w:color w:val="FF6D09"/>
          <w:sz w:val="22"/>
        </w:rPr>
        <w:t xml:space="preserve"> (Per Dispositivo)</w:t>
      </w:r>
      <w:bookmarkEnd w:id="1149"/>
    </w:p>
    <w:bookmarkEnd w:id="1150"/>
    <w:p w:rsidR="003C65F4" w:rsidRPr="00BD7CEA" w:rsidRDefault="003C65F4" w:rsidP="003C65F4"/>
    <w:p w:rsidR="00B73A46" w:rsidRPr="00BD7CEA" w:rsidRDefault="00B73A46" w:rsidP="00435C70">
      <w:pPr>
        <w:pStyle w:val="FootnoteBulletLevel1"/>
        <w:tabs>
          <w:tab w:val="clear" w:pos="900"/>
        </w:tabs>
        <w:adjustRightInd/>
        <w:spacing w:before="0" w:after="60"/>
        <w:ind w:left="720" w:firstLine="0"/>
        <w:textAlignment w:val="auto"/>
      </w:pPr>
      <w:r w:rsidRPr="00BD7CEA">
        <w:rPr>
          <w:rFonts w:ascii="Tahoma" w:hAnsi="Tahoma" w:cs="Tahoma"/>
          <w:b/>
          <w:bCs/>
          <w:sz w:val="18"/>
          <w:szCs w:val="18"/>
        </w:rPr>
        <w:t>Aggiornamento per Windows 8 Pro</w:t>
      </w:r>
    </w:p>
    <w:p w:rsidR="00B73A46" w:rsidRPr="00BD7CEA" w:rsidRDefault="00B73A46" w:rsidP="00435C70">
      <w:pPr>
        <w:ind w:left="720"/>
      </w:pPr>
      <w:r w:rsidRPr="00BD7CEA">
        <w:rPr>
          <w:rFonts w:cs="Tahoma"/>
          <w:szCs w:val="18"/>
          <w:u w:val="single"/>
        </w:rPr>
        <w:t>Licenza di Aggiornamento per il Sistema Operativo (OS)</w:t>
      </w:r>
    </w:p>
    <w:p w:rsidR="00B73A46" w:rsidRPr="00BD7CEA" w:rsidRDefault="00B73A46" w:rsidP="00435C70">
      <w:pPr>
        <w:pStyle w:val="FootnoteBulletLevel1"/>
        <w:tabs>
          <w:tab w:val="clear" w:pos="900"/>
        </w:tabs>
        <w:adjustRightInd/>
        <w:spacing w:before="0" w:after="0"/>
        <w:ind w:left="720" w:hanging="7"/>
        <w:textAlignment w:val="auto"/>
      </w:pPr>
      <w:r w:rsidRPr="00BD7CEA">
        <w:rPr>
          <w:rFonts w:ascii="Tahoma" w:hAnsi="Tahoma" w:cs="Tahoma"/>
          <w:sz w:val="18"/>
          <w:szCs w:val="18"/>
        </w:rPr>
        <w:t>Le licenze per sistemi operativi desktop fornite in base ai presenti programmi sono unicamente licenze di</w:t>
      </w:r>
      <w:r w:rsidR="00DF26C7" w:rsidRPr="00BD7CEA">
        <w:rPr>
          <w:rFonts w:ascii="Tahoma" w:hAnsi="Tahoma" w:cs="Tahoma"/>
          <w:sz w:val="18"/>
          <w:szCs w:val="18"/>
        </w:rPr>
        <w:t> </w:t>
      </w:r>
      <w:r w:rsidRPr="00BD7CEA">
        <w:rPr>
          <w:rFonts w:ascii="Tahoma" w:hAnsi="Tahoma" w:cs="Tahoma"/>
          <w:sz w:val="18"/>
          <w:szCs w:val="18"/>
        </w:rPr>
        <w:t>aggiornamento. I presenti programmi non prevedono licenze complete per sistemi operativi desktop. Pertanto, ogni desktop per cui sia stato acquistato e su cui sia installato l</w:t>
      </w:r>
      <w:r w:rsidR="007A1415" w:rsidRPr="00BD7CEA">
        <w:rPr>
          <w:rFonts w:ascii="Tahoma" w:hAnsi="Tahoma" w:cs="Tahoma"/>
          <w:sz w:val="18"/>
          <w:szCs w:val="18"/>
        </w:rPr>
        <w:t>’</w:t>
      </w:r>
      <w:r w:rsidRPr="00BD7CEA">
        <w:rPr>
          <w:rFonts w:ascii="Tahoma" w:hAnsi="Tahoma" w:cs="Tahoma"/>
          <w:sz w:val="18"/>
          <w:szCs w:val="18"/>
        </w:rPr>
        <w:t xml:space="preserve">Aggiornamento per </w:t>
      </w:r>
      <w:r w:rsidR="003D6D98">
        <w:rPr>
          <w:rFonts w:ascii="Tahoma" w:hAnsi="Tahoma" w:cs="Tahoma"/>
          <w:sz w:val="18"/>
          <w:szCs w:val="18"/>
        </w:rPr>
        <w:br/>
      </w:r>
      <w:r w:rsidRPr="00BD7CEA">
        <w:rPr>
          <w:rFonts w:ascii="Tahoma" w:hAnsi="Tahoma" w:cs="Tahoma"/>
          <w:sz w:val="18"/>
          <w:szCs w:val="18"/>
        </w:rPr>
        <w:t>Windows 8 Pro dovrà avere la licenza per eseguire uno dei sistemi operativi qualificanti indicati sotto.</w:t>
      </w:r>
    </w:p>
    <w:p w:rsidR="00435C70" w:rsidRPr="00BD7CEA" w:rsidRDefault="00435C70" w:rsidP="00435C70">
      <w:pPr>
        <w:ind w:left="720"/>
      </w:pPr>
    </w:p>
    <w:p w:rsidR="00DF26C7" w:rsidRPr="00BD7CEA" w:rsidRDefault="00DF26C7" w:rsidP="00435C70">
      <w:pPr>
        <w:ind w:left="720"/>
      </w:pPr>
    </w:p>
    <w:p w:rsidR="00DF26C7" w:rsidRPr="00BD7CEA" w:rsidRDefault="00DF26C7" w:rsidP="00435C70">
      <w:pPr>
        <w:ind w:left="720"/>
      </w:pPr>
    </w:p>
    <w:p w:rsidR="00DF26C7" w:rsidRPr="00BD7CEA" w:rsidRDefault="00DF26C7" w:rsidP="00435C70">
      <w:pPr>
        <w:ind w:left="720"/>
      </w:pPr>
    </w:p>
    <w:p w:rsidR="00DF26C7" w:rsidRPr="00BD7CEA" w:rsidRDefault="00DF26C7" w:rsidP="00435C70">
      <w:pPr>
        <w:ind w:left="720"/>
      </w:pPr>
    </w:p>
    <w:p w:rsidR="00DF26C7" w:rsidRPr="00BD7CEA" w:rsidRDefault="00DF26C7" w:rsidP="00435C70">
      <w:pPr>
        <w:ind w:left="720"/>
      </w:pPr>
    </w:p>
    <w:p w:rsidR="00DF26C7" w:rsidRPr="00BD7CEA" w:rsidRDefault="00DF26C7" w:rsidP="00435C70">
      <w:pPr>
        <w:ind w:left="720"/>
      </w:pPr>
    </w:p>
    <w:p w:rsidR="00DF26C7" w:rsidRPr="00BD7CEA" w:rsidRDefault="00DF26C7" w:rsidP="00435C70">
      <w:pPr>
        <w:ind w:left="720"/>
      </w:pPr>
    </w:p>
    <w:p w:rsidR="00B24C9D" w:rsidRPr="00BD7CEA" w:rsidRDefault="00B73A46" w:rsidP="009C2B6B">
      <w:pPr>
        <w:ind w:left="720"/>
      </w:pPr>
      <w:r w:rsidRPr="00BD7CEA">
        <w:rPr>
          <w:rFonts w:cs="Tahoma"/>
          <w:szCs w:val="18"/>
          <w:u w:val="single"/>
        </w:rPr>
        <w:lastRenderedPageBreak/>
        <w:t>Regole per i Sistemi Operativi Qualificanti</w:t>
      </w:r>
    </w:p>
    <w:p w:rsidR="00B73A46" w:rsidRPr="00BD7CEA" w:rsidRDefault="00B73A46" w:rsidP="007358C5">
      <w:pPr>
        <w:numPr>
          <w:ilvl w:val="1"/>
          <w:numId w:val="83"/>
        </w:numPr>
        <w:spacing w:after="60"/>
        <w:ind w:left="1440"/>
      </w:pPr>
      <w:r w:rsidRPr="00BD7CEA">
        <w:rPr>
          <w:rFonts w:cs="Tahoma"/>
          <w:szCs w:val="18"/>
        </w:rPr>
        <w:t>L</w:t>
      </w:r>
      <w:r w:rsidR="007A1415" w:rsidRPr="00BD7CEA">
        <w:rPr>
          <w:rFonts w:cs="Tahoma"/>
          <w:szCs w:val="18"/>
        </w:rPr>
        <w:t>’</w:t>
      </w:r>
      <w:r w:rsidRPr="00BD7CEA">
        <w:rPr>
          <w:rFonts w:cs="Tahoma"/>
          <w:szCs w:val="18"/>
        </w:rPr>
        <w:t>OS qualificante deve essere installato sul dispositivo a cui deve essere assegnata la licenza di</w:t>
      </w:r>
      <w:r w:rsidR="00DF26C7" w:rsidRPr="00BD7CEA">
        <w:rPr>
          <w:rFonts w:cs="Tahoma"/>
          <w:szCs w:val="18"/>
        </w:rPr>
        <w:t> </w:t>
      </w:r>
      <w:r w:rsidRPr="00BD7CEA">
        <w:rPr>
          <w:rFonts w:cs="Tahoma"/>
          <w:szCs w:val="18"/>
        </w:rPr>
        <w:t>Aggiornamento VL.</w:t>
      </w:r>
    </w:p>
    <w:p w:rsidR="00827F06" w:rsidRPr="00BD7CEA" w:rsidRDefault="00827F06" w:rsidP="007358C5">
      <w:pPr>
        <w:numPr>
          <w:ilvl w:val="2"/>
          <w:numId w:val="84"/>
        </w:numPr>
        <w:spacing w:after="60"/>
        <w:ind w:left="1980"/>
      </w:pPr>
      <w:r w:rsidRPr="00BD7CEA">
        <w:rPr>
          <w:color w:val="000000"/>
        </w:rPr>
        <w:t>Apple Macintosh è solamente un Sistema Operativo qualificante qualora sia preinstallato dal</w:t>
      </w:r>
      <w:r w:rsidR="00DF26C7" w:rsidRPr="00BD7CEA">
        <w:rPr>
          <w:color w:val="000000"/>
        </w:rPr>
        <w:t> </w:t>
      </w:r>
      <w:r w:rsidRPr="00BD7CEA">
        <w:rPr>
          <w:color w:val="000000"/>
        </w:rPr>
        <w:t>produttore autorizzato prima della vendita iniziale del computer.</w:t>
      </w:r>
    </w:p>
    <w:p w:rsidR="00B73A46" w:rsidRPr="00BD7CEA" w:rsidRDefault="00B73A46" w:rsidP="007358C5">
      <w:pPr>
        <w:numPr>
          <w:ilvl w:val="1"/>
          <w:numId w:val="85"/>
        </w:numPr>
        <w:spacing w:after="60"/>
        <w:ind w:left="1440"/>
      </w:pPr>
      <w:r w:rsidRPr="00BD7CEA">
        <w:rPr>
          <w:rFonts w:cs="Tahoma"/>
          <w:szCs w:val="18"/>
        </w:rPr>
        <w:t xml:space="preserve">Salvo quanto previsto di seguito, le società dovranno rimuovere il Sistema Operativo qualificante dal dispositivo per distribuire la licenza di Aggiornamento VL. </w:t>
      </w:r>
    </w:p>
    <w:p w:rsidR="00B31BB3" w:rsidRPr="00BD7CEA" w:rsidRDefault="00B73A46" w:rsidP="007358C5">
      <w:pPr>
        <w:numPr>
          <w:ilvl w:val="1"/>
          <w:numId w:val="85"/>
        </w:numPr>
        <w:spacing w:after="60"/>
        <w:ind w:left="1440"/>
      </w:pPr>
      <w:r w:rsidRPr="00BD7CEA">
        <w:rPr>
          <w:rFonts w:cs="Tahoma"/>
          <w:szCs w:val="18"/>
        </w:rPr>
        <w:t>Le società che intendono installare o eseguire più di un sistema operativo con licenza alla volta (compreso il sistema operativo qualificante) potranno acquistare Software Assurance per la licenza di Aggiornamento VL.</w:t>
      </w:r>
    </w:p>
    <w:p w:rsidR="00B73A46" w:rsidRPr="00BD7CEA" w:rsidRDefault="00B73A46" w:rsidP="007358C5">
      <w:pPr>
        <w:numPr>
          <w:ilvl w:val="1"/>
          <w:numId w:val="85"/>
        </w:numPr>
        <w:spacing w:after="60"/>
        <w:ind w:left="1440"/>
      </w:pPr>
      <w:r w:rsidRPr="00BD7CEA">
        <w:rPr>
          <w:rFonts w:cs="Tahoma"/>
          <w:szCs w:val="18"/>
        </w:rPr>
        <w:t>Le società che dispongono di una copertura Software Assurance attiva non hanno l</w:t>
      </w:r>
      <w:r w:rsidR="007A1415" w:rsidRPr="00BD7CEA">
        <w:rPr>
          <w:rFonts w:cs="Tahoma"/>
          <w:szCs w:val="18"/>
        </w:rPr>
        <w:t>’</w:t>
      </w:r>
      <w:r w:rsidRPr="00BD7CEA">
        <w:rPr>
          <w:rFonts w:cs="Tahoma"/>
          <w:szCs w:val="18"/>
        </w:rPr>
        <w:t>obbligo di disinstallare l</w:t>
      </w:r>
      <w:r w:rsidR="007A1415" w:rsidRPr="00BD7CEA">
        <w:rPr>
          <w:rFonts w:cs="Tahoma"/>
          <w:szCs w:val="18"/>
        </w:rPr>
        <w:t>’</w:t>
      </w:r>
      <w:r w:rsidRPr="00BD7CEA">
        <w:rPr>
          <w:rFonts w:cs="Tahoma"/>
          <w:szCs w:val="18"/>
        </w:rPr>
        <w:t>OS qualificante e potranno installare ed eseguire contemporaneamente l</w:t>
      </w:r>
      <w:r w:rsidR="007A1415" w:rsidRPr="00BD7CEA">
        <w:rPr>
          <w:rFonts w:cs="Tahoma"/>
          <w:szCs w:val="18"/>
        </w:rPr>
        <w:t>’</w:t>
      </w:r>
      <w:r w:rsidRPr="00BD7CEA">
        <w:rPr>
          <w:rFonts w:cs="Tahoma"/>
          <w:szCs w:val="18"/>
        </w:rPr>
        <w:t xml:space="preserve">OS qualificante e Windows 8. </w:t>
      </w:r>
    </w:p>
    <w:p w:rsidR="00290BBF" w:rsidRPr="00BD7CEA" w:rsidRDefault="00290BBF" w:rsidP="00B73A46">
      <w:pPr>
        <w:pStyle w:val="EndnoteText"/>
      </w:pPr>
    </w:p>
    <w:p w:rsidR="00B73A46" w:rsidRPr="00BD7CEA" w:rsidRDefault="00B73A46" w:rsidP="002A6416">
      <w:pPr>
        <w:pStyle w:val="EndnoteText"/>
        <w:ind w:left="770"/>
      </w:pPr>
      <w:r w:rsidRPr="00BD7CEA">
        <w:rPr>
          <w:rFonts w:ascii="Tahoma" w:hAnsi="Tahoma" w:cs="Tahoma"/>
          <w:sz w:val="18"/>
          <w:szCs w:val="18"/>
        </w:rPr>
        <w:t>I sistemi operativi qualificanti in base al tipo di Programma sono:</w:t>
      </w:r>
    </w:p>
    <w:p w:rsidR="00B73A46" w:rsidRPr="00BD7CEA" w:rsidRDefault="00B73A46" w:rsidP="00B73A46">
      <w:pPr>
        <w:pStyle w:val="EndnoteText"/>
      </w:pPr>
    </w:p>
    <w:tbl>
      <w:tblPr>
        <w:tblW w:w="9055" w:type="dxa"/>
        <w:tblInd w:w="878" w:type="dxa"/>
        <w:tblCellMar>
          <w:left w:w="0" w:type="dxa"/>
          <w:right w:w="0" w:type="dxa"/>
        </w:tblCellMar>
        <w:tblLook w:val="04A0" w:firstRow="1" w:lastRow="0" w:firstColumn="1" w:lastColumn="0" w:noHBand="0" w:noVBand="1"/>
      </w:tblPr>
      <w:tblGrid>
        <w:gridCol w:w="3158"/>
        <w:gridCol w:w="1240"/>
        <w:gridCol w:w="1340"/>
        <w:gridCol w:w="1060"/>
        <w:gridCol w:w="1037"/>
        <w:gridCol w:w="1220"/>
      </w:tblGrid>
      <w:tr w:rsidR="00290BBF" w:rsidRPr="00BD7CEA" w:rsidTr="00B97CF5">
        <w:trPr>
          <w:trHeight w:val="900"/>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BD7CEA" w:rsidRDefault="009B3FA2" w:rsidP="00026546">
            <w:pPr>
              <w:jc w:val="center"/>
              <w:rPr>
                <w:rFonts w:eastAsia="Calibri" w:cs="Tahoma"/>
                <w:b/>
                <w:bCs/>
                <w:szCs w:val="18"/>
              </w:rPr>
            </w:pPr>
            <w:r w:rsidRPr="00BD7CEA">
              <w:rPr>
                <w:rFonts w:cs="Tahoma"/>
                <w:b/>
                <w:bCs/>
                <w:szCs w:val="18"/>
              </w:rPr>
              <w:t>Sistemi Operativi Qualificanti</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BD7CEA" w:rsidRDefault="00B73A46" w:rsidP="009B3FA2">
            <w:pPr>
              <w:jc w:val="center"/>
              <w:rPr>
                <w:rFonts w:eastAsia="Calibri" w:cs="Tahoma"/>
                <w:b/>
                <w:bCs/>
                <w:sz w:val="16"/>
                <w:szCs w:val="18"/>
              </w:rPr>
            </w:pPr>
            <w:r w:rsidRPr="00BD7CEA">
              <w:rPr>
                <w:rFonts w:cs="Tahoma"/>
                <w:b/>
                <w:bCs/>
                <w:sz w:val="16"/>
                <w:szCs w:val="18"/>
              </w:rPr>
              <w:t>Nuovo EA/</w:t>
            </w:r>
            <w:r w:rsidRPr="00BD7CEA">
              <w:rPr>
                <w:rFonts w:cs="Tahoma"/>
                <w:b/>
                <w:bCs/>
                <w:sz w:val="16"/>
                <w:szCs w:val="18"/>
              </w:rPr>
              <w:br/>
              <w:t>OV-CW</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BD7CEA" w:rsidRDefault="00B73A46" w:rsidP="009B3FA2">
            <w:pPr>
              <w:jc w:val="center"/>
              <w:rPr>
                <w:rFonts w:eastAsia="Calibri" w:cs="Tahoma"/>
                <w:b/>
                <w:bCs/>
                <w:sz w:val="16"/>
                <w:szCs w:val="18"/>
              </w:rPr>
            </w:pPr>
            <w:r w:rsidRPr="00BD7CEA">
              <w:rPr>
                <w:rFonts w:cs="Tahoma"/>
                <w:b/>
                <w:bCs/>
                <w:sz w:val="16"/>
                <w:szCs w:val="18"/>
              </w:rPr>
              <w:t>EA/OV-CW Esistente</w:t>
            </w:r>
          </w:p>
        </w:tc>
        <w:tc>
          <w:tcPr>
            <w:tcW w:w="106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BD7CEA" w:rsidRDefault="00B73A46" w:rsidP="009B3FA2">
            <w:pPr>
              <w:jc w:val="center"/>
              <w:rPr>
                <w:rFonts w:eastAsia="Calibri" w:cs="Tahoma"/>
                <w:b/>
                <w:bCs/>
                <w:sz w:val="16"/>
                <w:szCs w:val="18"/>
              </w:rPr>
            </w:pPr>
            <w:r w:rsidRPr="00BD7CEA">
              <w:rPr>
                <w:rFonts w:cs="Tahoma"/>
                <w:b/>
                <w:bCs/>
                <w:sz w:val="16"/>
                <w:szCs w:val="18"/>
              </w:rPr>
              <w:t>Select (Tutti tranne Academic)</w:t>
            </w:r>
          </w:p>
        </w:tc>
        <w:tc>
          <w:tcPr>
            <w:tcW w:w="1037"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BD7CEA" w:rsidRDefault="00B73A46" w:rsidP="001B15A5">
            <w:pPr>
              <w:jc w:val="center"/>
              <w:rPr>
                <w:rFonts w:eastAsia="Calibri" w:cs="Tahoma"/>
                <w:b/>
                <w:bCs/>
                <w:sz w:val="16"/>
                <w:szCs w:val="18"/>
              </w:rPr>
            </w:pPr>
            <w:r w:rsidRPr="00BD7CEA">
              <w:rPr>
                <w:rFonts w:cs="Tahoma"/>
                <w:b/>
                <w:bCs/>
                <w:sz w:val="16"/>
                <w:szCs w:val="18"/>
              </w:rPr>
              <w:t>Open (Tutti tranne Academic, Charity &amp; OV-CW)</w:t>
            </w:r>
          </w:p>
        </w:tc>
        <w:tc>
          <w:tcPr>
            <w:tcW w:w="122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BD7CEA" w:rsidRDefault="00B73A46" w:rsidP="0050116B">
            <w:pPr>
              <w:jc w:val="center"/>
              <w:rPr>
                <w:rFonts w:eastAsia="Calibri" w:cs="Tahoma"/>
                <w:b/>
                <w:bCs/>
                <w:sz w:val="16"/>
                <w:szCs w:val="18"/>
              </w:rPr>
            </w:pPr>
            <w:r w:rsidRPr="00BD7CEA">
              <w:rPr>
                <w:rFonts w:cs="Tahoma"/>
                <w:b/>
                <w:bCs/>
                <w:sz w:val="16"/>
                <w:szCs w:val="18"/>
              </w:rPr>
              <w:t>Academic &amp; Charity</w:t>
            </w:r>
          </w:p>
        </w:tc>
      </w:tr>
      <w:tr w:rsidR="008643A3" w:rsidRPr="00BD7CEA" w:rsidTr="00B97CF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BD7CEA" w:rsidRDefault="008643A3" w:rsidP="00713A6C">
            <w:pPr>
              <w:rPr>
                <w:rFonts w:cs="Tahoma"/>
                <w:b/>
                <w:bCs/>
                <w:szCs w:val="18"/>
              </w:rPr>
            </w:pPr>
            <w:r w:rsidRPr="00BD7CEA">
              <w:rPr>
                <w:rFonts w:cs="Tahoma"/>
                <w:b/>
                <w:bCs/>
                <w:szCs w:val="18"/>
              </w:rPr>
              <w:t>Windows 8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D7CEA" w:rsidRDefault="008643A3"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D7CEA" w:rsidRDefault="008643A3" w:rsidP="00713A6C">
            <w:pPr>
              <w:jc w:val="center"/>
              <w:rPr>
                <w:rFonts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D7CEA" w:rsidRDefault="008643A3" w:rsidP="00713A6C">
            <w:pPr>
              <w:jc w:val="center"/>
              <w:rPr>
                <w:rFonts w:cs="Tahoma"/>
                <w:szCs w:val="18"/>
              </w:rPr>
            </w:pP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D7CEA"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D7CEA" w:rsidRDefault="008643A3" w:rsidP="00713A6C">
            <w:pPr>
              <w:jc w:val="center"/>
              <w:rPr>
                <w:rFonts w:cs="Tahoma"/>
                <w:szCs w:val="18"/>
              </w:rPr>
            </w:pPr>
          </w:p>
        </w:tc>
      </w:tr>
      <w:tr w:rsidR="008643A3" w:rsidRPr="00BD7CEA" w:rsidTr="00B97CF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BD7CEA" w:rsidRDefault="008643A3" w:rsidP="00EF7CDD">
            <w:pPr>
              <w:ind w:left="522"/>
              <w:rPr>
                <w:rFonts w:cs="Tahoma"/>
                <w:b/>
                <w:bCs/>
                <w:szCs w:val="18"/>
              </w:rPr>
            </w:pPr>
            <w:r w:rsidRPr="00BD7CEA">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D7CEA" w:rsidRDefault="006C2A69" w:rsidP="00713A6C">
            <w:pPr>
              <w:jc w:val="center"/>
              <w:rPr>
                <w:rFonts w:cs="Tahoma"/>
                <w:szCs w:val="18"/>
              </w:rPr>
            </w:pPr>
            <w:r w:rsidRPr="00BD7CEA">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D7CEA" w:rsidRDefault="006C2A69" w:rsidP="00713A6C">
            <w:pPr>
              <w:jc w:val="center"/>
              <w:rPr>
                <w:rFonts w:cs="Tahoma"/>
                <w:szCs w:val="18"/>
              </w:rPr>
            </w:pPr>
            <w:r w:rsidRPr="00BD7CEA">
              <w:rPr>
                <w:rFonts w:cs="Tahoma"/>
                <w:szCs w:val="18"/>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D7CEA" w:rsidRDefault="006C2A69" w:rsidP="00713A6C">
            <w:pPr>
              <w:jc w:val="center"/>
              <w:rPr>
                <w:rFonts w:cs="Tahoma"/>
                <w:szCs w:val="18"/>
              </w:rPr>
            </w:pPr>
            <w:r w:rsidRPr="00BD7CEA">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D7CEA" w:rsidRDefault="006C2A69" w:rsidP="00713A6C">
            <w:pPr>
              <w:jc w:val="center"/>
              <w:rPr>
                <w:rFonts w:cs="Tahoma"/>
                <w:szCs w:val="18"/>
              </w:rPr>
            </w:pPr>
            <w:r w:rsidRPr="00BD7CEA">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D7CEA" w:rsidRDefault="008335B9" w:rsidP="00713A6C">
            <w:pPr>
              <w:jc w:val="center"/>
              <w:rPr>
                <w:rFonts w:cs="Tahoma"/>
                <w:szCs w:val="18"/>
              </w:rPr>
            </w:pPr>
            <w:r w:rsidRPr="00BD7CEA">
              <w:rPr>
                <w:rFonts w:cs="Tahoma"/>
                <w:szCs w:val="18"/>
              </w:rPr>
              <w:t>x</w:t>
            </w:r>
          </w:p>
        </w:tc>
      </w:tr>
      <w:tr w:rsidR="008643A3" w:rsidRPr="00BD7CEA" w:rsidTr="00B97CF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BD7CEA" w:rsidRDefault="006C2A69" w:rsidP="00394D71">
            <w:pPr>
              <w:ind w:left="522"/>
              <w:rPr>
                <w:rFonts w:cs="Tahoma"/>
                <w:b/>
                <w:bCs/>
                <w:szCs w:val="18"/>
              </w:rPr>
            </w:pPr>
            <w:r w:rsidRPr="00BD7CEA">
              <w:rPr>
                <w:rFonts w:cs="Tahoma"/>
                <w:szCs w:val="18"/>
              </w:rPr>
              <w:t>Pro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D7CEA" w:rsidRDefault="006C2A69" w:rsidP="00713A6C">
            <w:pPr>
              <w:jc w:val="center"/>
              <w:rPr>
                <w:rFonts w:cs="Tahoma"/>
                <w:szCs w:val="18"/>
              </w:rPr>
            </w:pPr>
            <w:r w:rsidRPr="00BD7CEA">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D7CEA" w:rsidRDefault="006C2A69" w:rsidP="00713A6C">
            <w:pPr>
              <w:jc w:val="center"/>
              <w:rPr>
                <w:rFonts w:cs="Tahoma"/>
                <w:szCs w:val="18"/>
              </w:rPr>
            </w:pPr>
            <w:r w:rsidRPr="00BD7CEA">
              <w:rPr>
                <w:rFonts w:cs="Tahoma"/>
                <w:szCs w:val="18"/>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D7CEA" w:rsidRDefault="006C2A69" w:rsidP="00713A6C">
            <w:pPr>
              <w:jc w:val="center"/>
              <w:rPr>
                <w:rFonts w:cs="Tahoma"/>
                <w:szCs w:val="18"/>
              </w:rPr>
            </w:pPr>
            <w:r w:rsidRPr="00BD7CEA">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D7CEA" w:rsidRDefault="006C2A69" w:rsidP="00713A6C">
            <w:pPr>
              <w:jc w:val="center"/>
              <w:rPr>
                <w:rFonts w:cs="Tahoma"/>
                <w:szCs w:val="18"/>
              </w:rPr>
            </w:pPr>
            <w:r w:rsidRPr="00BD7CEA">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D7CEA" w:rsidRDefault="008335B9" w:rsidP="00713A6C">
            <w:pPr>
              <w:jc w:val="center"/>
              <w:rPr>
                <w:rFonts w:cs="Tahoma"/>
                <w:szCs w:val="18"/>
              </w:rPr>
            </w:pPr>
            <w:r w:rsidRPr="00BD7CEA">
              <w:rPr>
                <w:rFonts w:cs="Tahoma"/>
                <w:szCs w:val="18"/>
              </w:rPr>
              <w:t>x</w:t>
            </w:r>
          </w:p>
        </w:tc>
      </w:tr>
      <w:tr w:rsidR="008643A3" w:rsidRPr="00BD7CEA" w:rsidTr="00B97CF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BD7CEA" w:rsidRDefault="006C2A69" w:rsidP="00EF7CDD">
            <w:pPr>
              <w:ind w:left="522"/>
              <w:rPr>
                <w:rFonts w:cs="Tahoma"/>
                <w:b/>
                <w:bCs/>
                <w:szCs w:val="18"/>
              </w:rPr>
            </w:pPr>
            <w:r w:rsidRPr="00BD7CEA">
              <w:rPr>
                <w:rFonts w:cs="Tahoma"/>
                <w:szCs w:val="18"/>
              </w:rPr>
              <w:t>Windows 8</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D7CEA" w:rsidRDefault="008643A3"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D7CEA" w:rsidRDefault="008643A3" w:rsidP="00713A6C">
            <w:pPr>
              <w:jc w:val="center"/>
              <w:rPr>
                <w:rFonts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D7CEA" w:rsidRDefault="008643A3" w:rsidP="00713A6C">
            <w:pPr>
              <w:jc w:val="center"/>
              <w:rPr>
                <w:rFonts w:cs="Tahoma"/>
                <w:szCs w:val="18"/>
              </w:rPr>
            </w:pP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D7CEA"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D7CEA" w:rsidRDefault="006C2A69" w:rsidP="00713A6C">
            <w:pPr>
              <w:jc w:val="center"/>
              <w:rPr>
                <w:rFonts w:cs="Tahoma"/>
                <w:szCs w:val="18"/>
              </w:rPr>
            </w:pPr>
            <w:r w:rsidRPr="00BD7CEA">
              <w:rPr>
                <w:rFonts w:cs="Tahoma"/>
                <w:szCs w:val="18"/>
              </w:rPr>
              <w:t>x</w:t>
            </w:r>
          </w:p>
        </w:tc>
      </w:tr>
      <w:tr w:rsidR="00EF7CDD" w:rsidRPr="00BD7CEA" w:rsidTr="00B97CF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F7CDD" w:rsidRPr="00BD7CEA" w:rsidRDefault="00EF7CDD" w:rsidP="00EF7CDD">
            <w:pPr>
              <w:ind w:left="522"/>
              <w:rPr>
                <w:rFonts w:cs="Tahoma"/>
                <w:szCs w:val="18"/>
              </w:rPr>
            </w:pPr>
            <w:r w:rsidRPr="00BD7CEA">
              <w:rPr>
                <w:rFonts w:cs="Tahoma"/>
                <w:szCs w:val="18"/>
              </w:rPr>
              <w:t>Windows 8 Single Language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BD7CEA" w:rsidRDefault="00EF7CDD"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BD7CEA" w:rsidRDefault="00EF7CDD" w:rsidP="00713A6C">
            <w:pPr>
              <w:jc w:val="center"/>
              <w:rPr>
                <w:rFonts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BD7CEA" w:rsidRDefault="00EF7CDD" w:rsidP="00713A6C">
            <w:pPr>
              <w:jc w:val="center"/>
              <w:rPr>
                <w:rFonts w:cs="Tahoma"/>
                <w:szCs w:val="18"/>
              </w:rPr>
            </w:pP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BD7CEA" w:rsidRDefault="00EF7CDD"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BD7CEA" w:rsidRDefault="00EF7CDD" w:rsidP="00713A6C">
            <w:pPr>
              <w:jc w:val="center"/>
              <w:rPr>
                <w:rFonts w:cs="Tahoma"/>
                <w:szCs w:val="18"/>
              </w:rPr>
            </w:pPr>
            <w:r w:rsidRPr="00BD7CEA">
              <w:rPr>
                <w:rFonts w:cs="Tahoma"/>
                <w:szCs w:val="18"/>
              </w:rPr>
              <w:t>x</w:t>
            </w:r>
          </w:p>
        </w:tc>
      </w:tr>
      <w:tr w:rsidR="00290BBF" w:rsidRPr="00BD7CEA" w:rsidTr="00B97CF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rPr>
                <w:rFonts w:eastAsia="Calibri" w:cs="Tahoma"/>
                <w:b/>
                <w:bCs/>
                <w:szCs w:val="18"/>
              </w:rPr>
            </w:pPr>
            <w:r w:rsidRPr="00BD7CEA">
              <w:rPr>
                <w:rFonts w:cs="Tahoma"/>
                <w:b/>
                <w:bCs/>
                <w:szCs w:val="18"/>
              </w:rPr>
              <w:t>Windows 7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 </w:t>
            </w:r>
          </w:p>
        </w:tc>
      </w:tr>
      <w:tr w:rsidR="00290BBF" w:rsidRPr="00BD7CEA" w:rsidTr="00B97CF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ind w:firstLine="540"/>
              <w:rPr>
                <w:rFonts w:eastAsia="Calibri" w:cs="Tahoma"/>
                <w:szCs w:val="18"/>
              </w:rPr>
            </w:pPr>
            <w:r w:rsidRPr="00BD7CEA">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x</w:t>
            </w:r>
          </w:p>
        </w:tc>
      </w:tr>
      <w:tr w:rsidR="00290BBF" w:rsidRPr="00BD7CEA" w:rsidTr="00B97CF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D47417">
            <w:pPr>
              <w:ind w:left="522" w:firstLine="18"/>
              <w:rPr>
                <w:rFonts w:eastAsia="Calibri" w:cs="Tahoma"/>
                <w:szCs w:val="18"/>
              </w:rPr>
            </w:pPr>
            <w:r w:rsidRPr="00BD7CEA">
              <w:rPr>
                <w:rFonts w:cs="Tahoma"/>
                <w:szCs w:val="18"/>
              </w:rPr>
              <w:t>Professional (N, K, KN, diskless)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x</w:t>
            </w:r>
          </w:p>
        </w:tc>
      </w:tr>
      <w:tr w:rsidR="00290BBF" w:rsidRPr="00BD7CEA" w:rsidTr="00B97CF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ind w:firstLine="540"/>
              <w:rPr>
                <w:rFonts w:eastAsia="Calibri" w:cs="Tahoma"/>
                <w:szCs w:val="18"/>
              </w:rPr>
            </w:pPr>
            <w:r w:rsidRPr="00BD7CEA">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x</w:t>
            </w:r>
          </w:p>
        </w:tc>
      </w:tr>
      <w:tr w:rsidR="00290BBF" w:rsidRPr="00BD7CEA" w:rsidTr="00B97CF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ind w:firstLine="540"/>
              <w:rPr>
                <w:rFonts w:eastAsia="Calibri" w:cs="Tahoma"/>
                <w:szCs w:val="18"/>
              </w:rPr>
            </w:pPr>
            <w:r w:rsidRPr="00BD7CEA">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x</w:t>
            </w:r>
          </w:p>
        </w:tc>
      </w:tr>
      <w:tr w:rsidR="00290BBF" w:rsidRPr="00BD7CEA" w:rsidTr="00B97CF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ind w:firstLine="540"/>
              <w:rPr>
                <w:rFonts w:eastAsia="Calibri" w:cs="Tahoma"/>
                <w:szCs w:val="18"/>
              </w:rPr>
            </w:pPr>
            <w:r w:rsidRPr="00BD7CEA">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x</w:t>
            </w:r>
          </w:p>
        </w:tc>
      </w:tr>
      <w:tr w:rsidR="00290BBF" w:rsidRPr="00BD7CEA" w:rsidTr="00B97CF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EF7CDD">
            <w:pPr>
              <w:ind w:left="522"/>
              <w:rPr>
                <w:rFonts w:eastAsia="Calibri" w:cs="Tahoma"/>
                <w:szCs w:val="18"/>
              </w:rPr>
            </w:pPr>
            <w:r w:rsidRPr="00BD7CEA">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D7CEA" w:rsidRDefault="00B73A46" w:rsidP="00713A6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D7CEA" w:rsidRDefault="00B73A46" w:rsidP="00713A6C">
            <w:pPr>
              <w:jc w:val="center"/>
              <w:rPr>
                <w:rFonts w:eastAsia="Calibri"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D7CEA" w:rsidRDefault="00B73A46" w:rsidP="00713A6C">
            <w:pPr>
              <w:jc w:val="center"/>
              <w:rPr>
                <w:rFonts w:eastAsia="Calibri" w:cs="Tahoma"/>
                <w:szCs w:val="18"/>
              </w:rPr>
            </w:pP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D7CEA"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x</w:t>
            </w:r>
          </w:p>
        </w:tc>
      </w:tr>
      <w:tr w:rsidR="00290BBF" w:rsidRPr="00BD7CEA" w:rsidTr="00B97CF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rPr>
                <w:rFonts w:eastAsia="Calibri" w:cs="Tahoma"/>
                <w:b/>
                <w:bCs/>
                <w:szCs w:val="18"/>
              </w:rPr>
            </w:pPr>
            <w:r w:rsidRPr="00BD7CEA">
              <w:rPr>
                <w:rFonts w:cs="Tahoma"/>
                <w:b/>
                <w:bCs/>
                <w:szCs w:val="18"/>
              </w:rPr>
              <w:t>Windows Vista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 </w:t>
            </w:r>
          </w:p>
        </w:tc>
      </w:tr>
      <w:tr w:rsidR="00290BBF" w:rsidRPr="00BD7CEA" w:rsidTr="00B97CF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ind w:firstLine="540"/>
              <w:rPr>
                <w:rFonts w:eastAsia="Calibri" w:cs="Tahoma"/>
                <w:szCs w:val="18"/>
              </w:rPr>
            </w:pPr>
            <w:r w:rsidRPr="00BD7CEA">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D7CEA" w:rsidRDefault="00B73A46" w:rsidP="00713A6C">
            <w:pPr>
              <w:jc w:val="center"/>
              <w:rPr>
                <w:rFonts w:eastAsia="Calibri"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x</w:t>
            </w:r>
          </w:p>
        </w:tc>
      </w:tr>
      <w:tr w:rsidR="00290BBF" w:rsidRPr="00BD7CEA" w:rsidTr="00B97CF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ind w:firstLine="540"/>
              <w:rPr>
                <w:rFonts w:eastAsia="Calibri" w:cs="Tahoma"/>
                <w:szCs w:val="18"/>
              </w:rPr>
            </w:pPr>
            <w:r w:rsidRPr="00BD7CEA">
              <w:rPr>
                <w:rFonts w:cs="Tahoma"/>
                <w:szCs w:val="18"/>
              </w:rPr>
              <w:t>Business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D7CEA" w:rsidRDefault="00B73A46" w:rsidP="00713A6C">
            <w:pPr>
              <w:jc w:val="center"/>
              <w:rPr>
                <w:rFonts w:eastAsia="Calibri"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x</w:t>
            </w:r>
          </w:p>
        </w:tc>
      </w:tr>
      <w:tr w:rsidR="00290BBF" w:rsidRPr="00BD7CEA" w:rsidTr="00B97CF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ind w:firstLine="540"/>
              <w:rPr>
                <w:rFonts w:eastAsia="Calibri" w:cs="Tahoma"/>
                <w:szCs w:val="18"/>
              </w:rPr>
            </w:pPr>
            <w:r w:rsidRPr="00BD7CEA">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D7CEA" w:rsidRDefault="00B73A46" w:rsidP="00713A6C">
            <w:pPr>
              <w:jc w:val="center"/>
              <w:rPr>
                <w:rFonts w:eastAsia="Calibri"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x</w:t>
            </w:r>
          </w:p>
        </w:tc>
      </w:tr>
      <w:tr w:rsidR="00290BBF" w:rsidRPr="00BD7CEA" w:rsidTr="00B97CF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ind w:firstLine="540"/>
              <w:rPr>
                <w:rFonts w:eastAsia="Calibri" w:cs="Tahoma"/>
                <w:szCs w:val="18"/>
              </w:rPr>
            </w:pPr>
            <w:r w:rsidRPr="00BD7CEA">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D7CEA" w:rsidRDefault="00B73A46" w:rsidP="00713A6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D7CEA" w:rsidRDefault="00B73A46" w:rsidP="00713A6C">
            <w:pPr>
              <w:jc w:val="center"/>
              <w:rPr>
                <w:rFonts w:eastAsia="Calibri"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D7CEA" w:rsidRDefault="00B73A46" w:rsidP="00713A6C">
            <w:pPr>
              <w:jc w:val="center"/>
              <w:rPr>
                <w:rFonts w:eastAsia="Calibri" w:cs="Tahoma"/>
                <w:szCs w:val="18"/>
              </w:rPr>
            </w:pP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D7CEA"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x</w:t>
            </w:r>
          </w:p>
        </w:tc>
      </w:tr>
      <w:tr w:rsidR="00290BBF" w:rsidRPr="00BD7CEA" w:rsidTr="00B97CF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ind w:firstLine="540"/>
              <w:rPr>
                <w:rFonts w:eastAsia="Calibri" w:cs="Tahoma"/>
                <w:szCs w:val="18"/>
              </w:rPr>
            </w:pPr>
            <w:r w:rsidRPr="00BD7CEA">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x</w:t>
            </w:r>
          </w:p>
        </w:tc>
      </w:tr>
      <w:tr w:rsidR="00290BBF" w:rsidRPr="00BD7CEA" w:rsidTr="00B97CF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4C3222">
            <w:pPr>
              <w:ind w:left="522"/>
              <w:rPr>
                <w:rFonts w:eastAsia="Calibri" w:cs="Tahoma"/>
                <w:bCs/>
                <w:szCs w:val="18"/>
              </w:rPr>
            </w:pPr>
            <w:r w:rsidRPr="00BD7CEA">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x</w:t>
            </w:r>
          </w:p>
        </w:tc>
      </w:tr>
      <w:tr w:rsidR="00290BBF" w:rsidRPr="00BD7CEA" w:rsidTr="00B97CF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rPr>
                <w:rFonts w:eastAsia="Calibri" w:cs="Tahoma"/>
                <w:b/>
                <w:szCs w:val="18"/>
              </w:rPr>
            </w:pPr>
            <w:r w:rsidRPr="00BD7CEA">
              <w:rPr>
                <w:rFonts w:cs="Tahoma"/>
                <w:b/>
                <w:bCs/>
                <w:szCs w:val="18"/>
              </w:rPr>
              <w:t>Windows XP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 </w:t>
            </w:r>
          </w:p>
        </w:tc>
      </w:tr>
      <w:tr w:rsidR="00290BBF" w:rsidRPr="00BD7CEA" w:rsidTr="00B97CF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ind w:left="564"/>
              <w:rPr>
                <w:rFonts w:eastAsia="Calibri" w:cs="Tahoma"/>
                <w:szCs w:val="18"/>
                <w:lang w:val="pt-BR"/>
              </w:rPr>
            </w:pPr>
            <w:r w:rsidRPr="00BD7CEA">
              <w:rPr>
                <w:rFonts w:cs="Tahoma"/>
                <w:szCs w:val="18"/>
              </w:rPr>
              <w:t>Professional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D7CEA" w:rsidRDefault="00B73A46" w:rsidP="00713A6C">
            <w:pPr>
              <w:jc w:val="center"/>
              <w:rPr>
                <w:rFonts w:eastAsia="Calibri"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x</w:t>
            </w:r>
          </w:p>
        </w:tc>
      </w:tr>
      <w:tr w:rsidR="00290BBF" w:rsidRPr="00BD7CEA" w:rsidTr="00B97CF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ind w:left="564"/>
              <w:rPr>
                <w:rFonts w:eastAsia="Calibri" w:cs="Tahoma"/>
                <w:szCs w:val="18"/>
              </w:rPr>
            </w:pPr>
            <w:r w:rsidRPr="00BD7CEA">
              <w:rPr>
                <w:rFonts w:cs="Tahoma"/>
                <w:szCs w:val="18"/>
              </w:rPr>
              <w:t>Tablet Edition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D7CEA" w:rsidRDefault="00B73A46" w:rsidP="00713A6C">
            <w:pPr>
              <w:jc w:val="center"/>
              <w:rPr>
                <w:rFonts w:eastAsia="Calibri"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x</w:t>
            </w:r>
          </w:p>
        </w:tc>
      </w:tr>
      <w:tr w:rsidR="00290BBF" w:rsidRPr="00BD7CEA" w:rsidTr="00B97CF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ind w:left="564"/>
              <w:rPr>
                <w:rFonts w:eastAsia="Calibri" w:cs="Tahoma"/>
                <w:szCs w:val="18"/>
              </w:rPr>
            </w:pPr>
            <w:r w:rsidRPr="00BD7CEA">
              <w:rPr>
                <w:rFonts w:cs="Tahoma"/>
                <w:szCs w:val="18"/>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D7CEA" w:rsidRDefault="00B73A46" w:rsidP="00713A6C">
            <w:pPr>
              <w:jc w:val="center"/>
              <w:rPr>
                <w:rFonts w:eastAsia="Calibri"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x</w:t>
            </w:r>
          </w:p>
        </w:tc>
      </w:tr>
      <w:tr w:rsidR="00290BBF" w:rsidRPr="00BD7CEA" w:rsidTr="00B97CF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ind w:left="564"/>
              <w:rPr>
                <w:rFonts w:eastAsia="Calibri" w:cs="Tahoma"/>
                <w:szCs w:val="18"/>
              </w:rPr>
            </w:pPr>
            <w:r w:rsidRPr="00BD7CEA">
              <w:rPr>
                <w:rFonts w:cs="Tahoma"/>
                <w:szCs w:val="18"/>
              </w:rPr>
              <w:t>XP Pro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D7CEA" w:rsidRDefault="00B73A46" w:rsidP="00713A6C">
            <w:pPr>
              <w:jc w:val="center"/>
              <w:rPr>
                <w:rFonts w:eastAsia="Calibri"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x</w:t>
            </w:r>
          </w:p>
        </w:tc>
      </w:tr>
      <w:tr w:rsidR="00290BBF" w:rsidRPr="00BD7CEA" w:rsidTr="00B97CF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ind w:left="564"/>
              <w:rPr>
                <w:rFonts w:eastAsia="Calibri" w:cs="Tahoma"/>
                <w:szCs w:val="18"/>
              </w:rPr>
            </w:pPr>
            <w:r w:rsidRPr="00BD7CEA">
              <w:rPr>
                <w:rFonts w:cs="Tahoma"/>
                <w:szCs w:val="18"/>
              </w:rPr>
              <w:t>Home e 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x</w:t>
            </w:r>
          </w:p>
        </w:tc>
      </w:tr>
    </w:tbl>
    <w:p w:rsidR="00B97CF5" w:rsidRPr="00BD7CEA" w:rsidRDefault="00B97CF5">
      <w:r w:rsidRPr="00BD7CEA">
        <w:br w:type="page"/>
      </w:r>
    </w:p>
    <w:tbl>
      <w:tblPr>
        <w:tblW w:w="9055" w:type="dxa"/>
        <w:tblInd w:w="878" w:type="dxa"/>
        <w:tblCellMar>
          <w:left w:w="0" w:type="dxa"/>
          <w:right w:w="0" w:type="dxa"/>
        </w:tblCellMar>
        <w:tblLook w:val="04A0" w:firstRow="1" w:lastRow="0" w:firstColumn="1" w:lastColumn="0" w:noHBand="0" w:noVBand="1"/>
      </w:tblPr>
      <w:tblGrid>
        <w:gridCol w:w="3158"/>
        <w:gridCol w:w="1240"/>
        <w:gridCol w:w="1340"/>
        <w:gridCol w:w="1060"/>
        <w:gridCol w:w="1037"/>
        <w:gridCol w:w="1220"/>
      </w:tblGrid>
      <w:tr w:rsidR="00B97CF5" w:rsidRPr="00BD7CEA" w:rsidTr="00B97CF5">
        <w:trPr>
          <w:trHeight w:val="900"/>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B97CF5" w:rsidRPr="00BD7CEA" w:rsidRDefault="00B97CF5" w:rsidP="00A772FD">
            <w:pPr>
              <w:jc w:val="center"/>
              <w:rPr>
                <w:rFonts w:eastAsia="Calibri" w:cs="Tahoma"/>
                <w:b/>
                <w:bCs/>
                <w:szCs w:val="18"/>
              </w:rPr>
            </w:pPr>
            <w:r w:rsidRPr="00BD7CEA">
              <w:rPr>
                <w:rFonts w:cs="Tahoma"/>
                <w:b/>
                <w:bCs/>
                <w:szCs w:val="18"/>
              </w:rPr>
              <w:lastRenderedPageBreak/>
              <w:t>Sistemi Operativi Qualificanti</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97CF5" w:rsidRPr="00BD7CEA" w:rsidRDefault="00B97CF5" w:rsidP="00A772FD">
            <w:pPr>
              <w:jc w:val="center"/>
              <w:rPr>
                <w:rFonts w:eastAsia="Calibri" w:cs="Tahoma"/>
                <w:b/>
                <w:bCs/>
                <w:sz w:val="16"/>
                <w:szCs w:val="18"/>
              </w:rPr>
            </w:pPr>
            <w:r w:rsidRPr="00BD7CEA">
              <w:rPr>
                <w:rFonts w:cs="Tahoma"/>
                <w:b/>
                <w:bCs/>
                <w:sz w:val="16"/>
                <w:szCs w:val="18"/>
              </w:rPr>
              <w:t>Nuovo EA/</w:t>
            </w:r>
            <w:r w:rsidRPr="00BD7CEA">
              <w:rPr>
                <w:rFonts w:cs="Tahoma"/>
                <w:b/>
                <w:bCs/>
                <w:sz w:val="16"/>
                <w:szCs w:val="18"/>
              </w:rPr>
              <w:br/>
              <w:t>OV-CW</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97CF5" w:rsidRPr="00BD7CEA" w:rsidRDefault="00B97CF5" w:rsidP="00A772FD">
            <w:pPr>
              <w:jc w:val="center"/>
              <w:rPr>
                <w:rFonts w:eastAsia="Calibri" w:cs="Tahoma"/>
                <w:b/>
                <w:bCs/>
                <w:sz w:val="16"/>
                <w:szCs w:val="18"/>
              </w:rPr>
            </w:pPr>
            <w:r w:rsidRPr="00BD7CEA">
              <w:rPr>
                <w:rFonts w:cs="Tahoma"/>
                <w:b/>
                <w:bCs/>
                <w:sz w:val="16"/>
                <w:szCs w:val="18"/>
              </w:rPr>
              <w:t>EA/OV-CW Esistente</w:t>
            </w:r>
          </w:p>
        </w:tc>
        <w:tc>
          <w:tcPr>
            <w:tcW w:w="106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97CF5" w:rsidRPr="00BD7CEA" w:rsidRDefault="00B97CF5" w:rsidP="00A772FD">
            <w:pPr>
              <w:jc w:val="center"/>
              <w:rPr>
                <w:rFonts w:eastAsia="Calibri" w:cs="Tahoma"/>
                <w:b/>
                <w:bCs/>
                <w:sz w:val="16"/>
                <w:szCs w:val="18"/>
              </w:rPr>
            </w:pPr>
            <w:r w:rsidRPr="00BD7CEA">
              <w:rPr>
                <w:rFonts w:cs="Tahoma"/>
                <w:b/>
                <w:bCs/>
                <w:sz w:val="16"/>
                <w:szCs w:val="18"/>
              </w:rPr>
              <w:t>Select (Tutti tranne Academic)</w:t>
            </w:r>
          </w:p>
        </w:tc>
        <w:tc>
          <w:tcPr>
            <w:tcW w:w="1037"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97CF5" w:rsidRPr="00BD7CEA" w:rsidRDefault="00B97CF5" w:rsidP="00A772FD">
            <w:pPr>
              <w:jc w:val="center"/>
              <w:rPr>
                <w:rFonts w:eastAsia="Calibri" w:cs="Tahoma"/>
                <w:b/>
                <w:bCs/>
                <w:sz w:val="16"/>
                <w:szCs w:val="18"/>
              </w:rPr>
            </w:pPr>
            <w:r w:rsidRPr="00BD7CEA">
              <w:rPr>
                <w:rFonts w:cs="Tahoma"/>
                <w:b/>
                <w:bCs/>
                <w:sz w:val="16"/>
                <w:szCs w:val="18"/>
              </w:rPr>
              <w:t>Open (Tutti tranne Academic, Charity &amp; OV-CW)</w:t>
            </w:r>
          </w:p>
        </w:tc>
        <w:tc>
          <w:tcPr>
            <w:tcW w:w="122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97CF5" w:rsidRPr="00BD7CEA" w:rsidRDefault="00B97CF5" w:rsidP="00A772FD">
            <w:pPr>
              <w:jc w:val="center"/>
              <w:rPr>
                <w:rFonts w:eastAsia="Calibri" w:cs="Tahoma"/>
                <w:b/>
                <w:bCs/>
                <w:sz w:val="16"/>
                <w:szCs w:val="18"/>
              </w:rPr>
            </w:pPr>
            <w:r w:rsidRPr="00BD7CEA">
              <w:rPr>
                <w:rFonts w:cs="Tahoma"/>
                <w:b/>
                <w:bCs/>
                <w:sz w:val="16"/>
                <w:szCs w:val="18"/>
              </w:rPr>
              <w:t>Academic &amp; Charity</w:t>
            </w:r>
          </w:p>
        </w:tc>
      </w:tr>
      <w:tr w:rsidR="00290BBF" w:rsidRPr="00BD7CEA" w:rsidTr="00B97CF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BD7CEA" w:rsidRDefault="00B73A46" w:rsidP="00713A6C">
            <w:pPr>
              <w:rPr>
                <w:rFonts w:eastAsia="Calibri" w:cs="Tahoma"/>
                <w:b/>
                <w:szCs w:val="18"/>
              </w:rPr>
            </w:pPr>
            <w:r w:rsidRPr="00BD7CEA">
              <w:rPr>
                <w:rFonts w:cs="Tahoma"/>
                <w:b/>
                <w:bCs/>
                <w:szCs w:val="18"/>
              </w:rPr>
              <w:t>Windows 2000 Professional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x</w:t>
            </w:r>
          </w:p>
        </w:tc>
      </w:tr>
      <w:tr w:rsidR="00290BBF" w:rsidRPr="00BD7CEA" w:rsidTr="00B97CF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BD7CEA" w:rsidRDefault="00B73A46" w:rsidP="00713A6C">
            <w:pPr>
              <w:rPr>
                <w:rFonts w:eastAsia="Calibri" w:cs="Tahoma"/>
                <w:b/>
                <w:bCs/>
                <w:szCs w:val="18"/>
              </w:rPr>
            </w:pPr>
            <w:r w:rsidRPr="00BD7CEA">
              <w:rPr>
                <w:rFonts w:cs="Tahoma"/>
                <w:b/>
                <w:bCs/>
                <w:szCs w:val="18"/>
              </w:rPr>
              <w:t>Windows NT Workstation 4.0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x</w:t>
            </w:r>
          </w:p>
        </w:tc>
      </w:tr>
      <w:tr w:rsidR="00290BBF" w:rsidRPr="00BD7CEA" w:rsidTr="00B97CF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BD7CEA" w:rsidRDefault="00B73A46" w:rsidP="00B97CF5">
            <w:pPr>
              <w:rPr>
                <w:rFonts w:eastAsia="Calibri" w:cs="Tahoma"/>
                <w:b/>
                <w:bCs/>
                <w:szCs w:val="18"/>
              </w:rPr>
            </w:pPr>
            <w:r w:rsidRPr="00BD7CEA">
              <w:rPr>
                <w:rFonts w:cs="Tahoma"/>
                <w:b/>
                <w:bCs/>
                <w:szCs w:val="18"/>
              </w:rPr>
              <w:t>Windows 98 (inclusa la seconda</w:t>
            </w:r>
            <w:r w:rsidR="00B97CF5" w:rsidRPr="00BD7CEA">
              <w:rPr>
                <w:rFonts w:cs="Tahoma"/>
                <w:b/>
                <w:bCs/>
                <w:szCs w:val="18"/>
              </w:rPr>
              <w:t> </w:t>
            </w:r>
            <w:r w:rsidRPr="00BD7CEA">
              <w:rPr>
                <w:rFonts w:cs="Tahoma"/>
                <w:b/>
                <w:bCs/>
                <w:szCs w:val="18"/>
              </w:rPr>
              <w:t>versione)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x</w:t>
            </w:r>
          </w:p>
        </w:tc>
      </w:tr>
      <w:tr w:rsidR="00290BBF" w:rsidRPr="00BD7CEA" w:rsidTr="00B97CF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BD7CEA" w:rsidRDefault="00B73A46" w:rsidP="00713A6C">
            <w:pPr>
              <w:rPr>
                <w:rFonts w:eastAsia="Calibri" w:cs="Tahoma"/>
                <w:b/>
                <w:bCs/>
                <w:szCs w:val="18"/>
              </w:rPr>
            </w:pPr>
            <w:r w:rsidRPr="00BD7CEA">
              <w:rPr>
                <w:rFonts w:cs="Tahoma"/>
                <w:b/>
                <w:bCs/>
                <w:szCs w:val="18"/>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x</w:t>
            </w:r>
          </w:p>
        </w:tc>
      </w:tr>
    </w:tbl>
    <w:p w:rsidR="00B73A46" w:rsidRPr="00BD7CEA" w:rsidRDefault="00B73A46" w:rsidP="002A6416">
      <w:pPr>
        <w:ind w:left="770"/>
      </w:pPr>
      <w:r w:rsidRPr="00BD7CEA">
        <w:rPr>
          <w:rFonts w:cs="Tahoma"/>
          <w:bCs/>
          <w:i/>
          <w:iCs/>
          <w:sz w:val="14"/>
          <w:szCs w:val="14"/>
          <w:u w:val="single"/>
        </w:rPr>
        <w:t>Nota</w:t>
      </w:r>
      <w:r w:rsidRPr="00BD7CEA">
        <w:rPr>
          <w:rFonts w:cs="Tahoma"/>
          <w:i/>
          <w:iCs/>
          <w:sz w:val="14"/>
          <w:szCs w:val="14"/>
        </w:rPr>
        <w:t xml:space="preserve">: </w:t>
      </w:r>
      <w:r w:rsidRPr="00BD7CEA">
        <w:rPr>
          <w:rFonts w:cs="Tahoma"/>
          <w:i/>
          <w:iCs/>
          <w:sz w:val="14"/>
          <w:szCs w:val="14"/>
        </w:rPr>
        <w:br/>
        <w:t>Academic include i Programmi Contratto Campus e School, Open Value Subscription</w:t>
      </w:r>
      <w:r w:rsidR="00FD7C0D">
        <w:rPr>
          <w:rFonts w:cs="Tahoma"/>
          <w:i/>
          <w:iCs/>
          <w:sz w:val="14"/>
          <w:szCs w:val="14"/>
        </w:rPr>
        <w:t xml:space="preserve"> – </w:t>
      </w:r>
      <w:r w:rsidRPr="00BD7CEA">
        <w:rPr>
          <w:rFonts w:cs="Tahoma"/>
          <w:i/>
          <w:iCs/>
          <w:sz w:val="14"/>
          <w:szCs w:val="14"/>
        </w:rPr>
        <w:t>Education Solutions, Select</w:t>
      </w:r>
      <w:r w:rsidR="00FD7C0D">
        <w:rPr>
          <w:rFonts w:cs="Tahoma"/>
          <w:i/>
          <w:iCs/>
          <w:sz w:val="14"/>
          <w:szCs w:val="14"/>
        </w:rPr>
        <w:t xml:space="preserve"> – </w:t>
      </w:r>
      <w:r w:rsidRPr="00BD7CEA">
        <w:rPr>
          <w:rFonts w:cs="Tahoma"/>
          <w:i/>
          <w:iCs/>
          <w:sz w:val="14"/>
          <w:szCs w:val="14"/>
        </w:rPr>
        <w:t>Academic e Open</w:t>
      </w:r>
      <w:r w:rsidR="00FD7C0D">
        <w:rPr>
          <w:rFonts w:cs="Tahoma"/>
          <w:i/>
          <w:iCs/>
          <w:sz w:val="14"/>
          <w:szCs w:val="14"/>
        </w:rPr>
        <w:t xml:space="preserve"> – </w:t>
      </w:r>
      <w:r w:rsidRPr="00BD7CEA">
        <w:rPr>
          <w:rFonts w:cs="Tahoma"/>
          <w:i/>
          <w:iCs/>
          <w:sz w:val="14"/>
          <w:szCs w:val="14"/>
        </w:rPr>
        <w:t>Academic</w:t>
      </w:r>
      <w:r w:rsidRPr="00BD7CEA">
        <w:rPr>
          <w:rFonts w:cs="Tahoma"/>
          <w:i/>
          <w:iCs/>
          <w:sz w:val="14"/>
          <w:szCs w:val="14"/>
        </w:rPr>
        <w:br/>
        <w:t>EA = Contratto Enterprise</w:t>
      </w:r>
      <w:r w:rsidRPr="00BD7CEA">
        <w:rPr>
          <w:rFonts w:cs="Tahoma"/>
          <w:i/>
          <w:iCs/>
          <w:sz w:val="14"/>
          <w:szCs w:val="14"/>
        </w:rPr>
        <w:br/>
        <w:t>OV-CW = Open Value</w:t>
      </w:r>
      <w:r w:rsidR="00FD7C0D">
        <w:rPr>
          <w:rFonts w:cs="Tahoma"/>
          <w:i/>
          <w:iCs/>
          <w:sz w:val="14"/>
          <w:szCs w:val="14"/>
        </w:rPr>
        <w:t xml:space="preserve"> – </w:t>
      </w:r>
      <w:r w:rsidRPr="00BD7CEA">
        <w:rPr>
          <w:rFonts w:cs="Tahoma"/>
          <w:i/>
          <w:iCs/>
          <w:sz w:val="14"/>
          <w:szCs w:val="14"/>
        </w:rPr>
        <w:t>Opzione a livello aziendale</w:t>
      </w:r>
    </w:p>
    <w:p w:rsidR="00B73A46" w:rsidRPr="00BD7CEA" w:rsidRDefault="00B73A46" w:rsidP="002A6416">
      <w:pPr>
        <w:ind w:left="770"/>
      </w:pPr>
      <w:r w:rsidRPr="00BD7CEA">
        <w:rPr>
          <w:rFonts w:cs="Tahoma"/>
          <w:i/>
          <w:iCs/>
          <w:sz w:val="14"/>
          <w:szCs w:val="14"/>
        </w:rPr>
        <w:t>“N”, “K”</w:t>
      </w:r>
      <w:r w:rsidR="007A1415" w:rsidRPr="00BD7CEA">
        <w:rPr>
          <w:rFonts w:cs="Tahoma"/>
          <w:i/>
          <w:iCs/>
          <w:sz w:val="14"/>
          <w:szCs w:val="14"/>
        </w:rPr>
        <w:t>‘</w:t>
      </w:r>
      <w:r w:rsidRPr="00BD7CEA">
        <w:rPr>
          <w:rFonts w:cs="Tahoma"/>
          <w:i/>
          <w:iCs/>
          <w:sz w:val="14"/>
          <w:szCs w:val="14"/>
        </w:rPr>
        <w:t xml:space="preserve"> e “KN” sono edizioni specializzate disponibili su alcuni mercati.</w:t>
      </w:r>
    </w:p>
    <w:p w:rsidR="002512D3" w:rsidRPr="00BD7CEA" w:rsidRDefault="002512D3"/>
    <w:p w:rsidR="00B73A46" w:rsidRPr="00BD7CEA" w:rsidRDefault="00B73A46" w:rsidP="00B24C9D">
      <w:pPr>
        <w:ind w:left="720"/>
      </w:pPr>
      <w:r w:rsidRPr="00BD7CEA">
        <w:rPr>
          <w:rFonts w:cs="Tahoma"/>
          <w:szCs w:val="18"/>
        </w:rPr>
        <w:t>Le seguenti condizioni si applicano a Windows XP Starter Edition (SE), Windows Vista Starter Edition (SE) e</w:t>
      </w:r>
      <w:r w:rsidR="00B97CF5" w:rsidRPr="00BD7CEA">
        <w:rPr>
          <w:rFonts w:cs="Tahoma"/>
          <w:szCs w:val="18"/>
        </w:rPr>
        <w:t> </w:t>
      </w:r>
      <w:r w:rsidRPr="00BD7CEA">
        <w:rPr>
          <w:rFonts w:cs="Tahoma"/>
          <w:szCs w:val="18"/>
        </w:rPr>
        <w:t>Windows 7 Starter Edition:</w:t>
      </w:r>
    </w:p>
    <w:p w:rsidR="00B73A46" w:rsidRPr="00BD7CEA" w:rsidRDefault="00B73A46" w:rsidP="00B24C9D">
      <w:pPr>
        <w:ind w:left="720"/>
      </w:pPr>
    </w:p>
    <w:p w:rsidR="00B73A46" w:rsidRPr="00BD7CEA" w:rsidRDefault="00B73A46" w:rsidP="007358C5">
      <w:pPr>
        <w:pStyle w:val="ColorfulList-Accent11"/>
        <w:numPr>
          <w:ilvl w:val="0"/>
          <w:numId w:val="33"/>
        </w:numPr>
        <w:ind w:left="1440"/>
      </w:pPr>
      <w:r w:rsidRPr="00BD7CEA">
        <w:rPr>
          <w:rFonts w:ascii="Tahoma" w:hAnsi="Tahoma" w:cs="Tahoma"/>
          <w:sz w:val="18"/>
          <w:szCs w:val="18"/>
        </w:rPr>
        <w:t>Le società che hanno stipulato un contratto Academic (Academic Select, Academic Open, CASA e</w:t>
      </w:r>
      <w:r w:rsidR="00B97CF5" w:rsidRPr="00BD7CEA">
        <w:rPr>
          <w:rFonts w:ascii="Tahoma" w:hAnsi="Tahoma" w:cs="Tahoma"/>
          <w:sz w:val="18"/>
          <w:szCs w:val="18"/>
        </w:rPr>
        <w:t> </w:t>
      </w:r>
      <w:r w:rsidRPr="00BD7CEA">
        <w:rPr>
          <w:rFonts w:ascii="Tahoma" w:hAnsi="Tahoma" w:cs="Tahoma"/>
          <w:sz w:val="18"/>
          <w:szCs w:val="18"/>
        </w:rPr>
        <w:t>Open Value Subscription</w:t>
      </w:r>
      <w:r w:rsidR="00FD7C0D">
        <w:rPr>
          <w:rFonts w:ascii="Tahoma" w:hAnsi="Tahoma" w:cs="Tahoma"/>
          <w:sz w:val="18"/>
          <w:szCs w:val="18"/>
        </w:rPr>
        <w:t xml:space="preserve"> – </w:t>
      </w:r>
      <w:r w:rsidRPr="00BD7CEA">
        <w:rPr>
          <w:rFonts w:ascii="Tahoma" w:hAnsi="Tahoma" w:cs="Tahoma"/>
          <w:sz w:val="18"/>
          <w:szCs w:val="18"/>
        </w:rPr>
        <w:t>Education Solutions) sono autorizzate ad acquistare una licenza di Aggiornamento Windows utilizzando Windows XP Starter Edition, Windows Vista Starter Edition o</w:t>
      </w:r>
      <w:r w:rsidR="00B97CF5" w:rsidRPr="00BD7CEA">
        <w:rPr>
          <w:rFonts w:ascii="Tahoma" w:hAnsi="Tahoma" w:cs="Tahoma"/>
          <w:sz w:val="18"/>
          <w:szCs w:val="18"/>
        </w:rPr>
        <w:t> </w:t>
      </w:r>
      <w:r w:rsidRPr="00BD7CEA">
        <w:rPr>
          <w:rFonts w:ascii="Tahoma" w:hAnsi="Tahoma" w:cs="Tahoma"/>
          <w:sz w:val="18"/>
          <w:szCs w:val="18"/>
        </w:rPr>
        <w:t xml:space="preserve">Windows 7 Starter Edition come sistema operativo qualificante. </w:t>
      </w:r>
    </w:p>
    <w:p w:rsidR="00B73A46" w:rsidRPr="00BD7CEA" w:rsidRDefault="00B73A46" w:rsidP="00B24C9D">
      <w:pPr>
        <w:pStyle w:val="ColorfulList-Accent11"/>
        <w:rPr>
          <w:sz w:val="18"/>
          <w:szCs w:val="18"/>
        </w:rPr>
      </w:pPr>
    </w:p>
    <w:p w:rsidR="00B73A46" w:rsidRPr="00BD7CEA" w:rsidRDefault="00B73A46" w:rsidP="00B24C9D">
      <w:pPr>
        <w:pStyle w:val="ColorfulList-Accent11"/>
      </w:pPr>
      <w:r w:rsidRPr="00BD7CEA">
        <w:rPr>
          <w:rFonts w:ascii="Tahoma" w:hAnsi="Tahoma" w:cs="Tahoma"/>
          <w:sz w:val="18"/>
          <w:szCs w:val="18"/>
        </w:rPr>
        <w:t>Le società che acquistano l</w:t>
      </w:r>
      <w:r w:rsidR="007A1415" w:rsidRPr="00BD7CEA">
        <w:rPr>
          <w:rFonts w:ascii="Tahoma" w:hAnsi="Tahoma" w:cs="Tahoma"/>
          <w:sz w:val="18"/>
          <w:szCs w:val="18"/>
        </w:rPr>
        <w:t>’</w:t>
      </w:r>
      <w:r w:rsidRPr="00BD7CEA">
        <w:rPr>
          <w:rFonts w:ascii="Tahoma" w:hAnsi="Tahoma" w:cs="Tahoma"/>
          <w:sz w:val="18"/>
          <w:szCs w:val="18"/>
        </w:rPr>
        <w:t>aggiornamento su questa base rinunciano a qualunque diritto di trasferire la</w:t>
      </w:r>
      <w:r w:rsidR="00B97CF5" w:rsidRPr="00BD7CEA">
        <w:rPr>
          <w:rFonts w:ascii="Tahoma" w:hAnsi="Tahoma" w:cs="Tahoma"/>
          <w:sz w:val="18"/>
          <w:szCs w:val="18"/>
        </w:rPr>
        <w:t> </w:t>
      </w:r>
      <w:r w:rsidRPr="00BD7CEA">
        <w:rPr>
          <w:rFonts w:ascii="Tahoma" w:hAnsi="Tahoma" w:cs="Tahoma"/>
          <w:sz w:val="18"/>
          <w:szCs w:val="18"/>
        </w:rPr>
        <w:t xml:space="preserve">licenza al di fuori del paese in cui è stata acquistata. </w:t>
      </w:r>
    </w:p>
    <w:p w:rsidR="00B73A46" w:rsidRPr="00BD7CEA" w:rsidRDefault="00B73A46" w:rsidP="00B24C9D">
      <w:pPr>
        <w:pStyle w:val="EndnoteText"/>
        <w:ind w:left="360"/>
      </w:pPr>
    </w:p>
    <w:p w:rsidR="00B73A46" w:rsidRPr="00BD7CEA" w:rsidRDefault="00B73A46" w:rsidP="00B24C9D">
      <w:pPr>
        <w:pStyle w:val="FootnoteBulletLevel1"/>
        <w:tabs>
          <w:tab w:val="clear" w:pos="900"/>
        </w:tabs>
        <w:spacing w:before="0" w:after="0"/>
        <w:ind w:left="720" w:firstLine="0"/>
      </w:pPr>
      <w:r w:rsidRPr="00BD7CEA">
        <w:rPr>
          <w:rFonts w:ascii="Tahoma" w:hAnsi="Tahoma" w:cs="Tahoma"/>
          <w:sz w:val="18"/>
          <w:szCs w:val="18"/>
        </w:rPr>
        <w:t>I sistemi operativi non inclusi nel precedente elenco non sono OS qualificanti, ad esempio:</w:t>
      </w:r>
    </w:p>
    <w:p w:rsidR="00B24C9D" w:rsidRPr="00BD7CEA" w:rsidRDefault="00B24C9D" w:rsidP="00B24C9D">
      <w:pPr>
        <w:pStyle w:val="FootnoteBulletLevel1"/>
        <w:tabs>
          <w:tab w:val="clear" w:pos="900"/>
        </w:tabs>
        <w:spacing w:before="0" w:after="0"/>
        <w:ind w:left="720" w:firstLine="0"/>
      </w:pPr>
    </w:p>
    <w:p w:rsidR="00B73A46" w:rsidRPr="00BD7CEA" w:rsidRDefault="00B73A46" w:rsidP="007358C5">
      <w:pPr>
        <w:pStyle w:val="FootnoteBulletLevel2"/>
        <w:numPr>
          <w:ilvl w:val="0"/>
          <w:numId w:val="34"/>
        </w:numPr>
        <w:adjustRightInd/>
        <w:spacing w:before="0" w:after="60"/>
        <w:ind w:left="1440"/>
        <w:textAlignment w:val="auto"/>
      </w:pPr>
      <w:r w:rsidRPr="00BD7CEA">
        <w:rPr>
          <w:rFonts w:ascii="Tahoma" w:hAnsi="Tahoma" w:cs="Tahoma"/>
          <w:sz w:val="18"/>
          <w:szCs w:val="18"/>
        </w:rPr>
        <w:t>I Sistemi Incorporati (ad esempio Windows 9.x for embedded, Windows XP embedded) non si qualificano per gli Aggiornamenti per Windows 8 Pro.</w:t>
      </w:r>
    </w:p>
    <w:p w:rsidR="00B73A46" w:rsidRPr="00BD7CEA" w:rsidRDefault="00B73A46" w:rsidP="007358C5">
      <w:pPr>
        <w:pStyle w:val="FootnoteBulletLevel2"/>
        <w:numPr>
          <w:ilvl w:val="0"/>
          <w:numId w:val="34"/>
        </w:numPr>
        <w:adjustRightInd/>
        <w:spacing w:before="0" w:after="60"/>
        <w:ind w:left="1440"/>
        <w:textAlignment w:val="auto"/>
      </w:pPr>
      <w:r w:rsidRPr="00BD7CEA">
        <w:rPr>
          <w:rFonts w:ascii="Tahoma" w:hAnsi="Tahoma" w:cs="Tahoma"/>
          <w:sz w:val="18"/>
          <w:szCs w:val="18"/>
        </w:rPr>
        <w:t>Linux o OS/2 non si qualifica per gli Aggiornamenti per Windows 8 Pro.</w:t>
      </w:r>
    </w:p>
    <w:p w:rsidR="00B73A46" w:rsidRPr="00BD7CEA" w:rsidRDefault="00B73A46" w:rsidP="007358C5">
      <w:pPr>
        <w:pStyle w:val="FootnoteBulletLevel2"/>
        <w:numPr>
          <w:ilvl w:val="0"/>
          <w:numId w:val="34"/>
        </w:numPr>
        <w:adjustRightInd/>
        <w:spacing w:before="0" w:after="60"/>
        <w:ind w:left="1440"/>
        <w:textAlignment w:val="auto"/>
      </w:pPr>
      <w:r w:rsidRPr="00BD7CEA">
        <w:rPr>
          <w:rFonts w:ascii="Tahoma" w:hAnsi="Tahoma" w:cs="Tahoma"/>
          <w:sz w:val="18"/>
          <w:szCs w:val="18"/>
        </w:rPr>
        <w:t>La Licenza CAL per i Servizi Terminal di Windows non si qualifica per gli Aggiornamenti per Windows 8 Pro.</w:t>
      </w:r>
    </w:p>
    <w:p w:rsidR="00B24C9D" w:rsidRPr="00BD7CEA" w:rsidRDefault="00B24C9D" w:rsidP="00B24C9D">
      <w:pPr>
        <w:pStyle w:val="FootnoteBulletLevel2"/>
        <w:tabs>
          <w:tab w:val="clear" w:pos="1260"/>
        </w:tabs>
        <w:adjustRightInd/>
        <w:spacing w:before="0"/>
        <w:ind w:left="1080" w:firstLine="0"/>
        <w:textAlignment w:val="auto"/>
      </w:pPr>
    </w:p>
    <w:p w:rsidR="00B24C9D" w:rsidRPr="00BD7CEA" w:rsidRDefault="00B73A46" w:rsidP="00B24C9D">
      <w:pPr>
        <w:pStyle w:val="FootnoteBulletLevel2"/>
        <w:tabs>
          <w:tab w:val="clear" w:pos="1260"/>
        </w:tabs>
        <w:spacing w:before="0"/>
        <w:ind w:left="720" w:firstLine="0"/>
      </w:pPr>
      <w:r w:rsidRPr="00BD7CEA">
        <w:rPr>
          <w:rFonts w:ascii="Tahoma" w:hAnsi="Tahoma" w:cs="Tahoma"/>
          <w:sz w:val="18"/>
          <w:szCs w:val="18"/>
        </w:rPr>
        <w:t>I seguenti requisiti sono applicabili al re-imaging di Windows:</w:t>
      </w:r>
    </w:p>
    <w:p w:rsidR="00B73A46" w:rsidRPr="00BD7CEA" w:rsidRDefault="00B73A46" w:rsidP="00B24C9D">
      <w:pPr>
        <w:pStyle w:val="FootnoteBulletLevel2"/>
        <w:tabs>
          <w:tab w:val="clear" w:pos="1260"/>
        </w:tabs>
        <w:spacing w:before="0"/>
        <w:ind w:left="720" w:firstLine="0"/>
      </w:pPr>
      <w:r w:rsidRPr="00BD7CEA">
        <w:rPr>
          <w:rFonts w:ascii="Tahoma" w:hAnsi="Tahoma" w:cs="Tahoma"/>
          <w:sz w:val="18"/>
          <w:szCs w:val="18"/>
        </w:rPr>
        <w:t xml:space="preserve"> </w:t>
      </w:r>
    </w:p>
    <w:p w:rsidR="00B73A46" w:rsidRPr="00BD7CEA" w:rsidRDefault="00B73A46" w:rsidP="00B24C9D">
      <w:pPr>
        <w:pStyle w:val="FootnoteBulletLevel2"/>
        <w:tabs>
          <w:tab w:val="clear" w:pos="1260"/>
        </w:tabs>
        <w:spacing w:before="0"/>
        <w:ind w:left="720" w:firstLine="0"/>
        <w:rPr>
          <w:spacing w:val="-2"/>
        </w:rPr>
      </w:pPr>
      <w:r w:rsidRPr="00BD7CEA">
        <w:rPr>
          <w:rFonts w:ascii="Tahoma" w:hAnsi="Tahoma" w:cs="Tahoma"/>
          <w:spacing w:val="-2"/>
          <w:sz w:val="18"/>
          <w:szCs w:val="18"/>
        </w:rPr>
        <w:t xml:space="preserve">Qualora un terzo effettui il re-imaging di Windows sui PC di una società, la società dovrà prima di tutto fornire a tale terzo (a) un modulo compilato relativo alla Verifica della Licenza Microsoft della Società per </w:t>
      </w:r>
      <w:r w:rsidR="00B97CF5" w:rsidRPr="00BD7CEA">
        <w:rPr>
          <w:rFonts w:ascii="Tahoma" w:hAnsi="Tahoma" w:cs="Tahoma"/>
          <w:spacing w:val="-2"/>
          <w:sz w:val="18"/>
          <w:szCs w:val="18"/>
        </w:rPr>
        <w:t>I </w:t>
      </w:r>
      <w:r w:rsidRPr="00BD7CEA">
        <w:rPr>
          <w:rFonts w:ascii="Tahoma" w:hAnsi="Tahoma" w:cs="Tahoma"/>
          <w:spacing w:val="-2"/>
          <w:sz w:val="18"/>
          <w:szCs w:val="18"/>
        </w:rPr>
        <w:t>Servizi di Installazione degli Aggiornamenti per il Software del Sistema Operativo Microsoft Windows da</w:t>
      </w:r>
      <w:r w:rsidR="00B97CF5" w:rsidRPr="00BD7CEA">
        <w:rPr>
          <w:rFonts w:ascii="Tahoma" w:hAnsi="Tahoma" w:cs="Tahoma"/>
          <w:spacing w:val="-2"/>
          <w:sz w:val="18"/>
          <w:szCs w:val="18"/>
        </w:rPr>
        <w:t> </w:t>
      </w:r>
      <w:r w:rsidRPr="00BD7CEA">
        <w:rPr>
          <w:rFonts w:ascii="Tahoma" w:hAnsi="Tahoma" w:cs="Tahoma"/>
          <w:spacing w:val="-2"/>
          <w:sz w:val="18"/>
          <w:szCs w:val="18"/>
        </w:rPr>
        <w:t>Parte di Terzi oppure (b) copie del modulo per la sottoscrizione appartenenti al Contratto Multilicenza Microsoft applicabile al</w:t>
      </w:r>
      <w:r w:rsidR="00B31E74" w:rsidRPr="00BD7CEA">
        <w:rPr>
          <w:rFonts w:ascii="Tahoma" w:hAnsi="Tahoma" w:cs="Tahoma"/>
          <w:spacing w:val="-2"/>
          <w:sz w:val="18"/>
          <w:szCs w:val="18"/>
        </w:rPr>
        <w:t> </w:t>
      </w:r>
      <w:r w:rsidRPr="00BD7CEA">
        <w:rPr>
          <w:rFonts w:ascii="Tahoma" w:hAnsi="Tahoma" w:cs="Tahoma"/>
          <w:spacing w:val="-2"/>
          <w:sz w:val="18"/>
          <w:szCs w:val="18"/>
        </w:rPr>
        <w:t>software di aggiornamento del sistema operativo Microsoft che viene installato. Il modulo per la “Verifica della Licenza Microsoft per l</w:t>
      </w:r>
      <w:r w:rsidR="007A1415" w:rsidRPr="00BD7CEA">
        <w:rPr>
          <w:rFonts w:ascii="Tahoma" w:hAnsi="Tahoma" w:cs="Tahoma"/>
          <w:spacing w:val="-2"/>
          <w:sz w:val="18"/>
          <w:szCs w:val="18"/>
        </w:rPr>
        <w:t>’</w:t>
      </w:r>
      <w:r w:rsidRPr="00BD7CEA">
        <w:rPr>
          <w:rFonts w:ascii="Tahoma" w:hAnsi="Tahoma" w:cs="Tahoma"/>
          <w:spacing w:val="-2"/>
          <w:sz w:val="18"/>
          <w:szCs w:val="18"/>
        </w:rPr>
        <w:t>Esecuzione dell</w:t>
      </w:r>
      <w:r w:rsidR="007A1415" w:rsidRPr="00BD7CEA">
        <w:rPr>
          <w:rFonts w:ascii="Tahoma" w:hAnsi="Tahoma" w:cs="Tahoma"/>
          <w:spacing w:val="-2"/>
          <w:sz w:val="18"/>
          <w:szCs w:val="18"/>
        </w:rPr>
        <w:t>’</w:t>
      </w:r>
      <w:r w:rsidRPr="00BD7CEA">
        <w:rPr>
          <w:rFonts w:ascii="Tahoma" w:hAnsi="Tahoma" w:cs="Tahoma"/>
          <w:spacing w:val="-2"/>
          <w:sz w:val="18"/>
          <w:szCs w:val="18"/>
        </w:rPr>
        <w:t>Imaging/Installazione da parte di Terzi del Software del Sistema Operativo Microsoft” è disponibile all</w:t>
      </w:r>
      <w:r w:rsidR="007A1415" w:rsidRPr="00BD7CEA">
        <w:rPr>
          <w:rFonts w:ascii="Tahoma" w:hAnsi="Tahoma" w:cs="Tahoma"/>
          <w:spacing w:val="-2"/>
          <w:sz w:val="18"/>
          <w:szCs w:val="18"/>
        </w:rPr>
        <w:t>’</w:t>
      </w:r>
      <w:r w:rsidRPr="00BD7CEA">
        <w:rPr>
          <w:rFonts w:ascii="Tahoma" w:hAnsi="Tahoma" w:cs="Tahoma"/>
          <w:spacing w:val="-2"/>
          <w:sz w:val="18"/>
          <w:szCs w:val="18"/>
        </w:rPr>
        <w:t xml:space="preserve">indirizzo </w:t>
      </w:r>
      <w:hyperlink r:id="rId47" w:history="1">
        <w:r w:rsidRPr="00BD7CEA">
          <w:rPr>
            <w:rStyle w:val="Hyperlink"/>
            <w:rFonts w:ascii="Tahoma" w:hAnsi="Tahoma" w:cs="Tahoma"/>
            <w:color w:val="auto"/>
            <w:spacing w:val="-2"/>
            <w:sz w:val="18"/>
            <w:szCs w:val="18"/>
            <w:u w:val="none"/>
          </w:rPr>
          <w:t>www.microsoft.com/licensing/contracts</w:t>
        </w:r>
      </w:hyperlink>
      <w:r w:rsidRPr="00BD7CEA">
        <w:rPr>
          <w:rFonts w:ascii="Tahoma" w:hAnsi="Tahoma" w:cs="Tahoma"/>
          <w:spacing w:val="-2"/>
          <w:sz w:val="18"/>
          <w:szCs w:val="18"/>
        </w:rPr>
        <w:t>.</w:t>
      </w:r>
    </w:p>
    <w:p w:rsidR="00B24C9D" w:rsidRPr="00BD7CEA" w:rsidRDefault="00B24C9D" w:rsidP="00B24C9D">
      <w:pPr>
        <w:pStyle w:val="FootnoteBulletLevel1"/>
        <w:tabs>
          <w:tab w:val="clear" w:pos="900"/>
        </w:tabs>
        <w:adjustRightInd/>
        <w:spacing w:before="0" w:after="0"/>
        <w:ind w:left="720" w:firstLine="0"/>
        <w:textAlignment w:val="auto"/>
      </w:pPr>
    </w:p>
    <w:p w:rsidR="00B73A46" w:rsidRPr="00BD7CEA" w:rsidRDefault="005D46BA" w:rsidP="00B24C9D">
      <w:pPr>
        <w:pStyle w:val="FootnoteBulletLevel1"/>
        <w:tabs>
          <w:tab w:val="clear" w:pos="900"/>
        </w:tabs>
        <w:adjustRightInd/>
        <w:spacing w:before="0" w:after="60"/>
        <w:ind w:left="720" w:firstLine="0"/>
        <w:textAlignment w:val="auto"/>
      </w:pPr>
      <w:r w:rsidRPr="00BD7CEA">
        <w:rPr>
          <w:rFonts w:ascii="Tahoma" w:hAnsi="Tahoma" w:cs="Tahoma"/>
          <w:b/>
          <w:bCs/>
          <w:sz w:val="18"/>
          <w:szCs w:val="18"/>
        </w:rPr>
        <w:t>Windows Intune (Per Dispositivo)</w:t>
      </w:r>
    </w:p>
    <w:p w:rsidR="00B24C9D" w:rsidRPr="00BD7CEA" w:rsidRDefault="0071258F" w:rsidP="00B24C9D">
      <w:pPr>
        <w:ind w:left="720"/>
      </w:pPr>
      <w:r w:rsidRPr="00BD7CEA">
        <w:rPr>
          <w:rFonts w:cs="Tahoma"/>
          <w:szCs w:val="18"/>
        </w:rPr>
        <w:t>Windows Intune (Per Dispositivo) è disponibile ai sensi di una licenza “Subscription”. Include i diritti per</w:t>
      </w:r>
      <w:r w:rsidR="00B31E74" w:rsidRPr="00BD7CEA">
        <w:rPr>
          <w:rFonts w:cs="Tahoma"/>
          <w:szCs w:val="18"/>
        </w:rPr>
        <w:t> </w:t>
      </w:r>
      <w:r w:rsidRPr="00BD7CEA">
        <w:rPr>
          <w:rFonts w:cs="Tahoma"/>
          <w:szCs w:val="18"/>
        </w:rPr>
        <w:t>eseguire l</w:t>
      </w:r>
      <w:r w:rsidR="007A1415" w:rsidRPr="00BD7CEA">
        <w:rPr>
          <w:rFonts w:cs="Tahoma"/>
          <w:szCs w:val="18"/>
        </w:rPr>
        <w:t>’</w:t>
      </w:r>
      <w:r w:rsidRPr="00BD7CEA">
        <w:rPr>
          <w:rFonts w:cs="Tahoma"/>
          <w:szCs w:val="18"/>
        </w:rPr>
        <w:t>aggiornamento al sistema operativo desktop Windows e utilizzarlo. Pertanto, come con l</w:t>
      </w:r>
      <w:r w:rsidR="007A1415" w:rsidRPr="00BD7CEA">
        <w:rPr>
          <w:rFonts w:cs="Tahoma"/>
          <w:szCs w:val="18"/>
        </w:rPr>
        <w:t>’</w:t>
      </w:r>
      <w:r w:rsidRPr="00BD7CEA">
        <w:rPr>
          <w:rFonts w:cs="Tahoma"/>
          <w:szCs w:val="18"/>
        </w:rPr>
        <w:t>Aggiornamento per Windows Pro, ogni desktop per il quale si acquista e sul quale si eseguirà Windows Intune (Per Dispositivo) dovrà avere la licenza per eseguire uno dei sistemi operativi qualificanti applicabili indicati sopra.</w:t>
      </w:r>
    </w:p>
    <w:p w:rsidR="00B73A46" w:rsidRPr="00BD7CEA" w:rsidRDefault="00B73A46" w:rsidP="00B24C9D">
      <w:pPr>
        <w:ind w:left="720"/>
      </w:pPr>
    </w:p>
    <w:p w:rsidR="00B73A46" w:rsidRPr="00BD7CEA" w:rsidRDefault="00B73A46" w:rsidP="00B24C9D">
      <w:pPr>
        <w:ind w:left="720"/>
      </w:pPr>
      <w:r w:rsidRPr="00BD7CEA">
        <w:rPr>
          <w:rFonts w:cs="Tahoma"/>
          <w:szCs w:val="18"/>
        </w:rPr>
        <w:t>Le condizioni valide per l</w:t>
      </w:r>
      <w:r w:rsidR="007A1415" w:rsidRPr="00BD7CEA">
        <w:rPr>
          <w:rFonts w:cs="Tahoma"/>
          <w:szCs w:val="18"/>
        </w:rPr>
        <w:t>’</w:t>
      </w:r>
      <w:r w:rsidRPr="00BD7CEA">
        <w:rPr>
          <w:rFonts w:cs="Tahoma"/>
          <w:szCs w:val="18"/>
        </w:rPr>
        <w:t>acquisto della Licenza di Aggiornamento per Windows Pro descritte sopra in “Regole per i Sistemi Operativi Qualificanti” si applicano all</w:t>
      </w:r>
      <w:r w:rsidR="007A1415" w:rsidRPr="00BD7CEA">
        <w:rPr>
          <w:rFonts w:cs="Tahoma"/>
          <w:szCs w:val="18"/>
        </w:rPr>
        <w:t>’</w:t>
      </w:r>
      <w:r w:rsidRPr="00BD7CEA">
        <w:rPr>
          <w:rFonts w:cs="Tahoma"/>
          <w:szCs w:val="18"/>
        </w:rPr>
        <w:t>acquisto delle licenze per Windows Intune (Per</w:t>
      </w:r>
      <w:r w:rsidR="00B31E74" w:rsidRPr="00BD7CEA">
        <w:rPr>
          <w:rFonts w:cs="Tahoma"/>
          <w:szCs w:val="18"/>
        </w:rPr>
        <w:t> </w:t>
      </w:r>
      <w:r w:rsidRPr="00BD7CEA">
        <w:rPr>
          <w:rFonts w:cs="Tahoma"/>
          <w:szCs w:val="18"/>
        </w:rPr>
        <w:t>Dispositivo).</w:t>
      </w:r>
    </w:p>
    <w:p w:rsidR="00B24C9D" w:rsidRPr="00BD7CEA" w:rsidRDefault="00B24C9D" w:rsidP="00B24C9D">
      <w:pPr>
        <w:ind w:left="720"/>
      </w:pPr>
    </w:p>
    <w:p w:rsidR="00B24C9D" w:rsidRPr="009E7193" w:rsidRDefault="0085061F" w:rsidP="00B24C9D">
      <w:pPr>
        <w:keepNext/>
        <w:ind w:left="720"/>
        <w:rPr>
          <w:szCs w:val="18"/>
        </w:rPr>
      </w:pPr>
      <w:r w:rsidRPr="009E7193">
        <w:rPr>
          <w:rFonts w:eastAsia="Calibri" w:cs="Tahoma"/>
          <w:szCs w:val="18"/>
        </w:rPr>
        <w:lastRenderedPageBreak/>
        <w:t>Per quanto riguarda Windows Intune (Per Dispositivo) acquistato come Servizio Online Enterprise al fine di soddisfare i requisiti per i Prodotti Enterprise: fare riferimento alla colonna “Nuovo EA/OV-CW” nella tabella precedente per le licenze acquistate al momento della sottoscrizione e alla colonna “EA/OV-CW Esistente” nella tabella precedente per le licenze acquistate in qualsiasi altro momento o riassegnate secondo la modalità autorizzata nell</w:t>
      </w:r>
      <w:r w:rsidR="007A1415" w:rsidRPr="009E7193">
        <w:rPr>
          <w:rFonts w:eastAsia="Calibri" w:cs="Tahoma"/>
          <w:szCs w:val="18"/>
        </w:rPr>
        <w:t>’</w:t>
      </w:r>
      <w:r w:rsidRPr="009E7193">
        <w:rPr>
          <w:rFonts w:eastAsia="Calibri" w:cs="Tahoma"/>
          <w:szCs w:val="18"/>
        </w:rPr>
        <w:t>Articolo “Riassegnazione delle Licenze” che segue.</w:t>
      </w:r>
    </w:p>
    <w:p w:rsidR="0085061F" w:rsidRPr="00BD7CEA" w:rsidRDefault="0085061F" w:rsidP="00B24C9D">
      <w:pPr>
        <w:keepNext/>
        <w:ind w:left="720"/>
      </w:pPr>
    </w:p>
    <w:p w:rsidR="0053437B" w:rsidRPr="009E7193" w:rsidRDefault="0053437B" w:rsidP="00B24C9D">
      <w:pPr>
        <w:ind w:left="720"/>
        <w:rPr>
          <w:szCs w:val="18"/>
        </w:rPr>
      </w:pPr>
      <w:r w:rsidRPr="009E7193">
        <w:rPr>
          <w:rFonts w:eastAsia="Calibri" w:cs="Tahoma"/>
          <w:szCs w:val="18"/>
        </w:rPr>
        <w:t>Come eccezione alla regole precedente, per quanto riguarda Windows Intune (Per Dispositivo) acquistato come Servizio Online Enterprise, ma non al fine di soddisfare i requisiti per i Prodotti Enterprise: fare riferimento alla colonna “Nuovo EA/OV-CW” nella tabella precedente per le nuove licenze.</w:t>
      </w:r>
    </w:p>
    <w:p w:rsidR="00B24C9D" w:rsidRPr="00BD7CEA" w:rsidRDefault="00B24C9D" w:rsidP="00B24C9D">
      <w:pPr>
        <w:ind w:left="720"/>
      </w:pPr>
    </w:p>
    <w:p w:rsidR="00B73A46" w:rsidRPr="009E7193" w:rsidRDefault="00B73A46" w:rsidP="00B24C9D">
      <w:pPr>
        <w:pStyle w:val="FootnoteBulletLevel2"/>
        <w:spacing w:before="0"/>
        <w:ind w:left="720" w:firstLine="0"/>
        <w:rPr>
          <w:sz w:val="18"/>
          <w:szCs w:val="18"/>
        </w:rPr>
      </w:pPr>
      <w:r w:rsidRPr="009E7193">
        <w:rPr>
          <w:rFonts w:ascii="Tahoma" w:hAnsi="Tahoma" w:cs="Tahoma"/>
          <w:sz w:val="18"/>
          <w:szCs w:val="18"/>
        </w:rPr>
        <w:t xml:space="preserve">Le società che dispongono di licenze “Subscription”per Windows Intune (Per Dispositivo) non devono disinstallare il sistema operativo qualificante sul loro dispositivo con licenza e potranno installare ed eseguire contemporaneamente il sistema operativo qualificante e il sistema operativo desktop Windows. </w:t>
      </w:r>
    </w:p>
    <w:p w:rsidR="00B73A46" w:rsidRPr="009E7193" w:rsidRDefault="00B73A46" w:rsidP="00B24C9D">
      <w:pPr>
        <w:pStyle w:val="FootnoteBulletLevel1"/>
        <w:spacing w:before="0" w:after="0"/>
        <w:ind w:left="720" w:firstLine="0"/>
        <w:rPr>
          <w:rFonts w:ascii="Tahoma" w:hAnsi="Tahoma" w:cs="Tahoma"/>
          <w:sz w:val="18"/>
          <w:szCs w:val="18"/>
        </w:rPr>
      </w:pPr>
    </w:p>
    <w:p w:rsidR="00B24C9D" w:rsidRPr="00BD7CEA" w:rsidRDefault="00B24C9D" w:rsidP="00B24C9D">
      <w:pPr>
        <w:tabs>
          <w:tab w:val="left" w:pos="900"/>
        </w:tabs>
        <w:ind w:left="720"/>
      </w:pPr>
      <w:r w:rsidRPr="00BD7CEA">
        <w:rPr>
          <w:rFonts w:cs="Tahoma"/>
          <w:szCs w:val="18"/>
          <w:u w:val="single"/>
        </w:rPr>
        <w:t>Cessione della Licenza</w:t>
      </w:r>
      <w:r w:rsidRPr="00BD7CEA">
        <w:rPr>
          <w:rFonts w:cs="Tahoma"/>
          <w:szCs w:val="18"/>
        </w:rPr>
        <w:t> </w:t>
      </w:r>
    </w:p>
    <w:p w:rsidR="00B73A46" w:rsidRPr="00BD7CEA" w:rsidRDefault="00B73A46" w:rsidP="00B24C9D">
      <w:pPr>
        <w:tabs>
          <w:tab w:val="left" w:pos="900"/>
        </w:tabs>
        <w:ind w:left="720"/>
      </w:pPr>
      <w:r w:rsidRPr="00BD7CEA">
        <w:rPr>
          <w:rFonts w:cs="Tahoma"/>
          <w:szCs w:val="18"/>
        </w:rPr>
        <w:t xml:space="preserve">Le società dovranno cedere la loro licenza “subscription” per Windows Intune (Per Dispositivo) al dispositivo sul quale è installato il sistema operativo qualificante. </w:t>
      </w:r>
    </w:p>
    <w:p w:rsidR="00B73A46" w:rsidRPr="009E7193" w:rsidRDefault="00B73A46" w:rsidP="00B24C9D">
      <w:pPr>
        <w:pStyle w:val="FootnoteBulletLevel2"/>
        <w:spacing w:before="0"/>
        <w:ind w:left="907" w:firstLine="0"/>
        <w:rPr>
          <w:rFonts w:ascii="Tahoma" w:hAnsi="Tahoma" w:cs="Tahoma"/>
          <w:sz w:val="18"/>
          <w:szCs w:val="18"/>
        </w:rPr>
      </w:pPr>
    </w:p>
    <w:p w:rsidR="00B73A46" w:rsidRPr="00BD7CEA" w:rsidRDefault="00B73A46" w:rsidP="00B24C9D">
      <w:pPr>
        <w:pStyle w:val="FootnoteBulletLevel1"/>
        <w:tabs>
          <w:tab w:val="clear" w:pos="900"/>
        </w:tabs>
        <w:spacing w:before="0" w:after="60"/>
        <w:ind w:left="720" w:firstLine="0"/>
      </w:pPr>
      <w:r w:rsidRPr="00BD7CEA">
        <w:rPr>
          <w:rFonts w:ascii="Tahoma" w:hAnsi="Tahoma" w:cs="Tahoma"/>
          <w:b/>
          <w:sz w:val="18"/>
          <w:szCs w:val="18"/>
        </w:rPr>
        <w:t>Riassegnazione della Licenza</w:t>
      </w:r>
      <w:r w:rsidRPr="00BD7CEA">
        <w:rPr>
          <w:rFonts w:ascii="Tahoma" w:hAnsi="Tahoma" w:cs="Tahoma"/>
          <w:b/>
          <w:bCs/>
          <w:sz w:val="18"/>
          <w:szCs w:val="18"/>
        </w:rPr>
        <w:t xml:space="preserve"> per Windows Intune (Per Dispositivo)</w:t>
      </w:r>
    </w:p>
    <w:p w:rsidR="00B73A46" w:rsidRPr="009E7193" w:rsidRDefault="00B73A46" w:rsidP="00B24C9D">
      <w:pPr>
        <w:pStyle w:val="BodyText"/>
        <w:spacing w:before="0" w:after="0" w:line="240" w:lineRule="auto"/>
        <w:ind w:left="720"/>
        <w:rPr>
          <w:sz w:val="18"/>
          <w:szCs w:val="18"/>
        </w:rPr>
      </w:pPr>
      <w:r w:rsidRPr="009E7193">
        <w:rPr>
          <w:rFonts w:ascii="Tahoma" w:hAnsi="Tahoma" w:cs="Tahoma"/>
          <w:color w:val="auto"/>
          <w:sz w:val="18"/>
          <w:szCs w:val="18"/>
        </w:rPr>
        <w:t>Le società potranno riassegnare le licenze per Windows Intune (Per Dispositivo), ma non a breve termine, vale a dire non prima di 90 giorni dall</w:t>
      </w:r>
      <w:r w:rsidR="007A1415" w:rsidRPr="009E7193">
        <w:rPr>
          <w:rFonts w:ascii="Tahoma" w:hAnsi="Tahoma" w:cs="Tahoma"/>
          <w:color w:val="auto"/>
          <w:sz w:val="18"/>
          <w:szCs w:val="18"/>
        </w:rPr>
        <w:t>’</w:t>
      </w:r>
      <w:r w:rsidRPr="009E7193">
        <w:rPr>
          <w:rFonts w:ascii="Tahoma" w:hAnsi="Tahoma" w:cs="Tahoma"/>
          <w:color w:val="auto"/>
          <w:sz w:val="18"/>
          <w:szCs w:val="18"/>
        </w:rPr>
        <w:t>ultima cessione. Le società potranno riassegnare prima una licenza per</w:t>
      </w:r>
      <w:r w:rsidR="009E7193" w:rsidRPr="009E7193">
        <w:rPr>
          <w:rFonts w:ascii="Tahoma" w:hAnsi="Tahoma" w:cs="Tahoma"/>
          <w:color w:val="auto"/>
          <w:sz w:val="18"/>
          <w:szCs w:val="18"/>
        </w:rPr>
        <w:t> </w:t>
      </w:r>
      <w:r w:rsidRPr="009E7193">
        <w:rPr>
          <w:rFonts w:ascii="Tahoma" w:hAnsi="Tahoma" w:cs="Tahoma"/>
          <w:color w:val="auto"/>
          <w:sz w:val="18"/>
          <w:szCs w:val="18"/>
        </w:rPr>
        <w:t>Windows Intune (Per Dispositivo) nel caso in cui ritirino il dispositivo con licenza esistente a causa di un problema hardware permanente. Il dispositivo al quale viene riassegnata una licenza per Windows Intune (Per Dispositivo) dovrà soddisfare i requisiti del sistema operativo qualificante descritti sopra. Il software dovrà essere rimosso e l</w:t>
      </w:r>
      <w:r w:rsidR="007A1415" w:rsidRPr="009E7193">
        <w:rPr>
          <w:rFonts w:ascii="Tahoma" w:hAnsi="Tahoma" w:cs="Tahoma"/>
          <w:color w:val="auto"/>
          <w:sz w:val="18"/>
          <w:szCs w:val="18"/>
        </w:rPr>
        <w:t>’</w:t>
      </w:r>
      <w:r w:rsidRPr="009E7193">
        <w:rPr>
          <w:rFonts w:ascii="Tahoma" w:hAnsi="Tahoma" w:cs="Tahoma"/>
          <w:color w:val="auto"/>
          <w:sz w:val="18"/>
          <w:szCs w:val="18"/>
        </w:rPr>
        <w:t>utilizzo del servizio Windows Intune (Per Dispositivo) o l</w:t>
      </w:r>
      <w:r w:rsidR="007A1415" w:rsidRPr="009E7193">
        <w:rPr>
          <w:rFonts w:ascii="Tahoma" w:hAnsi="Tahoma" w:cs="Tahoma"/>
          <w:color w:val="auto"/>
          <w:sz w:val="18"/>
          <w:szCs w:val="18"/>
        </w:rPr>
        <w:t>’</w:t>
      </w:r>
      <w:r w:rsidRPr="009E7193">
        <w:rPr>
          <w:rFonts w:ascii="Tahoma" w:hAnsi="Tahoma" w:cs="Tahoma"/>
          <w:color w:val="auto"/>
          <w:sz w:val="18"/>
          <w:szCs w:val="18"/>
        </w:rPr>
        <w:t>accesso ad esso dovrà essere interrotto dal dispositivo dal quale viene riassegnata la licenza.</w:t>
      </w:r>
    </w:p>
    <w:p w:rsidR="00B24C9D" w:rsidRPr="009E7193" w:rsidRDefault="00B24C9D" w:rsidP="00B24C9D">
      <w:pPr>
        <w:pStyle w:val="BodyText"/>
        <w:spacing w:before="0" w:after="0" w:line="240" w:lineRule="auto"/>
        <w:ind w:left="720"/>
        <w:rPr>
          <w:rFonts w:ascii="Tahoma" w:hAnsi="Tahoma" w:cs="Tahoma"/>
          <w:sz w:val="18"/>
          <w:szCs w:val="18"/>
        </w:rPr>
      </w:pPr>
    </w:p>
    <w:p w:rsidR="00B73A46" w:rsidRPr="00BD7CEA" w:rsidRDefault="00B73A46" w:rsidP="00B24C9D">
      <w:pPr>
        <w:autoSpaceDN w:val="0"/>
        <w:ind w:left="720"/>
      </w:pPr>
      <w:r w:rsidRPr="00BD7CEA">
        <w:rPr>
          <w:rFonts w:cs="Tahoma"/>
          <w:szCs w:val="18"/>
        </w:rPr>
        <w:t xml:space="preserve">Come eccezione ai requisiti del sistema operativo qualificante per Windows Intune (Per Dispositivo) concesso in licenza come </w:t>
      </w:r>
      <w:r w:rsidRPr="00BD7CEA">
        <w:t xml:space="preserve">Servizio Online Enterprise per soddisfare i requisiti per i Prodotti, </w:t>
      </w:r>
      <w:r w:rsidRPr="00BD7CEA">
        <w:rPr>
          <w:rFonts w:cs="Tahoma"/>
          <w:szCs w:val="18"/>
        </w:rPr>
        <w:t>le società</w:t>
      </w:r>
      <w:r w:rsidRPr="00BD7CEA">
        <w:rPr>
          <w:rFonts w:cs="Tahoma"/>
          <w:strike/>
          <w:szCs w:val="18"/>
        </w:rPr>
        <w:t xml:space="preserve"> </w:t>
      </w:r>
      <w:r w:rsidRPr="00BD7CEA">
        <w:rPr>
          <w:rFonts w:cs="Tahoma"/>
          <w:szCs w:val="18"/>
        </w:rPr>
        <w:t>potranno riassegnare le licenze per Windows Intune (Per Dispositivo) a uno dei seguenti dispositivi, purché</w:t>
      </w:r>
      <w:r w:rsidR="00D45A36">
        <w:rPr>
          <w:rFonts w:cs="Tahoma"/>
          <w:szCs w:val="18"/>
        </w:rPr>
        <w:t> </w:t>
      </w:r>
      <w:r w:rsidRPr="00BD7CEA">
        <w:rPr>
          <w:rFonts w:cs="Tahoma"/>
          <w:szCs w:val="18"/>
        </w:rPr>
        <w:t xml:space="preserve">abbiano la licenza per uno dei sistemi operativi qualificanti identificati nella colonna “Nuovo </w:t>
      </w:r>
      <w:r w:rsidR="00D45A36">
        <w:rPr>
          <w:rFonts w:cs="Tahoma"/>
          <w:szCs w:val="18"/>
        </w:rPr>
        <w:br/>
      </w:r>
      <w:r w:rsidRPr="00BD7CEA">
        <w:rPr>
          <w:rFonts w:cs="Tahoma"/>
          <w:szCs w:val="18"/>
        </w:rPr>
        <w:t xml:space="preserve">EA/OV-CW” della tabella precedente e tale sistema operativo qualificante sia installato su di essi: </w:t>
      </w:r>
    </w:p>
    <w:p w:rsidR="00B24C9D" w:rsidRPr="00BD7CEA" w:rsidRDefault="00B24C9D" w:rsidP="00B24C9D">
      <w:pPr>
        <w:autoSpaceDN w:val="0"/>
        <w:ind w:left="720"/>
      </w:pPr>
    </w:p>
    <w:p w:rsidR="00B73A46" w:rsidRPr="00BD7CEA" w:rsidRDefault="00B73A46" w:rsidP="007358C5">
      <w:pPr>
        <w:numPr>
          <w:ilvl w:val="3"/>
          <w:numId w:val="27"/>
        </w:numPr>
        <w:autoSpaceDN w:val="0"/>
        <w:spacing w:after="60"/>
        <w:ind w:left="1440"/>
      </w:pPr>
      <w:r w:rsidRPr="00BD7CEA">
        <w:rPr>
          <w:rFonts w:cs="Tahoma"/>
          <w:szCs w:val="18"/>
        </w:rPr>
        <w:t xml:space="preserve">dispositivi che il licenziatario acquista in seguito a una fusione o acquisizione e </w:t>
      </w:r>
    </w:p>
    <w:p w:rsidR="00DA7284" w:rsidRPr="00BD7CEA" w:rsidRDefault="00B73A46" w:rsidP="007358C5">
      <w:pPr>
        <w:numPr>
          <w:ilvl w:val="3"/>
          <w:numId w:val="27"/>
        </w:numPr>
        <w:autoSpaceDN w:val="0"/>
        <w:spacing w:after="60"/>
        <w:ind w:left="1440"/>
      </w:pPr>
      <w:r w:rsidRPr="00BD7CEA">
        <w:rPr>
          <w:rFonts w:cs="Tahoma"/>
          <w:szCs w:val="18"/>
        </w:rPr>
        <w:t>dispositivi di proprietà dei collaboratori e dei dipendenti.</w:t>
      </w:r>
    </w:p>
    <w:p w:rsidR="00A84DF7" w:rsidRPr="00BD7CEA" w:rsidRDefault="00A84DF7" w:rsidP="00A84DF7">
      <w:pPr>
        <w:autoSpaceDN w:val="0"/>
        <w:spacing w:after="60"/>
      </w:pPr>
    </w:p>
    <w:p w:rsidR="00B73A46" w:rsidRPr="009E7193" w:rsidRDefault="00B73A46" w:rsidP="00A84DF7">
      <w:pPr>
        <w:pStyle w:val="FootnoteBulletLevel1"/>
        <w:tabs>
          <w:tab w:val="clear" w:pos="900"/>
        </w:tabs>
        <w:adjustRightInd/>
        <w:spacing w:before="0" w:after="60"/>
        <w:ind w:left="720" w:firstLine="0"/>
        <w:textAlignment w:val="auto"/>
        <w:rPr>
          <w:sz w:val="18"/>
          <w:szCs w:val="18"/>
        </w:rPr>
      </w:pPr>
      <w:r w:rsidRPr="009E7193">
        <w:rPr>
          <w:rFonts w:ascii="Tahoma" w:hAnsi="Tahoma" w:cs="Tahoma"/>
          <w:b/>
          <w:bCs/>
          <w:sz w:val="18"/>
          <w:szCs w:val="18"/>
        </w:rPr>
        <w:t>Software Assurance per</w:t>
      </w:r>
      <w:r w:rsidRPr="009E7193">
        <w:rPr>
          <w:rFonts w:ascii="Tahoma" w:hAnsi="Tahoma" w:cs="Tahoma"/>
          <w:b/>
          <w:bCs/>
          <w:i/>
          <w:iCs/>
          <w:sz w:val="18"/>
          <w:szCs w:val="18"/>
        </w:rPr>
        <w:t xml:space="preserve"> </w:t>
      </w:r>
      <w:r w:rsidRPr="009E7193">
        <w:rPr>
          <w:rFonts w:ascii="Tahoma" w:hAnsi="Tahoma" w:cs="Tahoma"/>
          <w:b/>
          <w:bCs/>
          <w:sz w:val="18"/>
          <w:szCs w:val="18"/>
        </w:rPr>
        <w:t>Windows 8 Pro</w:t>
      </w:r>
      <w:r w:rsidRPr="009E7193">
        <w:rPr>
          <w:rFonts w:ascii="Tahoma" w:hAnsi="Tahoma" w:cs="Tahoma"/>
          <w:b/>
          <w:sz w:val="18"/>
          <w:szCs w:val="18"/>
          <w:u w:val="single"/>
        </w:rPr>
        <w:t xml:space="preserve"> </w:t>
      </w:r>
    </w:p>
    <w:p w:rsidR="00B73A46" w:rsidRPr="009E7193" w:rsidRDefault="00B73A46" w:rsidP="00A84DF7">
      <w:pPr>
        <w:pStyle w:val="FootnoteBulletLevel1"/>
        <w:spacing w:before="0" w:after="0"/>
        <w:ind w:left="720" w:firstLine="0"/>
        <w:rPr>
          <w:sz w:val="18"/>
          <w:szCs w:val="18"/>
        </w:rPr>
      </w:pPr>
      <w:r w:rsidRPr="009E7193">
        <w:rPr>
          <w:rFonts w:ascii="Tahoma" w:hAnsi="Tahoma" w:cs="Tahoma"/>
          <w:sz w:val="18"/>
          <w:szCs w:val="18"/>
        </w:rPr>
        <w:t>Le società che intendono iscriversi a Software Assurance per Windows 8 Pro dispongono delle seguenti</w:t>
      </w:r>
      <w:r w:rsidR="00D45A36">
        <w:rPr>
          <w:rFonts w:ascii="Tahoma" w:hAnsi="Tahoma" w:cs="Tahoma"/>
          <w:sz w:val="18"/>
          <w:szCs w:val="18"/>
        </w:rPr>
        <w:t> </w:t>
      </w:r>
      <w:r w:rsidRPr="009E7193">
        <w:rPr>
          <w:rFonts w:ascii="Tahoma" w:hAnsi="Tahoma" w:cs="Tahoma"/>
          <w:sz w:val="18"/>
          <w:szCs w:val="18"/>
        </w:rPr>
        <w:t>opzioni:</w:t>
      </w:r>
    </w:p>
    <w:p w:rsidR="00A84DF7" w:rsidRPr="009E7193" w:rsidRDefault="00A84DF7" w:rsidP="00A84DF7">
      <w:pPr>
        <w:pStyle w:val="FootnoteBulletLevel1"/>
        <w:spacing w:before="0" w:after="0"/>
        <w:ind w:left="720" w:firstLine="0"/>
        <w:rPr>
          <w:sz w:val="18"/>
          <w:szCs w:val="18"/>
        </w:rPr>
      </w:pPr>
    </w:p>
    <w:p w:rsidR="00A84DF7" w:rsidRPr="009E7193" w:rsidRDefault="00B73A46" w:rsidP="007358C5">
      <w:pPr>
        <w:pStyle w:val="FootnoteBulletLevel1"/>
        <w:numPr>
          <w:ilvl w:val="0"/>
          <w:numId w:val="29"/>
        </w:numPr>
        <w:adjustRightInd/>
        <w:spacing w:before="0" w:after="60"/>
        <w:textAlignment w:val="auto"/>
        <w:rPr>
          <w:sz w:val="18"/>
          <w:szCs w:val="18"/>
        </w:rPr>
      </w:pPr>
      <w:r w:rsidRPr="009E7193">
        <w:rPr>
          <w:rFonts w:ascii="Tahoma" w:hAnsi="Tahoma" w:cs="Tahoma"/>
          <w:sz w:val="18"/>
          <w:szCs w:val="18"/>
        </w:rPr>
        <w:t>Programmi Select, Open Value (opzione non per l</w:t>
      </w:r>
      <w:r w:rsidR="007A1415" w:rsidRPr="009E7193">
        <w:rPr>
          <w:rFonts w:ascii="Tahoma" w:hAnsi="Tahoma" w:cs="Tahoma"/>
          <w:sz w:val="18"/>
          <w:szCs w:val="18"/>
        </w:rPr>
        <w:t>’</w:t>
      </w:r>
      <w:r w:rsidRPr="009E7193">
        <w:rPr>
          <w:rFonts w:ascii="Tahoma" w:hAnsi="Tahoma" w:cs="Tahoma"/>
          <w:sz w:val="18"/>
          <w:szCs w:val="18"/>
        </w:rPr>
        <w:t xml:space="preserve">intera azienda) e Open License </w:t>
      </w:r>
    </w:p>
    <w:p w:rsidR="00B73A46" w:rsidRPr="00A46B4F" w:rsidRDefault="00B73A46" w:rsidP="007358C5">
      <w:pPr>
        <w:numPr>
          <w:ilvl w:val="0"/>
          <w:numId w:val="30"/>
        </w:numPr>
        <w:spacing w:after="60"/>
        <w:ind w:left="1800"/>
        <w:rPr>
          <w:spacing w:val="-2"/>
          <w:szCs w:val="18"/>
        </w:rPr>
      </w:pPr>
      <w:r w:rsidRPr="00A46B4F">
        <w:rPr>
          <w:rFonts w:cs="Tahoma"/>
          <w:spacing w:val="-2"/>
          <w:szCs w:val="18"/>
          <w:bdr w:val="none" w:sz="0" w:space="0" w:color="auto" w:frame="1"/>
        </w:rPr>
        <w:t>Acquistare la copertura Software Assurance per Windows 8 Pro o Windows 7 Professional (32 bit o 64 bit o edizioni N, K o KN) tramite licenza OEM, Retail Get Genuine Windows Agreement (GGWA) (anche conosciuta, in alcuni paesi, come “Get Genuine Solution”) entro 90 giorni dalla data di acquisto della licenza OEM, Retail o GGWA (a partire dal 1 settembre 2009).</w:t>
      </w:r>
    </w:p>
    <w:p w:rsidR="00B73A46" w:rsidRPr="009E7193" w:rsidRDefault="00B73A46" w:rsidP="007358C5">
      <w:pPr>
        <w:pStyle w:val="Footnotedash"/>
        <w:numPr>
          <w:ilvl w:val="0"/>
          <w:numId w:val="30"/>
        </w:numPr>
        <w:adjustRightInd/>
        <w:spacing w:before="0"/>
        <w:ind w:left="1800"/>
        <w:textAlignment w:val="auto"/>
        <w:rPr>
          <w:sz w:val="18"/>
          <w:szCs w:val="18"/>
        </w:rPr>
      </w:pPr>
      <w:r w:rsidRPr="009E7193">
        <w:rPr>
          <w:rFonts w:ascii="Tahoma" w:hAnsi="Tahoma" w:cs="Tahoma"/>
          <w:sz w:val="18"/>
          <w:szCs w:val="18"/>
        </w:rPr>
        <w:t xml:space="preserve">Rinnovare Software Assurance per il sistema operativo desktop alla scadenza della copertura Software Assurance per Windows 8 Pro o Windows 7 Professional. </w:t>
      </w:r>
    </w:p>
    <w:p w:rsidR="00B73A46" w:rsidRPr="009E7193" w:rsidRDefault="00B73A46" w:rsidP="00A84DF7">
      <w:pPr>
        <w:pStyle w:val="Footnotedash"/>
        <w:spacing w:before="0" w:after="0"/>
        <w:ind w:left="720" w:firstLine="0"/>
        <w:rPr>
          <w:sz w:val="18"/>
          <w:szCs w:val="18"/>
        </w:rPr>
      </w:pPr>
      <w:r w:rsidRPr="009E7193">
        <w:rPr>
          <w:rFonts w:ascii="Tahoma" w:hAnsi="Tahoma" w:cs="Tahoma"/>
          <w:sz w:val="18"/>
          <w:szCs w:val="18"/>
        </w:rPr>
        <w:t>Il periodo di tempo indicato in precedenza potrebbe essere prorogato per finalità promozionali per un tempo limitato. Per ulteriori dettagli, consultare l</w:t>
      </w:r>
      <w:r w:rsidR="007A1415" w:rsidRPr="009E7193">
        <w:rPr>
          <w:rFonts w:ascii="Tahoma" w:hAnsi="Tahoma" w:cs="Tahoma"/>
          <w:sz w:val="18"/>
          <w:szCs w:val="18"/>
        </w:rPr>
        <w:t>’</w:t>
      </w:r>
      <w:hyperlink w:anchor="_SECTION_3_–" w:history="1">
        <w:r w:rsidRPr="009E7193">
          <w:rPr>
            <w:rStyle w:val="Hyperlink"/>
            <w:rFonts w:ascii="Tahoma" w:hAnsi="Tahoma" w:cs="Tahoma"/>
            <w:color w:val="auto"/>
            <w:sz w:val="18"/>
            <w:szCs w:val="18"/>
            <w:u w:val="none"/>
          </w:rPr>
          <w:t>Articolo 3</w:t>
        </w:r>
      </w:hyperlink>
      <w:r w:rsidRPr="009E7193">
        <w:rPr>
          <w:rFonts w:ascii="Tahoma" w:hAnsi="Tahoma" w:cs="Tahoma"/>
          <w:sz w:val="18"/>
          <w:szCs w:val="18"/>
        </w:rPr>
        <w:t>.</w:t>
      </w:r>
    </w:p>
    <w:p w:rsidR="00A84DF7" w:rsidRPr="009E7193" w:rsidRDefault="00A84DF7" w:rsidP="00A84DF7">
      <w:pPr>
        <w:pStyle w:val="Footnotedash"/>
        <w:spacing w:before="0" w:after="0"/>
        <w:ind w:left="720" w:firstLine="0"/>
        <w:rPr>
          <w:sz w:val="18"/>
          <w:szCs w:val="18"/>
        </w:rPr>
      </w:pPr>
    </w:p>
    <w:p w:rsidR="00B73A46" w:rsidRPr="009E7193" w:rsidRDefault="00B73A46" w:rsidP="007358C5">
      <w:pPr>
        <w:pStyle w:val="FootnoteBulletLevel2"/>
        <w:numPr>
          <w:ilvl w:val="0"/>
          <w:numId w:val="25"/>
        </w:numPr>
        <w:adjustRightInd/>
        <w:spacing w:before="0"/>
        <w:ind w:left="1440"/>
        <w:textAlignment w:val="auto"/>
        <w:rPr>
          <w:sz w:val="18"/>
          <w:szCs w:val="18"/>
        </w:rPr>
      </w:pPr>
      <w:r w:rsidRPr="009E7193">
        <w:rPr>
          <w:rFonts w:ascii="Tahoma" w:hAnsi="Tahoma" w:cs="Tahoma"/>
          <w:sz w:val="18"/>
          <w:szCs w:val="18"/>
        </w:rPr>
        <w:t>Iscrizioni Enterprise: alla scadenza di un</w:t>
      </w:r>
      <w:r w:rsidR="007A1415" w:rsidRPr="009E7193">
        <w:rPr>
          <w:rFonts w:ascii="Tahoma" w:hAnsi="Tahoma" w:cs="Tahoma"/>
          <w:sz w:val="18"/>
          <w:szCs w:val="18"/>
        </w:rPr>
        <w:t>’</w:t>
      </w:r>
      <w:r w:rsidRPr="009E7193">
        <w:rPr>
          <w:rFonts w:ascii="Tahoma" w:hAnsi="Tahoma" w:cs="Tahoma"/>
          <w:sz w:val="18"/>
          <w:szCs w:val="18"/>
        </w:rPr>
        <w:t>Iscrizione Enterprise già esistente relativa al Sistema Operativo Windows Desktop, è possibile rinnovare tale copertura con una nuova Iscrizione Enterprise per il Sistema Operativo Windows Desktop.</w:t>
      </w:r>
    </w:p>
    <w:p w:rsidR="00A84DF7" w:rsidRPr="00BD7CEA" w:rsidRDefault="00A84DF7" w:rsidP="00A84DF7">
      <w:pPr>
        <w:pStyle w:val="FootnoteBulletLevel2"/>
        <w:tabs>
          <w:tab w:val="clear" w:pos="1260"/>
        </w:tabs>
        <w:adjustRightInd/>
        <w:spacing w:before="0"/>
        <w:ind w:left="0" w:firstLine="0"/>
        <w:textAlignment w:val="auto"/>
      </w:pPr>
    </w:p>
    <w:p w:rsidR="00B31E74" w:rsidRPr="00BD7CEA" w:rsidRDefault="00B31E74" w:rsidP="00A84DF7">
      <w:pPr>
        <w:pStyle w:val="FootnoteBulletLevel2"/>
        <w:tabs>
          <w:tab w:val="clear" w:pos="1260"/>
        </w:tabs>
        <w:adjustRightInd/>
        <w:spacing w:before="0"/>
        <w:ind w:left="0" w:firstLine="0"/>
        <w:textAlignment w:val="auto"/>
      </w:pPr>
    </w:p>
    <w:p w:rsidR="00B31E74" w:rsidRPr="00BD7CEA" w:rsidRDefault="00B31E74" w:rsidP="00A84DF7">
      <w:pPr>
        <w:pStyle w:val="FootnoteBulletLevel2"/>
        <w:tabs>
          <w:tab w:val="clear" w:pos="1260"/>
        </w:tabs>
        <w:adjustRightInd/>
        <w:spacing w:before="0"/>
        <w:ind w:left="0" w:firstLine="0"/>
        <w:textAlignment w:val="auto"/>
      </w:pPr>
    </w:p>
    <w:p w:rsidR="002F7FB8" w:rsidRPr="00BD7CEA" w:rsidRDefault="002F7FB8" w:rsidP="00846611">
      <w:pPr>
        <w:pStyle w:val="FootnoteBulletLevel1"/>
        <w:tabs>
          <w:tab w:val="clear" w:pos="900"/>
        </w:tabs>
        <w:adjustRightInd/>
        <w:spacing w:before="0" w:after="60"/>
        <w:ind w:left="720" w:firstLine="0"/>
        <w:textAlignment w:val="auto"/>
      </w:pPr>
      <w:r w:rsidRPr="00BD7CEA">
        <w:rPr>
          <w:rFonts w:ascii="Tahoma" w:hAnsi="Tahoma" w:cs="Tahoma"/>
          <w:b/>
          <w:bCs/>
          <w:sz w:val="18"/>
          <w:szCs w:val="18"/>
        </w:rPr>
        <w:lastRenderedPageBreak/>
        <w:t>Aggiornamento per Windows 8 Pro e Software Assurance</w:t>
      </w:r>
    </w:p>
    <w:p w:rsidR="002F7FB8" w:rsidRPr="00BD7CEA" w:rsidRDefault="002F7FB8" w:rsidP="00846611">
      <w:pPr>
        <w:pStyle w:val="FootnoteBulletLevel1"/>
        <w:spacing w:before="0" w:after="0"/>
        <w:ind w:left="720" w:firstLine="0"/>
      </w:pPr>
      <w:r w:rsidRPr="00BD7CEA">
        <w:rPr>
          <w:rFonts w:ascii="Tahoma" w:hAnsi="Tahoma" w:cs="Tahoma"/>
          <w:sz w:val="18"/>
          <w:szCs w:val="18"/>
          <w:u w:val="single"/>
        </w:rPr>
        <w:t>Licenza di Aggiornamento per il Sistema Operativo (OS)</w:t>
      </w:r>
    </w:p>
    <w:p w:rsidR="002F7FB8" w:rsidRPr="00BD7CEA" w:rsidRDefault="002F7FB8" w:rsidP="00846611">
      <w:pPr>
        <w:pStyle w:val="FootnoteBulletLevel2"/>
        <w:tabs>
          <w:tab w:val="clear" w:pos="1260"/>
        </w:tabs>
        <w:adjustRightInd/>
        <w:spacing w:before="0"/>
        <w:ind w:left="720" w:firstLine="0"/>
        <w:textAlignment w:val="auto"/>
      </w:pPr>
      <w:r w:rsidRPr="00BD7CEA">
        <w:rPr>
          <w:rFonts w:ascii="Tahoma" w:hAnsi="Tahoma" w:cs="Tahoma"/>
          <w:sz w:val="18"/>
          <w:szCs w:val="18"/>
        </w:rPr>
        <w:t>Le licenze per sistemi operativi desktop fornite in base ai presenti programmi sono unicamente licenze di</w:t>
      </w:r>
      <w:r w:rsidR="00B31E74" w:rsidRPr="00BD7CEA">
        <w:rPr>
          <w:rFonts w:ascii="Tahoma" w:hAnsi="Tahoma" w:cs="Tahoma"/>
          <w:sz w:val="18"/>
          <w:szCs w:val="18"/>
        </w:rPr>
        <w:t> </w:t>
      </w:r>
      <w:r w:rsidRPr="00BD7CEA">
        <w:rPr>
          <w:rFonts w:ascii="Tahoma" w:hAnsi="Tahoma" w:cs="Tahoma"/>
          <w:sz w:val="18"/>
          <w:szCs w:val="18"/>
        </w:rPr>
        <w:t>aggiornamento. I presenti programmi non prevedono licenze complete per sistemi operativi desktop. Pertanto, la società dovrà avere ottenuto in licenza e installato su ogni desktop per il quale acquista e sul quale eseguirà l</w:t>
      </w:r>
      <w:r w:rsidR="007A1415" w:rsidRPr="00BD7CEA">
        <w:rPr>
          <w:rFonts w:ascii="Tahoma" w:hAnsi="Tahoma" w:cs="Tahoma"/>
          <w:sz w:val="18"/>
          <w:szCs w:val="18"/>
        </w:rPr>
        <w:t>’</w:t>
      </w:r>
      <w:r w:rsidRPr="00BD7CEA">
        <w:rPr>
          <w:rFonts w:ascii="Tahoma" w:hAnsi="Tahoma" w:cs="Tahoma"/>
          <w:sz w:val="18"/>
          <w:szCs w:val="18"/>
        </w:rPr>
        <w:t>Aggiornamento per Windows 8 Pro uno dei sistemi operativi qualificanti applicabili indicati nella precedente tabella.</w:t>
      </w:r>
    </w:p>
    <w:p w:rsidR="00846611" w:rsidRPr="000F3974" w:rsidRDefault="00846611" w:rsidP="00846611">
      <w:pPr>
        <w:pStyle w:val="FootnoteBulletLevel2"/>
        <w:tabs>
          <w:tab w:val="clear" w:pos="1260"/>
        </w:tabs>
        <w:adjustRightInd/>
        <w:spacing w:before="0"/>
        <w:ind w:left="720" w:firstLine="0"/>
        <w:textAlignment w:val="auto"/>
        <w:rPr>
          <w:rFonts w:ascii="Tahoma" w:hAnsi="Tahoma" w:cs="Tahoma"/>
          <w:sz w:val="18"/>
          <w:szCs w:val="18"/>
        </w:rPr>
      </w:pPr>
    </w:p>
    <w:p w:rsidR="002F7FB8" w:rsidRPr="00BD7CEA" w:rsidRDefault="002F7FB8" w:rsidP="00846611">
      <w:pPr>
        <w:pStyle w:val="FootnoteBulletLevel2"/>
        <w:tabs>
          <w:tab w:val="clear" w:pos="1260"/>
        </w:tabs>
        <w:adjustRightInd/>
        <w:spacing w:before="0"/>
        <w:ind w:left="720" w:firstLine="0"/>
        <w:textAlignment w:val="auto"/>
      </w:pPr>
      <w:r w:rsidRPr="00BD7CEA">
        <w:rPr>
          <w:rFonts w:ascii="Tahoma" w:hAnsi="Tahoma" w:cs="Tahoma"/>
          <w:sz w:val="18"/>
          <w:szCs w:val="18"/>
        </w:rPr>
        <w:t>Le società che intendono acquistare sia gli Aggiornamenti per Windows 8 Pro che Software Assurance dispongono delle seguenti opzioni:</w:t>
      </w:r>
    </w:p>
    <w:p w:rsidR="00B04B81" w:rsidRPr="000F3974" w:rsidRDefault="00B04B81" w:rsidP="00846611">
      <w:pPr>
        <w:pStyle w:val="FootnoteBulletLevel2"/>
        <w:tabs>
          <w:tab w:val="clear" w:pos="1260"/>
        </w:tabs>
        <w:adjustRightInd/>
        <w:spacing w:before="0"/>
        <w:ind w:left="720" w:firstLine="0"/>
        <w:textAlignment w:val="auto"/>
        <w:rPr>
          <w:sz w:val="18"/>
          <w:szCs w:val="18"/>
        </w:rPr>
      </w:pPr>
    </w:p>
    <w:p w:rsidR="002F7FB8" w:rsidRPr="00BD7CEA" w:rsidRDefault="002F7FB8" w:rsidP="007358C5">
      <w:pPr>
        <w:pStyle w:val="FootnoteBulletLevel2"/>
        <w:numPr>
          <w:ilvl w:val="0"/>
          <w:numId w:val="25"/>
        </w:numPr>
        <w:adjustRightInd/>
        <w:spacing w:before="0" w:after="60"/>
        <w:ind w:left="1440"/>
        <w:textAlignment w:val="auto"/>
      </w:pPr>
      <w:r w:rsidRPr="00BD7CEA">
        <w:rPr>
          <w:rFonts w:ascii="Tahoma" w:hAnsi="Tahoma" w:cs="Tahoma"/>
          <w:sz w:val="18"/>
          <w:szCs w:val="18"/>
        </w:rPr>
        <w:t>Programmi Select, Open Value (opzione non per l</w:t>
      </w:r>
      <w:r w:rsidR="007A1415" w:rsidRPr="00BD7CEA">
        <w:rPr>
          <w:rFonts w:ascii="Tahoma" w:hAnsi="Tahoma" w:cs="Tahoma"/>
          <w:sz w:val="18"/>
          <w:szCs w:val="18"/>
        </w:rPr>
        <w:t>’</w:t>
      </w:r>
      <w:r w:rsidRPr="00BD7CEA">
        <w:rPr>
          <w:rFonts w:ascii="Tahoma" w:hAnsi="Tahoma" w:cs="Tahoma"/>
          <w:sz w:val="18"/>
          <w:szCs w:val="18"/>
        </w:rPr>
        <w:t>intera azienda) e Open License:</w:t>
      </w:r>
    </w:p>
    <w:p w:rsidR="002F7FB8" w:rsidRPr="00BD7CEA" w:rsidRDefault="002F7FB8" w:rsidP="007358C5">
      <w:pPr>
        <w:pStyle w:val="Footnotedash"/>
        <w:numPr>
          <w:ilvl w:val="1"/>
          <w:numId w:val="31"/>
        </w:numPr>
        <w:spacing w:before="0"/>
        <w:ind w:left="1800"/>
      </w:pPr>
      <w:r w:rsidRPr="00BD7CEA">
        <w:rPr>
          <w:rFonts w:ascii="Tahoma" w:eastAsia="Calibri" w:hAnsi="Tahoma" w:cs="Tahoma"/>
          <w:color w:val="000000"/>
          <w:sz w:val="18"/>
          <w:szCs w:val="18"/>
        </w:rPr>
        <w:t>Acquistare gli Aggiornamenti per Windows 8 Pro e Software Assurance per i desktop per i quali la società ha ottenuto in licenza e installato uno dei sistemi operativi qualificanti elencati nella precedente tabella degli Aggiornamenti per Windows.</w:t>
      </w:r>
    </w:p>
    <w:p w:rsidR="002F7FB8" w:rsidRPr="00BD7CEA" w:rsidRDefault="002F7FB8" w:rsidP="007358C5">
      <w:pPr>
        <w:pStyle w:val="Footnotedash"/>
        <w:numPr>
          <w:ilvl w:val="2"/>
          <w:numId w:val="84"/>
        </w:numPr>
        <w:spacing w:before="0"/>
        <w:ind w:left="1800"/>
      </w:pPr>
      <w:r w:rsidRPr="00BD7CEA">
        <w:rPr>
          <w:rFonts w:ascii="Tahoma" w:eastAsia="Calibri" w:hAnsi="Tahoma" w:cs="Tahoma"/>
          <w:color w:val="000000"/>
          <w:sz w:val="18"/>
          <w:szCs w:val="18"/>
        </w:rPr>
        <w:t>La società potrà riassegnare la copertura Software Assurance per i sistemi operativi desktop dal desktop originale a un desktop sostitutivo, ma non a breve termine, ovvero non entro 90</w:t>
      </w:r>
      <w:r w:rsidR="00D45A36">
        <w:rPr>
          <w:rFonts w:ascii="Tahoma" w:eastAsia="Calibri" w:hAnsi="Tahoma" w:cs="Tahoma"/>
          <w:color w:val="000000"/>
          <w:sz w:val="18"/>
          <w:szCs w:val="18"/>
        </w:rPr>
        <w:t> </w:t>
      </w:r>
      <w:r w:rsidRPr="00BD7CEA">
        <w:rPr>
          <w:rFonts w:ascii="Tahoma" w:eastAsia="Calibri" w:hAnsi="Tahoma" w:cs="Tahoma"/>
          <w:color w:val="000000"/>
          <w:sz w:val="18"/>
          <w:szCs w:val="18"/>
        </w:rPr>
        <w:t>giorni dall</w:t>
      </w:r>
      <w:r w:rsidR="007A1415" w:rsidRPr="00BD7CEA">
        <w:rPr>
          <w:rFonts w:ascii="Tahoma" w:eastAsia="Calibri" w:hAnsi="Tahoma" w:cs="Tahoma"/>
          <w:color w:val="000000"/>
          <w:sz w:val="18"/>
          <w:szCs w:val="18"/>
        </w:rPr>
        <w:t>’</w:t>
      </w:r>
      <w:r w:rsidRPr="00BD7CEA">
        <w:rPr>
          <w:rFonts w:ascii="Tahoma" w:eastAsia="Calibri" w:hAnsi="Tahoma" w:cs="Tahoma"/>
          <w:color w:val="000000"/>
          <w:sz w:val="18"/>
          <w:szCs w:val="18"/>
        </w:rPr>
        <w:t>ultima cessione, a condizione che (1) la società abbia ottenuto in licenza e installato sul desktop sostitutivo l</w:t>
      </w:r>
      <w:r w:rsidR="007A1415" w:rsidRPr="00BD7CEA">
        <w:rPr>
          <w:rFonts w:ascii="Tahoma" w:eastAsia="Calibri" w:hAnsi="Tahoma" w:cs="Tahoma"/>
          <w:color w:val="000000"/>
          <w:sz w:val="18"/>
          <w:szCs w:val="18"/>
        </w:rPr>
        <w:t>’</w:t>
      </w:r>
      <w:r w:rsidRPr="00BD7CEA">
        <w:rPr>
          <w:rFonts w:ascii="Tahoma" w:eastAsia="Calibri" w:hAnsi="Tahoma" w:cs="Tahoma"/>
          <w:color w:val="000000"/>
          <w:sz w:val="18"/>
          <w:szCs w:val="18"/>
        </w:rPr>
        <w:t>ultima versione del sistema operativo e (2) la società rimuova qualsiasi aggiornamento del sistema operativo desktop correlato dal desktop originale.</w:t>
      </w:r>
    </w:p>
    <w:p w:rsidR="00A84DF7" w:rsidRPr="00BD7CEA" w:rsidRDefault="002F7FB8" w:rsidP="007358C5">
      <w:pPr>
        <w:pStyle w:val="FootnoteBulletLevel2"/>
        <w:numPr>
          <w:ilvl w:val="0"/>
          <w:numId w:val="25"/>
        </w:numPr>
        <w:adjustRightInd/>
        <w:spacing w:before="0" w:after="60"/>
        <w:ind w:left="1440"/>
        <w:textAlignment w:val="auto"/>
      </w:pPr>
      <w:r w:rsidRPr="00BD7CEA">
        <w:rPr>
          <w:rFonts w:ascii="Tahoma" w:hAnsi="Tahoma" w:cs="Tahoma"/>
          <w:sz w:val="18"/>
          <w:szCs w:val="18"/>
        </w:rPr>
        <w:t>Iscrizioni Enterprise e Contratti Open Value per l</w:t>
      </w:r>
      <w:r w:rsidR="007A1415" w:rsidRPr="00BD7CEA">
        <w:rPr>
          <w:rFonts w:ascii="Tahoma" w:hAnsi="Tahoma" w:cs="Tahoma"/>
          <w:sz w:val="18"/>
          <w:szCs w:val="18"/>
        </w:rPr>
        <w:t>’</w:t>
      </w:r>
      <w:r w:rsidRPr="00BD7CEA">
        <w:rPr>
          <w:rFonts w:ascii="Tahoma" w:hAnsi="Tahoma" w:cs="Tahoma"/>
          <w:sz w:val="18"/>
          <w:szCs w:val="18"/>
        </w:rPr>
        <w:t>intera organizzazione (perpetui e subscription):</w:t>
      </w:r>
    </w:p>
    <w:p w:rsidR="00A84DF7" w:rsidRPr="00BD7CEA" w:rsidRDefault="002F7FB8" w:rsidP="007358C5">
      <w:pPr>
        <w:pStyle w:val="Footnotedash"/>
        <w:numPr>
          <w:ilvl w:val="1"/>
          <w:numId w:val="31"/>
        </w:numPr>
        <w:spacing w:before="0"/>
        <w:ind w:left="1800"/>
      </w:pPr>
      <w:r w:rsidRPr="00BD7CEA">
        <w:rPr>
          <w:rFonts w:ascii="Tahoma" w:eastAsia="Calibri" w:hAnsi="Tahoma" w:cs="Tahoma"/>
          <w:color w:val="000000"/>
          <w:sz w:val="18"/>
          <w:szCs w:val="18"/>
        </w:rPr>
        <w:t xml:space="preserve">Iscrizioni Enterprise Iniziali o Contratti Open Value (base installata): </w:t>
      </w:r>
    </w:p>
    <w:p w:rsidR="00A84DF7" w:rsidRPr="00BD7CEA" w:rsidRDefault="002F7FB8" w:rsidP="007358C5">
      <w:pPr>
        <w:pStyle w:val="Footnotedash"/>
        <w:numPr>
          <w:ilvl w:val="1"/>
          <w:numId w:val="31"/>
        </w:numPr>
        <w:spacing w:before="0"/>
        <w:ind w:left="1800"/>
      </w:pPr>
      <w:r w:rsidRPr="00BD7CEA">
        <w:rPr>
          <w:rFonts w:ascii="Tahoma" w:eastAsia="Calibri" w:hAnsi="Tahoma" w:cs="Tahoma"/>
          <w:color w:val="000000"/>
          <w:sz w:val="18"/>
          <w:szCs w:val="18"/>
        </w:rPr>
        <w:t>Acquistare l</w:t>
      </w:r>
      <w:r w:rsidR="007A1415" w:rsidRPr="00BD7CEA">
        <w:rPr>
          <w:rFonts w:ascii="Tahoma" w:eastAsia="Calibri" w:hAnsi="Tahoma" w:cs="Tahoma"/>
          <w:color w:val="000000"/>
          <w:sz w:val="18"/>
          <w:szCs w:val="18"/>
        </w:rPr>
        <w:t>’</w:t>
      </w:r>
      <w:r w:rsidRPr="00BD7CEA">
        <w:rPr>
          <w:rFonts w:ascii="Tahoma" w:eastAsia="Calibri" w:hAnsi="Tahoma" w:cs="Tahoma"/>
          <w:color w:val="000000"/>
          <w:sz w:val="18"/>
          <w:szCs w:val="18"/>
        </w:rPr>
        <w:t>Aggiornamento per Windows 8 Pro e Software Assurance per tutti i desktop qualificati della base installata. La “base installata” è costituita da tutti i desktop qualificati della società e delle consociate della società alla data di entrata in vigore dell</w:t>
      </w:r>
      <w:r w:rsidR="007A1415" w:rsidRPr="00BD7CEA">
        <w:rPr>
          <w:rFonts w:ascii="Tahoma" w:eastAsia="Calibri" w:hAnsi="Tahoma" w:cs="Tahoma"/>
          <w:color w:val="000000"/>
          <w:sz w:val="18"/>
          <w:szCs w:val="18"/>
        </w:rPr>
        <w:t>’</w:t>
      </w:r>
      <w:r w:rsidRPr="00BD7CEA">
        <w:rPr>
          <w:rFonts w:ascii="Tahoma" w:eastAsia="Calibri" w:hAnsi="Tahoma" w:cs="Tahoma"/>
          <w:color w:val="000000"/>
          <w:sz w:val="18"/>
          <w:szCs w:val="18"/>
        </w:rPr>
        <w:t>iscrizione o</w:t>
      </w:r>
      <w:r w:rsidR="00B31E74" w:rsidRPr="00BD7CEA">
        <w:rPr>
          <w:rFonts w:ascii="Tahoma" w:eastAsia="Calibri" w:hAnsi="Tahoma" w:cs="Tahoma"/>
          <w:color w:val="000000"/>
          <w:sz w:val="18"/>
          <w:szCs w:val="18"/>
        </w:rPr>
        <w:t> </w:t>
      </w:r>
      <w:r w:rsidRPr="00BD7CEA">
        <w:rPr>
          <w:rFonts w:ascii="Tahoma" w:eastAsia="Calibri" w:hAnsi="Tahoma" w:cs="Tahoma"/>
          <w:color w:val="000000"/>
          <w:sz w:val="18"/>
          <w:szCs w:val="18"/>
        </w:rPr>
        <w:t>del</w:t>
      </w:r>
      <w:r w:rsidR="00B31E74" w:rsidRPr="00BD7CEA">
        <w:rPr>
          <w:rFonts w:ascii="Tahoma" w:eastAsia="Calibri" w:hAnsi="Tahoma" w:cs="Tahoma"/>
          <w:color w:val="000000"/>
          <w:sz w:val="18"/>
          <w:szCs w:val="18"/>
        </w:rPr>
        <w:t> </w:t>
      </w:r>
      <w:r w:rsidRPr="00BD7CEA">
        <w:rPr>
          <w:rFonts w:ascii="Tahoma" w:eastAsia="Calibri" w:hAnsi="Tahoma" w:cs="Tahoma"/>
          <w:color w:val="000000"/>
          <w:sz w:val="18"/>
          <w:szCs w:val="18"/>
        </w:rPr>
        <w:t>contratto.</w:t>
      </w:r>
      <w:r w:rsidR="008D782D" w:rsidRPr="00BD7CEA">
        <w:rPr>
          <w:rFonts w:ascii="Tahoma" w:eastAsia="Calibri" w:hAnsi="Tahoma" w:cs="Tahoma"/>
          <w:color w:val="000000"/>
          <w:sz w:val="18"/>
          <w:szCs w:val="18"/>
        </w:rPr>
        <w:t xml:space="preserve"> </w:t>
      </w:r>
      <w:r w:rsidRPr="00BD7CEA">
        <w:rPr>
          <w:rFonts w:ascii="Tahoma" w:eastAsia="Calibri" w:hAnsi="Tahoma" w:cs="Tahoma"/>
          <w:color w:val="000000"/>
          <w:sz w:val="18"/>
          <w:szCs w:val="18"/>
        </w:rPr>
        <w:t>La società dovrà disporre della licenza per e avere installato uno dei sistemi operativi qualificanti indicati nella precedente tabella degli Aggiornamenti di Windows, nella colonna “Nuovo EA/OV-CW” su tutti i desktop qualificati della base installata su cui sarà eseguito il sistema operativo Windows.</w:t>
      </w:r>
    </w:p>
    <w:p w:rsidR="002F7FB8" w:rsidRPr="00BD7CEA" w:rsidRDefault="002F7FB8" w:rsidP="007358C5">
      <w:pPr>
        <w:pStyle w:val="Footnotedash"/>
        <w:numPr>
          <w:ilvl w:val="1"/>
          <w:numId w:val="31"/>
        </w:numPr>
        <w:spacing w:before="0"/>
        <w:ind w:left="1800"/>
      </w:pPr>
      <w:r w:rsidRPr="00BD7CEA">
        <w:rPr>
          <w:rFonts w:ascii="Tahoma" w:eastAsia="Calibri" w:hAnsi="Tahoma" w:cs="Tahoma"/>
          <w:color w:val="000000"/>
          <w:sz w:val="18"/>
          <w:szCs w:val="18"/>
        </w:rPr>
        <w:t>Iscrizioni Enterprise Esistenti o Contratti Open Value (true-up e sostituzioni):</w:t>
      </w:r>
    </w:p>
    <w:p w:rsidR="002F7FB8" w:rsidRPr="00BD7CEA" w:rsidRDefault="002F7FB8" w:rsidP="007358C5">
      <w:pPr>
        <w:pStyle w:val="Footnotedash"/>
        <w:numPr>
          <w:ilvl w:val="1"/>
          <w:numId w:val="31"/>
        </w:numPr>
        <w:spacing w:before="0"/>
        <w:ind w:left="1800"/>
      </w:pPr>
      <w:r w:rsidRPr="00BD7CEA">
        <w:rPr>
          <w:rFonts w:ascii="Tahoma" w:eastAsia="Calibri" w:hAnsi="Tahoma" w:cs="Tahoma"/>
          <w:color w:val="000000"/>
          <w:sz w:val="18"/>
          <w:szCs w:val="18"/>
        </w:rPr>
        <w:t>Acquistare l</w:t>
      </w:r>
      <w:r w:rsidR="007A1415" w:rsidRPr="00BD7CEA">
        <w:rPr>
          <w:rFonts w:ascii="Tahoma" w:eastAsia="Calibri" w:hAnsi="Tahoma" w:cs="Tahoma"/>
          <w:color w:val="000000"/>
          <w:sz w:val="18"/>
          <w:szCs w:val="18"/>
        </w:rPr>
        <w:t>’</w:t>
      </w:r>
      <w:r w:rsidRPr="00BD7CEA">
        <w:rPr>
          <w:rFonts w:ascii="Tahoma" w:eastAsia="Calibri" w:hAnsi="Tahoma" w:cs="Tahoma"/>
          <w:color w:val="000000"/>
          <w:sz w:val="18"/>
          <w:szCs w:val="18"/>
        </w:rPr>
        <w:t>Aggiornamento per Windows 8 Pro e Software Assurance per tutti i nuovi desktop o dispositivi qualificati su cui verrà eseguito il sistema operativo Windows. La società dovrà avere ottenuto in licenza e installato su tali desktop e dispositivi qualificati, sia nuovi che sostitutivi, acquisiti da una fonte qualsiasi, tranne una fusione o acquisizione, uno dei sistemi operativi qualificanti indicati nella precedente tabella degli Aggiornamenti di Windows, nella colonna “EA/OV-CW Esistente”. La società dovrà avere ottenuto in licenza e installato su tali desktop qualificati, sia nuovi che sostitutivi, acquisiti tramite una fusione o acquisizione, uno</w:t>
      </w:r>
      <w:r w:rsidR="00B31E74" w:rsidRPr="00BD7CEA">
        <w:rPr>
          <w:rFonts w:ascii="Tahoma" w:eastAsia="Calibri" w:hAnsi="Tahoma" w:cs="Tahoma"/>
          <w:color w:val="000000"/>
          <w:sz w:val="18"/>
          <w:szCs w:val="18"/>
        </w:rPr>
        <w:t> </w:t>
      </w:r>
      <w:r w:rsidRPr="00BD7CEA">
        <w:rPr>
          <w:rFonts w:ascii="Tahoma" w:eastAsia="Calibri" w:hAnsi="Tahoma" w:cs="Tahoma"/>
          <w:color w:val="000000"/>
          <w:sz w:val="18"/>
          <w:szCs w:val="18"/>
        </w:rPr>
        <w:t>dei sistemi operativi qualificanti indicati nella precedente tabella degli Aggiornamenti di</w:t>
      </w:r>
      <w:r w:rsidR="00B31E74" w:rsidRPr="00BD7CEA">
        <w:rPr>
          <w:rFonts w:ascii="Tahoma" w:eastAsia="Calibri" w:hAnsi="Tahoma" w:cs="Tahoma"/>
          <w:color w:val="000000"/>
          <w:sz w:val="18"/>
          <w:szCs w:val="18"/>
        </w:rPr>
        <w:t> </w:t>
      </w:r>
      <w:r w:rsidRPr="00BD7CEA">
        <w:rPr>
          <w:rFonts w:ascii="Tahoma" w:eastAsia="Calibri" w:hAnsi="Tahoma" w:cs="Tahoma"/>
          <w:color w:val="000000"/>
          <w:sz w:val="18"/>
          <w:szCs w:val="18"/>
        </w:rPr>
        <w:t>Windows, nella colonna “Nuovo EA/OV-CW”.</w:t>
      </w:r>
    </w:p>
    <w:p w:rsidR="002F7FB8" w:rsidRPr="00BD7CEA" w:rsidRDefault="002F7FB8" w:rsidP="007358C5">
      <w:pPr>
        <w:pStyle w:val="FootnoteBulletLevel2"/>
        <w:numPr>
          <w:ilvl w:val="0"/>
          <w:numId w:val="25"/>
        </w:numPr>
        <w:adjustRightInd/>
        <w:spacing w:before="0" w:after="60"/>
        <w:ind w:left="1440"/>
        <w:textAlignment w:val="auto"/>
      </w:pPr>
      <w:r w:rsidRPr="00BD7CEA">
        <w:rPr>
          <w:rFonts w:ascii="Tahoma" w:hAnsi="Tahoma" w:cs="Tahoma"/>
          <w:sz w:val="18"/>
          <w:szCs w:val="18"/>
        </w:rPr>
        <w:t>Le società con Contratti Campus e School e Open Value Subscription</w:t>
      </w:r>
      <w:r w:rsidR="00FD7C0D">
        <w:rPr>
          <w:rFonts w:ascii="Tahoma" w:hAnsi="Tahoma" w:cs="Tahoma"/>
          <w:sz w:val="18"/>
          <w:szCs w:val="18"/>
        </w:rPr>
        <w:t xml:space="preserve"> – </w:t>
      </w:r>
      <w:r w:rsidRPr="00BD7CEA">
        <w:rPr>
          <w:rFonts w:ascii="Tahoma" w:hAnsi="Tahoma" w:cs="Tahoma"/>
          <w:sz w:val="18"/>
          <w:szCs w:val="18"/>
        </w:rPr>
        <w:t xml:space="preserve">Education Solutions: </w:t>
      </w:r>
    </w:p>
    <w:p w:rsidR="002F7FB8" w:rsidRPr="00BD7CEA" w:rsidRDefault="002F7FB8" w:rsidP="007358C5">
      <w:pPr>
        <w:pStyle w:val="Footnotedash"/>
        <w:numPr>
          <w:ilvl w:val="1"/>
          <w:numId w:val="31"/>
        </w:numPr>
        <w:spacing w:before="0"/>
        <w:ind w:left="1800"/>
      </w:pPr>
      <w:r w:rsidRPr="00BD7CEA">
        <w:rPr>
          <w:rFonts w:ascii="Tahoma" w:eastAsia="Calibri" w:hAnsi="Tahoma" w:cs="Tahoma"/>
          <w:color w:val="000000"/>
          <w:sz w:val="18"/>
          <w:szCs w:val="18"/>
        </w:rPr>
        <w:t>Il sistema operativo Windows è concesso in licenza esclusivamente come aggiornamento. Di conseguenza, le società che intendono eseguire il sistema operativo Windows devono prima avere ottenuto in licenza e installato un sistema operativo qualificante sul loro desktop. Per essere qualificante, il sistema operativo deve essere inserito nell</w:t>
      </w:r>
      <w:r w:rsidR="007A1415" w:rsidRPr="00BD7CEA">
        <w:rPr>
          <w:rFonts w:ascii="Tahoma" w:eastAsia="Calibri" w:hAnsi="Tahoma" w:cs="Tahoma"/>
          <w:color w:val="000000"/>
          <w:sz w:val="18"/>
          <w:szCs w:val="18"/>
        </w:rPr>
        <w:t>’</w:t>
      </w:r>
      <w:r w:rsidRPr="00BD7CEA">
        <w:rPr>
          <w:rFonts w:ascii="Tahoma" w:eastAsia="Calibri" w:hAnsi="Tahoma" w:cs="Tahoma"/>
          <w:color w:val="000000"/>
          <w:sz w:val="18"/>
          <w:szCs w:val="18"/>
        </w:rPr>
        <w:t xml:space="preserve">elenco dei sistemi operativi qualificanti indicati nella tabella degli Aggiornamenti di Windows nella colonna “Academic”. </w:t>
      </w:r>
    </w:p>
    <w:p w:rsidR="00B47893" w:rsidRPr="000F3974" w:rsidRDefault="002F7FB8" w:rsidP="007358C5">
      <w:pPr>
        <w:pStyle w:val="Footnotedash"/>
        <w:numPr>
          <w:ilvl w:val="1"/>
          <w:numId w:val="31"/>
        </w:numPr>
        <w:spacing w:before="0" w:after="0"/>
        <w:ind w:left="1800"/>
        <w:rPr>
          <w:sz w:val="18"/>
          <w:szCs w:val="18"/>
        </w:rPr>
      </w:pPr>
      <w:r w:rsidRPr="000F3974">
        <w:rPr>
          <w:rFonts w:ascii="Tahoma" w:eastAsia="Calibri" w:hAnsi="Tahoma" w:cs="Tahoma"/>
          <w:color w:val="000000"/>
          <w:sz w:val="18"/>
          <w:szCs w:val="18"/>
        </w:rPr>
        <w:t>Nonostante eventuali disposizioni contrarie dei Diritti di Utilizzo del Prodotto, agli istituti che scelgono l</w:t>
      </w:r>
      <w:r w:rsidR="007A1415" w:rsidRPr="000F3974">
        <w:rPr>
          <w:rFonts w:ascii="Tahoma" w:eastAsia="Calibri" w:hAnsi="Tahoma" w:cs="Tahoma"/>
          <w:color w:val="000000"/>
          <w:sz w:val="18"/>
          <w:szCs w:val="18"/>
        </w:rPr>
        <w:t>’</w:t>
      </w:r>
      <w:r w:rsidRPr="000F3974">
        <w:rPr>
          <w:rFonts w:ascii="Tahoma" w:eastAsia="Calibri" w:hAnsi="Tahoma" w:cs="Tahoma"/>
          <w:color w:val="000000"/>
          <w:sz w:val="18"/>
          <w:szCs w:val="18"/>
        </w:rPr>
        <w:t>Opzione per Studente viene concessa una sola istanza di Windows To Go per ogni dispositivo con licenza in dotazione a uno studente.</w:t>
      </w:r>
      <w:r w:rsidR="008D782D" w:rsidRPr="000F3974">
        <w:rPr>
          <w:rFonts w:ascii="Tahoma" w:eastAsia="Calibri" w:hAnsi="Tahoma" w:cs="Tahoma"/>
          <w:color w:val="000000"/>
          <w:sz w:val="18"/>
          <w:szCs w:val="18"/>
        </w:rPr>
        <w:t xml:space="preserve"> </w:t>
      </w:r>
      <w:r w:rsidRPr="000F3974">
        <w:rPr>
          <w:rFonts w:ascii="Tahoma" w:eastAsia="Calibri" w:hAnsi="Tahoma" w:cs="Tahoma"/>
          <w:color w:val="000000"/>
          <w:sz w:val="18"/>
          <w:szCs w:val="18"/>
        </w:rPr>
        <w:t>Gli istituti dovranno verificare che gli studenti che non sono più iscritti all</w:t>
      </w:r>
      <w:r w:rsidR="007A1415" w:rsidRPr="000F3974">
        <w:rPr>
          <w:rFonts w:ascii="Tahoma" w:eastAsia="Calibri" w:hAnsi="Tahoma" w:cs="Tahoma"/>
          <w:color w:val="000000"/>
          <w:sz w:val="18"/>
          <w:szCs w:val="18"/>
        </w:rPr>
        <w:t>’</w:t>
      </w:r>
      <w:r w:rsidRPr="000F3974">
        <w:rPr>
          <w:rFonts w:ascii="Tahoma" w:eastAsia="Calibri" w:hAnsi="Tahoma" w:cs="Tahoma"/>
          <w:color w:val="000000"/>
          <w:sz w:val="18"/>
          <w:szCs w:val="18"/>
        </w:rPr>
        <w:t>istituto cessino di utilizzare Windows To Go e restituiscano all</w:t>
      </w:r>
      <w:r w:rsidR="007A1415" w:rsidRPr="000F3974">
        <w:rPr>
          <w:rFonts w:ascii="Tahoma" w:eastAsia="Calibri" w:hAnsi="Tahoma" w:cs="Tahoma"/>
          <w:color w:val="000000"/>
          <w:sz w:val="18"/>
          <w:szCs w:val="18"/>
        </w:rPr>
        <w:t>’</w:t>
      </w:r>
      <w:r w:rsidRPr="000F3974">
        <w:rPr>
          <w:rFonts w:ascii="Tahoma" w:eastAsia="Calibri" w:hAnsi="Tahoma" w:cs="Tahoma"/>
          <w:color w:val="000000"/>
          <w:sz w:val="18"/>
          <w:szCs w:val="18"/>
        </w:rPr>
        <w:t>istituto i dispositivi USB in cui è installata un</w:t>
      </w:r>
      <w:r w:rsidR="007A1415" w:rsidRPr="000F3974">
        <w:rPr>
          <w:rFonts w:ascii="Tahoma" w:eastAsia="Calibri" w:hAnsi="Tahoma" w:cs="Tahoma"/>
          <w:color w:val="000000"/>
          <w:sz w:val="18"/>
          <w:szCs w:val="18"/>
        </w:rPr>
        <w:t>’</w:t>
      </w:r>
      <w:r w:rsidRPr="000F3974">
        <w:rPr>
          <w:rFonts w:ascii="Tahoma" w:eastAsia="Calibri" w:hAnsi="Tahoma" w:cs="Tahoma"/>
          <w:color w:val="000000"/>
          <w:sz w:val="18"/>
          <w:szCs w:val="18"/>
        </w:rPr>
        <w:t xml:space="preserve">istanza di Windows To Go. </w:t>
      </w:r>
      <w:r w:rsidRPr="000F3974">
        <w:rPr>
          <w:rFonts w:ascii="Tahoma" w:hAnsi="Tahoma" w:cs="Tahoma"/>
          <w:sz w:val="18"/>
          <w:szCs w:val="18"/>
        </w:rPr>
        <w:t>Gli istituti che scelgono l</w:t>
      </w:r>
      <w:r w:rsidR="007A1415" w:rsidRPr="000F3974">
        <w:rPr>
          <w:rFonts w:ascii="Tahoma" w:hAnsi="Tahoma" w:cs="Tahoma"/>
          <w:sz w:val="18"/>
          <w:szCs w:val="18"/>
        </w:rPr>
        <w:t>’</w:t>
      </w:r>
      <w:r w:rsidRPr="000F3974">
        <w:rPr>
          <w:rFonts w:ascii="Tahoma" w:hAnsi="Tahoma" w:cs="Tahoma"/>
          <w:sz w:val="18"/>
          <w:szCs w:val="18"/>
        </w:rPr>
        <w:t>Opzione per Studente non potranno installare Windows Enterprise sui dispositivi di</w:t>
      </w:r>
      <w:r w:rsidR="00B31E74" w:rsidRPr="000F3974">
        <w:rPr>
          <w:rFonts w:ascii="Tahoma" w:hAnsi="Tahoma" w:cs="Tahoma"/>
          <w:sz w:val="18"/>
          <w:szCs w:val="18"/>
        </w:rPr>
        <w:t> </w:t>
      </w:r>
      <w:r w:rsidRPr="000F3974">
        <w:rPr>
          <w:rFonts w:ascii="Tahoma" w:hAnsi="Tahoma" w:cs="Tahoma"/>
          <w:sz w:val="18"/>
          <w:szCs w:val="18"/>
        </w:rPr>
        <w:t>proprietà degli studenti.</w:t>
      </w:r>
    </w:p>
    <w:p w:rsidR="00973A93" w:rsidRPr="00BD7CEA" w:rsidRDefault="00973A93" w:rsidP="00AF3B19"/>
    <w:p w:rsidR="00B31E74" w:rsidRPr="00BD7CEA" w:rsidRDefault="00B31E74" w:rsidP="00AF3B19"/>
    <w:p w:rsidR="00B31E74" w:rsidRPr="00BD7CEA" w:rsidRDefault="00B31E74" w:rsidP="00AF3B19"/>
    <w:p w:rsidR="00B31E74" w:rsidRPr="00BD7CEA" w:rsidRDefault="00B31E74" w:rsidP="00AF3B19"/>
    <w:p w:rsidR="00B73A46" w:rsidRPr="00BD7CEA" w:rsidRDefault="00B73A46" w:rsidP="00F64DEA">
      <w:pPr>
        <w:pStyle w:val="FootnoteBulletLevel1"/>
        <w:tabs>
          <w:tab w:val="clear" w:pos="900"/>
        </w:tabs>
        <w:adjustRightInd/>
        <w:spacing w:before="0" w:after="60"/>
        <w:ind w:left="720" w:firstLine="0"/>
        <w:textAlignment w:val="auto"/>
      </w:pPr>
      <w:r w:rsidRPr="00BD7CEA">
        <w:rPr>
          <w:rFonts w:ascii="Tahoma" w:hAnsi="Tahoma" w:cs="Tahoma"/>
          <w:b/>
          <w:bCs/>
          <w:sz w:val="18"/>
          <w:szCs w:val="18"/>
        </w:rPr>
        <w:lastRenderedPageBreak/>
        <w:t>Microsoft Windows XP Professional N (non contiene Windows Media Player)</w:t>
      </w:r>
    </w:p>
    <w:p w:rsidR="00B73A46" w:rsidRPr="00BD7CEA" w:rsidRDefault="00B73A46" w:rsidP="00F64DEA">
      <w:pPr>
        <w:pStyle w:val="FootnoteBulletLevel2"/>
        <w:tabs>
          <w:tab w:val="clear" w:pos="1260"/>
          <w:tab w:val="num" w:pos="900"/>
        </w:tabs>
        <w:spacing w:before="0"/>
        <w:ind w:left="720" w:firstLine="0"/>
      </w:pPr>
      <w:r w:rsidRPr="00BD7CEA">
        <w:rPr>
          <w:rFonts w:ascii="Tahoma" w:hAnsi="Tahoma" w:cs="Tahoma"/>
          <w:sz w:val="18"/>
          <w:szCs w:val="18"/>
          <w:u w:val="single"/>
        </w:rPr>
        <w:t>Requisiti di Idoneità</w:t>
      </w:r>
      <w:r w:rsidRPr="000F3974">
        <w:rPr>
          <w:rFonts w:ascii="Tahoma" w:hAnsi="Tahoma" w:cs="Tahoma"/>
          <w:sz w:val="18"/>
          <w:szCs w:val="18"/>
        </w:rPr>
        <w:t>:</w:t>
      </w:r>
      <w:r w:rsidRPr="00BD7CEA">
        <w:rPr>
          <w:rFonts w:ascii="Tahoma" w:hAnsi="Tahoma" w:cs="Tahoma"/>
          <w:sz w:val="18"/>
          <w:szCs w:val="18"/>
        </w:rPr>
        <w:br/>
        <w:t>le società che hanno stipulato un contratto multilicenza e che soddisfano tutti i criteri che seguono sono idonee ad acquistare il supporto per Microsoft Windows XP Professional N.</w:t>
      </w:r>
    </w:p>
    <w:p w:rsidR="00F64DEA" w:rsidRPr="00BD7CEA" w:rsidRDefault="00F64DEA" w:rsidP="00F64DEA">
      <w:pPr>
        <w:pStyle w:val="FootnoteBulletLevel2"/>
        <w:tabs>
          <w:tab w:val="clear" w:pos="1260"/>
          <w:tab w:val="num" w:pos="900"/>
        </w:tabs>
        <w:spacing w:before="0"/>
        <w:ind w:left="720" w:firstLine="0"/>
      </w:pPr>
    </w:p>
    <w:p w:rsidR="00B73A46" w:rsidRPr="00BD7CEA" w:rsidRDefault="00B73A46" w:rsidP="00F64DEA">
      <w:pPr>
        <w:pStyle w:val="Footnotedash"/>
        <w:tabs>
          <w:tab w:val="clear" w:pos="1620"/>
          <w:tab w:val="num" w:pos="2160"/>
        </w:tabs>
        <w:spacing w:before="0" w:after="0"/>
        <w:ind w:left="720" w:firstLine="7"/>
      </w:pPr>
      <w:r w:rsidRPr="00BD7CEA">
        <w:rPr>
          <w:rFonts w:ascii="Tahoma" w:hAnsi="Tahoma" w:cs="Tahoma"/>
          <w:sz w:val="18"/>
          <w:szCs w:val="18"/>
        </w:rPr>
        <w:t xml:space="preserve">Devono disporre di almeno uno dei seguenti contratti o iscrizioni attivi con Microsoft Ireland Operations Ltd: </w:t>
      </w:r>
    </w:p>
    <w:p w:rsidR="00F64DEA" w:rsidRPr="00BD7CEA" w:rsidRDefault="00F64DEA" w:rsidP="00F64DEA">
      <w:pPr>
        <w:pStyle w:val="Footnotedash"/>
        <w:tabs>
          <w:tab w:val="clear" w:pos="1620"/>
          <w:tab w:val="num" w:pos="2160"/>
        </w:tabs>
        <w:spacing w:before="0" w:after="0"/>
        <w:ind w:left="720" w:firstLine="7"/>
      </w:pPr>
    </w:p>
    <w:p w:rsidR="00B73A46" w:rsidRPr="00BD7CEA" w:rsidRDefault="00B73A46" w:rsidP="007358C5">
      <w:pPr>
        <w:pStyle w:val="Footnotedash"/>
        <w:numPr>
          <w:ilvl w:val="0"/>
          <w:numId w:val="32"/>
        </w:numPr>
        <w:adjustRightInd/>
        <w:spacing w:before="0"/>
        <w:ind w:left="1440"/>
        <w:textAlignment w:val="auto"/>
      </w:pPr>
      <w:r w:rsidRPr="00BD7CEA">
        <w:rPr>
          <w:rFonts w:ascii="Tahoma" w:hAnsi="Tahoma" w:cs="Tahoma"/>
          <w:sz w:val="18"/>
          <w:szCs w:val="18"/>
        </w:rPr>
        <w:t>Iscrizione Select, Enterprise o Enterprise Subscription</w:t>
      </w:r>
    </w:p>
    <w:p w:rsidR="00B73A46" w:rsidRPr="00BD7CEA" w:rsidRDefault="00B73A46" w:rsidP="007358C5">
      <w:pPr>
        <w:pStyle w:val="Footnotedash"/>
        <w:numPr>
          <w:ilvl w:val="0"/>
          <w:numId w:val="32"/>
        </w:numPr>
        <w:adjustRightInd/>
        <w:spacing w:before="0"/>
        <w:ind w:left="1440"/>
        <w:textAlignment w:val="auto"/>
      </w:pPr>
      <w:r w:rsidRPr="00BD7CEA">
        <w:rPr>
          <w:rFonts w:ascii="Tahoma" w:hAnsi="Tahoma" w:cs="Tahoma"/>
          <w:sz w:val="18"/>
          <w:szCs w:val="18"/>
        </w:rPr>
        <w:t>Contratti Open License*, Open Value, Campus e School, Open Value Subscription</w:t>
      </w:r>
      <w:r w:rsidR="00FD7C0D">
        <w:rPr>
          <w:rFonts w:ascii="Tahoma" w:hAnsi="Tahoma" w:cs="Tahoma"/>
          <w:sz w:val="18"/>
          <w:szCs w:val="18"/>
        </w:rPr>
        <w:t xml:space="preserve"> – </w:t>
      </w:r>
      <w:r w:rsidRPr="00BD7CEA">
        <w:rPr>
          <w:rFonts w:ascii="Tahoma" w:hAnsi="Tahoma" w:cs="Tahoma"/>
          <w:sz w:val="18"/>
          <w:szCs w:val="18"/>
        </w:rPr>
        <w:t xml:space="preserve">Education Solutions </w:t>
      </w:r>
    </w:p>
    <w:p w:rsidR="00B73A46" w:rsidRPr="00BD7CEA" w:rsidRDefault="00B73A46" w:rsidP="00F64DEA">
      <w:pPr>
        <w:pStyle w:val="Footnotedash"/>
        <w:spacing w:before="0"/>
        <w:ind w:left="1440" w:firstLine="0"/>
      </w:pPr>
      <w:r w:rsidRPr="00BD7CEA">
        <w:rPr>
          <w:rFonts w:ascii="Tahoma" w:hAnsi="Tahoma" w:cs="Tahoma"/>
          <w:sz w:val="18"/>
          <w:szCs w:val="18"/>
        </w:rPr>
        <w:t>(*Ai fini del Contratto Open License, un “contratto attivo” è un contratto associato a un Numero di</w:t>
      </w:r>
      <w:r w:rsidR="00B31E74" w:rsidRPr="00BD7CEA">
        <w:rPr>
          <w:rFonts w:ascii="Tahoma" w:hAnsi="Tahoma" w:cs="Tahoma"/>
          <w:sz w:val="18"/>
          <w:szCs w:val="18"/>
        </w:rPr>
        <w:t> </w:t>
      </w:r>
      <w:r w:rsidRPr="00BD7CEA">
        <w:rPr>
          <w:rFonts w:ascii="Tahoma" w:hAnsi="Tahoma" w:cs="Tahoma"/>
          <w:sz w:val="18"/>
          <w:szCs w:val="18"/>
        </w:rPr>
        <w:t>Autorizzazione Open License attivo).</w:t>
      </w:r>
    </w:p>
    <w:p w:rsidR="00F64DEA" w:rsidRPr="00BD7CEA" w:rsidRDefault="00F64DEA" w:rsidP="00F64DEA">
      <w:pPr>
        <w:pStyle w:val="Footnotedash"/>
        <w:spacing w:before="0" w:after="0"/>
        <w:ind w:left="1440" w:firstLine="0"/>
      </w:pPr>
    </w:p>
    <w:p w:rsidR="00B73A46" w:rsidRPr="00BD7CEA" w:rsidRDefault="00B73A46" w:rsidP="00F64DEA">
      <w:pPr>
        <w:pStyle w:val="Footnotedash"/>
        <w:tabs>
          <w:tab w:val="left" w:pos="1620"/>
        </w:tabs>
        <w:spacing w:before="0" w:after="0"/>
        <w:ind w:left="720" w:firstLine="7"/>
      </w:pPr>
      <w:r w:rsidRPr="00BD7CEA">
        <w:rPr>
          <w:rFonts w:ascii="Tahoma" w:hAnsi="Tahoma" w:cs="Tahoma"/>
          <w:sz w:val="18"/>
          <w:szCs w:val="18"/>
        </w:rPr>
        <w:t>Devono disporre di una copertura Software Assurance attiva per le licenze di aggiornamento per il Sistema</w:t>
      </w:r>
      <w:r w:rsidR="00B31E74" w:rsidRPr="00BD7CEA">
        <w:rPr>
          <w:rFonts w:ascii="Tahoma" w:hAnsi="Tahoma" w:cs="Tahoma"/>
          <w:sz w:val="18"/>
          <w:szCs w:val="18"/>
        </w:rPr>
        <w:t> </w:t>
      </w:r>
      <w:r w:rsidRPr="00BD7CEA">
        <w:rPr>
          <w:rFonts w:ascii="Tahoma" w:hAnsi="Tahoma" w:cs="Tahoma"/>
          <w:sz w:val="18"/>
          <w:szCs w:val="18"/>
        </w:rPr>
        <w:t xml:space="preserve">Operativo Desktop Windows o per Windows XP Professional acquistate a partire dalla data </w:t>
      </w:r>
      <w:r w:rsidR="00DC6528">
        <w:rPr>
          <w:rFonts w:ascii="Tahoma" w:hAnsi="Tahoma" w:cs="Tahoma"/>
          <w:sz w:val="18"/>
          <w:szCs w:val="18"/>
        </w:rPr>
        <w:br/>
      </w:r>
      <w:r w:rsidRPr="00BD7CEA">
        <w:rPr>
          <w:rFonts w:ascii="Tahoma" w:hAnsi="Tahoma" w:cs="Tahoma"/>
          <w:sz w:val="18"/>
          <w:szCs w:val="18"/>
        </w:rPr>
        <w:t>del 2</w:t>
      </w:r>
      <w:r w:rsidR="00B31E74" w:rsidRPr="00BD7CEA">
        <w:rPr>
          <w:rFonts w:ascii="Tahoma" w:hAnsi="Tahoma" w:cs="Tahoma"/>
          <w:sz w:val="18"/>
          <w:szCs w:val="18"/>
        </w:rPr>
        <w:t> </w:t>
      </w:r>
      <w:r w:rsidRPr="00BD7CEA">
        <w:rPr>
          <w:rFonts w:ascii="Tahoma" w:hAnsi="Tahoma" w:cs="Tahoma"/>
          <w:sz w:val="18"/>
          <w:szCs w:val="18"/>
        </w:rPr>
        <w:t>febbraio 2005.</w:t>
      </w:r>
    </w:p>
    <w:p w:rsidR="00F64DEA" w:rsidRPr="00BD7CEA" w:rsidRDefault="00F64DEA" w:rsidP="00F64DEA">
      <w:pPr>
        <w:pStyle w:val="Footnotedash"/>
        <w:tabs>
          <w:tab w:val="left" w:pos="1620"/>
        </w:tabs>
        <w:spacing w:before="0" w:after="0"/>
        <w:ind w:left="720" w:firstLine="7"/>
      </w:pPr>
    </w:p>
    <w:p w:rsidR="00766C40" w:rsidRPr="00BD7CEA" w:rsidRDefault="00B73A46" w:rsidP="00F64DEA">
      <w:pPr>
        <w:pStyle w:val="Footnotedash"/>
        <w:tabs>
          <w:tab w:val="left" w:pos="1620"/>
        </w:tabs>
        <w:spacing w:before="0" w:after="0"/>
        <w:ind w:left="720" w:firstLine="7"/>
      </w:pPr>
      <w:r w:rsidRPr="00BD7CEA">
        <w:rPr>
          <w:rFonts w:ascii="Tahoma" w:hAnsi="Tahoma" w:cs="Tahoma"/>
          <w:sz w:val="18"/>
          <w:szCs w:val="18"/>
        </w:rPr>
        <w:t>Devono avere sede in a) uno dei paesi dell</w:t>
      </w:r>
      <w:r w:rsidR="007A1415" w:rsidRPr="00BD7CEA">
        <w:rPr>
          <w:rFonts w:ascii="Tahoma" w:hAnsi="Tahoma" w:cs="Tahoma"/>
          <w:sz w:val="18"/>
          <w:szCs w:val="18"/>
        </w:rPr>
        <w:t>’</w:t>
      </w:r>
      <w:r w:rsidRPr="00BD7CEA">
        <w:rPr>
          <w:rFonts w:ascii="Tahoma" w:hAnsi="Tahoma" w:cs="Tahoma"/>
          <w:sz w:val="18"/>
          <w:szCs w:val="18"/>
        </w:rPr>
        <w:t>Unione Europea (UE), b) in uno stato membro dell</w:t>
      </w:r>
      <w:r w:rsidR="007A1415" w:rsidRPr="00BD7CEA">
        <w:rPr>
          <w:rFonts w:ascii="Tahoma" w:hAnsi="Tahoma" w:cs="Tahoma"/>
          <w:sz w:val="18"/>
          <w:szCs w:val="18"/>
        </w:rPr>
        <w:t>’</w:t>
      </w:r>
      <w:r w:rsidRPr="00BD7CEA">
        <w:rPr>
          <w:rFonts w:ascii="Tahoma" w:hAnsi="Tahoma" w:cs="Tahoma"/>
          <w:sz w:val="18"/>
          <w:szCs w:val="18"/>
        </w:rPr>
        <w:t xml:space="preserve">Associazione Europea per il Libero Scambio (EFTA), c) in Bulgaria, in Croazia, in Romania o in Svizzera. </w:t>
      </w:r>
    </w:p>
    <w:p w:rsidR="00F64DEA" w:rsidRPr="00BD7CEA" w:rsidRDefault="00F64DEA" w:rsidP="00F64DEA">
      <w:pPr>
        <w:pStyle w:val="FootnoteBulletLevel1"/>
        <w:tabs>
          <w:tab w:val="clear" w:pos="900"/>
        </w:tabs>
        <w:adjustRightInd/>
        <w:spacing w:before="0" w:after="0"/>
        <w:ind w:left="720" w:firstLine="0"/>
        <w:textAlignment w:val="auto"/>
      </w:pPr>
    </w:p>
    <w:p w:rsidR="00B73A46" w:rsidRPr="00BD7CEA" w:rsidRDefault="00B73A46" w:rsidP="00F64DEA">
      <w:pPr>
        <w:pStyle w:val="FootnoteBulletLevel1"/>
        <w:tabs>
          <w:tab w:val="clear" w:pos="900"/>
        </w:tabs>
        <w:adjustRightInd/>
        <w:spacing w:before="0" w:after="60"/>
        <w:ind w:left="720" w:firstLine="0"/>
        <w:textAlignment w:val="auto"/>
      </w:pPr>
      <w:r w:rsidRPr="00BD7CEA">
        <w:rPr>
          <w:rFonts w:ascii="Tahoma" w:hAnsi="Tahoma" w:cs="Tahoma"/>
          <w:b/>
          <w:bCs/>
          <w:sz w:val="18"/>
          <w:szCs w:val="18"/>
        </w:rPr>
        <w:t>Windows XP Professional</w:t>
      </w:r>
    </w:p>
    <w:p w:rsidR="00B73A46" w:rsidRPr="00BD7CEA" w:rsidRDefault="00B73A46" w:rsidP="00F64DEA">
      <w:pPr>
        <w:pStyle w:val="FootnoteBulletLevel2"/>
        <w:spacing w:before="0"/>
        <w:ind w:left="720" w:firstLine="0"/>
      </w:pPr>
      <w:r w:rsidRPr="00BD7CEA">
        <w:rPr>
          <w:rFonts w:ascii="Tahoma" w:hAnsi="Tahoma" w:cs="Tahoma"/>
          <w:sz w:val="18"/>
          <w:szCs w:val="18"/>
        </w:rPr>
        <w:t>Limitazioni all</w:t>
      </w:r>
      <w:r w:rsidR="007A1415" w:rsidRPr="00BD7CEA">
        <w:rPr>
          <w:rFonts w:ascii="Tahoma" w:hAnsi="Tahoma" w:cs="Tahoma"/>
          <w:sz w:val="18"/>
          <w:szCs w:val="18"/>
        </w:rPr>
        <w:t>’</w:t>
      </w:r>
      <w:r w:rsidRPr="00BD7CEA">
        <w:rPr>
          <w:rFonts w:ascii="Tahoma" w:hAnsi="Tahoma" w:cs="Tahoma"/>
          <w:sz w:val="18"/>
          <w:szCs w:val="18"/>
        </w:rPr>
        <w:t>utilizzo di Windows XP Professional in Corea.</w:t>
      </w:r>
    </w:p>
    <w:p w:rsidR="00B73A46" w:rsidRPr="00BD7CEA" w:rsidRDefault="00B73A46" w:rsidP="00F64DEA">
      <w:pPr>
        <w:pStyle w:val="FootnoteBulletLevel2"/>
        <w:spacing w:before="0"/>
        <w:ind w:left="720" w:firstLine="0"/>
      </w:pPr>
      <w:r w:rsidRPr="00BD7CEA">
        <w:rPr>
          <w:rFonts w:ascii="Tahoma" w:hAnsi="Tahoma" w:cs="Tahoma"/>
          <w:sz w:val="18"/>
          <w:szCs w:val="18"/>
        </w:rPr>
        <w:t>Tali limitazioni si applicano anche all</w:t>
      </w:r>
      <w:r w:rsidR="007A1415" w:rsidRPr="00BD7CEA">
        <w:rPr>
          <w:rFonts w:ascii="Tahoma" w:hAnsi="Tahoma" w:cs="Tahoma"/>
          <w:sz w:val="18"/>
          <w:szCs w:val="18"/>
        </w:rPr>
        <w:t>’</w:t>
      </w:r>
      <w:r w:rsidRPr="00BD7CEA">
        <w:rPr>
          <w:rFonts w:ascii="Tahoma" w:hAnsi="Tahoma" w:cs="Tahoma"/>
          <w:sz w:val="18"/>
          <w:szCs w:val="18"/>
        </w:rPr>
        <w:t>utilizzo di Windows XP Professional in conformità ai diritti di downgrade.</w:t>
      </w:r>
    </w:p>
    <w:p w:rsidR="00F64DEA" w:rsidRPr="00BD7CEA" w:rsidRDefault="00F64DEA" w:rsidP="00F64DEA">
      <w:pPr>
        <w:pStyle w:val="FootnoteBulletLevel2"/>
        <w:spacing w:before="0"/>
        <w:ind w:left="720" w:firstLine="0"/>
      </w:pPr>
    </w:p>
    <w:p w:rsidR="00B73A46" w:rsidRPr="00BD7CEA" w:rsidRDefault="00B73A46" w:rsidP="007358C5">
      <w:pPr>
        <w:pStyle w:val="Footnotedash"/>
        <w:numPr>
          <w:ilvl w:val="0"/>
          <w:numId w:val="32"/>
        </w:numPr>
        <w:adjustRightInd/>
        <w:spacing w:before="0"/>
        <w:ind w:left="1440"/>
        <w:textAlignment w:val="auto"/>
      </w:pPr>
      <w:r w:rsidRPr="00BD7CEA">
        <w:rPr>
          <w:rFonts w:ascii="Tahoma" w:hAnsi="Tahoma" w:cs="Tahoma"/>
          <w:sz w:val="18"/>
          <w:szCs w:val="18"/>
        </w:rPr>
        <w:t xml:space="preserve">La KFTC (Korean Fair Trade Commission) prevede alcune limitazioni relative alla possibilità per le società che abbiano stipulato contratti Volume License e le loro consociate di distribuire la versione in lingua coreana di Windows XP Professional per utilizzarla in Corea. </w:t>
      </w:r>
    </w:p>
    <w:p w:rsidR="00B73A46" w:rsidRPr="00BD7CEA" w:rsidRDefault="00B73A46" w:rsidP="007358C5">
      <w:pPr>
        <w:pStyle w:val="Footnotedash"/>
        <w:numPr>
          <w:ilvl w:val="0"/>
          <w:numId w:val="32"/>
        </w:numPr>
        <w:adjustRightInd/>
        <w:spacing w:before="0"/>
        <w:ind w:left="1440"/>
        <w:textAlignment w:val="auto"/>
      </w:pPr>
      <w:r w:rsidRPr="00BD7CEA">
        <w:rPr>
          <w:rFonts w:ascii="Tahoma" w:hAnsi="Tahoma" w:cs="Tahoma"/>
          <w:sz w:val="18"/>
          <w:szCs w:val="18"/>
        </w:rPr>
        <w:t xml:space="preserve">Tali limitazioni non si applicano alle licenze acquistate dalle società nella versione in lingua coreana di Windows XP Professional prima del 24 agosto 2006. </w:t>
      </w:r>
    </w:p>
    <w:p w:rsidR="00B73A46" w:rsidRPr="00BD7CEA" w:rsidRDefault="00B73A46" w:rsidP="007358C5">
      <w:pPr>
        <w:pStyle w:val="Footnotedash"/>
        <w:numPr>
          <w:ilvl w:val="0"/>
          <w:numId w:val="32"/>
        </w:numPr>
        <w:adjustRightInd/>
        <w:spacing w:before="0"/>
        <w:ind w:left="1440"/>
        <w:textAlignment w:val="auto"/>
      </w:pPr>
      <w:r w:rsidRPr="00BD7CEA">
        <w:rPr>
          <w:rFonts w:ascii="Tahoma" w:hAnsi="Tahoma" w:cs="Tahoma"/>
          <w:sz w:val="18"/>
          <w:szCs w:val="18"/>
        </w:rPr>
        <w:t>Tali limitazioni non si applicano neppure alle società multinazionali la cui sede sia al di fuori della Corea e che utilizzano un</w:t>
      </w:r>
      <w:r w:rsidR="007A1415" w:rsidRPr="00BD7CEA">
        <w:rPr>
          <w:rFonts w:ascii="Tahoma" w:hAnsi="Tahoma" w:cs="Tahoma"/>
          <w:sz w:val="18"/>
          <w:szCs w:val="18"/>
        </w:rPr>
        <w:t>’</w:t>
      </w:r>
      <w:r w:rsidRPr="00BD7CEA">
        <w:rPr>
          <w:rFonts w:ascii="Tahoma" w:hAnsi="Tahoma" w:cs="Tahoma"/>
          <w:sz w:val="18"/>
          <w:szCs w:val="18"/>
        </w:rPr>
        <w:t>unica immagine del software.</w:t>
      </w:r>
    </w:p>
    <w:p w:rsidR="00B73A46" w:rsidRPr="00BD7CEA" w:rsidRDefault="00B73A46" w:rsidP="007358C5">
      <w:pPr>
        <w:pStyle w:val="Footnotedash"/>
        <w:numPr>
          <w:ilvl w:val="0"/>
          <w:numId w:val="32"/>
        </w:numPr>
        <w:adjustRightInd/>
        <w:spacing w:before="0"/>
        <w:ind w:left="1440"/>
        <w:textAlignment w:val="auto"/>
      </w:pPr>
      <w:r w:rsidRPr="00BD7CEA">
        <w:rPr>
          <w:rFonts w:ascii="Tahoma" w:hAnsi="Tahoma" w:cs="Tahoma"/>
          <w:sz w:val="18"/>
          <w:szCs w:val="18"/>
        </w:rPr>
        <w:t>Tali limitazioni non si applicano alle società che abbiano stipulato contratti in vigore al 23 agosto 2006 e che, in circostanze eccezionali, utilizzino un</w:t>
      </w:r>
      <w:r w:rsidR="007A1415" w:rsidRPr="00BD7CEA">
        <w:rPr>
          <w:rFonts w:ascii="Tahoma" w:hAnsi="Tahoma" w:cs="Tahoma"/>
          <w:sz w:val="18"/>
          <w:szCs w:val="18"/>
        </w:rPr>
        <w:t>’</w:t>
      </w:r>
      <w:r w:rsidRPr="00BD7CEA">
        <w:rPr>
          <w:rFonts w:ascii="Tahoma" w:hAnsi="Tahoma" w:cs="Tahoma"/>
          <w:sz w:val="18"/>
          <w:szCs w:val="18"/>
        </w:rPr>
        <w:t>unica immagine del software in via continuativa.</w:t>
      </w:r>
    </w:p>
    <w:p w:rsidR="00B73A46" w:rsidRPr="00BD7CEA" w:rsidRDefault="00B73A46" w:rsidP="007358C5">
      <w:pPr>
        <w:pStyle w:val="Footnotedash"/>
        <w:numPr>
          <w:ilvl w:val="0"/>
          <w:numId w:val="32"/>
        </w:numPr>
        <w:adjustRightInd/>
        <w:spacing w:before="0"/>
        <w:ind w:left="1440"/>
        <w:textAlignment w:val="auto"/>
      </w:pPr>
      <w:r w:rsidRPr="00BD7CEA">
        <w:rPr>
          <w:rFonts w:ascii="Tahoma" w:hAnsi="Tahoma" w:cs="Tahoma"/>
          <w:sz w:val="18"/>
          <w:szCs w:val="18"/>
        </w:rPr>
        <w:t>La KFTC non ha imposto limitazioni relative all</w:t>
      </w:r>
      <w:r w:rsidR="007A1415" w:rsidRPr="00BD7CEA">
        <w:rPr>
          <w:rFonts w:ascii="Tahoma" w:hAnsi="Tahoma" w:cs="Tahoma"/>
          <w:sz w:val="18"/>
          <w:szCs w:val="18"/>
        </w:rPr>
        <w:t>’</w:t>
      </w:r>
      <w:r w:rsidRPr="00BD7CEA">
        <w:rPr>
          <w:rFonts w:ascii="Tahoma" w:hAnsi="Tahoma" w:cs="Tahoma"/>
          <w:sz w:val="18"/>
          <w:szCs w:val="18"/>
        </w:rPr>
        <w:t xml:space="preserve">utilizzo delle versioni in lingue diverse dal coreano. </w:t>
      </w:r>
    </w:p>
    <w:p w:rsidR="00B73A46" w:rsidRPr="00BD7CEA" w:rsidRDefault="00B73A46" w:rsidP="007358C5">
      <w:pPr>
        <w:pStyle w:val="Footnotedash"/>
        <w:numPr>
          <w:ilvl w:val="0"/>
          <w:numId w:val="32"/>
        </w:numPr>
        <w:adjustRightInd/>
        <w:spacing w:before="0"/>
        <w:ind w:left="1440"/>
        <w:textAlignment w:val="auto"/>
      </w:pPr>
      <w:r w:rsidRPr="00BD7CEA">
        <w:rPr>
          <w:rFonts w:ascii="Tahoma" w:hAnsi="Tahoma" w:cs="Tahoma"/>
          <w:sz w:val="18"/>
          <w:szCs w:val="18"/>
        </w:rPr>
        <w:t>La KFTC non ha imposto limitazioni relative alle edizioni Tablet PC o 64-bit in qualunque versione linguistica.</w:t>
      </w:r>
    </w:p>
    <w:p w:rsidR="00F64DEA" w:rsidRPr="00BD7CEA" w:rsidRDefault="00F64DEA" w:rsidP="00AF3B19">
      <w:pPr>
        <w:pStyle w:val="Footnotedash"/>
        <w:tabs>
          <w:tab w:val="clear" w:pos="1620"/>
        </w:tabs>
        <w:adjustRightInd/>
        <w:spacing w:before="0" w:after="0"/>
        <w:ind w:left="1440" w:firstLine="0"/>
        <w:textAlignment w:val="auto"/>
      </w:pPr>
    </w:p>
    <w:p w:rsidR="00B73A46" w:rsidRPr="00BD7CEA" w:rsidRDefault="00B73A46" w:rsidP="00F64DEA">
      <w:pPr>
        <w:pStyle w:val="FootnoteBulletLevel2"/>
        <w:spacing w:before="0"/>
        <w:ind w:left="720" w:hanging="7"/>
      </w:pPr>
      <w:r w:rsidRPr="00BD7CEA">
        <w:rPr>
          <w:rFonts w:ascii="Tahoma" w:hAnsi="Tahoma" w:cs="Tahoma"/>
          <w:sz w:val="18"/>
          <w:szCs w:val="18"/>
          <w:u w:val="single"/>
        </w:rPr>
        <w:t>Limitazioni</w:t>
      </w:r>
      <w:r w:rsidRPr="00DD24DD">
        <w:rPr>
          <w:rFonts w:ascii="Tahoma" w:hAnsi="Tahoma" w:cs="Tahoma"/>
          <w:sz w:val="18"/>
          <w:szCs w:val="18"/>
        </w:rPr>
        <w:t>:</w:t>
      </w:r>
    </w:p>
    <w:p w:rsidR="00B73A46" w:rsidRPr="00BD7CEA" w:rsidRDefault="00B73A46" w:rsidP="00F64DEA">
      <w:pPr>
        <w:pStyle w:val="FootnoteBulletLevel2"/>
        <w:spacing w:before="0"/>
        <w:ind w:left="720" w:hanging="7"/>
      </w:pPr>
      <w:r w:rsidRPr="00BD7CEA">
        <w:rPr>
          <w:rFonts w:ascii="Tahoma" w:hAnsi="Tahoma" w:cs="Tahoma"/>
          <w:sz w:val="18"/>
          <w:szCs w:val="18"/>
        </w:rPr>
        <w:t xml:space="preserve">Al 24 agosto 2006, le società che abbiano stipulato contratti Volume License in Corea, che non soddisfano </w:t>
      </w:r>
      <w:r w:rsidR="00B31E74" w:rsidRPr="00BD7CEA">
        <w:rPr>
          <w:rFonts w:ascii="Tahoma" w:hAnsi="Tahoma" w:cs="Tahoma"/>
          <w:sz w:val="18"/>
          <w:szCs w:val="18"/>
        </w:rPr>
        <w:t>I </w:t>
      </w:r>
      <w:r w:rsidRPr="00BD7CEA">
        <w:rPr>
          <w:rFonts w:ascii="Tahoma" w:hAnsi="Tahoma" w:cs="Tahoma"/>
          <w:sz w:val="18"/>
          <w:szCs w:val="18"/>
        </w:rPr>
        <w:t>criteri previsti per le eccezioni e che intendono utilizzare le versioni in lingua coreana devono distribuire Windows XP Professional K o Windows XP Professional KN.</w:t>
      </w:r>
    </w:p>
    <w:p w:rsidR="00F64DEA" w:rsidRPr="00BD7CEA" w:rsidRDefault="00F64DEA" w:rsidP="00F64DEA">
      <w:pPr>
        <w:pStyle w:val="FootnoteBulletLevel2"/>
        <w:spacing w:before="0"/>
        <w:ind w:left="720" w:hanging="7"/>
      </w:pPr>
    </w:p>
    <w:p w:rsidR="00B73A46" w:rsidRPr="00BD7CEA" w:rsidRDefault="00B73A46" w:rsidP="00F64DEA">
      <w:pPr>
        <w:pStyle w:val="FootnoteBulletLevel1"/>
        <w:tabs>
          <w:tab w:val="clear" w:pos="900"/>
        </w:tabs>
        <w:adjustRightInd/>
        <w:spacing w:before="0" w:after="60"/>
        <w:ind w:left="720" w:firstLine="0"/>
        <w:textAlignment w:val="auto"/>
      </w:pPr>
      <w:r w:rsidRPr="00BD7CEA">
        <w:rPr>
          <w:rFonts w:ascii="Tahoma" w:hAnsi="Tahoma" w:cs="Tahoma"/>
          <w:b/>
          <w:bCs/>
          <w:sz w:val="18"/>
          <w:szCs w:val="18"/>
        </w:rPr>
        <w:t>Windows XP Professional K e KN</w:t>
      </w:r>
    </w:p>
    <w:p w:rsidR="00B73A46" w:rsidRPr="00BD7CEA" w:rsidRDefault="00B73A46" w:rsidP="00F64DEA">
      <w:pPr>
        <w:pStyle w:val="FootnoteBulletLevel2"/>
        <w:spacing w:before="0"/>
        <w:ind w:left="720" w:hanging="7"/>
      </w:pPr>
      <w:r w:rsidRPr="00BD7CEA">
        <w:rPr>
          <w:rFonts w:ascii="Tahoma" w:hAnsi="Tahoma" w:cs="Tahoma"/>
          <w:sz w:val="18"/>
          <w:szCs w:val="18"/>
        </w:rPr>
        <w:t>Le società che abbiano stipulato contratti Volume License e le loro consociate potranno distribuire Windows</w:t>
      </w:r>
      <w:r w:rsidR="00DC6528">
        <w:rPr>
          <w:rFonts w:ascii="Tahoma" w:hAnsi="Tahoma" w:cs="Tahoma"/>
          <w:sz w:val="18"/>
          <w:szCs w:val="18"/>
        </w:rPr>
        <w:t> </w:t>
      </w:r>
      <w:r w:rsidRPr="00BD7CEA">
        <w:rPr>
          <w:rFonts w:ascii="Tahoma" w:hAnsi="Tahoma" w:cs="Tahoma"/>
          <w:sz w:val="18"/>
          <w:szCs w:val="18"/>
        </w:rPr>
        <w:t>XP Professional K o KN esclusivamente per l</w:t>
      </w:r>
      <w:r w:rsidR="007A1415" w:rsidRPr="00BD7CEA">
        <w:rPr>
          <w:rFonts w:ascii="Tahoma" w:hAnsi="Tahoma" w:cs="Tahoma"/>
          <w:sz w:val="18"/>
          <w:szCs w:val="18"/>
        </w:rPr>
        <w:t>’</w:t>
      </w:r>
      <w:r w:rsidRPr="00BD7CEA">
        <w:rPr>
          <w:rFonts w:ascii="Tahoma" w:hAnsi="Tahoma" w:cs="Tahoma"/>
          <w:sz w:val="18"/>
          <w:szCs w:val="18"/>
        </w:rPr>
        <w:t xml:space="preserve">utilizzo in Corea. </w:t>
      </w:r>
    </w:p>
    <w:p w:rsidR="00F64DEA" w:rsidRPr="00BD7CEA" w:rsidRDefault="00F64DEA" w:rsidP="00F64DEA">
      <w:pPr>
        <w:pStyle w:val="FootnoteBulletLevel2"/>
        <w:spacing w:before="0"/>
        <w:ind w:left="720" w:hanging="7"/>
      </w:pPr>
    </w:p>
    <w:p w:rsidR="00B73A46" w:rsidRPr="00BD7CEA" w:rsidRDefault="00B73A46" w:rsidP="00F64DEA">
      <w:pPr>
        <w:pStyle w:val="FootnoteBulletLevel1"/>
        <w:tabs>
          <w:tab w:val="clear" w:pos="900"/>
        </w:tabs>
        <w:adjustRightInd/>
        <w:spacing w:before="0" w:after="60"/>
        <w:ind w:left="720" w:firstLine="0"/>
        <w:textAlignment w:val="auto"/>
      </w:pPr>
      <w:r w:rsidRPr="00BD7CEA">
        <w:rPr>
          <w:rFonts w:ascii="Tahoma" w:hAnsi="Tahoma" w:cs="Tahoma"/>
          <w:b/>
          <w:bCs/>
          <w:sz w:val="18"/>
          <w:szCs w:val="18"/>
        </w:rPr>
        <w:t>Windows Vista Business KN</w:t>
      </w:r>
    </w:p>
    <w:p w:rsidR="00B73A46" w:rsidRPr="00BD7CEA" w:rsidRDefault="00B73A46" w:rsidP="00F64DEA">
      <w:pPr>
        <w:pStyle w:val="FootnoteBulletLevel2"/>
        <w:spacing w:before="0"/>
        <w:ind w:left="720" w:hanging="7"/>
      </w:pPr>
      <w:r w:rsidRPr="00BD7CEA">
        <w:rPr>
          <w:rFonts w:ascii="Tahoma" w:hAnsi="Tahoma" w:cs="Tahoma"/>
          <w:sz w:val="18"/>
          <w:szCs w:val="18"/>
          <w:u w:val="single"/>
        </w:rPr>
        <w:t>Requisiti di Idoneità</w:t>
      </w:r>
      <w:r w:rsidRPr="00DD24DD">
        <w:rPr>
          <w:rFonts w:ascii="Tahoma" w:hAnsi="Tahoma" w:cs="Tahoma"/>
          <w:sz w:val="18"/>
          <w:szCs w:val="18"/>
        </w:rPr>
        <w:t>:</w:t>
      </w:r>
      <w:r w:rsidRPr="00BD7CEA">
        <w:rPr>
          <w:rFonts w:ascii="Tahoma" w:hAnsi="Tahoma" w:cs="Tahoma"/>
          <w:sz w:val="18"/>
          <w:szCs w:val="18"/>
          <w:u w:val="single"/>
        </w:rPr>
        <w:br/>
      </w:r>
      <w:r w:rsidRPr="00BD7CEA">
        <w:rPr>
          <w:rFonts w:ascii="Tahoma" w:hAnsi="Tahoma" w:cs="Tahoma"/>
          <w:sz w:val="18"/>
          <w:szCs w:val="18"/>
        </w:rPr>
        <w:t>le società con sede in Corea che hanno stipulato Contratti Multilicenza e che dispongono di un</w:t>
      </w:r>
      <w:r w:rsidR="007A1415" w:rsidRPr="00BD7CEA">
        <w:rPr>
          <w:rFonts w:ascii="Tahoma" w:hAnsi="Tahoma" w:cs="Tahoma"/>
          <w:sz w:val="18"/>
          <w:szCs w:val="18"/>
        </w:rPr>
        <w:t>’</w:t>
      </w:r>
      <w:r w:rsidRPr="00BD7CEA">
        <w:rPr>
          <w:rFonts w:ascii="Tahoma" w:hAnsi="Tahoma" w:cs="Tahoma"/>
          <w:sz w:val="18"/>
          <w:szCs w:val="18"/>
        </w:rPr>
        <w:t>iscrizione o</w:t>
      </w:r>
      <w:r w:rsidR="00DC6528">
        <w:rPr>
          <w:rFonts w:ascii="Tahoma" w:hAnsi="Tahoma" w:cs="Tahoma"/>
          <w:sz w:val="18"/>
          <w:szCs w:val="18"/>
        </w:rPr>
        <w:t> </w:t>
      </w:r>
      <w:r w:rsidRPr="00BD7CEA">
        <w:rPr>
          <w:rFonts w:ascii="Tahoma" w:hAnsi="Tahoma" w:cs="Tahoma"/>
          <w:sz w:val="18"/>
          <w:szCs w:val="18"/>
        </w:rPr>
        <w:t>di</w:t>
      </w:r>
      <w:r w:rsidR="00B31E74" w:rsidRPr="00BD7CEA">
        <w:rPr>
          <w:rFonts w:ascii="Tahoma" w:hAnsi="Tahoma" w:cs="Tahoma"/>
          <w:sz w:val="18"/>
          <w:szCs w:val="18"/>
        </w:rPr>
        <w:t> </w:t>
      </w:r>
      <w:r w:rsidRPr="00BD7CEA">
        <w:rPr>
          <w:rFonts w:ascii="Tahoma" w:hAnsi="Tahoma" w:cs="Tahoma"/>
          <w:sz w:val="18"/>
          <w:szCs w:val="18"/>
        </w:rPr>
        <w:t>un contratto multilicenza attivo con Microsoft Operations Pte Ltd sono idonee ad acquistare i supporti di</w:t>
      </w:r>
      <w:r w:rsidR="00DC6528">
        <w:rPr>
          <w:rFonts w:ascii="Tahoma" w:hAnsi="Tahoma" w:cs="Tahoma"/>
          <w:sz w:val="18"/>
          <w:szCs w:val="18"/>
        </w:rPr>
        <w:t> </w:t>
      </w:r>
      <w:r w:rsidRPr="00BD7CEA">
        <w:rPr>
          <w:rFonts w:ascii="Tahoma" w:hAnsi="Tahoma" w:cs="Tahoma"/>
          <w:sz w:val="18"/>
          <w:szCs w:val="18"/>
        </w:rPr>
        <w:t>memorizzazione per Windows Vista Business KN per la distribuzione e l</w:t>
      </w:r>
      <w:r w:rsidR="007A1415" w:rsidRPr="00BD7CEA">
        <w:rPr>
          <w:rFonts w:ascii="Tahoma" w:hAnsi="Tahoma" w:cs="Tahoma"/>
          <w:sz w:val="18"/>
          <w:szCs w:val="18"/>
        </w:rPr>
        <w:t>’</w:t>
      </w:r>
      <w:r w:rsidRPr="00BD7CEA">
        <w:rPr>
          <w:rFonts w:ascii="Tahoma" w:hAnsi="Tahoma" w:cs="Tahoma"/>
          <w:sz w:val="18"/>
          <w:szCs w:val="18"/>
        </w:rPr>
        <w:t>utilizzo in Corea. Nessun altro utilizzo è consentito.</w:t>
      </w:r>
    </w:p>
    <w:p w:rsidR="00F64DEA" w:rsidRPr="00BD7CEA" w:rsidRDefault="00F64DEA" w:rsidP="00F64DEA">
      <w:pPr>
        <w:pStyle w:val="FootnoteBulletLevel2"/>
        <w:spacing w:before="0"/>
        <w:ind w:left="720" w:hanging="7"/>
      </w:pPr>
    </w:p>
    <w:p w:rsidR="00B31E74" w:rsidRPr="00BD7CEA" w:rsidRDefault="00B31E74" w:rsidP="00F64DEA">
      <w:pPr>
        <w:pStyle w:val="FootnoteBulletLevel2"/>
        <w:spacing w:before="0"/>
        <w:ind w:left="720" w:hanging="7"/>
      </w:pPr>
    </w:p>
    <w:p w:rsidR="00B73A46" w:rsidRPr="00BD7CEA" w:rsidRDefault="00B73A46" w:rsidP="00F64DEA">
      <w:pPr>
        <w:pStyle w:val="FootnoteBulletLevel1"/>
        <w:tabs>
          <w:tab w:val="clear" w:pos="900"/>
        </w:tabs>
        <w:adjustRightInd/>
        <w:spacing w:before="0" w:after="60"/>
        <w:ind w:left="720" w:firstLine="0"/>
        <w:textAlignment w:val="auto"/>
      </w:pPr>
      <w:r w:rsidRPr="00BD7CEA">
        <w:rPr>
          <w:rFonts w:ascii="Tahoma" w:hAnsi="Tahoma" w:cs="Tahoma"/>
          <w:b/>
          <w:bCs/>
          <w:sz w:val="18"/>
          <w:szCs w:val="18"/>
        </w:rPr>
        <w:lastRenderedPageBreak/>
        <w:t>Windows 7 Professional KN</w:t>
      </w:r>
    </w:p>
    <w:p w:rsidR="00B47893" w:rsidRPr="00BD7CEA" w:rsidRDefault="00B73A46" w:rsidP="00F64DEA">
      <w:pPr>
        <w:pStyle w:val="FootnoteBulletLevel2"/>
        <w:spacing w:before="0"/>
        <w:ind w:left="720" w:hanging="7"/>
      </w:pPr>
      <w:r w:rsidRPr="00BD7CEA">
        <w:rPr>
          <w:rFonts w:ascii="Tahoma" w:hAnsi="Tahoma" w:cs="Tahoma"/>
          <w:sz w:val="18"/>
          <w:szCs w:val="18"/>
          <w:u w:val="single"/>
        </w:rPr>
        <w:t>Requisiti di Idoneità</w:t>
      </w:r>
      <w:r w:rsidRPr="00DD24DD">
        <w:rPr>
          <w:rFonts w:ascii="Tahoma" w:hAnsi="Tahoma" w:cs="Tahoma"/>
          <w:sz w:val="18"/>
          <w:szCs w:val="18"/>
        </w:rPr>
        <w:t>:</w:t>
      </w:r>
      <w:r w:rsidRPr="00BD7CEA">
        <w:rPr>
          <w:rFonts w:ascii="Tahoma" w:hAnsi="Tahoma" w:cs="Tahoma"/>
          <w:sz w:val="18"/>
          <w:szCs w:val="18"/>
          <w:u w:val="single"/>
        </w:rPr>
        <w:br/>
      </w:r>
      <w:r w:rsidRPr="00BD7CEA">
        <w:rPr>
          <w:rFonts w:ascii="Tahoma" w:hAnsi="Tahoma" w:cs="Tahoma"/>
          <w:sz w:val="18"/>
          <w:szCs w:val="18"/>
        </w:rPr>
        <w:t>le società con sede in Corea che hanno stipulato Contratti Multilicenza e che dispongono di un</w:t>
      </w:r>
      <w:r w:rsidR="007A1415" w:rsidRPr="00BD7CEA">
        <w:rPr>
          <w:rFonts w:ascii="Tahoma" w:hAnsi="Tahoma" w:cs="Tahoma"/>
          <w:sz w:val="18"/>
          <w:szCs w:val="18"/>
        </w:rPr>
        <w:t>’</w:t>
      </w:r>
      <w:r w:rsidRPr="00BD7CEA">
        <w:rPr>
          <w:rFonts w:ascii="Tahoma" w:hAnsi="Tahoma" w:cs="Tahoma"/>
          <w:sz w:val="18"/>
          <w:szCs w:val="18"/>
        </w:rPr>
        <w:t>iscrizione o</w:t>
      </w:r>
      <w:r w:rsidR="00DC6528">
        <w:rPr>
          <w:rFonts w:ascii="Tahoma" w:hAnsi="Tahoma" w:cs="Tahoma"/>
          <w:sz w:val="18"/>
          <w:szCs w:val="18"/>
        </w:rPr>
        <w:t> </w:t>
      </w:r>
      <w:r w:rsidRPr="00BD7CEA">
        <w:rPr>
          <w:rFonts w:ascii="Tahoma" w:hAnsi="Tahoma" w:cs="Tahoma"/>
          <w:sz w:val="18"/>
          <w:szCs w:val="18"/>
        </w:rPr>
        <w:t>di</w:t>
      </w:r>
      <w:r w:rsidR="00B31E74" w:rsidRPr="00BD7CEA">
        <w:rPr>
          <w:rFonts w:ascii="Tahoma" w:hAnsi="Tahoma" w:cs="Tahoma"/>
          <w:sz w:val="18"/>
          <w:szCs w:val="18"/>
        </w:rPr>
        <w:t> </w:t>
      </w:r>
      <w:r w:rsidRPr="00BD7CEA">
        <w:rPr>
          <w:rFonts w:ascii="Tahoma" w:hAnsi="Tahoma" w:cs="Tahoma"/>
          <w:sz w:val="18"/>
          <w:szCs w:val="18"/>
        </w:rPr>
        <w:t>un contratto multilicenza attivo con Microsoft Operations Pte Ltd sono idonee ad acquistare i supporti di</w:t>
      </w:r>
      <w:r w:rsidR="00DC6528">
        <w:rPr>
          <w:rFonts w:ascii="Tahoma" w:hAnsi="Tahoma" w:cs="Tahoma"/>
          <w:sz w:val="18"/>
          <w:szCs w:val="18"/>
        </w:rPr>
        <w:t> </w:t>
      </w:r>
      <w:r w:rsidRPr="00BD7CEA">
        <w:rPr>
          <w:rFonts w:ascii="Tahoma" w:hAnsi="Tahoma" w:cs="Tahoma"/>
          <w:sz w:val="18"/>
          <w:szCs w:val="18"/>
        </w:rPr>
        <w:t>memorizzazione per Windows 7 Professional KN per la distribuzione e l</w:t>
      </w:r>
      <w:r w:rsidR="007A1415" w:rsidRPr="00BD7CEA">
        <w:rPr>
          <w:rFonts w:ascii="Tahoma" w:hAnsi="Tahoma" w:cs="Tahoma"/>
          <w:sz w:val="18"/>
          <w:szCs w:val="18"/>
        </w:rPr>
        <w:t>’</w:t>
      </w:r>
      <w:r w:rsidRPr="00BD7CEA">
        <w:rPr>
          <w:rFonts w:ascii="Tahoma" w:hAnsi="Tahoma" w:cs="Tahoma"/>
          <w:sz w:val="18"/>
          <w:szCs w:val="18"/>
        </w:rPr>
        <w:t>utilizzo in Corea. Nessun altro utilizzo è consentito.</w:t>
      </w:r>
    </w:p>
    <w:p w:rsidR="00F64DEA" w:rsidRPr="00BD7CEA" w:rsidRDefault="00F64DEA" w:rsidP="00F64DEA">
      <w:pPr>
        <w:pStyle w:val="FootnoteBulletLevel2"/>
        <w:spacing w:before="0"/>
        <w:ind w:left="720" w:hanging="7"/>
      </w:pPr>
    </w:p>
    <w:p w:rsidR="00B73A46" w:rsidRPr="00BD7CEA" w:rsidRDefault="00B73A46" w:rsidP="00F64DEA">
      <w:pPr>
        <w:pStyle w:val="FootnoteBulletLevel1"/>
        <w:tabs>
          <w:tab w:val="clear" w:pos="900"/>
        </w:tabs>
        <w:adjustRightInd/>
        <w:spacing w:before="0" w:after="60"/>
        <w:ind w:left="720" w:firstLine="0"/>
        <w:textAlignment w:val="auto"/>
      </w:pPr>
      <w:r w:rsidRPr="00BD7CEA">
        <w:rPr>
          <w:rFonts w:ascii="Tahoma" w:hAnsi="Tahoma" w:cs="Tahoma"/>
          <w:b/>
          <w:bCs/>
          <w:sz w:val="18"/>
          <w:szCs w:val="18"/>
        </w:rPr>
        <w:t>Windows Vista Business N (non contiene Windows Media Player)</w:t>
      </w:r>
    </w:p>
    <w:p w:rsidR="00B73A46" w:rsidRPr="00BD7CEA" w:rsidRDefault="00B73A46" w:rsidP="00F64DEA">
      <w:pPr>
        <w:pStyle w:val="FootnoteBulletLevel2"/>
        <w:spacing w:before="0"/>
        <w:ind w:left="720" w:hanging="7"/>
      </w:pPr>
      <w:r w:rsidRPr="00BD7CEA">
        <w:rPr>
          <w:rFonts w:ascii="Tahoma" w:hAnsi="Tahoma" w:cs="Tahoma"/>
          <w:sz w:val="18"/>
          <w:szCs w:val="18"/>
          <w:u w:val="single"/>
        </w:rPr>
        <w:t>Requisiti di Idoneità</w:t>
      </w:r>
      <w:r w:rsidRPr="00DD24DD">
        <w:rPr>
          <w:rFonts w:ascii="Tahoma" w:hAnsi="Tahoma" w:cs="Tahoma"/>
          <w:sz w:val="18"/>
          <w:szCs w:val="18"/>
        </w:rPr>
        <w:t>:</w:t>
      </w:r>
      <w:r w:rsidRPr="00BD7CEA">
        <w:rPr>
          <w:rFonts w:ascii="Tahoma" w:hAnsi="Tahoma" w:cs="Tahoma"/>
          <w:sz w:val="18"/>
          <w:szCs w:val="18"/>
          <w:u w:val="single"/>
        </w:rPr>
        <w:br/>
      </w:r>
      <w:r w:rsidRPr="00BD7CEA">
        <w:rPr>
          <w:rFonts w:ascii="Tahoma" w:hAnsi="Tahoma" w:cs="Tahoma"/>
          <w:sz w:val="18"/>
          <w:szCs w:val="18"/>
        </w:rPr>
        <w:t>le società che hanno stipulato Contratti Multilicenza e che soddisfano tutti i criteri che seguono sono idonee ad acquistare i supporti di memorizzazione per Microsoft Windows Vista Business N esclusivamente per la distribuzione e l</w:t>
      </w:r>
      <w:r w:rsidR="007A1415" w:rsidRPr="00BD7CEA">
        <w:rPr>
          <w:rFonts w:ascii="Tahoma" w:hAnsi="Tahoma" w:cs="Tahoma"/>
          <w:sz w:val="18"/>
          <w:szCs w:val="18"/>
        </w:rPr>
        <w:t>’</w:t>
      </w:r>
      <w:r w:rsidRPr="00BD7CEA">
        <w:rPr>
          <w:rFonts w:ascii="Tahoma" w:hAnsi="Tahoma" w:cs="Tahoma"/>
          <w:sz w:val="18"/>
          <w:szCs w:val="18"/>
        </w:rPr>
        <w:t>utilizzo nell</w:t>
      </w:r>
      <w:r w:rsidR="007A1415" w:rsidRPr="00BD7CEA">
        <w:rPr>
          <w:rFonts w:ascii="Tahoma" w:hAnsi="Tahoma" w:cs="Tahoma"/>
          <w:sz w:val="18"/>
          <w:szCs w:val="18"/>
        </w:rPr>
        <w:t>’</w:t>
      </w:r>
      <w:r w:rsidRPr="00BD7CEA">
        <w:rPr>
          <w:rFonts w:ascii="Tahoma" w:hAnsi="Tahoma" w:cs="Tahoma"/>
          <w:sz w:val="18"/>
          <w:szCs w:val="18"/>
        </w:rPr>
        <w:t>Unione Europea (UE), in uno stato membro dell</w:t>
      </w:r>
      <w:r w:rsidR="007A1415" w:rsidRPr="00BD7CEA">
        <w:rPr>
          <w:rFonts w:ascii="Tahoma" w:hAnsi="Tahoma" w:cs="Tahoma"/>
          <w:sz w:val="18"/>
          <w:szCs w:val="18"/>
        </w:rPr>
        <w:t>’</w:t>
      </w:r>
      <w:r w:rsidRPr="00BD7CEA">
        <w:rPr>
          <w:rFonts w:ascii="Tahoma" w:hAnsi="Tahoma" w:cs="Tahoma"/>
          <w:sz w:val="18"/>
          <w:szCs w:val="18"/>
        </w:rPr>
        <w:t>Associazione Europea per il Libero Scambio (EFTA), in Bulgaria, in Croazia, in Romania o in Svizzera.</w:t>
      </w:r>
    </w:p>
    <w:p w:rsidR="00F64DEA" w:rsidRPr="00BD7CEA" w:rsidRDefault="00F64DEA" w:rsidP="00F64DEA">
      <w:pPr>
        <w:pStyle w:val="FootnoteBulletLevel2"/>
        <w:spacing w:before="0"/>
        <w:ind w:left="720" w:hanging="7"/>
      </w:pPr>
    </w:p>
    <w:p w:rsidR="00B73A46" w:rsidRPr="00BD7CEA" w:rsidRDefault="00B73A46" w:rsidP="00F64DEA">
      <w:pPr>
        <w:pStyle w:val="Footnotedash"/>
        <w:spacing w:before="0" w:after="0"/>
        <w:ind w:left="720" w:hanging="7"/>
      </w:pPr>
      <w:r w:rsidRPr="00BD7CEA">
        <w:rPr>
          <w:rFonts w:ascii="Tahoma" w:hAnsi="Tahoma" w:cs="Tahoma"/>
          <w:sz w:val="18"/>
          <w:szCs w:val="18"/>
        </w:rPr>
        <w:t xml:space="preserve">Devono disporre di almeno uno dei seguenti contratti o iscrizioni attivi con Microsoft Ireland Operations Ltd: </w:t>
      </w:r>
    </w:p>
    <w:p w:rsidR="00F64DEA" w:rsidRPr="00BD7CEA" w:rsidRDefault="00F64DEA" w:rsidP="00F64DEA">
      <w:pPr>
        <w:pStyle w:val="Footnotedash"/>
        <w:spacing w:before="0" w:after="0"/>
        <w:ind w:left="720" w:hanging="7"/>
      </w:pPr>
    </w:p>
    <w:p w:rsidR="00B73A46" w:rsidRPr="00BD7CEA" w:rsidRDefault="00B73A46" w:rsidP="007358C5">
      <w:pPr>
        <w:pStyle w:val="Footnotedash"/>
        <w:numPr>
          <w:ilvl w:val="0"/>
          <w:numId w:val="32"/>
        </w:numPr>
        <w:adjustRightInd/>
        <w:spacing w:before="0"/>
        <w:ind w:left="1440"/>
        <w:textAlignment w:val="auto"/>
      </w:pPr>
      <w:r w:rsidRPr="00BD7CEA">
        <w:rPr>
          <w:rFonts w:ascii="Tahoma" w:hAnsi="Tahoma" w:cs="Tahoma"/>
          <w:sz w:val="18"/>
          <w:szCs w:val="18"/>
        </w:rPr>
        <w:t>Iscrizione Select, Enterprise o Enterprise Subscription</w:t>
      </w:r>
    </w:p>
    <w:p w:rsidR="00B73A46" w:rsidRPr="00BD7CEA" w:rsidRDefault="00B73A46" w:rsidP="007358C5">
      <w:pPr>
        <w:pStyle w:val="Footnotedash"/>
        <w:numPr>
          <w:ilvl w:val="0"/>
          <w:numId w:val="32"/>
        </w:numPr>
        <w:adjustRightInd/>
        <w:spacing w:before="0"/>
        <w:ind w:left="1440"/>
        <w:textAlignment w:val="auto"/>
      </w:pPr>
      <w:r w:rsidRPr="00BD7CEA">
        <w:rPr>
          <w:rFonts w:ascii="Tahoma" w:hAnsi="Tahoma" w:cs="Tahoma"/>
          <w:sz w:val="18"/>
          <w:szCs w:val="18"/>
        </w:rPr>
        <w:t>Contratti Open License*, Open Value, Campus e School, Open Value Subscription</w:t>
      </w:r>
      <w:r w:rsidR="00FD7C0D">
        <w:rPr>
          <w:rFonts w:ascii="Tahoma" w:hAnsi="Tahoma" w:cs="Tahoma"/>
          <w:sz w:val="18"/>
          <w:szCs w:val="18"/>
        </w:rPr>
        <w:t xml:space="preserve"> – </w:t>
      </w:r>
      <w:r w:rsidRPr="00BD7CEA">
        <w:rPr>
          <w:rFonts w:ascii="Tahoma" w:hAnsi="Tahoma" w:cs="Tahoma"/>
          <w:sz w:val="18"/>
          <w:szCs w:val="18"/>
        </w:rPr>
        <w:t xml:space="preserve">Education Solutions </w:t>
      </w:r>
    </w:p>
    <w:p w:rsidR="00B73A46" w:rsidRPr="00BD7CEA" w:rsidRDefault="00B73A46" w:rsidP="00F64DEA">
      <w:pPr>
        <w:pStyle w:val="Footnotedash"/>
        <w:tabs>
          <w:tab w:val="clear" w:pos="1620"/>
        </w:tabs>
        <w:adjustRightInd/>
        <w:spacing w:before="0"/>
        <w:ind w:left="1440" w:firstLine="0"/>
        <w:textAlignment w:val="auto"/>
      </w:pPr>
      <w:r w:rsidRPr="00BD7CEA">
        <w:rPr>
          <w:rFonts w:ascii="Tahoma" w:hAnsi="Tahoma" w:cs="Tahoma"/>
          <w:sz w:val="18"/>
          <w:szCs w:val="18"/>
        </w:rPr>
        <w:t>(*Ai fini del Contratto Open License, un “contratto attivo” è un contratto associato a un Numero di</w:t>
      </w:r>
      <w:r w:rsidR="00B31E74" w:rsidRPr="00BD7CEA">
        <w:rPr>
          <w:rFonts w:ascii="Tahoma" w:hAnsi="Tahoma" w:cs="Tahoma"/>
          <w:sz w:val="18"/>
          <w:szCs w:val="18"/>
        </w:rPr>
        <w:t> </w:t>
      </w:r>
      <w:r w:rsidRPr="00BD7CEA">
        <w:rPr>
          <w:rFonts w:ascii="Tahoma" w:hAnsi="Tahoma" w:cs="Tahoma"/>
          <w:sz w:val="18"/>
          <w:szCs w:val="18"/>
        </w:rPr>
        <w:t>Autorizzazione Open License attivo).</w:t>
      </w:r>
    </w:p>
    <w:p w:rsidR="00F64DEA" w:rsidRPr="00BD7CEA" w:rsidRDefault="00F64DEA" w:rsidP="00AF3B19">
      <w:pPr>
        <w:pStyle w:val="Footnotedash"/>
        <w:tabs>
          <w:tab w:val="clear" w:pos="1620"/>
        </w:tabs>
        <w:adjustRightInd/>
        <w:spacing w:before="0" w:after="0"/>
        <w:ind w:left="0" w:firstLine="0"/>
        <w:textAlignment w:val="auto"/>
      </w:pPr>
    </w:p>
    <w:p w:rsidR="00B73A46" w:rsidRPr="00BD7CEA" w:rsidRDefault="00B73A46" w:rsidP="00F64DEA">
      <w:pPr>
        <w:pStyle w:val="Footnotedash"/>
        <w:spacing w:before="0" w:after="0"/>
        <w:ind w:left="720" w:hanging="7"/>
      </w:pPr>
      <w:r w:rsidRPr="00BD7CEA">
        <w:rPr>
          <w:rFonts w:ascii="Tahoma" w:hAnsi="Tahoma" w:cs="Tahoma"/>
          <w:sz w:val="18"/>
          <w:szCs w:val="18"/>
        </w:rPr>
        <w:t>Devono disporre di una copertura Software Assurance attiva per le licenze di aggiornamento per il Sistema Operativo Desktop Windows o per Windows Vista Business.</w:t>
      </w:r>
    </w:p>
    <w:p w:rsidR="00F64DEA" w:rsidRPr="00BD7CEA" w:rsidRDefault="00F64DEA" w:rsidP="00F64DEA">
      <w:pPr>
        <w:pStyle w:val="Footnotedash"/>
        <w:spacing w:before="0" w:after="0"/>
        <w:ind w:left="720" w:hanging="7"/>
      </w:pPr>
    </w:p>
    <w:p w:rsidR="00B73A46" w:rsidRPr="00BD7CEA" w:rsidRDefault="00B73A46" w:rsidP="00F64DEA">
      <w:pPr>
        <w:pStyle w:val="Footnotedash"/>
        <w:spacing w:before="0" w:after="0"/>
        <w:ind w:left="720" w:hanging="7"/>
      </w:pPr>
      <w:r w:rsidRPr="00BD7CEA">
        <w:rPr>
          <w:rFonts w:ascii="Tahoma" w:hAnsi="Tahoma" w:cs="Tahoma"/>
          <w:sz w:val="18"/>
          <w:szCs w:val="18"/>
        </w:rPr>
        <w:t>Devono avere sede in uno dei paesi dell</w:t>
      </w:r>
      <w:r w:rsidR="007A1415" w:rsidRPr="00BD7CEA">
        <w:rPr>
          <w:rFonts w:ascii="Tahoma" w:hAnsi="Tahoma" w:cs="Tahoma"/>
          <w:sz w:val="18"/>
          <w:szCs w:val="18"/>
        </w:rPr>
        <w:t>’</w:t>
      </w:r>
      <w:r w:rsidRPr="00BD7CEA">
        <w:rPr>
          <w:rFonts w:ascii="Tahoma" w:hAnsi="Tahoma" w:cs="Tahoma"/>
          <w:sz w:val="18"/>
          <w:szCs w:val="18"/>
        </w:rPr>
        <w:t>Unione Europea (UE), in uno stato membro dell</w:t>
      </w:r>
      <w:r w:rsidR="007A1415" w:rsidRPr="00BD7CEA">
        <w:rPr>
          <w:rFonts w:ascii="Tahoma" w:hAnsi="Tahoma" w:cs="Tahoma"/>
          <w:sz w:val="18"/>
          <w:szCs w:val="18"/>
        </w:rPr>
        <w:t>’</w:t>
      </w:r>
      <w:r w:rsidRPr="00BD7CEA">
        <w:rPr>
          <w:rFonts w:ascii="Tahoma" w:hAnsi="Tahoma" w:cs="Tahoma"/>
          <w:sz w:val="18"/>
          <w:szCs w:val="18"/>
        </w:rPr>
        <w:t xml:space="preserve">Associazione Europea per il Libero Scambio (EFTA), in Bulgaria, in Croazia, in Romania o in Svizzera. </w:t>
      </w:r>
    </w:p>
    <w:p w:rsidR="00EB3E62" w:rsidRPr="00BD7CEA" w:rsidRDefault="00EB3E62" w:rsidP="00F64DEA">
      <w:pPr>
        <w:pStyle w:val="Footnotedash"/>
        <w:spacing w:before="0" w:after="0"/>
        <w:ind w:left="720" w:hanging="7"/>
      </w:pPr>
    </w:p>
    <w:p w:rsidR="00B73A46" w:rsidRPr="00BD7CEA" w:rsidRDefault="00B73A46" w:rsidP="00EB3E62">
      <w:pPr>
        <w:pStyle w:val="FootnoteBulletLevel1"/>
        <w:tabs>
          <w:tab w:val="clear" w:pos="900"/>
        </w:tabs>
        <w:adjustRightInd/>
        <w:spacing w:before="0" w:after="60"/>
        <w:ind w:left="720" w:firstLine="0"/>
        <w:textAlignment w:val="auto"/>
      </w:pPr>
      <w:r w:rsidRPr="00BD7CEA">
        <w:rPr>
          <w:rFonts w:ascii="Tahoma" w:hAnsi="Tahoma" w:cs="Tahoma"/>
          <w:b/>
          <w:bCs/>
          <w:sz w:val="18"/>
          <w:szCs w:val="18"/>
        </w:rPr>
        <w:t>Windows 7 Professional N (non contiene Windows Media Player)</w:t>
      </w:r>
    </w:p>
    <w:p w:rsidR="00B73A46" w:rsidRPr="00BD7CEA" w:rsidRDefault="00B73A46" w:rsidP="00EB3E62">
      <w:pPr>
        <w:pStyle w:val="FootnoteBulletLevel2"/>
        <w:spacing w:before="0"/>
        <w:ind w:left="720" w:firstLine="0"/>
      </w:pPr>
      <w:r w:rsidRPr="00BD7CEA">
        <w:rPr>
          <w:rFonts w:ascii="Tahoma" w:hAnsi="Tahoma" w:cs="Tahoma"/>
          <w:sz w:val="18"/>
          <w:szCs w:val="18"/>
          <w:u w:val="single"/>
        </w:rPr>
        <w:t>Requisiti di Idoneità</w:t>
      </w:r>
      <w:r w:rsidRPr="00DD24DD">
        <w:rPr>
          <w:rFonts w:ascii="Tahoma" w:hAnsi="Tahoma" w:cs="Tahoma"/>
          <w:sz w:val="18"/>
          <w:szCs w:val="18"/>
        </w:rPr>
        <w:t>:</w:t>
      </w:r>
      <w:r w:rsidRPr="00BD7CEA">
        <w:rPr>
          <w:rFonts w:ascii="Tahoma" w:hAnsi="Tahoma" w:cs="Tahoma"/>
          <w:sz w:val="18"/>
          <w:szCs w:val="18"/>
          <w:u w:val="single"/>
        </w:rPr>
        <w:br/>
      </w:r>
      <w:r w:rsidRPr="00BD7CEA">
        <w:rPr>
          <w:rFonts w:ascii="Tahoma" w:hAnsi="Tahoma" w:cs="Tahoma"/>
          <w:sz w:val="18"/>
          <w:szCs w:val="18"/>
        </w:rPr>
        <w:t>le società che hanno stipulato Contratti Multilicenza e che soddisfano tutti i criteri che seguono sono idonee ad acquistare i supporti di memorizzazione per Microsoft Windows 7 Professional N esclusivamente per la distribuzione e l</w:t>
      </w:r>
      <w:r w:rsidR="007A1415" w:rsidRPr="00BD7CEA">
        <w:rPr>
          <w:rFonts w:ascii="Tahoma" w:hAnsi="Tahoma" w:cs="Tahoma"/>
          <w:sz w:val="18"/>
          <w:szCs w:val="18"/>
        </w:rPr>
        <w:t>’</w:t>
      </w:r>
      <w:r w:rsidRPr="00BD7CEA">
        <w:rPr>
          <w:rFonts w:ascii="Tahoma" w:hAnsi="Tahoma" w:cs="Tahoma"/>
          <w:sz w:val="18"/>
          <w:szCs w:val="18"/>
        </w:rPr>
        <w:t>utilizzo nell</w:t>
      </w:r>
      <w:r w:rsidR="007A1415" w:rsidRPr="00BD7CEA">
        <w:rPr>
          <w:rFonts w:ascii="Tahoma" w:hAnsi="Tahoma" w:cs="Tahoma"/>
          <w:sz w:val="18"/>
          <w:szCs w:val="18"/>
        </w:rPr>
        <w:t>’</w:t>
      </w:r>
      <w:r w:rsidRPr="00BD7CEA">
        <w:rPr>
          <w:rFonts w:ascii="Tahoma" w:hAnsi="Tahoma" w:cs="Tahoma"/>
          <w:sz w:val="18"/>
          <w:szCs w:val="18"/>
        </w:rPr>
        <w:t>Unione Europea (UE), in uno stato membro dell</w:t>
      </w:r>
      <w:r w:rsidR="007A1415" w:rsidRPr="00BD7CEA">
        <w:rPr>
          <w:rFonts w:ascii="Tahoma" w:hAnsi="Tahoma" w:cs="Tahoma"/>
          <w:sz w:val="18"/>
          <w:szCs w:val="18"/>
        </w:rPr>
        <w:t>’</w:t>
      </w:r>
      <w:r w:rsidRPr="00BD7CEA">
        <w:rPr>
          <w:rFonts w:ascii="Tahoma" w:hAnsi="Tahoma" w:cs="Tahoma"/>
          <w:sz w:val="18"/>
          <w:szCs w:val="18"/>
        </w:rPr>
        <w:t>Associazione Europea per il Libero Scambio (EFTA), in Bulgaria, in Croazia, in Romania o in Svizzera.</w:t>
      </w:r>
    </w:p>
    <w:p w:rsidR="00B73A46" w:rsidRPr="00BD7CEA" w:rsidRDefault="00B73A46" w:rsidP="00EB3E62">
      <w:pPr>
        <w:pStyle w:val="Footnotedash"/>
        <w:spacing w:before="0" w:after="0"/>
        <w:ind w:left="720" w:firstLine="0"/>
      </w:pPr>
      <w:r w:rsidRPr="00BD7CEA">
        <w:rPr>
          <w:rFonts w:ascii="Tahoma" w:hAnsi="Tahoma" w:cs="Tahoma"/>
          <w:sz w:val="18"/>
          <w:szCs w:val="18"/>
        </w:rPr>
        <w:t xml:space="preserve">Devono disporre di almeno uno dei seguenti contratti o iscrizioni attivi con Microsoft Ireland Operations Ltd: </w:t>
      </w:r>
    </w:p>
    <w:p w:rsidR="00B73A46" w:rsidRPr="00BD7CEA" w:rsidRDefault="00B73A46" w:rsidP="007358C5">
      <w:pPr>
        <w:pStyle w:val="Footnotedash"/>
        <w:numPr>
          <w:ilvl w:val="0"/>
          <w:numId w:val="32"/>
        </w:numPr>
        <w:adjustRightInd/>
        <w:spacing w:before="0"/>
        <w:ind w:left="1440"/>
        <w:textAlignment w:val="auto"/>
      </w:pPr>
      <w:r w:rsidRPr="00BD7CEA">
        <w:rPr>
          <w:rFonts w:ascii="Tahoma" w:hAnsi="Tahoma" w:cs="Tahoma"/>
          <w:sz w:val="18"/>
          <w:szCs w:val="18"/>
        </w:rPr>
        <w:t>Iscrizione Select, Enterprise o Enterprise Subscription</w:t>
      </w:r>
    </w:p>
    <w:p w:rsidR="00B73A46" w:rsidRPr="00BD7CEA" w:rsidRDefault="00B73A46" w:rsidP="007358C5">
      <w:pPr>
        <w:pStyle w:val="Footnotedash"/>
        <w:numPr>
          <w:ilvl w:val="0"/>
          <w:numId w:val="32"/>
        </w:numPr>
        <w:adjustRightInd/>
        <w:spacing w:before="0"/>
        <w:ind w:left="1440"/>
        <w:textAlignment w:val="auto"/>
      </w:pPr>
      <w:r w:rsidRPr="00BD7CEA">
        <w:rPr>
          <w:rFonts w:ascii="Tahoma" w:hAnsi="Tahoma" w:cs="Tahoma"/>
          <w:sz w:val="18"/>
          <w:szCs w:val="18"/>
        </w:rPr>
        <w:t>Contratti Open License*, Open Value, Campus e School, Open Value Subscription</w:t>
      </w:r>
      <w:r w:rsidR="00FD7C0D">
        <w:rPr>
          <w:rFonts w:ascii="Tahoma" w:hAnsi="Tahoma" w:cs="Tahoma"/>
          <w:sz w:val="18"/>
          <w:szCs w:val="18"/>
        </w:rPr>
        <w:t xml:space="preserve"> – </w:t>
      </w:r>
      <w:r w:rsidRPr="00BD7CEA">
        <w:rPr>
          <w:rFonts w:ascii="Tahoma" w:hAnsi="Tahoma" w:cs="Tahoma"/>
          <w:sz w:val="18"/>
          <w:szCs w:val="18"/>
        </w:rPr>
        <w:t xml:space="preserve">Education Solutions </w:t>
      </w:r>
    </w:p>
    <w:p w:rsidR="00B73A46" w:rsidRPr="00BD7CEA" w:rsidRDefault="00B73A46" w:rsidP="00EB3E62">
      <w:pPr>
        <w:pStyle w:val="Footnotedash"/>
        <w:tabs>
          <w:tab w:val="clear" w:pos="1620"/>
        </w:tabs>
        <w:adjustRightInd/>
        <w:spacing w:before="0"/>
        <w:ind w:left="1440" w:firstLine="0"/>
        <w:textAlignment w:val="auto"/>
      </w:pPr>
      <w:r w:rsidRPr="00BD7CEA">
        <w:rPr>
          <w:rFonts w:ascii="Tahoma" w:hAnsi="Tahoma" w:cs="Tahoma"/>
          <w:sz w:val="18"/>
          <w:szCs w:val="18"/>
        </w:rPr>
        <w:t>(*Ai fini del Contratto Open License, un “contratto attivo” è un contratto associato a un Numero di</w:t>
      </w:r>
      <w:r w:rsidR="00DC6528">
        <w:rPr>
          <w:rFonts w:ascii="Tahoma" w:hAnsi="Tahoma" w:cs="Tahoma"/>
          <w:sz w:val="18"/>
          <w:szCs w:val="18"/>
        </w:rPr>
        <w:t> </w:t>
      </w:r>
      <w:r w:rsidRPr="00BD7CEA">
        <w:rPr>
          <w:rFonts w:ascii="Tahoma" w:hAnsi="Tahoma" w:cs="Tahoma"/>
          <w:sz w:val="18"/>
          <w:szCs w:val="18"/>
        </w:rPr>
        <w:t>Autorizzazione Open License attivo).</w:t>
      </w:r>
    </w:p>
    <w:p w:rsidR="00B73A46" w:rsidRPr="00BD7CEA" w:rsidRDefault="00B73A46" w:rsidP="00EB3E62">
      <w:pPr>
        <w:pStyle w:val="Footnotedash"/>
        <w:spacing w:before="0" w:after="0"/>
        <w:ind w:left="720" w:firstLine="0"/>
      </w:pPr>
      <w:r w:rsidRPr="00BD7CEA">
        <w:rPr>
          <w:rFonts w:ascii="Tahoma" w:hAnsi="Tahoma" w:cs="Tahoma"/>
          <w:sz w:val="18"/>
          <w:szCs w:val="18"/>
        </w:rPr>
        <w:t>Devono disporre di una copertura Software Assurance attiva per le licenze di aggiornamento per il Sistema Operativo Desktop Windows o per Windows 8 Pro.</w:t>
      </w:r>
    </w:p>
    <w:p w:rsidR="00EB3E62" w:rsidRPr="00BD7CEA" w:rsidRDefault="00EB3E62" w:rsidP="00EB3E62">
      <w:pPr>
        <w:pStyle w:val="Footnotedash"/>
        <w:spacing w:before="0" w:after="0"/>
        <w:ind w:left="720" w:firstLine="0"/>
      </w:pPr>
    </w:p>
    <w:p w:rsidR="00B73A46" w:rsidRPr="00BD7CEA" w:rsidRDefault="00B73A46" w:rsidP="00EB3E62">
      <w:pPr>
        <w:pStyle w:val="Footnotedash"/>
        <w:spacing w:before="0" w:after="0"/>
        <w:ind w:left="720" w:firstLine="0"/>
      </w:pPr>
      <w:r w:rsidRPr="00BD7CEA">
        <w:rPr>
          <w:rFonts w:ascii="Tahoma" w:hAnsi="Tahoma" w:cs="Tahoma"/>
          <w:sz w:val="18"/>
          <w:szCs w:val="18"/>
        </w:rPr>
        <w:t>Devono avere sede in uno dei paesi dell</w:t>
      </w:r>
      <w:r w:rsidR="007A1415" w:rsidRPr="00BD7CEA">
        <w:rPr>
          <w:rFonts w:ascii="Tahoma" w:hAnsi="Tahoma" w:cs="Tahoma"/>
          <w:sz w:val="18"/>
          <w:szCs w:val="18"/>
        </w:rPr>
        <w:t>’</w:t>
      </w:r>
      <w:r w:rsidRPr="00BD7CEA">
        <w:rPr>
          <w:rFonts w:ascii="Tahoma" w:hAnsi="Tahoma" w:cs="Tahoma"/>
          <w:sz w:val="18"/>
          <w:szCs w:val="18"/>
        </w:rPr>
        <w:t>Unione Europea (UE), in uno stato membro dell</w:t>
      </w:r>
      <w:r w:rsidR="007A1415" w:rsidRPr="00BD7CEA">
        <w:rPr>
          <w:rFonts w:ascii="Tahoma" w:hAnsi="Tahoma" w:cs="Tahoma"/>
          <w:sz w:val="18"/>
          <w:szCs w:val="18"/>
        </w:rPr>
        <w:t>’</w:t>
      </w:r>
      <w:r w:rsidRPr="00BD7CEA">
        <w:rPr>
          <w:rFonts w:ascii="Tahoma" w:hAnsi="Tahoma" w:cs="Tahoma"/>
          <w:sz w:val="18"/>
          <w:szCs w:val="18"/>
        </w:rPr>
        <w:t xml:space="preserve">Associazione Europea per il Libero Scambio (EFTA), in Bulgaria, in Croazia, in Romania o in Svizzera. </w:t>
      </w:r>
    </w:p>
    <w:p w:rsidR="00EB3E62" w:rsidRPr="00BD7CEA" w:rsidRDefault="00EB3E62" w:rsidP="00EB3E62">
      <w:pPr>
        <w:pStyle w:val="Footnotedash"/>
        <w:spacing w:before="0" w:after="0"/>
        <w:ind w:left="720" w:firstLine="0"/>
      </w:pPr>
    </w:p>
    <w:p w:rsidR="00697E59" w:rsidRPr="00BD7CEA" w:rsidRDefault="00B73A46" w:rsidP="00EB3E62">
      <w:pPr>
        <w:pStyle w:val="Footnotedash"/>
        <w:spacing w:before="0" w:after="0"/>
        <w:ind w:left="720" w:firstLine="0"/>
      </w:pPr>
      <w:r w:rsidRPr="00BD7CEA">
        <w:rPr>
          <w:rFonts w:ascii="Tahoma" w:hAnsi="Tahoma" w:cs="Tahoma"/>
          <w:sz w:val="18"/>
          <w:szCs w:val="18"/>
        </w:rPr>
        <w:t>Le società possono ignorare la comunicazione contenuta nei Diritti di Utilizzo del Prodotto di luglio 2009 e relativa all</w:t>
      </w:r>
      <w:r w:rsidR="007A1415" w:rsidRPr="00BD7CEA">
        <w:rPr>
          <w:rFonts w:ascii="Tahoma" w:hAnsi="Tahoma" w:cs="Tahoma"/>
          <w:sz w:val="18"/>
          <w:szCs w:val="18"/>
        </w:rPr>
        <w:t>’</w:t>
      </w:r>
      <w:r w:rsidRPr="00BD7CEA">
        <w:rPr>
          <w:rFonts w:ascii="Tahoma" w:hAnsi="Tahoma" w:cs="Tahoma"/>
          <w:sz w:val="18"/>
          <w:szCs w:val="18"/>
        </w:rPr>
        <w:t xml:space="preserve">assenza della funzionalità Internet Explorer 8 e la relativa esclusione di garanzie. </w:t>
      </w:r>
    </w:p>
    <w:p w:rsidR="00804794" w:rsidRPr="00BD7CEA" w:rsidRDefault="00804794" w:rsidP="00804794">
      <w:pPr>
        <w:pStyle w:val="FootnoteBulletLevel1"/>
        <w:tabs>
          <w:tab w:val="clear" w:pos="900"/>
        </w:tabs>
        <w:adjustRightInd/>
        <w:spacing w:before="0" w:after="0"/>
        <w:ind w:left="720" w:firstLine="0"/>
        <w:textAlignment w:val="auto"/>
      </w:pPr>
    </w:p>
    <w:p w:rsidR="008A5D64" w:rsidRPr="00BD7CEA" w:rsidRDefault="008A5D64" w:rsidP="00804794">
      <w:pPr>
        <w:pStyle w:val="FootnoteBulletLevel1"/>
        <w:tabs>
          <w:tab w:val="clear" w:pos="900"/>
        </w:tabs>
        <w:adjustRightInd/>
        <w:spacing w:before="0" w:after="60"/>
        <w:ind w:left="720" w:firstLine="0"/>
        <w:textAlignment w:val="auto"/>
      </w:pPr>
      <w:r w:rsidRPr="00BD7CEA">
        <w:rPr>
          <w:rFonts w:ascii="Tahoma" w:hAnsi="Tahoma" w:cs="Tahoma"/>
          <w:b/>
          <w:bCs/>
          <w:sz w:val="18"/>
          <w:szCs w:val="18"/>
        </w:rPr>
        <w:t>Windows 8 Pro KN</w:t>
      </w:r>
    </w:p>
    <w:p w:rsidR="008A5D64" w:rsidRPr="00BD7CEA" w:rsidRDefault="008A5D64" w:rsidP="00804794">
      <w:pPr>
        <w:pStyle w:val="FootnoteBulletLevel2"/>
        <w:spacing w:before="0"/>
        <w:ind w:left="720" w:hanging="7"/>
      </w:pPr>
      <w:r w:rsidRPr="00BD7CEA">
        <w:rPr>
          <w:rFonts w:ascii="Tahoma" w:hAnsi="Tahoma" w:cs="Tahoma"/>
          <w:sz w:val="18"/>
          <w:szCs w:val="18"/>
          <w:u w:val="single"/>
        </w:rPr>
        <w:t>Requisiti di Idoneità</w:t>
      </w:r>
      <w:r w:rsidRPr="00DD24DD">
        <w:rPr>
          <w:rFonts w:ascii="Tahoma" w:hAnsi="Tahoma" w:cs="Tahoma"/>
          <w:sz w:val="18"/>
          <w:szCs w:val="18"/>
        </w:rPr>
        <w:t>:</w:t>
      </w:r>
      <w:r w:rsidRPr="00BD7CEA">
        <w:rPr>
          <w:rFonts w:ascii="Tahoma" w:hAnsi="Tahoma" w:cs="Tahoma"/>
          <w:sz w:val="18"/>
          <w:szCs w:val="18"/>
          <w:u w:val="single"/>
        </w:rPr>
        <w:br/>
      </w:r>
      <w:r w:rsidRPr="00BD7CEA">
        <w:rPr>
          <w:rFonts w:ascii="Tahoma" w:hAnsi="Tahoma" w:cs="Tahoma"/>
          <w:sz w:val="18"/>
          <w:szCs w:val="18"/>
        </w:rPr>
        <w:t>le società con sede in Corea che hanno stipulato Contratti Multilicenza e che dispongono di un</w:t>
      </w:r>
      <w:r w:rsidR="007A1415" w:rsidRPr="00BD7CEA">
        <w:rPr>
          <w:rFonts w:ascii="Tahoma" w:hAnsi="Tahoma" w:cs="Tahoma"/>
          <w:sz w:val="18"/>
          <w:szCs w:val="18"/>
        </w:rPr>
        <w:t>’</w:t>
      </w:r>
      <w:r w:rsidRPr="00BD7CEA">
        <w:rPr>
          <w:rFonts w:ascii="Tahoma" w:hAnsi="Tahoma" w:cs="Tahoma"/>
          <w:sz w:val="18"/>
          <w:szCs w:val="18"/>
        </w:rPr>
        <w:t>iscrizione o</w:t>
      </w:r>
      <w:r w:rsidR="00DD24DD">
        <w:rPr>
          <w:rFonts w:ascii="Tahoma" w:hAnsi="Tahoma" w:cs="Tahoma"/>
          <w:sz w:val="18"/>
          <w:szCs w:val="18"/>
        </w:rPr>
        <w:t> </w:t>
      </w:r>
      <w:r w:rsidRPr="00BD7CEA">
        <w:rPr>
          <w:rFonts w:ascii="Tahoma" w:hAnsi="Tahoma" w:cs="Tahoma"/>
          <w:sz w:val="18"/>
          <w:szCs w:val="18"/>
        </w:rPr>
        <w:t>di</w:t>
      </w:r>
      <w:r w:rsidR="00DD24DD">
        <w:rPr>
          <w:rFonts w:ascii="Tahoma" w:hAnsi="Tahoma" w:cs="Tahoma"/>
          <w:sz w:val="18"/>
          <w:szCs w:val="18"/>
        </w:rPr>
        <w:t> </w:t>
      </w:r>
      <w:r w:rsidRPr="00BD7CEA">
        <w:rPr>
          <w:rFonts w:ascii="Tahoma" w:hAnsi="Tahoma" w:cs="Tahoma"/>
          <w:sz w:val="18"/>
          <w:szCs w:val="18"/>
        </w:rPr>
        <w:t>un contratto multilicenza attivo con Microsoft Operations Pte Ltd sono idonee ad acquistare i supporti di</w:t>
      </w:r>
      <w:r w:rsidR="00DD24DD">
        <w:rPr>
          <w:rFonts w:ascii="Tahoma" w:hAnsi="Tahoma" w:cs="Tahoma"/>
          <w:sz w:val="18"/>
          <w:szCs w:val="18"/>
        </w:rPr>
        <w:t> </w:t>
      </w:r>
      <w:r w:rsidRPr="00BD7CEA">
        <w:rPr>
          <w:rFonts w:ascii="Tahoma" w:hAnsi="Tahoma" w:cs="Tahoma"/>
          <w:sz w:val="18"/>
          <w:szCs w:val="18"/>
        </w:rPr>
        <w:t>memorizzazione per Windows 8 Pro KN per la distribuzione e l</w:t>
      </w:r>
      <w:r w:rsidR="007A1415" w:rsidRPr="00BD7CEA">
        <w:rPr>
          <w:rFonts w:ascii="Tahoma" w:hAnsi="Tahoma" w:cs="Tahoma"/>
          <w:sz w:val="18"/>
          <w:szCs w:val="18"/>
        </w:rPr>
        <w:t>’</w:t>
      </w:r>
      <w:r w:rsidRPr="00BD7CEA">
        <w:rPr>
          <w:rFonts w:ascii="Tahoma" w:hAnsi="Tahoma" w:cs="Tahoma"/>
          <w:sz w:val="18"/>
          <w:szCs w:val="18"/>
        </w:rPr>
        <w:t>utilizzo in Corea. Nessun altro utilizzo è</w:t>
      </w:r>
      <w:r w:rsidR="00974F82" w:rsidRPr="00BD7CEA">
        <w:rPr>
          <w:rFonts w:ascii="Tahoma" w:hAnsi="Tahoma" w:cs="Tahoma"/>
          <w:sz w:val="18"/>
          <w:szCs w:val="18"/>
        </w:rPr>
        <w:t> </w:t>
      </w:r>
      <w:r w:rsidRPr="00BD7CEA">
        <w:rPr>
          <w:rFonts w:ascii="Tahoma" w:hAnsi="Tahoma" w:cs="Tahoma"/>
          <w:sz w:val="18"/>
          <w:szCs w:val="18"/>
        </w:rPr>
        <w:t>consentito.</w:t>
      </w:r>
    </w:p>
    <w:p w:rsidR="008A5D64" w:rsidRPr="00BD7CEA" w:rsidRDefault="008A5D64" w:rsidP="00804794">
      <w:pPr>
        <w:pStyle w:val="FootnoteBulletLevel1"/>
        <w:tabs>
          <w:tab w:val="clear" w:pos="900"/>
        </w:tabs>
        <w:adjustRightInd/>
        <w:spacing w:before="0" w:after="60"/>
        <w:ind w:left="720" w:firstLine="0"/>
        <w:textAlignment w:val="auto"/>
      </w:pPr>
      <w:r w:rsidRPr="00BD7CEA">
        <w:rPr>
          <w:rFonts w:ascii="Tahoma" w:hAnsi="Tahoma" w:cs="Tahoma"/>
          <w:b/>
          <w:bCs/>
          <w:sz w:val="18"/>
          <w:szCs w:val="18"/>
        </w:rPr>
        <w:lastRenderedPageBreak/>
        <w:t>Windows 8 Pro N (non contiene Windows Media Player)</w:t>
      </w:r>
    </w:p>
    <w:p w:rsidR="008A5D64" w:rsidRPr="00BD7CEA" w:rsidRDefault="008A5D64" w:rsidP="00804794">
      <w:pPr>
        <w:pStyle w:val="FootnoteBulletLevel2"/>
        <w:spacing w:before="0"/>
        <w:ind w:left="720" w:firstLine="0"/>
      </w:pPr>
      <w:r w:rsidRPr="00BD7CEA">
        <w:rPr>
          <w:rFonts w:ascii="Tahoma" w:hAnsi="Tahoma" w:cs="Tahoma"/>
          <w:sz w:val="18"/>
          <w:szCs w:val="18"/>
          <w:u w:val="single"/>
        </w:rPr>
        <w:t>Requisiti di Idoneità</w:t>
      </w:r>
      <w:r w:rsidRPr="00DD24DD">
        <w:rPr>
          <w:rFonts w:ascii="Tahoma" w:hAnsi="Tahoma" w:cs="Tahoma"/>
          <w:sz w:val="18"/>
          <w:szCs w:val="18"/>
        </w:rPr>
        <w:t>:</w:t>
      </w:r>
      <w:r w:rsidRPr="00BD7CEA">
        <w:rPr>
          <w:rFonts w:ascii="Tahoma" w:hAnsi="Tahoma" w:cs="Tahoma"/>
          <w:sz w:val="18"/>
          <w:szCs w:val="18"/>
          <w:u w:val="single"/>
        </w:rPr>
        <w:br/>
      </w:r>
      <w:r w:rsidRPr="00BD7CEA">
        <w:rPr>
          <w:rFonts w:ascii="Tahoma" w:hAnsi="Tahoma" w:cs="Tahoma"/>
          <w:sz w:val="18"/>
          <w:szCs w:val="18"/>
        </w:rPr>
        <w:t>le società che hanno stipulato Contratti Multilicenza e che soddisfano tutti i criteri che seguono sono idonee</w:t>
      </w:r>
      <w:r w:rsidR="00974F82" w:rsidRPr="00BD7CEA">
        <w:rPr>
          <w:rFonts w:ascii="Tahoma" w:hAnsi="Tahoma" w:cs="Tahoma"/>
          <w:sz w:val="18"/>
          <w:szCs w:val="18"/>
        </w:rPr>
        <w:t> </w:t>
      </w:r>
      <w:r w:rsidRPr="00BD7CEA">
        <w:rPr>
          <w:rFonts w:ascii="Tahoma" w:hAnsi="Tahoma" w:cs="Tahoma"/>
          <w:sz w:val="18"/>
          <w:szCs w:val="18"/>
        </w:rPr>
        <w:t>ad acquistare i supporti di memorizzazione per Microsoft Windows 8 Pro N esclusivamente per la distribuzione e l</w:t>
      </w:r>
      <w:r w:rsidR="007A1415" w:rsidRPr="00BD7CEA">
        <w:rPr>
          <w:rFonts w:ascii="Tahoma" w:hAnsi="Tahoma" w:cs="Tahoma"/>
          <w:sz w:val="18"/>
          <w:szCs w:val="18"/>
        </w:rPr>
        <w:t>’</w:t>
      </w:r>
      <w:r w:rsidRPr="00BD7CEA">
        <w:rPr>
          <w:rFonts w:ascii="Tahoma" w:hAnsi="Tahoma" w:cs="Tahoma"/>
          <w:sz w:val="18"/>
          <w:szCs w:val="18"/>
        </w:rPr>
        <w:t>utilizzo nell</w:t>
      </w:r>
      <w:r w:rsidR="007A1415" w:rsidRPr="00BD7CEA">
        <w:rPr>
          <w:rFonts w:ascii="Tahoma" w:hAnsi="Tahoma" w:cs="Tahoma"/>
          <w:sz w:val="18"/>
          <w:szCs w:val="18"/>
        </w:rPr>
        <w:t>’</w:t>
      </w:r>
      <w:r w:rsidRPr="00BD7CEA">
        <w:rPr>
          <w:rFonts w:ascii="Tahoma" w:hAnsi="Tahoma" w:cs="Tahoma"/>
          <w:sz w:val="18"/>
          <w:szCs w:val="18"/>
        </w:rPr>
        <w:t>Unione Europea (UE), in uno stato membro dell</w:t>
      </w:r>
      <w:r w:rsidR="007A1415" w:rsidRPr="00BD7CEA">
        <w:rPr>
          <w:rFonts w:ascii="Tahoma" w:hAnsi="Tahoma" w:cs="Tahoma"/>
          <w:sz w:val="18"/>
          <w:szCs w:val="18"/>
        </w:rPr>
        <w:t>’</w:t>
      </w:r>
      <w:r w:rsidRPr="00BD7CEA">
        <w:rPr>
          <w:rFonts w:ascii="Tahoma" w:hAnsi="Tahoma" w:cs="Tahoma"/>
          <w:sz w:val="18"/>
          <w:szCs w:val="18"/>
        </w:rPr>
        <w:t>Associazione Europea per il Libero Scambio (EFTA), in Bulgaria, in Croazia, in Romania o in Svizzera.</w:t>
      </w:r>
    </w:p>
    <w:p w:rsidR="008A5D64" w:rsidRPr="00BD7CEA" w:rsidRDefault="008A5D64" w:rsidP="00804794">
      <w:pPr>
        <w:pStyle w:val="Footnotedash"/>
        <w:spacing w:before="0" w:after="0"/>
        <w:ind w:left="720" w:hanging="7"/>
      </w:pPr>
      <w:r w:rsidRPr="00BD7CEA">
        <w:rPr>
          <w:rFonts w:ascii="Tahoma" w:hAnsi="Tahoma" w:cs="Tahoma"/>
          <w:sz w:val="18"/>
          <w:szCs w:val="18"/>
        </w:rPr>
        <w:t xml:space="preserve">Devono disporre di almeno uno dei seguenti contratti o iscrizioni attivi con Microsoft Ireland Operations Ltd: </w:t>
      </w:r>
    </w:p>
    <w:p w:rsidR="00804794" w:rsidRPr="00BD7CEA" w:rsidRDefault="00804794" w:rsidP="00804794">
      <w:pPr>
        <w:pStyle w:val="Footnotedash"/>
        <w:spacing w:before="0" w:after="0"/>
        <w:ind w:left="720" w:hanging="7"/>
      </w:pPr>
    </w:p>
    <w:p w:rsidR="008A5D64" w:rsidRPr="00BD7CEA" w:rsidRDefault="008A5D64" w:rsidP="007358C5">
      <w:pPr>
        <w:pStyle w:val="Footnotedash"/>
        <w:numPr>
          <w:ilvl w:val="0"/>
          <w:numId w:val="32"/>
        </w:numPr>
        <w:adjustRightInd/>
        <w:spacing w:before="0"/>
        <w:ind w:left="1440"/>
        <w:textAlignment w:val="auto"/>
      </w:pPr>
      <w:r w:rsidRPr="00BD7CEA">
        <w:rPr>
          <w:rFonts w:ascii="Tahoma" w:hAnsi="Tahoma" w:cs="Tahoma"/>
          <w:sz w:val="18"/>
          <w:szCs w:val="18"/>
        </w:rPr>
        <w:t>Iscrizione Select, Enterprise o Enterprise Subscription</w:t>
      </w:r>
    </w:p>
    <w:p w:rsidR="008A5D64" w:rsidRPr="00BD7CEA" w:rsidRDefault="008A5D64" w:rsidP="007358C5">
      <w:pPr>
        <w:pStyle w:val="Footnotedash"/>
        <w:numPr>
          <w:ilvl w:val="0"/>
          <w:numId w:val="32"/>
        </w:numPr>
        <w:adjustRightInd/>
        <w:spacing w:before="0"/>
        <w:ind w:left="1440"/>
        <w:textAlignment w:val="auto"/>
      </w:pPr>
      <w:r w:rsidRPr="00BD7CEA">
        <w:rPr>
          <w:rFonts w:ascii="Tahoma" w:hAnsi="Tahoma" w:cs="Tahoma"/>
          <w:sz w:val="18"/>
          <w:szCs w:val="18"/>
        </w:rPr>
        <w:t>Contratti Open License*, Open Value, Campus e School, Open Value Subscription</w:t>
      </w:r>
      <w:r w:rsidR="00FD7C0D">
        <w:rPr>
          <w:rFonts w:ascii="Tahoma" w:hAnsi="Tahoma" w:cs="Tahoma"/>
          <w:sz w:val="18"/>
          <w:szCs w:val="18"/>
        </w:rPr>
        <w:t xml:space="preserve"> – </w:t>
      </w:r>
      <w:r w:rsidRPr="00BD7CEA">
        <w:rPr>
          <w:rFonts w:ascii="Tahoma" w:hAnsi="Tahoma" w:cs="Tahoma"/>
          <w:sz w:val="18"/>
          <w:szCs w:val="18"/>
        </w:rPr>
        <w:t xml:space="preserve">Education Solutions </w:t>
      </w:r>
    </w:p>
    <w:p w:rsidR="008A5D64" w:rsidRPr="00BD7CEA" w:rsidRDefault="008A5D64" w:rsidP="00804794">
      <w:pPr>
        <w:pStyle w:val="Footnotedash"/>
        <w:tabs>
          <w:tab w:val="clear" w:pos="1620"/>
        </w:tabs>
        <w:adjustRightInd/>
        <w:spacing w:before="0"/>
        <w:ind w:left="1440" w:firstLine="0"/>
        <w:textAlignment w:val="auto"/>
      </w:pPr>
      <w:r w:rsidRPr="00BD7CEA">
        <w:rPr>
          <w:rFonts w:ascii="Tahoma" w:hAnsi="Tahoma" w:cs="Tahoma"/>
          <w:sz w:val="18"/>
          <w:szCs w:val="18"/>
        </w:rPr>
        <w:t>(*Ai fini del Contratto Open License, un “contratto attivo” è un contratto associato a un Numero di</w:t>
      </w:r>
      <w:r w:rsidR="00974F82" w:rsidRPr="00BD7CEA">
        <w:rPr>
          <w:rFonts w:ascii="Tahoma" w:hAnsi="Tahoma" w:cs="Tahoma"/>
          <w:sz w:val="18"/>
          <w:szCs w:val="18"/>
        </w:rPr>
        <w:t> </w:t>
      </w:r>
      <w:r w:rsidRPr="00BD7CEA">
        <w:rPr>
          <w:rFonts w:ascii="Tahoma" w:hAnsi="Tahoma" w:cs="Tahoma"/>
          <w:sz w:val="18"/>
          <w:szCs w:val="18"/>
        </w:rPr>
        <w:t>Autorizzazione Open License attivo).</w:t>
      </w:r>
    </w:p>
    <w:p w:rsidR="00804794" w:rsidRPr="00BD7CEA" w:rsidRDefault="00804794" w:rsidP="00804794">
      <w:pPr>
        <w:pStyle w:val="Footnotedash"/>
        <w:tabs>
          <w:tab w:val="clear" w:pos="1620"/>
        </w:tabs>
        <w:adjustRightInd/>
        <w:spacing w:before="0" w:after="0"/>
        <w:ind w:left="1440" w:firstLine="0"/>
        <w:textAlignment w:val="auto"/>
      </w:pPr>
    </w:p>
    <w:p w:rsidR="008A5D64" w:rsidRPr="00BD7CEA" w:rsidRDefault="008A5D64" w:rsidP="00804794">
      <w:pPr>
        <w:pStyle w:val="Footnotedash"/>
        <w:spacing w:before="0" w:after="0"/>
        <w:ind w:left="720" w:hanging="7"/>
      </w:pPr>
      <w:r w:rsidRPr="00BD7CEA">
        <w:rPr>
          <w:rFonts w:ascii="Tahoma" w:hAnsi="Tahoma" w:cs="Tahoma"/>
          <w:sz w:val="18"/>
          <w:szCs w:val="18"/>
        </w:rPr>
        <w:t>Devono disporre di una copertura Software Assurance attiva per le licenze di aggiornamento per il Sistema Operativo Desktop Windows o per Windows 8 Pro.</w:t>
      </w:r>
    </w:p>
    <w:p w:rsidR="00804794" w:rsidRPr="00BD7CEA" w:rsidRDefault="00804794" w:rsidP="00804794">
      <w:pPr>
        <w:pStyle w:val="Footnotedash"/>
        <w:spacing w:before="0" w:after="0"/>
        <w:ind w:left="720" w:hanging="7"/>
      </w:pPr>
    </w:p>
    <w:p w:rsidR="008A5D64" w:rsidRPr="00BD7CEA" w:rsidRDefault="008A5D64" w:rsidP="00804794">
      <w:pPr>
        <w:pStyle w:val="Footnotedash"/>
        <w:spacing w:before="0" w:after="0"/>
        <w:ind w:left="720" w:hanging="7"/>
      </w:pPr>
      <w:r w:rsidRPr="00BD7CEA">
        <w:rPr>
          <w:rFonts w:ascii="Tahoma" w:hAnsi="Tahoma" w:cs="Tahoma"/>
          <w:sz w:val="18"/>
          <w:szCs w:val="18"/>
        </w:rPr>
        <w:t>Devono avere sede in uno dei paesi dell</w:t>
      </w:r>
      <w:r w:rsidR="007A1415" w:rsidRPr="00BD7CEA">
        <w:rPr>
          <w:rFonts w:ascii="Tahoma" w:hAnsi="Tahoma" w:cs="Tahoma"/>
          <w:sz w:val="18"/>
          <w:szCs w:val="18"/>
        </w:rPr>
        <w:t>’</w:t>
      </w:r>
      <w:r w:rsidRPr="00BD7CEA">
        <w:rPr>
          <w:rFonts w:ascii="Tahoma" w:hAnsi="Tahoma" w:cs="Tahoma"/>
          <w:sz w:val="18"/>
          <w:szCs w:val="18"/>
        </w:rPr>
        <w:t>Unione Europea (UE), in uno stato membro dell</w:t>
      </w:r>
      <w:r w:rsidR="007A1415" w:rsidRPr="00BD7CEA">
        <w:rPr>
          <w:rFonts w:ascii="Tahoma" w:hAnsi="Tahoma" w:cs="Tahoma"/>
          <w:sz w:val="18"/>
          <w:szCs w:val="18"/>
        </w:rPr>
        <w:t>’</w:t>
      </w:r>
      <w:r w:rsidRPr="00BD7CEA">
        <w:rPr>
          <w:rFonts w:ascii="Tahoma" w:hAnsi="Tahoma" w:cs="Tahoma"/>
          <w:sz w:val="18"/>
          <w:szCs w:val="18"/>
        </w:rPr>
        <w:t>Associazione Europea per il Libero Scambio (EFTA), in Bulgaria, in Croazia, in Romania o in Svizzera.</w:t>
      </w:r>
    </w:p>
    <w:p w:rsidR="00804794" w:rsidRPr="00BD7CEA" w:rsidRDefault="00804794" w:rsidP="00804794">
      <w:pPr>
        <w:pStyle w:val="FootnoteBulletLevel1"/>
        <w:tabs>
          <w:tab w:val="clear" w:pos="900"/>
        </w:tabs>
        <w:adjustRightInd/>
        <w:spacing w:before="0" w:after="0"/>
        <w:ind w:left="720" w:firstLine="0"/>
        <w:textAlignment w:val="auto"/>
      </w:pPr>
    </w:p>
    <w:p w:rsidR="00B73A46" w:rsidRPr="00BD7CEA" w:rsidRDefault="00B73A46" w:rsidP="00804794">
      <w:pPr>
        <w:pStyle w:val="FootnoteBulletLevel1"/>
        <w:tabs>
          <w:tab w:val="clear" w:pos="900"/>
        </w:tabs>
        <w:adjustRightInd/>
        <w:spacing w:before="0" w:after="60"/>
        <w:ind w:left="720" w:firstLine="0"/>
        <w:textAlignment w:val="auto"/>
      </w:pPr>
      <w:r w:rsidRPr="00BD7CEA">
        <w:rPr>
          <w:rFonts w:ascii="Tahoma" w:hAnsi="Tahoma" w:cs="Tahoma"/>
          <w:b/>
          <w:bCs/>
          <w:sz w:val="18"/>
          <w:szCs w:val="18"/>
        </w:rPr>
        <w:t>Diritti di Noleggio per Windows</w:t>
      </w:r>
    </w:p>
    <w:p w:rsidR="00B73A46" w:rsidRPr="00BD7CEA" w:rsidRDefault="00B73A46" w:rsidP="00804794">
      <w:pPr>
        <w:pStyle w:val="FootnoteBulletLevel1"/>
        <w:tabs>
          <w:tab w:val="clear" w:pos="900"/>
        </w:tabs>
        <w:adjustRightInd/>
        <w:spacing w:before="0" w:after="0"/>
        <w:ind w:left="720" w:firstLine="0"/>
        <w:textAlignment w:val="auto"/>
      </w:pPr>
      <w:r w:rsidRPr="00BD7CEA">
        <w:rPr>
          <w:rFonts w:ascii="Tahoma" w:hAnsi="Tahoma" w:cs="Tahoma"/>
          <w:sz w:val="18"/>
          <w:szCs w:val="18"/>
          <w:u w:val="single"/>
        </w:rPr>
        <w:t>Licenze per i Diritti di Noleggio</w:t>
      </w:r>
      <w:r w:rsidRPr="00DD24DD">
        <w:rPr>
          <w:rFonts w:ascii="Tahoma" w:hAnsi="Tahoma" w:cs="Tahoma"/>
          <w:sz w:val="18"/>
          <w:szCs w:val="18"/>
        </w:rPr>
        <w:t>:</w:t>
      </w:r>
      <w:r w:rsidRPr="00BD7CEA">
        <w:rPr>
          <w:rFonts w:ascii="Tahoma" w:hAnsi="Tahoma" w:cs="Tahoma"/>
          <w:sz w:val="18"/>
          <w:szCs w:val="18"/>
        </w:rPr>
        <w:br/>
        <w:t>le licenze per i diritti di noleggio concesse in base ai presenti programmi sono unicamente licenze add-on. Tali licenze non costituiscono né un sistema operativo completo, né una sostituzione per l</w:t>
      </w:r>
      <w:r w:rsidR="007A1415" w:rsidRPr="00BD7CEA">
        <w:rPr>
          <w:rFonts w:ascii="Tahoma" w:hAnsi="Tahoma" w:cs="Tahoma"/>
          <w:sz w:val="18"/>
          <w:szCs w:val="18"/>
        </w:rPr>
        <w:t>’</w:t>
      </w:r>
      <w:r w:rsidRPr="00BD7CEA">
        <w:rPr>
          <w:rFonts w:ascii="Tahoma" w:hAnsi="Tahoma" w:cs="Tahoma"/>
          <w:sz w:val="18"/>
          <w:szCs w:val="18"/>
        </w:rPr>
        <w:t>aggiornamento Volume License. Pertanto, ogni desktop a cui la società assegni una licenza per i diritti di noleggio dovrà avere la licenza per eseguire uno dei sistemi operativi qualificanti indicati di seguito.</w:t>
      </w:r>
    </w:p>
    <w:p w:rsidR="00804794" w:rsidRPr="00BD7CEA" w:rsidRDefault="00804794" w:rsidP="00804794">
      <w:pPr>
        <w:pStyle w:val="FootnoteBulletLevel1"/>
        <w:tabs>
          <w:tab w:val="clear" w:pos="900"/>
        </w:tabs>
        <w:adjustRightInd/>
        <w:spacing w:before="0" w:after="0"/>
        <w:ind w:left="720" w:firstLine="0"/>
        <w:textAlignment w:val="auto"/>
      </w:pPr>
    </w:p>
    <w:p w:rsidR="005F52C6" w:rsidRPr="00BD7CEA" w:rsidRDefault="00B73A46" w:rsidP="00804794">
      <w:pPr>
        <w:pStyle w:val="FootnoteBulletLevel1"/>
        <w:tabs>
          <w:tab w:val="clear" w:pos="900"/>
        </w:tabs>
        <w:adjustRightInd/>
        <w:spacing w:before="0" w:after="0"/>
        <w:ind w:left="720" w:firstLine="0"/>
        <w:textAlignment w:val="auto"/>
      </w:pPr>
      <w:r w:rsidRPr="00BD7CEA">
        <w:rPr>
          <w:rFonts w:ascii="Tahoma" w:hAnsi="Tahoma" w:cs="Tahoma"/>
          <w:sz w:val="18"/>
          <w:szCs w:val="18"/>
          <w:u w:val="single"/>
        </w:rPr>
        <w:t>Windows Vista, Windows 7 Professional e Windows 8 Pro</w:t>
      </w:r>
      <w:r w:rsidRPr="00DD24DD">
        <w:rPr>
          <w:rFonts w:ascii="Tahoma" w:hAnsi="Tahoma" w:cs="Tahoma"/>
          <w:sz w:val="18"/>
          <w:szCs w:val="18"/>
        </w:rPr>
        <w:t>:</w:t>
      </w:r>
    </w:p>
    <w:p w:rsidR="00B73A46" w:rsidRPr="00BD7CEA" w:rsidRDefault="00B73A46" w:rsidP="00804794">
      <w:pPr>
        <w:pStyle w:val="FootnoteBulletLevel1"/>
        <w:tabs>
          <w:tab w:val="clear" w:pos="900"/>
        </w:tabs>
        <w:adjustRightInd/>
        <w:spacing w:before="0" w:after="0"/>
        <w:ind w:left="720" w:firstLine="0"/>
        <w:textAlignment w:val="auto"/>
      </w:pPr>
      <w:r w:rsidRPr="00BD7CEA">
        <w:rPr>
          <w:rFonts w:ascii="Tahoma" w:hAnsi="Tahoma" w:cs="Tahoma"/>
          <w:sz w:val="18"/>
          <w:szCs w:val="18"/>
        </w:rPr>
        <w:t>Le società che intendono acquistare licenze per i diritti di noleggio attraverso i programmi Select o Open License devono prima disporre della licenza relativa a un sistema operativo qualificante e installarlo sul loro desktop</w:t>
      </w:r>
      <w:r w:rsidRPr="00BD7CEA">
        <w:rPr>
          <w:rFonts w:ascii="Tahoma" w:hAnsi="Tahoma" w:cs="Tahoma"/>
          <w:i/>
          <w:iCs/>
          <w:sz w:val="18"/>
          <w:szCs w:val="18"/>
        </w:rPr>
        <w:t>.</w:t>
      </w:r>
      <w:r w:rsidRPr="00BD7CEA">
        <w:rPr>
          <w:rFonts w:ascii="Tahoma" w:hAnsi="Tahoma" w:cs="Tahoma"/>
          <w:sz w:val="18"/>
          <w:szCs w:val="18"/>
        </w:rPr>
        <w:t xml:space="preserve"> I sistemi operativi con licenza qualificanti includono anche licenze acquistate tramite il Contratto Get Genuine Windows nell</w:t>
      </w:r>
      <w:r w:rsidR="007A1415" w:rsidRPr="00BD7CEA">
        <w:rPr>
          <w:rFonts w:ascii="Tahoma" w:hAnsi="Tahoma" w:cs="Tahoma"/>
          <w:sz w:val="18"/>
          <w:szCs w:val="18"/>
        </w:rPr>
        <w:t>’</w:t>
      </w:r>
      <w:r w:rsidRPr="00BD7CEA">
        <w:rPr>
          <w:rFonts w:ascii="Tahoma" w:hAnsi="Tahoma" w:cs="Tahoma"/>
          <w:sz w:val="18"/>
          <w:szCs w:val="18"/>
        </w:rPr>
        <w:t>ambito di tali programmi.</w:t>
      </w:r>
    </w:p>
    <w:p w:rsidR="00B73A46" w:rsidRPr="00BD7CEA" w:rsidRDefault="00B73A46" w:rsidP="00804794">
      <w:pPr>
        <w:ind w:left="720"/>
      </w:pPr>
    </w:p>
    <w:p w:rsidR="00B73A46" w:rsidRPr="00BD7CEA" w:rsidRDefault="00B73A46" w:rsidP="00804794">
      <w:pPr>
        <w:ind w:left="720"/>
      </w:pPr>
      <w:r w:rsidRPr="00BD7CEA">
        <w:rPr>
          <w:rFonts w:cs="Tahoma"/>
          <w:szCs w:val="18"/>
          <w:u w:val="single"/>
        </w:rPr>
        <w:t>Regole per i Sistemi Operativi Qualificanti</w:t>
      </w:r>
      <w:r w:rsidRPr="00DD24DD">
        <w:rPr>
          <w:rFonts w:cs="Tahoma"/>
          <w:szCs w:val="18"/>
        </w:rPr>
        <w:t xml:space="preserve">: </w:t>
      </w:r>
      <w:r w:rsidRPr="00BD7CEA">
        <w:rPr>
          <w:rFonts w:cs="Tahoma"/>
          <w:szCs w:val="18"/>
        </w:rPr>
        <w:t>(ciascuna di queste condizioni deve essere soddisfatta affinché il</w:t>
      </w:r>
      <w:r w:rsidR="00974F82" w:rsidRPr="00BD7CEA">
        <w:rPr>
          <w:rFonts w:cs="Tahoma"/>
          <w:szCs w:val="18"/>
        </w:rPr>
        <w:t> </w:t>
      </w:r>
      <w:r w:rsidRPr="00BD7CEA">
        <w:rPr>
          <w:rFonts w:cs="Tahoma"/>
          <w:szCs w:val="18"/>
        </w:rPr>
        <w:t xml:space="preserve">Sistema Operativo qualifichi la società per ottenere la licenza relativa ai Diritti di Noleggio): </w:t>
      </w:r>
    </w:p>
    <w:p w:rsidR="00B73A46" w:rsidRPr="00BD7CEA" w:rsidRDefault="00B73A46" w:rsidP="00F02E9F">
      <w:pPr>
        <w:ind w:left="1440"/>
      </w:pPr>
    </w:p>
    <w:p w:rsidR="00B73A46" w:rsidRPr="00BD7CEA" w:rsidRDefault="00B73A46" w:rsidP="007358C5">
      <w:pPr>
        <w:numPr>
          <w:ilvl w:val="0"/>
          <w:numId w:val="28"/>
        </w:numPr>
        <w:ind w:left="1440"/>
      </w:pPr>
      <w:r w:rsidRPr="00BD7CEA">
        <w:rPr>
          <w:rFonts w:cs="Tahoma"/>
          <w:szCs w:val="18"/>
        </w:rPr>
        <w:t>La licenza per l</w:t>
      </w:r>
      <w:r w:rsidR="007A1415" w:rsidRPr="00BD7CEA">
        <w:rPr>
          <w:rFonts w:cs="Tahoma"/>
          <w:szCs w:val="18"/>
        </w:rPr>
        <w:t>’</w:t>
      </w:r>
      <w:r w:rsidRPr="00BD7CEA">
        <w:rPr>
          <w:rFonts w:cs="Tahoma"/>
          <w:szCs w:val="18"/>
        </w:rPr>
        <w:t>OS qualificante deve essere assegnata allo stesso dispositivo a cui deve essere assegnata la licenza per i Diritti di Noleggio VL.</w:t>
      </w:r>
    </w:p>
    <w:p w:rsidR="00B73A46" w:rsidRPr="00BD7CEA" w:rsidRDefault="00B73A46" w:rsidP="007358C5">
      <w:pPr>
        <w:numPr>
          <w:ilvl w:val="0"/>
          <w:numId w:val="28"/>
        </w:numPr>
        <w:ind w:left="1440"/>
      </w:pPr>
      <w:r w:rsidRPr="00BD7CEA">
        <w:rPr>
          <w:rFonts w:cs="Tahoma"/>
          <w:szCs w:val="18"/>
        </w:rPr>
        <w:t>L</w:t>
      </w:r>
      <w:r w:rsidR="007A1415" w:rsidRPr="00BD7CEA">
        <w:rPr>
          <w:rFonts w:cs="Tahoma"/>
          <w:szCs w:val="18"/>
        </w:rPr>
        <w:t>’</w:t>
      </w:r>
      <w:r w:rsidRPr="00BD7CEA">
        <w:rPr>
          <w:rFonts w:cs="Tahoma"/>
          <w:szCs w:val="18"/>
        </w:rPr>
        <w:t>OS qualificante deve essere installata su tale dispositivo.</w:t>
      </w:r>
    </w:p>
    <w:p w:rsidR="00E31CC0" w:rsidRPr="00BD7CEA" w:rsidRDefault="00E31CC0" w:rsidP="00997D81"/>
    <w:p w:rsidR="00B73A46" w:rsidRPr="00BD7CEA" w:rsidRDefault="00B73A46" w:rsidP="00EE035D">
      <w:pPr>
        <w:pStyle w:val="EndnoteText"/>
        <w:ind w:left="720"/>
      </w:pPr>
      <w:r w:rsidRPr="00BD7CEA">
        <w:rPr>
          <w:rFonts w:ascii="Tahoma" w:hAnsi="Tahoma" w:cs="Tahoma"/>
          <w:sz w:val="18"/>
          <w:szCs w:val="18"/>
        </w:rPr>
        <w:t>I sistemi operativi qualificanti in base al tipo di Programma sono:</w:t>
      </w:r>
    </w:p>
    <w:p w:rsidR="00B73A46" w:rsidRPr="00BD7CEA" w:rsidRDefault="00B73A46" w:rsidP="00B73A46">
      <w:pPr>
        <w:pStyle w:val="EndnoteText"/>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B73A46" w:rsidRPr="00BD7CEA" w:rsidTr="007E466C">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BD7CEA" w:rsidRDefault="009B3FA2" w:rsidP="00974F82">
            <w:pPr>
              <w:ind w:left="122"/>
              <w:rPr>
                <w:rFonts w:eastAsia="Calibri" w:cs="Tahoma"/>
                <w:bCs/>
                <w:szCs w:val="18"/>
              </w:rPr>
            </w:pPr>
            <w:r w:rsidRPr="00BD7CEA">
              <w:rPr>
                <w:rFonts w:cs="Tahoma"/>
                <w:b/>
                <w:bCs/>
                <w:szCs w:val="18"/>
              </w:rPr>
              <w:t>Sistemi Operativi Qualificanti per l</w:t>
            </w:r>
            <w:r w:rsidR="007A1415" w:rsidRPr="00BD7CEA">
              <w:rPr>
                <w:rFonts w:cs="Tahoma"/>
                <w:b/>
                <w:bCs/>
                <w:szCs w:val="18"/>
              </w:rPr>
              <w:t>’</w:t>
            </w:r>
            <w:r w:rsidRPr="00BD7CEA">
              <w:rPr>
                <w:rFonts w:cs="Tahoma"/>
                <w:b/>
                <w:bCs/>
                <w:szCs w:val="18"/>
              </w:rPr>
              <w:t>acquisto dei Diritti di Noleggio per Windows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BD7CEA" w:rsidRDefault="00B73A46" w:rsidP="009B3FA2">
            <w:pPr>
              <w:jc w:val="center"/>
              <w:rPr>
                <w:rFonts w:eastAsia="Calibri" w:cs="Tahoma"/>
                <w:b/>
                <w:bCs/>
                <w:sz w:val="14"/>
                <w:szCs w:val="18"/>
              </w:rPr>
            </w:pPr>
            <w:r w:rsidRPr="00BD7CEA">
              <w:rPr>
                <w:rFonts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BD7CEA" w:rsidRDefault="00B73A46" w:rsidP="001B15A5">
            <w:pPr>
              <w:jc w:val="center"/>
              <w:rPr>
                <w:rFonts w:eastAsia="Calibri" w:cs="Tahoma"/>
                <w:b/>
                <w:bCs/>
                <w:sz w:val="14"/>
                <w:szCs w:val="18"/>
              </w:rPr>
            </w:pPr>
            <w:r w:rsidRPr="00BD7CEA">
              <w:rPr>
                <w:rFonts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BD7CEA" w:rsidRDefault="00B73A46" w:rsidP="0050116B">
            <w:pPr>
              <w:jc w:val="center"/>
              <w:rPr>
                <w:rFonts w:eastAsia="Calibri" w:cs="Tahoma"/>
                <w:b/>
                <w:bCs/>
                <w:sz w:val="14"/>
                <w:szCs w:val="18"/>
              </w:rPr>
            </w:pPr>
            <w:r w:rsidRPr="00BD7CEA">
              <w:rPr>
                <w:rFonts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BD7CEA" w:rsidRDefault="00B73A46" w:rsidP="005F0406">
            <w:pPr>
              <w:jc w:val="center"/>
              <w:rPr>
                <w:rFonts w:eastAsia="Calibri" w:cs="Tahoma"/>
                <w:b/>
                <w:bCs/>
                <w:sz w:val="14"/>
                <w:szCs w:val="18"/>
              </w:rPr>
            </w:pPr>
            <w:r w:rsidRPr="00BD7CEA">
              <w:rPr>
                <w:rFonts w:cs="Tahoma"/>
                <w:b/>
                <w:bCs/>
                <w:sz w:val="14"/>
                <w:szCs w:val="18"/>
              </w:rPr>
              <w:t>Licenza Open</w:t>
            </w:r>
          </w:p>
        </w:tc>
        <w:tc>
          <w:tcPr>
            <w:tcW w:w="16" w:type="dxa"/>
            <w:vAlign w:val="center"/>
          </w:tcPr>
          <w:p w:rsidR="00B73A46" w:rsidRPr="00BD7CEA" w:rsidRDefault="00B73A46" w:rsidP="00713A6C">
            <w:pPr>
              <w:rPr>
                <w:rFonts w:eastAsia="Calibri" w:cs="Tahoma"/>
                <w:szCs w:val="18"/>
              </w:rPr>
            </w:pPr>
          </w:p>
        </w:tc>
      </w:tr>
      <w:tr w:rsidR="00BF7A97" w:rsidRPr="00BD7CEA"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BD7CEA" w:rsidRDefault="00BF7A97" w:rsidP="00713A6C">
            <w:pPr>
              <w:rPr>
                <w:rFonts w:cs="Tahoma"/>
                <w:b/>
                <w:bCs/>
                <w:szCs w:val="18"/>
              </w:rPr>
            </w:pPr>
            <w:r w:rsidRPr="00BD7CEA">
              <w:rPr>
                <w:rFonts w:cs="Tahoma"/>
                <w:b/>
                <w:bCs/>
                <w:szCs w:val="18"/>
              </w:rPr>
              <w:t>Windows 8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BD7CEA" w:rsidRDefault="00BF7A97"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BD7CEA"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BD7CEA" w:rsidRDefault="00BF7A97"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BD7CEA" w:rsidRDefault="00BF7A97" w:rsidP="00BF7A97">
            <w:pPr>
              <w:jc w:val="center"/>
              <w:rPr>
                <w:rFonts w:eastAsia="Times New Roman" w:cs="Tahoma"/>
                <w:szCs w:val="18"/>
              </w:rPr>
            </w:pPr>
          </w:p>
        </w:tc>
        <w:tc>
          <w:tcPr>
            <w:tcW w:w="16" w:type="dxa"/>
            <w:vAlign w:val="center"/>
          </w:tcPr>
          <w:p w:rsidR="00BF7A97" w:rsidRPr="00BD7CEA" w:rsidRDefault="00BF7A97" w:rsidP="00713A6C">
            <w:pPr>
              <w:rPr>
                <w:rFonts w:eastAsia="Calibri" w:cs="Tahoma"/>
                <w:szCs w:val="18"/>
              </w:rPr>
            </w:pPr>
          </w:p>
        </w:tc>
      </w:tr>
      <w:tr w:rsidR="00BF7A97" w:rsidRPr="00BD7CEA"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BD7CEA" w:rsidRDefault="00BF7A97" w:rsidP="00BF7A97">
            <w:pPr>
              <w:ind w:left="522"/>
              <w:rPr>
                <w:rFonts w:cs="Tahoma"/>
                <w:b/>
                <w:bCs/>
                <w:szCs w:val="18"/>
              </w:rPr>
            </w:pPr>
            <w:r w:rsidRPr="00BD7CEA">
              <w:rPr>
                <w:rFonts w:cs="Tahoma"/>
                <w:szCs w:val="18"/>
              </w:rPr>
              <w:t>Pro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BD7CEA" w:rsidRDefault="00BF7A97" w:rsidP="00BF7A97">
            <w:pPr>
              <w:jc w:val="center"/>
              <w:rPr>
                <w:rFonts w:eastAsia="Times New Roman" w:cs="Tahoma"/>
                <w:szCs w:val="18"/>
              </w:rPr>
            </w:pPr>
            <w:r w:rsidRPr="00BD7CEA">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BD7CEA"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BD7CEA" w:rsidRDefault="00BF7A97" w:rsidP="00BF7A97">
            <w:pPr>
              <w:jc w:val="center"/>
              <w:rPr>
                <w:rFonts w:eastAsia="Times New Roman" w:cs="Tahoma"/>
                <w:szCs w:val="18"/>
              </w:rPr>
            </w:pPr>
            <w:r w:rsidRPr="00BD7CEA">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BD7CEA" w:rsidRDefault="00BF7A97" w:rsidP="00BF7A97">
            <w:pPr>
              <w:jc w:val="center"/>
              <w:rPr>
                <w:rFonts w:eastAsia="Times New Roman" w:cs="Tahoma"/>
                <w:szCs w:val="18"/>
              </w:rPr>
            </w:pPr>
            <w:r w:rsidRPr="00BD7CEA">
              <w:rPr>
                <w:rFonts w:eastAsia="Times New Roman" w:cs="Tahoma"/>
                <w:szCs w:val="18"/>
              </w:rPr>
              <w:t>x</w:t>
            </w:r>
          </w:p>
        </w:tc>
        <w:tc>
          <w:tcPr>
            <w:tcW w:w="16" w:type="dxa"/>
            <w:vAlign w:val="center"/>
          </w:tcPr>
          <w:p w:rsidR="00BF7A97" w:rsidRPr="00BD7CEA" w:rsidRDefault="00BF7A97" w:rsidP="00713A6C">
            <w:pPr>
              <w:rPr>
                <w:rFonts w:eastAsia="Calibri" w:cs="Tahoma"/>
                <w:szCs w:val="18"/>
              </w:rPr>
            </w:pPr>
          </w:p>
        </w:tc>
      </w:tr>
      <w:tr w:rsidR="00B73A46" w:rsidRPr="00BD7CEA"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rPr>
                <w:rFonts w:eastAsia="Calibri" w:cs="Tahoma"/>
                <w:b/>
                <w:bCs/>
                <w:szCs w:val="18"/>
              </w:rPr>
            </w:pPr>
            <w:r w:rsidRPr="00BD7CEA">
              <w:rPr>
                <w:rFonts w:cs="Tahoma"/>
                <w:b/>
                <w:bCs/>
                <w:szCs w:val="18"/>
              </w:rPr>
              <w:t>Windows 7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BF7A97">
            <w:pPr>
              <w:jc w:val="center"/>
              <w:rPr>
                <w:rFonts w:eastAsia="Times New Roman" w:cs="Tahoma"/>
                <w:szCs w:val="18"/>
              </w:rPr>
            </w:pPr>
          </w:p>
        </w:tc>
        <w:tc>
          <w:tcPr>
            <w:tcW w:w="16" w:type="dxa"/>
            <w:vAlign w:val="center"/>
          </w:tcPr>
          <w:p w:rsidR="00B73A46" w:rsidRPr="00BD7CEA" w:rsidRDefault="00B73A46" w:rsidP="00713A6C">
            <w:pPr>
              <w:rPr>
                <w:rFonts w:eastAsia="Calibri" w:cs="Tahoma"/>
                <w:szCs w:val="18"/>
              </w:rPr>
            </w:pPr>
          </w:p>
        </w:tc>
      </w:tr>
      <w:tr w:rsidR="00B73A46" w:rsidRPr="00BD7CEA"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BF7A97">
            <w:pPr>
              <w:ind w:left="522"/>
              <w:rPr>
                <w:rFonts w:eastAsia="Calibri" w:cs="Tahoma"/>
                <w:bCs/>
                <w:szCs w:val="18"/>
              </w:rPr>
            </w:pPr>
            <w:r w:rsidRPr="00BD7CEA">
              <w:rPr>
                <w:rFonts w:cs="Tahoma"/>
                <w:szCs w:val="18"/>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x</w:t>
            </w:r>
          </w:p>
        </w:tc>
        <w:tc>
          <w:tcPr>
            <w:tcW w:w="16" w:type="dxa"/>
            <w:vAlign w:val="center"/>
          </w:tcPr>
          <w:p w:rsidR="00B73A46" w:rsidRPr="00BD7CEA" w:rsidRDefault="00B73A46" w:rsidP="00713A6C">
            <w:pPr>
              <w:rPr>
                <w:rFonts w:eastAsia="Calibri" w:cs="Tahoma"/>
                <w:szCs w:val="18"/>
              </w:rPr>
            </w:pPr>
          </w:p>
        </w:tc>
      </w:tr>
      <w:tr w:rsidR="00B73A46" w:rsidRPr="00BD7CEA"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rPr>
                <w:rFonts w:eastAsia="Calibri" w:cs="Tahoma"/>
                <w:b/>
                <w:bCs/>
                <w:szCs w:val="18"/>
              </w:rPr>
            </w:pPr>
            <w:r w:rsidRPr="00BD7CEA">
              <w:rPr>
                <w:rFonts w:cs="Tahoma"/>
                <w:b/>
                <w:bCs/>
                <w:szCs w:val="18"/>
              </w:rPr>
              <w:t>Windows Vista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 </w:t>
            </w:r>
          </w:p>
        </w:tc>
        <w:tc>
          <w:tcPr>
            <w:tcW w:w="16" w:type="dxa"/>
            <w:vAlign w:val="center"/>
          </w:tcPr>
          <w:p w:rsidR="00B73A46" w:rsidRPr="00BD7CEA" w:rsidRDefault="00B73A46" w:rsidP="00713A6C">
            <w:pPr>
              <w:rPr>
                <w:rFonts w:eastAsia="Calibri" w:cs="Tahoma"/>
                <w:szCs w:val="18"/>
              </w:rPr>
            </w:pPr>
          </w:p>
        </w:tc>
      </w:tr>
      <w:tr w:rsidR="00B73A46" w:rsidRPr="00BD7CEA"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ind w:firstLine="540"/>
              <w:rPr>
                <w:rFonts w:eastAsia="Calibri" w:cs="Tahoma"/>
                <w:szCs w:val="18"/>
              </w:rPr>
            </w:pPr>
            <w:r w:rsidRPr="00BD7CEA">
              <w:rPr>
                <w:rFonts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D7CEA" w:rsidRDefault="00B73A46" w:rsidP="00713A6C">
            <w:pPr>
              <w:jc w:val="center"/>
              <w:rPr>
                <w:rFonts w:eastAsia="Calibri" w:cs="Tahoma"/>
                <w:szCs w:val="18"/>
              </w:rPr>
            </w:pPr>
            <w:r w:rsidRPr="00BD7CEA">
              <w:rPr>
                <w:rFonts w:cs="Tahoma"/>
                <w:szCs w:val="18"/>
              </w:rPr>
              <w:t>x</w:t>
            </w:r>
          </w:p>
        </w:tc>
        <w:tc>
          <w:tcPr>
            <w:tcW w:w="16" w:type="dxa"/>
            <w:vAlign w:val="center"/>
          </w:tcPr>
          <w:p w:rsidR="00B73A46" w:rsidRPr="00BD7CEA" w:rsidRDefault="00B73A46" w:rsidP="00713A6C">
            <w:pPr>
              <w:rPr>
                <w:rFonts w:eastAsia="Calibri" w:cs="Tahoma"/>
                <w:szCs w:val="18"/>
              </w:rPr>
            </w:pPr>
          </w:p>
        </w:tc>
      </w:tr>
    </w:tbl>
    <w:p w:rsidR="00B73A46" w:rsidRPr="00BD7CEA" w:rsidRDefault="00B73A46" w:rsidP="00B73A46"/>
    <w:p w:rsidR="00974F82" w:rsidRPr="00BD7CEA" w:rsidRDefault="00974F82" w:rsidP="00B73A46"/>
    <w:p w:rsidR="00B73A46" w:rsidRPr="00BD7CEA" w:rsidRDefault="00B73A46" w:rsidP="00EE035D">
      <w:pPr>
        <w:ind w:left="720"/>
      </w:pPr>
      <w:r w:rsidRPr="00BD7CEA">
        <w:rPr>
          <w:rFonts w:cs="Tahoma"/>
          <w:szCs w:val="18"/>
        </w:rPr>
        <w:lastRenderedPageBreak/>
        <w:t>Le società che acquistano la licenza relativa ai diritti di noleggio in aggiunta alla licenza per il sistema operativo qualificante</w:t>
      </w:r>
      <w:r w:rsidRPr="00BD7CEA">
        <w:rPr>
          <w:rStyle w:val="CommentReference"/>
          <w:rFonts w:cs="Tahoma"/>
          <w:sz w:val="18"/>
          <w:szCs w:val="18"/>
        </w:rPr>
        <w:t> </w:t>
      </w:r>
      <w:r w:rsidRPr="00BD7CEA">
        <w:rPr>
          <w:rFonts w:cs="Tahoma"/>
          <w:szCs w:val="18"/>
        </w:rPr>
        <w:t>beneficeranno di un</w:t>
      </w:r>
      <w:r w:rsidR="007A1415" w:rsidRPr="00BD7CEA">
        <w:rPr>
          <w:rFonts w:cs="Tahoma"/>
          <w:szCs w:val="18"/>
        </w:rPr>
        <w:t>’</w:t>
      </w:r>
      <w:r w:rsidRPr="00BD7CEA">
        <w:rPr>
          <w:rFonts w:cs="Tahoma"/>
          <w:szCs w:val="18"/>
        </w:rPr>
        <w:t>estensione dei diritti contemplati dalla licenza</w:t>
      </w:r>
      <w:r w:rsidRPr="00BD7CEA">
        <w:rPr>
          <w:rStyle w:val="CommentReference"/>
          <w:rFonts w:cs="Tahoma"/>
          <w:sz w:val="18"/>
          <w:szCs w:val="18"/>
        </w:rPr>
        <w:t> </w:t>
      </w:r>
      <w:r w:rsidRPr="00BD7CEA">
        <w:rPr>
          <w:rFonts w:cs="Tahoma"/>
          <w:szCs w:val="18"/>
        </w:rPr>
        <w:t>del sistema operativo qualificante per consentire l</w:t>
      </w:r>
      <w:r w:rsidR="007A1415" w:rsidRPr="00BD7CEA">
        <w:rPr>
          <w:rFonts w:cs="Tahoma"/>
          <w:szCs w:val="18"/>
        </w:rPr>
        <w:t>’</w:t>
      </w:r>
      <w:r w:rsidRPr="00BD7CEA">
        <w:rPr>
          <w:rFonts w:cs="Tahoma"/>
          <w:szCs w:val="18"/>
        </w:rPr>
        <w:t xml:space="preserve">utilizzo da parte di terzi dello stesso software. La licenza di noleggio non costituisce una concessione per un aggiornamento della versione. </w:t>
      </w:r>
    </w:p>
    <w:p w:rsidR="00B73A46" w:rsidRPr="00BD7CEA" w:rsidRDefault="00B73A46" w:rsidP="00804794">
      <w:pPr>
        <w:ind w:left="720"/>
      </w:pPr>
    </w:p>
    <w:p w:rsidR="00B73A46" w:rsidRPr="00BD7CEA" w:rsidRDefault="00B73A46" w:rsidP="00804794">
      <w:pPr>
        <w:ind w:left="720"/>
      </w:pPr>
      <w:r w:rsidRPr="00BD7CEA">
        <w:rPr>
          <w:rFonts w:cs="Tahoma"/>
          <w:szCs w:val="18"/>
          <w:u w:val="single"/>
        </w:rPr>
        <w:t>Eccezione per Software Assurance</w:t>
      </w:r>
    </w:p>
    <w:p w:rsidR="00B73A46" w:rsidRPr="00BD7CEA" w:rsidRDefault="00B73A46" w:rsidP="00804794">
      <w:pPr>
        <w:ind w:left="720"/>
        <w:rPr>
          <w:spacing w:val="-2"/>
        </w:rPr>
      </w:pPr>
      <w:r w:rsidRPr="00BD7CEA">
        <w:rPr>
          <w:rFonts w:cs="Tahoma"/>
          <w:spacing w:val="-2"/>
          <w:szCs w:val="18"/>
        </w:rPr>
        <w:t>Le società che acquistano licenze per i diritti di noleggio non sono idonee a ricevere Software Assurance per le stesse licenze software sottostanti. Tuttavia, gli utenti che prendono in locazione/leasing e utilizzano dispositivi a cui sono assegnate licenze per i diritti di noleggio potranno acquistare Aggiornamenti o Aggiornamenti &amp; Software Assurance per le licenze software sottostanti, conformemente alle condizioni del contratto che disciplina l</w:t>
      </w:r>
      <w:r w:rsidR="007A1415" w:rsidRPr="00BD7CEA">
        <w:rPr>
          <w:rFonts w:cs="Tahoma"/>
          <w:spacing w:val="-2"/>
          <w:szCs w:val="18"/>
        </w:rPr>
        <w:t>’</w:t>
      </w:r>
      <w:r w:rsidRPr="00BD7CEA">
        <w:rPr>
          <w:rFonts w:cs="Tahoma"/>
          <w:spacing w:val="-2"/>
          <w:szCs w:val="18"/>
        </w:rPr>
        <w:t xml:space="preserve">acquisizione degli Aggiornamenti e di Software Assurance. Nonostante quanto diversamente stabilito nel contratto della società relativamente alla maturazione di diritti perpetui, il diritto di utilizzo del software ai sensi di tale copertura cesserà alla scadenza delle relative licenze per i diritti di noleggio. </w:t>
      </w:r>
    </w:p>
    <w:p w:rsidR="00B73A46" w:rsidRPr="00BD7CEA" w:rsidRDefault="00B73A46" w:rsidP="00B73A46"/>
    <w:bookmarkEnd w:id="1151"/>
    <w:bookmarkEnd w:id="1152"/>
    <w:bookmarkEnd w:id="1153"/>
    <w:p w:rsidR="00104195" w:rsidRPr="00BD7CEA" w:rsidRDefault="00104195" w:rsidP="00104195">
      <w:pPr>
        <w:tabs>
          <w:tab w:val="left" w:pos="1440"/>
        </w:tabs>
        <w:ind w:left="1080"/>
        <w:contextualSpacing/>
      </w:pPr>
    </w:p>
    <w:p w:rsidR="00104195" w:rsidRPr="00BD7CEA" w:rsidRDefault="004668D9" w:rsidP="00104195">
      <w:pPr>
        <w:pStyle w:val="Heading2"/>
        <w:ind w:hanging="720"/>
      </w:pPr>
      <w:bookmarkStart w:id="1154" w:name="_98_Windows_Multipoint"/>
      <w:bookmarkStart w:id="1155" w:name="_98Windows_Intune_Add-on"/>
      <w:bookmarkStart w:id="1156" w:name="_97_Windows_Intune"/>
      <w:bookmarkStart w:id="1157" w:name="_30_Componente_Aggiuntivo"/>
      <w:bookmarkStart w:id="1158" w:name="Srv_110WindowsIntuneAddOn"/>
      <w:bookmarkStart w:id="1159" w:name="_Toc336338366"/>
      <w:bookmarkStart w:id="1160" w:name="_Toc353376067"/>
      <w:bookmarkStart w:id="1161" w:name="Srv_104WindowsIntuneAddOn"/>
      <w:bookmarkEnd w:id="1154"/>
      <w:bookmarkEnd w:id="1155"/>
      <w:bookmarkEnd w:id="1156"/>
      <w:bookmarkEnd w:id="1157"/>
      <w:r w:rsidRPr="00BD7CEA">
        <w:rPr>
          <w:rFonts w:ascii="Tahoma" w:hAnsi="Tahoma" w:cs="Tahoma"/>
          <w:caps/>
          <w:color w:val="EE6000"/>
          <w:sz w:val="22"/>
          <w:szCs w:val="18"/>
          <w:vertAlign w:val="superscript"/>
        </w:rPr>
        <w:t xml:space="preserve">30 </w:t>
      </w:r>
      <w:r w:rsidRPr="00BD7CEA">
        <w:rPr>
          <w:rFonts w:ascii="Tahoma" w:hAnsi="Tahoma" w:cs="Tahoma"/>
          <w:color w:val="EE6000"/>
          <w:sz w:val="22"/>
          <w:szCs w:val="18"/>
        </w:rPr>
        <w:t>Componente Aggiuntivo per Windows Intune</w:t>
      </w:r>
      <w:bookmarkEnd w:id="1158"/>
      <w:bookmarkEnd w:id="1159"/>
      <w:r w:rsidRPr="00BD7CEA">
        <w:rPr>
          <w:rFonts w:ascii="Tahoma" w:hAnsi="Tahoma" w:cs="Tahoma"/>
          <w:color w:val="EE6000"/>
          <w:sz w:val="22"/>
          <w:szCs w:val="18"/>
        </w:rPr>
        <w:t xml:space="preserve"> (Per Dispositivo)</w:t>
      </w:r>
      <w:bookmarkEnd w:id="1160"/>
    </w:p>
    <w:bookmarkEnd w:id="1161"/>
    <w:p w:rsidR="00104195" w:rsidRPr="00BD7CEA" w:rsidRDefault="00104195" w:rsidP="00104195">
      <w:pPr>
        <w:ind w:left="720"/>
      </w:pPr>
    </w:p>
    <w:p w:rsidR="00104195" w:rsidRPr="00BD7CEA" w:rsidRDefault="00104195" w:rsidP="00104195">
      <w:pPr>
        <w:ind w:left="720"/>
      </w:pPr>
      <w:r w:rsidRPr="00BD7CEA">
        <w:t>Le società Enterprise che desiderano acquistare licenze Add-on per Windows Intune (Per Dispositivo) aggiuntive dovranno innanzitutto avere acquistato e ceduto al proprio desktop, per il quale stanno acquistando le licenze Add-on per Windows Intune, la copertura Windows Software Assurance attiva o una licenza attiva per Windows Virtual Desktop Access (Windows VDA).</w:t>
      </w:r>
      <w:r w:rsidR="008D782D" w:rsidRPr="00BD7CEA">
        <w:t xml:space="preserve"> </w:t>
      </w:r>
      <w:r w:rsidRPr="00BD7CEA">
        <w:t xml:space="preserve">Le licenze Add-on per Windows Intune (Per Dispositivo) dovranno essere acquistate ai sensi della stessa iscrizione della copertura Software Assurance o della licenza per Windows VDA corrispondente. </w:t>
      </w:r>
    </w:p>
    <w:p w:rsidR="00104195" w:rsidRPr="00BD7CEA" w:rsidRDefault="00104195" w:rsidP="00104195">
      <w:pPr>
        <w:ind w:left="720"/>
      </w:pPr>
    </w:p>
    <w:p w:rsidR="00104195" w:rsidRPr="00BD7CEA" w:rsidRDefault="00104195" w:rsidP="00104195">
      <w:pPr>
        <w:spacing w:after="60"/>
        <w:ind w:left="720"/>
      </w:pPr>
      <w:r w:rsidRPr="00BD7CEA">
        <w:rPr>
          <w:b/>
        </w:rPr>
        <w:t>Riassegnazione delle Licenze</w:t>
      </w:r>
    </w:p>
    <w:p w:rsidR="00104195" w:rsidRPr="00BD7CEA" w:rsidRDefault="00104195" w:rsidP="00104195">
      <w:pPr>
        <w:ind w:left="720"/>
      </w:pPr>
      <w:r w:rsidRPr="00BD7CEA">
        <w:t>Le società potranno riassegnare le licenze Add-on per Windows Intune (Per Dispositivo), ma non a breve termine, vale a dire non prima di 90 giorni dall</w:t>
      </w:r>
      <w:r w:rsidR="007A1415" w:rsidRPr="00BD7CEA">
        <w:t>’</w:t>
      </w:r>
      <w:r w:rsidRPr="00BD7CEA">
        <w:t>ultima cessione.</w:t>
      </w:r>
      <w:r w:rsidR="008D782D" w:rsidRPr="00BD7CEA">
        <w:t xml:space="preserve"> </w:t>
      </w:r>
      <w:r w:rsidRPr="00BD7CEA">
        <w:t>Le società potranno riassegnare prima una</w:t>
      </w:r>
      <w:r w:rsidR="00974F82" w:rsidRPr="00BD7CEA">
        <w:t> </w:t>
      </w:r>
      <w:r w:rsidRPr="00BD7CEA">
        <w:t>licenza Add-on per Windows Intune (Per Dispositivo), nel caso in cui ritirino il dispositivo con licenza esistente a causa di un problema hardware permanente.</w:t>
      </w:r>
      <w:r w:rsidR="008D782D" w:rsidRPr="00BD7CEA">
        <w:t xml:space="preserve"> </w:t>
      </w:r>
      <w:r w:rsidRPr="00BD7CEA">
        <w:t xml:space="preserve">Il dispositivo al quale è stata riassegnata una licenza Add-on per Windows Intune (Per Dispositivo) dovrà disporre di una copertura Windows Software Assurance attiva o di una licenza per Windows VDA attiva acquistata ai sensi della stessa iscrizione della licenza Add-on per Windows Intune (Per Dispositivo). </w:t>
      </w:r>
    </w:p>
    <w:p w:rsidR="00023FE7" w:rsidRPr="00BD7CEA" w:rsidRDefault="00113665">
      <w:pPr>
        <w:pStyle w:val="Heading2"/>
        <w:ind w:left="0"/>
      </w:pPr>
      <w:r w:rsidRPr="00BD7CEA">
        <w:rPr>
          <w:rFonts w:ascii="Tahoma" w:hAnsi="Tahoma" w:cs="Tahoma"/>
          <w:sz w:val="28"/>
        </w:rPr>
        <w:br w:type="page"/>
      </w:r>
      <w:bookmarkStart w:id="1162" w:name="_Toc336338287"/>
      <w:bookmarkStart w:id="1163" w:name="_Toc353376068"/>
      <w:r w:rsidRPr="00BD7CEA">
        <w:rPr>
          <w:rFonts w:ascii="Tahoma" w:hAnsi="Tahoma" w:cs="Tahoma"/>
          <w:sz w:val="28"/>
        </w:rPr>
        <w:lastRenderedPageBreak/>
        <w:t>Pool di Server</w:t>
      </w:r>
      <w:bookmarkEnd w:id="1162"/>
      <w:bookmarkEnd w:id="1163"/>
    </w:p>
    <w:p w:rsidR="003C75C8" w:rsidRPr="00BD7CEA" w:rsidRDefault="003C75C8" w:rsidP="003C75C8">
      <w:pPr>
        <w:pStyle w:val="EndnoteText"/>
      </w:pPr>
      <w:bookmarkStart w:id="1164" w:name="Srv_25BingMapsandAddons"/>
    </w:p>
    <w:p w:rsidR="004640EC" w:rsidRPr="00BD7CEA" w:rsidRDefault="004668D9" w:rsidP="00941907">
      <w:pPr>
        <w:pStyle w:val="Heading2"/>
        <w:ind w:left="245" w:hanging="245"/>
      </w:pPr>
      <w:bookmarkStart w:id="1165" w:name="_31_SL_Add-On"/>
      <w:bookmarkStart w:id="1166" w:name="Srv_27BingMapsSvrandContentPack"/>
      <w:bookmarkStart w:id="1167" w:name="_Toc336338288"/>
      <w:bookmarkStart w:id="1168" w:name="_Toc353376069"/>
      <w:bookmarkEnd w:id="1165"/>
      <w:r w:rsidRPr="00BD7CEA">
        <w:rPr>
          <w:rFonts w:ascii="Tahoma" w:hAnsi="Tahoma" w:cs="Tahoma"/>
          <w:caps/>
          <w:color w:val="EE6000"/>
          <w:sz w:val="22"/>
          <w:vertAlign w:val="superscript"/>
        </w:rPr>
        <w:t>31</w:t>
      </w:r>
      <w:r w:rsidRPr="00BD7CEA">
        <w:rPr>
          <w:rFonts w:ascii="Tahoma" w:hAnsi="Tahoma" w:cs="Tahoma"/>
          <w:color w:val="EE6000"/>
          <w:sz w:val="22"/>
        </w:rPr>
        <w:t xml:space="preserve"> SL Add-On per Bing Maps Public Website Usage e Bing Maps Internal Website</w:t>
      </w:r>
      <w:r w:rsidR="000E3B21">
        <w:rPr>
          <w:rFonts w:ascii="Tahoma" w:hAnsi="Tahoma" w:cs="Tahoma"/>
          <w:color w:val="EE6000"/>
          <w:sz w:val="22"/>
        </w:rPr>
        <w:t> </w:t>
      </w:r>
      <w:r w:rsidRPr="00BD7CEA">
        <w:rPr>
          <w:rFonts w:ascii="Tahoma" w:hAnsi="Tahoma" w:cs="Tahoma"/>
          <w:color w:val="EE6000"/>
          <w:sz w:val="22"/>
        </w:rPr>
        <w:t>Usage</w:t>
      </w:r>
      <w:bookmarkEnd w:id="1166"/>
      <w:bookmarkEnd w:id="1167"/>
      <w:bookmarkEnd w:id="1168"/>
    </w:p>
    <w:p w:rsidR="004668D9" w:rsidRPr="00D309C5" w:rsidRDefault="004668D9" w:rsidP="004640EC">
      <w:pPr>
        <w:pStyle w:val="NormalWeb"/>
        <w:spacing w:before="0" w:beforeAutospacing="0" w:after="0" w:afterAutospacing="0"/>
        <w:ind w:left="720"/>
        <w:rPr>
          <w:rFonts w:ascii="Tahoma" w:hAnsi="Tahoma" w:cs="Tahoma"/>
          <w:sz w:val="18"/>
          <w:szCs w:val="18"/>
        </w:rPr>
      </w:pPr>
    </w:p>
    <w:p w:rsidR="004640EC" w:rsidRPr="00BD7CEA" w:rsidRDefault="004640EC" w:rsidP="004640EC">
      <w:pPr>
        <w:pStyle w:val="NormalWeb"/>
        <w:spacing w:before="0" w:beforeAutospacing="0" w:after="0" w:afterAutospacing="0"/>
        <w:ind w:left="720"/>
      </w:pPr>
      <w:r w:rsidRPr="00BD7CEA">
        <w:rPr>
          <w:rFonts w:ascii="Tahoma" w:hAnsi="Tahoma" w:cs="Tahoma"/>
          <w:sz w:val="18"/>
          <w:szCs w:val="18"/>
        </w:rPr>
        <w:t>Ciascuna offerta di SL Add-on per Bing Maps Public Website Usage e per Bing Maps Internal Website Usage</w:t>
      </w:r>
      <w:r w:rsidR="00974F82" w:rsidRPr="00BD7CEA">
        <w:rPr>
          <w:rFonts w:ascii="Tahoma" w:hAnsi="Tahoma" w:cs="Tahoma"/>
          <w:sz w:val="18"/>
          <w:szCs w:val="18"/>
        </w:rPr>
        <w:t> </w:t>
      </w:r>
      <w:r w:rsidRPr="00BD7CEA">
        <w:rPr>
          <w:rFonts w:ascii="Tahoma" w:hAnsi="Tahoma" w:cs="Tahoma"/>
          <w:sz w:val="18"/>
          <w:szCs w:val="18"/>
        </w:rPr>
        <w:t>è composta da un numero variabile di Transazione Fatturabili (definite nel presente documento).</w:t>
      </w:r>
      <w:r w:rsidR="008D782D" w:rsidRPr="00BD7CEA">
        <w:rPr>
          <w:rFonts w:ascii="Tahoma" w:hAnsi="Tahoma" w:cs="Tahoma"/>
          <w:sz w:val="18"/>
          <w:szCs w:val="18"/>
        </w:rPr>
        <w:t xml:space="preserve"> </w:t>
      </w:r>
      <w:r w:rsidRPr="00BD7CEA">
        <w:rPr>
          <w:rFonts w:ascii="Tahoma" w:hAnsi="Tahoma" w:cs="Tahoma"/>
          <w:sz w:val="18"/>
          <w:szCs w:val="18"/>
        </w:rPr>
        <w:t>“Transazioni Fatturabili” indica quanto segue (con tutti i termini in maiuscolo come definiti negli SDK della Piattaforma Bing Maps o nelle Condizioni per l</w:t>
      </w:r>
      <w:r w:rsidR="007A1415" w:rsidRPr="00BD7CEA">
        <w:rPr>
          <w:rFonts w:ascii="Tahoma" w:hAnsi="Tahoma" w:cs="Tahoma"/>
          <w:sz w:val="18"/>
          <w:szCs w:val="18"/>
        </w:rPr>
        <w:t>’</w:t>
      </w:r>
      <w:r w:rsidRPr="00BD7CEA">
        <w:rPr>
          <w:rFonts w:ascii="Tahoma" w:hAnsi="Tahoma" w:cs="Tahoma"/>
          <w:sz w:val="18"/>
          <w:szCs w:val="18"/>
        </w:rPr>
        <w:t>Utilizzo delle API della Piattaforma Microsoft Bing Maps): (a)</w:t>
      </w:r>
      <w:r w:rsidR="00D309C5">
        <w:rPr>
          <w:rFonts w:ascii="Tahoma" w:hAnsi="Tahoma" w:cs="Tahoma"/>
          <w:sz w:val="18"/>
          <w:szCs w:val="18"/>
        </w:rPr>
        <w:t> </w:t>
      </w:r>
      <w:r w:rsidRPr="00BD7CEA">
        <w:rPr>
          <w:rFonts w:ascii="Tahoma" w:hAnsi="Tahoma" w:cs="Tahoma"/>
          <w:sz w:val="18"/>
          <w:szCs w:val="18"/>
        </w:rPr>
        <w:t>metodi dei servizi Web, inclusi, a titolo esemplificativo, Imagery, Route, Geocode, Spatial e Search nei Servizi, (b) una sessione nell</w:t>
      </w:r>
      <w:r w:rsidR="007A1415" w:rsidRPr="00BD7CEA">
        <w:rPr>
          <w:rFonts w:ascii="Tahoma" w:hAnsi="Tahoma" w:cs="Tahoma"/>
          <w:sz w:val="18"/>
          <w:szCs w:val="18"/>
        </w:rPr>
        <w:t>’</w:t>
      </w:r>
      <w:r w:rsidRPr="00BD7CEA">
        <w:rPr>
          <w:rFonts w:ascii="Tahoma" w:hAnsi="Tahoma" w:cs="Tahoma"/>
          <w:sz w:val="18"/>
          <w:szCs w:val="18"/>
        </w:rPr>
        <w:t>API di Bing Maps AJAX Control, nella versione beta dell</w:t>
      </w:r>
      <w:r w:rsidR="007A1415" w:rsidRPr="00BD7CEA">
        <w:rPr>
          <w:rFonts w:ascii="Tahoma" w:hAnsi="Tahoma" w:cs="Tahoma"/>
          <w:sz w:val="18"/>
          <w:szCs w:val="18"/>
        </w:rPr>
        <w:t>’</w:t>
      </w:r>
      <w:r w:rsidRPr="00BD7CEA">
        <w:rPr>
          <w:rFonts w:ascii="Tahoma" w:hAnsi="Tahoma" w:cs="Tahoma"/>
          <w:sz w:val="18"/>
          <w:szCs w:val="18"/>
        </w:rPr>
        <w:t>API di Bing Maps Windows Presentation Foundation o nell</w:t>
      </w:r>
      <w:r w:rsidR="007A1415" w:rsidRPr="00BD7CEA">
        <w:rPr>
          <w:rFonts w:ascii="Tahoma" w:hAnsi="Tahoma" w:cs="Tahoma"/>
          <w:sz w:val="18"/>
          <w:szCs w:val="18"/>
        </w:rPr>
        <w:t>’</w:t>
      </w:r>
      <w:r w:rsidRPr="00BD7CEA">
        <w:rPr>
          <w:rFonts w:ascii="Tahoma" w:hAnsi="Tahoma" w:cs="Tahoma"/>
          <w:sz w:val="18"/>
          <w:szCs w:val="18"/>
        </w:rPr>
        <w:t>API di Bing Maps Silverlight Control, dove la sessione ha inizio con il</w:t>
      </w:r>
      <w:r w:rsidR="00974F82" w:rsidRPr="00BD7CEA">
        <w:rPr>
          <w:rFonts w:ascii="Tahoma" w:hAnsi="Tahoma" w:cs="Tahoma"/>
          <w:sz w:val="18"/>
          <w:szCs w:val="18"/>
        </w:rPr>
        <w:t> </w:t>
      </w:r>
      <w:r w:rsidRPr="00BD7CEA">
        <w:rPr>
          <w:rFonts w:ascii="Tahoma" w:hAnsi="Tahoma" w:cs="Tahoma"/>
          <w:sz w:val="18"/>
          <w:szCs w:val="18"/>
        </w:rPr>
        <w:t>caricamento di uno dei suddetti controlli in un browser dell</w:t>
      </w:r>
      <w:r w:rsidR="007A1415" w:rsidRPr="00BD7CEA">
        <w:rPr>
          <w:rFonts w:ascii="Tahoma" w:hAnsi="Tahoma" w:cs="Tahoma"/>
          <w:sz w:val="18"/>
          <w:szCs w:val="18"/>
        </w:rPr>
        <w:t>’</w:t>
      </w:r>
      <w:r w:rsidRPr="00BD7CEA">
        <w:rPr>
          <w:rFonts w:ascii="Tahoma" w:hAnsi="Tahoma" w:cs="Tahoma"/>
          <w:sz w:val="18"/>
          <w:szCs w:val="18"/>
        </w:rPr>
        <w:t>utente e include tutte le transazioni fino alla chiusura del browser o allo spostamento dell</w:t>
      </w:r>
      <w:r w:rsidR="007A1415" w:rsidRPr="00BD7CEA">
        <w:rPr>
          <w:rFonts w:ascii="Tahoma" w:hAnsi="Tahoma" w:cs="Tahoma"/>
          <w:sz w:val="18"/>
          <w:szCs w:val="18"/>
        </w:rPr>
        <w:t>’</w:t>
      </w:r>
      <w:r w:rsidRPr="00BD7CEA">
        <w:rPr>
          <w:rFonts w:ascii="Tahoma" w:hAnsi="Tahoma" w:cs="Tahoma"/>
          <w:sz w:val="18"/>
          <w:szCs w:val="18"/>
        </w:rPr>
        <w:t xml:space="preserve">utente su una pagina diversa e (c) eventuali nuove funzionalità dei Servizi potranno costituire una Transazione Fatturabile come descritto negli SDK. </w:t>
      </w:r>
    </w:p>
    <w:p w:rsidR="004640EC" w:rsidRPr="00BD7CEA" w:rsidRDefault="004640EC" w:rsidP="004640EC">
      <w:pPr>
        <w:ind w:left="720"/>
      </w:pPr>
    </w:p>
    <w:p w:rsidR="004640EC" w:rsidRPr="00BD7CEA" w:rsidRDefault="004640EC" w:rsidP="004640EC">
      <w:pPr>
        <w:ind w:left="720"/>
        <w:rPr>
          <w:spacing w:val="-2"/>
        </w:rPr>
      </w:pPr>
      <w:r w:rsidRPr="00BD7CEA">
        <w:rPr>
          <w:rFonts w:cs="Tahoma"/>
          <w:spacing w:val="-2"/>
          <w:szCs w:val="18"/>
        </w:rPr>
        <w:t>Le società potranno acquistare più offerte di SL Add-on per Bing Maps Public Website Usage e di SL Add-on per Bing Maps Internal Website Usage allo scopo di comprare ogni mese più Transazione Fatturabili, ad eccezione della SL Add-on per Bing Maps Unlimited che può essere acquistata una sola volta.</w:t>
      </w:r>
      <w:r w:rsidR="008D782D" w:rsidRPr="00BD7CEA">
        <w:rPr>
          <w:rFonts w:cs="Tahoma"/>
          <w:spacing w:val="-2"/>
          <w:szCs w:val="18"/>
        </w:rPr>
        <w:t xml:space="preserve"> </w:t>
      </w:r>
      <w:r w:rsidRPr="00BD7CEA">
        <w:rPr>
          <w:rFonts w:cs="Tahoma"/>
          <w:spacing w:val="-2"/>
          <w:szCs w:val="18"/>
        </w:rPr>
        <w:t>Le Transazioni Fatturabili mensili non utilizzate potranno essere cumulate su base mensile fino alla data di scadenza dell</w:t>
      </w:r>
      <w:r w:rsidR="007A1415" w:rsidRPr="00BD7CEA">
        <w:rPr>
          <w:rFonts w:cs="Tahoma"/>
          <w:spacing w:val="-2"/>
          <w:szCs w:val="18"/>
        </w:rPr>
        <w:t>’</w:t>
      </w:r>
      <w:r w:rsidRPr="00BD7CEA">
        <w:rPr>
          <w:rFonts w:cs="Tahoma"/>
          <w:spacing w:val="-2"/>
          <w:szCs w:val="18"/>
        </w:rPr>
        <w:t>iscrizione.</w:t>
      </w:r>
      <w:r w:rsidR="008D782D" w:rsidRPr="00BD7CEA">
        <w:rPr>
          <w:rFonts w:cs="Tahoma"/>
          <w:spacing w:val="-2"/>
          <w:szCs w:val="18"/>
        </w:rPr>
        <w:t xml:space="preserve"> </w:t>
      </w:r>
      <w:r w:rsidRPr="00BD7CEA">
        <w:rPr>
          <w:rFonts w:cs="Tahoma"/>
          <w:spacing w:val="-2"/>
          <w:szCs w:val="18"/>
        </w:rPr>
        <w:t>In tale data tutte le Transazioni Fatturabili non utilizzate acquistate andranno perse. Le società potranno superare il numero di Transazioni Fatturabili acquistate in un mese, purché il numero totale di Transazioni Fatturabili utilizzate non superi il numero totale di Transazioni Fatturabili acquistate durante il periodo di validità dell</w:t>
      </w:r>
      <w:r w:rsidR="007A1415" w:rsidRPr="00BD7CEA">
        <w:rPr>
          <w:rFonts w:cs="Tahoma"/>
          <w:spacing w:val="-2"/>
          <w:szCs w:val="18"/>
        </w:rPr>
        <w:t>’</w:t>
      </w:r>
      <w:r w:rsidRPr="00BD7CEA">
        <w:rPr>
          <w:rFonts w:cs="Tahoma"/>
          <w:spacing w:val="-2"/>
          <w:szCs w:val="18"/>
        </w:rPr>
        <w:t>iscrizione.</w:t>
      </w:r>
      <w:r w:rsidR="008D782D" w:rsidRPr="00BD7CEA">
        <w:rPr>
          <w:rFonts w:cs="Tahoma"/>
          <w:spacing w:val="-2"/>
          <w:szCs w:val="18"/>
        </w:rPr>
        <w:t xml:space="preserve"> </w:t>
      </w:r>
      <w:r w:rsidRPr="00BD7CEA">
        <w:rPr>
          <w:rFonts w:cs="Tahoma"/>
          <w:spacing w:val="-2"/>
          <w:szCs w:val="18"/>
        </w:rPr>
        <w:t>Qualora una società superi il numero totale di Transazioni Fatturabili acquistate, entro 30 giorni dalla comunicazione di Microsoft la società dovrà acquistare offerte aggiuntive di SL Add-on per Bing Maps Public Website Usage o per Bing Maps Internal Website Usage per coprire le Transazioni Fatturabili in eccesso e le Transazioni Fatturabili future previste per il tempo residuo del periodo di validità dell</w:t>
      </w:r>
      <w:r w:rsidR="007A1415" w:rsidRPr="00BD7CEA">
        <w:rPr>
          <w:rFonts w:cs="Tahoma"/>
          <w:spacing w:val="-2"/>
          <w:szCs w:val="18"/>
        </w:rPr>
        <w:t>’</w:t>
      </w:r>
      <w:r w:rsidRPr="00BD7CEA">
        <w:rPr>
          <w:rFonts w:cs="Tahoma"/>
          <w:spacing w:val="-2"/>
          <w:szCs w:val="18"/>
        </w:rPr>
        <w:t>iscrizione. In alternativa, Microsoft potrà interrompere l</w:t>
      </w:r>
      <w:r w:rsidR="007A1415" w:rsidRPr="00BD7CEA">
        <w:rPr>
          <w:rFonts w:cs="Tahoma"/>
          <w:spacing w:val="-2"/>
          <w:szCs w:val="18"/>
        </w:rPr>
        <w:t>’</w:t>
      </w:r>
      <w:r w:rsidRPr="00BD7CEA">
        <w:rPr>
          <w:rFonts w:cs="Tahoma"/>
          <w:spacing w:val="-2"/>
          <w:szCs w:val="18"/>
        </w:rPr>
        <w:t>accesso a Bing Maps da parte del cliente.</w:t>
      </w:r>
    </w:p>
    <w:p w:rsidR="004640EC" w:rsidRPr="00BD7CEA" w:rsidRDefault="004640EC" w:rsidP="004640EC">
      <w:pPr>
        <w:ind w:left="720"/>
      </w:pPr>
    </w:p>
    <w:p w:rsidR="004640EC" w:rsidRPr="00BD7CEA" w:rsidRDefault="004640EC" w:rsidP="004640EC">
      <w:pPr>
        <w:spacing w:after="60"/>
        <w:ind w:left="720"/>
      </w:pPr>
      <w:r w:rsidRPr="00BD7CEA">
        <w:rPr>
          <w:rFonts w:cs="Tahoma"/>
          <w:b/>
          <w:color w:val="000000" w:themeColor="text1"/>
          <w:szCs w:val="18"/>
        </w:rPr>
        <w:t>SL Add-on per Bing Maps Unlimited</w:t>
      </w:r>
    </w:p>
    <w:p w:rsidR="004640EC" w:rsidRPr="00BD7CEA" w:rsidRDefault="004640EC" w:rsidP="004640EC">
      <w:pPr>
        <w:pStyle w:val="NormalWeb"/>
        <w:spacing w:before="0" w:beforeAutospacing="0" w:after="0" w:afterAutospacing="0"/>
        <w:ind w:left="720"/>
      </w:pPr>
      <w:r w:rsidRPr="00BD7CEA">
        <w:rPr>
          <w:rFonts w:ascii="Tahoma" w:hAnsi="Tahoma" w:cs="Tahoma"/>
          <w:sz w:val="18"/>
          <w:szCs w:val="18"/>
        </w:rPr>
        <w:t>L</w:t>
      </w:r>
      <w:r w:rsidR="007A1415" w:rsidRPr="00BD7CEA">
        <w:rPr>
          <w:rFonts w:ascii="Tahoma" w:hAnsi="Tahoma" w:cs="Tahoma"/>
          <w:sz w:val="18"/>
          <w:szCs w:val="18"/>
        </w:rPr>
        <w:t>’</w:t>
      </w:r>
      <w:r w:rsidRPr="00BD7CEA">
        <w:rPr>
          <w:rFonts w:ascii="Tahoma" w:hAnsi="Tahoma" w:cs="Tahoma"/>
          <w:sz w:val="18"/>
          <w:szCs w:val="18"/>
        </w:rPr>
        <w:t>offerta di SL Add-on per Bing Maps Unlimited presenta un limite di utilizzo di 400 milioni di Transazioni Fatturabili all</w:t>
      </w:r>
      <w:r w:rsidR="007A1415" w:rsidRPr="00BD7CEA">
        <w:rPr>
          <w:rFonts w:ascii="Tahoma" w:hAnsi="Tahoma" w:cs="Tahoma"/>
          <w:sz w:val="18"/>
          <w:szCs w:val="18"/>
        </w:rPr>
        <w:t>’</w:t>
      </w:r>
      <w:r w:rsidRPr="00BD7CEA">
        <w:rPr>
          <w:rFonts w:ascii="Tahoma" w:hAnsi="Tahoma" w:cs="Tahoma"/>
          <w:sz w:val="18"/>
          <w:szCs w:val="18"/>
        </w:rPr>
        <w:t>anno.</w:t>
      </w:r>
      <w:r w:rsidR="008D782D" w:rsidRPr="00BD7CEA">
        <w:rPr>
          <w:rFonts w:ascii="Tahoma" w:hAnsi="Tahoma" w:cs="Tahoma"/>
          <w:sz w:val="18"/>
          <w:szCs w:val="18"/>
        </w:rPr>
        <w:t xml:space="preserve"> </w:t>
      </w:r>
      <w:r w:rsidRPr="00BD7CEA">
        <w:rPr>
          <w:rFonts w:ascii="Tahoma" w:hAnsi="Tahoma" w:cs="Tahoma"/>
          <w:sz w:val="18"/>
          <w:szCs w:val="18"/>
        </w:rPr>
        <w:t>Qualora durante un qualsiasi anno del periodo di validità dell</w:t>
      </w:r>
      <w:r w:rsidR="007A1415" w:rsidRPr="00BD7CEA">
        <w:rPr>
          <w:rFonts w:ascii="Tahoma" w:hAnsi="Tahoma" w:cs="Tahoma"/>
          <w:sz w:val="18"/>
          <w:szCs w:val="18"/>
        </w:rPr>
        <w:t>’</w:t>
      </w:r>
      <w:r w:rsidRPr="00BD7CEA">
        <w:rPr>
          <w:rFonts w:ascii="Tahoma" w:hAnsi="Tahoma" w:cs="Tahoma"/>
          <w:sz w:val="18"/>
          <w:szCs w:val="18"/>
        </w:rPr>
        <w:t>iscrizione una società superi il limite di utilizzo di 400 milioni di Transazioni Fatturabili, entro 60 giorni dalla comunicazione di Microsoft la società dovrà acquistare offerte aggiuntive di SL Add-on per Bing Maps Public Website Usage o</w:t>
      </w:r>
      <w:r w:rsidR="00974F82" w:rsidRPr="00BD7CEA">
        <w:rPr>
          <w:rFonts w:ascii="Tahoma" w:hAnsi="Tahoma" w:cs="Tahoma"/>
          <w:sz w:val="18"/>
          <w:szCs w:val="18"/>
        </w:rPr>
        <w:t> </w:t>
      </w:r>
      <w:r w:rsidRPr="00BD7CEA">
        <w:rPr>
          <w:rFonts w:ascii="Tahoma" w:hAnsi="Tahoma" w:cs="Tahoma"/>
          <w:sz w:val="18"/>
          <w:szCs w:val="18"/>
        </w:rPr>
        <w:t>per Bing Maps Internal Website Usage per coprire le Transazioni Fatturabili in eccesso e le Transazioni Fatturabili future previste per il tempo residuo del periodo di validità dell</w:t>
      </w:r>
      <w:r w:rsidR="007A1415" w:rsidRPr="00BD7CEA">
        <w:rPr>
          <w:rFonts w:ascii="Tahoma" w:hAnsi="Tahoma" w:cs="Tahoma"/>
          <w:sz w:val="18"/>
          <w:szCs w:val="18"/>
        </w:rPr>
        <w:t>’</w:t>
      </w:r>
      <w:r w:rsidRPr="00BD7CEA">
        <w:rPr>
          <w:rFonts w:ascii="Tahoma" w:hAnsi="Tahoma" w:cs="Tahoma"/>
          <w:sz w:val="18"/>
          <w:szCs w:val="18"/>
        </w:rPr>
        <w:t>iscrizione. In alternativa, Microsoft</w:t>
      </w:r>
      <w:r w:rsidR="00DC6528">
        <w:rPr>
          <w:rFonts w:ascii="Tahoma" w:hAnsi="Tahoma" w:cs="Tahoma"/>
          <w:sz w:val="18"/>
          <w:szCs w:val="18"/>
        </w:rPr>
        <w:t> </w:t>
      </w:r>
      <w:r w:rsidRPr="00BD7CEA">
        <w:rPr>
          <w:rFonts w:ascii="Tahoma" w:hAnsi="Tahoma" w:cs="Tahoma"/>
          <w:sz w:val="18"/>
          <w:szCs w:val="18"/>
        </w:rPr>
        <w:t>potrà interrompere l</w:t>
      </w:r>
      <w:r w:rsidR="007A1415" w:rsidRPr="00BD7CEA">
        <w:rPr>
          <w:rFonts w:ascii="Tahoma" w:hAnsi="Tahoma" w:cs="Tahoma"/>
          <w:sz w:val="18"/>
          <w:szCs w:val="18"/>
        </w:rPr>
        <w:t>’</w:t>
      </w:r>
      <w:r w:rsidRPr="00BD7CEA">
        <w:rPr>
          <w:rFonts w:ascii="Tahoma" w:hAnsi="Tahoma" w:cs="Tahoma"/>
          <w:sz w:val="18"/>
          <w:szCs w:val="18"/>
        </w:rPr>
        <w:t>accesso a Bing Maps da parte del cliente.</w:t>
      </w:r>
    </w:p>
    <w:p w:rsidR="004640EC" w:rsidRPr="00BD7CEA" w:rsidRDefault="004640EC" w:rsidP="004640EC">
      <w:pPr>
        <w:pStyle w:val="NormalWeb"/>
        <w:spacing w:before="0" w:beforeAutospacing="0" w:after="0" w:afterAutospacing="0"/>
        <w:ind w:left="720"/>
      </w:pPr>
    </w:p>
    <w:p w:rsidR="004640EC" w:rsidRPr="00BD7CEA" w:rsidRDefault="004640EC" w:rsidP="004640EC">
      <w:pPr>
        <w:spacing w:after="60"/>
        <w:ind w:left="720"/>
      </w:pPr>
      <w:r w:rsidRPr="00BD7CEA">
        <w:rPr>
          <w:rFonts w:cs="Tahoma"/>
          <w:b/>
          <w:color w:val="000000" w:themeColor="text1"/>
          <w:szCs w:val="18"/>
        </w:rPr>
        <w:t>Supporto Tecnico per Bing Maps</w:t>
      </w:r>
    </w:p>
    <w:p w:rsidR="004640EC" w:rsidRPr="00BD7CEA" w:rsidRDefault="004640EC" w:rsidP="004640EC">
      <w:pPr>
        <w:pStyle w:val="NormalWeb"/>
        <w:spacing w:before="0" w:beforeAutospacing="0" w:after="0" w:afterAutospacing="0"/>
        <w:ind w:left="720"/>
      </w:pPr>
      <w:r w:rsidRPr="00BD7CEA">
        <w:rPr>
          <w:rFonts w:ascii="Tahoma" w:hAnsi="Tahoma" w:cs="Tahoma"/>
          <w:sz w:val="18"/>
          <w:szCs w:val="18"/>
        </w:rPr>
        <w:t>Il Supporto Tecnico per Bing Maps è disponibile per tutte le società che hanno acquistato Bing Maps nella modalità definita di seguito.</w:t>
      </w:r>
    </w:p>
    <w:p w:rsidR="004640EC" w:rsidRPr="00BD7CEA" w:rsidRDefault="004640EC" w:rsidP="004640EC">
      <w:pPr>
        <w:pStyle w:val="NormalWeb"/>
        <w:spacing w:before="0" w:beforeAutospacing="0" w:after="0" w:afterAutospacing="0"/>
        <w:ind w:left="720"/>
      </w:pPr>
    </w:p>
    <w:p w:rsidR="004640EC" w:rsidRPr="00BD7CEA" w:rsidRDefault="004640EC" w:rsidP="004640EC">
      <w:pPr>
        <w:spacing w:after="60"/>
        <w:ind w:left="720"/>
      </w:pPr>
      <w:r w:rsidRPr="00BD7CEA">
        <w:rPr>
          <w:rFonts w:cs="Tahoma"/>
          <w:b/>
          <w:bCs/>
          <w:color w:val="000000"/>
          <w:szCs w:val="18"/>
        </w:rPr>
        <w:t>Il Supporto tecnico per Bing Maps Include:</w:t>
      </w:r>
    </w:p>
    <w:p w:rsidR="004640EC" w:rsidRPr="00BD7CEA" w:rsidRDefault="004640EC" w:rsidP="004640EC">
      <w:pPr>
        <w:ind w:left="720"/>
      </w:pPr>
      <w:r w:rsidRPr="00BD7CEA">
        <w:rPr>
          <w:rFonts w:cs="Tahoma"/>
          <w:color w:val="000000"/>
          <w:szCs w:val="18"/>
        </w:rPr>
        <w:t>Accesso diretto al Team del Supporto Tecnico di Bing Maps tramite posta elettronica, telefono e Web durante l</w:t>
      </w:r>
      <w:r w:rsidR="007A1415" w:rsidRPr="00BD7CEA">
        <w:rPr>
          <w:rFonts w:cs="Tahoma"/>
          <w:color w:val="000000"/>
          <w:szCs w:val="18"/>
        </w:rPr>
        <w:t>’</w:t>
      </w:r>
      <w:r w:rsidRPr="00BD7CEA">
        <w:rPr>
          <w:rFonts w:cs="Tahoma"/>
          <w:color w:val="000000"/>
          <w:szCs w:val="18"/>
        </w:rPr>
        <w:t>orario di lavoro 8</w:t>
      </w:r>
      <w:r w:rsidR="00FD7C0D">
        <w:rPr>
          <w:rFonts w:cs="Tahoma"/>
          <w:color w:val="000000"/>
          <w:szCs w:val="18"/>
        </w:rPr>
        <w:t xml:space="preserve"> – </w:t>
      </w:r>
      <w:r w:rsidRPr="00BD7CEA">
        <w:rPr>
          <w:rFonts w:cs="Tahoma"/>
          <w:color w:val="000000"/>
          <w:szCs w:val="18"/>
        </w:rPr>
        <w:t>2 GMT, da lunedì a venerdì, escluse le festività pubbliche statunitensi. La società può inoltre accedere al Team di Supporto per i problemi correlati al servizio di emergenza anche al di</w:t>
      </w:r>
      <w:r w:rsidR="00974F82" w:rsidRPr="00BD7CEA">
        <w:rPr>
          <w:rFonts w:cs="Tahoma"/>
          <w:color w:val="000000"/>
          <w:szCs w:val="18"/>
        </w:rPr>
        <w:t> </w:t>
      </w:r>
      <w:r w:rsidRPr="00BD7CEA">
        <w:rPr>
          <w:rFonts w:cs="Tahoma"/>
          <w:color w:val="000000"/>
          <w:szCs w:val="18"/>
        </w:rPr>
        <w:t>fuori dell</w:t>
      </w:r>
      <w:r w:rsidR="007A1415" w:rsidRPr="00BD7CEA">
        <w:rPr>
          <w:rFonts w:cs="Tahoma"/>
          <w:color w:val="000000"/>
          <w:szCs w:val="18"/>
        </w:rPr>
        <w:t>’</w:t>
      </w:r>
      <w:r w:rsidRPr="00BD7CEA">
        <w:rPr>
          <w:rFonts w:cs="Tahoma"/>
          <w:color w:val="000000"/>
          <w:szCs w:val="18"/>
        </w:rPr>
        <w:t>orario apposito (2</w:t>
      </w:r>
      <w:r w:rsidR="00FD7C0D">
        <w:rPr>
          <w:rFonts w:cs="Tahoma"/>
          <w:color w:val="000000"/>
          <w:szCs w:val="18"/>
        </w:rPr>
        <w:t xml:space="preserve"> – </w:t>
      </w:r>
      <w:r w:rsidRPr="00BD7CEA">
        <w:rPr>
          <w:rFonts w:cs="Tahoma"/>
          <w:color w:val="000000"/>
          <w:szCs w:val="18"/>
        </w:rPr>
        <w:t>8 GMT) solo telefonicamente al numero riportato di seguito. Tutti gli altri problemi segnalati al di fuori di tale orario verranno trattati durante il normale orario di lavoro. Il Team di Supporto può essere contattato nei seguenti modi o in eventuali altri modi che verranno comunicati:</w:t>
      </w:r>
    </w:p>
    <w:p w:rsidR="004640EC" w:rsidRPr="00BD7CEA" w:rsidRDefault="004640EC" w:rsidP="004640EC">
      <w:pPr>
        <w:ind w:left="720"/>
      </w:pPr>
    </w:p>
    <w:p w:rsidR="00941907" w:rsidRDefault="00941907" w:rsidP="004640EC">
      <w:pPr>
        <w:ind w:left="720"/>
        <w:rPr>
          <w:rFonts w:cs="Tahoma"/>
          <w:color w:val="000000"/>
          <w:szCs w:val="18"/>
        </w:rPr>
      </w:pPr>
    </w:p>
    <w:p w:rsidR="00941907" w:rsidRDefault="00941907" w:rsidP="004640EC">
      <w:pPr>
        <w:ind w:left="720"/>
        <w:rPr>
          <w:rFonts w:cs="Tahoma"/>
          <w:color w:val="000000"/>
          <w:szCs w:val="18"/>
        </w:rPr>
      </w:pPr>
    </w:p>
    <w:p w:rsidR="00941907" w:rsidRDefault="00941907" w:rsidP="004640EC">
      <w:pPr>
        <w:ind w:left="720"/>
        <w:rPr>
          <w:rFonts w:cs="Tahoma"/>
          <w:color w:val="000000"/>
          <w:szCs w:val="18"/>
        </w:rPr>
      </w:pPr>
    </w:p>
    <w:p w:rsidR="00941907" w:rsidRDefault="00941907" w:rsidP="004640EC">
      <w:pPr>
        <w:ind w:left="720"/>
        <w:rPr>
          <w:rFonts w:cs="Tahoma"/>
          <w:color w:val="000000"/>
          <w:szCs w:val="18"/>
        </w:rPr>
      </w:pPr>
    </w:p>
    <w:p w:rsidR="00941907" w:rsidRDefault="00941907" w:rsidP="004640EC">
      <w:pPr>
        <w:ind w:left="720"/>
        <w:rPr>
          <w:rFonts w:cs="Tahoma"/>
          <w:color w:val="000000"/>
          <w:szCs w:val="18"/>
        </w:rPr>
      </w:pPr>
    </w:p>
    <w:p w:rsidR="00941907" w:rsidRDefault="00941907" w:rsidP="004640EC">
      <w:pPr>
        <w:ind w:left="720"/>
        <w:rPr>
          <w:rFonts w:cs="Tahoma"/>
          <w:color w:val="000000"/>
          <w:szCs w:val="18"/>
        </w:rPr>
      </w:pPr>
    </w:p>
    <w:p w:rsidR="00941907" w:rsidRDefault="00941907" w:rsidP="004640EC">
      <w:pPr>
        <w:ind w:left="720"/>
        <w:rPr>
          <w:rFonts w:cs="Tahoma"/>
          <w:color w:val="000000"/>
          <w:szCs w:val="18"/>
        </w:rPr>
      </w:pPr>
    </w:p>
    <w:p w:rsidR="004640EC" w:rsidRPr="00BD7CEA" w:rsidRDefault="004640EC" w:rsidP="004640EC">
      <w:pPr>
        <w:ind w:left="720"/>
      </w:pPr>
      <w:r w:rsidRPr="00BD7CEA">
        <w:rPr>
          <w:rFonts w:cs="Tahoma"/>
          <w:color w:val="000000"/>
          <w:szCs w:val="18"/>
        </w:rPr>
        <w:lastRenderedPageBreak/>
        <w:t>Indirizzo di posta elettronica:</w:t>
      </w:r>
    </w:p>
    <w:p w:rsidR="004640EC" w:rsidRPr="00BD7CEA" w:rsidRDefault="006E5080" w:rsidP="004640EC">
      <w:pPr>
        <w:ind w:left="720"/>
      </w:pPr>
      <w:hyperlink r:id="rId48" w:history="1">
        <w:r w:rsidR="00955428" w:rsidRPr="00BD7CEA">
          <w:rPr>
            <w:rStyle w:val="Hyperlink"/>
            <w:rFonts w:cs="Tahoma"/>
            <w:szCs w:val="18"/>
          </w:rPr>
          <w:t>bmesupp@microsoft.com</w:t>
        </w:r>
      </w:hyperlink>
    </w:p>
    <w:p w:rsidR="004640EC" w:rsidRPr="00BD7CEA" w:rsidRDefault="004640EC" w:rsidP="004640EC">
      <w:pPr>
        <w:ind w:left="720"/>
      </w:pPr>
    </w:p>
    <w:p w:rsidR="004640EC" w:rsidRPr="00BD7CEA" w:rsidRDefault="004640EC" w:rsidP="004640EC">
      <w:pPr>
        <w:ind w:left="720"/>
      </w:pPr>
      <w:r w:rsidRPr="00BD7CEA">
        <w:rPr>
          <w:rFonts w:cs="Tahoma"/>
          <w:color w:val="000000"/>
          <w:szCs w:val="18"/>
        </w:rPr>
        <w:t>Telefono:</w:t>
      </w:r>
    </w:p>
    <w:p w:rsidR="004640EC" w:rsidRPr="00BD7CEA" w:rsidRDefault="004640EC" w:rsidP="004640EC">
      <w:pPr>
        <w:ind w:left="720"/>
      </w:pPr>
      <w:r w:rsidRPr="00BD7CEA">
        <w:rPr>
          <w:rFonts w:cs="Tahoma"/>
          <w:color w:val="000000"/>
          <w:szCs w:val="18"/>
        </w:rPr>
        <w:t>+1 (800) 552-8872 (se all</w:t>
      </w:r>
      <w:r w:rsidR="007A1415" w:rsidRPr="00BD7CEA">
        <w:rPr>
          <w:rFonts w:cs="Tahoma"/>
          <w:color w:val="000000"/>
          <w:szCs w:val="18"/>
        </w:rPr>
        <w:t>’</w:t>
      </w:r>
      <w:r w:rsidRPr="00BD7CEA">
        <w:rPr>
          <w:rFonts w:cs="Tahoma"/>
          <w:color w:val="000000"/>
          <w:szCs w:val="18"/>
        </w:rPr>
        <w:t>interno degli Stati Uniti e del Canada)</w:t>
      </w:r>
    </w:p>
    <w:p w:rsidR="004640EC" w:rsidRPr="00BD7CEA" w:rsidRDefault="004640EC" w:rsidP="004640EC">
      <w:pPr>
        <w:ind w:left="720"/>
      </w:pPr>
      <w:r w:rsidRPr="00BD7CEA">
        <w:rPr>
          <w:rFonts w:cs="Tahoma"/>
          <w:color w:val="000000"/>
          <w:szCs w:val="18"/>
        </w:rPr>
        <w:t>+1 (425) 705-2737 (se al di fuori degli Stati Uniti e del Canada)</w:t>
      </w:r>
    </w:p>
    <w:p w:rsidR="00D309C5" w:rsidRDefault="00D309C5" w:rsidP="004640EC">
      <w:pPr>
        <w:ind w:left="720"/>
        <w:rPr>
          <w:rFonts w:cs="Tahoma"/>
          <w:color w:val="000000"/>
          <w:szCs w:val="18"/>
        </w:rPr>
      </w:pPr>
    </w:p>
    <w:p w:rsidR="004640EC" w:rsidRPr="00BD7CEA" w:rsidRDefault="004640EC" w:rsidP="004640EC">
      <w:pPr>
        <w:ind w:left="720"/>
      </w:pPr>
      <w:r w:rsidRPr="00BD7CEA">
        <w:rPr>
          <w:rFonts w:cs="Tahoma"/>
          <w:color w:val="000000"/>
          <w:szCs w:val="18"/>
        </w:rPr>
        <w:t>Modulo Web</w:t>
      </w:r>
    </w:p>
    <w:p w:rsidR="004640EC" w:rsidRPr="00BD7CEA" w:rsidRDefault="006E5080" w:rsidP="004640EC">
      <w:pPr>
        <w:ind w:left="720"/>
      </w:pPr>
      <w:hyperlink r:id="rId49" w:history="1">
        <w:r w:rsidR="00955428" w:rsidRPr="00BD7CEA">
          <w:rPr>
            <w:rStyle w:val="Hyperlink"/>
            <w:rFonts w:cs="Tahoma"/>
            <w:szCs w:val="18"/>
          </w:rPr>
          <w:t>https://support.microsoft.com/oas/default.aspx?prid=13766&amp;st=1</w:t>
        </w:r>
      </w:hyperlink>
    </w:p>
    <w:p w:rsidR="004640EC" w:rsidRPr="00BD7CEA" w:rsidRDefault="004640EC" w:rsidP="004640EC">
      <w:pPr>
        <w:ind w:left="720"/>
      </w:pPr>
    </w:p>
    <w:p w:rsidR="004640EC" w:rsidRPr="00BD7CEA" w:rsidRDefault="004640EC" w:rsidP="004640EC">
      <w:pPr>
        <w:ind w:left="720"/>
      </w:pPr>
      <w:r w:rsidRPr="00BD7CEA">
        <w:rPr>
          <w:rFonts w:cs="Tahoma"/>
          <w:b/>
          <w:bCs/>
          <w:color w:val="000000"/>
          <w:szCs w:val="18"/>
        </w:rPr>
        <w:t>Priorità</w:t>
      </w:r>
      <w:r w:rsidRPr="00BD7CEA">
        <w:rPr>
          <w:rFonts w:cs="Tahoma"/>
          <w:color w:val="000000"/>
          <w:szCs w:val="18"/>
        </w:rPr>
        <w:t>. Tutte le richieste di supporto tecnico per Bing Maps effettuate al Team del Supporto Tecnico verranno designate come Livello di Gravità A, B, C o D secondo quanto descritto nel grafico dei Livelli di Gravità e dei Tempi di Risposta Prefissati che segue. Un Tecnico del Supporto interverrà in conformità ai Tempi di Risposta Prefissati dichiarati nel grafico che segue e in base alla Descrizione dei Problemi del Servizio riportati determinerà il livello di gravità finale.</w:t>
      </w:r>
    </w:p>
    <w:p w:rsidR="00DC6528" w:rsidRDefault="00DC6528" w:rsidP="004640EC">
      <w:pPr>
        <w:ind w:left="720"/>
        <w:rPr>
          <w:rFonts w:cs="Tahoma"/>
          <w:b/>
          <w:bCs/>
          <w:color w:val="000000"/>
          <w:szCs w:val="18"/>
        </w:rPr>
      </w:pPr>
    </w:p>
    <w:p w:rsidR="004640EC" w:rsidRPr="00BD7CEA" w:rsidRDefault="004640EC" w:rsidP="004640EC">
      <w:pPr>
        <w:ind w:left="720"/>
      </w:pPr>
      <w:r w:rsidRPr="00BD7CEA">
        <w:rPr>
          <w:rFonts w:cs="Tahoma"/>
          <w:b/>
          <w:bCs/>
          <w:color w:val="000000"/>
          <w:szCs w:val="18"/>
        </w:rPr>
        <w:t xml:space="preserve">Livelli di Gravità durante il Normale Orario di Lavoro e Tempi di Risposta Prefissati: </w:t>
      </w:r>
    </w:p>
    <w:p w:rsidR="004640EC" w:rsidRPr="00BD7CEA" w:rsidRDefault="004640EC" w:rsidP="004640EC">
      <w:pPr>
        <w:ind w:left="720"/>
      </w:pPr>
    </w:p>
    <w:p w:rsidR="004640EC" w:rsidRPr="00BD7CEA" w:rsidRDefault="004640EC" w:rsidP="004640EC">
      <w:pPr>
        <w:ind w:left="720"/>
      </w:pPr>
    </w:p>
    <w:tbl>
      <w:tblPr>
        <w:tblW w:w="9225" w:type="dxa"/>
        <w:tblInd w:w="738" w:type="dxa"/>
        <w:tblCellMar>
          <w:left w:w="0" w:type="dxa"/>
          <w:right w:w="0" w:type="dxa"/>
        </w:tblCellMar>
        <w:tblLook w:val="04A0" w:firstRow="1" w:lastRow="0" w:firstColumn="1" w:lastColumn="0" w:noHBand="0" w:noVBand="1"/>
      </w:tblPr>
      <w:tblGrid>
        <w:gridCol w:w="1576"/>
        <w:gridCol w:w="2052"/>
        <w:gridCol w:w="5597"/>
      </w:tblGrid>
      <w:tr w:rsidR="004640EC" w:rsidRPr="00BD7CEA" w:rsidTr="00136585">
        <w:trPr>
          <w:trHeight w:val="549"/>
        </w:trPr>
        <w:tc>
          <w:tcPr>
            <w:tcW w:w="1576"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BD7CEA" w:rsidRDefault="004640EC" w:rsidP="00136585">
            <w:pPr>
              <w:rPr>
                <w:rFonts w:cs="Tahoma"/>
                <w:color w:val="000000"/>
                <w:szCs w:val="18"/>
              </w:rPr>
            </w:pPr>
            <w:r w:rsidRPr="00BD7CEA">
              <w:rPr>
                <w:rFonts w:cs="Tahoma"/>
                <w:b/>
                <w:bCs/>
                <w:color w:val="000000"/>
                <w:szCs w:val="18"/>
              </w:rPr>
              <w:t>Livello di Gravità del Problema</w:t>
            </w:r>
          </w:p>
        </w:tc>
        <w:tc>
          <w:tcPr>
            <w:tcW w:w="2052"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BD7CEA" w:rsidRDefault="004640EC" w:rsidP="00136585">
            <w:pPr>
              <w:rPr>
                <w:rFonts w:cs="Tahoma"/>
                <w:color w:val="000000"/>
                <w:szCs w:val="18"/>
              </w:rPr>
            </w:pPr>
            <w:r w:rsidRPr="00BD7CEA">
              <w:rPr>
                <w:rFonts w:cs="Tahoma"/>
                <w:b/>
                <w:bCs/>
                <w:color w:val="000000"/>
                <w:szCs w:val="18"/>
              </w:rPr>
              <w:t>Tempo di Risposta Prefissato</w:t>
            </w:r>
          </w:p>
        </w:tc>
        <w:tc>
          <w:tcPr>
            <w:tcW w:w="5597"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BD7CEA" w:rsidRDefault="004640EC" w:rsidP="00136585">
            <w:pPr>
              <w:rPr>
                <w:rFonts w:cs="Tahoma"/>
                <w:color w:val="000000"/>
                <w:szCs w:val="18"/>
              </w:rPr>
            </w:pPr>
            <w:r w:rsidRPr="00BD7CEA">
              <w:rPr>
                <w:rFonts w:cs="Tahoma"/>
                <w:b/>
                <w:bCs/>
                <w:color w:val="000000"/>
                <w:szCs w:val="18"/>
              </w:rPr>
              <w:t>Descrizione dei Problemi del Servizio</w:t>
            </w:r>
          </w:p>
        </w:tc>
      </w:tr>
      <w:tr w:rsidR="004640EC" w:rsidRPr="00BD7CEA"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BD7CEA" w:rsidRDefault="004640EC" w:rsidP="00136585">
            <w:pPr>
              <w:rPr>
                <w:rFonts w:cs="Tahoma"/>
                <w:color w:val="000000"/>
                <w:szCs w:val="18"/>
              </w:rPr>
            </w:pPr>
            <w:r w:rsidRPr="00BD7CEA">
              <w:rPr>
                <w:rFonts w:cs="Tahoma"/>
                <w:color w:val="000000"/>
                <w:szCs w:val="18"/>
              </w:rPr>
              <w:t>Gravità A</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BD7CEA" w:rsidRDefault="004640EC" w:rsidP="00136585">
            <w:pPr>
              <w:rPr>
                <w:rFonts w:cs="Tahoma"/>
                <w:color w:val="000000"/>
                <w:szCs w:val="18"/>
              </w:rPr>
            </w:pPr>
            <w:r w:rsidRPr="00BD7CEA">
              <w:rPr>
                <w:rFonts w:cs="Tahoma"/>
                <w:color w:val="000000"/>
                <w:szCs w:val="18"/>
              </w:rPr>
              <w:t>1 Ora Lavorativa</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BD7CEA" w:rsidRDefault="004640EC" w:rsidP="00136585">
            <w:pPr>
              <w:rPr>
                <w:rFonts w:cs="Tahoma"/>
                <w:color w:val="000000"/>
                <w:szCs w:val="18"/>
              </w:rPr>
            </w:pPr>
            <w:r w:rsidRPr="00BD7CEA">
              <w:rPr>
                <w:rFonts w:cs="Tahoma"/>
                <w:color w:val="000000"/>
                <w:szCs w:val="18"/>
              </w:rPr>
              <w:t>La società segnala un</w:t>
            </w:r>
            <w:r w:rsidR="007A1415" w:rsidRPr="00BD7CEA">
              <w:rPr>
                <w:rFonts w:cs="Tahoma"/>
                <w:color w:val="000000"/>
                <w:szCs w:val="18"/>
              </w:rPr>
              <w:t>’</w:t>
            </w:r>
            <w:r w:rsidRPr="00BD7CEA">
              <w:rPr>
                <w:rFonts w:cs="Tahoma"/>
                <w:color w:val="000000"/>
                <w:szCs w:val="18"/>
              </w:rPr>
              <w:t>interruzione dei Servizi o altro problema critico per le applicazioni produttive.</w:t>
            </w:r>
          </w:p>
        </w:tc>
      </w:tr>
      <w:tr w:rsidR="004640EC" w:rsidRPr="00BD7CEA"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BD7CEA" w:rsidRDefault="004640EC" w:rsidP="00136585">
            <w:pPr>
              <w:rPr>
                <w:rFonts w:cs="Tahoma"/>
                <w:color w:val="000000"/>
                <w:szCs w:val="18"/>
              </w:rPr>
            </w:pPr>
            <w:r w:rsidRPr="00BD7CEA">
              <w:rPr>
                <w:rFonts w:cs="Tahoma"/>
                <w:color w:val="000000"/>
                <w:szCs w:val="18"/>
              </w:rPr>
              <w:t>Gravità B</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BD7CEA" w:rsidRDefault="004640EC" w:rsidP="00136585">
            <w:pPr>
              <w:rPr>
                <w:rFonts w:cs="Tahoma"/>
                <w:color w:val="000000"/>
                <w:szCs w:val="18"/>
              </w:rPr>
            </w:pPr>
            <w:r w:rsidRPr="00BD7CEA">
              <w:rPr>
                <w:rFonts w:cs="Tahoma"/>
                <w:color w:val="000000"/>
                <w:szCs w:val="18"/>
              </w:rPr>
              <w:t>4 Ore Lavorative</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BD7CEA" w:rsidRDefault="004640EC" w:rsidP="00136585">
            <w:pPr>
              <w:rPr>
                <w:rFonts w:cs="Tahoma"/>
                <w:color w:val="000000"/>
                <w:szCs w:val="18"/>
              </w:rPr>
            </w:pPr>
            <w:r w:rsidRPr="00BD7CEA">
              <w:rPr>
                <w:rFonts w:cs="Tahoma"/>
                <w:color w:val="000000"/>
                <w:szCs w:val="18"/>
              </w:rPr>
              <w:t>La società segnala un problema più grave che provoca un effettivo malfunzionamento delle applicazioni produttive.</w:t>
            </w:r>
          </w:p>
        </w:tc>
      </w:tr>
      <w:tr w:rsidR="004640EC" w:rsidRPr="00BD7CEA"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BD7CEA" w:rsidRDefault="004640EC" w:rsidP="00136585">
            <w:pPr>
              <w:rPr>
                <w:rFonts w:cs="Tahoma"/>
                <w:color w:val="000000"/>
                <w:szCs w:val="18"/>
              </w:rPr>
            </w:pPr>
            <w:r w:rsidRPr="00BD7CEA">
              <w:rPr>
                <w:rFonts w:cs="Tahoma"/>
                <w:color w:val="000000"/>
                <w:szCs w:val="18"/>
              </w:rPr>
              <w:t>Gravità C</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BD7CEA" w:rsidRDefault="004640EC" w:rsidP="00136585">
            <w:pPr>
              <w:rPr>
                <w:rFonts w:cs="Tahoma"/>
                <w:color w:val="000000"/>
                <w:szCs w:val="18"/>
              </w:rPr>
            </w:pPr>
            <w:r w:rsidRPr="00BD7CEA">
              <w:rPr>
                <w:rFonts w:cs="Tahoma"/>
                <w:color w:val="000000"/>
                <w:szCs w:val="18"/>
              </w:rPr>
              <w:t>1 Giorno Lavorativo</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BD7CEA" w:rsidRDefault="004640EC" w:rsidP="00136585">
            <w:pPr>
              <w:rPr>
                <w:rFonts w:cs="Tahoma"/>
                <w:color w:val="000000"/>
                <w:szCs w:val="18"/>
              </w:rPr>
            </w:pPr>
            <w:r w:rsidRPr="00BD7CEA">
              <w:rPr>
                <w:rFonts w:cs="Tahoma"/>
                <w:color w:val="000000"/>
                <w:szCs w:val="18"/>
              </w:rPr>
              <w:t>La società segnala problemi non critici, ad esempio questioni riguardanti la produzione o lo sviluppo generale.</w:t>
            </w:r>
          </w:p>
        </w:tc>
      </w:tr>
      <w:tr w:rsidR="004640EC" w:rsidRPr="00BD7CEA"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BD7CEA" w:rsidRDefault="004640EC" w:rsidP="00136585">
            <w:pPr>
              <w:rPr>
                <w:rFonts w:cs="Tahoma"/>
                <w:color w:val="000000"/>
                <w:szCs w:val="18"/>
              </w:rPr>
            </w:pPr>
            <w:r w:rsidRPr="00BD7CEA">
              <w:rPr>
                <w:rFonts w:cs="Tahoma"/>
                <w:color w:val="000000"/>
                <w:szCs w:val="18"/>
              </w:rPr>
              <w:t>Gravità D</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BD7CEA" w:rsidRDefault="004640EC" w:rsidP="00136585">
            <w:pPr>
              <w:rPr>
                <w:rFonts w:cs="Tahoma"/>
                <w:color w:val="000000"/>
                <w:szCs w:val="18"/>
              </w:rPr>
            </w:pPr>
            <w:r w:rsidRPr="00BD7CEA">
              <w:rPr>
                <w:rFonts w:cs="Tahoma"/>
                <w:color w:val="000000"/>
                <w:szCs w:val="18"/>
              </w:rPr>
              <w:t>3 Giorni Lavorativi</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BD7CEA" w:rsidRDefault="004640EC" w:rsidP="00974F82">
            <w:pPr>
              <w:rPr>
                <w:rFonts w:cs="Tahoma"/>
                <w:color w:val="000000"/>
                <w:szCs w:val="18"/>
              </w:rPr>
            </w:pPr>
            <w:r w:rsidRPr="00BD7CEA">
              <w:rPr>
                <w:rFonts w:cs="Tahoma"/>
                <w:color w:val="000000"/>
                <w:szCs w:val="18"/>
              </w:rPr>
              <w:t>La società fornisce commenti riguardo a problemi con le mappe, le</w:t>
            </w:r>
            <w:r w:rsidR="00974F82" w:rsidRPr="00BD7CEA">
              <w:rPr>
                <w:rFonts w:cs="Tahoma"/>
                <w:color w:val="000000"/>
                <w:szCs w:val="18"/>
              </w:rPr>
              <w:t> </w:t>
            </w:r>
            <w:r w:rsidRPr="00BD7CEA">
              <w:rPr>
                <w:rFonts w:cs="Tahoma"/>
                <w:color w:val="000000"/>
                <w:szCs w:val="18"/>
              </w:rPr>
              <w:t>indicazioni stradali o il geocoding.</w:t>
            </w:r>
          </w:p>
        </w:tc>
      </w:tr>
    </w:tbl>
    <w:p w:rsidR="004640EC" w:rsidRPr="00BD7CEA" w:rsidRDefault="004640EC" w:rsidP="004640EC">
      <w:pPr>
        <w:ind w:left="720"/>
      </w:pPr>
    </w:p>
    <w:p w:rsidR="004640EC" w:rsidRPr="00BD7CEA" w:rsidRDefault="004640EC" w:rsidP="004640EC">
      <w:pPr>
        <w:ind w:left="720"/>
      </w:pPr>
      <w:r w:rsidRPr="00BD7CEA">
        <w:rPr>
          <w:rFonts w:cs="Tahoma"/>
          <w:b/>
          <w:bCs/>
          <w:color w:val="000000"/>
          <w:szCs w:val="18"/>
        </w:rPr>
        <w:t>Informazioni di Contatto 24x7 per il Supporto di Emergenza in caso di Interruzione di</w:t>
      </w:r>
      <w:r w:rsidR="00DF595B">
        <w:rPr>
          <w:rFonts w:cs="Tahoma"/>
          <w:b/>
          <w:bCs/>
          <w:color w:val="000000"/>
          <w:szCs w:val="18"/>
        </w:rPr>
        <w:t> </w:t>
      </w:r>
      <w:r w:rsidRPr="00BD7CEA">
        <w:rPr>
          <w:rFonts w:cs="Tahoma"/>
          <w:b/>
          <w:bCs/>
          <w:color w:val="000000"/>
          <w:szCs w:val="18"/>
        </w:rPr>
        <w:t>Bing</w:t>
      </w:r>
      <w:r w:rsidR="00DF595B">
        <w:rPr>
          <w:rFonts w:cs="Tahoma"/>
          <w:b/>
          <w:bCs/>
          <w:color w:val="000000"/>
          <w:szCs w:val="18"/>
        </w:rPr>
        <w:t> </w:t>
      </w:r>
      <w:r w:rsidRPr="00BD7CEA">
        <w:rPr>
          <w:rFonts w:cs="Tahoma"/>
          <w:b/>
          <w:bCs/>
          <w:color w:val="000000"/>
          <w:szCs w:val="18"/>
        </w:rPr>
        <w:t xml:space="preserve">Maps: </w:t>
      </w:r>
    </w:p>
    <w:p w:rsidR="004640EC" w:rsidRPr="00BD7CEA" w:rsidRDefault="004640EC" w:rsidP="004640EC">
      <w:pPr>
        <w:ind w:left="720"/>
      </w:pPr>
    </w:p>
    <w:p w:rsidR="004640EC" w:rsidRPr="00BD7CEA" w:rsidRDefault="004640EC" w:rsidP="004640EC">
      <w:pPr>
        <w:ind w:left="720"/>
      </w:pPr>
      <w:r w:rsidRPr="00BD7CEA">
        <w:rPr>
          <w:rFonts w:cs="Tahoma"/>
          <w:szCs w:val="18"/>
        </w:rPr>
        <w:t>Telefono:</w:t>
      </w:r>
    </w:p>
    <w:p w:rsidR="004640EC" w:rsidRPr="00BD7CEA" w:rsidRDefault="004640EC" w:rsidP="004640EC">
      <w:pPr>
        <w:ind w:left="720"/>
      </w:pPr>
      <w:r w:rsidRPr="00BD7CEA">
        <w:rPr>
          <w:rFonts w:cs="Tahoma"/>
          <w:color w:val="000000"/>
          <w:szCs w:val="18"/>
        </w:rPr>
        <w:t>+1 (800) 552-8872 (se all</w:t>
      </w:r>
      <w:r w:rsidR="007A1415" w:rsidRPr="00BD7CEA">
        <w:rPr>
          <w:rFonts w:cs="Tahoma"/>
          <w:color w:val="000000"/>
          <w:szCs w:val="18"/>
        </w:rPr>
        <w:t>’</w:t>
      </w:r>
      <w:r w:rsidRPr="00BD7CEA">
        <w:rPr>
          <w:rFonts w:cs="Tahoma"/>
          <w:color w:val="000000"/>
          <w:szCs w:val="18"/>
        </w:rPr>
        <w:t xml:space="preserve">interno degli Stati Uniti e del Canada) </w:t>
      </w:r>
    </w:p>
    <w:p w:rsidR="004640EC" w:rsidRPr="00BD7CEA" w:rsidRDefault="004640EC" w:rsidP="004640EC">
      <w:pPr>
        <w:ind w:left="720"/>
      </w:pPr>
      <w:r w:rsidRPr="00BD7CEA">
        <w:rPr>
          <w:rFonts w:cs="Tahoma"/>
          <w:color w:val="000000"/>
          <w:szCs w:val="18"/>
        </w:rPr>
        <w:t xml:space="preserve">+1 (425) 705-2737 (se al di fuori degli Stati Uniti e del Canada) </w:t>
      </w:r>
    </w:p>
    <w:p w:rsidR="004640EC" w:rsidRPr="00BD7CEA" w:rsidRDefault="004640EC" w:rsidP="004640EC">
      <w:pPr>
        <w:ind w:left="720"/>
      </w:pPr>
    </w:p>
    <w:p w:rsidR="004640EC" w:rsidRPr="00BD7CEA" w:rsidRDefault="004640EC" w:rsidP="004640EC">
      <w:pPr>
        <w:ind w:left="720"/>
      </w:pPr>
      <w:r w:rsidRPr="00BD7CEA">
        <w:rPr>
          <w:rFonts w:cs="Tahoma"/>
          <w:color w:val="000000"/>
          <w:szCs w:val="18"/>
        </w:rPr>
        <w:t>Comunicazione Importante: il supporto tecnico in caso di emergenza 24x7 (al di fuori dell</w:t>
      </w:r>
      <w:r w:rsidR="007A1415" w:rsidRPr="00BD7CEA">
        <w:rPr>
          <w:rFonts w:cs="Tahoma"/>
          <w:color w:val="000000"/>
          <w:szCs w:val="18"/>
        </w:rPr>
        <w:t>’</w:t>
      </w:r>
      <w:r w:rsidRPr="00BD7CEA">
        <w:rPr>
          <w:rFonts w:cs="Tahoma"/>
          <w:color w:val="000000"/>
          <w:szCs w:val="18"/>
        </w:rPr>
        <w:t>orario) è</w:t>
      </w:r>
      <w:r w:rsidR="00974F82" w:rsidRPr="00BD7CEA">
        <w:rPr>
          <w:rFonts w:cs="Tahoma"/>
          <w:color w:val="000000"/>
          <w:szCs w:val="18"/>
        </w:rPr>
        <w:t> </w:t>
      </w:r>
      <w:r w:rsidRPr="00BD7CEA">
        <w:rPr>
          <w:rFonts w:cs="Tahoma"/>
          <w:color w:val="000000"/>
          <w:szCs w:val="18"/>
        </w:rPr>
        <w:t>disponibile solo per i problemi che rientrano nel Livello di Gravità A (interruzione dei Servizi o deterioramento dei Servizi con conseguenze sulle applicazioni produttive della Società). Il giorno lavorativo successivo Microsoft si farà carico di tutti gli altri problemi che si verificano al di fuori dell</w:t>
      </w:r>
      <w:r w:rsidR="007A1415" w:rsidRPr="00BD7CEA">
        <w:rPr>
          <w:rFonts w:cs="Tahoma"/>
          <w:color w:val="000000"/>
          <w:szCs w:val="18"/>
        </w:rPr>
        <w:t>’</w:t>
      </w:r>
      <w:r w:rsidRPr="00BD7CEA">
        <w:rPr>
          <w:rFonts w:cs="Tahoma"/>
          <w:color w:val="000000"/>
          <w:szCs w:val="18"/>
        </w:rPr>
        <w:t>orario e che non rientrano nel Livello di Gravità A, sulla base del Tempo di Risposta Prefissato delineato sopra. Le richieste di</w:t>
      </w:r>
      <w:r w:rsidR="00974F82" w:rsidRPr="00BD7CEA">
        <w:rPr>
          <w:rFonts w:cs="Tahoma"/>
          <w:color w:val="000000"/>
          <w:szCs w:val="18"/>
        </w:rPr>
        <w:t> </w:t>
      </w:r>
      <w:r w:rsidRPr="00BD7CEA">
        <w:rPr>
          <w:rFonts w:cs="Tahoma"/>
          <w:color w:val="000000"/>
          <w:szCs w:val="18"/>
        </w:rPr>
        <w:t>assistenza presentate tramite posta elettronica (</w:t>
      </w:r>
      <w:hyperlink r:id="rId50" w:history="1">
        <w:r w:rsidRPr="00BD7CEA">
          <w:rPr>
            <w:rStyle w:val="Hyperlink"/>
            <w:rFonts w:cs="Tahoma"/>
            <w:szCs w:val="18"/>
          </w:rPr>
          <w:t>bmesupp@microsoft.com</w:t>
        </w:r>
      </w:hyperlink>
      <w:r w:rsidRPr="00BD7CEA">
        <w:rPr>
          <w:rFonts w:cs="Tahoma"/>
          <w:color w:val="000000"/>
          <w:szCs w:val="18"/>
        </w:rPr>
        <w:t xml:space="preserve">) o modulo Web non vengono monitorate al di fuori del normale orario di lavoro del Team di Supporto di Bing Maps. </w:t>
      </w:r>
    </w:p>
    <w:p w:rsidR="004640EC" w:rsidRPr="00BD7CEA" w:rsidRDefault="004640EC" w:rsidP="004640EC">
      <w:pPr>
        <w:ind w:left="720"/>
      </w:pPr>
    </w:p>
    <w:p w:rsidR="004640EC" w:rsidRPr="00BD7CEA" w:rsidRDefault="004640EC" w:rsidP="004640EC">
      <w:pPr>
        <w:ind w:left="720"/>
      </w:pPr>
      <w:r w:rsidRPr="00BD7CEA">
        <w:rPr>
          <w:rFonts w:cs="Tahoma"/>
          <w:b/>
          <w:bCs/>
          <w:color w:val="000000"/>
          <w:szCs w:val="18"/>
        </w:rPr>
        <w:t>Livelli di Gravità al di fuori dell</w:t>
      </w:r>
      <w:r w:rsidR="007A1415" w:rsidRPr="00BD7CEA">
        <w:rPr>
          <w:rFonts w:cs="Tahoma"/>
          <w:b/>
          <w:bCs/>
          <w:color w:val="000000"/>
          <w:szCs w:val="18"/>
        </w:rPr>
        <w:t>’</w:t>
      </w:r>
      <w:r w:rsidRPr="00BD7CEA">
        <w:rPr>
          <w:rFonts w:cs="Tahoma"/>
          <w:b/>
          <w:bCs/>
          <w:color w:val="000000"/>
          <w:szCs w:val="18"/>
        </w:rPr>
        <w:t>Orario di Emergenza e Tempi di Risposta Prefissati:</w:t>
      </w:r>
    </w:p>
    <w:p w:rsidR="004640EC" w:rsidRPr="00BD7CEA" w:rsidRDefault="004640EC" w:rsidP="004640EC">
      <w:pPr>
        <w:ind w:left="720"/>
      </w:pPr>
    </w:p>
    <w:tbl>
      <w:tblPr>
        <w:tblW w:w="9225" w:type="dxa"/>
        <w:tblInd w:w="738" w:type="dxa"/>
        <w:tblCellMar>
          <w:left w:w="0" w:type="dxa"/>
          <w:right w:w="0" w:type="dxa"/>
        </w:tblCellMar>
        <w:tblLook w:val="04A0" w:firstRow="1" w:lastRow="0" w:firstColumn="1" w:lastColumn="0" w:noHBand="0" w:noVBand="1"/>
      </w:tblPr>
      <w:tblGrid>
        <w:gridCol w:w="1577"/>
        <w:gridCol w:w="2053"/>
        <w:gridCol w:w="5595"/>
      </w:tblGrid>
      <w:tr w:rsidR="004640EC" w:rsidRPr="00BD7CEA" w:rsidTr="00136585">
        <w:trPr>
          <w:trHeight w:val="549"/>
        </w:trPr>
        <w:tc>
          <w:tcPr>
            <w:tcW w:w="1577"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BD7CEA" w:rsidRDefault="004640EC" w:rsidP="00136585">
            <w:pPr>
              <w:rPr>
                <w:rFonts w:cs="Tahoma"/>
                <w:color w:val="000000"/>
                <w:szCs w:val="18"/>
              </w:rPr>
            </w:pPr>
            <w:r w:rsidRPr="00BD7CEA">
              <w:rPr>
                <w:rFonts w:cs="Tahoma"/>
                <w:b/>
                <w:bCs/>
                <w:color w:val="000000"/>
                <w:szCs w:val="18"/>
              </w:rPr>
              <w:t>Livello di Gravità del Problema</w:t>
            </w:r>
          </w:p>
        </w:tc>
        <w:tc>
          <w:tcPr>
            <w:tcW w:w="2053"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BD7CEA" w:rsidRDefault="004640EC" w:rsidP="00136585">
            <w:pPr>
              <w:rPr>
                <w:rFonts w:cs="Tahoma"/>
                <w:color w:val="000000"/>
                <w:szCs w:val="18"/>
              </w:rPr>
            </w:pPr>
            <w:r w:rsidRPr="00BD7CEA">
              <w:rPr>
                <w:rFonts w:cs="Tahoma"/>
                <w:b/>
                <w:bCs/>
                <w:color w:val="000000"/>
                <w:szCs w:val="18"/>
              </w:rPr>
              <w:t>Tempo di Risposta Prefissato</w:t>
            </w:r>
          </w:p>
        </w:tc>
        <w:tc>
          <w:tcPr>
            <w:tcW w:w="5595"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BD7CEA" w:rsidRDefault="004640EC" w:rsidP="00136585">
            <w:pPr>
              <w:rPr>
                <w:rFonts w:cs="Tahoma"/>
                <w:color w:val="000000"/>
                <w:szCs w:val="18"/>
              </w:rPr>
            </w:pPr>
            <w:r w:rsidRPr="00BD7CEA">
              <w:rPr>
                <w:rFonts w:cs="Tahoma"/>
                <w:b/>
                <w:bCs/>
                <w:color w:val="000000"/>
                <w:szCs w:val="18"/>
              </w:rPr>
              <w:t>Descrizione dei Problemi del Servizio</w:t>
            </w:r>
          </w:p>
        </w:tc>
      </w:tr>
      <w:tr w:rsidR="004640EC" w:rsidRPr="00BD7CEA" w:rsidTr="00136585">
        <w:trPr>
          <w:trHeight w:val="549"/>
        </w:trPr>
        <w:tc>
          <w:tcPr>
            <w:tcW w:w="15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BD7CEA" w:rsidRDefault="004640EC" w:rsidP="00136585">
            <w:pPr>
              <w:rPr>
                <w:rFonts w:cs="Tahoma"/>
                <w:color w:val="000000"/>
                <w:szCs w:val="18"/>
              </w:rPr>
            </w:pPr>
            <w:r w:rsidRPr="00BD7CEA">
              <w:rPr>
                <w:rFonts w:cs="Tahoma"/>
                <w:color w:val="000000"/>
                <w:szCs w:val="18"/>
              </w:rPr>
              <w:t>Gravità A</w:t>
            </w:r>
          </w:p>
        </w:tc>
        <w:tc>
          <w:tcPr>
            <w:tcW w:w="205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BD7CEA" w:rsidRDefault="004640EC" w:rsidP="00136585">
            <w:pPr>
              <w:rPr>
                <w:rFonts w:cs="Tahoma"/>
                <w:color w:val="000000"/>
                <w:szCs w:val="18"/>
              </w:rPr>
            </w:pPr>
            <w:r w:rsidRPr="00BD7CEA">
              <w:rPr>
                <w:rFonts w:cs="Tahoma"/>
                <w:color w:val="000000"/>
                <w:szCs w:val="18"/>
              </w:rPr>
              <w:t>1 Ora Lavorativa</w:t>
            </w:r>
          </w:p>
        </w:tc>
        <w:tc>
          <w:tcPr>
            <w:tcW w:w="55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BD7CEA" w:rsidRDefault="004640EC" w:rsidP="00136585">
            <w:pPr>
              <w:rPr>
                <w:rFonts w:cs="Tahoma"/>
                <w:color w:val="000000"/>
                <w:szCs w:val="18"/>
              </w:rPr>
            </w:pPr>
            <w:r w:rsidRPr="00BD7CEA">
              <w:rPr>
                <w:rFonts w:cs="Tahoma"/>
                <w:color w:val="000000"/>
                <w:szCs w:val="18"/>
              </w:rPr>
              <w:t>La società segnala un</w:t>
            </w:r>
            <w:r w:rsidR="007A1415" w:rsidRPr="00BD7CEA">
              <w:rPr>
                <w:rFonts w:cs="Tahoma"/>
                <w:color w:val="000000"/>
                <w:szCs w:val="18"/>
              </w:rPr>
              <w:t>’</w:t>
            </w:r>
            <w:r w:rsidRPr="00BD7CEA">
              <w:rPr>
                <w:rFonts w:cs="Tahoma"/>
                <w:color w:val="000000"/>
                <w:szCs w:val="18"/>
              </w:rPr>
              <w:t>interruzione dei Servizi o altro problema critico per le applicazioni produttive.</w:t>
            </w:r>
          </w:p>
        </w:tc>
      </w:tr>
      <w:bookmarkEnd w:id="1164"/>
    </w:tbl>
    <w:p w:rsidR="00974F82" w:rsidRPr="00BD7CEA" w:rsidRDefault="00974F82" w:rsidP="00676723">
      <w:pPr>
        <w:pStyle w:val="EndnoteText"/>
        <w:ind w:left="0"/>
      </w:pPr>
    </w:p>
    <w:p w:rsidR="00974F82" w:rsidRPr="00BD7CEA" w:rsidRDefault="00974F82" w:rsidP="00676723">
      <w:pPr>
        <w:pStyle w:val="EndnoteText"/>
        <w:ind w:left="0"/>
      </w:pPr>
    </w:p>
    <w:p w:rsidR="008233B3" w:rsidRPr="00BD7CEA" w:rsidRDefault="004668D9" w:rsidP="008233B3">
      <w:pPr>
        <w:pStyle w:val="Heading3"/>
      </w:pPr>
      <w:bookmarkStart w:id="1169" w:name="_29_BizTalk®_Server"/>
      <w:bookmarkStart w:id="1170" w:name="_32_BizTalk_Server®"/>
      <w:bookmarkStart w:id="1171" w:name="_Toc353376070"/>
      <w:bookmarkEnd w:id="1169"/>
      <w:bookmarkEnd w:id="1170"/>
      <w:r w:rsidRPr="00BD7CEA">
        <w:rPr>
          <w:rFonts w:ascii="Tahoma" w:hAnsi="Tahoma" w:cs="Tahoma"/>
          <w:caps/>
          <w:color w:val="F66400"/>
          <w:sz w:val="22"/>
          <w:vertAlign w:val="superscript"/>
        </w:rPr>
        <w:lastRenderedPageBreak/>
        <w:t xml:space="preserve">32 </w:t>
      </w:r>
      <w:r w:rsidRPr="00BD7CEA">
        <w:rPr>
          <w:rFonts w:ascii="Tahoma" w:hAnsi="Tahoma" w:cs="Tahoma"/>
          <w:color w:val="F66400"/>
          <w:sz w:val="22"/>
        </w:rPr>
        <w:t>BizTalk Server</w:t>
      </w:r>
      <w:r w:rsidR="00700C4B" w:rsidRPr="00BD7CEA">
        <w:rPr>
          <w:rFonts w:ascii="Tahoma" w:hAnsi="Tahoma" w:cs="Tahoma"/>
          <w:color w:val="F66400"/>
          <w:sz w:val="22"/>
          <w:vertAlign w:val="superscript"/>
        </w:rPr>
        <w:t>®</w:t>
      </w:r>
      <w:r w:rsidRPr="00BD7CEA">
        <w:rPr>
          <w:rFonts w:ascii="Tahoma" w:hAnsi="Tahoma" w:cs="Tahoma"/>
          <w:color w:val="F66400"/>
          <w:sz w:val="22"/>
        </w:rPr>
        <w:t xml:space="preserve"> 2013 Branch</w:t>
      </w:r>
      <w:bookmarkEnd w:id="1171"/>
    </w:p>
    <w:p w:rsidR="008233B3" w:rsidRPr="00BD7CEA" w:rsidRDefault="008233B3" w:rsidP="008233B3"/>
    <w:p w:rsidR="008233B3" w:rsidRPr="00BD7CEA" w:rsidRDefault="008233B3" w:rsidP="008233B3">
      <w:pPr>
        <w:spacing w:after="60"/>
        <w:ind w:left="720"/>
      </w:pPr>
      <w:r w:rsidRPr="00BD7CEA">
        <w:rPr>
          <w:rFonts w:eastAsia="Calibri" w:cs="Tahoma"/>
          <w:b/>
          <w:color w:val="000000"/>
          <w:szCs w:val="18"/>
        </w:rPr>
        <w:t>Concessioni di Licenza Associate alla Variazione del Modello di Licenza</w:t>
      </w:r>
    </w:p>
    <w:p w:rsidR="008233B3" w:rsidRPr="00BD7CEA" w:rsidRDefault="008233B3" w:rsidP="008233B3">
      <w:pPr>
        <w:ind w:left="720"/>
      </w:pPr>
      <w:r w:rsidRPr="00BD7CEA">
        <w:rPr>
          <w:rFonts w:eastAsia="Calibri" w:cs="Tahoma"/>
          <w:color w:val="000000"/>
          <w:szCs w:val="18"/>
        </w:rPr>
        <w:t>BizTalk Server 2010 sarà l</w:t>
      </w:r>
      <w:r w:rsidR="007A1415" w:rsidRPr="00BD7CEA">
        <w:rPr>
          <w:rFonts w:eastAsia="Calibri" w:cs="Tahoma"/>
          <w:color w:val="000000"/>
          <w:szCs w:val="18"/>
        </w:rPr>
        <w:t>’</w:t>
      </w:r>
      <w:r w:rsidRPr="00BD7CEA">
        <w:rPr>
          <w:rFonts w:eastAsia="Calibri" w:cs="Tahoma"/>
          <w:color w:val="000000"/>
          <w:szCs w:val="18"/>
        </w:rPr>
        <w:t>ultima versione di BizTalk Server concessa in licenza ai sensi del modello di licenza per processore.</w:t>
      </w:r>
      <w:r w:rsidR="008D782D" w:rsidRPr="00BD7CEA">
        <w:rPr>
          <w:rFonts w:eastAsia="Calibri" w:cs="Tahoma"/>
          <w:color w:val="000000"/>
          <w:szCs w:val="18"/>
        </w:rPr>
        <w:t xml:space="preserve"> </w:t>
      </w:r>
      <w:r w:rsidRPr="00BD7CEA">
        <w:rPr>
          <w:rFonts w:eastAsia="Calibri" w:cs="Tahoma"/>
          <w:color w:val="000000"/>
          <w:szCs w:val="18"/>
        </w:rPr>
        <w:t xml:space="preserve">In via eccezionale, alle società con contratti multilicenza e copertura Software Assurance attiva per le licenze per processore per BizTalk Server 2010 Branch in data 1 aprile 2013 (“licenze qualificanti”) vengono offerte le opzioni che seguono. Le licenze per processore per BizTalk Server 2010 Branch </w:t>
      </w:r>
      <w:r w:rsidRPr="00BD7CEA">
        <w:rPr>
          <w:rFonts w:cs="Tahoma"/>
          <w:bCs/>
          <w:color w:val="000000"/>
          <w:szCs w:val="18"/>
        </w:rPr>
        <w:t>acquistate successivamente nello stesso periodo di validità dell</w:t>
      </w:r>
      <w:r w:rsidR="007A1415" w:rsidRPr="00BD7CEA">
        <w:rPr>
          <w:rFonts w:cs="Tahoma"/>
          <w:bCs/>
          <w:color w:val="000000"/>
          <w:szCs w:val="18"/>
        </w:rPr>
        <w:t>’</w:t>
      </w:r>
      <w:r w:rsidRPr="00BD7CEA">
        <w:rPr>
          <w:rFonts w:cs="Tahoma"/>
          <w:bCs/>
          <w:color w:val="000000"/>
          <w:szCs w:val="18"/>
        </w:rPr>
        <w:t>iscrizione nell</w:t>
      </w:r>
      <w:r w:rsidR="007A1415" w:rsidRPr="00BD7CEA">
        <w:rPr>
          <w:rFonts w:cs="Tahoma"/>
          <w:bCs/>
          <w:color w:val="000000"/>
          <w:szCs w:val="18"/>
        </w:rPr>
        <w:t>’</w:t>
      </w:r>
      <w:r w:rsidRPr="00BD7CEA">
        <w:rPr>
          <w:rFonts w:cs="Tahoma"/>
          <w:bCs/>
          <w:color w:val="000000"/>
          <w:szCs w:val="18"/>
        </w:rPr>
        <w:t>ambito di una procedura pianificata di true-up della società Enterprise, Enterprise Subscription, Open Value Subscription o</w:t>
      </w:r>
      <w:r w:rsidR="00974F82" w:rsidRPr="00BD7CEA">
        <w:rPr>
          <w:rFonts w:cs="Tahoma"/>
          <w:bCs/>
          <w:color w:val="000000"/>
          <w:szCs w:val="18"/>
        </w:rPr>
        <w:t> </w:t>
      </w:r>
      <w:r w:rsidRPr="00BD7CEA">
        <w:rPr>
          <w:rFonts w:cs="Tahoma"/>
          <w:bCs/>
          <w:color w:val="000000"/>
          <w:szCs w:val="18"/>
        </w:rPr>
        <w:t>EES sono anch</w:t>
      </w:r>
      <w:r w:rsidR="007A1415" w:rsidRPr="00BD7CEA">
        <w:rPr>
          <w:rFonts w:cs="Tahoma"/>
          <w:bCs/>
          <w:color w:val="000000"/>
          <w:szCs w:val="18"/>
        </w:rPr>
        <w:t>’</w:t>
      </w:r>
      <w:r w:rsidRPr="00BD7CEA">
        <w:rPr>
          <w:rFonts w:cs="Tahoma"/>
          <w:bCs/>
          <w:color w:val="000000"/>
          <w:szCs w:val="18"/>
        </w:rPr>
        <w:t>esse licenze qualificanti per gli scopi previsti da tali opzioni.</w:t>
      </w:r>
      <w:r w:rsidR="008D782D" w:rsidRPr="00BD7CEA">
        <w:rPr>
          <w:rFonts w:cs="Tahoma"/>
          <w:bCs/>
          <w:color w:val="000000"/>
          <w:szCs w:val="18"/>
        </w:rPr>
        <w:t xml:space="preserve"> </w:t>
      </w:r>
      <w:r w:rsidRPr="00BD7CEA">
        <w:rPr>
          <w:rFonts w:cs="Tahoma"/>
          <w:bCs/>
          <w:color w:val="000000"/>
          <w:szCs w:val="18"/>
        </w:rPr>
        <w:t>Le licenze acquistate in un periodo di validità dell</w:t>
      </w:r>
      <w:r w:rsidR="007A1415" w:rsidRPr="00BD7CEA">
        <w:rPr>
          <w:rFonts w:cs="Tahoma"/>
          <w:bCs/>
          <w:color w:val="000000"/>
          <w:szCs w:val="18"/>
        </w:rPr>
        <w:t>’</w:t>
      </w:r>
      <w:r w:rsidRPr="00BD7CEA">
        <w:rPr>
          <w:rFonts w:cs="Tahoma"/>
          <w:bCs/>
          <w:color w:val="000000"/>
          <w:szCs w:val="18"/>
        </w:rPr>
        <w:t>iscrizione successivo, ai sensi di un contratto specifico o di un</w:t>
      </w:r>
      <w:r w:rsidR="007A1415" w:rsidRPr="00BD7CEA">
        <w:rPr>
          <w:rFonts w:cs="Tahoma"/>
          <w:bCs/>
          <w:color w:val="000000"/>
          <w:szCs w:val="18"/>
        </w:rPr>
        <w:t>’</w:t>
      </w:r>
      <w:r w:rsidRPr="00BD7CEA">
        <w:rPr>
          <w:rFonts w:cs="Tahoma"/>
          <w:bCs/>
          <w:color w:val="000000"/>
          <w:szCs w:val="18"/>
        </w:rPr>
        <w:t>iscrizione con la data di</w:t>
      </w:r>
      <w:r w:rsidR="00DC6528">
        <w:rPr>
          <w:rFonts w:cs="Tahoma"/>
          <w:bCs/>
          <w:color w:val="000000"/>
          <w:szCs w:val="18"/>
        </w:rPr>
        <w:t> </w:t>
      </w:r>
      <w:r w:rsidRPr="00BD7CEA">
        <w:rPr>
          <w:rFonts w:cs="Tahoma"/>
          <w:bCs/>
          <w:color w:val="000000"/>
          <w:szCs w:val="18"/>
        </w:rPr>
        <w:t>entrata in vigore posteriore al 1 aprile 2013, non sono licenze qualificanti.</w:t>
      </w:r>
    </w:p>
    <w:p w:rsidR="008233B3" w:rsidRPr="00BD7CEA" w:rsidRDefault="008233B3" w:rsidP="008233B3">
      <w:pPr>
        <w:ind w:left="720"/>
      </w:pPr>
    </w:p>
    <w:p w:rsidR="008233B3" w:rsidRPr="00BD7CEA" w:rsidRDefault="008233B3" w:rsidP="008233B3">
      <w:pPr>
        <w:spacing w:after="60"/>
        <w:ind w:left="720"/>
      </w:pPr>
      <w:r w:rsidRPr="00BD7CEA">
        <w:rPr>
          <w:rFonts w:eastAsia="Calibri" w:cs="Tahoma"/>
          <w:b/>
          <w:color w:val="000000"/>
          <w:szCs w:val="18"/>
        </w:rPr>
        <w:t>Periodo di Validità Corrente</w:t>
      </w:r>
    </w:p>
    <w:p w:rsidR="008233B3" w:rsidRPr="00BD7CEA" w:rsidRDefault="008233B3" w:rsidP="008233B3">
      <w:pPr>
        <w:ind w:left="720"/>
      </w:pPr>
      <w:r w:rsidRPr="00BD7CEA">
        <w:rPr>
          <w:rFonts w:eastAsia="Calibri" w:cs="Tahoma"/>
          <w:color w:val="000000"/>
          <w:szCs w:val="18"/>
        </w:rPr>
        <w:t>Durante il periodo di validità corrente della copertura Software Assurance a decorrere dal 1 aprile 2013 le società (incluse le società titolari di contratti “subscription”) potranno, ai sensi di una licenza qualificante, effettuare l</w:t>
      </w:r>
      <w:r w:rsidR="007A1415" w:rsidRPr="00BD7CEA">
        <w:rPr>
          <w:rFonts w:eastAsia="Calibri" w:cs="Tahoma"/>
          <w:color w:val="000000"/>
          <w:szCs w:val="18"/>
        </w:rPr>
        <w:t>’</w:t>
      </w:r>
      <w:r w:rsidRPr="00BD7CEA">
        <w:rPr>
          <w:rFonts w:eastAsia="Calibri" w:cs="Tahoma"/>
          <w:color w:val="000000"/>
          <w:szCs w:val="18"/>
        </w:rPr>
        <w:t>aggiornamento al software BizTalk Server 2013 Branch e utilizzarlo al posto di BizTalk Server</w:t>
      </w:r>
      <w:r w:rsidR="00DC6528">
        <w:rPr>
          <w:rFonts w:eastAsia="Calibri" w:cs="Tahoma"/>
          <w:color w:val="000000"/>
          <w:szCs w:val="18"/>
        </w:rPr>
        <w:t> </w:t>
      </w:r>
      <w:r w:rsidRPr="00BD7CEA">
        <w:rPr>
          <w:rFonts w:eastAsia="Calibri" w:cs="Tahoma"/>
          <w:color w:val="000000"/>
          <w:szCs w:val="18"/>
        </w:rPr>
        <w:t xml:space="preserve">2010 Branch in conformità ai diritti di utilizzo del prodotto previsti dalla licenza per processore </w:t>
      </w:r>
      <w:r w:rsidR="00DC6528">
        <w:rPr>
          <w:rFonts w:eastAsia="Calibri" w:cs="Tahoma"/>
          <w:color w:val="000000"/>
          <w:szCs w:val="18"/>
        </w:rPr>
        <w:br/>
      </w:r>
      <w:r w:rsidRPr="00BD7CEA">
        <w:rPr>
          <w:rFonts w:eastAsia="Calibri" w:cs="Tahoma"/>
          <w:color w:val="000000"/>
          <w:szCs w:val="18"/>
        </w:rPr>
        <w:t xml:space="preserve">BizTalk Server 2010 Branch (come indicato nei Diritti di Utilizzo del Prodotto del mese di gennaio 2013). </w:t>
      </w:r>
    </w:p>
    <w:p w:rsidR="008233B3" w:rsidRPr="00BD7CEA" w:rsidRDefault="008233B3" w:rsidP="008233B3">
      <w:pPr>
        <w:ind w:left="720"/>
      </w:pPr>
    </w:p>
    <w:p w:rsidR="008233B3" w:rsidRPr="00BD7CEA" w:rsidRDefault="008233B3" w:rsidP="008233B3">
      <w:pPr>
        <w:spacing w:after="60"/>
        <w:ind w:left="720"/>
      </w:pPr>
      <w:r w:rsidRPr="00BD7CEA">
        <w:rPr>
          <w:rFonts w:eastAsia="Calibri" w:cs="Tahoma"/>
          <w:b/>
          <w:color w:val="000000"/>
          <w:szCs w:val="18"/>
        </w:rPr>
        <w:t>Primo Periodo di Rinnovo</w:t>
      </w:r>
    </w:p>
    <w:p w:rsidR="008233B3" w:rsidRPr="00BD7CEA" w:rsidRDefault="008233B3" w:rsidP="008233B3">
      <w:pPr>
        <w:tabs>
          <w:tab w:val="left" w:pos="1800"/>
        </w:tabs>
        <w:spacing w:after="60"/>
        <w:ind w:left="720"/>
      </w:pPr>
      <w:r w:rsidRPr="00BD7CEA">
        <w:rPr>
          <w:rFonts w:eastAsia="Calibri" w:cs="Tahoma"/>
          <w:color w:val="000000"/>
          <w:szCs w:val="18"/>
        </w:rPr>
        <w:t xml:space="preserve">In occasione del primo rinnovo di Software Assurance in data 1 aprile 2013 o successiva, per ogni server che una società ha ricevuto validamente in licenza in conformità ai diritti di utilizzo del prodotto previsti dalla licenza per processore BizTalk Server 2010, la società potrà acquistare la copertura Software Assurance per le licenze core per BizTalk Server Branch senza dovere acquistare le licenze core sottostanti per un numero di licenze core pari al numero di licenze per processore qualificanti cedute al server moltiplicato per il maggiore tra: </w:t>
      </w:r>
    </w:p>
    <w:p w:rsidR="008233B3" w:rsidRPr="00BD7CEA" w:rsidRDefault="008233B3" w:rsidP="007358C5">
      <w:pPr>
        <w:numPr>
          <w:ilvl w:val="3"/>
          <w:numId w:val="92"/>
        </w:numPr>
        <w:tabs>
          <w:tab w:val="left" w:pos="2160"/>
        </w:tabs>
        <w:spacing w:after="60"/>
        <w:ind w:left="2160"/>
      </w:pPr>
      <w:r w:rsidRPr="00BD7CEA">
        <w:rPr>
          <w:rFonts w:eastAsia="Calibri" w:cs="Tahoma"/>
          <w:color w:val="000000"/>
          <w:szCs w:val="18"/>
        </w:rPr>
        <w:t>quattro O</w:t>
      </w:r>
    </w:p>
    <w:p w:rsidR="008233B3" w:rsidRPr="00BD7CEA" w:rsidRDefault="008233B3" w:rsidP="007358C5">
      <w:pPr>
        <w:numPr>
          <w:ilvl w:val="3"/>
          <w:numId w:val="92"/>
        </w:numPr>
        <w:tabs>
          <w:tab w:val="left" w:pos="2160"/>
        </w:tabs>
        <w:spacing w:after="60"/>
        <w:ind w:left="2160"/>
      </w:pPr>
      <w:r w:rsidRPr="00BD7CEA">
        <w:rPr>
          <w:rFonts w:eastAsia="Calibri" w:cs="Tahoma"/>
          <w:color w:val="000000"/>
          <w:szCs w:val="18"/>
        </w:rPr>
        <w:t>il numero effettivo di core per processore fisico moltiplicato per il fattore core appropriato.</w:t>
      </w:r>
      <w:r w:rsidR="008D782D" w:rsidRPr="00BD7CEA">
        <w:rPr>
          <w:rFonts w:eastAsia="Calibri" w:cs="Tahoma"/>
          <w:color w:val="000000"/>
          <w:szCs w:val="18"/>
        </w:rPr>
        <w:t xml:space="preserve"> </w:t>
      </w:r>
      <w:r w:rsidRPr="00BD7CEA">
        <w:rPr>
          <w:rFonts w:eastAsia="Calibri" w:cs="Tahoma"/>
          <w:color w:val="000000"/>
          <w:szCs w:val="18"/>
        </w:rPr>
        <w:t>(Nei casi in cui il numero effettivo di core per processore fisico superi quattro, le società dovranno conservare un record della configurazione del software BizTalk Server in esecuzione sul server (istanze con licenza in esecuzione negli ambienti del sistema operativo sul server con licenza) e l</w:t>
      </w:r>
      <w:r w:rsidR="007A1415" w:rsidRPr="00BD7CEA">
        <w:rPr>
          <w:rFonts w:eastAsia="Calibri" w:cs="Tahoma"/>
          <w:color w:val="000000"/>
          <w:szCs w:val="18"/>
        </w:rPr>
        <w:t>’</w:t>
      </w:r>
      <w:r w:rsidRPr="00BD7CEA">
        <w:rPr>
          <w:rFonts w:eastAsia="Calibri" w:cs="Tahoma"/>
          <w:color w:val="000000"/>
          <w:szCs w:val="18"/>
        </w:rPr>
        <w:t xml:space="preserve">hardware fisico che supporta tale software appena prima del rinnovo di Software Assurance utilizzando lo strumento MAP di Microsoft o un software equivalente). </w:t>
      </w:r>
    </w:p>
    <w:p w:rsidR="008233B3" w:rsidRPr="00BD7CEA" w:rsidRDefault="008233B3" w:rsidP="008233B3">
      <w:pPr>
        <w:tabs>
          <w:tab w:val="left" w:pos="1800"/>
        </w:tabs>
        <w:ind w:left="1080"/>
      </w:pPr>
    </w:p>
    <w:p w:rsidR="008233B3" w:rsidRPr="00BD7CEA" w:rsidRDefault="008233B3" w:rsidP="008233B3">
      <w:pPr>
        <w:spacing w:after="60"/>
        <w:ind w:left="720"/>
      </w:pPr>
      <w:r w:rsidRPr="00BD7CEA">
        <w:rPr>
          <w:rFonts w:eastAsia="Calibri" w:cs="Tahoma"/>
          <w:color w:val="000000"/>
          <w:szCs w:val="18"/>
        </w:rPr>
        <w:t xml:space="preserve">Le licenze per processore delle società non sono più valide se si acquista la copertura Software Assurance per licenze core ai sensi della presente offerta. </w:t>
      </w:r>
      <w:r w:rsidRPr="00BD7CEA">
        <w:rPr>
          <w:rFonts w:eastAsia="Calibri" w:cs="Tahoma"/>
          <w:szCs w:val="18"/>
        </w:rPr>
        <w:t>L</w:t>
      </w:r>
      <w:r w:rsidR="007A1415" w:rsidRPr="00BD7CEA">
        <w:rPr>
          <w:rFonts w:eastAsia="Calibri" w:cs="Tahoma"/>
          <w:szCs w:val="18"/>
        </w:rPr>
        <w:t>’</w:t>
      </w:r>
      <w:r w:rsidRPr="00BD7CEA">
        <w:rPr>
          <w:rFonts w:eastAsia="Calibri" w:cs="Tahoma"/>
          <w:szCs w:val="18"/>
        </w:rPr>
        <w:t>opzione di acquistare Software Assurance per le licenze core per BizTalk Server non è applicabile al rinnovo della copertura ai sensi dei programmi di sottoscrizione.</w:t>
      </w:r>
      <w:r w:rsidR="008D782D" w:rsidRPr="00BD7CEA">
        <w:rPr>
          <w:rFonts w:eastAsia="Calibri" w:cs="Tahoma"/>
          <w:szCs w:val="18"/>
        </w:rPr>
        <w:t xml:space="preserve"> </w:t>
      </w:r>
    </w:p>
    <w:p w:rsidR="008233B3" w:rsidRPr="00BD7CEA" w:rsidRDefault="008233B3" w:rsidP="008233B3">
      <w:pPr>
        <w:ind w:left="1440"/>
      </w:pPr>
    </w:p>
    <w:p w:rsidR="008233B3" w:rsidRPr="00BD7CEA" w:rsidRDefault="008233B3" w:rsidP="008233B3">
      <w:pPr>
        <w:tabs>
          <w:tab w:val="left" w:pos="1440"/>
        </w:tabs>
        <w:spacing w:after="60"/>
        <w:ind w:left="720"/>
      </w:pPr>
      <w:r w:rsidRPr="00BD7CEA">
        <w:rPr>
          <w:rFonts w:eastAsia="Calibri" w:cs="Tahoma"/>
          <w:b/>
          <w:color w:val="000000"/>
          <w:szCs w:val="18"/>
        </w:rPr>
        <w:t>Per le Società con copertura Software Assurance che scelgono di non effettuare il rinnovo</w:t>
      </w:r>
    </w:p>
    <w:p w:rsidR="008233B3" w:rsidRPr="00BD7CEA" w:rsidRDefault="008233B3" w:rsidP="008233B3">
      <w:pPr>
        <w:tabs>
          <w:tab w:val="left" w:pos="1440"/>
        </w:tabs>
        <w:ind w:left="720"/>
      </w:pPr>
      <w:r w:rsidRPr="00BD7CEA">
        <w:rPr>
          <w:rFonts w:eastAsia="Calibri" w:cs="Tahoma"/>
          <w:color w:val="000000"/>
          <w:szCs w:val="18"/>
        </w:rPr>
        <w:t xml:space="preserve">le società titolari di contratti Enterprise Subscription </w:t>
      </w:r>
      <w:r w:rsidRPr="00BD7CEA">
        <w:rPr>
          <w:rFonts w:cs="Tahoma"/>
          <w:bCs/>
          <w:color w:val="000000"/>
          <w:szCs w:val="18"/>
        </w:rPr>
        <w:t xml:space="preserve">e Open Value Subscription </w:t>
      </w:r>
      <w:r w:rsidRPr="00BD7CEA">
        <w:rPr>
          <w:rFonts w:eastAsia="Calibri" w:cs="Tahoma"/>
          <w:color w:val="000000"/>
          <w:szCs w:val="18"/>
        </w:rPr>
        <w:t>che scelgono di effettuare il</w:t>
      </w:r>
      <w:r w:rsidR="00974F82" w:rsidRPr="00BD7CEA">
        <w:rPr>
          <w:rFonts w:eastAsia="Calibri" w:cs="Tahoma"/>
          <w:color w:val="000000"/>
          <w:szCs w:val="18"/>
        </w:rPr>
        <w:t> </w:t>
      </w:r>
      <w:r w:rsidRPr="00BD7CEA">
        <w:rPr>
          <w:rFonts w:eastAsia="Calibri" w:cs="Tahoma"/>
          <w:color w:val="000000"/>
          <w:szCs w:val="18"/>
        </w:rPr>
        <w:t>buy-out delle licenze per processore e le altre società che acquistano licenze perpetue ai sensi del loro contratto e scelgono di non rinnovare Software Assurance potranno eseguire BizTalk Server 2010 o BizTalk Server 2013 ai sensi di tali licenze come indicato sotto:</w:t>
      </w:r>
    </w:p>
    <w:p w:rsidR="008233B3" w:rsidRPr="00BD7CEA" w:rsidRDefault="008233B3" w:rsidP="008233B3">
      <w:pPr>
        <w:tabs>
          <w:tab w:val="left" w:pos="1440"/>
        </w:tabs>
        <w:ind w:left="720"/>
      </w:pPr>
    </w:p>
    <w:p w:rsidR="008233B3" w:rsidRPr="00BD7CEA" w:rsidRDefault="008233B3" w:rsidP="007358C5">
      <w:pPr>
        <w:numPr>
          <w:ilvl w:val="0"/>
          <w:numId w:val="52"/>
        </w:numPr>
        <w:spacing w:after="60"/>
        <w:ind w:left="1440"/>
      </w:pPr>
      <w:r w:rsidRPr="00BD7CEA">
        <w:rPr>
          <w:rFonts w:eastAsia="Calibri" w:cs="Tahoma"/>
          <w:b/>
          <w:color w:val="000000"/>
          <w:szCs w:val="18"/>
        </w:rPr>
        <w:t>BizTalk Server 2010 Branch:</w:t>
      </w:r>
      <w:r w:rsidRPr="00BD7CEA">
        <w:rPr>
          <w:rFonts w:eastAsia="Calibri" w:cs="Tahoma"/>
          <w:color w:val="000000"/>
          <w:szCs w:val="18"/>
        </w:rPr>
        <w:t xml:space="preserve"> L</w:t>
      </w:r>
      <w:r w:rsidR="007A1415" w:rsidRPr="00BD7CEA">
        <w:rPr>
          <w:rFonts w:eastAsia="Calibri" w:cs="Tahoma"/>
          <w:color w:val="000000"/>
          <w:szCs w:val="18"/>
        </w:rPr>
        <w:t>’</w:t>
      </w:r>
      <w:r w:rsidRPr="00BD7CEA">
        <w:rPr>
          <w:rFonts w:eastAsia="Calibri" w:cs="Tahoma"/>
          <w:color w:val="000000"/>
          <w:szCs w:val="18"/>
        </w:rPr>
        <w:t>utilizzo continuativo di questo software è soggetto ai diritti di utilizzo del prodotto previsti dalla licenza per processore per BizTalk Server 2010 Branch; tuttavia, le società non disporranno più di Mobilità delle Licenze tramite Software Assurance.</w:t>
      </w:r>
    </w:p>
    <w:p w:rsidR="008233B3" w:rsidRPr="00BD7CEA" w:rsidRDefault="008233B3" w:rsidP="007358C5">
      <w:pPr>
        <w:numPr>
          <w:ilvl w:val="0"/>
          <w:numId w:val="52"/>
        </w:numPr>
        <w:tabs>
          <w:tab w:val="left" w:pos="1800"/>
        </w:tabs>
        <w:spacing w:after="60"/>
        <w:ind w:left="1440"/>
      </w:pPr>
      <w:r w:rsidRPr="00BD7CEA">
        <w:rPr>
          <w:rFonts w:eastAsia="Calibri" w:cs="Tahoma"/>
          <w:b/>
          <w:color w:val="000000"/>
          <w:szCs w:val="18"/>
        </w:rPr>
        <w:t xml:space="preserve">BizTalk Server 2013 Branch: </w:t>
      </w:r>
      <w:r w:rsidRPr="00BD7CEA">
        <w:rPr>
          <w:rFonts w:eastAsia="Calibri" w:cs="Tahoma"/>
          <w:color w:val="000000"/>
          <w:szCs w:val="18"/>
        </w:rPr>
        <w:t>l</w:t>
      </w:r>
      <w:r w:rsidR="007A1415" w:rsidRPr="00BD7CEA">
        <w:rPr>
          <w:rFonts w:eastAsia="Calibri" w:cs="Tahoma"/>
          <w:color w:val="000000"/>
          <w:szCs w:val="18"/>
        </w:rPr>
        <w:t>’</w:t>
      </w:r>
      <w:r w:rsidRPr="00BD7CEA">
        <w:rPr>
          <w:rFonts w:eastAsia="Calibri" w:cs="Tahoma"/>
          <w:color w:val="000000"/>
          <w:szCs w:val="18"/>
        </w:rPr>
        <w:t xml:space="preserve">utilizzo di tale versione del software è soggetto ai diritti di utilizzo del prodotto previsti dalla licenza per processore per BizTalk Server 2010 Branch, tuttavia: </w:t>
      </w:r>
    </w:p>
    <w:p w:rsidR="008233B3" w:rsidRPr="00941907" w:rsidRDefault="008233B3" w:rsidP="007358C5">
      <w:pPr>
        <w:numPr>
          <w:ilvl w:val="1"/>
          <w:numId w:val="52"/>
        </w:numPr>
        <w:tabs>
          <w:tab w:val="left" w:pos="2160"/>
        </w:tabs>
        <w:spacing w:after="60"/>
        <w:ind w:left="2160"/>
      </w:pPr>
      <w:r w:rsidRPr="00BD7CEA">
        <w:rPr>
          <w:rFonts w:eastAsia="Calibri" w:cs="Tahoma"/>
          <w:color w:val="000000"/>
          <w:szCs w:val="18"/>
        </w:rPr>
        <w:t>le società non disporranno più della Mobilità delle Licenze all</w:t>
      </w:r>
      <w:r w:rsidR="007A1415" w:rsidRPr="00BD7CEA">
        <w:rPr>
          <w:rFonts w:eastAsia="Calibri" w:cs="Tahoma"/>
          <w:color w:val="000000"/>
          <w:szCs w:val="18"/>
        </w:rPr>
        <w:t>’</w:t>
      </w:r>
      <w:r w:rsidRPr="00BD7CEA">
        <w:rPr>
          <w:rFonts w:eastAsia="Calibri" w:cs="Tahoma"/>
          <w:color w:val="000000"/>
          <w:szCs w:val="18"/>
        </w:rPr>
        <w:t xml:space="preserve">interno di Server Farm o della Mobilità delle Licenze tramite Software Assurance e </w:t>
      </w:r>
    </w:p>
    <w:p w:rsidR="00941907" w:rsidRPr="00BD7CEA" w:rsidRDefault="00941907" w:rsidP="00941907">
      <w:pPr>
        <w:tabs>
          <w:tab w:val="left" w:pos="2160"/>
        </w:tabs>
        <w:spacing w:after="60"/>
        <w:ind w:left="1800"/>
      </w:pPr>
    </w:p>
    <w:p w:rsidR="008233B3" w:rsidRPr="00BD7CEA" w:rsidRDefault="008233B3" w:rsidP="007358C5">
      <w:pPr>
        <w:numPr>
          <w:ilvl w:val="1"/>
          <w:numId w:val="52"/>
        </w:numPr>
        <w:tabs>
          <w:tab w:val="left" w:pos="2160"/>
          <w:tab w:val="left" w:pos="2970"/>
        </w:tabs>
        <w:spacing w:after="60"/>
        <w:ind w:left="2160"/>
      </w:pPr>
      <w:r w:rsidRPr="00BD7CEA">
        <w:rPr>
          <w:rFonts w:eastAsia="Calibri" w:cs="Tahoma"/>
          <w:color w:val="000000"/>
          <w:szCs w:val="18"/>
        </w:rPr>
        <w:lastRenderedPageBreak/>
        <w:t>l</w:t>
      </w:r>
      <w:r w:rsidR="007A1415" w:rsidRPr="00BD7CEA">
        <w:rPr>
          <w:rFonts w:eastAsia="Calibri" w:cs="Tahoma"/>
          <w:color w:val="000000"/>
          <w:szCs w:val="18"/>
        </w:rPr>
        <w:t>’</w:t>
      </w:r>
      <w:r w:rsidRPr="00BD7CEA">
        <w:rPr>
          <w:rFonts w:eastAsia="Calibri" w:cs="Tahoma"/>
          <w:color w:val="000000"/>
          <w:szCs w:val="18"/>
        </w:rPr>
        <w:t>eventuale riassegnazione di licenze è soggetta ai limiti che seguono relativi alla loro “equivalenza di licenze core”. L</w:t>
      </w:r>
      <w:r w:rsidR="007A1415" w:rsidRPr="00BD7CEA">
        <w:rPr>
          <w:rFonts w:eastAsia="Calibri" w:cs="Tahoma"/>
          <w:color w:val="000000"/>
          <w:szCs w:val="18"/>
        </w:rPr>
        <w:t>’</w:t>
      </w:r>
      <w:r w:rsidRPr="00BD7CEA">
        <w:rPr>
          <w:rFonts w:eastAsia="Calibri" w:cs="Tahoma"/>
          <w:color w:val="000000"/>
          <w:szCs w:val="18"/>
        </w:rPr>
        <w:t xml:space="preserve">equivalenza di licenze core è determinata come di seguito riportato. </w:t>
      </w:r>
    </w:p>
    <w:p w:rsidR="008233B3" w:rsidRPr="00BD7CEA" w:rsidRDefault="008233B3" w:rsidP="007358C5">
      <w:pPr>
        <w:numPr>
          <w:ilvl w:val="2"/>
          <w:numId w:val="52"/>
        </w:numPr>
        <w:tabs>
          <w:tab w:val="left" w:pos="2520"/>
        </w:tabs>
        <w:spacing w:after="60"/>
        <w:ind w:left="2520"/>
      </w:pPr>
      <w:r w:rsidRPr="00BD7CEA">
        <w:rPr>
          <w:rFonts w:eastAsia="Calibri" w:cs="Tahoma"/>
          <w:color w:val="000000"/>
          <w:szCs w:val="18"/>
        </w:rPr>
        <w:t>Per ogni licenza qualificante ceduta al server, l</w:t>
      </w:r>
      <w:r w:rsidR="007A1415" w:rsidRPr="00BD7CEA">
        <w:rPr>
          <w:rFonts w:eastAsia="Calibri" w:cs="Tahoma"/>
          <w:color w:val="000000"/>
          <w:szCs w:val="18"/>
        </w:rPr>
        <w:t>’</w:t>
      </w:r>
      <w:r w:rsidRPr="00BD7CEA">
        <w:rPr>
          <w:rFonts w:eastAsia="Calibri" w:cs="Tahoma"/>
          <w:color w:val="000000"/>
          <w:szCs w:val="18"/>
        </w:rPr>
        <w:t xml:space="preserve">equivalenza di licenze core è il numero maggiore tra: </w:t>
      </w:r>
    </w:p>
    <w:p w:rsidR="008233B3" w:rsidRPr="00BD7CEA" w:rsidRDefault="008233B3" w:rsidP="007358C5">
      <w:pPr>
        <w:numPr>
          <w:ilvl w:val="4"/>
          <w:numId w:val="125"/>
        </w:numPr>
        <w:tabs>
          <w:tab w:val="left" w:pos="2880"/>
        </w:tabs>
        <w:spacing w:after="60"/>
        <w:ind w:left="2880"/>
      </w:pPr>
      <w:r w:rsidRPr="00BD7CEA">
        <w:rPr>
          <w:rFonts w:eastAsia="Calibri" w:cs="Tahoma"/>
          <w:color w:val="000000"/>
          <w:szCs w:val="18"/>
        </w:rPr>
        <w:t xml:space="preserve">quattro core per licenza per processore O </w:t>
      </w:r>
    </w:p>
    <w:p w:rsidR="008233B3" w:rsidRPr="00BD7CEA" w:rsidRDefault="008233B3" w:rsidP="007358C5">
      <w:pPr>
        <w:numPr>
          <w:ilvl w:val="4"/>
          <w:numId w:val="125"/>
        </w:numPr>
        <w:tabs>
          <w:tab w:val="left" w:pos="2880"/>
        </w:tabs>
        <w:spacing w:after="60"/>
        <w:ind w:left="2880"/>
      </w:pPr>
      <w:r w:rsidRPr="00BD7CEA">
        <w:rPr>
          <w:rFonts w:eastAsia="Calibri" w:cs="Tahoma"/>
          <w:color w:val="000000"/>
          <w:szCs w:val="18"/>
        </w:rPr>
        <w:t>un numero di core per licenza per processore basato sul numero effettivo di core per processore fisico moltiplicato per il fattore core appropriato. (Nei casi in cui il numero effettivo di core per processore fisico superi quattro, le società dovranno conservare un record della configurazione del software BizTalk Server in esecuzione sul server (istanze con licenza in esecuzione negli ambienti del sistema operativo sul server con licenza) e l</w:t>
      </w:r>
      <w:r w:rsidR="007A1415" w:rsidRPr="00BD7CEA">
        <w:rPr>
          <w:rFonts w:eastAsia="Calibri" w:cs="Tahoma"/>
          <w:color w:val="000000"/>
          <w:szCs w:val="18"/>
        </w:rPr>
        <w:t>’</w:t>
      </w:r>
      <w:r w:rsidRPr="00BD7CEA">
        <w:rPr>
          <w:rFonts w:eastAsia="Calibri" w:cs="Tahoma"/>
          <w:color w:val="000000"/>
          <w:szCs w:val="18"/>
        </w:rPr>
        <w:t xml:space="preserve">hardware fisico che supporta tale software appena prima della scadenza di Software Assurance utilizzando lo strumento MAP di Microsoft o un software equivalente). </w:t>
      </w:r>
    </w:p>
    <w:p w:rsidR="008233B3" w:rsidRPr="00BD7CEA" w:rsidRDefault="008233B3" w:rsidP="007358C5">
      <w:pPr>
        <w:numPr>
          <w:ilvl w:val="1"/>
          <w:numId w:val="127"/>
        </w:numPr>
        <w:tabs>
          <w:tab w:val="left" w:pos="1800"/>
        </w:tabs>
        <w:spacing w:after="60"/>
        <w:rPr>
          <w:spacing w:val="-2"/>
        </w:rPr>
      </w:pPr>
      <w:r w:rsidRPr="00BD7CEA">
        <w:rPr>
          <w:rFonts w:eastAsia="Calibri" w:cs="Tahoma"/>
          <w:color w:val="000000"/>
          <w:spacing w:val="-2"/>
          <w:szCs w:val="18"/>
        </w:rPr>
        <w:t xml:space="preserve">Le società </w:t>
      </w:r>
      <w:r w:rsidRPr="00BD7CEA">
        <w:rPr>
          <w:rFonts w:eastAsia="Calibri" w:cs="Tahoma"/>
          <w:spacing w:val="-2"/>
          <w:szCs w:val="18"/>
        </w:rPr>
        <w:t>potranno riassegnare le licenze a un altro server. Tuttavia, qualora la società riassegni una licenza a un altro server, dovrà attenersi ai diritti sull</w:t>
      </w:r>
      <w:r w:rsidR="007A1415" w:rsidRPr="00BD7CEA">
        <w:rPr>
          <w:rFonts w:eastAsia="Calibri" w:cs="Tahoma"/>
          <w:spacing w:val="-2"/>
          <w:szCs w:val="18"/>
        </w:rPr>
        <w:t>’</w:t>
      </w:r>
      <w:r w:rsidRPr="00BD7CEA">
        <w:rPr>
          <w:rFonts w:eastAsia="Calibri" w:cs="Tahoma"/>
          <w:spacing w:val="-2"/>
          <w:szCs w:val="18"/>
        </w:rPr>
        <w:t>utilizzo di BizTalk Server 2013. Quando cede licenze core a server ai sensi dei diritti sull</w:t>
      </w:r>
      <w:r w:rsidR="007A1415" w:rsidRPr="00BD7CEA">
        <w:rPr>
          <w:rFonts w:eastAsia="Calibri" w:cs="Tahoma"/>
          <w:spacing w:val="-2"/>
          <w:szCs w:val="18"/>
        </w:rPr>
        <w:t>’</w:t>
      </w:r>
      <w:r w:rsidRPr="00BD7CEA">
        <w:rPr>
          <w:rFonts w:eastAsia="Calibri" w:cs="Tahoma"/>
          <w:spacing w:val="-2"/>
          <w:szCs w:val="18"/>
        </w:rPr>
        <w:t>utilizzo per BizTalk 2013, la società potrà combinare l</w:t>
      </w:r>
      <w:r w:rsidR="007A1415" w:rsidRPr="00BD7CEA">
        <w:rPr>
          <w:rFonts w:eastAsia="Calibri" w:cs="Tahoma"/>
          <w:spacing w:val="-2"/>
          <w:szCs w:val="18"/>
        </w:rPr>
        <w:t>’</w:t>
      </w:r>
      <w:r w:rsidRPr="00BD7CEA">
        <w:rPr>
          <w:rFonts w:eastAsia="Calibri" w:cs="Tahoma"/>
          <w:spacing w:val="-2"/>
          <w:szCs w:val="18"/>
        </w:rPr>
        <w:t>equivalenza core delle licenze esistenti con le licenze core per BizTalk Server 2013 aggiuntive.</w:t>
      </w:r>
    </w:p>
    <w:p w:rsidR="008233B3" w:rsidRPr="00BD7CEA" w:rsidRDefault="008233B3" w:rsidP="007358C5">
      <w:pPr>
        <w:numPr>
          <w:ilvl w:val="1"/>
          <w:numId w:val="127"/>
        </w:numPr>
        <w:tabs>
          <w:tab w:val="left" w:pos="1800"/>
          <w:tab w:val="left" w:pos="2970"/>
        </w:tabs>
        <w:spacing w:after="60"/>
      </w:pPr>
      <w:r w:rsidRPr="00BD7CEA">
        <w:rPr>
          <w:rFonts w:eastAsia="Calibri" w:cs="Tahoma"/>
          <w:color w:val="000000"/>
          <w:szCs w:val="18"/>
        </w:rPr>
        <w:t>L</w:t>
      </w:r>
      <w:r w:rsidR="007A1415" w:rsidRPr="00BD7CEA">
        <w:rPr>
          <w:rFonts w:eastAsia="Calibri" w:cs="Tahoma"/>
          <w:color w:val="000000"/>
          <w:szCs w:val="18"/>
        </w:rPr>
        <w:t>’</w:t>
      </w:r>
      <w:r w:rsidRPr="00BD7CEA">
        <w:rPr>
          <w:rFonts w:eastAsia="Calibri" w:cs="Tahoma"/>
          <w:color w:val="000000"/>
          <w:szCs w:val="18"/>
        </w:rPr>
        <w:t>equivalenza di licenze core stimata delle società non implica che esse possano cedere una licenza singola per processore a core attraverso due o più processori.</w:t>
      </w:r>
    </w:p>
    <w:p w:rsidR="008233B3" w:rsidRPr="00BD7CEA" w:rsidRDefault="008233B3" w:rsidP="008233B3">
      <w:pPr>
        <w:ind w:left="1440"/>
      </w:pPr>
    </w:p>
    <w:p w:rsidR="008233B3" w:rsidRPr="00BD7CEA" w:rsidRDefault="008233B3" w:rsidP="008233B3">
      <w:pPr>
        <w:tabs>
          <w:tab w:val="left" w:pos="720"/>
        </w:tabs>
        <w:spacing w:after="60"/>
        <w:ind w:left="720"/>
      </w:pPr>
      <w:r w:rsidRPr="00BD7CEA">
        <w:rPr>
          <w:b/>
        </w:rPr>
        <w:t>Per le società con sede nella Repubblica popolare</w:t>
      </w:r>
      <w:r w:rsidRPr="00BD7CEA">
        <w:t xml:space="preserve"> </w:t>
      </w:r>
      <w:r w:rsidRPr="00BD7CEA">
        <w:rPr>
          <w:b/>
        </w:rPr>
        <w:t>cinese, dove acquistano licenze per processore e Software Assurance per BizTalk Server 2010</w:t>
      </w:r>
    </w:p>
    <w:p w:rsidR="008233B3" w:rsidRPr="00BD7CEA" w:rsidRDefault="008233B3" w:rsidP="008233B3">
      <w:pPr>
        <w:tabs>
          <w:tab w:val="left" w:pos="720"/>
        </w:tabs>
        <w:ind w:left="720"/>
      </w:pPr>
      <w:r w:rsidRPr="00BD7CEA">
        <w:t xml:space="preserve">Non si applica il riferimento al 1 aprile 2013 presente in questa nota relativa alla lista dei prodotti. </w:t>
      </w:r>
      <w:r w:rsidR="00DC6528">
        <w:br/>
      </w:r>
      <w:r w:rsidRPr="00BD7CEA">
        <w:t>La data applicabile per queste società sarebbe il 1 maggio 2013.</w:t>
      </w:r>
    </w:p>
    <w:p w:rsidR="008233B3" w:rsidRPr="00BD7CEA" w:rsidRDefault="008233B3" w:rsidP="008233B3"/>
    <w:p w:rsidR="008233B3" w:rsidRPr="00BD7CEA" w:rsidRDefault="004668D9" w:rsidP="008233B3">
      <w:pPr>
        <w:pStyle w:val="Heading3"/>
      </w:pPr>
      <w:bookmarkStart w:id="1172" w:name="_33_BizTalk_Server®"/>
      <w:bookmarkStart w:id="1173" w:name="_Toc353376071"/>
      <w:bookmarkStart w:id="1174" w:name="_Toc343596567"/>
      <w:bookmarkEnd w:id="1172"/>
      <w:r w:rsidRPr="00BD7CEA">
        <w:rPr>
          <w:rFonts w:ascii="Tahoma" w:hAnsi="Tahoma"/>
          <w:caps/>
          <w:color w:val="F66400"/>
          <w:sz w:val="22"/>
          <w:vertAlign w:val="superscript"/>
        </w:rPr>
        <w:t xml:space="preserve">33 </w:t>
      </w:r>
      <w:r w:rsidRPr="00BD7CEA">
        <w:rPr>
          <w:rFonts w:ascii="Tahoma" w:hAnsi="Tahoma"/>
          <w:color w:val="F66400"/>
          <w:sz w:val="22"/>
        </w:rPr>
        <w:t>BizTalk Server</w:t>
      </w:r>
      <w:r w:rsidR="00700C4B" w:rsidRPr="00BD7CEA">
        <w:rPr>
          <w:rFonts w:ascii="Tahoma" w:hAnsi="Tahoma"/>
          <w:color w:val="F66400"/>
          <w:sz w:val="22"/>
          <w:vertAlign w:val="superscript"/>
        </w:rPr>
        <w:t>®</w:t>
      </w:r>
      <w:r w:rsidRPr="00BD7CEA">
        <w:rPr>
          <w:rFonts w:ascii="Tahoma" w:hAnsi="Tahoma"/>
          <w:color w:val="F66400"/>
          <w:sz w:val="22"/>
        </w:rPr>
        <w:t xml:space="preserve"> 2013 Enterprise</w:t>
      </w:r>
      <w:bookmarkEnd w:id="1173"/>
      <w:r w:rsidRPr="00BD7CEA">
        <w:rPr>
          <w:rFonts w:ascii="Tahoma" w:hAnsi="Tahoma"/>
          <w:color w:val="F66400"/>
          <w:sz w:val="22"/>
        </w:rPr>
        <w:t xml:space="preserve"> </w:t>
      </w:r>
      <w:bookmarkEnd w:id="1174"/>
    </w:p>
    <w:p w:rsidR="008233B3" w:rsidRPr="00BD7CEA" w:rsidRDefault="008233B3" w:rsidP="008233B3">
      <w:pPr>
        <w:ind w:left="720"/>
      </w:pPr>
    </w:p>
    <w:p w:rsidR="008233B3" w:rsidRPr="00BD7CEA" w:rsidRDefault="008233B3" w:rsidP="008233B3">
      <w:pPr>
        <w:spacing w:after="60"/>
        <w:ind w:left="720"/>
      </w:pPr>
      <w:r w:rsidRPr="00BD7CEA">
        <w:rPr>
          <w:rFonts w:eastAsia="Calibri" w:cs="Tahoma"/>
          <w:b/>
          <w:color w:val="000000"/>
          <w:szCs w:val="18"/>
        </w:rPr>
        <w:t>Concessioni di Licenza Associate alla Variazione del Modello di Licenza</w:t>
      </w:r>
    </w:p>
    <w:p w:rsidR="008233B3" w:rsidRPr="00BD7CEA" w:rsidRDefault="008233B3" w:rsidP="008233B3">
      <w:pPr>
        <w:ind w:left="720"/>
      </w:pPr>
      <w:r w:rsidRPr="00BD7CEA">
        <w:rPr>
          <w:rFonts w:eastAsia="Calibri" w:cs="Tahoma"/>
          <w:color w:val="000000"/>
          <w:szCs w:val="18"/>
        </w:rPr>
        <w:t>BizTalk Server 2010 sarà l</w:t>
      </w:r>
      <w:r w:rsidR="007A1415" w:rsidRPr="00BD7CEA">
        <w:rPr>
          <w:rFonts w:eastAsia="Calibri" w:cs="Tahoma"/>
          <w:color w:val="000000"/>
          <w:szCs w:val="18"/>
        </w:rPr>
        <w:t>’</w:t>
      </w:r>
      <w:r w:rsidRPr="00BD7CEA">
        <w:rPr>
          <w:rFonts w:eastAsia="Calibri" w:cs="Tahoma"/>
          <w:color w:val="000000"/>
          <w:szCs w:val="18"/>
        </w:rPr>
        <w:t>ultima versione di BizTalk Server concessa in licenza ai sensi del modello di licenza per processore.</w:t>
      </w:r>
      <w:r w:rsidR="008D782D" w:rsidRPr="00BD7CEA">
        <w:rPr>
          <w:rFonts w:eastAsia="Calibri" w:cs="Tahoma"/>
          <w:color w:val="000000"/>
          <w:szCs w:val="18"/>
        </w:rPr>
        <w:t xml:space="preserve"> </w:t>
      </w:r>
      <w:r w:rsidRPr="00BD7CEA">
        <w:rPr>
          <w:rFonts w:eastAsia="Calibri" w:cs="Tahoma"/>
          <w:color w:val="000000"/>
          <w:szCs w:val="18"/>
        </w:rPr>
        <w:t xml:space="preserve">In via eccezionale, alle società con contratti multilicenza e copertura Software Assurance attiva per le licenze per processore per BizTalk Server 2010 Enterprise in data 1 aprile 2013 (“licenze qualificanti”) vengono offerte le opzioni che seguono. Le licenze per processore per BizTalk Server 2010 Enterprise </w:t>
      </w:r>
      <w:r w:rsidRPr="00BD7CEA">
        <w:rPr>
          <w:rFonts w:cs="Tahoma"/>
          <w:bCs/>
          <w:color w:val="000000"/>
          <w:szCs w:val="18"/>
        </w:rPr>
        <w:t>acquistate successivamente nello stesso periodo di validità dell</w:t>
      </w:r>
      <w:r w:rsidR="007A1415" w:rsidRPr="00BD7CEA">
        <w:rPr>
          <w:rFonts w:cs="Tahoma"/>
          <w:bCs/>
          <w:color w:val="000000"/>
          <w:szCs w:val="18"/>
        </w:rPr>
        <w:t>’</w:t>
      </w:r>
      <w:r w:rsidRPr="00BD7CEA">
        <w:rPr>
          <w:rFonts w:cs="Tahoma"/>
          <w:bCs/>
          <w:color w:val="000000"/>
          <w:szCs w:val="18"/>
        </w:rPr>
        <w:t>iscrizione nell</w:t>
      </w:r>
      <w:r w:rsidR="007A1415" w:rsidRPr="00BD7CEA">
        <w:rPr>
          <w:rFonts w:cs="Tahoma"/>
          <w:bCs/>
          <w:color w:val="000000"/>
          <w:szCs w:val="18"/>
        </w:rPr>
        <w:t>’</w:t>
      </w:r>
      <w:r w:rsidRPr="00BD7CEA">
        <w:rPr>
          <w:rFonts w:cs="Tahoma"/>
          <w:bCs/>
          <w:color w:val="000000"/>
          <w:szCs w:val="18"/>
        </w:rPr>
        <w:t>ambito di una procedura pianificata di true-up della società Enterprise, Enterprise Subscription, Open Value Subscription o</w:t>
      </w:r>
      <w:r w:rsidR="00A20649" w:rsidRPr="00BD7CEA">
        <w:rPr>
          <w:rFonts w:cs="Tahoma"/>
          <w:bCs/>
          <w:color w:val="000000"/>
          <w:szCs w:val="18"/>
        </w:rPr>
        <w:t> </w:t>
      </w:r>
      <w:r w:rsidRPr="00BD7CEA">
        <w:rPr>
          <w:rFonts w:cs="Tahoma"/>
          <w:bCs/>
          <w:color w:val="000000"/>
          <w:szCs w:val="18"/>
        </w:rPr>
        <w:t>EES sono anch</w:t>
      </w:r>
      <w:r w:rsidR="007A1415" w:rsidRPr="00BD7CEA">
        <w:rPr>
          <w:rFonts w:cs="Tahoma"/>
          <w:bCs/>
          <w:color w:val="000000"/>
          <w:szCs w:val="18"/>
        </w:rPr>
        <w:t>’</w:t>
      </w:r>
      <w:r w:rsidRPr="00BD7CEA">
        <w:rPr>
          <w:rFonts w:cs="Tahoma"/>
          <w:bCs/>
          <w:color w:val="000000"/>
          <w:szCs w:val="18"/>
        </w:rPr>
        <w:t>esse licenze qualificanti per gli scopi previsti da tali opzioni.</w:t>
      </w:r>
      <w:r w:rsidR="008D782D" w:rsidRPr="00BD7CEA">
        <w:rPr>
          <w:rFonts w:cs="Tahoma"/>
          <w:bCs/>
          <w:color w:val="000000"/>
          <w:szCs w:val="18"/>
        </w:rPr>
        <w:t xml:space="preserve"> </w:t>
      </w:r>
      <w:r w:rsidRPr="00BD7CEA">
        <w:rPr>
          <w:rFonts w:cs="Tahoma"/>
          <w:bCs/>
          <w:color w:val="000000"/>
          <w:szCs w:val="18"/>
        </w:rPr>
        <w:t>Le licenze acquistate in un periodo di validità dell</w:t>
      </w:r>
      <w:r w:rsidR="007A1415" w:rsidRPr="00BD7CEA">
        <w:rPr>
          <w:rFonts w:cs="Tahoma"/>
          <w:bCs/>
          <w:color w:val="000000"/>
          <w:szCs w:val="18"/>
        </w:rPr>
        <w:t>’</w:t>
      </w:r>
      <w:r w:rsidRPr="00BD7CEA">
        <w:rPr>
          <w:rFonts w:cs="Tahoma"/>
          <w:bCs/>
          <w:color w:val="000000"/>
          <w:szCs w:val="18"/>
        </w:rPr>
        <w:t>iscrizione successivo, ai sensi di un contratto specifico o di un</w:t>
      </w:r>
      <w:r w:rsidR="007A1415" w:rsidRPr="00BD7CEA">
        <w:rPr>
          <w:rFonts w:cs="Tahoma"/>
          <w:bCs/>
          <w:color w:val="000000"/>
          <w:szCs w:val="18"/>
        </w:rPr>
        <w:t>’</w:t>
      </w:r>
      <w:r w:rsidRPr="00BD7CEA">
        <w:rPr>
          <w:rFonts w:cs="Tahoma"/>
          <w:bCs/>
          <w:color w:val="000000"/>
          <w:szCs w:val="18"/>
        </w:rPr>
        <w:t>iscrizione con la data di</w:t>
      </w:r>
      <w:r w:rsidR="00A20649" w:rsidRPr="00BD7CEA">
        <w:rPr>
          <w:rFonts w:cs="Tahoma"/>
          <w:bCs/>
          <w:color w:val="000000"/>
          <w:szCs w:val="18"/>
        </w:rPr>
        <w:t> </w:t>
      </w:r>
      <w:r w:rsidRPr="00BD7CEA">
        <w:rPr>
          <w:rFonts w:cs="Tahoma"/>
          <w:bCs/>
          <w:color w:val="000000"/>
          <w:szCs w:val="18"/>
        </w:rPr>
        <w:t>entrata in vigore posteriore al 1 aprile 2013, non sono licenze qualificanti.</w:t>
      </w:r>
    </w:p>
    <w:p w:rsidR="008233B3" w:rsidRPr="00BD7CEA" w:rsidRDefault="008233B3" w:rsidP="008233B3">
      <w:pPr>
        <w:ind w:left="720"/>
        <w:rPr>
          <w:sz w:val="16"/>
          <w:szCs w:val="16"/>
        </w:rPr>
      </w:pPr>
    </w:p>
    <w:p w:rsidR="008233B3" w:rsidRPr="00BD7CEA" w:rsidRDefault="008233B3" w:rsidP="008233B3">
      <w:pPr>
        <w:spacing w:after="60"/>
        <w:ind w:left="720"/>
      </w:pPr>
      <w:r w:rsidRPr="00BD7CEA">
        <w:rPr>
          <w:rFonts w:eastAsia="Calibri" w:cs="Tahoma"/>
          <w:b/>
          <w:color w:val="000000"/>
          <w:szCs w:val="18"/>
        </w:rPr>
        <w:t>Periodo di Validità Corrente</w:t>
      </w:r>
    </w:p>
    <w:p w:rsidR="008233B3" w:rsidRPr="00BD7CEA" w:rsidRDefault="008233B3" w:rsidP="008233B3">
      <w:pPr>
        <w:ind w:left="720"/>
      </w:pPr>
      <w:r w:rsidRPr="00BD7CEA">
        <w:rPr>
          <w:rFonts w:eastAsia="Calibri" w:cs="Tahoma"/>
          <w:color w:val="000000"/>
          <w:szCs w:val="18"/>
        </w:rPr>
        <w:t>Durante il periodo di validità corrente della copertura Software Assurance a decorrere dal 1 aprile 2013 le società (incluse le società titolari di contratti “subscription”) potranno, ai sensi di una licenza qualificante, effettuare l</w:t>
      </w:r>
      <w:r w:rsidR="007A1415" w:rsidRPr="00BD7CEA">
        <w:rPr>
          <w:rFonts w:eastAsia="Calibri" w:cs="Tahoma"/>
          <w:color w:val="000000"/>
          <w:szCs w:val="18"/>
        </w:rPr>
        <w:t>’</w:t>
      </w:r>
      <w:r w:rsidRPr="00BD7CEA">
        <w:rPr>
          <w:rFonts w:eastAsia="Calibri" w:cs="Tahoma"/>
          <w:color w:val="000000"/>
          <w:szCs w:val="18"/>
        </w:rPr>
        <w:t xml:space="preserve">aggiornamento al software BizTalk Server 2013 Enterprise e utilizzarlo al posto di BizTalk Server 2010 Enterprise in conformità ai diritti di utilizzo del prodotto previsti dalla licenza per processore per BizTalk Server 2010 Enterprise (come indicato nei Diritti di Utilizzo del Prodotto del mese di gennaio 2013). </w:t>
      </w:r>
    </w:p>
    <w:p w:rsidR="008233B3" w:rsidRPr="00BD7CEA" w:rsidRDefault="008233B3" w:rsidP="008233B3">
      <w:pPr>
        <w:ind w:left="720"/>
      </w:pPr>
    </w:p>
    <w:p w:rsidR="00941907" w:rsidRDefault="00941907" w:rsidP="008233B3">
      <w:pPr>
        <w:spacing w:after="60"/>
        <w:ind w:left="720"/>
        <w:rPr>
          <w:rFonts w:eastAsia="Calibri" w:cs="Tahoma"/>
          <w:b/>
          <w:color w:val="000000"/>
          <w:szCs w:val="18"/>
        </w:rPr>
      </w:pPr>
    </w:p>
    <w:p w:rsidR="00941907" w:rsidRDefault="00941907" w:rsidP="008233B3">
      <w:pPr>
        <w:spacing w:after="60"/>
        <w:ind w:left="720"/>
        <w:rPr>
          <w:rFonts w:eastAsia="Calibri" w:cs="Tahoma"/>
          <w:b/>
          <w:color w:val="000000"/>
          <w:szCs w:val="18"/>
        </w:rPr>
      </w:pPr>
    </w:p>
    <w:p w:rsidR="00941907" w:rsidRDefault="00941907" w:rsidP="008233B3">
      <w:pPr>
        <w:spacing w:after="60"/>
        <w:ind w:left="720"/>
        <w:rPr>
          <w:rFonts w:eastAsia="Calibri" w:cs="Tahoma"/>
          <w:b/>
          <w:color w:val="000000"/>
          <w:szCs w:val="18"/>
        </w:rPr>
      </w:pPr>
    </w:p>
    <w:p w:rsidR="00941907" w:rsidRDefault="00941907" w:rsidP="008233B3">
      <w:pPr>
        <w:spacing w:after="60"/>
        <w:ind w:left="720"/>
        <w:rPr>
          <w:rFonts w:eastAsia="Calibri" w:cs="Tahoma"/>
          <w:b/>
          <w:color w:val="000000"/>
          <w:szCs w:val="18"/>
        </w:rPr>
      </w:pPr>
    </w:p>
    <w:p w:rsidR="00941907" w:rsidRDefault="00941907" w:rsidP="008233B3">
      <w:pPr>
        <w:spacing w:after="60"/>
        <w:ind w:left="720"/>
        <w:rPr>
          <w:rFonts w:eastAsia="Calibri" w:cs="Tahoma"/>
          <w:b/>
          <w:color w:val="000000"/>
          <w:szCs w:val="18"/>
        </w:rPr>
      </w:pPr>
    </w:p>
    <w:p w:rsidR="00941907" w:rsidRDefault="00941907" w:rsidP="008233B3">
      <w:pPr>
        <w:spacing w:after="60"/>
        <w:ind w:left="720"/>
        <w:rPr>
          <w:rFonts w:eastAsia="Calibri" w:cs="Tahoma"/>
          <w:b/>
          <w:color w:val="000000"/>
          <w:szCs w:val="18"/>
        </w:rPr>
      </w:pPr>
    </w:p>
    <w:p w:rsidR="00941907" w:rsidRDefault="00941907" w:rsidP="008233B3">
      <w:pPr>
        <w:spacing w:after="60"/>
        <w:ind w:left="720"/>
        <w:rPr>
          <w:rFonts w:eastAsia="Calibri" w:cs="Tahoma"/>
          <w:b/>
          <w:color w:val="000000"/>
          <w:szCs w:val="18"/>
        </w:rPr>
      </w:pPr>
    </w:p>
    <w:p w:rsidR="00941907" w:rsidRDefault="00941907" w:rsidP="008233B3">
      <w:pPr>
        <w:spacing w:after="60"/>
        <w:ind w:left="720"/>
        <w:rPr>
          <w:rFonts w:eastAsia="Calibri" w:cs="Tahoma"/>
          <w:b/>
          <w:color w:val="000000"/>
          <w:szCs w:val="18"/>
        </w:rPr>
      </w:pPr>
    </w:p>
    <w:p w:rsidR="008233B3" w:rsidRPr="00BD7CEA" w:rsidRDefault="008233B3" w:rsidP="008233B3">
      <w:pPr>
        <w:spacing w:after="60"/>
        <w:ind w:left="720"/>
      </w:pPr>
      <w:r w:rsidRPr="00BD7CEA">
        <w:rPr>
          <w:rFonts w:eastAsia="Calibri" w:cs="Tahoma"/>
          <w:b/>
          <w:color w:val="000000"/>
          <w:szCs w:val="18"/>
        </w:rPr>
        <w:lastRenderedPageBreak/>
        <w:t>Primo Periodo di Rinnovo</w:t>
      </w:r>
    </w:p>
    <w:p w:rsidR="008233B3" w:rsidRPr="00BD7CEA" w:rsidRDefault="008233B3" w:rsidP="008233B3">
      <w:pPr>
        <w:tabs>
          <w:tab w:val="left" w:pos="1800"/>
        </w:tabs>
        <w:spacing w:after="60"/>
        <w:ind w:left="720"/>
      </w:pPr>
      <w:r w:rsidRPr="00BD7CEA">
        <w:rPr>
          <w:rFonts w:eastAsia="Calibri" w:cs="Tahoma"/>
          <w:color w:val="000000"/>
          <w:szCs w:val="18"/>
        </w:rPr>
        <w:t>In occasione del primo rinnovo di Software Assurance in data 1 aprile 2013 o successiva, per ogni server che una società ha ricevuto validamente in licenza in conformità ai diritti di utilizzo del prodotto previsti dalla</w:t>
      </w:r>
      <w:r w:rsidR="00A20649" w:rsidRPr="00BD7CEA">
        <w:rPr>
          <w:rFonts w:eastAsia="Calibri" w:cs="Tahoma"/>
          <w:color w:val="000000"/>
          <w:szCs w:val="18"/>
        </w:rPr>
        <w:t> </w:t>
      </w:r>
      <w:r w:rsidRPr="00BD7CEA">
        <w:rPr>
          <w:rFonts w:eastAsia="Calibri" w:cs="Tahoma"/>
          <w:color w:val="000000"/>
          <w:szCs w:val="18"/>
        </w:rPr>
        <w:t>licenza per processore BizTalk Server 2010, la società potrà acquistare la copertura Software Assurance per le licenze core per BizTalk Server Enterprise senza dovere acquistare le licenze core sottostanti per un numero di licenze core pari al numero di licenze per processore qualificanti cedute al</w:t>
      </w:r>
      <w:r w:rsidR="00A20649" w:rsidRPr="00BD7CEA">
        <w:rPr>
          <w:rFonts w:eastAsia="Calibri" w:cs="Tahoma"/>
          <w:color w:val="000000"/>
          <w:szCs w:val="18"/>
        </w:rPr>
        <w:t> </w:t>
      </w:r>
      <w:r w:rsidRPr="00BD7CEA">
        <w:rPr>
          <w:rFonts w:eastAsia="Calibri" w:cs="Tahoma"/>
          <w:color w:val="000000"/>
          <w:szCs w:val="18"/>
        </w:rPr>
        <w:t xml:space="preserve">server moltiplicato per il maggiore tra: </w:t>
      </w:r>
    </w:p>
    <w:p w:rsidR="008233B3" w:rsidRPr="00BD7CEA" w:rsidRDefault="008233B3" w:rsidP="007358C5">
      <w:pPr>
        <w:numPr>
          <w:ilvl w:val="3"/>
          <w:numId w:val="92"/>
        </w:numPr>
        <w:tabs>
          <w:tab w:val="left" w:pos="2160"/>
        </w:tabs>
        <w:spacing w:after="60"/>
        <w:ind w:left="2160"/>
      </w:pPr>
      <w:r w:rsidRPr="00BD7CEA">
        <w:rPr>
          <w:rFonts w:eastAsia="Calibri" w:cs="Tahoma"/>
          <w:color w:val="000000"/>
          <w:szCs w:val="18"/>
        </w:rPr>
        <w:t>quattro O</w:t>
      </w:r>
    </w:p>
    <w:p w:rsidR="008233B3" w:rsidRPr="00BD7CEA" w:rsidRDefault="008233B3" w:rsidP="007358C5">
      <w:pPr>
        <w:numPr>
          <w:ilvl w:val="3"/>
          <w:numId w:val="92"/>
        </w:numPr>
        <w:tabs>
          <w:tab w:val="left" w:pos="2160"/>
        </w:tabs>
        <w:spacing w:after="60"/>
        <w:ind w:left="2160"/>
      </w:pPr>
      <w:r w:rsidRPr="00BD7CEA">
        <w:rPr>
          <w:rFonts w:eastAsia="Calibri" w:cs="Tahoma"/>
          <w:color w:val="000000"/>
          <w:szCs w:val="18"/>
        </w:rPr>
        <w:t>il numero effettivo di core per processore fisico moltiplicato per il fattore core appropriato.</w:t>
      </w:r>
      <w:r w:rsidR="008D782D" w:rsidRPr="00BD7CEA">
        <w:rPr>
          <w:rFonts w:eastAsia="Calibri" w:cs="Tahoma"/>
          <w:color w:val="000000"/>
          <w:szCs w:val="18"/>
        </w:rPr>
        <w:t xml:space="preserve"> </w:t>
      </w:r>
      <w:r w:rsidRPr="00BD7CEA">
        <w:rPr>
          <w:rFonts w:eastAsia="Calibri" w:cs="Tahoma"/>
          <w:color w:val="000000"/>
          <w:szCs w:val="18"/>
        </w:rPr>
        <w:t>(Nei casi in cui il numero effettivo di core per processore fisico superi quattro, le società dovranno conservare un record della configurazione del software BizTalk Server in esecuzione sul server (istanze con licenza in esecuzione negli ambienti del sistema operativo sul server con licenza) e l</w:t>
      </w:r>
      <w:r w:rsidR="007A1415" w:rsidRPr="00BD7CEA">
        <w:rPr>
          <w:rFonts w:eastAsia="Calibri" w:cs="Tahoma"/>
          <w:color w:val="000000"/>
          <w:szCs w:val="18"/>
        </w:rPr>
        <w:t>’</w:t>
      </w:r>
      <w:r w:rsidRPr="00BD7CEA">
        <w:rPr>
          <w:rFonts w:eastAsia="Calibri" w:cs="Tahoma"/>
          <w:color w:val="000000"/>
          <w:szCs w:val="18"/>
        </w:rPr>
        <w:t xml:space="preserve">hardware fisico che supporta tale software appena prima del rinnovo di Software Assurance utilizzando lo strumento MAP di Microsoft o un software equivalente). </w:t>
      </w:r>
    </w:p>
    <w:p w:rsidR="008233B3" w:rsidRPr="00BD7CEA" w:rsidRDefault="008233B3" w:rsidP="008233B3">
      <w:pPr>
        <w:tabs>
          <w:tab w:val="left" w:pos="1800"/>
        </w:tabs>
        <w:ind w:left="1080"/>
      </w:pPr>
    </w:p>
    <w:p w:rsidR="008233B3" w:rsidRPr="00BD7CEA" w:rsidRDefault="008233B3" w:rsidP="008233B3">
      <w:pPr>
        <w:spacing w:after="60"/>
        <w:ind w:left="720"/>
      </w:pPr>
      <w:r w:rsidRPr="00BD7CEA">
        <w:rPr>
          <w:rFonts w:eastAsia="Calibri" w:cs="Tahoma"/>
          <w:color w:val="000000"/>
          <w:szCs w:val="18"/>
        </w:rPr>
        <w:t xml:space="preserve">Le licenze per processore delle società non sono più valide se si acquista la copertura Software Assurance per licenze core ai sensi della presente offerta. </w:t>
      </w:r>
      <w:r w:rsidRPr="00BD7CEA">
        <w:rPr>
          <w:rFonts w:eastAsia="Calibri" w:cs="Tahoma"/>
          <w:szCs w:val="18"/>
        </w:rPr>
        <w:t>L</w:t>
      </w:r>
      <w:r w:rsidR="007A1415" w:rsidRPr="00BD7CEA">
        <w:rPr>
          <w:rFonts w:eastAsia="Calibri" w:cs="Tahoma"/>
          <w:szCs w:val="18"/>
        </w:rPr>
        <w:t>’</w:t>
      </w:r>
      <w:r w:rsidRPr="00BD7CEA">
        <w:rPr>
          <w:rFonts w:eastAsia="Calibri" w:cs="Tahoma"/>
          <w:szCs w:val="18"/>
        </w:rPr>
        <w:t>opzione di acquistare Software Assurance per le licenze core per BizTalk Server non è applicabile al rinnovo della copertura ai sensi dei programmi di sottoscrizione.</w:t>
      </w:r>
      <w:r w:rsidR="008D782D" w:rsidRPr="00BD7CEA">
        <w:rPr>
          <w:rFonts w:eastAsia="Calibri" w:cs="Tahoma"/>
          <w:szCs w:val="18"/>
        </w:rPr>
        <w:t xml:space="preserve"> </w:t>
      </w:r>
    </w:p>
    <w:p w:rsidR="008233B3" w:rsidRPr="00BD7CEA" w:rsidRDefault="008233B3" w:rsidP="008233B3">
      <w:pPr>
        <w:ind w:left="1440"/>
      </w:pPr>
    </w:p>
    <w:p w:rsidR="008233B3" w:rsidRPr="00BD7CEA" w:rsidRDefault="008233B3" w:rsidP="008233B3">
      <w:pPr>
        <w:tabs>
          <w:tab w:val="left" w:pos="1440"/>
        </w:tabs>
        <w:spacing w:after="60"/>
        <w:ind w:left="720"/>
      </w:pPr>
      <w:r w:rsidRPr="00BD7CEA">
        <w:rPr>
          <w:rFonts w:eastAsia="Calibri" w:cs="Tahoma"/>
          <w:b/>
          <w:color w:val="000000"/>
          <w:szCs w:val="18"/>
        </w:rPr>
        <w:t>Per le Società con copertura Software Assurance che scelgono di non effettuare il rinnovo</w:t>
      </w:r>
    </w:p>
    <w:p w:rsidR="008233B3" w:rsidRPr="00BD7CEA" w:rsidRDefault="008233B3" w:rsidP="008233B3">
      <w:pPr>
        <w:tabs>
          <w:tab w:val="left" w:pos="1440"/>
        </w:tabs>
        <w:ind w:left="720"/>
      </w:pPr>
      <w:r w:rsidRPr="00BD7CEA">
        <w:rPr>
          <w:rFonts w:eastAsia="Calibri" w:cs="Tahoma"/>
          <w:color w:val="000000"/>
          <w:szCs w:val="18"/>
        </w:rPr>
        <w:t xml:space="preserve">le società titolari di contratti Enterprise Subscription </w:t>
      </w:r>
      <w:r w:rsidRPr="00BD7CEA">
        <w:rPr>
          <w:rFonts w:cs="Tahoma"/>
          <w:bCs/>
          <w:color w:val="000000"/>
          <w:szCs w:val="18"/>
        </w:rPr>
        <w:t xml:space="preserve">e Open Value Subscription </w:t>
      </w:r>
      <w:r w:rsidRPr="00BD7CEA">
        <w:rPr>
          <w:rFonts w:eastAsia="Calibri" w:cs="Tahoma"/>
          <w:color w:val="000000"/>
          <w:szCs w:val="18"/>
        </w:rPr>
        <w:t>che scelgono di effettuare il</w:t>
      </w:r>
      <w:r w:rsidR="00A20649" w:rsidRPr="00BD7CEA">
        <w:rPr>
          <w:rFonts w:eastAsia="Calibri" w:cs="Tahoma"/>
          <w:color w:val="000000"/>
          <w:szCs w:val="18"/>
        </w:rPr>
        <w:t> </w:t>
      </w:r>
      <w:r w:rsidRPr="00BD7CEA">
        <w:rPr>
          <w:rFonts w:eastAsia="Calibri" w:cs="Tahoma"/>
          <w:color w:val="000000"/>
          <w:szCs w:val="18"/>
        </w:rPr>
        <w:t>buy-out delle licenze per processore e le altre società che acquistano licenze perpetue ai sensi del loro contratto e scelgono di non rinnovare Software Assurance potranno eseguire BizTalk Server 2010 o BizTalk Server 2013 ai sensi di tali licenze come indicato sotto:</w:t>
      </w:r>
    </w:p>
    <w:p w:rsidR="008233B3" w:rsidRPr="00BD7CEA" w:rsidRDefault="008233B3" w:rsidP="008233B3">
      <w:pPr>
        <w:tabs>
          <w:tab w:val="left" w:pos="1440"/>
        </w:tabs>
        <w:ind w:left="720"/>
      </w:pPr>
    </w:p>
    <w:p w:rsidR="008233B3" w:rsidRPr="00BD7CEA" w:rsidRDefault="008233B3" w:rsidP="007358C5">
      <w:pPr>
        <w:numPr>
          <w:ilvl w:val="0"/>
          <w:numId w:val="52"/>
        </w:numPr>
        <w:spacing w:after="60"/>
        <w:ind w:left="1440"/>
      </w:pPr>
      <w:r w:rsidRPr="00BD7CEA">
        <w:rPr>
          <w:rFonts w:eastAsia="Calibri" w:cs="Tahoma"/>
          <w:b/>
          <w:color w:val="000000"/>
          <w:szCs w:val="18"/>
        </w:rPr>
        <w:t>BizTalk Server 2010 Enterprise:</w:t>
      </w:r>
      <w:r w:rsidRPr="00BD7CEA">
        <w:rPr>
          <w:rFonts w:eastAsia="Calibri" w:cs="Tahoma"/>
          <w:color w:val="000000"/>
          <w:szCs w:val="18"/>
        </w:rPr>
        <w:t xml:space="preserve"> L</w:t>
      </w:r>
      <w:r w:rsidR="007A1415" w:rsidRPr="00BD7CEA">
        <w:rPr>
          <w:rFonts w:eastAsia="Calibri" w:cs="Tahoma"/>
          <w:color w:val="000000"/>
          <w:szCs w:val="18"/>
        </w:rPr>
        <w:t>’</w:t>
      </w:r>
      <w:r w:rsidRPr="00BD7CEA">
        <w:rPr>
          <w:rFonts w:eastAsia="Calibri" w:cs="Tahoma"/>
          <w:color w:val="000000"/>
          <w:szCs w:val="18"/>
        </w:rPr>
        <w:t>utilizzo continuativo di questo software è soggetto ai diritti di</w:t>
      </w:r>
      <w:r w:rsidR="00A20649" w:rsidRPr="00BD7CEA">
        <w:rPr>
          <w:rFonts w:eastAsia="Calibri" w:cs="Tahoma"/>
          <w:color w:val="000000"/>
          <w:szCs w:val="18"/>
        </w:rPr>
        <w:t> </w:t>
      </w:r>
      <w:r w:rsidRPr="00BD7CEA">
        <w:rPr>
          <w:rFonts w:eastAsia="Calibri" w:cs="Tahoma"/>
          <w:color w:val="000000"/>
          <w:szCs w:val="18"/>
        </w:rPr>
        <w:t>utilizzo del prodotto previsti dalla licenza per processore per BizTalk Server 2010 Enterprise; tuttavia, le società non disporranno più di Mobilità delle Licenze tramite Software Assurance.</w:t>
      </w:r>
    </w:p>
    <w:p w:rsidR="008233B3" w:rsidRPr="00BD7CEA" w:rsidRDefault="008233B3" w:rsidP="007358C5">
      <w:pPr>
        <w:numPr>
          <w:ilvl w:val="0"/>
          <w:numId w:val="52"/>
        </w:numPr>
        <w:tabs>
          <w:tab w:val="left" w:pos="1800"/>
        </w:tabs>
        <w:spacing w:after="60"/>
        <w:ind w:left="1440"/>
      </w:pPr>
      <w:r w:rsidRPr="00BD7CEA">
        <w:rPr>
          <w:rFonts w:eastAsia="Calibri" w:cs="Tahoma"/>
          <w:b/>
          <w:color w:val="000000"/>
          <w:szCs w:val="18"/>
        </w:rPr>
        <w:t xml:space="preserve">BizTalk Server 2013 Enterprise: </w:t>
      </w:r>
      <w:r w:rsidRPr="00BD7CEA">
        <w:rPr>
          <w:rFonts w:eastAsia="Calibri" w:cs="Tahoma"/>
          <w:color w:val="000000"/>
          <w:szCs w:val="18"/>
        </w:rPr>
        <w:t>l</w:t>
      </w:r>
      <w:r w:rsidR="007A1415" w:rsidRPr="00BD7CEA">
        <w:rPr>
          <w:rFonts w:eastAsia="Calibri" w:cs="Tahoma"/>
          <w:color w:val="000000"/>
          <w:szCs w:val="18"/>
        </w:rPr>
        <w:t>’</w:t>
      </w:r>
      <w:r w:rsidRPr="00BD7CEA">
        <w:rPr>
          <w:rFonts w:eastAsia="Calibri" w:cs="Tahoma"/>
          <w:color w:val="000000"/>
          <w:szCs w:val="18"/>
        </w:rPr>
        <w:t xml:space="preserve">utilizzo di tale versione del software è soggetto ai diritti di utilizzo del prodotto previsti dalla licenza per processore per BizTalk Server 2010 Enterprise, tuttavia: </w:t>
      </w:r>
    </w:p>
    <w:p w:rsidR="008233B3" w:rsidRPr="00BD7CEA" w:rsidRDefault="008233B3" w:rsidP="007358C5">
      <w:pPr>
        <w:numPr>
          <w:ilvl w:val="1"/>
          <w:numId w:val="52"/>
        </w:numPr>
        <w:tabs>
          <w:tab w:val="left" w:pos="2160"/>
        </w:tabs>
        <w:spacing w:after="60"/>
        <w:ind w:left="2160"/>
      </w:pPr>
      <w:r w:rsidRPr="00BD7CEA">
        <w:rPr>
          <w:rFonts w:eastAsia="Calibri" w:cs="Tahoma"/>
          <w:color w:val="000000"/>
          <w:szCs w:val="18"/>
        </w:rPr>
        <w:t>le società non disporranno più della Mobilità delle Licenze all</w:t>
      </w:r>
      <w:r w:rsidR="007A1415" w:rsidRPr="00BD7CEA">
        <w:rPr>
          <w:rFonts w:eastAsia="Calibri" w:cs="Tahoma"/>
          <w:color w:val="000000"/>
          <w:szCs w:val="18"/>
        </w:rPr>
        <w:t>’</w:t>
      </w:r>
      <w:r w:rsidRPr="00BD7CEA">
        <w:rPr>
          <w:rFonts w:eastAsia="Calibri" w:cs="Tahoma"/>
          <w:color w:val="000000"/>
          <w:szCs w:val="18"/>
        </w:rPr>
        <w:t xml:space="preserve">interno di Server Farm o della Mobilità delle Licenze tramite Software Assurance e </w:t>
      </w:r>
    </w:p>
    <w:p w:rsidR="008233B3" w:rsidRPr="00BD7CEA" w:rsidRDefault="008233B3" w:rsidP="007358C5">
      <w:pPr>
        <w:numPr>
          <w:ilvl w:val="1"/>
          <w:numId w:val="52"/>
        </w:numPr>
        <w:tabs>
          <w:tab w:val="left" w:pos="2160"/>
          <w:tab w:val="left" w:pos="2970"/>
        </w:tabs>
        <w:spacing w:after="60"/>
        <w:ind w:left="2160"/>
      </w:pPr>
      <w:r w:rsidRPr="00BD7CEA">
        <w:rPr>
          <w:rFonts w:eastAsia="Calibri" w:cs="Tahoma"/>
          <w:color w:val="000000"/>
          <w:szCs w:val="18"/>
        </w:rPr>
        <w:t>l</w:t>
      </w:r>
      <w:r w:rsidR="007A1415" w:rsidRPr="00BD7CEA">
        <w:rPr>
          <w:rFonts w:eastAsia="Calibri" w:cs="Tahoma"/>
          <w:color w:val="000000"/>
          <w:szCs w:val="18"/>
        </w:rPr>
        <w:t>’</w:t>
      </w:r>
      <w:r w:rsidRPr="00BD7CEA">
        <w:rPr>
          <w:rFonts w:eastAsia="Calibri" w:cs="Tahoma"/>
          <w:color w:val="000000"/>
          <w:szCs w:val="18"/>
        </w:rPr>
        <w:t>eventuale riassegnazione di licenze è soggetta ai limiti che seguono relativi alla loro “equivalenza di licenze core”. L</w:t>
      </w:r>
      <w:r w:rsidR="007A1415" w:rsidRPr="00BD7CEA">
        <w:rPr>
          <w:rFonts w:eastAsia="Calibri" w:cs="Tahoma"/>
          <w:color w:val="000000"/>
          <w:szCs w:val="18"/>
        </w:rPr>
        <w:t>’</w:t>
      </w:r>
      <w:r w:rsidRPr="00BD7CEA">
        <w:rPr>
          <w:rFonts w:eastAsia="Calibri" w:cs="Tahoma"/>
          <w:color w:val="000000"/>
          <w:szCs w:val="18"/>
        </w:rPr>
        <w:t xml:space="preserve">equivalenza di licenze core è determinata come di seguito riportato. </w:t>
      </w:r>
    </w:p>
    <w:p w:rsidR="008233B3" w:rsidRPr="00BD7CEA" w:rsidRDefault="008233B3" w:rsidP="007358C5">
      <w:pPr>
        <w:numPr>
          <w:ilvl w:val="2"/>
          <w:numId w:val="52"/>
        </w:numPr>
        <w:tabs>
          <w:tab w:val="left" w:pos="2520"/>
        </w:tabs>
        <w:spacing w:after="60"/>
        <w:ind w:left="2520"/>
      </w:pPr>
      <w:r w:rsidRPr="00BD7CEA">
        <w:rPr>
          <w:rFonts w:eastAsia="Calibri" w:cs="Tahoma"/>
          <w:color w:val="000000"/>
          <w:szCs w:val="18"/>
        </w:rPr>
        <w:t>Per ogni licenza qualificante ceduta al server, l</w:t>
      </w:r>
      <w:r w:rsidR="007A1415" w:rsidRPr="00BD7CEA">
        <w:rPr>
          <w:rFonts w:eastAsia="Calibri" w:cs="Tahoma"/>
          <w:color w:val="000000"/>
          <w:szCs w:val="18"/>
        </w:rPr>
        <w:t>’</w:t>
      </w:r>
      <w:r w:rsidRPr="00BD7CEA">
        <w:rPr>
          <w:rFonts w:eastAsia="Calibri" w:cs="Tahoma"/>
          <w:color w:val="000000"/>
          <w:szCs w:val="18"/>
        </w:rPr>
        <w:t xml:space="preserve">equivalenza di licenze core è il numero maggiore tra: </w:t>
      </w:r>
    </w:p>
    <w:p w:rsidR="008233B3" w:rsidRPr="00BD7CEA" w:rsidRDefault="008233B3" w:rsidP="007358C5">
      <w:pPr>
        <w:numPr>
          <w:ilvl w:val="4"/>
          <w:numId w:val="125"/>
        </w:numPr>
        <w:tabs>
          <w:tab w:val="left" w:pos="2880"/>
        </w:tabs>
        <w:spacing w:after="60"/>
        <w:ind w:left="2880"/>
      </w:pPr>
      <w:r w:rsidRPr="00BD7CEA">
        <w:rPr>
          <w:rFonts w:eastAsia="Calibri" w:cs="Tahoma"/>
          <w:color w:val="000000"/>
          <w:szCs w:val="18"/>
        </w:rPr>
        <w:t xml:space="preserve">quattro core per licenza per processore O </w:t>
      </w:r>
    </w:p>
    <w:p w:rsidR="008233B3" w:rsidRPr="00BD7CEA" w:rsidRDefault="008233B3" w:rsidP="007358C5">
      <w:pPr>
        <w:numPr>
          <w:ilvl w:val="4"/>
          <w:numId w:val="125"/>
        </w:numPr>
        <w:tabs>
          <w:tab w:val="left" w:pos="2880"/>
        </w:tabs>
        <w:spacing w:after="60"/>
        <w:ind w:left="2880"/>
      </w:pPr>
      <w:r w:rsidRPr="00BD7CEA">
        <w:rPr>
          <w:rFonts w:eastAsia="Calibri" w:cs="Tahoma"/>
          <w:color w:val="000000"/>
          <w:szCs w:val="18"/>
        </w:rPr>
        <w:t>un numero di core per licenza per processore basato sul numero effettivo di core per processore fisico moltiplicato per il fattore core appropriato. (Nei casi in cui il numero effettivo di core per processore fisico superi quattro, le società dovranno conservare un record della configurazione del software BizTalk Server in esecuzione sul server (istanze con licenza in esecuzione negli ambienti del sistema operativo sul server con licenza) e l</w:t>
      </w:r>
      <w:r w:rsidR="007A1415" w:rsidRPr="00BD7CEA">
        <w:rPr>
          <w:rFonts w:eastAsia="Calibri" w:cs="Tahoma"/>
          <w:color w:val="000000"/>
          <w:szCs w:val="18"/>
        </w:rPr>
        <w:t>’</w:t>
      </w:r>
      <w:r w:rsidRPr="00BD7CEA">
        <w:rPr>
          <w:rFonts w:eastAsia="Calibri" w:cs="Tahoma"/>
          <w:color w:val="000000"/>
          <w:szCs w:val="18"/>
        </w:rPr>
        <w:t xml:space="preserve">hardware fisico che supporta tale software appena prima della scadenza di Software Assurance utilizzando lo strumento MAP di Microsoft o un software equivalente). </w:t>
      </w:r>
    </w:p>
    <w:p w:rsidR="008233B3" w:rsidRPr="00BD7CEA" w:rsidRDefault="008233B3" w:rsidP="007358C5">
      <w:pPr>
        <w:numPr>
          <w:ilvl w:val="1"/>
          <w:numId w:val="126"/>
        </w:numPr>
        <w:tabs>
          <w:tab w:val="left" w:pos="1800"/>
        </w:tabs>
        <w:spacing w:after="60"/>
        <w:rPr>
          <w:spacing w:val="-2"/>
        </w:rPr>
      </w:pPr>
      <w:r w:rsidRPr="00BD7CEA">
        <w:rPr>
          <w:rFonts w:eastAsia="Calibri" w:cs="Tahoma"/>
          <w:color w:val="000000"/>
          <w:spacing w:val="-2"/>
          <w:szCs w:val="18"/>
        </w:rPr>
        <w:t>Le società potranno riassegnare le licenze a un altro server. Tuttavia, qualora la società riassegni una licenza a un altro server, dovrà attenersi ai diritti sull</w:t>
      </w:r>
      <w:r w:rsidR="007A1415" w:rsidRPr="00BD7CEA">
        <w:rPr>
          <w:rFonts w:eastAsia="Calibri" w:cs="Tahoma"/>
          <w:color w:val="000000"/>
          <w:spacing w:val="-2"/>
          <w:szCs w:val="18"/>
        </w:rPr>
        <w:t>’</w:t>
      </w:r>
      <w:r w:rsidRPr="00BD7CEA">
        <w:rPr>
          <w:rFonts w:eastAsia="Calibri" w:cs="Tahoma"/>
          <w:color w:val="000000"/>
          <w:spacing w:val="-2"/>
          <w:szCs w:val="18"/>
        </w:rPr>
        <w:t>utilizzo di BizTalk Server 2013. Quando cede licenze core a server ai sensi dei diritti sull</w:t>
      </w:r>
      <w:r w:rsidR="007A1415" w:rsidRPr="00BD7CEA">
        <w:rPr>
          <w:rFonts w:eastAsia="Calibri" w:cs="Tahoma"/>
          <w:color w:val="000000"/>
          <w:spacing w:val="-2"/>
          <w:szCs w:val="18"/>
        </w:rPr>
        <w:t>’</w:t>
      </w:r>
      <w:r w:rsidRPr="00BD7CEA">
        <w:rPr>
          <w:rFonts w:eastAsia="Calibri" w:cs="Tahoma"/>
          <w:color w:val="000000"/>
          <w:spacing w:val="-2"/>
          <w:szCs w:val="18"/>
        </w:rPr>
        <w:t>utilizzo per BizTalk 2013, la società potrà combinare l</w:t>
      </w:r>
      <w:r w:rsidR="007A1415" w:rsidRPr="00BD7CEA">
        <w:rPr>
          <w:rFonts w:eastAsia="Calibri" w:cs="Tahoma"/>
          <w:color w:val="000000"/>
          <w:spacing w:val="-2"/>
          <w:szCs w:val="18"/>
        </w:rPr>
        <w:t>’</w:t>
      </w:r>
      <w:r w:rsidRPr="00BD7CEA">
        <w:rPr>
          <w:rFonts w:eastAsia="Calibri" w:cs="Tahoma"/>
          <w:color w:val="000000"/>
          <w:spacing w:val="-2"/>
          <w:szCs w:val="18"/>
        </w:rPr>
        <w:t>equivalenza core delle licenze esistenti con le licenze core per BizTalk Server 2013 aggiuntive.</w:t>
      </w:r>
    </w:p>
    <w:p w:rsidR="008233B3" w:rsidRPr="00BD7CEA" w:rsidRDefault="008233B3" w:rsidP="007358C5">
      <w:pPr>
        <w:numPr>
          <w:ilvl w:val="1"/>
          <w:numId w:val="126"/>
        </w:numPr>
        <w:tabs>
          <w:tab w:val="left" w:pos="1800"/>
          <w:tab w:val="left" w:pos="2970"/>
        </w:tabs>
        <w:spacing w:after="60"/>
      </w:pPr>
      <w:r w:rsidRPr="00BD7CEA">
        <w:rPr>
          <w:rFonts w:eastAsia="Calibri" w:cs="Tahoma"/>
          <w:color w:val="000000"/>
          <w:szCs w:val="18"/>
        </w:rPr>
        <w:t>L</w:t>
      </w:r>
      <w:r w:rsidR="007A1415" w:rsidRPr="00BD7CEA">
        <w:rPr>
          <w:rFonts w:eastAsia="Calibri" w:cs="Tahoma"/>
          <w:color w:val="000000"/>
          <w:szCs w:val="18"/>
        </w:rPr>
        <w:t>’</w:t>
      </w:r>
      <w:r w:rsidRPr="00BD7CEA">
        <w:rPr>
          <w:rFonts w:eastAsia="Calibri" w:cs="Tahoma"/>
          <w:color w:val="000000"/>
          <w:szCs w:val="18"/>
        </w:rPr>
        <w:t>equivalenza di licenze core stimata delle società non implica che esse possano cedere una licenza singola per processore a core attraverso due o più processori.</w:t>
      </w:r>
    </w:p>
    <w:p w:rsidR="008233B3" w:rsidRPr="00BD7CEA" w:rsidRDefault="008233B3" w:rsidP="008233B3">
      <w:pPr>
        <w:ind w:left="1440"/>
      </w:pPr>
    </w:p>
    <w:p w:rsidR="008233B3" w:rsidRPr="00BD7CEA" w:rsidRDefault="008233B3" w:rsidP="008233B3">
      <w:pPr>
        <w:tabs>
          <w:tab w:val="left" w:pos="720"/>
        </w:tabs>
        <w:spacing w:after="60"/>
        <w:ind w:left="720"/>
      </w:pPr>
      <w:r w:rsidRPr="00BD7CEA">
        <w:rPr>
          <w:b/>
        </w:rPr>
        <w:lastRenderedPageBreak/>
        <w:t>Per le società con sede nella Repubblica popolare</w:t>
      </w:r>
      <w:r w:rsidRPr="00BD7CEA">
        <w:t xml:space="preserve"> </w:t>
      </w:r>
      <w:r w:rsidRPr="00BD7CEA">
        <w:rPr>
          <w:b/>
        </w:rPr>
        <w:t>cinese, dove acquistano licenze per processore e Software Assurance per BizTalk Server 2010</w:t>
      </w:r>
    </w:p>
    <w:p w:rsidR="008233B3" w:rsidRPr="00BD7CEA" w:rsidRDefault="008233B3" w:rsidP="008233B3">
      <w:pPr>
        <w:tabs>
          <w:tab w:val="left" w:pos="720"/>
        </w:tabs>
        <w:ind w:left="720"/>
      </w:pPr>
      <w:r w:rsidRPr="00BD7CEA">
        <w:t xml:space="preserve">Non si applica il riferimento al 1 aprile 2013 presente in questa nota relativa alla lista dei prodotti. </w:t>
      </w:r>
      <w:r w:rsidR="00DC6528">
        <w:br/>
      </w:r>
      <w:r w:rsidRPr="00BD7CEA">
        <w:t>La data applicabile per queste società sarebbe il 1 maggio 2013.</w:t>
      </w:r>
    </w:p>
    <w:p w:rsidR="00A20649" w:rsidRPr="00BD7CEA" w:rsidRDefault="00A20649" w:rsidP="008233B3">
      <w:pPr>
        <w:ind w:left="720"/>
      </w:pPr>
    </w:p>
    <w:p w:rsidR="00A20649" w:rsidRPr="00BD7CEA" w:rsidRDefault="00A20649" w:rsidP="008233B3">
      <w:pPr>
        <w:ind w:left="720"/>
      </w:pPr>
    </w:p>
    <w:p w:rsidR="008233B3" w:rsidRPr="00BD7CEA" w:rsidRDefault="004668D9" w:rsidP="008233B3">
      <w:pPr>
        <w:pStyle w:val="Heading3"/>
      </w:pPr>
      <w:bookmarkStart w:id="1175" w:name="_34_BizTalk_Server®"/>
      <w:bookmarkStart w:id="1176" w:name="_Toc353376072"/>
      <w:bookmarkStart w:id="1177" w:name="_Toc343596569"/>
      <w:bookmarkEnd w:id="1175"/>
      <w:r w:rsidRPr="00BD7CEA">
        <w:rPr>
          <w:rFonts w:ascii="Tahoma" w:hAnsi="Tahoma" w:cs="Tahoma"/>
          <w:caps/>
          <w:color w:val="F66400"/>
          <w:sz w:val="22"/>
          <w:vertAlign w:val="superscript"/>
        </w:rPr>
        <w:t>34</w:t>
      </w:r>
      <w:r w:rsidRPr="00BD7CEA">
        <w:rPr>
          <w:rFonts w:ascii="Tahoma" w:hAnsi="Tahoma" w:cs="Tahoma"/>
          <w:color w:val="F66400"/>
          <w:sz w:val="22"/>
        </w:rPr>
        <w:t xml:space="preserve"> BizTalk Server</w:t>
      </w:r>
      <w:r w:rsidR="00700C4B" w:rsidRPr="00BD7CEA">
        <w:rPr>
          <w:rFonts w:ascii="Tahoma" w:hAnsi="Tahoma" w:cs="Tahoma"/>
          <w:color w:val="F66400"/>
          <w:sz w:val="22"/>
          <w:vertAlign w:val="superscript"/>
        </w:rPr>
        <w:t>®</w:t>
      </w:r>
      <w:r w:rsidRPr="00BD7CEA">
        <w:rPr>
          <w:rFonts w:ascii="Tahoma" w:hAnsi="Tahoma" w:cs="Tahoma"/>
          <w:color w:val="F66400"/>
          <w:sz w:val="22"/>
        </w:rPr>
        <w:t xml:space="preserve"> 2013 Standard</w:t>
      </w:r>
      <w:bookmarkEnd w:id="1176"/>
      <w:r w:rsidRPr="00BD7CEA">
        <w:rPr>
          <w:rFonts w:ascii="Tahoma" w:eastAsia="Calibri" w:hAnsi="Tahoma" w:cs="Tahoma"/>
          <w:color w:val="F66400"/>
          <w:sz w:val="22"/>
          <w:szCs w:val="18"/>
        </w:rPr>
        <w:t xml:space="preserve"> </w:t>
      </w:r>
      <w:bookmarkEnd w:id="1177"/>
    </w:p>
    <w:p w:rsidR="008233B3" w:rsidRPr="00BD7CEA" w:rsidRDefault="008233B3" w:rsidP="008233B3"/>
    <w:p w:rsidR="008233B3" w:rsidRPr="00BD7CEA" w:rsidRDefault="008233B3" w:rsidP="008233B3">
      <w:pPr>
        <w:spacing w:after="60"/>
        <w:ind w:left="720"/>
      </w:pPr>
      <w:r w:rsidRPr="00BD7CEA">
        <w:rPr>
          <w:rFonts w:eastAsia="Calibri" w:cs="Tahoma"/>
          <w:b/>
          <w:color w:val="000000"/>
          <w:szCs w:val="18"/>
        </w:rPr>
        <w:t>Concessioni di Licenza Associate alla Variazione del Modello di Licenza</w:t>
      </w:r>
    </w:p>
    <w:p w:rsidR="008233B3" w:rsidRPr="00BD7CEA" w:rsidRDefault="008233B3" w:rsidP="008233B3">
      <w:pPr>
        <w:ind w:left="720"/>
      </w:pPr>
      <w:r w:rsidRPr="00BD7CEA">
        <w:rPr>
          <w:rFonts w:eastAsia="Calibri" w:cs="Tahoma"/>
          <w:color w:val="000000"/>
          <w:szCs w:val="18"/>
        </w:rPr>
        <w:t>BizTalk Server 2010 sarà l</w:t>
      </w:r>
      <w:r w:rsidR="007A1415" w:rsidRPr="00BD7CEA">
        <w:rPr>
          <w:rFonts w:eastAsia="Calibri" w:cs="Tahoma"/>
          <w:color w:val="000000"/>
          <w:szCs w:val="18"/>
        </w:rPr>
        <w:t>’</w:t>
      </w:r>
      <w:r w:rsidRPr="00BD7CEA">
        <w:rPr>
          <w:rFonts w:eastAsia="Calibri" w:cs="Tahoma"/>
          <w:color w:val="000000"/>
          <w:szCs w:val="18"/>
        </w:rPr>
        <w:t>ultima versione di BizTalk Server concessa in licenza ai sensi del modello di licenza per processore.</w:t>
      </w:r>
      <w:r w:rsidR="008D782D" w:rsidRPr="00BD7CEA">
        <w:rPr>
          <w:rFonts w:eastAsia="Calibri" w:cs="Tahoma"/>
          <w:color w:val="000000"/>
          <w:szCs w:val="18"/>
        </w:rPr>
        <w:t xml:space="preserve"> </w:t>
      </w:r>
      <w:r w:rsidRPr="00BD7CEA">
        <w:rPr>
          <w:rFonts w:eastAsia="Calibri" w:cs="Tahoma"/>
          <w:color w:val="000000"/>
          <w:szCs w:val="18"/>
        </w:rPr>
        <w:t xml:space="preserve">In via eccezionale, alle società con contratti multilicenza e copertura Software Assurance attiva per le licenze per processore per BizTalk Server 2010 Standard in data 1 aprile 2013 (“licenze qualificanti”) vengono offerte le opzioni che seguono. Le licenze per processore per BizTalk Server 2010 Standard </w:t>
      </w:r>
      <w:r w:rsidRPr="00BD7CEA">
        <w:rPr>
          <w:rFonts w:cs="Tahoma"/>
          <w:bCs/>
          <w:color w:val="000000"/>
          <w:szCs w:val="18"/>
        </w:rPr>
        <w:t>acquistate successivamente nello stesso periodo di validità dell</w:t>
      </w:r>
      <w:r w:rsidR="007A1415" w:rsidRPr="00BD7CEA">
        <w:rPr>
          <w:rFonts w:cs="Tahoma"/>
          <w:bCs/>
          <w:color w:val="000000"/>
          <w:szCs w:val="18"/>
        </w:rPr>
        <w:t>’</w:t>
      </w:r>
      <w:r w:rsidRPr="00BD7CEA">
        <w:rPr>
          <w:rFonts w:cs="Tahoma"/>
          <w:bCs/>
          <w:color w:val="000000"/>
          <w:szCs w:val="18"/>
        </w:rPr>
        <w:t>iscrizione nell</w:t>
      </w:r>
      <w:r w:rsidR="007A1415" w:rsidRPr="00BD7CEA">
        <w:rPr>
          <w:rFonts w:cs="Tahoma"/>
          <w:bCs/>
          <w:color w:val="000000"/>
          <w:szCs w:val="18"/>
        </w:rPr>
        <w:t>’</w:t>
      </w:r>
      <w:r w:rsidRPr="00BD7CEA">
        <w:rPr>
          <w:rFonts w:cs="Tahoma"/>
          <w:bCs/>
          <w:color w:val="000000"/>
          <w:szCs w:val="18"/>
        </w:rPr>
        <w:t>ambito di una procedura pianificata di true-up della società Enterprise, Enterprise Subscription, Open Value Subscription o</w:t>
      </w:r>
      <w:r w:rsidR="00A20649" w:rsidRPr="00BD7CEA">
        <w:rPr>
          <w:rFonts w:cs="Tahoma"/>
          <w:bCs/>
          <w:color w:val="000000"/>
          <w:szCs w:val="18"/>
        </w:rPr>
        <w:t> </w:t>
      </w:r>
      <w:r w:rsidRPr="00BD7CEA">
        <w:rPr>
          <w:rFonts w:cs="Tahoma"/>
          <w:bCs/>
          <w:color w:val="000000"/>
          <w:szCs w:val="18"/>
        </w:rPr>
        <w:t>EES sono anch</w:t>
      </w:r>
      <w:r w:rsidR="007A1415" w:rsidRPr="00BD7CEA">
        <w:rPr>
          <w:rFonts w:cs="Tahoma"/>
          <w:bCs/>
          <w:color w:val="000000"/>
          <w:szCs w:val="18"/>
        </w:rPr>
        <w:t>’</w:t>
      </w:r>
      <w:r w:rsidRPr="00BD7CEA">
        <w:rPr>
          <w:rFonts w:cs="Tahoma"/>
          <w:bCs/>
          <w:color w:val="000000"/>
          <w:szCs w:val="18"/>
        </w:rPr>
        <w:t>esse licenze qualificanti per gli scopi previsti da tali opzioni.</w:t>
      </w:r>
      <w:r w:rsidR="008D782D" w:rsidRPr="00BD7CEA">
        <w:rPr>
          <w:rFonts w:cs="Tahoma"/>
          <w:bCs/>
          <w:color w:val="000000"/>
          <w:szCs w:val="18"/>
        </w:rPr>
        <w:t xml:space="preserve"> </w:t>
      </w:r>
      <w:r w:rsidRPr="00BD7CEA">
        <w:rPr>
          <w:rFonts w:cs="Tahoma"/>
          <w:bCs/>
          <w:color w:val="000000"/>
          <w:szCs w:val="18"/>
        </w:rPr>
        <w:t>Le licenze acquistate in un periodo di validità dell</w:t>
      </w:r>
      <w:r w:rsidR="007A1415" w:rsidRPr="00BD7CEA">
        <w:rPr>
          <w:rFonts w:cs="Tahoma"/>
          <w:bCs/>
          <w:color w:val="000000"/>
          <w:szCs w:val="18"/>
        </w:rPr>
        <w:t>’</w:t>
      </w:r>
      <w:r w:rsidRPr="00BD7CEA">
        <w:rPr>
          <w:rFonts w:cs="Tahoma"/>
          <w:bCs/>
          <w:color w:val="000000"/>
          <w:szCs w:val="18"/>
        </w:rPr>
        <w:t>iscrizione successivo, ai sensi di un contratto specifico o di un</w:t>
      </w:r>
      <w:r w:rsidR="007A1415" w:rsidRPr="00BD7CEA">
        <w:rPr>
          <w:rFonts w:cs="Tahoma"/>
          <w:bCs/>
          <w:color w:val="000000"/>
          <w:szCs w:val="18"/>
        </w:rPr>
        <w:t>’</w:t>
      </w:r>
      <w:r w:rsidRPr="00BD7CEA">
        <w:rPr>
          <w:rFonts w:cs="Tahoma"/>
          <w:bCs/>
          <w:color w:val="000000"/>
          <w:szCs w:val="18"/>
        </w:rPr>
        <w:t>iscrizione con la data di</w:t>
      </w:r>
      <w:r w:rsidR="00A20649" w:rsidRPr="00BD7CEA">
        <w:rPr>
          <w:rFonts w:cs="Tahoma"/>
          <w:bCs/>
          <w:color w:val="000000"/>
          <w:szCs w:val="18"/>
        </w:rPr>
        <w:t> </w:t>
      </w:r>
      <w:r w:rsidRPr="00BD7CEA">
        <w:rPr>
          <w:rFonts w:cs="Tahoma"/>
          <w:bCs/>
          <w:color w:val="000000"/>
          <w:szCs w:val="18"/>
        </w:rPr>
        <w:t>entrata in vigore posteriore al 1 aprile 2013, non sono licenze qualificanti.</w:t>
      </w:r>
    </w:p>
    <w:p w:rsidR="008233B3" w:rsidRPr="00BD7CEA" w:rsidRDefault="008233B3" w:rsidP="008233B3">
      <w:pPr>
        <w:ind w:left="720"/>
      </w:pPr>
    </w:p>
    <w:p w:rsidR="008233B3" w:rsidRPr="00BD7CEA" w:rsidRDefault="008233B3" w:rsidP="008233B3">
      <w:pPr>
        <w:spacing w:after="60"/>
        <w:ind w:left="720"/>
      </w:pPr>
      <w:r w:rsidRPr="00BD7CEA">
        <w:rPr>
          <w:rFonts w:eastAsia="Calibri" w:cs="Tahoma"/>
          <w:b/>
          <w:color w:val="000000"/>
          <w:szCs w:val="18"/>
        </w:rPr>
        <w:t>Periodo di Validità Corrente</w:t>
      </w:r>
    </w:p>
    <w:p w:rsidR="008233B3" w:rsidRPr="00BD7CEA" w:rsidRDefault="008233B3" w:rsidP="008233B3">
      <w:pPr>
        <w:ind w:left="720"/>
      </w:pPr>
      <w:r w:rsidRPr="00BD7CEA">
        <w:rPr>
          <w:rFonts w:eastAsia="Calibri" w:cs="Tahoma"/>
          <w:color w:val="000000"/>
          <w:szCs w:val="18"/>
        </w:rPr>
        <w:t>Durante il periodo di validità corrente della copertura Software Assurance a decorrere dal 1 aprile 2013 le società (incluse le società titolari di contratti “subscription”) potranno, ai sensi di una licenza qualificante, effettuare l</w:t>
      </w:r>
      <w:r w:rsidR="007A1415" w:rsidRPr="00BD7CEA">
        <w:rPr>
          <w:rFonts w:eastAsia="Calibri" w:cs="Tahoma"/>
          <w:color w:val="000000"/>
          <w:szCs w:val="18"/>
        </w:rPr>
        <w:t>’</w:t>
      </w:r>
      <w:r w:rsidRPr="00BD7CEA">
        <w:rPr>
          <w:rFonts w:eastAsia="Calibri" w:cs="Tahoma"/>
          <w:color w:val="000000"/>
          <w:szCs w:val="18"/>
        </w:rPr>
        <w:t>aggiornamento al software BizTalk Server 2013 Standard e utilizzarlo al posto di BizTalk Server</w:t>
      </w:r>
      <w:r w:rsidR="00DC6528">
        <w:rPr>
          <w:rFonts w:eastAsia="Calibri" w:cs="Tahoma"/>
          <w:color w:val="000000"/>
          <w:szCs w:val="18"/>
        </w:rPr>
        <w:t> </w:t>
      </w:r>
      <w:r w:rsidRPr="00BD7CEA">
        <w:rPr>
          <w:rFonts w:eastAsia="Calibri" w:cs="Tahoma"/>
          <w:color w:val="000000"/>
          <w:szCs w:val="18"/>
        </w:rPr>
        <w:t xml:space="preserve">2010 Standard in conformità ai diritti di utilizzo del prodotto previsti dalla licenza per processore per BizTalk Server 2010 Standard (come indicato nei Diritti di Utilizzo del Prodotto del mese di gennaio 2013). </w:t>
      </w:r>
    </w:p>
    <w:p w:rsidR="008233B3" w:rsidRPr="00BD7CEA" w:rsidRDefault="008233B3" w:rsidP="008233B3">
      <w:pPr>
        <w:ind w:left="720"/>
      </w:pPr>
    </w:p>
    <w:p w:rsidR="008233B3" w:rsidRPr="00BD7CEA" w:rsidRDefault="008233B3" w:rsidP="008233B3">
      <w:pPr>
        <w:spacing w:after="60"/>
        <w:ind w:left="720"/>
      </w:pPr>
      <w:r w:rsidRPr="00BD7CEA">
        <w:rPr>
          <w:rFonts w:eastAsia="Calibri" w:cs="Tahoma"/>
          <w:b/>
          <w:color w:val="000000"/>
          <w:szCs w:val="18"/>
        </w:rPr>
        <w:t>Primo Periodo di Rinnovo</w:t>
      </w:r>
    </w:p>
    <w:p w:rsidR="008233B3" w:rsidRPr="00BD7CEA" w:rsidRDefault="008233B3" w:rsidP="008233B3">
      <w:pPr>
        <w:tabs>
          <w:tab w:val="left" w:pos="1800"/>
        </w:tabs>
        <w:spacing w:after="60"/>
        <w:ind w:left="720"/>
      </w:pPr>
      <w:r w:rsidRPr="00BD7CEA">
        <w:rPr>
          <w:rFonts w:eastAsia="Calibri" w:cs="Tahoma"/>
          <w:color w:val="000000"/>
          <w:szCs w:val="18"/>
        </w:rPr>
        <w:t>In occasione del primo rinnovo di Software Assurance in data 1 aprile 2013 o successiva, per ogni server che una società ha ricevuto validamente in licenza in conformità ai diritti di utilizzo del prodotto previsti dalla licenza per processore per BizTalk Server 2010, la società potrà acquistare la copertura Software Assurance per le licenze core per BizTalk Server Standard senza dovere acquistare le licenze core sottostanti per un numero di licenze core pari al numero di licenze per processore qualificanti cedute al server moltiplicato per</w:t>
      </w:r>
      <w:r w:rsidR="00A20649" w:rsidRPr="00BD7CEA">
        <w:rPr>
          <w:rFonts w:eastAsia="Calibri" w:cs="Tahoma"/>
          <w:color w:val="000000"/>
          <w:szCs w:val="18"/>
        </w:rPr>
        <w:t> </w:t>
      </w:r>
      <w:r w:rsidRPr="00BD7CEA">
        <w:rPr>
          <w:rFonts w:eastAsia="Calibri" w:cs="Tahoma"/>
          <w:color w:val="000000"/>
          <w:szCs w:val="18"/>
        </w:rPr>
        <w:t xml:space="preserve">il maggiore tra: </w:t>
      </w:r>
    </w:p>
    <w:p w:rsidR="008233B3" w:rsidRPr="00BD7CEA" w:rsidRDefault="008233B3" w:rsidP="007358C5">
      <w:pPr>
        <w:numPr>
          <w:ilvl w:val="3"/>
          <w:numId w:val="92"/>
        </w:numPr>
        <w:tabs>
          <w:tab w:val="left" w:pos="2160"/>
        </w:tabs>
        <w:spacing w:after="60"/>
        <w:ind w:left="2160"/>
      </w:pPr>
      <w:r w:rsidRPr="00BD7CEA">
        <w:rPr>
          <w:rFonts w:eastAsia="Calibri" w:cs="Tahoma"/>
          <w:color w:val="000000"/>
          <w:szCs w:val="18"/>
        </w:rPr>
        <w:t>quattro O</w:t>
      </w:r>
    </w:p>
    <w:p w:rsidR="008233B3" w:rsidRPr="00BD7CEA" w:rsidRDefault="008233B3" w:rsidP="007358C5">
      <w:pPr>
        <w:numPr>
          <w:ilvl w:val="3"/>
          <w:numId w:val="92"/>
        </w:numPr>
        <w:tabs>
          <w:tab w:val="left" w:pos="2160"/>
        </w:tabs>
        <w:spacing w:after="60"/>
        <w:ind w:left="2160"/>
      </w:pPr>
      <w:r w:rsidRPr="00BD7CEA">
        <w:rPr>
          <w:rFonts w:eastAsia="Calibri" w:cs="Tahoma"/>
          <w:color w:val="000000"/>
          <w:szCs w:val="18"/>
        </w:rPr>
        <w:t>il numero effettivo di core per processore fisico moltiplicato per il fattore core appropriato.</w:t>
      </w:r>
      <w:r w:rsidR="008D782D" w:rsidRPr="00BD7CEA">
        <w:rPr>
          <w:rFonts w:eastAsia="Calibri" w:cs="Tahoma"/>
          <w:color w:val="000000"/>
          <w:szCs w:val="18"/>
        </w:rPr>
        <w:t xml:space="preserve"> </w:t>
      </w:r>
      <w:r w:rsidRPr="00BD7CEA">
        <w:rPr>
          <w:rFonts w:eastAsia="Calibri" w:cs="Tahoma"/>
          <w:color w:val="000000"/>
          <w:szCs w:val="18"/>
        </w:rPr>
        <w:t>(Nei casi in cui il numero effettivo di core per processore fisico superi quattro, le società dovranno conservare un record della configurazione del software BizTalk Server in esecuzione sul server (istanze con licenza in esecuzione negli ambienti del sistema operativo sul server con licenza) e l</w:t>
      </w:r>
      <w:r w:rsidR="007A1415" w:rsidRPr="00BD7CEA">
        <w:rPr>
          <w:rFonts w:eastAsia="Calibri" w:cs="Tahoma"/>
          <w:color w:val="000000"/>
          <w:szCs w:val="18"/>
        </w:rPr>
        <w:t>’</w:t>
      </w:r>
      <w:r w:rsidRPr="00BD7CEA">
        <w:rPr>
          <w:rFonts w:eastAsia="Calibri" w:cs="Tahoma"/>
          <w:color w:val="000000"/>
          <w:szCs w:val="18"/>
        </w:rPr>
        <w:t xml:space="preserve">hardware fisico che supporta tale software appena prima del rinnovo di Software Assurance utilizzando lo strumento MAP di Microsoft o un software equivalente). </w:t>
      </w:r>
    </w:p>
    <w:p w:rsidR="008233B3" w:rsidRPr="00BD7CEA" w:rsidRDefault="008233B3" w:rsidP="008233B3">
      <w:pPr>
        <w:tabs>
          <w:tab w:val="left" w:pos="1800"/>
        </w:tabs>
        <w:ind w:left="1080"/>
      </w:pPr>
    </w:p>
    <w:p w:rsidR="008233B3" w:rsidRPr="00BD7CEA" w:rsidRDefault="008233B3" w:rsidP="008233B3">
      <w:pPr>
        <w:spacing w:after="60"/>
        <w:ind w:left="720"/>
      </w:pPr>
      <w:r w:rsidRPr="00BD7CEA">
        <w:rPr>
          <w:rFonts w:eastAsia="Calibri" w:cs="Tahoma"/>
          <w:color w:val="000000"/>
          <w:szCs w:val="18"/>
        </w:rPr>
        <w:t xml:space="preserve">Le licenze per processore delle società non sono più valide se si acquista la copertura Software Assurance per licenze core ai sensi della presente offerta. </w:t>
      </w:r>
      <w:r w:rsidRPr="00BD7CEA">
        <w:rPr>
          <w:rFonts w:eastAsia="Calibri" w:cs="Tahoma"/>
          <w:szCs w:val="18"/>
        </w:rPr>
        <w:t>L</w:t>
      </w:r>
      <w:r w:rsidR="007A1415" w:rsidRPr="00BD7CEA">
        <w:rPr>
          <w:rFonts w:eastAsia="Calibri" w:cs="Tahoma"/>
          <w:szCs w:val="18"/>
        </w:rPr>
        <w:t>’</w:t>
      </w:r>
      <w:r w:rsidRPr="00BD7CEA">
        <w:rPr>
          <w:rFonts w:eastAsia="Calibri" w:cs="Tahoma"/>
          <w:szCs w:val="18"/>
        </w:rPr>
        <w:t>opzione di acquistare Software Assurance per le licenze core per BizTalk Server non è applicabile al rinnovo della copertura ai sensi dei programmi di sottoscrizione.</w:t>
      </w:r>
      <w:r w:rsidR="008D782D" w:rsidRPr="00BD7CEA">
        <w:rPr>
          <w:rFonts w:eastAsia="Calibri" w:cs="Tahoma"/>
          <w:szCs w:val="18"/>
        </w:rPr>
        <w:t xml:space="preserve"> </w:t>
      </w:r>
    </w:p>
    <w:p w:rsidR="008233B3" w:rsidRPr="00BD7CEA" w:rsidRDefault="008233B3" w:rsidP="008233B3">
      <w:pPr>
        <w:ind w:left="1440"/>
      </w:pPr>
    </w:p>
    <w:p w:rsidR="008233B3" w:rsidRPr="00BD7CEA" w:rsidRDefault="008233B3" w:rsidP="008233B3">
      <w:pPr>
        <w:tabs>
          <w:tab w:val="left" w:pos="1440"/>
        </w:tabs>
        <w:spacing w:after="60"/>
        <w:ind w:left="720"/>
      </w:pPr>
      <w:r w:rsidRPr="00BD7CEA">
        <w:rPr>
          <w:rFonts w:eastAsia="Calibri" w:cs="Tahoma"/>
          <w:b/>
          <w:color w:val="000000"/>
          <w:szCs w:val="18"/>
        </w:rPr>
        <w:t>Per le Società con copertura Software Assurance che scelgono di non effettuare il rinnovo</w:t>
      </w:r>
    </w:p>
    <w:p w:rsidR="008233B3" w:rsidRPr="00BD7CEA" w:rsidRDefault="008233B3" w:rsidP="008233B3">
      <w:pPr>
        <w:tabs>
          <w:tab w:val="left" w:pos="1440"/>
        </w:tabs>
        <w:ind w:left="720"/>
      </w:pPr>
      <w:r w:rsidRPr="00BD7CEA">
        <w:rPr>
          <w:rFonts w:eastAsia="Calibri" w:cs="Tahoma"/>
          <w:color w:val="000000"/>
          <w:szCs w:val="18"/>
        </w:rPr>
        <w:t xml:space="preserve">le società titolari di contratti Enterprise Subscription </w:t>
      </w:r>
      <w:r w:rsidRPr="00BD7CEA">
        <w:rPr>
          <w:rFonts w:cs="Tahoma"/>
          <w:bCs/>
          <w:color w:val="000000"/>
          <w:szCs w:val="18"/>
        </w:rPr>
        <w:t xml:space="preserve">e Open Value Subscription </w:t>
      </w:r>
      <w:r w:rsidRPr="00BD7CEA">
        <w:rPr>
          <w:rFonts w:eastAsia="Calibri" w:cs="Tahoma"/>
          <w:color w:val="000000"/>
          <w:szCs w:val="18"/>
        </w:rPr>
        <w:t>che scelgono di effettuare il</w:t>
      </w:r>
      <w:r w:rsidR="00A20649" w:rsidRPr="00BD7CEA">
        <w:rPr>
          <w:rFonts w:eastAsia="Calibri" w:cs="Tahoma"/>
          <w:color w:val="000000"/>
          <w:szCs w:val="18"/>
        </w:rPr>
        <w:t> </w:t>
      </w:r>
      <w:r w:rsidRPr="00BD7CEA">
        <w:rPr>
          <w:rFonts w:eastAsia="Calibri" w:cs="Tahoma"/>
          <w:color w:val="000000"/>
          <w:szCs w:val="18"/>
        </w:rPr>
        <w:t>buy-out delle licenze per processore e le altre società che acquistano licenze perpetue ai sensi del loro contratto e scelgono di non rinnovare Software Assurance potranno eseguire BizTalk Server 2010 o BizTalk Server 2013 ai sensi di tali licenze come indicato sotto:</w:t>
      </w:r>
    </w:p>
    <w:p w:rsidR="008233B3" w:rsidRPr="00BD7CEA" w:rsidRDefault="008233B3" w:rsidP="008233B3">
      <w:pPr>
        <w:tabs>
          <w:tab w:val="left" w:pos="1440"/>
        </w:tabs>
        <w:ind w:left="720"/>
      </w:pPr>
    </w:p>
    <w:p w:rsidR="008233B3" w:rsidRPr="00BD7CEA" w:rsidRDefault="008233B3" w:rsidP="007358C5">
      <w:pPr>
        <w:numPr>
          <w:ilvl w:val="0"/>
          <w:numId w:val="52"/>
        </w:numPr>
        <w:spacing w:after="60"/>
        <w:ind w:left="1440"/>
      </w:pPr>
      <w:r w:rsidRPr="00BD7CEA">
        <w:rPr>
          <w:rFonts w:eastAsia="Calibri" w:cs="Tahoma"/>
          <w:b/>
          <w:color w:val="000000"/>
          <w:szCs w:val="18"/>
        </w:rPr>
        <w:t>BizTalk Server 2010 Standard:</w:t>
      </w:r>
      <w:r w:rsidRPr="00BD7CEA">
        <w:rPr>
          <w:rFonts w:eastAsia="Calibri" w:cs="Tahoma"/>
          <w:color w:val="000000"/>
          <w:szCs w:val="18"/>
        </w:rPr>
        <w:t xml:space="preserve"> L</w:t>
      </w:r>
      <w:r w:rsidR="007A1415" w:rsidRPr="00BD7CEA">
        <w:rPr>
          <w:rFonts w:eastAsia="Calibri" w:cs="Tahoma"/>
          <w:color w:val="000000"/>
          <w:szCs w:val="18"/>
        </w:rPr>
        <w:t>’</w:t>
      </w:r>
      <w:r w:rsidRPr="00BD7CEA">
        <w:rPr>
          <w:rFonts w:eastAsia="Calibri" w:cs="Tahoma"/>
          <w:color w:val="000000"/>
          <w:szCs w:val="18"/>
        </w:rPr>
        <w:t>utilizzo continuativo di questo software è soggetto ai diritti di</w:t>
      </w:r>
      <w:r w:rsidR="00A20649" w:rsidRPr="00BD7CEA">
        <w:rPr>
          <w:rFonts w:eastAsia="Calibri" w:cs="Tahoma"/>
          <w:color w:val="000000"/>
          <w:szCs w:val="18"/>
        </w:rPr>
        <w:t> </w:t>
      </w:r>
      <w:r w:rsidRPr="00BD7CEA">
        <w:rPr>
          <w:rFonts w:eastAsia="Calibri" w:cs="Tahoma"/>
          <w:color w:val="000000"/>
          <w:szCs w:val="18"/>
        </w:rPr>
        <w:t>utilizzo del prodotto previsti dalla licenza per processore per BizTalk Server 2010 Standard; tuttavia, le società non disporranno più di Mobilità delle Licenze tramite Software Assurance.</w:t>
      </w:r>
    </w:p>
    <w:p w:rsidR="008233B3" w:rsidRPr="00BD7CEA" w:rsidRDefault="008233B3" w:rsidP="007358C5">
      <w:pPr>
        <w:numPr>
          <w:ilvl w:val="0"/>
          <w:numId w:val="52"/>
        </w:numPr>
        <w:tabs>
          <w:tab w:val="left" w:pos="1800"/>
        </w:tabs>
        <w:spacing w:after="60"/>
        <w:ind w:left="1440"/>
        <w:rPr>
          <w:spacing w:val="-2"/>
        </w:rPr>
      </w:pPr>
      <w:r w:rsidRPr="00BD7CEA">
        <w:rPr>
          <w:rFonts w:eastAsia="Calibri" w:cs="Tahoma"/>
          <w:b/>
          <w:color w:val="000000"/>
          <w:spacing w:val="-2"/>
          <w:szCs w:val="18"/>
        </w:rPr>
        <w:lastRenderedPageBreak/>
        <w:t xml:space="preserve">BizTalk Server 2013 Standard: </w:t>
      </w:r>
      <w:r w:rsidRPr="00BD7CEA">
        <w:rPr>
          <w:rFonts w:eastAsia="Calibri" w:cs="Tahoma"/>
          <w:color w:val="000000"/>
          <w:spacing w:val="-2"/>
          <w:szCs w:val="18"/>
        </w:rPr>
        <w:t>l</w:t>
      </w:r>
      <w:r w:rsidR="007A1415" w:rsidRPr="00BD7CEA">
        <w:rPr>
          <w:rFonts w:eastAsia="Calibri" w:cs="Tahoma"/>
          <w:color w:val="000000"/>
          <w:spacing w:val="-2"/>
          <w:szCs w:val="18"/>
        </w:rPr>
        <w:t>’</w:t>
      </w:r>
      <w:r w:rsidRPr="00BD7CEA">
        <w:rPr>
          <w:rFonts w:eastAsia="Calibri" w:cs="Tahoma"/>
          <w:color w:val="000000"/>
          <w:spacing w:val="-2"/>
          <w:szCs w:val="18"/>
        </w:rPr>
        <w:t xml:space="preserve">utilizzo di tale versione del software è soggetto ai diritti di utilizzo del prodotto previsti dalla licenza per processore per BizTalk Server 2010 Standard, tuttavia: </w:t>
      </w:r>
    </w:p>
    <w:p w:rsidR="008233B3" w:rsidRPr="00BD7CEA" w:rsidRDefault="008233B3" w:rsidP="007358C5">
      <w:pPr>
        <w:numPr>
          <w:ilvl w:val="1"/>
          <w:numId w:val="52"/>
        </w:numPr>
        <w:tabs>
          <w:tab w:val="left" w:pos="2160"/>
        </w:tabs>
        <w:spacing w:after="60"/>
        <w:ind w:left="2160"/>
      </w:pPr>
      <w:r w:rsidRPr="00BD7CEA">
        <w:rPr>
          <w:rFonts w:eastAsia="Calibri" w:cs="Tahoma"/>
          <w:color w:val="000000"/>
          <w:szCs w:val="18"/>
        </w:rPr>
        <w:t>le società non disporranno più della Mobilità delle Licenze all</w:t>
      </w:r>
      <w:r w:rsidR="007A1415" w:rsidRPr="00BD7CEA">
        <w:rPr>
          <w:rFonts w:eastAsia="Calibri" w:cs="Tahoma"/>
          <w:color w:val="000000"/>
          <w:szCs w:val="18"/>
        </w:rPr>
        <w:t>’</w:t>
      </w:r>
      <w:r w:rsidRPr="00BD7CEA">
        <w:rPr>
          <w:rFonts w:eastAsia="Calibri" w:cs="Tahoma"/>
          <w:color w:val="000000"/>
          <w:szCs w:val="18"/>
        </w:rPr>
        <w:t xml:space="preserve">interno di Server Farm o della Mobilità delle Licenze tramite Software Assurance e </w:t>
      </w:r>
    </w:p>
    <w:p w:rsidR="008233B3" w:rsidRPr="00BD7CEA" w:rsidRDefault="008233B3" w:rsidP="007358C5">
      <w:pPr>
        <w:numPr>
          <w:ilvl w:val="1"/>
          <w:numId w:val="52"/>
        </w:numPr>
        <w:tabs>
          <w:tab w:val="left" w:pos="2160"/>
          <w:tab w:val="left" w:pos="2970"/>
        </w:tabs>
        <w:spacing w:after="60"/>
        <w:ind w:left="2160"/>
      </w:pPr>
      <w:r w:rsidRPr="00BD7CEA">
        <w:rPr>
          <w:rFonts w:eastAsia="Calibri" w:cs="Tahoma"/>
          <w:color w:val="000000"/>
          <w:szCs w:val="18"/>
        </w:rPr>
        <w:t>l</w:t>
      </w:r>
      <w:r w:rsidR="007A1415" w:rsidRPr="00BD7CEA">
        <w:rPr>
          <w:rFonts w:eastAsia="Calibri" w:cs="Tahoma"/>
          <w:color w:val="000000"/>
          <w:szCs w:val="18"/>
        </w:rPr>
        <w:t>’</w:t>
      </w:r>
      <w:r w:rsidRPr="00BD7CEA">
        <w:rPr>
          <w:rFonts w:eastAsia="Calibri" w:cs="Tahoma"/>
          <w:color w:val="000000"/>
          <w:szCs w:val="18"/>
        </w:rPr>
        <w:t>eventuale riassegnazione di licenze è soggetta ai limiti che seguono relativi alla loro “equivalenza di licenze core”. L</w:t>
      </w:r>
      <w:r w:rsidR="007A1415" w:rsidRPr="00BD7CEA">
        <w:rPr>
          <w:rFonts w:eastAsia="Calibri" w:cs="Tahoma"/>
          <w:color w:val="000000"/>
          <w:szCs w:val="18"/>
        </w:rPr>
        <w:t>’</w:t>
      </w:r>
      <w:r w:rsidRPr="00BD7CEA">
        <w:rPr>
          <w:rFonts w:eastAsia="Calibri" w:cs="Tahoma"/>
          <w:color w:val="000000"/>
          <w:szCs w:val="18"/>
        </w:rPr>
        <w:t xml:space="preserve">equivalenza di licenze core è determinata come di seguito riportato. </w:t>
      </w:r>
    </w:p>
    <w:p w:rsidR="008233B3" w:rsidRPr="00BD7CEA" w:rsidRDefault="008233B3" w:rsidP="007358C5">
      <w:pPr>
        <w:numPr>
          <w:ilvl w:val="2"/>
          <w:numId w:val="52"/>
        </w:numPr>
        <w:tabs>
          <w:tab w:val="left" w:pos="2520"/>
        </w:tabs>
        <w:spacing w:after="60"/>
        <w:ind w:left="2520"/>
      </w:pPr>
      <w:r w:rsidRPr="00BD7CEA">
        <w:rPr>
          <w:rFonts w:eastAsia="Calibri" w:cs="Tahoma"/>
          <w:color w:val="000000"/>
          <w:szCs w:val="18"/>
        </w:rPr>
        <w:t>Per ogni licenza qualificante ceduta al server, l</w:t>
      </w:r>
      <w:r w:rsidR="007A1415" w:rsidRPr="00BD7CEA">
        <w:rPr>
          <w:rFonts w:eastAsia="Calibri" w:cs="Tahoma"/>
          <w:color w:val="000000"/>
          <w:szCs w:val="18"/>
        </w:rPr>
        <w:t>’</w:t>
      </w:r>
      <w:r w:rsidRPr="00BD7CEA">
        <w:rPr>
          <w:rFonts w:eastAsia="Calibri" w:cs="Tahoma"/>
          <w:color w:val="000000"/>
          <w:szCs w:val="18"/>
        </w:rPr>
        <w:t xml:space="preserve">equivalenza di licenze core è il numero maggiore tra: </w:t>
      </w:r>
    </w:p>
    <w:p w:rsidR="008233B3" w:rsidRPr="00BD7CEA" w:rsidRDefault="008233B3" w:rsidP="007358C5">
      <w:pPr>
        <w:numPr>
          <w:ilvl w:val="4"/>
          <w:numId w:val="125"/>
        </w:numPr>
        <w:tabs>
          <w:tab w:val="left" w:pos="2880"/>
        </w:tabs>
        <w:spacing w:after="60"/>
        <w:ind w:left="2880"/>
      </w:pPr>
      <w:r w:rsidRPr="00BD7CEA">
        <w:rPr>
          <w:rFonts w:eastAsia="Calibri" w:cs="Tahoma"/>
          <w:color w:val="000000"/>
          <w:szCs w:val="18"/>
        </w:rPr>
        <w:t xml:space="preserve">quattro core per licenza per processore O </w:t>
      </w:r>
    </w:p>
    <w:p w:rsidR="008233B3" w:rsidRPr="00BD7CEA" w:rsidRDefault="008233B3" w:rsidP="007358C5">
      <w:pPr>
        <w:numPr>
          <w:ilvl w:val="4"/>
          <w:numId w:val="125"/>
        </w:numPr>
        <w:tabs>
          <w:tab w:val="left" w:pos="2880"/>
        </w:tabs>
        <w:spacing w:after="60"/>
        <w:ind w:left="2880"/>
      </w:pPr>
      <w:r w:rsidRPr="00BD7CEA">
        <w:rPr>
          <w:rFonts w:eastAsia="Calibri" w:cs="Tahoma"/>
          <w:color w:val="000000"/>
          <w:szCs w:val="18"/>
        </w:rPr>
        <w:t>un numero di core per licenza per processore basato sul numero effettivo di core per processore fisico moltiplicato per il fattore core appropriato. (Nei casi in cui il numero effettivo di core per processore fisico superi quattro, le società dovranno conservare un record della configurazione del software BizTalk Server in esecuzione sul server (istanze con licenza in esecuzione negli ambienti del sistema operativo sul server con licenza) e l</w:t>
      </w:r>
      <w:r w:rsidR="007A1415" w:rsidRPr="00BD7CEA">
        <w:rPr>
          <w:rFonts w:eastAsia="Calibri" w:cs="Tahoma"/>
          <w:color w:val="000000"/>
          <w:szCs w:val="18"/>
        </w:rPr>
        <w:t>’</w:t>
      </w:r>
      <w:r w:rsidRPr="00BD7CEA">
        <w:rPr>
          <w:rFonts w:eastAsia="Calibri" w:cs="Tahoma"/>
          <w:color w:val="000000"/>
          <w:szCs w:val="18"/>
        </w:rPr>
        <w:t xml:space="preserve">hardware fisico che supporta tale software appena prima della scadenza di Software Assurance utilizzando lo strumento MAP di Microsoft o un software equivalente). </w:t>
      </w:r>
    </w:p>
    <w:p w:rsidR="008233B3" w:rsidRPr="00BD7CEA" w:rsidRDefault="008233B3" w:rsidP="007358C5">
      <w:pPr>
        <w:numPr>
          <w:ilvl w:val="1"/>
          <w:numId w:val="127"/>
        </w:numPr>
        <w:tabs>
          <w:tab w:val="left" w:pos="1800"/>
        </w:tabs>
        <w:spacing w:after="60"/>
        <w:rPr>
          <w:spacing w:val="-2"/>
        </w:rPr>
      </w:pPr>
      <w:r w:rsidRPr="00BD7CEA">
        <w:rPr>
          <w:rFonts w:eastAsia="Calibri" w:cs="Tahoma"/>
          <w:color w:val="000000"/>
          <w:spacing w:val="-2"/>
          <w:szCs w:val="18"/>
        </w:rPr>
        <w:t xml:space="preserve">Le società </w:t>
      </w:r>
      <w:r w:rsidRPr="00BD7CEA">
        <w:rPr>
          <w:rFonts w:eastAsia="Calibri" w:cs="Tahoma"/>
          <w:spacing w:val="-2"/>
          <w:szCs w:val="18"/>
        </w:rPr>
        <w:t>potranno riassegnare le licenze a un altro server. Tuttavia, qualora la società riassegni una licenza a un altro server, dovrà attenersi ai diritti sull</w:t>
      </w:r>
      <w:r w:rsidR="007A1415" w:rsidRPr="00BD7CEA">
        <w:rPr>
          <w:rFonts w:eastAsia="Calibri" w:cs="Tahoma"/>
          <w:spacing w:val="-2"/>
          <w:szCs w:val="18"/>
        </w:rPr>
        <w:t>’</w:t>
      </w:r>
      <w:r w:rsidRPr="00BD7CEA">
        <w:rPr>
          <w:rFonts w:eastAsia="Calibri" w:cs="Tahoma"/>
          <w:spacing w:val="-2"/>
          <w:szCs w:val="18"/>
        </w:rPr>
        <w:t>utilizzo di BizTalk Server 2013. Quando cede licenze core a server ai sensi dei diritti sull</w:t>
      </w:r>
      <w:r w:rsidR="007A1415" w:rsidRPr="00BD7CEA">
        <w:rPr>
          <w:rFonts w:eastAsia="Calibri" w:cs="Tahoma"/>
          <w:spacing w:val="-2"/>
          <w:szCs w:val="18"/>
        </w:rPr>
        <w:t>’</w:t>
      </w:r>
      <w:r w:rsidRPr="00BD7CEA">
        <w:rPr>
          <w:rFonts w:eastAsia="Calibri" w:cs="Tahoma"/>
          <w:spacing w:val="-2"/>
          <w:szCs w:val="18"/>
        </w:rPr>
        <w:t>utilizzo per BizTalk 2013, la società potrà combinare l</w:t>
      </w:r>
      <w:r w:rsidR="007A1415" w:rsidRPr="00BD7CEA">
        <w:rPr>
          <w:rFonts w:eastAsia="Calibri" w:cs="Tahoma"/>
          <w:spacing w:val="-2"/>
          <w:szCs w:val="18"/>
        </w:rPr>
        <w:t>’</w:t>
      </w:r>
      <w:r w:rsidRPr="00BD7CEA">
        <w:rPr>
          <w:rFonts w:eastAsia="Calibri" w:cs="Tahoma"/>
          <w:spacing w:val="-2"/>
          <w:szCs w:val="18"/>
        </w:rPr>
        <w:t>equivalenza core delle licenze esistenti con le licenze core per BizTalk Server 2013 aggiuntive.</w:t>
      </w:r>
    </w:p>
    <w:p w:rsidR="008233B3" w:rsidRPr="00BD7CEA" w:rsidRDefault="008233B3" w:rsidP="007358C5">
      <w:pPr>
        <w:numPr>
          <w:ilvl w:val="1"/>
          <w:numId w:val="127"/>
        </w:numPr>
        <w:tabs>
          <w:tab w:val="left" w:pos="1800"/>
          <w:tab w:val="left" w:pos="2970"/>
        </w:tabs>
        <w:spacing w:after="60"/>
      </w:pPr>
      <w:r w:rsidRPr="00BD7CEA">
        <w:rPr>
          <w:rFonts w:eastAsia="Calibri" w:cs="Tahoma"/>
          <w:color w:val="000000"/>
          <w:szCs w:val="18"/>
        </w:rPr>
        <w:t>L</w:t>
      </w:r>
      <w:r w:rsidR="007A1415" w:rsidRPr="00BD7CEA">
        <w:rPr>
          <w:rFonts w:eastAsia="Calibri" w:cs="Tahoma"/>
          <w:color w:val="000000"/>
          <w:szCs w:val="18"/>
        </w:rPr>
        <w:t>’</w:t>
      </w:r>
      <w:r w:rsidRPr="00BD7CEA">
        <w:rPr>
          <w:rFonts w:eastAsia="Calibri" w:cs="Tahoma"/>
          <w:color w:val="000000"/>
          <w:szCs w:val="18"/>
        </w:rPr>
        <w:t>equivalenza di licenze core stimata delle società non implica che esse possano cedere una licenza singola per processore a core attraverso due o più processori.</w:t>
      </w:r>
    </w:p>
    <w:p w:rsidR="008233B3" w:rsidRPr="00BD7CEA" w:rsidRDefault="008233B3" w:rsidP="008233B3">
      <w:pPr>
        <w:ind w:left="1440"/>
      </w:pPr>
    </w:p>
    <w:p w:rsidR="008233B3" w:rsidRPr="00BD7CEA" w:rsidRDefault="008233B3" w:rsidP="008233B3">
      <w:pPr>
        <w:tabs>
          <w:tab w:val="left" w:pos="720"/>
        </w:tabs>
        <w:spacing w:after="60"/>
        <w:ind w:left="720"/>
      </w:pPr>
      <w:r w:rsidRPr="00BD7CEA">
        <w:rPr>
          <w:b/>
        </w:rPr>
        <w:t>Per le società con sede nella Repubblica popolare</w:t>
      </w:r>
      <w:r w:rsidRPr="00BD7CEA">
        <w:t xml:space="preserve"> </w:t>
      </w:r>
      <w:r w:rsidRPr="00BD7CEA">
        <w:rPr>
          <w:b/>
        </w:rPr>
        <w:t>cinese, dove acquistano licenze per processore e Software Assurance per BizTalk Server 2010</w:t>
      </w:r>
    </w:p>
    <w:p w:rsidR="008233B3" w:rsidRPr="00BD7CEA" w:rsidRDefault="008233B3" w:rsidP="008233B3">
      <w:pPr>
        <w:tabs>
          <w:tab w:val="left" w:pos="720"/>
        </w:tabs>
        <w:ind w:left="720"/>
      </w:pPr>
      <w:r w:rsidRPr="00BD7CEA">
        <w:t>Non si applica il riferimento al 1 aprile 2013 presente in questa nota relativa alla lista dei prodotti. La data applicabile per queste società sarebbe il 1 maggio 2013.</w:t>
      </w:r>
    </w:p>
    <w:p w:rsidR="003540FA" w:rsidRPr="00BD7CEA" w:rsidRDefault="003540FA" w:rsidP="00A66BD2">
      <w:pPr>
        <w:ind w:left="540"/>
      </w:pPr>
    </w:p>
    <w:p w:rsidR="00676723" w:rsidRPr="00BD7CEA" w:rsidRDefault="00676723" w:rsidP="00A66BD2">
      <w:pPr>
        <w:ind w:left="540"/>
      </w:pPr>
    </w:p>
    <w:p w:rsidR="007B48BC" w:rsidRPr="00BD7CEA" w:rsidRDefault="004668D9" w:rsidP="000773D2">
      <w:pPr>
        <w:pStyle w:val="Heading3"/>
        <w:ind w:left="270" w:hanging="270"/>
      </w:pPr>
      <w:bookmarkStart w:id="1178" w:name="_35_Business_Intelligence"/>
      <w:bookmarkStart w:id="1179" w:name="_Toc336338293"/>
      <w:bookmarkStart w:id="1180" w:name="_Toc353376073"/>
      <w:bookmarkStart w:id="1181" w:name="Srv_35BusinessIntellApp2012"/>
      <w:bookmarkStart w:id="1182" w:name="Srv_35CoreCALBridgeWinIntune"/>
      <w:bookmarkEnd w:id="1178"/>
      <w:r w:rsidRPr="00BD7CEA">
        <w:rPr>
          <w:rFonts w:ascii="Tahoma" w:hAnsi="Tahoma"/>
          <w:caps/>
          <w:color w:val="F66400"/>
          <w:sz w:val="22"/>
          <w:vertAlign w:val="superscript"/>
        </w:rPr>
        <w:t xml:space="preserve">35 </w:t>
      </w:r>
      <w:r w:rsidRPr="00BD7CEA">
        <w:rPr>
          <w:rFonts w:ascii="Tahoma" w:hAnsi="Tahoma"/>
          <w:color w:val="F66400"/>
          <w:sz w:val="22"/>
        </w:rPr>
        <w:t>Business Intelligence Appliance 2012</w:t>
      </w:r>
      <w:bookmarkEnd w:id="1179"/>
      <w:bookmarkEnd w:id="1180"/>
      <w:r w:rsidRPr="00BD7CEA">
        <w:rPr>
          <w:rFonts w:ascii="Tahoma" w:hAnsi="Tahoma"/>
          <w:caps/>
          <w:color w:val="F66400"/>
          <w:sz w:val="22"/>
          <w:vertAlign w:val="superscript"/>
        </w:rPr>
        <w:t xml:space="preserve"> </w:t>
      </w:r>
    </w:p>
    <w:bookmarkEnd w:id="1181"/>
    <w:p w:rsidR="007B48BC" w:rsidRPr="00BD7CEA" w:rsidRDefault="007B48BC" w:rsidP="007B48BC"/>
    <w:p w:rsidR="00E03856" w:rsidRPr="00BD7CEA" w:rsidRDefault="00E50460" w:rsidP="00A66BD2">
      <w:pPr>
        <w:ind w:left="720"/>
      </w:pPr>
      <w:r w:rsidRPr="00BD7CEA">
        <w:rPr>
          <w:rFonts w:cs="Tahoma"/>
          <w:szCs w:val="18"/>
        </w:rPr>
        <w:t>Il software Business Intelligence Appliance 2012, che incorpora SQL Server 2008 R2 e SharePoint Server 2010, è disponibile solo nelle configurazioni hardware e software approvate da Microsoft.</w:t>
      </w:r>
      <w:r w:rsidR="008D782D" w:rsidRPr="00BD7CEA">
        <w:rPr>
          <w:rFonts w:cs="Tahoma"/>
          <w:szCs w:val="18"/>
        </w:rPr>
        <w:t xml:space="preserve"> </w:t>
      </w:r>
      <w:r w:rsidRPr="00BD7CEA">
        <w:rPr>
          <w:rFonts w:cs="Tahoma"/>
          <w:szCs w:val="18"/>
        </w:rPr>
        <w:t>L</w:t>
      </w:r>
      <w:r w:rsidR="007A1415" w:rsidRPr="00BD7CEA">
        <w:rPr>
          <w:rFonts w:cs="Tahoma"/>
          <w:szCs w:val="18"/>
        </w:rPr>
        <w:t>’</w:t>
      </w:r>
      <w:r w:rsidRPr="00BD7CEA">
        <w:rPr>
          <w:rFonts w:cs="Tahoma"/>
          <w:szCs w:val="18"/>
        </w:rPr>
        <w:t>utilizzo del software in altre configurazioni non è supportato e potrà influire sulle prestazioni.</w:t>
      </w:r>
      <w:r w:rsidR="008D782D" w:rsidRPr="00BD7CEA">
        <w:rPr>
          <w:rFonts w:cs="Tahoma"/>
          <w:szCs w:val="18"/>
        </w:rPr>
        <w:t xml:space="preserve"> </w:t>
      </w:r>
      <w:r w:rsidRPr="00BD7CEA">
        <w:rPr>
          <w:rFonts w:cs="Tahoma"/>
          <w:szCs w:val="18"/>
        </w:rPr>
        <w:t>Per ulteriori informazioni, visitare la pagina</w:t>
      </w:r>
      <w:r w:rsidRPr="00BD7CEA">
        <w:rPr>
          <w:rFonts w:cs="Tahoma"/>
          <w:color w:val="1F497D"/>
          <w:szCs w:val="18"/>
        </w:rPr>
        <w:t xml:space="preserve"> </w:t>
      </w:r>
      <w:hyperlink r:id="rId51" w:tooltip="http://www.microsoft.com/sqlserver/en/us/get-sql-server/how-to-buy.aspx" w:history="1">
        <w:r w:rsidRPr="00BD7CEA">
          <w:rPr>
            <w:rStyle w:val="Hyperlink"/>
            <w:rFonts w:cs="Tahoma"/>
            <w:szCs w:val="18"/>
          </w:rPr>
          <w:t>http://www.microsoft.com/sqlserver/en/us/get-sql-server/how-to-buy.aspx</w:t>
        </w:r>
      </w:hyperlink>
      <w:r w:rsidRPr="00BD7CEA">
        <w:rPr>
          <w:rFonts w:cs="Tahoma"/>
          <w:szCs w:val="18"/>
        </w:rPr>
        <w:t>.</w:t>
      </w:r>
      <w:r w:rsidR="008D782D" w:rsidRPr="00BD7CEA">
        <w:rPr>
          <w:rFonts w:cs="Tahoma"/>
          <w:szCs w:val="18"/>
        </w:rPr>
        <w:t xml:space="preserve"> </w:t>
      </w:r>
    </w:p>
    <w:p w:rsidR="00A66BD2" w:rsidRPr="00BD7CEA" w:rsidRDefault="00A66BD2" w:rsidP="00A66BD2"/>
    <w:p w:rsidR="00A66BD2" w:rsidRPr="00BD7CEA" w:rsidRDefault="00A66BD2" w:rsidP="00A66BD2"/>
    <w:p w:rsidR="003540FA" w:rsidRPr="00BD7CEA" w:rsidRDefault="004668D9" w:rsidP="000773D2">
      <w:pPr>
        <w:pStyle w:val="Heading3"/>
        <w:ind w:left="270" w:hanging="270"/>
      </w:pPr>
      <w:bookmarkStart w:id="1183" w:name="_36_Core_CAL"/>
      <w:bookmarkStart w:id="1184" w:name="_Toc336338294"/>
      <w:bookmarkStart w:id="1185" w:name="_Toc353376074"/>
      <w:bookmarkEnd w:id="1183"/>
      <w:r w:rsidRPr="00BD7CEA">
        <w:rPr>
          <w:rFonts w:ascii="Tahoma" w:hAnsi="Tahoma"/>
          <w:caps/>
          <w:color w:val="F66400"/>
          <w:sz w:val="22"/>
          <w:vertAlign w:val="superscript"/>
        </w:rPr>
        <w:t>36</w:t>
      </w:r>
      <w:r w:rsidRPr="00BD7CEA">
        <w:rPr>
          <w:rFonts w:ascii="Tahoma" w:hAnsi="Tahoma"/>
          <w:color w:val="F66400"/>
          <w:sz w:val="22"/>
        </w:rPr>
        <w:t xml:space="preserve"> Core </w:t>
      </w:r>
      <w:r w:rsidRPr="00BD7CEA">
        <w:rPr>
          <w:rFonts w:ascii="Tahoma" w:hAnsi="Tahoma"/>
          <w:color w:val="FF6600"/>
          <w:sz w:val="22"/>
        </w:rPr>
        <w:t>CAL Suite Bridge per Office 365, Core CAL Suite Bridge per Office 365 e Windows Intune e Core CAL Suite Bridge per Windows Intune</w:t>
      </w:r>
      <w:bookmarkEnd w:id="1184"/>
      <w:bookmarkEnd w:id="1185"/>
    </w:p>
    <w:bookmarkEnd w:id="1182"/>
    <w:p w:rsidR="003540FA" w:rsidRPr="00BD7CEA" w:rsidRDefault="003540FA" w:rsidP="00A66BD2">
      <w:pPr>
        <w:ind w:left="540"/>
      </w:pPr>
    </w:p>
    <w:p w:rsidR="00A66BD2" w:rsidRPr="00BD7CEA" w:rsidRDefault="000773D2" w:rsidP="00A66BD2">
      <w:pPr>
        <w:spacing w:after="60"/>
        <w:ind w:left="720"/>
      </w:pPr>
      <w:r w:rsidRPr="00BD7CEA">
        <w:rPr>
          <w:b/>
          <w:szCs w:val="18"/>
        </w:rPr>
        <w:t>Definizione</w:t>
      </w:r>
    </w:p>
    <w:p w:rsidR="000773D2" w:rsidRPr="00BD7CEA" w:rsidRDefault="00A66BD2" w:rsidP="00A66BD2">
      <w:pPr>
        <w:ind w:left="720"/>
      </w:pPr>
      <w:r w:rsidRPr="00BD7CEA">
        <w:rPr>
          <w:b/>
          <w:szCs w:val="18"/>
        </w:rPr>
        <w:t>“</w:t>
      </w:r>
      <w:r w:rsidRPr="00BD7CEA">
        <w:rPr>
          <w:szCs w:val="18"/>
        </w:rPr>
        <w:t xml:space="preserve">Transizione” indica la conversione di una Licenza </w:t>
      </w:r>
      <w:r w:rsidRPr="00BD7CEA">
        <w:rPr>
          <w:rFonts w:cs="Tahoma"/>
          <w:szCs w:val="18"/>
        </w:rPr>
        <w:t>con copertura Software Assurance attiva in una licenza “Subscription” o viceversa.</w:t>
      </w:r>
      <w:r w:rsidR="008D782D" w:rsidRPr="00BD7CEA">
        <w:rPr>
          <w:rFonts w:cs="Tahoma"/>
          <w:szCs w:val="18"/>
        </w:rPr>
        <w:t xml:space="preserve"> </w:t>
      </w:r>
    </w:p>
    <w:p w:rsidR="00A66BD2" w:rsidRPr="00BD7CEA" w:rsidRDefault="00A66BD2" w:rsidP="00A66BD2">
      <w:pPr>
        <w:ind w:left="720"/>
      </w:pPr>
    </w:p>
    <w:p w:rsidR="00A66BD2" w:rsidRPr="00BD7CEA" w:rsidRDefault="000773D2" w:rsidP="00A66BD2">
      <w:pPr>
        <w:spacing w:after="60"/>
        <w:ind w:left="720"/>
      </w:pPr>
      <w:r w:rsidRPr="00BD7CEA">
        <w:rPr>
          <w:b/>
          <w:szCs w:val="18"/>
        </w:rPr>
        <w:t>Diritti sull</w:t>
      </w:r>
      <w:r w:rsidR="007A1415" w:rsidRPr="00BD7CEA">
        <w:rPr>
          <w:b/>
          <w:szCs w:val="18"/>
        </w:rPr>
        <w:t>’</w:t>
      </w:r>
      <w:r w:rsidRPr="00BD7CEA">
        <w:rPr>
          <w:b/>
          <w:szCs w:val="18"/>
        </w:rPr>
        <w:t xml:space="preserve">Utilizzo Applicabili </w:t>
      </w:r>
    </w:p>
    <w:p w:rsidR="000773D2" w:rsidRPr="00BD7CEA" w:rsidRDefault="000773D2" w:rsidP="00A66BD2">
      <w:pPr>
        <w:spacing w:line="276" w:lineRule="auto"/>
        <w:ind w:left="720"/>
      </w:pPr>
      <w:r w:rsidRPr="00BD7CEA">
        <w:rPr>
          <w:rFonts w:eastAsia="Calibri" w:cs="Tahoma"/>
          <w:szCs w:val="18"/>
        </w:rPr>
        <w:t>Una licenza CAL Suite Bridge non dispone di versioni e i Diritti di Utilizzo del Prodotto sono determinati dallo</w:t>
      </w:r>
      <w:r w:rsidR="00D7155D" w:rsidRPr="00BD7CEA">
        <w:rPr>
          <w:rFonts w:eastAsia="Calibri" w:cs="Tahoma"/>
          <w:szCs w:val="18"/>
        </w:rPr>
        <w:t> </w:t>
      </w:r>
      <w:r w:rsidRPr="00BD7CEA">
        <w:rPr>
          <w:rFonts w:eastAsia="Calibri" w:cs="Tahoma"/>
          <w:szCs w:val="18"/>
        </w:rPr>
        <w:t>stato della copertura Software Assurance per tale licenza. Qualora la copertura Software Assurance sia scaduta, i diritti di accesso attribuiti da Licenze perpetue sono determinati sulla base dei Diritti di Utilizzo del Prodotto in vigore prima della scadenza della copertura. Una Licenza per una CAL Suite Bridge è una licenza singola che dovrà essere ceduta a un utente o dispositivo singolo.</w:t>
      </w:r>
    </w:p>
    <w:p w:rsidR="00A66BD2" w:rsidRDefault="00A66BD2" w:rsidP="00A66BD2">
      <w:pPr>
        <w:spacing w:line="276" w:lineRule="auto"/>
        <w:ind w:left="720"/>
      </w:pPr>
    </w:p>
    <w:p w:rsidR="00941907" w:rsidRPr="00BD7CEA" w:rsidRDefault="00941907" w:rsidP="00A66BD2">
      <w:pPr>
        <w:spacing w:line="276" w:lineRule="auto"/>
        <w:ind w:left="720"/>
      </w:pPr>
    </w:p>
    <w:p w:rsidR="00A66BD2" w:rsidRPr="00BD7CEA" w:rsidRDefault="000773D2" w:rsidP="00A66BD2">
      <w:pPr>
        <w:spacing w:after="60"/>
        <w:ind w:left="720"/>
      </w:pPr>
      <w:r w:rsidRPr="00BD7CEA">
        <w:rPr>
          <w:b/>
          <w:szCs w:val="18"/>
        </w:rPr>
        <w:lastRenderedPageBreak/>
        <w:t>Requisiti</w:t>
      </w:r>
    </w:p>
    <w:p w:rsidR="000773D2" w:rsidRPr="00BD7CEA" w:rsidRDefault="000773D2" w:rsidP="00A66BD2">
      <w:pPr>
        <w:spacing w:line="276" w:lineRule="auto"/>
        <w:ind w:left="720"/>
        <w:rPr>
          <w:spacing w:val="-4"/>
        </w:rPr>
      </w:pPr>
      <w:r w:rsidRPr="00BD7CEA">
        <w:rPr>
          <w:rFonts w:eastAsia="Calibri" w:cs="Tahoma"/>
          <w:spacing w:val="-4"/>
          <w:szCs w:val="18"/>
        </w:rPr>
        <w:t>Una CAL Suite Bridge potrà essere richiesta durante la Transizione da una CAL Suite a una combinazione di Servizi Online e Prodotti paragonabili. Quando una Transizione richiede una CAL Suite Bridge e la Licenza qualificante è stata pagata totalmente dalla Società, l</w:t>
      </w:r>
      <w:r w:rsidR="007A1415" w:rsidRPr="00BD7CEA">
        <w:rPr>
          <w:rFonts w:eastAsia="Calibri" w:cs="Tahoma"/>
          <w:spacing w:val="-4"/>
          <w:szCs w:val="18"/>
        </w:rPr>
        <w:t>’</w:t>
      </w:r>
      <w:r w:rsidRPr="00BD7CEA">
        <w:rPr>
          <w:rFonts w:eastAsia="Calibri" w:cs="Tahoma"/>
          <w:spacing w:val="-4"/>
          <w:szCs w:val="18"/>
        </w:rPr>
        <w:t>acquisto di una Licenza per la CAL Suite Bridge non sarà necessario. La copertura Software Assurance potrà invece essere acquistata per la CAL Suite Bridge in</w:t>
      </w:r>
      <w:r w:rsidR="00A20649" w:rsidRPr="00BD7CEA">
        <w:rPr>
          <w:rFonts w:eastAsia="Calibri" w:cs="Tahoma"/>
          <w:spacing w:val="-4"/>
          <w:szCs w:val="18"/>
        </w:rPr>
        <w:t> </w:t>
      </w:r>
      <w:r w:rsidRPr="00BD7CEA">
        <w:rPr>
          <w:rFonts w:eastAsia="Calibri" w:cs="Tahoma"/>
          <w:spacing w:val="-4"/>
          <w:szCs w:val="18"/>
        </w:rPr>
        <w:t>occasione della ricorrenza dell</w:t>
      </w:r>
      <w:r w:rsidR="007A1415" w:rsidRPr="00BD7CEA">
        <w:rPr>
          <w:rFonts w:eastAsia="Calibri" w:cs="Tahoma"/>
          <w:spacing w:val="-4"/>
          <w:szCs w:val="18"/>
        </w:rPr>
        <w:t>’</w:t>
      </w:r>
      <w:r w:rsidRPr="00BD7CEA">
        <w:rPr>
          <w:rFonts w:eastAsia="Calibri" w:cs="Tahoma"/>
          <w:spacing w:val="-4"/>
          <w:szCs w:val="18"/>
        </w:rPr>
        <w:t>Iscrizione durante la quale la Transizione è in vigore. In tali circostanze il rapporto della Transizione potrà essere solo di una copertura Software Assurance per CAL Suite Bridge per una copertura Software Assurance per</w:t>
      </w:r>
      <w:r w:rsidR="00D7155D" w:rsidRPr="00BD7CEA">
        <w:rPr>
          <w:rFonts w:eastAsia="Calibri" w:cs="Tahoma"/>
          <w:spacing w:val="-4"/>
          <w:szCs w:val="18"/>
        </w:rPr>
        <w:t> </w:t>
      </w:r>
      <w:r w:rsidRPr="00BD7CEA">
        <w:rPr>
          <w:rFonts w:eastAsia="Calibri" w:cs="Tahoma"/>
          <w:spacing w:val="-4"/>
          <w:szCs w:val="18"/>
        </w:rPr>
        <w:t>CAL Suite e per la stessa Licenza per utente o dispositivo della CAL Suite qualificante.</w:t>
      </w:r>
      <w:r w:rsidR="008D782D" w:rsidRPr="00BD7CEA">
        <w:rPr>
          <w:rFonts w:eastAsia="Calibri" w:cs="Tahoma"/>
          <w:spacing w:val="-4"/>
          <w:szCs w:val="18"/>
        </w:rPr>
        <w:t xml:space="preserve"> </w:t>
      </w:r>
    </w:p>
    <w:p w:rsidR="000773D2" w:rsidRPr="00BD7CEA" w:rsidRDefault="000773D2" w:rsidP="00A66BD2">
      <w:pPr>
        <w:spacing w:line="276" w:lineRule="auto"/>
        <w:ind w:left="720"/>
      </w:pPr>
      <w:r w:rsidRPr="00BD7CEA">
        <w:rPr>
          <w:rFonts w:eastAsia="Calibri" w:cs="Tahoma"/>
          <w:szCs w:val="18"/>
        </w:rPr>
        <w:t>Una CAL Suite Bridge è un Prodotto Enterprise e potrà essere ottenuto in licenza solo insieme al Servizio Online qualificante per soddisfare il requisito a livello aziendale sia della CAL Suite Bridge che della CAL Suite</w:t>
      </w:r>
      <w:r w:rsidR="00DC6528">
        <w:rPr>
          <w:rFonts w:eastAsia="Calibri" w:cs="Tahoma"/>
          <w:szCs w:val="18"/>
        </w:rPr>
        <w:t> </w:t>
      </w:r>
      <w:r w:rsidRPr="00BD7CEA">
        <w:rPr>
          <w:rFonts w:eastAsia="Calibri" w:cs="Tahoma"/>
          <w:szCs w:val="18"/>
        </w:rPr>
        <w:t>principale.</w:t>
      </w:r>
    </w:p>
    <w:p w:rsidR="002A6416" w:rsidRPr="00BD7CEA" w:rsidRDefault="002A6416" w:rsidP="002A6416">
      <w:pPr>
        <w:spacing w:line="276" w:lineRule="auto"/>
        <w:ind w:left="720"/>
      </w:pPr>
    </w:p>
    <w:tbl>
      <w:tblPr>
        <w:tblW w:w="4366" w:type="pct"/>
        <w:tblInd w:w="730" w:type="dxa"/>
        <w:tblCellMar>
          <w:left w:w="0" w:type="dxa"/>
          <w:right w:w="0" w:type="dxa"/>
        </w:tblCellMar>
        <w:tblLook w:val="04A0" w:firstRow="1" w:lastRow="0" w:firstColumn="1" w:lastColumn="0" w:noHBand="0" w:noVBand="1"/>
      </w:tblPr>
      <w:tblGrid>
        <w:gridCol w:w="2779"/>
        <w:gridCol w:w="2599"/>
        <w:gridCol w:w="2778"/>
      </w:tblGrid>
      <w:tr w:rsidR="005A36EF" w:rsidRPr="00BD7CEA" w:rsidTr="002A6416">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0773D2" w:rsidRPr="00BD7CEA" w:rsidRDefault="000773D2" w:rsidP="000773D2">
            <w:pPr>
              <w:spacing w:before="80" w:after="200" w:line="276" w:lineRule="auto"/>
              <w:jc w:val="center"/>
              <w:rPr>
                <w:rFonts w:eastAsia="Calibri" w:cs="Tahoma"/>
                <w:b/>
                <w:bCs/>
                <w:color w:val="000000"/>
                <w:szCs w:val="18"/>
                <w:lang w:eastAsia="ja-JP"/>
              </w:rPr>
            </w:pPr>
            <w:r w:rsidRPr="00BD7CEA">
              <w:rPr>
                <w:rFonts w:eastAsia="Calibri" w:cs="Tahoma"/>
                <w:b/>
                <w:bCs/>
                <w:szCs w:val="18"/>
              </w:rPr>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hideMark/>
          </w:tcPr>
          <w:p w:rsidR="000773D2" w:rsidRPr="00BD7CEA" w:rsidRDefault="000773D2" w:rsidP="000773D2">
            <w:pPr>
              <w:spacing w:before="80" w:after="200" w:line="276" w:lineRule="auto"/>
              <w:jc w:val="center"/>
              <w:rPr>
                <w:rFonts w:eastAsia="Calibri" w:cs="Tahoma"/>
                <w:b/>
                <w:bCs/>
                <w:color w:val="000000"/>
                <w:szCs w:val="18"/>
                <w:lang w:eastAsia="ja-JP"/>
              </w:rPr>
            </w:pPr>
            <w:r w:rsidRPr="00BD7CEA">
              <w:rPr>
                <w:rFonts w:eastAsia="Calibri" w:cs="Tahoma"/>
                <w:b/>
                <w:bCs/>
                <w:szCs w:val="18"/>
              </w:rPr>
              <w:t>CAL Suite Principale</w:t>
            </w:r>
          </w:p>
        </w:tc>
        <w:tc>
          <w:tcPr>
            <w:tcW w:w="1703" w:type="pct"/>
            <w:tcBorders>
              <w:top w:val="single" w:sz="8" w:space="0" w:color="auto"/>
              <w:left w:val="nil"/>
              <w:bottom w:val="single" w:sz="8" w:space="0" w:color="auto"/>
              <w:right w:val="single" w:sz="8" w:space="0" w:color="auto"/>
            </w:tcBorders>
            <w:shd w:val="clear" w:color="auto" w:fill="FABF8F"/>
            <w:hideMark/>
          </w:tcPr>
          <w:p w:rsidR="000773D2" w:rsidRPr="00BD7CEA" w:rsidRDefault="000773D2" w:rsidP="005A36EF">
            <w:pPr>
              <w:spacing w:before="80" w:after="200" w:line="276" w:lineRule="auto"/>
              <w:ind w:left="180" w:right="180"/>
              <w:jc w:val="center"/>
              <w:rPr>
                <w:rFonts w:eastAsia="Calibri" w:cs="Tahoma"/>
                <w:b/>
                <w:bCs/>
                <w:color w:val="000000"/>
                <w:szCs w:val="18"/>
                <w:lang w:eastAsia="ja-JP"/>
              </w:rPr>
            </w:pPr>
            <w:r w:rsidRPr="00BD7CEA">
              <w:rPr>
                <w:rFonts w:eastAsia="Calibri" w:cs="Tahoma"/>
                <w:b/>
                <w:bCs/>
                <w:szCs w:val="18"/>
              </w:rPr>
              <w:t>Servizi Online Qualificanti</w:t>
            </w:r>
          </w:p>
        </w:tc>
      </w:tr>
      <w:tr w:rsidR="005A36EF" w:rsidRPr="00BD7CEA" w:rsidTr="002A6416">
        <w:trPr>
          <w:trHeight w:val="576"/>
        </w:trPr>
        <w:tc>
          <w:tcPr>
            <w:tcW w:w="1704" w:type="pct"/>
            <w:tcBorders>
              <w:top w:val="nil"/>
              <w:left w:val="single" w:sz="8" w:space="0" w:color="auto"/>
              <w:bottom w:val="single" w:sz="8" w:space="0" w:color="auto"/>
              <w:right w:val="single" w:sz="8" w:space="0" w:color="auto"/>
            </w:tcBorders>
          </w:tcPr>
          <w:p w:rsidR="000773D2" w:rsidRPr="00BD7CEA" w:rsidRDefault="000773D2" w:rsidP="007358C5">
            <w:pPr>
              <w:numPr>
                <w:ilvl w:val="0"/>
                <w:numId w:val="40"/>
              </w:numPr>
              <w:spacing w:before="120" w:after="200" w:line="276" w:lineRule="auto"/>
              <w:ind w:left="679" w:right="181" w:hanging="450"/>
              <w:rPr>
                <w:rFonts w:eastAsia="Calibri" w:cs="Tahoma"/>
                <w:color w:val="000000"/>
                <w:szCs w:val="18"/>
              </w:rPr>
            </w:pPr>
            <w:r w:rsidRPr="00BD7CEA">
              <w:rPr>
                <w:rFonts w:eastAsia="Calibri" w:cs="Tahoma"/>
                <w:color w:val="000000"/>
                <w:szCs w:val="18"/>
              </w:rPr>
              <w:t>Core CAL Suite Bridge per Office 365</w:t>
            </w:r>
          </w:p>
        </w:tc>
        <w:tc>
          <w:tcPr>
            <w:tcW w:w="1593" w:type="pct"/>
            <w:tcBorders>
              <w:top w:val="nil"/>
              <w:left w:val="nil"/>
              <w:bottom w:val="single" w:sz="8" w:space="0" w:color="auto"/>
              <w:right w:val="single" w:sz="8" w:space="0" w:color="auto"/>
            </w:tcBorders>
          </w:tcPr>
          <w:p w:rsidR="000773D2" w:rsidRPr="00BD7CEA" w:rsidRDefault="000773D2" w:rsidP="007358C5">
            <w:pPr>
              <w:numPr>
                <w:ilvl w:val="0"/>
                <w:numId w:val="41"/>
              </w:numPr>
              <w:spacing w:before="120" w:after="200" w:line="276" w:lineRule="auto"/>
              <w:ind w:left="682" w:hanging="450"/>
              <w:rPr>
                <w:rFonts w:eastAsia="Calibri" w:cs="Tahoma"/>
                <w:color w:val="000000"/>
                <w:szCs w:val="18"/>
              </w:rPr>
            </w:pPr>
            <w:r w:rsidRPr="00BD7CEA">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rsidR="000773D2" w:rsidRPr="00BD7CEA" w:rsidRDefault="000773D2" w:rsidP="007358C5">
            <w:pPr>
              <w:numPr>
                <w:ilvl w:val="0"/>
                <w:numId w:val="42"/>
              </w:numPr>
              <w:spacing w:before="120" w:after="200" w:line="276" w:lineRule="auto"/>
              <w:ind w:left="684" w:right="181" w:hanging="450"/>
            </w:pPr>
            <w:r w:rsidRPr="00BD7CEA">
              <w:rPr>
                <w:rFonts w:eastAsia="Calibri" w:cs="Tahoma"/>
                <w:color w:val="000000"/>
                <w:szCs w:val="18"/>
              </w:rPr>
              <w:t>Office 365 Enterprise</w:t>
            </w:r>
            <w:r w:rsidR="00D7155D" w:rsidRPr="00BD7CEA">
              <w:rPr>
                <w:rFonts w:eastAsia="Calibri" w:cs="Tahoma"/>
                <w:color w:val="000000"/>
                <w:szCs w:val="18"/>
              </w:rPr>
              <w:t> </w:t>
            </w:r>
            <w:r w:rsidRPr="00BD7CEA">
              <w:rPr>
                <w:rFonts w:eastAsia="Calibri" w:cs="Tahoma"/>
                <w:color w:val="000000"/>
                <w:szCs w:val="18"/>
              </w:rPr>
              <w:t>E1 o</w:t>
            </w:r>
          </w:p>
          <w:p w:rsidR="000773D2" w:rsidRPr="00BD7CEA" w:rsidRDefault="000773D2" w:rsidP="007358C5">
            <w:pPr>
              <w:numPr>
                <w:ilvl w:val="0"/>
                <w:numId w:val="42"/>
              </w:numPr>
              <w:spacing w:before="120" w:after="200" w:line="276" w:lineRule="auto"/>
              <w:ind w:left="684" w:right="181" w:hanging="450"/>
            </w:pPr>
            <w:r w:rsidRPr="00BD7CEA">
              <w:rPr>
                <w:rFonts w:eastAsia="Calibri" w:cs="Tahoma"/>
                <w:color w:val="000000"/>
                <w:szCs w:val="18"/>
              </w:rPr>
              <w:t>Office 365 Enterprise</w:t>
            </w:r>
            <w:r w:rsidR="00D7155D" w:rsidRPr="00BD7CEA">
              <w:rPr>
                <w:rFonts w:eastAsia="Calibri" w:cs="Tahoma"/>
                <w:color w:val="000000"/>
                <w:szCs w:val="18"/>
              </w:rPr>
              <w:t> </w:t>
            </w:r>
            <w:r w:rsidRPr="00BD7CEA">
              <w:rPr>
                <w:rFonts w:eastAsia="Calibri" w:cs="Tahoma"/>
                <w:color w:val="000000"/>
                <w:szCs w:val="18"/>
              </w:rPr>
              <w:t>E2 o</w:t>
            </w:r>
          </w:p>
          <w:p w:rsidR="000773D2" w:rsidRPr="00BD7CEA" w:rsidRDefault="000773D2" w:rsidP="007358C5">
            <w:pPr>
              <w:numPr>
                <w:ilvl w:val="0"/>
                <w:numId w:val="42"/>
              </w:numPr>
              <w:spacing w:before="120" w:after="200" w:line="276" w:lineRule="auto"/>
              <w:ind w:left="684" w:right="181" w:hanging="450"/>
            </w:pPr>
            <w:r w:rsidRPr="00BD7CEA">
              <w:rPr>
                <w:rFonts w:eastAsia="Calibri" w:cs="Tahoma"/>
                <w:color w:val="000000"/>
                <w:szCs w:val="18"/>
              </w:rPr>
              <w:t>Office 365 Enterprise</w:t>
            </w:r>
            <w:r w:rsidR="00D7155D" w:rsidRPr="00BD7CEA">
              <w:rPr>
                <w:rFonts w:eastAsia="Calibri" w:cs="Tahoma"/>
                <w:color w:val="000000"/>
                <w:szCs w:val="18"/>
              </w:rPr>
              <w:t> </w:t>
            </w:r>
            <w:r w:rsidRPr="00BD7CEA">
              <w:rPr>
                <w:rFonts w:eastAsia="Calibri" w:cs="Tahoma"/>
                <w:color w:val="000000"/>
                <w:szCs w:val="18"/>
              </w:rPr>
              <w:t>E3 o</w:t>
            </w:r>
          </w:p>
          <w:p w:rsidR="000773D2" w:rsidRPr="00BD7CEA" w:rsidRDefault="000773D2" w:rsidP="007358C5">
            <w:pPr>
              <w:numPr>
                <w:ilvl w:val="0"/>
                <w:numId w:val="42"/>
              </w:numPr>
              <w:spacing w:before="120" w:after="200" w:line="276" w:lineRule="auto"/>
              <w:ind w:left="684" w:right="181" w:hanging="450"/>
              <w:rPr>
                <w:rFonts w:eastAsia="Calibri" w:cs="Tahoma"/>
                <w:color w:val="000000"/>
                <w:szCs w:val="18"/>
              </w:rPr>
            </w:pPr>
            <w:r w:rsidRPr="00BD7CEA">
              <w:rPr>
                <w:rFonts w:eastAsia="Calibri" w:cs="Tahoma"/>
                <w:color w:val="000000"/>
                <w:szCs w:val="18"/>
              </w:rPr>
              <w:t>Office 365 Enterprise</w:t>
            </w:r>
            <w:r w:rsidR="00D7155D" w:rsidRPr="00BD7CEA">
              <w:rPr>
                <w:rFonts w:eastAsia="Calibri" w:cs="Tahoma"/>
                <w:color w:val="000000"/>
                <w:szCs w:val="18"/>
              </w:rPr>
              <w:t> </w:t>
            </w:r>
            <w:r w:rsidRPr="00BD7CEA">
              <w:rPr>
                <w:rFonts w:eastAsia="Calibri" w:cs="Tahoma"/>
                <w:color w:val="000000"/>
                <w:szCs w:val="18"/>
              </w:rPr>
              <w:t>E4</w:t>
            </w:r>
          </w:p>
        </w:tc>
      </w:tr>
      <w:tr w:rsidR="005A36EF" w:rsidRPr="00BD7CEA" w:rsidTr="002A6416">
        <w:trPr>
          <w:trHeight w:val="576"/>
        </w:trPr>
        <w:tc>
          <w:tcPr>
            <w:tcW w:w="1704" w:type="pct"/>
            <w:tcBorders>
              <w:top w:val="nil"/>
              <w:left w:val="single" w:sz="8" w:space="0" w:color="auto"/>
              <w:bottom w:val="single" w:sz="8" w:space="0" w:color="auto"/>
              <w:right w:val="single" w:sz="8" w:space="0" w:color="auto"/>
            </w:tcBorders>
          </w:tcPr>
          <w:p w:rsidR="000773D2" w:rsidRPr="00BD7CEA" w:rsidRDefault="000773D2" w:rsidP="007358C5">
            <w:pPr>
              <w:numPr>
                <w:ilvl w:val="0"/>
                <w:numId w:val="40"/>
              </w:numPr>
              <w:spacing w:before="120" w:after="200" w:line="276" w:lineRule="auto"/>
              <w:ind w:left="679" w:right="181" w:hanging="450"/>
              <w:rPr>
                <w:rFonts w:eastAsia="Calibri" w:cs="Tahoma"/>
                <w:color w:val="000000"/>
                <w:szCs w:val="18"/>
              </w:rPr>
            </w:pPr>
            <w:r w:rsidRPr="00BD7CEA">
              <w:rPr>
                <w:rFonts w:eastAsia="Calibri" w:cs="Tahoma"/>
                <w:color w:val="000000"/>
                <w:szCs w:val="18"/>
              </w:rPr>
              <w:t>Core CAL Suite Bridge per Office 365 e Windows Intune</w:t>
            </w:r>
          </w:p>
        </w:tc>
        <w:tc>
          <w:tcPr>
            <w:tcW w:w="1593" w:type="pct"/>
            <w:tcBorders>
              <w:top w:val="nil"/>
              <w:left w:val="nil"/>
              <w:bottom w:val="single" w:sz="8" w:space="0" w:color="auto"/>
              <w:right w:val="single" w:sz="8" w:space="0" w:color="auto"/>
            </w:tcBorders>
          </w:tcPr>
          <w:p w:rsidR="000773D2" w:rsidRPr="00BD7CEA" w:rsidRDefault="000773D2" w:rsidP="007358C5">
            <w:pPr>
              <w:numPr>
                <w:ilvl w:val="0"/>
                <w:numId w:val="41"/>
              </w:numPr>
              <w:spacing w:before="120" w:after="200" w:line="276" w:lineRule="auto"/>
              <w:ind w:left="682" w:hanging="450"/>
              <w:rPr>
                <w:rFonts w:eastAsia="Calibri" w:cs="Tahoma"/>
                <w:color w:val="000000"/>
                <w:szCs w:val="18"/>
              </w:rPr>
            </w:pPr>
            <w:r w:rsidRPr="00BD7CEA">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rsidR="000773D2" w:rsidRPr="00BD7CEA" w:rsidRDefault="000773D2" w:rsidP="007358C5">
            <w:pPr>
              <w:numPr>
                <w:ilvl w:val="0"/>
                <w:numId w:val="42"/>
              </w:numPr>
              <w:spacing w:before="120" w:after="200" w:line="276" w:lineRule="auto"/>
              <w:ind w:left="684" w:right="181" w:hanging="450"/>
            </w:pPr>
            <w:r w:rsidRPr="00BD7CEA">
              <w:rPr>
                <w:rFonts w:eastAsia="Calibri" w:cs="Tahoma"/>
                <w:color w:val="000000"/>
                <w:szCs w:val="18"/>
              </w:rPr>
              <w:t>Office 365 Enterprise E1 e Windows Intune o</w:t>
            </w:r>
          </w:p>
          <w:p w:rsidR="000773D2" w:rsidRPr="00BD7CEA" w:rsidRDefault="000773D2" w:rsidP="007358C5">
            <w:pPr>
              <w:numPr>
                <w:ilvl w:val="0"/>
                <w:numId w:val="42"/>
              </w:numPr>
              <w:spacing w:before="120" w:after="200" w:line="276" w:lineRule="auto"/>
              <w:ind w:left="684" w:right="181" w:hanging="450"/>
            </w:pPr>
            <w:r w:rsidRPr="00BD7CEA">
              <w:rPr>
                <w:rFonts w:eastAsia="Calibri" w:cs="Tahoma"/>
                <w:color w:val="000000"/>
                <w:szCs w:val="18"/>
              </w:rPr>
              <w:t>Office 365 Enterprise E2 e Windows Intune o</w:t>
            </w:r>
          </w:p>
          <w:p w:rsidR="000773D2" w:rsidRPr="00BD7CEA" w:rsidRDefault="000773D2" w:rsidP="007358C5">
            <w:pPr>
              <w:numPr>
                <w:ilvl w:val="0"/>
                <w:numId w:val="42"/>
              </w:numPr>
              <w:spacing w:before="120" w:after="200" w:line="276" w:lineRule="auto"/>
              <w:ind w:left="684" w:right="181" w:hanging="450"/>
            </w:pPr>
            <w:r w:rsidRPr="00BD7CEA">
              <w:rPr>
                <w:rFonts w:eastAsia="Calibri" w:cs="Tahoma"/>
                <w:color w:val="000000"/>
                <w:szCs w:val="18"/>
              </w:rPr>
              <w:t>Office 365 Enterprise E3 e Windows Intune o</w:t>
            </w:r>
          </w:p>
          <w:p w:rsidR="000773D2" w:rsidRPr="00BD7CEA" w:rsidRDefault="000773D2" w:rsidP="007358C5">
            <w:pPr>
              <w:numPr>
                <w:ilvl w:val="0"/>
                <w:numId w:val="42"/>
              </w:numPr>
              <w:spacing w:before="120" w:after="200" w:line="276" w:lineRule="auto"/>
              <w:ind w:left="684" w:right="181" w:hanging="450"/>
              <w:rPr>
                <w:rFonts w:eastAsia="Calibri" w:cs="Tahoma"/>
                <w:color w:val="000000"/>
                <w:szCs w:val="18"/>
              </w:rPr>
            </w:pPr>
            <w:r w:rsidRPr="00BD7CEA">
              <w:rPr>
                <w:rFonts w:eastAsia="Calibri" w:cs="Tahoma"/>
                <w:color w:val="000000"/>
                <w:szCs w:val="18"/>
              </w:rPr>
              <w:t>Office 365 Enterprise E4 e Windows Intune</w:t>
            </w:r>
          </w:p>
        </w:tc>
      </w:tr>
      <w:tr w:rsidR="00A2083B" w:rsidRPr="00BD7CEA" w:rsidTr="002A6416">
        <w:trPr>
          <w:trHeight w:val="576"/>
        </w:trPr>
        <w:tc>
          <w:tcPr>
            <w:tcW w:w="1704" w:type="pct"/>
            <w:tcBorders>
              <w:top w:val="single" w:sz="8" w:space="0" w:color="auto"/>
              <w:left w:val="single" w:sz="8" w:space="0" w:color="auto"/>
              <w:bottom w:val="single" w:sz="8" w:space="0" w:color="auto"/>
              <w:right w:val="single" w:sz="8" w:space="0" w:color="auto"/>
            </w:tcBorders>
          </w:tcPr>
          <w:p w:rsidR="00A2083B" w:rsidRPr="00BD7CEA" w:rsidRDefault="00A2083B" w:rsidP="007358C5">
            <w:pPr>
              <w:numPr>
                <w:ilvl w:val="0"/>
                <w:numId w:val="40"/>
              </w:numPr>
              <w:spacing w:before="120" w:after="200" w:line="276" w:lineRule="auto"/>
              <w:ind w:left="679" w:right="181" w:hanging="450"/>
              <w:rPr>
                <w:rFonts w:eastAsia="Calibri" w:cs="Tahoma"/>
                <w:color w:val="000000"/>
                <w:szCs w:val="18"/>
              </w:rPr>
            </w:pPr>
            <w:r w:rsidRPr="00BD7CEA">
              <w:rPr>
                <w:rFonts w:cs="Tahoma"/>
                <w:color w:val="000000"/>
                <w:szCs w:val="18"/>
              </w:rPr>
              <w:t>Core CAL Suite Bridge per Windows Intune</w:t>
            </w:r>
          </w:p>
        </w:tc>
        <w:tc>
          <w:tcPr>
            <w:tcW w:w="1593" w:type="pct"/>
            <w:tcBorders>
              <w:top w:val="single" w:sz="8" w:space="0" w:color="auto"/>
              <w:left w:val="nil"/>
              <w:bottom w:val="single" w:sz="8" w:space="0" w:color="auto"/>
              <w:right w:val="single" w:sz="8" w:space="0" w:color="auto"/>
            </w:tcBorders>
          </w:tcPr>
          <w:p w:rsidR="00A2083B" w:rsidRPr="00BD7CEA" w:rsidRDefault="00A2083B" w:rsidP="007358C5">
            <w:pPr>
              <w:numPr>
                <w:ilvl w:val="0"/>
                <w:numId w:val="41"/>
              </w:numPr>
              <w:spacing w:before="120" w:after="200" w:line="276" w:lineRule="auto"/>
              <w:ind w:left="682" w:hanging="450"/>
              <w:rPr>
                <w:rFonts w:eastAsia="Calibri" w:cs="Tahoma"/>
                <w:color w:val="000000"/>
                <w:szCs w:val="18"/>
              </w:rPr>
            </w:pPr>
            <w:r w:rsidRPr="00BD7CEA">
              <w:rPr>
                <w:rFonts w:cs="Tahoma"/>
                <w:color w:val="000000"/>
                <w:szCs w:val="18"/>
              </w:rPr>
              <w:t>Core CAL Suite</w:t>
            </w:r>
          </w:p>
        </w:tc>
        <w:tc>
          <w:tcPr>
            <w:tcW w:w="1703" w:type="pct"/>
            <w:tcBorders>
              <w:top w:val="single" w:sz="8" w:space="0" w:color="auto"/>
              <w:left w:val="nil"/>
              <w:bottom w:val="single" w:sz="8" w:space="0" w:color="auto"/>
              <w:right w:val="single" w:sz="8" w:space="0" w:color="auto"/>
            </w:tcBorders>
          </w:tcPr>
          <w:p w:rsidR="00A2083B" w:rsidRPr="00BD7CEA" w:rsidRDefault="00A2083B" w:rsidP="007358C5">
            <w:pPr>
              <w:numPr>
                <w:ilvl w:val="0"/>
                <w:numId w:val="42"/>
              </w:numPr>
              <w:spacing w:before="120" w:after="200" w:line="276" w:lineRule="auto"/>
              <w:ind w:left="684" w:right="181" w:hanging="450"/>
              <w:rPr>
                <w:rFonts w:eastAsia="Calibri" w:cs="Tahoma"/>
                <w:color w:val="000000"/>
                <w:szCs w:val="18"/>
              </w:rPr>
            </w:pPr>
            <w:r w:rsidRPr="00BD7CEA">
              <w:rPr>
                <w:rFonts w:cs="Tahoma"/>
                <w:color w:val="000000"/>
                <w:szCs w:val="18"/>
              </w:rPr>
              <w:t>Windows</w:t>
            </w:r>
            <w:r w:rsidRPr="00BD7CEA">
              <w:rPr>
                <w:rFonts w:cs="Tahoma"/>
                <w:color w:val="000000"/>
                <w:szCs w:val="18"/>
                <w:vertAlign w:val="superscript"/>
              </w:rPr>
              <w:t xml:space="preserve"> </w:t>
            </w:r>
            <w:r w:rsidRPr="00BD7CEA">
              <w:rPr>
                <w:rFonts w:cs="Tahoma"/>
                <w:color w:val="000000"/>
                <w:szCs w:val="18"/>
              </w:rPr>
              <w:t>Intune</w:t>
            </w:r>
          </w:p>
        </w:tc>
      </w:tr>
    </w:tbl>
    <w:p w:rsidR="00A66BD2" w:rsidRDefault="00A66BD2" w:rsidP="00AF3B19">
      <w:pPr>
        <w:pStyle w:val="Heading3"/>
      </w:pPr>
      <w:bookmarkStart w:id="1186" w:name="_Toc336338295"/>
      <w:bookmarkStart w:id="1187" w:name="Srv_34CoreCALSuite"/>
      <w:bookmarkStart w:id="1188" w:name="Srv_31CoreCALSuite"/>
    </w:p>
    <w:p w:rsidR="005204B6" w:rsidRDefault="005204B6" w:rsidP="005204B6"/>
    <w:p w:rsidR="005204B6" w:rsidRDefault="005204B6" w:rsidP="005204B6"/>
    <w:p w:rsidR="005204B6" w:rsidRDefault="005204B6" w:rsidP="005204B6"/>
    <w:p w:rsidR="005204B6" w:rsidRDefault="005204B6" w:rsidP="005204B6"/>
    <w:p w:rsidR="005204B6" w:rsidRDefault="005204B6" w:rsidP="005204B6"/>
    <w:p w:rsidR="005204B6" w:rsidRDefault="005204B6" w:rsidP="005204B6"/>
    <w:p w:rsidR="005204B6" w:rsidRDefault="005204B6" w:rsidP="005204B6"/>
    <w:p w:rsidR="005204B6" w:rsidRDefault="005204B6" w:rsidP="005204B6"/>
    <w:p w:rsidR="005204B6" w:rsidRDefault="005204B6" w:rsidP="005204B6"/>
    <w:p w:rsidR="005204B6" w:rsidRPr="005204B6" w:rsidRDefault="005204B6" w:rsidP="005204B6"/>
    <w:p w:rsidR="00023FE7" w:rsidRPr="00BD7CEA" w:rsidRDefault="004668D9">
      <w:pPr>
        <w:pStyle w:val="Heading3"/>
      </w:pPr>
      <w:bookmarkStart w:id="1189" w:name="_37_Core_CAL"/>
      <w:bookmarkStart w:id="1190" w:name="_Toc353376075"/>
      <w:bookmarkEnd w:id="1189"/>
      <w:r w:rsidRPr="00BD7CEA">
        <w:rPr>
          <w:rFonts w:ascii="Tahoma" w:hAnsi="Tahoma"/>
          <w:caps/>
          <w:color w:val="F66400"/>
          <w:sz w:val="22"/>
          <w:vertAlign w:val="superscript"/>
        </w:rPr>
        <w:lastRenderedPageBreak/>
        <w:t>37</w:t>
      </w:r>
      <w:r w:rsidRPr="00BD7CEA">
        <w:rPr>
          <w:rFonts w:ascii="Tahoma" w:hAnsi="Tahoma"/>
          <w:color w:val="F66400"/>
          <w:sz w:val="22"/>
        </w:rPr>
        <w:t xml:space="preserve"> Core CAL Suite</w:t>
      </w:r>
      <w:bookmarkEnd w:id="1186"/>
      <w:bookmarkEnd w:id="1190"/>
    </w:p>
    <w:bookmarkEnd w:id="1187"/>
    <w:bookmarkEnd w:id="1188"/>
    <w:p w:rsidR="00023FE7" w:rsidRPr="005204B6" w:rsidRDefault="00023FE7">
      <w:pPr>
        <w:ind w:firstLine="540"/>
        <w:rPr>
          <w:sz w:val="16"/>
          <w:szCs w:val="16"/>
        </w:rPr>
      </w:pPr>
    </w:p>
    <w:p w:rsidR="000D76F0" w:rsidRPr="00BD7CEA" w:rsidRDefault="000D76F0" w:rsidP="001154B5">
      <w:pPr>
        <w:ind w:left="720"/>
      </w:pPr>
      <w:r w:rsidRPr="00BD7CEA">
        <w:rPr>
          <w:rFonts w:cs="Tahoma"/>
          <w:szCs w:val="20"/>
        </w:rPr>
        <w:t xml:space="preserve">Core CAL Suite non dispone di versioni e i diritti di utilizzo del prodotto sono determinati dallo stato della copertura Software Assurance per Core CAL Suite. Qualora la copertura sia scaduta, i diritti di accesso attribuiti da licenze perpetue sono determinati sulla base dei diritti di utilizzo del prodotto in vigore prima della scadenza della copertura. A partire dal 1 dicembre 2012 una licenza per Core </w:t>
      </w:r>
      <w:r w:rsidRPr="00BD7CEA">
        <w:rPr>
          <w:rFonts w:cs="Tahoma"/>
          <w:color w:val="000000"/>
          <w:szCs w:val="20"/>
        </w:rPr>
        <w:t xml:space="preserve">CAL Suite con copertura Software Assurance attiva concede diritti equivalenti ai seguenti prodotti: CAL per Windows Server 2012, Standard CAL per Exchange Server 2013, </w:t>
      </w:r>
      <w:r w:rsidRPr="00BD7CEA">
        <w:rPr>
          <w:color w:val="000000"/>
        </w:rPr>
        <w:t xml:space="preserve">Standard CAL per Lync Server 2013, </w:t>
      </w:r>
      <w:r w:rsidRPr="00BD7CEA">
        <w:rPr>
          <w:rFonts w:cs="Tahoma"/>
          <w:color w:val="000000"/>
          <w:szCs w:val="20"/>
        </w:rPr>
        <w:t>Standard CAL per SharePoint</w:t>
      </w:r>
      <w:r w:rsidRPr="00BD7CEA">
        <w:rPr>
          <w:rFonts w:cs="Tahoma"/>
          <w:szCs w:val="20"/>
        </w:rPr>
        <w:t xml:space="preserve"> Server 2013, Licenza di Gestione Client per System Center 2012 Configuration Manager e System Center 2012 Endpoint Protection</w:t>
      </w:r>
      <w:r w:rsidRPr="00BD7CEA">
        <w:rPr>
          <w:rFonts w:cs="Tahoma"/>
          <w:color w:val="000000"/>
          <w:szCs w:val="20"/>
        </w:rPr>
        <w:t>.</w:t>
      </w:r>
      <w:r w:rsidR="008D782D" w:rsidRPr="00BD7CEA">
        <w:rPr>
          <w:rFonts w:cs="Tahoma"/>
          <w:color w:val="000000"/>
          <w:szCs w:val="20"/>
        </w:rPr>
        <w:t xml:space="preserve"> </w:t>
      </w:r>
      <w:r w:rsidRPr="00BD7CEA">
        <w:rPr>
          <w:rFonts w:cs="Tahoma"/>
          <w:color w:val="000000"/>
          <w:szCs w:val="18"/>
        </w:rPr>
        <w:t>Una licenza per Core CAL Suite è una licenza singola che deve essere ceduta a un singolo utente o dispositivo. Secondo quanto previsto nel relativo contratto multilicenza, le società non sono autorizzate a separare i diritti di Core CAL Suite per consentire a due o più utenti o dispositivi di accedere contemporaneamente ai diversi componenti. </w:t>
      </w:r>
    </w:p>
    <w:p w:rsidR="00023FE7" w:rsidRPr="00BD7CEA" w:rsidRDefault="00023FE7" w:rsidP="001154B5">
      <w:pPr>
        <w:ind w:left="720"/>
      </w:pPr>
    </w:p>
    <w:p w:rsidR="00023FE7" w:rsidRPr="00BD7CEA" w:rsidRDefault="00023FE7" w:rsidP="00A66BD2">
      <w:pPr>
        <w:spacing w:after="60"/>
        <w:ind w:left="720"/>
      </w:pPr>
      <w:r w:rsidRPr="00BD7CEA">
        <w:rPr>
          <w:rFonts w:cs="Tahoma"/>
          <w:b/>
          <w:bCs/>
          <w:color w:val="000000"/>
          <w:szCs w:val="20"/>
        </w:rPr>
        <w:t>CAL Solo per Studenti (Academic Open License e Academic Select)</w:t>
      </w:r>
    </w:p>
    <w:p w:rsidR="00023FE7" w:rsidRPr="00BD7CEA" w:rsidRDefault="00023FE7" w:rsidP="001154B5">
      <w:pPr>
        <w:ind w:left="720"/>
        <w:rPr>
          <w:spacing w:val="-2"/>
        </w:rPr>
      </w:pPr>
      <w:r w:rsidRPr="00BD7CEA">
        <w:rPr>
          <w:rFonts w:cs="Tahoma"/>
          <w:spacing w:val="-2"/>
          <w:szCs w:val="20"/>
        </w:rPr>
        <w:t>Le CAL Solo per Studenti sono limitate ai PC di proprietà dello studente titolare della licenza o ai PC di proprietà dell</w:t>
      </w:r>
      <w:r w:rsidR="007A1415" w:rsidRPr="00BD7CEA">
        <w:rPr>
          <w:rFonts w:cs="Tahoma"/>
          <w:spacing w:val="-2"/>
          <w:szCs w:val="20"/>
        </w:rPr>
        <w:t>’</w:t>
      </w:r>
      <w:r w:rsidRPr="00BD7CEA">
        <w:rPr>
          <w:rFonts w:cs="Tahoma"/>
          <w:spacing w:val="-2"/>
          <w:szCs w:val="20"/>
        </w:rPr>
        <w:t>Istituto che siano assegnati a un singolo studente e NON siano utilizzati nei laboratori o in classe.</w:t>
      </w:r>
    </w:p>
    <w:p w:rsidR="0036063B" w:rsidRPr="00BD7CEA" w:rsidRDefault="0036063B" w:rsidP="00AF3B19"/>
    <w:p w:rsidR="00B947E4" w:rsidRPr="00BD7CEA" w:rsidRDefault="004668D9" w:rsidP="00416294">
      <w:pPr>
        <w:pStyle w:val="Heading3"/>
      </w:pPr>
      <w:bookmarkStart w:id="1191" w:name="_38_Core_Infrastructure_1"/>
      <w:bookmarkStart w:id="1192" w:name="_Toc336338296"/>
      <w:bookmarkStart w:id="1193" w:name="_Toc353376076"/>
      <w:bookmarkStart w:id="1194" w:name="Srv_35CoreInfraServerSuiteStd"/>
      <w:bookmarkStart w:id="1195" w:name="Srv_32CoreInfraServerSuiteStd"/>
      <w:bookmarkStart w:id="1196" w:name="Srv_35DynCRMWorkProEnt"/>
      <w:bookmarkEnd w:id="1191"/>
      <w:r w:rsidRPr="00BD7CEA">
        <w:rPr>
          <w:rFonts w:ascii="Tahoma" w:hAnsi="Tahoma"/>
          <w:caps/>
          <w:color w:val="F66400"/>
          <w:sz w:val="22"/>
          <w:vertAlign w:val="superscript"/>
        </w:rPr>
        <w:t>38</w:t>
      </w:r>
      <w:r w:rsidRPr="00BD7CEA">
        <w:rPr>
          <w:rFonts w:ascii="Tahoma" w:hAnsi="Tahoma"/>
          <w:color w:val="F66400"/>
          <w:sz w:val="22"/>
        </w:rPr>
        <w:t xml:space="preserve"> Core Infrastructure Server Suite Standard</w:t>
      </w:r>
      <w:bookmarkEnd w:id="1192"/>
      <w:bookmarkEnd w:id="1193"/>
    </w:p>
    <w:bookmarkEnd w:id="1194"/>
    <w:bookmarkEnd w:id="1195"/>
    <w:p w:rsidR="004D776B" w:rsidRPr="00BD7CEA" w:rsidRDefault="004D776B" w:rsidP="00416294"/>
    <w:p w:rsidR="004D776B" w:rsidRPr="00BD7CEA" w:rsidRDefault="00A66BD2" w:rsidP="00A66BD2">
      <w:pPr>
        <w:spacing w:after="60"/>
        <w:ind w:left="720"/>
      </w:pPr>
      <w:r w:rsidRPr="00BD7CEA">
        <w:rPr>
          <w:rFonts w:eastAsia="Calibri" w:cs="Tahoma"/>
          <w:b/>
          <w:szCs w:val="18"/>
        </w:rPr>
        <w:t>Migrazione al Nuovo Modello di Licenza</w:t>
      </w:r>
    </w:p>
    <w:p w:rsidR="004D776B" w:rsidRPr="00BD7CEA" w:rsidRDefault="004D776B" w:rsidP="00A66BD2">
      <w:pPr>
        <w:ind w:left="720"/>
      </w:pPr>
      <w:r w:rsidRPr="00BD7CEA">
        <w:rPr>
          <w:rFonts w:eastAsia="Calibri" w:cs="Tahoma"/>
          <w:szCs w:val="18"/>
        </w:rPr>
        <w:t>In data 1 aprile 2012 il modello di licenza per CIS è cambiato. Le licenze acquistate ai sensi di nuove iscrizioni in vigore dopo il 1 aprile 2012 possono coprire fino a due processori fisici.</w:t>
      </w:r>
    </w:p>
    <w:p w:rsidR="00A66BD2" w:rsidRPr="00BD7CEA" w:rsidRDefault="00A66BD2" w:rsidP="00A66BD2">
      <w:pPr>
        <w:ind w:left="720"/>
      </w:pPr>
    </w:p>
    <w:p w:rsidR="004D776B" w:rsidRPr="00BD7CEA" w:rsidRDefault="004D776B" w:rsidP="00A66BD2">
      <w:pPr>
        <w:ind w:left="720"/>
      </w:pPr>
      <w:r w:rsidRPr="00BD7CEA">
        <w:rPr>
          <w:rFonts w:eastAsia="Calibri" w:cs="Tahoma"/>
          <w:szCs w:val="18"/>
        </w:rPr>
        <w:t>Le società con iscrizioni esistenti in data 1 aprile 2012 (in vigore in data 1 aprile 2012 o antecedente) possono continuare a effettuare il true-up delle licenze acquistate ai sensi del modello precedente in base al</w:t>
      </w:r>
      <w:r w:rsidR="00D7155D" w:rsidRPr="00BD7CEA">
        <w:rPr>
          <w:rFonts w:eastAsia="Calibri" w:cs="Tahoma"/>
          <w:szCs w:val="18"/>
        </w:rPr>
        <w:t> </w:t>
      </w:r>
      <w:r w:rsidRPr="00BD7CEA">
        <w:rPr>
          <w:rFonts w:eastAsia="Calibri" w:cs="Tahoma"/>
          <w:szCs w:val="18"/>
        </w:rPr>
        <w:t>quale ciascuna licenza può autorizzare un solo processore. I seguenti diritti di migrazione si applicano alle licenze di queste società:</w:t>
      </w:r>
    </w:p>
    <w:p w:rsidR="004D776B" w:rsidRPr="00BD7CEA" w:rsidRDefault="004D776B" w:rsidP="00A66BD2">
      <w:pPr>
        <w:pStyle w:val="ListParagraph"/>
        <w:contextualSpacing w:val="0"/>
      </w:pPr>
      <w:r w:rsidRPr="00BD7CEA">
        <w:rPr>
          <w:rFonts w:ascii="Tahoma" w:eastAsia="Calibri" w:hAnsi="Tahoma" w:cs="Tahoma"/>
          <w:sz w:val="18"/>
          <w:szCs w:val="18"/>
        </w:rPr>
        <w:t>Per la durata dell</w:t>
      </w:r>
      <w:r w:rsidR="007A1415" w:rsidRPr="00BD7CEA">
        <w:rPr>
          <w:rFonts w:ascii="Tahoma" w:eastAsia="Calibri" w:hAnsi="Tahoma" w:cs="Tahoma"/>
          <w:sz w:val="18"/>
          <w:szCs w:val="18"/>
        </w:rPr>
        <w:t>’</w:t>
      </w:r>
      <w:r w:rsidRPr="00BD7CEA">
        <w:rPr>
          <w:rFonts w:ascii="Tahoma" w:eastAsia="Calibri" w:hAnsi="Tahoma" w:cs="Tahoma"/>
          <w:sz w:val="18"/>
          <w:szCs w:val="18"/>
        </w:rPr>
        <w:t>iscrizione in essere le licenze nuove ed esistenti delle società, acquistate ai sensi del modello precedente, saranno considerate equivalenti alle licenze previste dal nuovo modello in percentuale di 1:1. In occasione del rinnovo le società possono rinnovare la copertura Software Assurance per le licenze del nuovo modello.</w:t>
      </w:r>
    </w:p>
    <w:p w:rsidR="00973A93" w:rsidRPr="00BD7CEA" w:rsidRDefault="00973A93"/>
    <w:p w:rsidR="004D776B" w:rsidRPr="00BD7CEA" w:rsidRDefault="004D776B" w:rsidP="00A66BD2">
      <w:pPr>
        <w:spacing w:after="60"/>
        <w:ind w:left="720"/>
      </w:pPr>
      <w:r w:rsidRPr="00BD7CEA">
        <w:rPr>
          <w:rFonts w:eastAsia="Calibri" w:cs="Tahoma"/>
          <w:b/>
          <w:szCs w:val="18"/>
        </w:rPr>
        <w:t>Rilascio di una Nuova Versione di Windows Server</w:t>
      </w:r>
    </w:p>
    <w:p w:rsidR="004D776B" w:rsidRPr="00BD7CEA" w:rsidRDefault="004D776B" w:rsidP="00A66BD2">
      <w:pPr>
        <w:ind w:left="720"/>
      </w:pPr>
      <w:r w:rsidRPr="00BD7CEA">
        <w:rPr>
          <w:rFonts w:eastAsia="Calibri" w:cs="Tahoma"/>
          <w:szCs w:val="18"/>
        </w:rPr>
        <w:t>Le società titolari di licenze per Core Infrastructure Server Suite Standard con copertura Software Assurance attiva in data 1 settembre 2012 avranno il diritto di utilizzare i seguenti prodotti in conformità ai diritti di utilizzo del prodotto per Core Infrastructure Server Suite Standard:</w:t>
      </w:r>
    </w:p>
    <w:p w:rsidR="00A66BD2" w:rsidRPr="00BD7CEA" w:rsidRDefault="00A66BD2" w:rsidP="00A66BD2">
      <w:pPr>
        <w:ind w:left="720"/>
      </w:pPr>
    </w:p>
    <w:p w:rsidR="004D776B" w:rsidRPr="00BD7CEA" w:rsidRDefault="004D776B" w:rsidP="007358C5">
      <w:pPr>
        <w:numPr>
          <w:ilvl w:val="0"/>
          <w:numId w:val="23"/>
        </w:numPr>
        <w:tabs>
          <w:tab w:val="left" w:pos="1440"/>
          <w:tab w:val="left" w:pos="3510"/>
        </w:tabs>
        <w:spacing w:after="60"/>
      </w:pPr>
      <w:r w:rsidRPr="00BD7CEA">
        <w:rPr>
          <w:rFonts w:eastAsia="Calibri" w:cs="Tahoma"/>
          <w:szCs w:val="18"/>
        </w:rPr>
        <w:t>Windows Server 2012 Standard</w:t>
      </w:r>
    </w:p>
    <w:p w:rsidR="004D776B" w:rsidRPr="00BD7CEA" w:rsidRDefault="004D776B" w:rsidP="007358C5">
      <w:pPr>
        <w:numPr>
          <w:ilvl w:val="0"/>
          <w:numId w:val="23"/>
        </w:numPr>
        <w:tabs>
          <w:tab w:val="left" w:pos="1440"/>
          <w:tab w:val="left" w:pos="3510"/>
        </w:tabs>
        <w:spacing w:after="60"/>
      </w:pPr>
      <w:r w:rsidRPr="00BD7CEA">
        <w:rPr>
          <w:rFonts w:eastAsia="Calibri" w:cs="Tahoma"/>
          <w:szCs w:val="18"/>
        </w:rPr>
        <w:t>System Center 2012 Standard</w:t>
      </w:r>
    </w:p>
    <w:p w:rsidR="00A66BD2" w:rsidRPr="00BD7CEA" w:rsidRDefault="00A66BD2" w:rsidP="00A66BD2">
      <w:pPr>
        <w:tabs>
          <w:tab w:val="left" w:pos="1440"/>
          <w:tab w:val="left" w:pos="3510"/>
        </w:tabs>
      </w:pPr>
    </w:p>
    <w:p w:rsidR="004D776B" w:rsidRPr="00BD7CEA" w:rsidRDefault="004D776B" w:rsidP="00A66BD2">
      <w:pPr>
        <w:ind w:left="720"/>
      </w:pPr>
      <w:r w:rsidRPr="00BD7CEA">
        <w:rPr>
          <w:rFonts w:eastAsia="Calibri" w:cs="Tahoma"/>
          <w:szCs w:val="18"/>
        </w:rPr>
        <w:t>Per i server che dispongono di una licenza valida per Core Infrastructure Server Suite Standard le società potranno eseguire un</w:t>
      </w:r>
      <w:r w:rsidR="007A1415" w:rsidRPr="00BD7CEA">
        <w:rPr>
          <w:rFonts w:eastAsia="Calibri" w:cs="Tahoma"/>
          <w:szCs w:val="18"/>
        </w:rPr>
        <w:t>’</w:t>
      </w:r>
      <w:r w:rsidRPr="00BD7CEA">
        <w:rPr>
          <w:rFonts w:eastAsia="Calibri" w:cs="Tahoma"/>
          <w:szCs w:val="18"/>
        </w:rPr>
        <w:t>istanza di Windows Server 2008 R2 Enterprise anziché di Windows Server Standard.</w:t>
      </w:r>
    </w:p>
    <w:p w:rsidR="00A66BD2" w:rsidRPr="00BD7CEA" w:rsidRDefault="00A66BD2" w:rsidP="00A66BD2">
      <w:pPr>
        <w:ind w:left="720"/>
      </w:pPr>
    </w:p>
    <w:p w:rsidR="004D776B" w:rsidRPr="00BD7CEA" w:rsidRDefault="004D776B" w:rsidP="00A66BD2">
      <w:pPr>
        <w:spacing w:after="60"/>
        <w:ind w:left="720"/>
      </w:pPr>
      <w:r w:rsidRPr="00BD7CEA">
        <w:rPr>
          <w:rFonts w:eastAsia="Calibri" w:cs="Tahoma"/>
          <w:b/>
          <w:szCs w:val="18"/>
        </w:rPr>
        <w:t>Offerta di Rinnovo di Software Assurance per le Società Titolari di Windows Server Standard e System Center Standard e per le Società Titolari di Windows Server Enterprise e System Center Standard</w:t>
      </w:r>
    </w:p>
    <w:p w:rsidR="004D776B" w:rsidRPr="00BD7CEA" w:rsidRDefault="004D776B" w:rsidP="00A66BD2">
      <w:pPr>
        <w:ind w:left="720"/>
      </w:pPr>
      <w:r w:rsidRPr="00BD7CEA">
        <w:rPr>
          <w:rFonts w:eastAsia="Calibri" w:cs="Tahoma"/>
          <w:szCs w:val="18"/>
        </w:rPr>
        <w:t>Le società titolari di licenze con copertura Software Assurance attiva per tutti i prodotti indicati nella Tabella</w:t>
      </w:r>
      <w:r w:rsidR="00D7155D" w:rsidRPr="00BD7CEA">
        <w:rPr>
          <w:rFonts w:eastAsia="Calibri" w:cs="Tahoma"/>
          <w:szCs w:val="18"/>
        </w:rPr>
        <w:t> </w:t>
      </w:r>
      <w:r w:rsidRPr="00BD7CEA">
        <w:rPr>
          <w:rFonts w:eastAsia="Calibri" w:cs="Tahoma"/>
          <w:szCs w:val="18"/>
        </w:rPr>
        <w:t>A che segue potranno, alla scadenza di tale copertura, acquistare Software Assurance per Core Infrastructure Server Suite Standard senza dover acquistare la sottostante licenza per Core Infrastructure Server Suite Standard.</w:t>
      </w:r>
    </w:p>
    <w:p w:rsidR="00A66BD2" w:rsidRPr="00BD7CEA" w:rsidRDefault="00A66BD2" w:rsidP="00A66BD2">
      <w:pPr>
        <w:ind w:left="720"/>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BD7CEA" w:rsidTr="005204B6">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4D776B" w:rsidRPr="00BD7CEA" w:rsidRDefault="004D776B" w:rsidP="005204B6">
            <w:pPr>
              <w:spacing w:before="80" w:after="80"/>
              <w:ind w:left="-403"/>
              <w:jc w:val="center"/>
              <w:rPr>
                <w:rFonts w:eastAsia="Calibri" w:cs="Tahoma"/>
                <w:b/>
                <w:szCs w:val="18"/>
              </w:rPr>
            </w:pPr>
            <w:r w:rsidRPr="00BD7CEA">
              <w:rPr>
                <w:rFonts w:eastAsia="Calibri" w:cs="Tahoma"/>
                <w:b/>
                <w:szCs w:val="18"/>
              </w:rPr>
              <w:t>Tabella A</w:t>
            </w:r>
          </w:p>
        </w:tc>
      </w:tr>
      <w:tr w:rsidR="004D776B" w:rsidRPr="00BD7CEA" w:rsidTr="005204B6">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BD7CEA" w:rsidRDefault="004D776B" w:rsidP="005204B6">
            <w:pPr>
              <w:spacing w:before="80" w:after="80"/>
              <w:ind w:left="-403"/>
              <w:jc w:val="center"/>
              <w:rPr>
                <w:rFonts w:eastAsia="Calibri" w:cs="Tahoma"/>
                <w:szCs w:val="18"/>
              </w:rPr>
            </w:pPr>
            <w:r w:rsidRPr="00BD7CEA">
              <w:rPr>
                <w:rFonts w:eastAsia="Calibri" w:cs="Tahoma"/>
                <w:szCs w:val="18"/>
              </w:rPr>
              <w:t>Windows Server Standard</w:t>
            </w:r>
          </w:p>
        </w:tc>
      </w:tr>
      <w:tr w:rsidR="004D776B" w:rsidRPr="00BD7CEA" w:rsidTr="005204B6">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BD7CEA" w:rsidRDefault="004D776B" w:rsidP="005204B6">
            <w:pPr>
              <w:spacing w:before="80" w:after="80"/>
              <w:ind w:left="-403"/>
              <w:jc w:val="center"/>
              <w:rPr>
                <w:rFonts w:eastAsia="Calibri" w:cs="Tahoma"/>
                <w:szCs w:val="18"/>
              </w:rPr>
            </w:pPr>
            <w:r w:rsidRPr="00BD7CEA">
              <w:rPr>
                <w:rFonts w:eastAsia="Calibri" w:cs="Tahoma"/>
                <w:szCs w:val="18"/>
              </w:rPr>
              <w:t>System Center Standard</w:t>
            </w:r>
          </w:p>
        </w:tc>
      </w:tr>
    </w:tbl>
    <w:p w:rsidR="004D776B" w:rsidRPr="00BD7CEA" w:rsidRDefault="004D776B" w:rsidP="00A66BD2">
      <w:pPr>
        <w:ind w:left="720"/>
      </w:pPr>
      <w:r w:rsidRPr="00BD7CEA">
        <w:rPr>
          <w:rFonts w:eastAsia="Calibri" w:cs="Tahoma"/>
          <w:szCs w:val="18"/>
        </w:rPr>
        <w:lastRenderedPageBreak/>
        <w:t xml:space="preserve">Per ogni gruppo composto da una di ciascuna delle licenze qualificanti della Tabella A, le società potranno acquistare Software Assurance per una licenza di Core Infrastructure Server Suite Standard. </w:t>
      </w:r>
    </w:p>
    <w:p w:rsidR="00A66BD2" w:rsidRPr="00BD7CEA" w:rsidRDefault="00A66BD2" w:rsidP="00A66BD2">
      <w:pPr>
        <w:ind w:left="720"/>
      </w:pPr>
    </w:p>
    <w:p w:rsidR="004D776B" w:rsidRPr="00BD7CEA" w:rsidRDefault="004D776B" w:rsidP="00A66BD2">
      <w:pPr>
        <w:ind w:left="720"/>
        <w:rPr>
          <w:spacing w:val="-2"/>
        </w:rPr>
      </w:pPr>
      <w:r w:rsidRPr="00BD7CEA">
        <w:rPr>
          <w:rFonts w:eastAsia="Calibri" w:cs="Tahoma"/>
          <w:spacing w:val="-2"/>
          <w:szCs w:val="18"/>
        </w:rPr>
        <w:t>Le società che ricevono in licenza e utilizzano Core Infrastructure Server Suite Standard in base alla presente offerta non potranno più utilizzare il software ai sensi delle relative licenze qualificanti. Le licenze e Software Assurance acquistate nell</w:t>
      </w:r>
      <w:r w:rsidR="007A1415" w:rsidRPr="00BD7CEA">
        <w:rPr>
          <w:rFonts w:eastAsia="Calibri" w:cs="Tahoma"/>
          <w:spacing w:val="-2"/>
          <w:szCs w:val="18"/>
        </w:rPr>
        <w:t>’</w:t>
      </w:r>
      <w:r w:rsidRPr="00BD7CEA">
        <w:rPr>
          <w:rFonts w:eastAsia="Calibri" w:cs="Tahoma"/>
          <w:spacing w:val="-2"/>
          <w:szCs w:val="18"/>
        </w:rPr>
        <w:t>ambito di un contratto “subscription” non si qualificano ai fini di questa offerta.</w:t>
      </w:r>
    </w:p>
    <w:p w:rsidR="00A66BD2" w:rsidRPr="00BD7CEA" w:rsidRDefault="00A66BD2" w:rsidP="00A66BD2">
      <w:pPr>
        <w:ind w:left="720"/>
      </w:pPr>
    </w:p>
    <w:p w:rsidR="00A66BD2" w:rsidRPr="00BD7CEA" w:rsidRDefault="004D776B" w:rsidP="00A66BD2">
      <w:pPr>
        <w:spacing w:after="60"/>
        <w:ind w:left="720"/>
      </w:pPr>
      <w:r w:rsidRPr="00BD7CEA">
        <w:rPr>
          <w:rFonts w:eastAsia="Calibri" w:cs="Tahoma"/>
          <w:b/>
          <w:szCs w:val="18"/>
        </w:rPr>
        <w:t>Step-Up da Windows Server Standard o da System Center Standard a Core Infrastructure Server Suite Standard</w:t>
      </w:r>
    </w:p>
    <w:p w:rsidR="004D776B" w:rsidRPr="00BD7CEA" w:rsidRDefault="004D776B" w:rsidP="00A66BD2">
      <w:pPr>
        <w:ind w:left="720"/>
      </w:pPr>
      <w:r w:rsidRPr="00BD7CEA">
        <w:rPr>
          <w:rFonts w:eastAsia="Calibri" w:cs="Tahoma"/>
          <w:szCs w:val="18"/>
        </w:rPr>
        <w:t>Le società potranno eseguire lo step-up da Windows Server Standard o System Center Standard a Core Infrastructure Server Suite Standard acquistando la licenza di Step-Up appropriata per Core Infrastructure Server Suite Standard. Le società dovranno disporre di una copertura Software Assurance attiva per la loro licenza per Windows Server Standard o System Center Standard, al fine di acquistare tale licenza di Step-Up.</w:t>
      </w:r>
      <w:r w:rsidR="008D782D" w:rsidRPr="00BD7CEA">
        <w:rPr>
          <w:rFonts w:eastAsia="Calibri" w:cs="Tahoma"/>
          <w:szCs w:val="18"/>
        </w:rPr>
        <w:t xml:space="preserve"> </w:t>
      </w:r>
    </w:p>
    <w:p w:rsidR="00A66BD2" w:rsidRPr="00BD7CEA" w:rsidRDefault="00A66BD2" w:rsidP="00A66BD2">
      <w:pPr>
        <w:ind w:left="720"/>
      </w:pPr>
    </w:p>
    <w:p w:rsidR="004D776B" w:rsidRPr="00BD7CEA" w:rsidRDefault="004D776B" w:rsidP="00A66BD2">
      <w:pPr>
        <w:ind w:left="720"/>
      </w:pPr>
      <w:r w:rsidRPr="00BD7CEA">
        <w:rPr>
          <w:rFonts w:eastAsia="Calibri" w:cs="Tahoma"/>
          <w:szCs w:val="18"/>
        </w:rPr>
        <w:t>Per ogni licenza qualificante per Windows Server Standard in possesso della società, la società potrà acquistare una licenza Step-Up per Core Infrastructure Server Suite Standard.</w:t>
      </w:r>
    </w:p>
    <w:p w:rsidR="00A66BD2" w:rsidRPr="00BD7CEA" w:rsidRDefault="00A66BD2" w:rsidP="00A66BD2">
      <w:pPr>
        <w:ind w:left="720"/>
        <w:rPr>
          <w:sz w:val="16"/>
          <w:szCs w:val="16"/>
        </w:rPr>
      </w:pPr>
    </w:p>
    <w:p w:rsidR="004D776B" w:rsidRPr="00BD7CEA" w:rsidRDefault="004D776B" w:rsidP="00A66BD2">
      <w:pPr>
        <w:ind w:left="720"/>
      </w:pPr>
      <w:r w:rsidRPr="00BD7CEA">
        <w:rPr>
          <w:rFonts w:eastAsia="Calibri" w:cs="Tahoma"/>
          <w:szCs w:val="18"/>
        </w:rPr>
        <w:t>Per ogni licenza qualificante per System Center Standard in possesso della società, la società potrà acquistare una licenza Step-Up per Core Infrastructure Server Suite Standard.</w:t>
      </w:r>
    </w:p>
    <w:p w:rsidR="00A66BD2" w:rsidRPr="00BD7CEA" w:rsidRDefault="00A66BD2" w:rsidP="00A66BD2">
      <w:pPr>
        <w:ind w:left="720"/>
        <w:rPr>
          <w:sz w:val="16"/>
          <w:szCs w:val="16"/>
        </w:rPr>
      </w:pPr>
    </w:p>
    <w:p w:rsidR="004D776B" w:rsidRPr="00BD7CEA" w:rsidRDefault="004D776B" w:rsidP="00A66BD2">
      <w:pPr>
        <w:ind w:left="720"/>
      </w:pPr>
      <w:r w:rsidRPr="00BD7CEA">
        <w:rPr>
          <w:rFonts w:eastAsia="Calibri" w:cs="Tahoma"/>
          <w:szCs w:val="18"/>
        </w:rPr>
        <w:t>Il diritto delle società di utilizzare il software ai sensi della licenza per Core Infrastructure Server Suite Standard è condizionato dall</w:t>
      </w:r>
      <w:r w:rsidR="007A1415" w:rsidRPr="00BD7CEA">
        <w:rPr>
          <w:rFonts w:eastAsia="Calibri" w:cs="Tahoma"/>
          <w:szCs w:val="18"/>
        </w:rPr>
        <w:t>’</w:t>
      </w:r>
      <w:r w:rsidRPr="00BD7CEA">
        <w:rPr>
          <w:rFonts w:eastAsia="Calibri" w:cs="Tahoma"/>
          <w:szCs w:val="18"/>
        </w:rPr>
        <w:t>adempimento da parte delle società delle obbligazioni di pagamento residue della licenza per il prodotto qualificante. La licenza per Core Infrastructure Server Suite Standard delle società prevalgono e sostituiscono la licenza sottostante per il prodotto qualificante.</w:t>
      </w:r>
    </w:p>
    <w:p w:rsidR="00A66BD2" w:rsidRPr="00BD7CEA" w:rsidRDefault="00A66BD2" w:rsidP="007E466C">
      <w:pPr>
        <w:rPr>
          <w:sz w:val="16"/>
          <w:szCs w:val="16"/>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BD7CEA" w:rsidTr="001051D1">
        <w:trPr>
          <w:tblHeader/>
        </w:trPr>
        <w:tc>
          <w:tcPr>
            <w:tcW w:w="4140" w:type="dxa"/>
            <w:shd w:val="clear" w:color="auto" w:fill="FABF8F"/>
            <w:tcMar>
              <w:top w:w="0" w:type="dxa"/>
              <w:left w:w="108" w:type="dxa"/>
              <w:bottom w:w="0" w:type="dxa"/>
              <w:right w:w="108" w:type="dxa"/>
            </w:tcMar>
            <w:hideMark/>
          </w:tcPr>
          <w:p w:rsidR="004D776B" w:rsidRPr="00BD7CEA" w:rsidRDefault="004D776B" w:rsidP="007E466C">
            <w:pPr>
              <w:spacing w:before="120" w:after="120" w:line="276" w:lineRule="auto"/>
              <w:jc w:val="center"/>
              <w:rPr>
                <w:rFonts w:eastAsia="Calibri" w:cs="Tahoma"/>
                <w:b/>
                <w:szCs w:val="18"/>
              </w:rPr>
            </w:pPr>
            <w:r w:rsidRPr="00BD7CEA">
              <w:rPr>
                <w:rFonts w:eastAsia="Calibri" w:cs="Tahoma"/>
                <w:b/>
                <w:szCs w:val="18"/>
              </w:rPr>
              <w:t>Prodotto Qualificante</w:t>
            </w:r>
          </w:p>
        </w:tc>
        <w:tc>
          <w:tcPr>
            <w:tcW w:w="4050" w:type="dxa"/>
            <w:shd w:val="clear" w:color="auto" w:fill="FABF8F"/>
            <w:tcMar>
              <w:top w:w="0" w:type="dxa"/>
              <w:left w:w="108" w:type="dxa"/>
              <w:bottom w:w="0" w:type="dxa"/>
              <w:right w:w="108" w:type="dxa"/>
            </w:tcMar>
            <w:hideMark/>
          </w:tcPr>
          <w:p w:rsidR="004D776B" w:rsidRPr="00BD7CEA" w:rsidRDefault="004D776B" w:rsidP="007E466C">
            <w:pPr>
              <w:spacing w:before="120" w:after="120" w:line="276" w:lineRule="auto"/>
              <w:jc w:val="center"/>
              <w:rPr>
                <w:rFonts w:eastAsia="Calibri" w:cs="Tahoma"/>
                <w:b/>
                <w:szCs w:val="18"/>
              </w:rPr>
            </w:pPr>
            <w:r w:rsidRPr="00BD7CEA">
              <w:rPr>
                <w:rFonts w:eastAsia="Calibri" w:cs="Tahoma"/>
                <w:b/>
                <w:szCs w:val="18"/>
              </w:rPr>
              <w:t>Step-Up A</w:t>
            </w:r>
          </w:p>
        </w:tc>
      </w:tr>
      <w:tr w:rsidR="004D776B" w:rsidRPr="00BD7CEA" w:rsidTr="001051D1">
        <w:tc>
          <w:tcPr>
            <w:tcW w:w="4140" w:type="dxa"/>
            <w:tcMar>
              <w:top w:w="0" w:type="dxa"/>
              <w:left w:w="108" w:type="dxa"/>
              <w:bottom w:w="0" w:type="dxa"/>
              <w:right w:w="108" w:type="dxa"/>
            </w:tcMar>
            <w:hideMark/>
          </w:tcPr>
          <w:p w:rsidR="004D776B" w:rsidRPr="00BD7CEA" w:rsidRDefault="004D776B" w:rsidP="007E466C">
            <w:pPr>
              <w:spacing w:before="120" w:after="120" w:line="276" w:lineRule="auto"/>
              <w:rPr>
                <w:rFonts w:eastAsia="Calibri" w:cs="Tahoma"/>
                <w:szCs w:val="18"/>
              </w:rPr>
            </w:pPr>
            <w:r w:rsidRPr="00BD7CEA">
              <w:rPr>
                <w:rFonts w:eastAsia="Calibri" w:cs="Tahoma"/>
                <w:szCs w:val="18"/>
              </w:rPr>
              <w:t>Windows Server Standard</w:t>
            </w:r>
          </w:p>
        </w:tc>
        <w:tc>
          <w:tcPr>
            <w:tcW w:w="4050" w:type="dxa"/>
            <w:tcMar>
              <w:top w:w="0" w:type="dxa"/>
              <w:left w:w="108" w:type="dxa"/>
              <w:bottom w:w="0" w:type="dxa"/>
              <w:right w:w="108" w:type="dxa"/>
            </w:tcMar>
            <w:hideMark/>
          </w:tcPr>
          <w:p w:rsidR="004D776B" w:rsidRPr="00BD7CEA" w:rsidRDefault="004D776B" w:rsidP="007E466C">
            <w:pPr>
              <w:spacing w:before="120" w:after="120" w:line="276" w:lineRule="auto"/>
              <w:rPr>
                <w:rFonts w:eastAsia="Calibri" w:cs="Tahoma"/>
                <w:szCs w:val="18"/>
                <w:lang w:val="fr-FR"/>
              </w:rPr>
            </w:pPr>
            <w:r w:rsidRPr="00BD7CEA">
              <w:rPr>
                <w:rFonts w:eastAsia="Calibri" w:cs="Tahoma"/>
                <w:szCs w:val="18"/>
              </w:rPr>
              <w:t>Core Infrastructure Server Suite Standard</w:t>
            </w:r>
          </w:p>
        </w:tc>
      </w:tr>
      <w:tr w:rsidR="004D776B" w:rsidRPr="00BD7CEA" w:rsidTr="001051D1">
        <w:tc>
          <w:tcPr>
            <w:tcW w:w="4140" w:type="dxa"/>
            <w:tcMar>
              <w:top w:w="0" w:type="dxa"/>
              <w:left w:w="108" w:type="dxa"/>
              <w:bottom w:w="0" w:type="dxa"/>
              <w:right w:w="108" w:type="dxa"/>
            </w:tcMar>
          </w:tcPr>
          <w:p w:rsidR="004D776B" w:rsidRPr="00BD7CEA" w:rsidRDefault="004D776B" w:rsidP="00026546">
            <w:pPr>
              <w:spacing w:before="120" w:after="120" w:line="276" w:lineRule="auto"/>
              <w:rPr>
                <w:rFonts w:eastAsia="Calibri" w:cs="Tahoma"/>
                <w:szCs w:val="18"/>
              </w:rPr>
            </w:pPr>
            <w:r w:rsidRPr="00BD7CEA">
              <w:rPr>
                <w:rFonts w:eastAsia="Calibri" w:cs="Tahoma"/>
                <w:szCs w:val="18"/>
              </w:rPr>
              <w:t>System Center Standard</w:t>
            </w:r>
          </w:p>
        </w:tc>
        <w:tc>
          <w:tcPr>
            <w:tcW w:w="4050" w:type="dxa"/>
            <w:tcMar>
              <w:top w:w="0" w:type="dxa"/>
              <w:left w:w="108" w:type="dxa"/>
              <w:bottom w:w="0" w:type="dxa"/>
              <w:right w:w="108" w:type="dxa"/>
            </w:tcMar>
          </w:tcPr>
          <w:p w:rsidR="004D776B" w:rsidRPr="00BD7CEA" w:rsidRDefault="004D776B" w:rsidP="00026546">
            <w:pPr>
              <w:spacing w:before="120" w:after="120" w:line="276" w:lineRule="auto"/>
              <w:rPr>
                <w:rFonts w:eastAsia="Calibri" w:cs="Tahoma"/>
                <w:szCs w:val="18"/>
                <w:lang w:val="fr-FR"/>
              </w:rPr>
            </w:pPr>
            <w:r w:rsidRPr="00BD7CEA">
              <w:rPr>
                <w:rFonts w:eastAsia="Calibri" w:cs="Tahoma"/>
                <w:szCs w:val="18"/>
              </w:rPr>
              <w:t>Core Infrastructure Server Suite Standard</w:t>
            </w:r>
          </w:p>
        </w:tc>
      </w:tr>
    </w:tbl>
    <w:p w:rsidR="004D776B" w:rsidRPr="00BD7CEA" w:rsidRDefault="004D776B" w:rsidP="00A66BD2">
      <w:pPr>
        <w:rPr>
          <w:sz w:val="16"/>
          <w:szCs w:val="16"/>
        </w:rPr>
      </w:pPr>
    </w:p>
    <w:p w:rsidR="00BF1889" w:rsidRPr="00BD7CEA" w:rsidRDefault="00BF1889" w:rsidP="00A66BD2">
      <w:pPr>
        <w:rPr>
          <w:sz w:val="16"/>
          <w:szCs w:val="16"/>
        </w:rPr>
      </w:pPr>
    </w:p>
    <w:p w:rsidR="00B947E4" w:rsidRPr="00BD7CEA" w:rsidRDefault="004668D9" w:rsidP="00B947E4">
      <w:pPr>
        <w:pStyle w:val="Heading3"/>
      </w:pPr>
      <w:bookmarkStart w:id="1197" w:name="_38_Core_Infrastructure"/>
      <w:bookmarkStart w:id="1198" w:name="_Toc336338297"/>
      <w:bookmarkStart w:id="1199" w:name="_Toc353376077"/>
      <w:bookmarkStart w:id="1200" w:name="Srv_36CoreInfraServerSuiteEnt"/>
      <w:bookmarkStart w:id="1201" w:name="Srv_33CoreInfrastructureSvrSuiteEnt"/>
      <w:bookmarkEnd w:id="1197"/>
      <w:r w:rsidRPr="00BD7CEA">
        <w:rPr>
          <w:rFonts w:ascii="Tahoma" w:hAnsi="Tahoma"/>
          <w:caps/>
          <w:color w:val="F66400"/>
          <w:sz w:val="22"/>
          <w:vertAlign w:val="superscript"/>
        </w:rPr>
        <w:t>39</w:t>
      </w:r>
      <w:r w:rsidRPr="00BD7CEA">
        <w:rPr>
          <w:rFonts w:ascii="Tahoma" w:hAnsi="Tahoma"/>
          <w:color w:val="F66400"/>
          <w:sz w:val="22"/>
        </w:rPr>
        <w:t xml:space="preserve"> Core Infrastructure Server Suite Enterprise</w:t>
      </w:r>
      <w:bookmarkEnd w:id="1198"/>
      <w:bookmarkEnd w:id="1199"/>
    </w:p>
    <w:p w:rsidR="000A297A" w:rsidRPr="00BD7CEA" w:rsidRDefault="000A297A" w:rsidP="00A66BD2">
      <w:pPr>
        <w:rPr>
          <w:sz w:val="16"/>
          <w:szCs w:val="16"/>
        </w:rPr>
      </w:pPr>
    </w:p>
    <w:bookmarkEnd w:id="1200"/>
    <w:bookmarkEnd w:id="1201"/>
    <w:p w:rsidR="00B947E4" w:rsidRPr="00BD7CEA" w:rsidRDefault="001E68E2" w:rsidP="00A66BD2">
      <w:pPr>
        <w:ind w:left="720"/>
        <w:rPr>
          <w:spacing w:val="-2"/>
        </w:rPr>
      </w:pPr>
      <w:r w:rsidRPr="00BD7CEA">
        <w:rPr>
          <w:rFonts w:eastAsia="Calibri" w:cs="Tahoma"/>
          <w:spacing w:val="-2"/>
          <w:szCs w:val="18"/>
        </w:rPr>
        <w:t>A partire dal 1 aprile 2012 Microsoft interromperà l</w:t>
      </w:r>
      <w:r w:rsidR="007A1415" w:rsidRPr="00BD7CEA">
        <w:rPr>
          <w:rFonts w:eastAsia="Calibri" w:cs="Tahoma"/>
          <w:spacing w:val="-2"/>
          <w:szCs w:val="18"/>
        </w:rPr>
        <w:t>’</w:t>
      </w:r>
      <w:r w:rsidRPr="00BD7CEA">
        <w:rPr>
          <w:rFonts w:eastAsia="Calibri" w:cs="Tahoma"/>
          <w:spacing w:val="-2"/>
          <w:szCs w:val="18"/>
        </w:rPr>
        <w:t>offerta di Core Infrastructure Server Suite Enterprise. Le società titolari di licenze Core Infrastructure Server Suite Enterprise con copertura Software Assurance attiva a partire dal 1 aprile 2012 saranno idonee a ricevere una licenza per Core Infrastructure Server Standard per ciascuna licenza per Core Infrastructure Server Suite Enterprise con Software Assurance in loro possesso a partire da quella data.</w:t>
      </w:r>
      <w:r w:rsidR="008D782D" w:rsidRPr="00BD7CEA">
        <w:rPr>
          <w:rFonts w:eastAsia="Calibri" w:cs="Tahoma"/>
          <w:spacing w:val="-2"/>
          <w:szCs w:val="18"/>
        </w:rPr>
        <w:t xml:space="preserve"> </w:t>
      </w:r>
      <w:r w:rsidRPr="00BD7CEA">
        <w:rPr>
          <w:rFonts w:eastAsia="Calibri" w:cs="Tahoma"/>
          <w:spacing w:val="-2"/>
          <w:szCs w:val="18"/>
        </w:rPr>
        <w:t>Le licenze per Core Infrastructure Server Suite Standard concesse in base alla presente offerta includeranno la copertura Software Assurance che cesserà alla scadenza della copertura per le licenze qualificanti per Core Infrastructure Server Suite Enterprise. Le società che utilizzano Core Infrastructure Server Suite Standard in base alla presente offerta non potranno più utilizzare il software ai sensi delle relative licenze qualificanti.</w:t>
      </w:r>
      <w:r w:rsidR="008D782D" w:rsidRPr="00BD7CEA">
        <w:rPr>
          <w:rFonts w:eastAsia="Calibri" w:cs="Tahoma"/>
          <w:spacing w:val="-2"/>
          <w:szCs w:val="18"/>
        </w:rPr>
        <w:t xml:space="preserve"> </w:t>
      </w:r>
      <w:r w:rsidRPr="00BD7CEA">
        <w:rPr>
          <w:rFonts w:eastAsia="Calibri" w:cs="Tahoma"/>
          <w:spacing w:val="-2"/>
          <w:szCs w:val="18"/>
        </w:rPr>
        <w:t>La nota relativa al prodotto e la documentazione delle licenze qualificanti della società attestano il diritto della società di utilizzare Core Infrastructure Server Suite Standard in base alla presente offerta.</w:t>
      </w:r>
      <w:r w:rsidR="008D782D" w:rsidRPr="00BD7CEA">
        <w:rPr>
          <w:rFonts w:eastAsia="Calibri" w:cs="Tahoma"/>
          <w:spacing w:val="-2"/>
          <w:szCs w:val="18"/>
        </w:rPr>
        <w:t xml:space="preserve"> </w:t>
      </w:r>
      <w:r w:rsidRPr="00BD7CEA">
        <w:rPr>
          <w:rFonts w:eastAsia="Calibri" w:cs="Tahoma"/>
          <w:spacing w:val="-2"/>
          <w:szCs w:val="18"/>
        </w:rPr>
        <w:t xml:space="preserve">Tale diritto cesserà alla </w:t>
      </w:r>
      <w:bookmarkStart w:id="1202" w:name="Srv_34CoreInfraSvrSuiteDatacenter"/>
      <w:r w:rsidRPr="00BD7CEA">
        <w:rPr>
          <w:rFonts w:eastAsia="Calibri" w:cs="Tahoma"/>
          <w:spacing w:val="-2"/>
          <w:szCs w:val="18"/>
        </w:rPr>
        <w:t>scadenza delle licenze qualificanti.</w:t>
      </w:r>
    </w:p>
    <w:p w:rsidR="00285E3D" w:rsidRDefault="00285E3D" w:rsidP="00A66BD2">
      <w:pPr>
        <w:rPr>
          <w:sz w:val="16"/>
          <w:szCs w:val="16"/>
        </w:rPr>
      </w:pPr>
    </w:p>
    <w:p w:rsidR="005204B6" w:rsidRDefault="005204B6" w:rsidP="00A66BD2">
      <w:pPr>
        <w:rPr>
          <w:sz w:val="16"/>
          <w:szCs w:val="16"/>
        </w:rPr>
      </w:pPr>
    </w:p>
    <w:p w:rsidR="005204B6" w:rsidRDefault="005204B6" w:rsidP="00A66BD2">
      <w:pPr>
        <w:rPr>
          <w:sz w:val="16"/>
          <w:szCs w:val="16"/>
        </w:rPr>
      </w:pPr>
    </w:p>
    <w:p w:rsidR="005204B6" w:rsidRDefault="005204B6" w:rsidP="00A66BD2">
      <w:pPr>
        <w:rPr>
          <w:sz w:val="16"/>
          <w:szCs w:val="16"/>
        </w:rPr>
      </w:pPr>
    </w:p>
    <w:p w:rsidR="005204B6" w:rsidRDefault="005204B6" w:rsidP="00A66BD2">
      <w:pPr>
        <w:rPr>
          <w:sz w:val="16"/>
          <w:szCs w:val="16"/>
        </w:rPr>
      </w:pPr>
    </w:p>
    <w:p w:rsidR="005204B6" w:rsidRDefault="005204B6" w:rsidP="00A66BD2">
      <w:pPr>
        <w:rPr>
          <w:sz w:val="16"/>
          <w:szCs w:val="16"/>
        </w:rPr>
      </w:pPr>
    </w:p>
    <w:p w:rsidR="005204B6" w:rsidRDefault="005204B6" w:rsidP="00A66BD2">
      <w:pPr>
        <w:rPr>
          <w:sz w:val="16"/>
          <w:szCs w:val="16"/>
        </w:rPr>
      </w:pPr>
    </w:p>
    <w:p w:rsidR="005204B6" w:rsidRDefault="005204B6" w:rsidP="00A66BD2">
      <w:pPr>
        <w:rPr>
          <w:sz w:val="16"/>
          <w:szCs w:val="16"/>
        </w:rPr>
      </w:pPr>
    </w:p>
    <w:p w:rsidR="005204B6" w:rsidRDefault="005204B6" w:rsidP="00A66BD2">
      <w:pPr>
        <w:rPr>
          <w:sz w:val="16"/>
          <w:szCs w:val="16"/>
        </w:rPr>
      </w:pPr>
    </w:p>
    <w:p w:rsidR="005204B6" w:rsidRDefault="005204B6" w:rsidP="00A66BD2">
      <w:pPr>
        <w:rPr>
          <w:sz w:val="16"/>
          <w:szCs w:val="16"/>
        </w:rPr>
      </w:pPr>
    </w:p>
    <w:p w:rsidR="005204B6" w:rsidRDefault="005204B6" w:rsidP="00A66BD2">
      <w:pPr>
        <w:rPr>
          <w:sz w:val="16"/>
          <w:szCs w:val="16"/>
        </w:rPr>
      </w:pPr>
    </w:p>
    <w:p w:rsidR="005204B6" w:rsidRDefault="005204B6" w:rsidP="00A66BD2">
      <w:pPr>
        <w:rPr>
          <w:sz w:val="16"/>
          <w:szCs w:val="16"/>
        </w:rPr>
      </w:pPr>
    </w:p>
    <w:p w:rsidR="005204B6" w:rsidRPr="00BD7CEA" w:rsidRDefault="005204B6" w:rsidP="00A66BD2">
      <w:pPr>
        <w:rPr>
          <w:sz w:val="16"/>
          <w:szCs w:val="16"/>
        </w:rPr>
      </w:pPr>
    </w:p>
    <w:p w:rsidR="00A66BD2" w:rsidRPr="00BD7CEA" w:rsidRDefault="00A66BD2" w:rsidP="00A66BD2">
      <w:pPr>
        <w:rPr>
          <w:sz w:val="16"/>
          <w:szCs w:val="16"/>
        </w:rPr>
      </w:pPr>
    </w:p>
    <w:p w:rsidR="00B947E4" w:rsidRPr="00BD7CEA" w:rsidRDefault="004668D9" w:rsidP="00B947E4">
      <w:pPr>
        <w:pStyle w:val="Heading3"/>
      </w:pPr>
      <w:bookmarkStart w:id="1203" w:name="_39_Core_Infrastructure"/>
      <w:bookmarkStart w:id="1204" w:name="_40_Core_Infrastructure"/>
      <w:bookmarkStart w:id="1205" w:name="_Toc336338298"/>
      <w:bookmarkStart w:id="1206" w:name="_Toc353376078"/>
      <w:bookmarkStart w:id="1207" w:name="Srv_37CoreInfraServerSuiteData"/>
      <w:bookmarkEnd w:id="1203"/>
      <w:bookmarkEnd w:id="1204"/>
      <w:r w:rsidRPr="00BD7CEA">
        <w:rPr>
          <w:rFonts w:ascii="Tahoma" w:hAnsi="Tahoma"/>
          <w:caps/>
          <w:color w:val="F66400"/>
          <w:sz w:val="22"/>
          <w:vertAlign w:val="superscript"/>
        </w:rPr>
        <w:lastRenderedPageBreak/>
        <w:t>40</w:t>
      </w:r>
      <w:r w:rsidRPr="00BD7CEA">
        <w:rPr>
          <w:rFonts w:ascii="Tahoma" w:hAnsi="Tahoma"/>
          <w:color w:val="F66400"/>
          <w:sz w:val="22"/>
        </w:rPr>
        <w:t xml:space="preserve"> Core Infrastructure Server Suite Datacenter</w:t>
      </w:r>
      <w:bookmarkEnd w:id="1202"/>
      <w:bookmarkEnd w:id="1205"/>
      <w:bookmarkEnd w:id="1206"/>
    </w:p>
    <w:bookmarkEnd w:id="1207"/>
    <w:p w:rsidR="00B947E4" w:rsidRPr="00BD7CEA" w:rsidRDefault="00B947E4" w:rsidP="00B947E4">
      <w:pPr>
        <w:rPr>
          <w:sz w:val="16"/>
          <w:szCs w:val="16"/>
        </w:rPr>
      </w:pPr>
    </w:p>
    <w:p w:rsidR="004D776B" w:rsidRPr="00BD7CEA" w:rsidRDefault="004D776B" w:rsidP="00A66BD2">
      <w:pPr>
        <w:spacing w:after="60"/>
        <w:ind w:left="720"/>
      </w:pPr>
      <w:r w:rsidRPr="00BD7CEA">
        <w:rPr>
          <w:rFonts w:eastAsia="Calibri" w:cs="Tahoma"/>
          <w:b/>
          <w:szCs w:val="18"/>
        </w:rPr>
        <w:t>Migrazione al Nuovo Modello di Licenza</w:t>
      </w:r>
    </w:p>
    <w:p w:rsidR="004D776B" w:rsidRPr="00BD7CEA" w:rsidRDefault="004D776B" w:rsidP="00A66BD2">
      <w:pPr>
        <w:ind w:left="720"/>
      </w:pPr>
      <w:r w:rsidRPr="00BD7CEA">
        <w:rPr>
          <w:rFonts w:eastAsia="Calibri" w:cs="Tahoma"/>
          <w:szCs w:val="18"/>
        </w:rPr>
        <w:t>In data 1 aprile 2012 il modello di licenza per CIS è cambiato. Le licenze acquistate ai sensi di nuove iscrizioni in vigore dopo il 1 aprile 2012 possono coprire fino a due processori fisici.</w:t>
      </w:r>
    </w:p>
    <w:p w:rsidR="00A66BD2" w:rsidRDefault="00A66BD2" w:rsidP="00A66BD2">
      <w:pPr>
        <w:ind w:left="720"/>
        <w:rPr>
          <w:sz w:val="16"/>
          <w:szCs w:val="16"/>
        </w:rPr>
      </w:pPr>
    </w:p>
    <w:p w:rsidR="004D776B" w:rsidRPr="00BD7CEA" w:rsidRDefault="004D776B" w:rsidP="00A66BD2">
      <w:pPr>
        <w:ind w:left="720"/>
      </w:pPr>
      <w:r w:rsidRPr="00BD7CEA">
        <w:rPr>
          <w:rFonts w:eastAsia="Calibri" w:cs="Tahoma"/>
          <w:szCs w:val="18"/>
        </w:rPr>
        <w:t>Le società con iscrizioni esistenti in data 1 aprile 2012 (in vigore in data 1 aprile 2012 o antecedente) possono continuare a effettuare il true-up delle licenze acquistate ai sensi del modello precedente in base al</w:t>
      </w:r>
      <w:r w:rsidR="00D7155D" w:rsidRPr="00BD7CEA">
        <w:rPr>
          <w:rFonts w:eastAsia="Calibri" w:cs="Tahoma"/>
          <w:szCs w:val="18"/>
        </w:rPr>
        <w:t> </w:t>
      </w:r>
      <w:r w:rsidRPr="00BD7CEA">
        <w:rPr>
          <w:rFonts w:eastAsia="Calibri" w:cs="Tahoma"/>
          <w:szCs w:val="18"/>
        </w:rPr>
        <w:t>quale ciascuna licenza può autorizzare un solo processore. I seguenti diritti di migrazione si applicano alle licenze di queste società:</w:t>
      </w:r>
    </w:p>
    <w:p w:rsidR="00A66BD2" w:rsidRPr="00BD7CEA" w:rsidRDefault="00A66BD2" w:rsidP="00A66BD2">
      <w:pPr>
        <w:ind w:left="720"/>
        <w:rPr>
          <w:sz w:val="16"/>
          <w:szCs w:val="16"/>
        </w:rPr>
      </w:pPr>
    </w:p>
    <w:p w:rsidR="004D776B" w:rsidRPr="00BD7CEA" w:rsidRDefault="004D776B" w:rsidP="00A66BD2">
      <w:pPr>
        <w:pStyle w:val="ListParagraph"/>
        <w:contextualSpacing w:val="0"/>
      </w:pPr>
      <w:r w:rsidRPr="00BD7CEA">
        <w:rPr>
          <w:rFonts w:ascii="Tahoma" w:eastAsia="Calibri" w:hAnsi="Tahoma" w:cs="Tahoma"/>
          <w:sz w:val="18"/>
          <w:szCs w:val="18"/>
        </w:rPr>
        <w:t>Per la durata dell</w:t>
      </w:r>
      <w:r w:rsidR="007A1415" w:rsidRPr="00BD7CEA">
        <w:rPr>
          <w:rFonts w:ascii="Tahoma" w:eastAsia="Calibri" w:hAnsi="Tahoma" w:cs="Tahoma"/>
          <w:sz w:val="18"/>
          <w:szCs w:val="18"/>
        </w:rPr>
        <w:t>’</w:t>
      </w:r>
      <w:r w:rsidRPr="00BD7CEA">
        <w:rPr>
          <w:rFonts w:ascii="Tahoma" w:eastAsia="Calibri" w:hAnsi="Tahoma" w:cs="Tahoma"/>
          <w:sz w:val="18"/>
          <w:szCs w:val="18"/>
        </w:rPr>
        <w:t>iscrizione in essere le licenze nuove ed esistenti delle società, acquistate ai sensi del modello precedente, saranno considerate equivalenti alle licenze previste dal nuovo modello in percentuale di 2:1, vale a dire due licenze ai sensi del modello precedente saranno equivalenti a una licenza ai sensi del nuovo modello. In occasione del rinnovo le società possono rinnovare la copertura Software Assurance per le licenze del nuovo modello.</w:t>
      </w:r>
    </w:p>
    <w:p w:rsidR="00857EF7" w:rsidRPr="00BD7CEA" w:rsidRDefault="00857EF7" w:rsidP="00A66BD2">
      <w:pPr>
        <w:ind w:left="720"/>
        <w:rPr>
          <w:sz w:val="16"/>
          <w:szCs w:val="16"/>
        </w:rPr>
      </w:pPr>
    </w:p>
    <w:p w:rsidR="004D776B" w:rsidRPr="00BD7CEA" w:rsidRDefault="004D776B" w:rsidP="00857EF7">
      <w:pPr>
        <w:spacing w:after="60"/>
        <w:ind w:left="720"/>
      </w:pPr>
      <w:r w:rsidRPr="00BD7CEA">
        <w:rPr>
          <w:rFonts w:eastAsia="Calibri" w:cs="Tahoma"/>
          <w:b/>
          <w:szCs w:val="18"/>
        </w:rPr>
        <w:t>Rilascio di una Nuova Versione di Windows Server</w:t>
      </w:r>
    </w:p>
    <w:p w:rsidR="004D776B" w:rsidRPr="00BD7CEA" w:rsidRDefault="004D776B" w:rsidP="00A66BD2">
      <w:pPr>
        <w:ind w:left="720"/>
      </w:pPr>
      <w:r w:rsidRPr="00BD7CEA">
        <w:rPr>
          <w:rFonts w:eastAsia="Calibri" w:cs="Tahoma"/>
          <w:szCs w:val="18"/>
        </w:rPr>
        <w:t xml:space="preserve">Le società titolari di licenze per Core Infrastructure Server Suite Datacenter con copertura Software Assurance attiva il 1 settembre 2012 avranno il diritto di utilizzare i seguenti prodotti in conformità </w:t>
      </w:r>
      <w:r w:rsidR="00DC6528">
        <w:rPr>
          <w:rFonts w:eastAsia="Calibri" w:cs="Tahoma"/>
          <w:szCs w:val="18"/>
        </w:rPr>
        <w:br/>
      </w:r>
      <w:r w:rsidRPr="00BD7CEA">
        <w:rPr>
          <w:rFonts w:eastAsia="Calibri" w:cs="Tahoma"/>
          <w:szCs w:val="18"/>
        </w:rPr>
        <w:t>ai diritti di utilizzo del prodotto per Core Infrastructure Server Suite Datacenter:</w:t>
      </w:r>
    </w:p>
    <w:p w:rsidR="00857EF7" w:rsidRPr="00BD7CEA" w:rsidRDefault="00857EF7" w:rsidP="00A66BD2">
      <w:pPr>
        <w:ind w:left="720"/>
        <w:rPr>
          <w:sz w:val="16"/>
          <w:szCs w:val="16"/>
        </w:rPr>
      </w:pPr>
    </w:p>
    <w:p w:rsidR="004D776B" w:rsidRPr="00BD7CEA" w:rsidRDefault="004D776B" w:rsidP="007358C5">
      <w:pPr>
        <w:numPr>
          <w:ilvl w:val="0"/>
          <w:numId w:val="114"/>
        </w:numPr>
        <w:spacing w:after="60"/>
        <w:ind w:left="1440"/>
      </w:pPr>
      <w:r w:rsidRPr="00BD7CEA">
        <w:rPr>
          <w:rFonts w:eastAsia="Calibri" w:cs="Tahoma"/>
          <w:szCs w:val="18"/>
        </w:rPr>
        <w:t>Windows Server 2012 Datacenter</w:t>
      </w:r>
    </w:p>
    <w:p w:rsidR="004D776B" w:rsidRPr="00BD7CEA" w:rsidRDefault="004D776B" w:rsidP="007358C5">
      <w:pPr>
        <w:numPr>
          <w:ilvl w:val="0"/>
          <w:numId w:val="114"/>
        </w:numPr>
        <w:spacing w:after="60"/>
        <w:ind w:left="1440"/>
      </w:pPr>
      <w:r w:rsidRPr="00BD7CEA">
        <w:rPr>
          <w:rFonts w:eastAsia="Calibri" w:cs="Tahoma"/>
          <w:szCs w:val="18"/>
        </w:rPr>
        <w:t>System Center 2012 Datacenter</w:t>
      </w:r>
    </w:p>
    <w:p w:rsidR="005204B6" w:rsidRDefault="005204B6" w:rsidP="00857EF7">
      <w:pPr>
        <w:spacing w:after="60"/>
        <w:ind w:left="720"/>
        <w:rPr>
          <w:rFonts w:eastAsia="Calibri" w:cs="Tahoma"/>
          <w:b/>
          <w:szCs w:val="18"/>
        </w:rPr>
      </w:pPr>
    </w:p>
    <w:p w:rsidR="004D776B" w:rsidRPr="00BD7CEA" w:rsidRDefault="004D776B" w:rsidP="00857EF7">
      <w:pPr>
        <w:spacing w:after="60"/>
        <w:ind w:left="720"/>
      </w:pPr>
      <w:r w:rsidRPr="00BD7CEA">
        <w:rPr>
          <w:rFonts w:eastAsia="Calibri" w:cs="Tahoma"/>
          <w:b/>
          <w:szCs w:val="18"/>
        </w:rPr>
        <w:t>Offerta di Rinnovo di Software Assurance per le Società Titolari di Windows Server Datacenter e System Center Datacenter</w:t>
      </w:r>
    </w:p>
    <w:p w:rsidR="004D776B" w:rsidRPr="00BD7CEA" w:rsidRDefault="004D776B" w:rsidP="00A66BD2">
      <w:pPr>
        <w:ind w:left="720"/>
      </w:pPr>
      <w:r w:rsidRPr="00BD7CEA">
        <w:rPr>
          <w:rFonts w:eastAsia="Calibri" w:cs="Tahoma"/>
          <w:szCs w:val="18"/>
        </w:rPr>
        <w:t xml:space="preserve">Le società titolari di licenze con copertura Software Assurance attiva per i tutti prodotti indicati nella </w:t>
      </w:r>
      <w:r w:rsidR="00DC6528">
        <w:rPr>
          <w:rFonts w:eastAsia="Calibri" w:cs="Tahoma"/>
          <w:szCs w:val="18"/>
        </w:rPr>
        <w:br/>
      </w:r>
      <w:r w:rsidRPr="00BD7CEA">
        <w:rPr>
          <w:rFonts w:eastAsia="Calibri" w:cs="Tahoma"/>
          <w:szCs w:val="18"/>
        </w:rPr>
        <w:t>Tabella C che segue potranno, all</w:t>
      </w:r>
      <w:r w:rsidR="007A1415" w:rsidRPr="00BD7CEA">
        <w:rPr>
          <w:rFonts w:eastAsia="Calibri" w:cs="Tahoma"/>
          <w:szCs w:val="18"/>
        </w:rPr>
        <w:t>’</w:t>
      </w:r>
      <w:r w:rsidRPr="00BD7CEA">
        <w:rPr>
          <w:rFonts w:eastAsia="Calibri" w:cs="Tahoma"/>
          <w:szCs w:val="18"/>
        </w:rPr>
        <w:t>atto della scadenza di tale copertura, acquistare Software Assurance per</w:t>
      </w:r>
      <w:r w:rsidR="00DC6528">
        <w:rPr>
          <w:rFonts w:eastAsia="Calibri" w:cs="Tahoma"/>
          <w:szCs w:val="18"/>
        </w:rPr>
        <w:t> </w:t>
      </w:r>
      <w:r w:rsidRPr="00BD7CEA">
        <w:rPr>
          <w:rFonts w:eastAsia="Calibri" w:cs="Tahoma"/>
          <w:szCs w:val="18"/>
        </w:rPr>
        <w:t>Core Infrastructure Server Suite Datacenter senza dover acquistare le sottostanti licenze per Core Infrastructure Server Suite Datacenter.</w:t>
      </w:r>
    </w:p>
    <w:p w:rsidR="00857EF7" w:rsidRPr="00BD7CEA" w:rsidRDefault="00857EF7" w:rsidP="00A66BD2">
      <w:pPr>
        <w:ind w:left="720"/>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BD7CEA"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rsidR="004D776B" w:rsidRPr="00BD7CEA" w:rsidRDefault="004D776B" w:rsidP="00026546">
            <w:pPr>
              <w:keepNext/>
              <w:tabs>
                <w:tab w:val="left" w:pos="3120"/>
                <w:tab w:val="center" w:pos="3591"/>
              </w:tabs>
              <w:spacing w:before="120" w:after="120" w:line="276" w:lineRule="auto"/>
              <w:jc w:val="center"/>
              <w:rPr>
                <w:rFonts w:eastAsia="Calibri" w:cs="Tahoma"/>
                <w:b/>
                <w:szCs w:val="18"/>
              </w:rPr>
            </w:pPr>
            <w:r w:rsidRPr="00BD7CEA">
              <w:rPr>
                <w:rFonts w:eastAsia="Calibri" w:cs="Tahoma"/>
                <w:b/>
                <w:szCs w:val="18"/>
              </w:rPr>
              <w:t>Tabella C</w:t>
            </w:r>
          </w:p>
        </w:tc>
      </w:tr>
      <w:tr w:rsidR="004D776B" w:rsidRPr="00BD7CEA"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BD7CEA" w:rsidRDefault="004D776B" w:rsidP="00026546">
            <w:pPr>
              <w:keepNext/>
              <w:tabs>
                <w:tab w:val="left" w:pos="3120"/>
                <w:tab w:val="center" w:pos="3591"/>
              </w:tabs>
              <w:spacing w:before="120" w:after="120" w:line="276" w:lineRule="auto"/>
              <w:jc w:val="center"/>
              <w:rPr>
                <w:rFonts w:eastAsia="Calibri" w:cs="Tahoma"/>
                <w:b/>
                <w:szCs w:val="18"/>
              </w:rPr>
            </w:pPr>
            <w:r w:rsidRPr="00BD7CEA">
              <w:rPr>
                <w:rFonts w:eastAsia="Calibri" w:cs="Tahoma"/>
                <w:b/>
                <w:szCs w:val="18"/>
              </w:rPr>
              <w:t>Windows Server Datacenter</w:t>
            </w:r>
          </w:p>
        </w:tc>
      </w:tr>
      <w:tr w:rsidR="004D776B" w:rsidRPr="00BD7CEA"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BD7CEA" w:rsidRDefault="004D776B" w:rsidP="00026546">
            <w:pPr>
              <w:keepNext/>
              <w:tabs>
                <w:tab w:val="left" w:pos="3120"/>
                <w:tab w:val="center" w:pos="3591"/>
              </w:tabs>
              <w:spacing w:before="120" w:after="120" w:line="276" w:lineRule="auto"/>
              <w:jc w:val="center"/>
              <w:rPr>
                <w:rFonts w:eastAsia="Calibri" w:cs="Tahoma"/>
                <w:b/>
                <w:szCs w:val="18"/>
              </w:rPr>
            </w:pPr>
            <w:r w:rsidRPr="00BD7CEA">
              <w:rPr>
                <w:rFonts w:eastAsia="Calibri" w:cs="Tahoma"/>
                <w:b/>
                <w:szCs w:val="18"/>
              </w:rPr>
              <w:t>System Center Datacenter</w:t>
            </w:r>
          </w:p>
        </w:tc>
      </w:tr>
    </w:tbl>
    <w:p w:rsidR="00416294" w:rsidRPr="00BD7CEA" w:rsidRDefault="00416294" w:rsidP="00416294">
      <w:pPr>
        <w:ind w:left="547"/>
      </w:pPr>
    </w:p>
    <w:p w:rsidR="004D776B" w:rsidRPr="00BD7CEA" w:rsidRDefault="004D776B" w:rsidP="001154B5">
      <w:pPr>
        <w:ind w:left="720"/>
      </w:pPr>
      <w:r w:rsidRPr="00BD7CEA">
        <w:rPr>
          <w:rFonts w:eastAsia="Calibri" w:cs="Tahoma"/>
          <w:color w:val="000000"/>
          <w:szCs w:val="18"/>
        </w:rPr>
        <w:t>Per ogni gruppo composto da una licenza qualificante per Windows Server Datacenter e da una licenza qualificante per System Center Datacenter le società potranno acquistare Software Assurance per una licenza di Core Infrastructure Server Suite Datacenter. Le società che ricevono in licenza e utilizzano Core Infrastructure Server Suite Datacenter in base alla presente offerta non potranno più utilizzare il software ai sensi delle relative licenze qualificanti. Le licenze e Software Assurance acquistate nell</w:t>
      </w:r>
      <w:r w:rsidR="007A1415" w:rsidRPr="00BD7CEA">
        <w:rPr>
          <w:rFonts w:eastAsia="Calibri" w:cs="Tahoma"/>
          <w:color w:val="000000"/>
          <w:szCs w:val="18"/>
        </w:rPr>
        <w:t>’</w:t>
      </w:r>
      <w:r w:rsidRPr="00BD7CEA">
        <w:rPr>
          <w:rFonts w:eastAsia="Calibri" w:cs="Tahoma"/>
          <w:color w:val="000000"/>
          <w:szCs w:val="18"/>
        </w:rPr>
        <w:t>ambito di un contratto “subscription” non si qualificano ai fini di questa offerta.</w:t>
      </w:r>
    </w:p>
    <w:p w:rsidR="00973A93" w:rsidRPr="00BD7CEA" w:rsidRDefault="00973A93" w:rsidP="0050116B">
      <w:pPr>
        <w:ind w:left="540"/>
      </w:pPr>
    </w:p>
    <w:p w:rsidR="004D776B" w:rsidRPr="00BD7CEA" w:rsidRDefault="004D776B" w:rsidP="00857EF7">
      <w:pPr>
        <w:spacing w:after="60"/>
        <w:ind w:left="720"/>
      </w:pPr>
      <w:r w:rsidRPr="00BD7CEA">
        <w:rPr>
          <w:rFonts w:eastAsia="Calibri" w:cs="Tahoma"/>
          <w:b/>
          <w:szCs w:val="18"/>
        </w:rPr>
        <w:t>Step-Up da Windows Server Datacenter o System Center Datacenter a Core Infrastructure Server Suite Datacenter</w:t>
      </w:r>
    </w:p>
    <w:p w:rsidR="004D776B" w:rsidRPr="00BD7CEA" w:rsidRDefault="004D776B" w:rsidP="00857EF7">
      <w:pPr>
        <w:ind w:left="720"/>
      </w:pPr>
      <w:r w:rsidRPr="00BD7CEA">
        <w:rPr>
          <w:rFonts w:eastAsia="Calibri" w:cs="Tahoma"/>
          <w:szCs w:val="18"/>
        </w:rPr>
        <w:t>Le società potranno eseguire lo step-up da Windows Server Datacenter o System Center Datacenter a</w:t>
      </w:r>
      <w:r w:rsidR="00DC6528">
        <w:rPr>
          <w:rFonts w:eastAsia="Calibri" w:cs="Tahoma"/>
          <w:szCs w:val="18"/>
        </w:rPr>
        <w:t> </w:t>
      </w:r>
      <w:r w:rsidRPr="00BD7CEA">
        <w:rPr>
          <w:rFonts w:eastAsia="Calibri" w:cs="Tahoma"/>
          <w:szCs w:val="18"/>
        </w:rPr>
        <w:t>Core</w:t>
      </w:r>
      <w:r w:rsidR="00DC6528">
        <w:rPr>
          <w:rFonts w:eastAsia="Calibri" w:cs="Tahoma"/>
          <w:szCs w:val="18"/>
        </w:rPr>
        <w:t> </w:t>
      </w:r>
      <w:r w:rsidRPr="00BD7CEA">
        <w:rPr>
          <w:rFonts w:eastAsia="Calibri" w:cs="Tahoma"/>
          <w:szCs w:val="18"/>
        </w:rPr>
        <w:t xml:space="preserve">Infrastructure Server Suite Datacenter acquistando la licenza di Step-Up appropriata per Core Infrastructure Server Suite Datacenter. Le società dovranno disporre di una copertura Software Assurance attiva per la loro licenza per Windows Server Datacenter o System Center Datacenter, al fine di acquistare tale licenza di Step-Up. </w:t>
      </w:r>
    </w:p>
    <w:p w:rsidR="00857EF7" w:rsidRPr="00BD7CEA" w:rsidRDefault="00857EF7" w:rsidP="00857EF7">
      <w:pPr>
        <w:ind w:left="720"/>
      </w:pPr>
    </w:p>
    <w:p w:rsidR="004D776B" w:rsidRPr="00BD7CEA" w:rsidRDefault="004D776B" w:rsidP="00857EF7">
      <w:pPr>
        <w:ind w:left="720"/>
      </w:pPr>
      <w:r w:rsidRPr="00BD7CEA">
        <w:rPr>
          <w:rFonts w:eastAsia="Calibri" w:cs="Tahoma"/>
          <w:szCs w:val="18"/>
        </w:rPr>
        <w:t>Per ogni licenza qualificante di Windows Server Datacenter in suo possesso, la società potrà acquistare una licenza Step-Up per Core Infrastructure Server Suite Datacenter.</w:t>
      </w:r>
      <w:r w:rsidR="008D782D" w:rsidRPr="00BD7CEA">
        <w:rPr>
          <w:rFonts w:eastAsia="Calibri" w:cs="Tahoma"/>
          <w:szCs w:val="18"/>
        </w:rPr>
        <w:t xml:space="preserve"> </w:t>
      </w:r>
    </w:p>
    <w:p w:rsidR="004D776B" w:rsidRPr="00BD7CEA" w:rsidRDefault="004D776B" w:rsidP="00857EF7">
      <w:pPr>
        <w:ind w:left="720"/>
      </w:pPr>
      <w:r w:rsidRPr="00BD7CEA">
        <w:rPr>
          <w:rFonts w:eastAsia="Calibri" w:cs="Tahoma"/>
          <w:szCs w:val="18"/>
        </w:rPr>
        <w:lastRenderedPageBreak/>
        <w:t>Per ogni licenza qualificante di Systems Center Datacenter in suo possesso, la società potrà acquistare una licenza Step-Up per Core Infrastructure Server Suite Datacenter.</w:t>
      </w:r>
      <w:r w:rsidR="008D782D" w:rsidRPr="00BD7CEA">
        <w:rPr>
          <w:rFonts w:eastAsia="Calibri" w:cs="Tahoma"/>
          <w:szCs w:val="18"/>
        </w:rPr>
        <w:t xml:space="preserve"> </w:t>
      </w:r>
    </w:p>
    <w:p w:rsidR="00857EF7" w:rsidRPr="00BD7CEA" w:rsidRDefault="00857EF7" w:rsidP="00857EF7">
      <w:pPr>
        <w:ind w:left="720"/>
      </w:pPr>
    </w:p>
    <w:p w:rsidR="004D776B" w:rsidRPr="00BD7CEA" w:rsidRDefault="004D776B" w:rsidP="00857EF7">
      <w:pPr>
        <w:ind w:left="720"/>
      </w:pPr>
      <w:r w:rsidRPr="00BD7CEA">
        <w:rPr>
          <w:rFonts w:eastAsia="Calibri" w:cs="Tahoma"/>
          <w:szCs w:val="18"/>
        </w:rPr>
        <w:t>Il diritto delle società di utilizzare il software ai sensi della licenza per Core Infrastructure Server Suite Datacenter, è condizionato dall</w:t>
      </w:r>
      <w:r w:rsidR="007A1415" w:rsidRPr="00BD7CEA">
        <w:rPr>
          <w:rFonts w:eastAsia="Calibri" w:cs="Tahoma"/>
          <w:szCs w:val="18"/>
        </w:rPr>
        <w:t>’</w:t>
      </w:r>
      <w:r w:rsidRPr="00BD7CEA">
        <w:rPr>
          <w:rFonts w:eastAsia="Calibri" w:cs="Tahoma"/>
          <w:szCs w:val="18"/>
        </w:rPr>
        <w:t>adempimento da parte delle società delle obbligazioni di pagamento residue della licenza per il prodotto qualificante. La licenza per Core Infrastructure Server Suite Datacenter delle società prevalgono e sostituiscono la licenza sottostante per il prodotto qualificante.</w:t>
      </w:r>
    </w:p>
    <w:p w:rsidR="00857EF7" w:rsidRPr="00BD7CEA" w:rsidRDefault="00857EF7" w:rsidP="00857EF7">
      <w:pPr>
        <w:ind w:left="720"/>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BD7CEA" w:rsidTr="00C066F9">
        <w:trPr>
          <w:tblHeader/>
        </w:trPr>
        <w:tc>
          <w:tcPr>
            <w:tcW w:w="3870" w:type="dxa"/>
            <w:shd w:val="clear" w:color="auto" w:fill="FABF8F"/>
            <w:tcMar>
              <w:top w:w="0" w:type="dxa"/>
              <w:left w:w="108" w:type="dxa"/>
              <w:bottom w:w="0" w:type="dxa"/>
              <w:right w:w="108" w:type="dxa"/>
            </w:tcMar>
            <w:vAlign w:val="center"/>
            <w:hideMark/>
          </w:tcPr>
          <w:p w:rsidR="004D776B" w:rsidRPr="00BD7CEA" w:rsidRDefault="004D776B" w:rsidP="007E466C">
            <w:pPr>
              <w:spacing w:before="120" w:after="120" w:line="276" w:lineRule="auto"/>
              <w:jc w:val="center"/>
              <w:rPr>
                <w:rFonts w:eastAsia="Calibri" w:cs="Tahoma"/>
                <w:b/>
                <w:szCs w:val="18"/>
              </w:rPr>
            </w:pPr>
            <w:r w:rsidRPr="00BD7CEA">
              <w:rPr>
                <w:rFonts w:eastAsia="Calibri" w:cs="Tahoma"/>
                <w:b/>
                <w:szCs w:val="18"/>
              </w:rPr>
              <w:t>Prodotto Qualificante</w:t>
            </w:r>
          </w:p>
        </w:tc>
        <w:tc>
          <w:tcPr>
            <w:tcW w:w="3870" w:type="dxa"/>
            <w:shd w:val="clear" w:color="auto" w:fill="FABF8F"/>
            <w:tcMar>
              <w:top w:w="0" w:type="dxa"/>
              <w:left w:w="108" w:type="dxa"/>
              <w:bottom w:w="0" w:type="dxa"/>
              <w:right w:w="108" w:type="dxa"/>
            </w:tcMar>
            <w:vAlign w:val="center"/>
            <w:hideMark/>
          </w:tcPr>
          <w:p w:rsidR="004D776B" w:rsidRPr="00BD7CEA" w:rsidRDefault="004D776B" w:rsidP="007E466C">
            <w:pPr>
              <w:spacing w:before="120" w:after="120" w:line="276" w:lineRule="auto"/>
              <w:jc w:val="center"/>
              <w:rPr>
                <w:rFonts w:eastAsia="Calibri" w:cs="Tahoma"/>
                <w:b/>
                <w:szCs w:val="18"/>
              </w:rPr>
            </w:pPr>
            <w:r w:rsidRPr="00BD7CEA">
              <w:rPr>
                <w:rFonts w:eastAsia="Calibri" w:cs="Tahoma"/>
                <w:b/>
                <w:szCs w:val="18"/>
              </w:rPr>
              <w:t>Step-Up A</w:t>
            </w:r>
          </w:p>
        </w:tc>
      </w:tr>
      <w:tr w:rsidR="004D776B" w:rsidRPr="00BD7CEA" w:rsidTr="001051D1">
        <w:tc>
          <w:tcPr>
            <w:tcW w:w="3870" w:type="dxa"/>
            <w:tcMar>
              <w:top w:w="0" w:type="dxa"/>
              <w:left w:w="108" w:type="dxa"/>
              <w:bottom w:w="0" w:type="dxa"/>
              <w:right w:w="108" w:type="dxa"/>
            </w:tcMar>
            <w:hideMark/>
          </w:tcPr>
          <w:p w:rsidR="004D776B" w:rsidRPr="00BD7CEA" w:rsidRDefault="004D776B" w:rsidP="007E466C">
            <w:pPr>
              <w:spacing w:before="120" w:after="120" w:line="276" w:lineRule="auto"/>
              <w:rPr>
                <w:rFonts w:eastAsia="Calibri" w:cs="Tahoma"/>
                <w:szCs w:val="18"/>
              </w:rPr>
            </w:pPr>
            <w:r w:rsidRPr="00BD7CEA">
              <w:rPr>
                <w:rFonts w:eastAsia="Calibri" w:cs="Tahoma"/>
                <w:szCs w:val="18"/>
              </w:rPr>
              <w:t>Windows Server Datacenter</w:t>
            </w:r>
          </w:p>
        </w:tc>
        <w:tc>
          <w:tcPr>
            <w:tcW w:w="3870" w:type="dxa"/>
            <w:tcMar>
              <w:top w:w="0" w:type="dxa"/>
              <w:left w:w="108" w:type="dxa"/>
              <w:bottom w:w="0" w:type="dxa"/>
              <w:right w:w="108" w:type="dxa"/>
            </w:tcMar>
            <w:hideMark/>
          </w:tcPr>
          <w:p w:rsidR="004D776B" w:rsidRPr="00BD7CEA" w:rsidRDefault="004D776B" w:rsidP="007E466C">
            <w:pPr>
              <w:spacing w:before="120" w:after="120" w:line="276" w:lineRule="auto"/>
              <w:rPr>
                <w:rFonts w:eastAsia="Calibri" w:cs="Tahoma"/>
                <w:szCs w:val="18"/>
                <w:lang w:val="fr-FR"/>
              </w:rPr>
            </w:pPr>
            <w:r w:rsidRPr="00BD7CEA">
              <w:rPr>
                <w:rFonts w:eastAsia="Calibri" w:cs="Tahoma"/>
                <w:szCs w:val="18"/>
              </w:rPr>
              <w:t>Core Infrastructure Server Suite Datacenter</w:t>
            </w:r>
          </w:p>
        </w:tc>
      </w:tr>
      <w:tr w:rsidR="004D776B" w:rsidRPr="00BD7CEA" w:rsidTr="001051D1">
        <w:tc>
          <w:tcPr>
            <w:tcW w:w="3870" w:type="dxa"/>
            <w:tcMar>
              <w:top w:w="0" w:type="dxa"/>
              <w:left w:w="108" w:type="dxa"/>
              <w:bottom w:w="0" w:type="dxa"/>
              <w:right w:w="108" w:type="dxa"/>
            </w:tcMar>
          </w:tcPr>
          <w:p w:rsidR="004D776B" w:rsidRPr="00BD7CEA" w:rsidRDefault="004D776B" w:rsidP="007E466C">
            <w:pPr>
              <w:spacing w:before="120" w:after="120" w:line="276" w:lineRule="auto"/>
              <w:rPr>
                <w:rFonts w:eastAsia="Calibri" w:cs="Tahoma"/>
                <w:szCs w:val="18"/>
              </w:rPr>
            </w:pPr>
            <w:r w:rsidRPr="00BD7CEA">
              <w:rPr>
                <w:rFonts w:eastAsia="Calibri" w:cs="Tahoma"/>
                <w:szCs w:val="18"/>
              </w:rPr>
              <w:t>System Center Datacenter</w:t>
            </w:r>
          </w:p>
        </w:tc>
        <w:tc>
          <w:tcPr>
            <w:tcW w:w="3870" w:type="dxa"/>
            <w:tcMar>
              <w:top w:w="0" w:type="dxa"/>
              <w:left w:w="108" w:type="dxa"/>
              <w:bottom w:w="0" w:type="dxa"/>
              <w:right w:w="108" w:type="dxa"/>
            </w:tcMar>
          </w:tcPr>
          <w:p w:rsidR="004D776B" w:rsidRPr="00BD7CEA" w:rsidRDefault="004D776B" w:rsidP="007E466C">
            <w:pPr>
              <w:spacing w:before="120" w:after="120" w:line="276" w:lineRule="auto"/>
              <w:rPr>
                <w:rFonts w:eastAsia="Calibri" w:cs="Tahoma"/>
                <w:szCs w:val="18"/>
                <w:lang w:val="fr-FR"/>
              </w:rPr>
            </w:pPr>
            <w:r w:rsidRPr="00BD7CEA">
              <w:rPr>
                <w:rFonts w:eastAsia="Calibri" w:cs="Tahoma"/>
                <w:szCs w:val="18"/>
              </w:rPr>
              <w:t>Core Infrastructure Server Suite Datacenter</w:t>
            </w:r>
          </w:p>
        </w:tc>
      </w:tr>
    </w:tbl>
    <w:p w:rsidR="00BC62D4" w:rsidRPr="00BD7CEA" w:rsidRDefault="00BC62D4" w:rsidP="00857EF7">
      <w:pPr>
        <w:ind w:left="907"/>
      </w:pPr>
      <w:bookmarkStart w:id="1208" w:name="Srv_38DynCRMWorkProEnt"/>
    </w:p>
    <w:p w:rsidR="00E03856" w:rsidRPr="00BD7CEA" w:rsidRDefault="00E03856" w:rsidP="00857EF7">
      <w:pPr>
        <w:ind w:left="907"/>
      </w:pPr>
    </w:p>
    <w:p w:rsidR="00F66FB0" w:rsidRPr="00BD7CEA" w:rsidRDefault="00F66FB0" w:rsidP="00F66FB0">
      <w:pPr>
        <w:pStyle w:val="Heading2"/>
        <w:ind w:left="0"/>
      </w:pPr>
      <w:bookmarkStart w:id="1209" w:name="_41_Duet_Enterprise_1"/>
      <w:bookmarkStart w:id="1210" w:name="_Toc353376079"/>
      <w:bookmarkStart w:id="1211" w:name="Srv_38DynamicsCRMOnline"/>
      <w:bookmarkStart w:id="1212" w:name="Srv_37DynamicsCRMOnline"/>
      <w:bookmarkStart w:id="1213" w:name="Srv_37EntCALSuite"/>
      <w:bookmarkEnd w:id="1196"/>
      <w:bookmarkEnd w:id="1208"/>
      <w:bookmarkEnd w:id="1209"/>
      <w:r w:rsidRPr="00BD7CEA">
        <w:rPr>
          <w:rFonts w:ascii="Tahoma" w:eastAsia="Times New Roman" w:hAnsi="Tahoma" w:cs="Tahoma"/>
          <w:caps/>
          <w:color w:val="FA6500"/>
          <w:sz w:val="22"/>
          <w:szCs w:val="22"/>
          <w:vertAlign w:val="superscript"/>
        </w:rPr>
        <w:t xml:space="preserve">41 </w:t>
      </w:r>
      <w:r w:rsidRPr="00BD7CEA">
        <w:rPr>
          <w:rFonts w:ascii="Tahoma" w:eastAsia="Times New Roman" w:hAnsi="Tahoma" w:cs="Tahoma"/>
          <w:color w:val="FA6500"/>
          <w:sz w:val="22"/>
          <w:szCs w:val="22"/>
        </w:rPr>
        <w:t>Duet Enterprise 2.0</w:t>
      </w:r>
      <w:bookmarkEnd w:id="1210"/>
    </w:p>
    <w:p w:rsidR="00F66FB0" w:rsidRPr="00BD7CEA" w:rsidRDefault="00F66FB0" w:rsidP="00F66FB0">
      <w:pPr>
        <w:ind w:left="720"/>
      </w:pPr>
      <w:r w:rsidRPr="00BD7CEA">
        <w:rPr>
          <w:rFonts w:cs="Tahoma"/>
        </w:rPr>
        <w:t> </w:t>
      </w:r>
    </w:p>
    <w:p w:rsidR="00F66FB0" w:rsidRPr="00BD7CEA" w:rsidRDefault="00F66FB0" w:rsidP="00F66FB0">
      <w:pPr>
        <w:ind w:left="720"/>
      </w:pPr>
      <w:r w:rsidRPr="00BD7CEA">
        <w:rPr>
          <w:color w:val="000000"/>
        </w:rPr>
        <w:t>Duet Enterprise 2.0 è l</w:t>
      </w:r>
      <w:r w:rsidR="007A1415" w:rsidRPr="00BD7CEA">
        <w:rPr>
          <w:color w:val="000000"/>
        </w:rPr>
        <w:t>’</w:t>
      </w:r>
      <w:r w:rsidRPr="00BD7CEA">
        <w:rPr>
          <w:color w:val="000000"/>
        </w:rPr>
        <w:t>ultima versione di Duet Enterprise per Microsoft SharePoint e SAP 1.0. Le società con Software Assurance attiva per Duet Enterprise per Microsoft SharePoint e SAP 1.0 al 30 novembre 2012 potranno eseguire l</w:t>
      </w:r>
      <w:r w:rsidR="007A1415" w:rsidRPr="00BD7CEA">
        <w:rPr>
          <w:color w:val="000000"/>
        </w:rPr>
        <w:t>’</w:t>
      </w:r>
      <w:r w:rsidRPr="00BD7CEA">
        <w:rPr>
          <w:color w:val="000000"/>
        </w:rPr>
        <w:t>aggiornamento a Duet Enterprise 2.0 e utilizzare questo prodotto al posto delle corrispondenti copie con licenza di Duet Enterprise per SharePoint e SAP 1.0.</w:t>
      </w:r>
    </w:p>
    <w:p w:rsidR="00F66FB0" w:rsidRPr="00BD7CEA" w:rsidRDefault="00F66FB0" w:rsidP="00F66FB0">
      <w:pPr>
        <w:rPr>
          <w:color w:val="000000"/>
        </w:rPr>
      </w:pPr>
      <w:r w:rsidRPr="00BD7CEA">
        <w:rPr>
          <w:color w:val="000000"/>
        </w:rPr>
        <w:t> </w:t>
      </w:r>
    </w:p>
    <w:p w:rsidR="007E1428" w:rsidRPr="00BD7CEA" w:rsidRDefault="007E1428" w:rsidP="00F66FB0"/>
    <w:p w:rsidR="00F66FB0" w:rsidRPr="00BD7CEA" w:rsidRDefault="00F66FB0" w:rsidP="00F66FB0">
      <w:pPr>
        <w:ind w:left="720"/>
      </w:pPr>
      <w:r w:rsidRPr="00BD7CEA">
        <w:rPr>
          <w:color w:val="000000"/>
          <w:u w:val="single"/>
        </w:rPr>
        <w:t>Duet Enterprise 2.0</w:t>
      </w:r>
    </w:p>
    <w:p w:rsidR="00F66FB0" w:rsidRPr="00BD7CEA" w:rsidRDefault="00F66FB0" w:rsidP="00F66FB0">
      <w:pPr>
        <w:ind w:left="720"/>
      </w:pPr>
      <w:r w:rsidRPr="00BD7CEA">
        <w:rPr>
          <w:color w:val="000000"/>
        </w:rPr>
        <w:t>Duet Enterprise 2.0 non sarà disponibile sul sito Volume Licensing Service Center. Alle società esistenti idonee a ricevere Duet Enterprise 2.0 verranno inviate comunicazione specifiche in cui verrà indicato come ottenere il software da Microsoft Connect.</w:t>
      </w:r>
    </w:p>
    <w:p w:rsidR="00857EF7" w:rsidRPr="00BD7CEA" w:rsidRDefault="00857EF7" w:rsidP="00857EF7"/>
    <w:p w:rsidR="00857EF7" w:rsidRPr="00BD7CEA" w:rsidRDefault="00857EF7" w:rsidP="00857EF7"/>
    <w:p w:rsidR="00652B0A" w:rsidRPr="00BD7CEA" w:rsidRDefault="004668D9" w:rsidP="00652B0A">
      <w:pPr>
        <w:pStyle w:val="Heading3"/>
      </w:pPr>
      <w:bookmarkStart w:id="1214" w:name="_40_Dynamics_CRM"/>
      <w:bookmarkStart w:id="1215" w:name="_40_39_Dynamics"/>
      <w:bookmarkStart w:id="1216" w:name="_4240_Dynamics_CRM"/>
      <w:bookmarkStart w:id="1217" w:name="_42_Dynamics_CRM"/>
      <w:bookmarkStart w:id="1218" w:name="_Toc336338300"/>
      <w:bookmarkStart w:id="1219" w:name="_Toc353376080"/>
      <w:bookmarkEnd w:id="1214"/>
      <w:bookmarkEnd w:id="1215"/>
      <w:bookmarkEnd w:id="1216"/>
      <w:bookmarkEnd w:id="1217"/>
      <w:r w:rsidRPr="00BD7CEA">
        <w:rPr>
          <w:rFonts w:ascii="Tahoma" w:hAnsi="Tahoma"/>
          <w:caps/>
          <w:color w:val="F66400"/>
          <w:sz w:val="22"/>
          <w:vertAlign w:val="superscript"/>
        </w:rPr>
        <w:t>42</w:t>
      </w:r>
      <w:r w:rsidRPr="00BD7CEA">
        <w:rPr>
          <w:rFonts w:ascii="Tahoma" w:hAnsi="Tahoma"/>
          <w:color w:val="F66400"/>
          <w:sz w:val="22"/>
        </w:rPr>
        <w:t xml:space="preserve"> Dynamics CRM Online</w:t>
      </w:r>
      <w:bookmarkEnd w:id="1218"/>
      <w:bookmarkEnd w:id="1219"/>
    </w:p>
    <w:bookmarkEnd w:id="1211"/>
    <w:bookmarkEnd w:id="1212"/>
    <w:p w:rsidR="00652B0A" w:rsidRPr="00BD7CEA" w:rsidRDefault="00652B0A">
      <w:pPr>
        <w:pStyle w:val="Heading3"/>
      </w:pPr>
    </w:p>
    <w:p w:rsidR="0040633A" w:rsidRPr="00BD7CEA" w:rsidRDefault="00857EF7" w:rsidP="001154B5">
      <w:pPr>
        <w:ind w:left="720"/>
      </w:pPr>
      <w:r w:rsidRPr="00BD7CEA">
        <w:rPr>
          <w:rFonts w:cs="Tahoma"/>
          <w:b/>
          <w:color w:val="000000"/>
          <w:szCs w:val="18"/>
        </w:rPr>
        <w:t>Paesi Dove Dynamics CRM Online è Disponibile</w:t>
      </w:r>
    </w:p>
    <w:p w:rsidR="00E952D9" w:rsidRPr="00BD7CEA" w:rsidRDefault="00E952D9" w:rsidP="0040633A">
      <w:pPr>
        <w:ind w:left="540"/>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781A60" w:rsidRPr="00BD7CEA" w:rsidTr="002A6416">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781A60" w:rsidRPr="00BD7CEA" w:rsidRDefault="00781A60" w:rsidP="005204B6">
            <w:pPr>
              <w:jc w:val="center"/>
              <w:rPr>
                <w:rFonts w:cs="Tahoma"/>
                <w:b/>
                <w:bCs/>
                <w:szCs w:val="20"/>
              </w:rPr>
            </w:pPr>
            <w:r w:rsidRPr="00BD7CEA">
              <w:rPr>
                <w:rFonts w:cs="Tahoma"/>
                <w:b/>
                <w:bCs/>
                <w:szCs w:val="20"/>
              </w:rPr>
              <w:t>Americhe</w:t>
            </w:r>
          </w:p>
        </w:tc>
        <w:tc>
          <w:tcPr>
            <w:tcW w:w="2670" w:type="dxa"/>
            <w:tcBorders>
              <w:top w:val="single" w:sz="8" w:space="0" w:color="000000"/>
              <w:left w:val="nil"/>
              <w:bottom w:val="single" w:sz="8" w:space="0" w:color="000000"/>
              <w:right w:val="single" w:sz="4" w:space="0" w:color="auto"/>
            </w:tcBorders>
            <w:shd w:val="clear" w:color="auto" w:fill="FABF8F"/>
          </w:tcPr>
          <w:p w:rsidR="00781A60" w:rsidRPr="00BD7CEA" w:rsidRDefault="00781A60" w:rsidP="005204B6">
            <w:pPr>
              <w:jc w:val="center"/>
              <w:rPr>
                <w:rFonts w:cs="Tahoma"/>
                <w:b/>
                <w:bCs/>
                <w:szCs w:val="20"/>
              </w:rPr>
            </w:pPr>
            <w:r w:rsidRPr="00BD7CEA">
              <w:rPr>
                <w:rFonts w:cs="Tahoma"/>
                <w:b/>
                <w:bCs/>
                <w:szCs w:val="20"/>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781A60" w:rsidRPr="00BD7CEA" w:rsidRDefault="00781A60" w:rsidP="005204B6">
            <w:pPr>
              <w:jc w:val="center"/>
              <w:rPr>
                <w:rFonts w:cs="Tahoma"/>
                <w:b/>
                <w:bCs/>
                <w:szCs w:val="20"/>
              </w:rPr>
            </w:pPr>
            <w:r w:rsidRPr="00BD7CEA">
              <w:rPr>
                <w:rFonts w:cs="Tahoma"/>
                <w:b/>
                <w:bCs/>
                <w:szCs w:val="20"/>
              </w:rPr>
              <w:t>Asia, Area del Pacifico</w:t>
            </w:r>
          </w:p>
        </w:tc>
      </w:tr>
      <w:tr w:rsidR="00781A60" w:rsidRPr="00BD7CEA" w:rsidTr="002A641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781A60" w:rsidRPr="00BD7CEA" w:rsidRDefault="00781A60" w:rsidP="005204B6">
            <w:pPr>
              <w:jc w:val="center"/>
              <w:rPr>
                <w:rFonts w:cs="Tahoma"/>
                <w:color w:val="000000"/>
                <w:szCs w:val="20"/>
              </w:rPr>
            </w:pPr>
            <w:r w:rsidRPr="00BD7CEA">
              <w:rPr>
                <w:rFonts w:cs="Arial"/>
              </w:rPr>
              <w:t>Brasile</w:t>
            </w:r>
          </w:p>
        </w:tc>
        <w:tc>
          <w:tcPr>
            <w:tcW w:w="2670" w:type="dxa"/>
            <w:tcBorders>
              <w:top w:val="nil"/>
              <w:left w:val="nil"/>
              <w:bottom w:val="single" w:sz="4" w:space="0" w:color="000000"/>
              <w:right w:val="single" w:sz="4" w:space="0" w:color="auto"/>
            </w:tcBorders>
          </w:tcPr>
          <w:p w:rsidR="00781A60" w:rsidRPr="00BD7CEA" w:rsidRDefault="00781A60" w:rsidP="005204B6">
            <w:pPr>
              <w:pStyle w:val="ColorfulList-Accent11"/>
              <w:spacing w:line="276" w:lineRule="auto"/>
              <w:ind w:left="0"/>
              <w:jc w:val="center"/>
              <w:rPr>
                <w:rFonts w:ascii="Tahoma" w:hAnsi="Tahoma" w:cs="Tahoma"/>
                <w:color w:val="000000"/>
                <w:sz w:val="18"/>
                <w:szCs w:val="18"/>
              </w:rPr>
            </w:pPr>
            <w:r w:rsidRPr="00BD7CEA">
              <w:rPr>
                <w:rFonts w:ascii="Tahoma" w:hAnsi="Tahoma" w:cs="Tahoma"/>
                <w:sz w:val="18"/>
                <w:szCs w:val="18"/>
              </w:rPr>
              <w:t>Austria</w:t>
            </w:r>
          </w:p>
        </w:tc>
        <w:tc>
          <w:tcPr>
            <w:tcW w:w="2670" w:type="dxa"/>
            <w:tcBorders>
              <w:top w:val="nil"/>
              <w:left w:val="single" w:sz="4" w:space="0" w:color="auto"/>
              <w:bottom w:val="single" w:sz="4" w:space="0" w:color="000000"/>
              <w:right w:val="single" w:sz="8" w:space="0" w:color="000000"/>
            </w:tcBorders>
          </w:tcPr>
          <w:p w:rsidR="00781A60" w:rsidRPr="00BD7CEA" w:rsidRDefault="00781A60" w:rsidP="005204B6">
            <w:pPr>
              <w:pStyle w:val="ColorfulList-Accent11"/>
              <w:spacing w:line="276" w:lineRule="auto"/>
              <w:ind w:left="0"/>
              <w:jc w:val="center"/>
              <w:rPr>
                <w:rFonts w:ascii="Tahoma" w:hAnsi="Tahoma" w:cs="Tahoma"/>
                <w:color w:val="000000"/>
                <w:sz w:val="18"/>
                <w:szCs w:val="18"/>
              </w:rPr>
            </w:pPr>
            <w:r w:rsidRPr="00BD7CEA">
              <w:rPr>
                <w:rFonts w:ascii="Tahoma" w:hAnsi="Tahoma" w:cs="Tahoma"/>
                <w:sz w:val="18"/>
                <w:szCs w:val="18"/>
              </w:rPr>
              <w:t>Australia</w:t>
            </w:r>
          </w:p>
        </w:tc>
      </w:tr>
      <w:tr w:rsidR="00781A60" w:rsidRPr="00BD7CE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BD7CEA" w:rsidRDefault="00781A60" w:rsidP="005204B6">
            <w:pPr>
              <w:jc w:val="center"/>
              <w:rPr>
                <w:rFonts w:cs="Tahoma"/>
                <w:color w:val="000000"/>
                <w:szCs w:val="20"/>
              </w:rPr>
            </w:pPr>
            <w:r w:rsidRPr="00BD7CEA">
              <w:rPr>
                <w:rFonts w:cs="Arial"/>
              </w:rPr>
              <w:t>Canada</w:t>
            </w:r>
          </w:p>
        </w:tc>
        <w:tc>
          <w:tcPr>
            <w:tcW w:w="2670" w:type="dxa"/>
            <w:tcBorders>
              <w:top w:val="single" w:sz="4" w:space="0" w:color="000000"/>
              <w:left w:val="nil"/>
              <w:bottom w:val="single" w:sz="4" w:space="0" w:color="000000"/>
              <w:right w:val="single" w:sz="4" w:space="0" w:color="auto"/>
            </w:tcBorders>
          </w:tcPr>
          <w:p w:rsidR="00781A60" w:rsidRPr="00BD7CEA" w:rsidRDefault="00781A60" w:rsidP="005204B6">
            <w:pPr>
              <w:pStyle w:val="ColorfulList-Accent11"/>
              <w:spacing w:line="276" w:lineRule="auto"/>
              <w:ind w:left="0"/>
              <w:jc w:val="center"/>
              <w:rPr>
                <w:rFonts w:ascii="Tahoma" w:hAnsi="Tahoma" w:cs="Tahoma"/>
                <w:color w:val="000000"/>
                <w:sz w:val="18"/>
                <w:szCs w:val="18"/>
              </w:rPr>
            </w:pPr>
            <w:r w:rsidRPr="00BD7CEA">
              <w:rPr>
                <w:rFonts w:ascii="Tahoma" w:hAnsi="Tahoma" w:cs="Tahoma"/>
                <w:sz w:val="18"/>
                <w:szCs w:val="18"/>
              </w:rPr>
              <w:t>Belgio</w:t>
            </w:r>
          </w:p>
        </w:tc>
        <w:tc>
          <w:tcPr>
            <w:tcW w:w="2670" w:type="dxa"/>
            <w:tcBorders>
              <w:top w:val="single" w:sz="4" w:space="0" w:color="000000"/>
              <w:left w:val="single" w:sz="4" w:space="0" w:color="auto"/>
              <w:bottom w:val="single" w:sz="4" w:space="0" w:color="000000"/>
              <w:right w:val="single" w:sz="4" w:space="0" w:color="000000"/>
            </w:tcBorders>
          </w:tcPr>
          <w:p w:rsidR="00781A60" w:rsidRPr="00BD7CEA" w:rsidRDefault="00781A60" w:rsidP="005204B6">
            <w:pPr>
              <w:pStyle w:val="ColorfulList-Accent11"/>
              <w:spacing w:line="276" w:lineRule="auto"/>
              <w:ind w:left="0"/>
              <w:jc w:val="center"/>
              <w:rPr>
                <w:rFonts w:ascii="Tahoma" w:hAnsi="Tahoma" w:cs="Tahoma"/>
                <w:color w:val="000000"/>
                <w:sz w:val="18"/>
                <w:szCs w:val="18"/>
              </w:rPr>
            </w:pPr>
            <w:r w:rsidRPr="00BD7CEA">
              <w:rPr>
                <w:rFonts w:ascii="Tahoma" w:hAnsi="Tahoma" w:cs="Tahoma"/>
                <w:sz w:val="18"/>
                <w:szCs w:val="18"/>
              </w:rPr>
              <w:t>Hong Kong</w:t>
            </w:r>
          </w:p>
        </w:tc>
      </w:tr>
      <w:tr w:rsidR="00781A60" w:rsidRPr="00BD7CE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BD7CEA" w:rsidRDefault="00781A60" w:rsidP="005204B6">
            <w:pPr>
              <w:jc w:val="center"/>
              <w:rPr>
                <w:rFonts w:cs="Tahoma"/>
                <w:color w:val="000000"/>
                <w:szCs w:val="20"/>
              </w:rPr>
            </w:pPr>
            <w:r w:rsidRPr="00BD7CEA">
              <w:rPr>
                <w:rFonts w:cs="Arial"/>
              </w:rPr>
              <w:t>Colombia</w:t>
            </w:r>
          </w:p>
        </w:tc>
        <w:tc>
          <w:tcPr>
            <w:tcW w:w="2670" w:type="dxa"/>
            <w:tcBorders>
              <w:top w:val="single" w:sz="4" w:space="0" w:color="000000"/>
              <w:left w:val="nil"/>
              <w:bottom w:val="single" w:sz="4" w:space="0" w:color="000000"/>
              <w:right w:val="single" w:sz="4" w:space="0" w:color="auto"/>
            </w:tcBorders>
          </w:tcPr>
          <w:p w:rsidR="00781A60" w:rsidRPr="00BD7CEA" w:rsidRDefault="00781A60" w:rsidP="005204B6">
            <w:pPr>
              <w:pStyle w:val="ColorfulList-Accent11"/>
              <w:spacing w:line="276" w:lineRule="auto"/>
              <w:ind w:left="0"/>
              <w:jc w:val="center"/>
              <w:rPr>
                <w:rFonts w:ascii="Tahoma" w:hAnsi="Tahoma" w:cs="Tahoma"/>
                <w:color w:val="000000"/>
                <w:sz w:val="18"/>
                <w:szCs w:val="18"/>
              </w:rPr>
            </w:pPr>
            <w:r w:rsidRPr="00BD7CEA">
              <w:rPr>
                <w:rFonts w:ascii="Tahoma" w:hAnsi="Tahoma" w:cs="Tahoma"/>
                <w:sz w:val="18"/>
                <w:szCs w:val="18"/>
              </w:rPr>
              <w:t>Cipro</w:t>
            </w:r>
          </w:p>
        </w:tc>
        <w:tc>
          <w:tcPr>
            <w:tcW w:w="2670" w:type="dxa"/>
            <w:tcBorders>
              <w:top w:val="single" w:sz="4" w:space="0" w:color="000000"/>
              <w:left w:val="single" w:sz="4" w:space="0" w:color="auto"/>
              <w:bottom w:val="single" w:sz="4" w:space="0" w:color="000000"/>
              <w:right w:val="single" w:sz="4" w:space="0" w:color="000000"/>
            </w:tcBorders>
          </w:tcPr>
          <w:p w:rsidR="00781A60" w:rsidRPr="00BD7CEA" w:rsidRDefault="00781A60" w:rsidP="005204B6">
            <w:pPr>
              <w:pStyle w:val="ColorfulList-Accent11"/>
              <w:spacing w:line="276" w:lineRule="auto"/>
              <w:ind w:left="0"/>
              <w:jc w:val="center"/>
              <w:rPr>
                <w:rFonts w:ascii="Tahoma" w:hAnsi="Tahoma" w:cs="Tahoma"/>
                <w:color w:val="000000"/>
                <w:sz w:val="18"/>
                <w:szCs w:val="18"/>
              </w:rPr>
            </w:pPr>
            <w:r w:rsidRPr="00BD7CEA">
              <w:rPr>
                <w:rFonts w:ascii="Tahoma" w:hAnsi="Tahoma" w:cs="Tahoma"/>
                <w:sz w:val="18"/>
                <w:szCs w:val="18"/>
              </w:rPr>
              <w:t>India</w:t>
            </w:r>
          </w:p>
        </w:tc>
      </w:tr>
      <w:tr w:rsidR="00781A60" w:rsidRPr="00BD7CE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BD7CEA" w:rsidRDefault="00781A60" w:rsidP="005204B6">
            <w:pPr>
              <w:jc w:val="center"/>
              <w:rPr>
                <w:rFonts w:cs="Arial"/>
              </w:rPr>
            </w:pPr>
            <w:r w:rsidRPr="00BD7CEA">
              <w:rPr>
                <w:rFonts w:cs="Arial"/>
              </w:rPr>
              <w:t>Costa Rica</w:t>
            </w:r>
          </w:p>
        </w:tc>
        <w:tc>
          <w:tcPr>
            <w:tcW w:w="2670" w:type="dxa"/>
            <w:tcBorders>
              <w:top w:val="single" w:sz="4" w:space="0" w:color="000000"/>
              <w:left w:val="nil"/>
              <w:bottom w:val="single" w:sz="4" w:space="0" w:color="000000"/>
              <w:right w:val="single" w:sz="4" w:space="0" w:color="auto"/>
            </w:tcBorders>
          </w:tcPr>
          <w:p w:rsidR="00781A60" w:rsidRPr="00BD7CEA" w:rsidRDefault="00781A60" w:rsidP="005204B6">
            <w:pPr>
              <w:pStyle w:val="ColorfulList-Accent11"/>
              <w:spacing w:line="276" w:lineRule="auto"/>
              <w:ind w:left="0"/>
              <w:jc w:val="center"/>
              <w:rPr>
                <w:rFonts w:ascii="Tahoma" w:hAnsi="Tahoma" w:cs="Tahoma"/>
                <w:color w:val="000000"/>
                <w:sz w:val="18"/>
                <w:szCs w:val="18"/>
              </w:rPr>
            </w:pPr>
            <w:r w:rsidRPr="00BD7CEA">
              <w:rPr>
                <w:rFonts w:ascii="Tahoma" w:hAnsi="Tahoma" w:cs="Tahoma"/>
                <w:sz w:val="18"/>
                <w:szCs w:val="18"/>
              </w:rPr>
              <w:t>Repubblica Ceca</w:t>
            </w:r>
          </w:p>
        </w:tc>
        <w:tc>
          <w:tcPr>
            <w:tcW w:w="2670" w:type="dxa"/>
            <w:tcBorders>
              <w:top w:val="single" w:sz="4" w:space="0" w:color="000000"/>
              <w:left w:val="single" w:sz="4" w:space="0" w:color="auto"/>
              <w:bottom w:val="single" w:sz="4" w:space="0" w:color="000000"/>
              <w:right w:val="single" w:sz="4" w:space="0" w:color="000000"/>
            </w:tcBorders>
          </w:tcPr>
          <w:p w:rsidR="00781A60" w:rsidRPr="00BD7CEA" w:rsidRDefault="00781A60" w:rsidP="005204B6">
            <w:pPr>
              <w:pStyle w:val="ColorfulList-Accent11"/>
              <w:spacing w:line="276" w:lineRule="auto"/>
              <w:ind w:left="0"/>
              <w:jc w:val="center"/>
              <w:rPr>
                <w:rFonts w:ascii="Tahoma" w:hAnsi="Tahoma" w:cs="Tahoma"/>
                <w:color w:val="000000"/>
                <w:sz w:val="18"/>
                <w:szCs w:val="18"/>
              </w:rPr>
            </w:pPr>
            <w:r w:rsidRPr="00BD7CEA">
              <w:rPr>
                <w:rFonts w:ascii="Tahoma" w:hAnsi="Tahoma" w:cs="Tahoma"/>
                <w:sz w:val="18"/>
                <w:szCs w:val="18"/>
              </w:rPr>
              <w:t>Giappone</w:t>
            </w:r>
          </w:p>
        </w:tc>
      </w:tr>
      <w:tr w:rsidR="00B40674" w:rsidRPr="00BD7CE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BD7CEA" w:rsidRDefault="00B40674" w:rsidP="005204B6">
            <w:pPr>
              <w:jc w:val="center"/>
              <w:rPr>
                <w:rFonts w:cs="Arial"/>
              </w:rPr>
            </w:pPr>
            <w:r w:rsidRPr="00BD7CEA">
              <w:rPr>
                <w:rFonts w:cs="Arial"/>
              </w:rPr>
              <w:t>Cile</w:t>
            </w:r>
          </w:p>
        </w:tc>
        <w:tc>
          <w:tcPr>
            <w:tcW w:w="2670" w:type="dxa"/>
            <w:tcBorders>
              <w:top w:val="single" w:sz="4" w:space="0" w:color="000000"/>
              <w:left w:val="nil"/>
              <w:bottom w:val="single" w:sz="4" w:space="0" w:color="000000"/>
              <w:right w:val="single" w:sz="4" w:space="0" w:color="auto"/>
            </w:tcBorders>
          </w:tcPr>
          <w:p w:rsidR="00B40674" w:rsidRPr="00BD7CEA" w:rsidRDefault="00B40674" w:rsidP="005204B6">
            <w:pPr>
              <w:pStyle w:val="ColorfulList-Accent11"/>
              <w:spacing w:line="276" w:lineRule="auto"/>
              <w:ind w:left="0"/>
              <w:jc w:val="center"/>
              <w:rPr>
                <w:rFonts w:ascii="Tahoma" w:hAnsi="Tahoma" w:cs="Tahoma"/>
                <w:color w:val="000000"/>
                <w:sz w:val="18"/>
                <w:szCs w:val="18"/>
              </w:rPr>
            </w:pPr>
            <w:r w:rsidRPr="00BD7CEA">
              <w:rPr>
                <w:rFonts w:ascii="Tahoma" w:hAnsi="Tahoma" w:cs="Tahoma"/>
                <w:sz w:val="18"/>
                <w:szCs w:val="18"/>
              </w:rPr>
              <w:t>Danimarca</w:t>
            </w:r>
          </w:p>
        </w:tc>
        <w:tc>
          <w:tcPr>
            <w:tcW w:w="2670" w:type="dxa"/>
            <w:tcBorders>
              <w:top w:val="single" w:sz="4" w:space="0" w:color="000000"/>
              <w:left w:val="single" w:sz="4" w:space="0" w:color="auto"/>
              <w:bottom w:val="single" w:sz="4" w:space="0" w:color="000000"/>
              <w:right w:val="single" w:sz="4" w:space="0" w:color="000000"/>
            </w:tcBorders>
          </w:tcPr>
          <w:p w:rsidR="00B40674" w:rsidRPr="00BD7CEA" w:rsidRDefault="00B40674" w:rsidP="005204B6">
            <w:pPr>
              <w:pStyle w:val="ColorfulList-Accent11"/>
              <w:spacing w:line="276" w:lineRule="auto"/>
              <w:ind w:left="0"/>
              <w:jc w:val="center"/>
              <w:rPr>
                <w:rFonts w:ascii="Tahoma" w:hAnsi="Tahoma" w:cs="Tahoma"/>
                <w:color w:val="000000"/>
                <w:sz w:val="18"/>
                <w:szCs w:val="18"/>
              </w:rPr>
            </w:pPr>
            <w:r w:rsidRPr="00BD7CEA">
              <w:rPr>
                <w:rFonts w:ascii="Tahoma" w:hAnsi="Tahoma" w:cs="Tahoma"/>
                <w:sz w:val="18"/>
                <w:szCs w:val="18"/>
              </w:rPr>
              <w:t>Corea</w:t>
            </w:r>
          </w:p>
        </w:tc>
      </w:tr>
      <w:tr w:rsidR="00B40674" w:rsidRPr="00BD7CE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BD7CEA" w:rsidRDefault="00B40674" w:rsidP="005204B6">
            <w:pPr>
              <w:jc w:val="center"/>
              <w:rPr>
                <w:rFonts w:cs="Arial"/>
              </w:rPr>
            </w:pPr>
            <w:r w:rsidRPr="00BD7CEA">
              <w:rPr>
                <w:rFonts w:cs="Arial"/>
              </w:rPr>
              <w:t>Messico</w:t>
            </w:r>
          </w:p>
        </w:tc>
        <w:tc>
          <w:tcPr>
            <w:tcW w:w="2670" w:type="dxa"/>
            <w:tcBorders>
              <w:top w:val="single" w:sz="4" w:space="0" w:color="000000"/>
              <w:left w:val="nil"/>
              <w:bottom w:val="single" w:sz="4" w:space="0" w:color="000000"/>
              <w:right w:val="single" w:sz="4" w:space="0" w:color="auto"/>
            </w:tcBorders>
          </w:tcPr>
          <w:p w:rsidR="00B40674" w:rsidRPr="00BD7CEA" w:rsidRDefault="00B40674" w:rsidP="005204B6">
            <w:pPr>
              <w:pStyle w:val="ColorfulList-Accent11"/>
              <w:spacing w:line="276" w:lineRule="auto"/>
              <w:ind w:left="0"/>
              <w:jc w:val="center"/>
              <w:rPr>
                <w:rFonts w:ascii="Tahoma" w:hAnsi="Tahoma" w:cs="Tahoma"/>
                <w:color w:val="000000"/>
                <w:sz w:val="18"/>
                <w:szCs w:val="18"/>
              </w:rPr>
            </w:pPr>
            <w:r w:rsidRPr="00BD7CEA">
              <w:rPr>
                <w:rFonts w:ascii="Tahoma" w:hAnsi="Tahoma" w:cs="Tahoma"/>
                <w:sz w:val="18"/>
                <w:szCs w:val="18"/>
              </w:rPr>
              <w:t>Finlandia</w:t>
            </w:r>
          </w:p>
        </w:tc>
        <w:tc>
          <w:tcPr>
            <w:tcW w:w="2670" w:type="dxa"/>
            <w:tcBorders>
              <w:top w:val="single" w:sz="4" w:space="0" w:color="000000"/>
              <w:left w:val="single" w:sz="4" w:space="0" w:color="auto"/>
              <w:bottom w:val="single" w:sz="4" w:space="0" w:color="000000"/>
              <w:right w:val="single" w:sz="4" w:space="0" w:color="000000"/>
            </w:tcBorders>
          </w:tcPr>
          <w:p w:rsidR="00B40674" w:rsidRPr="00BD7CEA" w:rsidRDefault="00B40674" w:rsidP="005204B6">
            <w:pPr>
              <w:pStyle w:val="ColorfulList-Accent11"/>
              <w:spacing w:line="276" w:lineRule="auto"/>
              <w:ind w:left="0"/>
              <w:jc w:val="center"/>
              <w:rPr>
                <w:rFonts w:ascii="Tahoma" w:hAnsi="Tahoma" w:cs="Tahoma"/>
                <w:color w:val="000000"/>
                <w:sz w:val="18"/>
                <w:szCs w:val="18"/>
              </w:rPr>
            </w:pPr>
            <w:r w:rsidRPr="00BD7CEA">
              <w:rPr>
                <w:rFonts w:ascii="Tahoma" w:hAnsi="Tahoma" w:cs="Tahoma"/>
                <w:sz w:val="18"/>
                <w:szCs w:val="18"/>
              </w:rPr>
              <w:t>Malaysia</w:t>
            </w:r>
          </w:p>
        </w:tc>
      </w:tr>
      <w:tr w:rsidR="00B40674" w:rsidRPr="00BD7CE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BD7CEA" w:rsidRDefault="00B40674" w:rsidP="005204B6">
            <w:pPr>
              <w:jc w:val="center"/>
              <w:rPr>
                <w:rFonts w:cs="Arial"/>
              </w:rPr>
            </w:pPr>
            <w:r w:rsidRPr="00BD7CEA">
              <w:rPr>
                <w:rFonts w:cs="Arial"/>
              </w:rPr>
              <w:t>Perù</w:t>
            </w:r>
          </w:p>
        </w:tc>
        <w:tc>
          <w:tcPr>
            <w:tcW w:w="2670" w:type="dxa"/>
            <w:tcBorders>
              <w:top w:val="single" w:sz="4" w:space="0" w:color="000000"/>
              <w:left w:val="nil"/>
              <w:bottom w:val="single" w:sz="4" w:space="0" w:color="000000"/>
              <w:right w:val="single" w:sz="4" w:space="0" w:color="auto"/>
            </w:tcBorders>
          </w:tcPr>
          <w:p w:rsidR="00B40674" w:rsidRPr="00BD7CEA" w:rsidRDefault="00B40674" w:rsidP="005204B6">
            <w:pPr>
              <w:pStyle w:val="ColorfulList-Accent11"/>
              <w:spacing w:line="276" w:lineRule="auto"/>
              <w:ind w:left="0"/>
              <w:jc w:val="center"/>
              <w:rPr>
                <w:rFonts w:ascii="Tahoma" w:hAnsi="Tahoma" w:cs="Tahoma"/>
                <w:color w:val="000000"/>
                <w:sz w:val="18"/>
                <w:szCs w:val="18"/>
              </w:rPr>
            </w:pPr>
            <w:r w:rsidRPr="00BD7CEA">
              <w:rPr>
                <w:rFonts w:ascii="Tahoma" w:hAnsi="Tahoma" w:cs="Tahoma"/>
                <w:sz w:val="18"/>
                <w:szCs w:val="18"/>
              </w:rPr>
              <w:t>Francia</w:t>
            </w:r>
          </w:p>
        </w:tc>
        <w:tc>
          <w:tcPr>
            <w:tcW w:w="2670" w:type="dxa"/>
            <w:tcBorders>
              <w:top w:val="single" w:sz="4" w:space="0" w:color="000000"/>
              <w:left w:val="single" w:sz="4" w:space="0" w:color="auto"/>
              <w:bottom w:val="single" w:sz="4" w:space="0" w:color="000000"/>
              <w:right w:val="single" w:sz="4" w:space="0" w:color="000000"/>
            </w:tcBorders>
          </w:tcPr>
          <w:p w:rsidR="00B40674" w:rsidRPr="00BD7CEA" w:rsidRDefault="00B40674" w:rsidP="005204B6">
            <w:pPr>
              <w:pStyle w:val="ColorfulList-Accent11"/>
              <w:spacing w:line="276" w:lineRule="auto"/>
              <w:ind w:left="0"/>
              <w:jc w:val="center"/>
              <w:rPr>
                <w:rFonts w:ascii="Tahoma" w:hAnsi="Tahoma" w:cs="Tahoma"/>
                <w:color w:val="000000"/>
                <w:sz w:val="18"/>
                <w:szCs w:val="18"/>
              </w:rPr>
            </w:pPr>
            <w:r w:rsidRPr="00BD7CEA">
              <w:rPr>
                <w:rFonts w:ascii="Tahoma" w:hAnsi="Tahoma" w:cs="Tahoma"/>
                <w:sz w:val="18"/>
                <w:szCs w:val="18"/>
              </w:rPr>
              <w:t>Nuova Zelanda</w:t>
            </w:r>
          </w:p>
        </w:tc>
      </w:tr>
      <w:tr w:rsidR="00B40674" w:rsidRPr="00BD7CE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BD7CEA" w:rsidRDefault="00B40674" w:rsidP="005204B6">
            <w:pPr>
              <w:jc w:val="center"/>
              <w:rPr>
                <w:rFonts w:cs="Arial"/>
              </w:rPr>
            </w:pPr>
            <w:r w:rsidRPr="00BD7CEA">
              <w:rPr>
                <w:rFonts w:cs="Arial"/>
              </w:rPr>
              <w:t>Portorico</w:t>
            </w:r>
          </w:p>
        </w:tc>
        <w:tc>
          <w:tcPr>
            <w:tcW w:w="2670" w:type="dxa"/>
            <w:tcBorders>
              <w:top w:val="single" w:sz="4" w:space="0" w:color="000000"/>
              <w:left w:val="nil"/>
              <w:bottom w:val="single" w:sz="4" w:space="0" w:color="000000"/>
              <w:right w:val="single" w:sz="4" w:space="0" w:color="auto"/>
            </w:tcBorders>
          </w:tcPr>
          <w:p w:rsidR="00B40674" w:rsidRPr="00BD7CEA" w:rsidRDefault="00B40674" w:rsidP="005204B6">
            <w:pPr>
              <w:pStyle w:val="ColorfulList-Accent11"/>
              <w:spacing w:line="276" w:lineRule="auto"/>
              <w:ind w:left="0"/>
              <w:jc w:val="center"/>
              <w:rPr>
                <w:rFonts w:ascii="Tahoma" w:hAnsi="Tahoma" w:cs="Tahoma"/>
                <w:color w:val="000000"/>
                <w:sz w:val="18"/>
                <w:szCs w:val="18"/>
              </w:rPr>
            </w:pPr>
            <w:r w:rsidRPr="00BD7CEA">
              <w:rPr>
                <w:rFonts w:ascii="Tahoma" w:hAnsi="Tahoma" w:cs="Tahoma"/>
                <w:sz w:val="18"/>
                <w:szCs w:val="18"/>
              </w:rPr>
              <w:t>Germania</w:t>
            </w:r>
          </w:p>
        </w:tc>
        <w:tc>
          <w:tcPr>
            <w:tcW w:w="2670" w:type="dxa"/>
            <w:tcBorders>
              <w:top w:val="single" w:sz="4" w:space="0" w:color="000000"/>
              <w:left w:val="single" w:sz="4" w:space="0" w:color="auto"/>
              <w:bottom w:val="single" w:sz="4" w:space="0" w:color="000000"/>
              <w:right w:val="single" w:sz="4" w:space="0" w:color="000000"/>
            </w:tcBorders>
          </w:tcPr>
          <w:p w:rsidR="00B40674" w:rsidRPr="00BD7CEA" w:rsidRDefault="00B40674" w:rsidP="005204B6">
            <w:pPr>
              <w:pStyle w:val="ColorfulList-Accent11"/>
              <w:spacing w:line="276" w:lineRule="auto"/>
              <w:ind w:left="540"/>
              <w:jc w:val="center"/>
              <w:rPr>
                <w:rFonts w:ascii="Tahoma" w:hAnsi="Tahoma" w:cs="Tahoma"/>
                <w:color w:val="000000"/>
                <w:sz w:val="18"/>
                <w:szCs w:val="20"/>
              </w:rPr>
            </w:pPr>
            <w:r w:rsidRPr="00BD7CEA">
              <w:rPr>
                <w:rFonts w:ascii="Tahoma" w:hAnsi="Tahoma" w:cs="Tahoma"/>
                <w:color w:val="000000"/>
                <w:sz w:val="18"/>
                <w:szCs w:val="20"/>
              </w:rPr>
              <w:t>Singapore</w:t>
            </w:r>
          </w:p>
        </w:tc>
      </w:tr>
      <w:tr w:rsidR="00781A60" w:rsidRPr="00BD7CE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BD7CEA" w:rsidRDefault="00781A60" w:rsidP="005204B6">
            <w:pPr>
              <w:jc w:val="center"/>
              <w:rPr>
                <w:rFonts w:cs="Arial"/>
              </w:rPr>
            </w:pPr>
            <w:r w:rsidRPr="00BD7CEA">
              <w:rPr>
                <w:rFonts w:cs="Arial"/>
              </w:rPr>
              <w:t>Trinidad e Tobago</w:t>
            </w:r>
          </w:p>
        </w:tc>
        <w:tc>
          <w:tcPr>
            <w:tcW w:w="2670" w:type="dxa"/>
            <w:tcBorders>
              <w:top w:val="single" w:sz="4" w:space="0" w:color="000000"/>
              <w:left w:val="nil"/>
              <w:bottom w:val="single" w:sz="4" w:space="0" w:color="000000"/>
              <w:right w:val="single" w:sz="4" w:space="0" w:color="auto"/>
            </w:tcBorders>
          </w:tcPr>
          <w:p w:rsidR="00781A60" w:rsidRPr="00BD7CEA" w:rsidRDefault="00781A60" w:rsidP="005204B6">
            <w:pPr>
              <w:pStyle w:val="ColorfulList-Accent11"/>
              <w:spacing w:line="276" w:lineRule="auto"/>
              <w:ind w:left="0"/>
              <w:jc w:val="center"/>
              <w:rPr>
                <w:rFonts w:ascii="Tahoma" w:hAnsi="Tahoma" w:cs="Tahoma"/>
                <w:color w:val="000000"/>
                <w:sz w:val="18"/>
                <w:szCs w:val="18"/>
              </w:rPr>
            </w:pPr>
            <w:r w:rsidRPr="00BD7CEA">
              <w:rPr>
                <w:rFonts w:ascii="Tahoma" w:hAnsi="Tahoma" w:cs="Tahoma"/>
                <w:sz w:val="18"/>
                <w:szCs w:val="18"/>
              </w:rPr>
              <w:t>Grecia</w:t>
            </w:r>
          </w:p>
        </w:tc>
        <w:tc>
          <w:tcPr>
            <w:tcW w:w="2670" w:type="dxa"/>
            <w:tcBorders>
              <w:top w:val="single" w:sz="4" w:space="0" w:color="000000"/>
              <w:left w:val="single" w:sz="4" w:space="0" w:color="auto"/>
              <w:bottom w:val="single" w:sz="4" w:space="0" w:color="000000"/>
              <w:right w:val="single" w:sz="4" w:space="0" w:color="000000"/>
            </w:tcBorders>
          </w:tcPr>
          <w:p w:rsidR="00781A60" w:rsidRPr="00BD7CEA" w:rsidRDefault="00781A60" w:rsidP="005204B6">
            <w:pPr>
              <w:pStyle w:val="ColorfulList-Accent11"/>
              <w:spacing w:line="276" w:lineRule="auto"/>
              <w:ind w:left="540"/>
              <w:jc w:val="center"/>
              <w:rPr>
                <w:rFonts w:ascii="Tahoma" w:hAnsi="Tahoma" w:cs="Tahoma"/>
                <w:color w:val="000000"/>
                <w:sz w:val="18"/>
                <w:szCs w:val="20"/>
              </w:rPr>
            </w:pPr>
          </w:p>
        </w:tc>
      </w:tr>
      <w:tr w:rsidR="00781A60" w:rsidRPr="00BD7CE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BD7CEA" w:rsidRDefault="00781A60" w:rsidP="005204B6">
            <w:pPr>
              <w:jc w:val="center"/>
              <w:rPr>
                <w:rFonts w:cs="Arial"/>
              </w:rPr>
            </w:pPr>
            <w:r w:rsidRPr="00BD7CEA">
              <w:rPr>
                <w:rFonts w:cs="Arial"/>
              </w:rPr>
              <w:t>Stati Uniti</w:t>
            </w:r>
          </w:p>
        </w:tc>
        <w:tc>
          <w:tcPr>
            <w:tcW w:w="2670" w:type="dxa"/>
            <w:tcBorders>
              <w:top w:val="single" w:sz="4" w:space="0" w:color="000000"/>
              <w:left w:val="nil"/>
              <w:bottom w:val="single" w:sz="4" w:space="0" w:color="000000"/>
              <w:right w:val="single" w:sz="4" w:space="0" w:color="auto"/>
            </w:tcBorders>
          </w:tcPr>
          <w:p w:rsidR="00781A60" w:rsidRPr="00BD7CEA" w:rsidRDefault="00781A60" w:rsidP="005204B6">
            <w:pPr>
              <w:pStyle w:val="ColorfulList-Accent11"/>
              <w:spacing w:line="276" w:lineRule="auto"/>
              <w:ind w:left="0"/>
              <w:jc w:val="center"/>
              <w:rPr>
                <w:rFonts w:ascii="Tahoma" w:hAnsi="Tahoma" w:cs="Tahoma"/>
                <w:color w:val="000000"/>
                <w:sz w:val="18"/>
                <w:szCs w:val="18"/>
              </w:rPr>
            </w:pPr>
            <w:r w:rsidRPr="00BD7CEA">
              <w:rPr>
                <w:rFonts w:ascii="Tahoma" w:hAnsi="Tahoma" w:cs="Tahoma"/>
                <w:sz w:val="18"/>
                <w:szCs w:val="18"/>
              </w:rPr>
              <w:t>Ungheria</w:t>
            </w:r>
          </w:p>
        </w:tc>
        <w:tc>
          <w:tcPr>
            <w:tcW w:w="2670" w:type="dxa"/>
            <w:tcBorders>
              <w:top w:val="single" w:sz="4" w:space="0" w:color="000000"/>
              <w:left w:val="single" w:sz="4" w:space="0" w:color="auto"/>
              <w:bottom w:val="single" w:sz="4" w:space="0" w:color="000000"/>
              <w:right w:val="single" w:sz="4" w:space="0" w:color="000000"/>
            </w:tcBorders>
          </w:tcPr>
          <w:p w:rsidR="00781A60" w:rsidRPr="00BD7CEA" w:rsidRDefault="00781A60" w:rsidP="005204B6">
            <w:pPr>
              <w:pStyle w:val="ColorfulList-Accent11"/>
              <w:spacing w:line="276" w:lineRule="auto"/>
              <w:ind w:left="540"/>
              <w:jc w:val="center"/>
              <w:rPr>
                <w:rFonts w:ascii="Tahoma" w:hAnsi="Tahoma" w:cs="Tahoma"/>
                <w:color w:val="000000"/>
                <w:sz w:val="18"/>
                <w:szCs w:val="20"/>
              </w:rPr>
            </w:pPr>
          </w:p>
        </w:tc>
      </w:tr>
      <w:tr w:rsidR="00781A60" w:rsidRPr="00BD7CE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BD7CEA" w:rsidRDefault="00781A60" w:rsidP="005204B6">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BD7CEA" w:rsidRDefault="00781A60" w:rsidP="005204B6">
            <w:pPr>
              <w:pStyle w:val="ColorfulList-Accent11"/>
              <w:spacing w:line="276" w:lineRule="auto"/>
              <w:ind w:left="0"/>
              <w:jc w:val="center"/>
              <w:rPr>
                <w:rFonts w:ascii="Tahoma" w:hAnsi="Tahoma" w:cs="Tahoma"/>
                <w:sz w:val="18"/>
                <w:szCs w:val="18"/>
              </w:rPr>
            </w:pPr>
            <w:r w:rsidRPr="00BD7CEA">
              <w:rPr>
                <w:rFonts w:ascii="Tahoma" w:hAnsi="Tahoma" w:cs="Tahoma"/>
                <w:sz w:val="18"/>
                <w:szCs w:val="18"/>
              </w:rPr>
              <w:t>Irlanda</w:t>
            </w:r>
          </w:p>
        </w:tc>
        <w:tc>
          <w:tcPr>
            <w:tcW w:w="2670" w:type="dxa"/>
            <w:tcBorders>
              <w:top w:val="single" w:sz="4" w:space="0" w:color="000000"/>
              <w:left w:val="single" w:sz="4" w:space="0" w:color="auto"/>
              <w:bottom w:val="single" w:sz="4" w:space="0" w:color="000000"/>
              <w:right w:val="single" w:sz="4" w:space="0" w:color="000000"/>
            </w:tcBorders>
          </w:tcPr>
          <w:p w:rsidR="00781A60" w:rsidRPr="00BD7CEA" w:rsidRDefault="00781A60" w:rsidP="005204B6">
            <w:pPr>
              <w:pStyle w:val="ColorfulList-Accent11"/>
              <w:spacing w:line="276" w:lineRule="auto"/>
              <w:ind w:left="540"/>
              <w:jc w:val="center"/>
              <w:rPr>
                <w:rFonts w:ascii="Tahoma" w:hAnsi="Tahoma" w:cs="Tahoma"/>
                <w:color w:val="000000"/>
                <w:sz w:val="18"/>
                <w:szCs w:val="20"/>
              </w:rPr>
            </w:pPr>
          </w:p>
        </w:tc>
      </w:tr>
      <w:tr w:rsidR="00781A60" w:rsidRPr="00BD7CE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BD7CEA" w:rsidRDefault="00781A60" w:rsidP="005204B6">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BD7CEA" w:rsidRDefault="00781A60" w:rsidP="005204B6">
            <w:pPr>
              <w:pStyle w:val="ColorfulList-Accent11"/>
              <w:spacing w:line="276" w:lineRule="auto"/>
              <w:ind w:left="0"/>
              <w:jc w:val="center"/>
              <w:rPr>
                <w:rFonts w:ascii="Tahoma" w:hAnsi="Tahoma" w:cs="Tahoma"/>
                <w:sz w:val="18"/>
                <w:szCs w:val="18"/>
              </w:rPr>
            </w:pPr>
            <w:r w:rsidRPr="00BD7CEA">
              <w:rPr>
                <w:rFonts w:ascii="Tahoma" w:hAnsi="Tahoma" w:cs="Tahoma"/>
                <w:sz w:val="18"/>
                <w:szCs w:val="18"/>
              </w:rPr>
              <w:t>Israele</w:t>
            </w:r>
          </w:p>
        </w:tc>
        <w:tc>
          <w:tcPr>
            <w:tcW w:w="2670" w:type="dxa"/>
            <w:tcBorders>
              <w:top w:val="single" w:sz="4" w:space="0" w:color="000000"/>
              <w:left w:val="single" w:sz="4" w:space="0" w:color="auto"/>
              <w:bottom w:val="single" w:sz="4" w:space="0" w:color="000000"/>
              <w:right w:val="single" w:sz="4" w:space="0" w:color="000000"/>
            </w:tcBorders>
          </w:tcPr>
          <w:p w:rsidR="00781A60" w:rsidRPr="00BD7CEA" w:rsidRDefault="00781A60" w:rsidP="005204B6">
            <w:pPr>
              <w:pStyle w:val="ColorfulList-Accent11"/>
              <w:spacing w:line="276" w:lineRule="auto"/>
              <w:ind w:left="540"/>
              <w:jc w:val="center"/>
              <w:rPr>
                <w:rFonts w:ascii="Tahoma" w:hAnsi="Tahoma" w:cs="Tahoma"/>
                <w:color w:val="000000"/>
                <w:sz w:val="18"/>
                <w:szCs w:val="20"/>
              </w:rPr>
            </w:pPr>
          </w:p>
        </w:tc>
      </w:tr>
      <w:tr w:rsidR="00781A60" w:rsidRPr="00BD7CE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BD7CEA" w:rsidRDefault="00781A60" w:rsidP="005204B6">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BD7CEA" w:rsidRDefault="00781A60" w:rsidP="005204B6">
            <w:pPr>
              <w:pStyle w:val="ColorfulList-Accent11"/>
              <w:spacing w:line="276" w:lineRule="auto"/>
              <w:ind w:left="0"/>
              <w:jc w:val="center"/>
              <w:rPr>
                <w:rFonts w:ascii="Tahoma" w:hAnsi="Tahoma" w:cs="Tahoma"/>
                <w:sz w:val="18"/>
                <w:szCs w:val="18"/>
              </w:rPr>
            </w:pPr>
            <w:r w:rsidRPr="00BD7CEA">
              <w:rPr>
                <w:rFonts w:ascii="Tahoma" w:hAnsi="Tahoma" w:cs="Tahoma"/>
                <w:sz w:val="18"/>
                <w:szCs w:val="18"/>
              </w:rPr>
              <w:t>Italia</w:t>
            </w:r>
          </w:p>
        </w:tc>
        <w:tc>
          <w:tcPr>
            <w:tcW w:w="2670" w:type="dxa"/>
            <w:tcBorders>
              <w:top w:val="single" w:sz="4" w:space="0" w:color="000000"/>
              <w:left w:val="single" w:sz="4" w:space="0" w:color="auto"/>
              <w:bottom w:val="single" w:sz="4" w:space="0" w:color="000000"/>
              <w:right w:val="single" w:sz="4" w:space="0" w:color="000000"/>
            </w:tcBorders>
          </w:tcPr>
          <w:p w:rsidR="00781A60" w:rsidRPr="00BD7CEA" w:rsidRDefault="00781A60" w:rsidP="005204B6">
            <w:pPr>
              <w:pStyle w:val="ColorfulList-Accent11"/>
              <w:spacing w:line="276" w:lineRule="auto"/>
              <w:ind w:left="540"/>
              <w:jc w:val="center"/>
              <w:rPr>
                <w:rFonts w:ascii="Tahoma" w:hAnsi="Tahoma" w:cs="Tahoma"/>
                <w:color w:val="000000"/>
                <w:sz w:val="18"/>
                <w:szCs w:val="20"/>
              </w:rPr>
            </w:pPr>
          </w:p>
        </w:tc>
      </w:tr>
      <w:tr w:rsidR="00781A60" w:rsidRPr="00BD7CE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BD7CEA" w:rsidRDefault="00781A60" w:rsidP="005204B6">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BD7CEA" w:rsidRDefault="00781A60" w:rsidP="005204B6">
            <w:pPr>
              <w:pStyle w:val="ColorfulList-Accent11"/>
              <w:spacing w:line="276" w:lineRule="auto"/>
              <w:ind w:left="0"/>
              <w:jc w:val="center"/>
              <w:rPr>
                <w:rFonts w:ascii="Tahoma" w:hAnsi="Tahoma" w:cs="Tahoma"/>
                <w:sz w:val="18"/>
                <w:szCs w:val="18"/>
              </w:rPr>
            </w:pPr>
            <w:r w:rsidRPr="00BD7CEA">
              <w:rPr>
                <w:rFonts w:ascii="Tahoma" w:hAnsi="Tahoma" w:cs="Tahoma"/>
                <w:sz w:val="18"/>
                <w:szCs w:val="18"/>
              </w:rPr>
              <w:t>Lussemburgo</w:t>
            </w:r>
          </w:p>
        </w:tc>
        <w:tc>
          <w:tcPr>
            <w:tcW w:w="2670" w:type="dxa"/>
            <w:tcBorders>
              <w:top w:val="single" w:sz="4" w:space="0" w:color="000000"/>
              <w:left w:val="single" w:sz="4" w:space="0" w:color="auto"/>
              <w:bottom w:val="single" w:sz="4" w:space="0" w:color="000000"/>
              <w:right w:val="single" w:sz="4" w:space="0" w:color="000000"/>
            </w:tcBorders>
          </w:tcPr>
          <w:p w:rsidR="00781A60" w:rsidRPr="00BD7CEA" w:rsidRDefault="00781A60" w:rsidP="005204B6">
            <w:pPr>
              <w:pStyle w:val="ColorfulList-Accent11"/>
              <w:spacing w:line="276" w:lineRule="auto"/>
              <w:ind w:left="540"/>
              <w:jc w:val="center"/>
              <w:rPr>
                <w:rFonts w:ascii="Tahoma" w:hAnsi="Tahoma" w:cs="Tahoma"/>
                <w:color w:val="000000"/>
                <w:sz w:val="18"/>
                <w:szCs w:val="20"/>
              </w:rPr>
            </w:pPr>
          </w:p>
        </w:tc>
      </w:tr>
      <w:tr w:rsidR="00781A60" w:rsidRPr="00BD7CE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BD7CEA" w:rsidRDefault="00781A60" w:rsidP="005204B6">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BD7CEA" w:rsidRDefault="00781A60" w:rsidP="005204B6">
            <w:pPr>
              <w:pStyle w:val="ColorfulList-Accent11"/>
              <w:spacing w:line="276" w:lineRule="auto"/>
              <w:ind w:left="0"/>
              <w:jc w:val="center"/>
              <w:rPr>
                <w:rFonts w:ascii="Tahoma" w:hAnsi="Tahoma" w:cs="Tahoma"/>
                <w:sz w:val="18"/>
                <w:szCs w:val="18"/>
              </w:rPr>
            </w:pPr>
            <w:r w:rsidRPr="00BD7CEA">
              <w:rPr>
                <w:rFonts w:ascii="Tahoma" w:hAnsi="Tahoma" w:cs="Tahoma"/>
                <w:sz w:val="18"/>
                <w:szCs w:val="18"/>
              </w:rPr>
              <w:t>Paesi Bassi</w:t>
            </w:r>
          </w:p>
        </w:tc>
        <w:tc>
          <w:tcPr>
            <w:tcW w:w="2670" w:type="dxa"/>
            <w:tcBorders>
              <w:top w:val="single" w:sz="4" w:space="0" w:color="000000"/>
              <w:left w:val="single" w:sz="4" w:space="0" w:color="auto"/>
              <w:bottom w:val="single" w:sz="4" w:space="0" w:color="000000"/>
              <w:right w:val="single" w:sz="4" w:space="0" w:color="000000"/>
            </w:tcBorders>
          </w:tcPr>
          <w:p w:rsidR="00781A60" w:rsidRPr="00BD7CEA" w:rsidRDefault="00781A60" w:rsidP="005204B6">
            <w:pPr>
              <w:pStyle w:val="ColorfulList-Accent11"/>
              <w:spacing w:line="276" w:lineRule="auto"/>
              <w:ind w:left="540"/>
              <w:jc w:val="center"/>
              <w:rPr>
                <w:rFonts w:ascii="Tahoma" w:hAnsi="Tahoma" w:cs="Tahoma"/>
                <w:color w:val="000000"/>
                <w:sz w:val="18"/>
                <w:szCs w:val="20"/>
              </w:rPr>
            </w:pPr>
          </w:p>
        </w:tc>
      </w:tr>
      <w:tr w:rsidR="00781A60" w:rsidRPr="00BD7CE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BD7CEA" w:rsidRDefault="00781A60" w:rsidP="005204B6">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BD7CEA" w:rsidRDefault="00781A60" w:rsidP="005204B6">
            <w:pPr>
              <w:pStyle w:val="ColorfulList-Accent11"/>
              <w:spacing w:line="276" w:lineRule="auto"/>
              <w:ind w:left="0"/>
              <w:jc w:val="center"/>
              <w:rPr>
                <w:rFonts w:ascii="Tahoma" w:hAnsi="Tahoma" w:cs="Tahoma"/>
                <w:sz w:val="18"/>
                <w:szCs w:val="18"/>
              </w:rPr>
            </w:pPr>
            <w:r w:rsidRPr="00BD7CEA">
              <w:rPr>
                <w:rFonts w:ascii="Tahoma" w:hAnsi="Tahoma" w:cs="Tahoma"/>
                <w:sz w:val="18"/>
                <w:szCs w:val="18"/>
              </w:rPr>
              <w:t>Norvegia</w:t>
            </w:r>
          </w:p>
        </w:tc>
        <w:tc>
          <w:tcPr>
            <w:tcW w:w="2670" w:type="dxa"/>
            <w:tcBorders>
              <w:top w:val="single" w:sz="4" w:space="0" w:color="000000"/>
              <w:left w:val="single" w:sz="4" w:space="0" w:color="auto"/>
              <w:bottom w:val="single" w:sz="4" w:space="0" w:color="000000"/>
              <w:right w:val="single" w:sz="4" w:space="0" w:color="000000"/>
            </w:tcBorders>
          </w:tcPr>
          <w:p w:rsidR="00781A60" w:rsidRPr="00BD7CEA" w:rsidRDefault="00781A60" w:rsidP="005204B6">
            <w:pPr>
              <w:pStyle w:val="ColorfulList-Accent11"/>
              <w:spacing w:line="276" w:lineRule="auto"/>
              <w:ind w:left="540"/>
              <w:jc w:val="center"/>
              <w:rPr>
                <w:rFonts w:ascii="Tahoma" w:hAnsi="Tahoma" w:cs="Tahoma"/>
                <w:color w:val="000000"/>
                <w:sz w:val="18"/>
                <w:szCs w:val="20"/>
              </w:rPr>
            </w:pPr>
          </w:p>
        </w:tc>
      </w:tr>
      <w:tr w:rsidR="00781A60" w:rsidRPr="00BD7CE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BD7CEA" w:rsidRDefault="00781A60" w:rsidP="005204B6">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BD7CEA" w:rsidRDefault="00781A60" w:rsidP="005204B6">
            <w:pPr>
              <w:pStyle w:val="ColorfulList-Accent11"/>
              <w:spacing w:line="276" w:lineRule="auto"/>
              <w:ind w:left="0"/>
              <w:jc w:val="center"/>
              <w:rPr>
                <w:rFonts w:ascii="Tahoma" w:hAnsi="Tahoma" w:cs="Tahoma"/>
                <w:sz w:val="18"/>
                <w:szCs w:val="18"/>
              </w:rPr>
            </w:pPr>
            <w:r w:rsidRPr="00BD7CEA">
              <w:rPr>
                <w:rFonts w:ascii="Tahoma" w:hAnsi="Tahoma" w:cs="Tahoma"/>
                <w:sz w:val="18"/>
                <w:szCs w:val="18"/>
              </w:rPr>
              <w:t>Polonia</w:t>
            </w:r>
          </w:p>
        </w:tc>
        <w:tc>
          <w:tcPr>
            <w:tcW w:w="2670" w:type="dxa"/>
            <w:tcBorders>
              <w:top w:val="single" w:sz="4" w:space="0" w:color="000000"/>
              <w:left w:val="single" w:sz="4" w:space="0" w:color="auto"/>
              <w:bottom w:val="single" w:sz="4" w:space="0" w:color="000000"/>
              <w:right w:val="single" w:sz="4" w:space="0" w:color="000000"/>
            </w:tcBorders>
          </w:tcPr>
          <w:p w:rsidR="00781A60" w:rsidRPr="00BD7CEA" w:rsidRDefault="00781A60" w:rsidP="005204B6">
            <w:pPr>
              <w:pStyle w:val="ColorfulList-Accent11"/>
              <w:spacing w:line="276" w:lineRule="auto"/>
              <w:ind w:left="540"/>
              <w:jc w:val="center"/>
              <w:rPr>
                <w:rFonts w:ascii="Tahoma" w:hAnsi="Tahoma" w:cs="Tahoma"/>
                <w:color w:val="000000"/>
                <w:sz w:val="18"/>
                <w:szCs w:val="20"/>
              </w:rPr>
            </w:pPr>
          </w:p>
        </w:tc>
      </w:tr>
      <w:tr w:rsidR="00781A60" w:rsidRPr="00BD7CE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BD7CEA" w:rsidRDefault="00781A60" w:rsidP="005204B6">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BD7CEA" w:rsidRDefault="00781A60" w:rsidP="005204B6">
            <w:pPr>
              <w:pStyle w:val="ColorfulList-Accent11"/>
              <w:spacing w:line="276" w:lineRule="auto"/>
              <w:ind w:left="0"/>
              <w:jc w:val="center"/>
              <w:rPr>
                <w:rFonts w:ascii="Tahoma" w:hAnsi="Tahoma" w:cs="Tahoma"/>
                <w:sz w:val="18"/>
                <w:szCs w:val="18"/>
              </w:rPr>
            </w:pPr>
            <w:r w:rsidRPr="00BD7CEA">
              <w:rPr>
                <w:rFonts w:ascii="Tahoma" w:hAnsi="Tahoma" w:cs="Tahoma"/>
                <w:sz w:val="18"/>
                <w:szCs w:val="18"/>
              </w:rPr>
              <w:t>Portogallo</w:t>
            </w:r>
          </w:p>
        </w:tc>
        <w:tc>
          <w:tcPr>
            <w:tcW w:w="2670" w:type="dxa"/>
            <w:tcBorders>
              <w:top w:val="single" w:sz="4" w:space="0" w:color="000000"/>
              <w:left w:val="single" w:sz="4" w:space="0" w:color="auto"/>
              <w:bottom w:val="single" w:sz="4" w:space="0" w:color="000000"/>
              <w:right w:val="single" w:sz="4" w:space="0" w:color="000000"/>
            </w:tcBorders>
          </w:tcPr>
          <w:p w:rsidR="00781A60" w:rsidRPr="00BD7CEA" w:rsidRDefault="00781A60" w:rsidP="005204B6">
            <w:pPr>
              <w:pStyle w:val="ColorfulList-Accent11"/>
              <w:spacing w:line="276" w:lineRule="auto"/>
              <w:ind w:left="540"/>
              <w:jc w:val="center"/>
              <w:rPr>
                <w:rFonts w:ascii="Tahoma" w:hAnsi="Tahoma" w:cs="Tahoma"/>
                <w:color w:val="000000"/>
                <w:sz w:val="18"/>
                <w:szCs w:val="20"/>
              </w:rPr>
            </w:pPr>
          </w:p>
        </w:tc>
      </w:tr>
      <w:tr w:rsidR="00781A60" w:rsidRPr="00BD7CE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BD7CEA" w:rsidRDefault="00781A60" w:rsidP="005204B6">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BD7CEA" w:rsidRDefault="00781A60" w:rsidP="005204B6">
            <w:pPr>
              <w:pStyle w:val="ColorfulList-Accent11"/>
              <w:spacing w:line="276" w:lineRule="auto"/>
              <w:ind w:left="0"/>
              <w:jc w:val="center"/>
              <w:rPr>
                <w:rFonts w:ascii="Tahoma" w:hAnsi="Tahoma" w:cs="Tahoma"/>
                <w:sz w:val="18"/>
                <w:szCs w:val="18"/>
              </w:rPr>
            </w:pPr>
            <w:r w:rsidRPr="00BD7CEA">
              <w:rPr>
                <w:rFonts w:ascii="Tahoma" w:hAnsi="Tahoma" w:cs="Tahoma"/>
                <w:sz w:val="18"/>
                <w:szCs w:val="18"/>
              </w:rPr>
              <w:t>Romania</w:t>
            </w:r>
          </w:p>
        </w:tc>
        <w:tc>
          <w:tcPr>
            <w:tcW w:w="2670" w:type="dxa"/>
            <w:tcBorders>
              <w:top w:val="single" w:sz="4" w:space="0" w:color="000000"/>
              <w:left w:val="single" w:sz="4" w:space="0" w:color="auto"/>
              <w:bottom w:val="single" w:sz="4" w:space="0" w:color="000000"/>
              <w:right w:val="single" w:sz="4" w:space="0" w:color="000000"/>
            </w:tcBorders>
          </w:tcPr>
          <w:p w:rsidR="00781A60" w:rsidRPr="00BD7CEA" w:rsidRDefault="00781A60" w:rsidP="005204B6">
            <w:pPr>
              <w:pStyle w:val="ColorfulList-Accent11"/>
              <w:spacing w:line="276" w:lineRule="auto"/>
              <w:ind w:left="540"/>
              <w:jc w:val="center"/>
              <w:rPr>
                <w:rFonts w:ascii="Tahoma" w:hAnsi="Tahoma" w:cs="Tahoma"/>
                <w:color w:val="000000"/>
                <w:sz w:val="18"/>
                <w:szCs w:val="20"/>
              </w:rPr>
            </w:pPr>
          </w:p>
        </w:tc>
      </w:tr>
      <w:tr w:rsidR="005204B6" w:rsidRPr="00BD7CEA" w:rsidTr="001126D7">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5204B6" w:rsidRPr="00BD7CEA" w:rsidRDefault="005204B6" w:rsidP="001126D7">
            <w:pPr>
              <w:jc w:val="center"/>
              <w:rPr>
                <w:rFonts w:cs="Tahoma"/>
                <w:b/>
                <w:bCs/>
                <w:szCs w:val="20"/>
              </w:rPr>
            </w:pPr>
            <w:r w:rsidRPr="00BD7CEA">
              <w:rPr>
                <w:rFonts w:cs="Tahoma"/>
                <w:b/>
                <w:bCs/>
                <w:szCs w:val="20"/>
              </w:rPr>
              <w:lastRenderedPageBreak/>
              <w:t>Americhe</w:t>
            </w:r>
          </w:p>
        </w:tc>
        <w:tc>
          <w:tcPr>
            <w:tcW w:w="2670" w:type="dxa"/>
            <w:tcBorders>
              <w:top w:val="single" w:sz="8" w:space="0" w:color="000000"/>
              <w:left w:val="nil"/>
              <w:bottom w:val="single" w:sz="8" w:space="0" w:color="000000"/>
              <w:right w:val="single" w:sz="4" w:space="0" w:color="auto"/>
            </w:tcBorders>
            <w:shd w:val="clear" w:color="auto" w:fill="FABF8F"/>
          </w:tcPr>
          <w:p w:rsidR="005204B6" w:rsidRPr="00BD7CEA" w:rsidRDefault="005204B6" w:rsidP="001126D7">
            <w:pPr>
              <w:jc w:val="center"/>
              <w:rPr>
                <w:rFonts w:cs="Tahoma"/>
                <w:b/>
                <w:bCs/>
                <w:szCs w:val="20"/>
              </w:rPr>
            </w:pPr>
            <w:r w:rsidRPr="00BD7CEA">
              <w:rPr>
                <w:rFonts w:cs="Tahoma"/>
                <w:b/>
                <w:bCs/>
                <w:szCs w:val="20"/>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5204B6" w:rsidRPr="00BD7CEA" w:rsidRDefault="005204B6" w:rsidP="001126D7">
            <w:pPr>
              <w:jc w:val="center"/>
              <w:rPr>
                <w:rFonts w:cs="Tahoma"/>
                <w:b/>
                <w:bCs/>
                <w:szCs w:val="20"/>
              </w:rPr>
            </w:pPr>
            <w:r w:rsidRPr="00BD7CEA">
              <w:rPr>
                <w:rFonts w:cs="Tahoma"/>
                <w:b/>
                <w:bCs/>
                <w:szCs w:val="20"/>
              </w:rPr>
              <w:t>Asia, Area del Pacifico</w:t>
            </w:r>
          </w:p>
        </w:tc>
      </w:tr>
      <w:tr w:rsidR="00E822D9" w:rsidRPr="00BD7CE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822D9" w:rsidRPr="00BD7CEA" w:rsidRDefault="00E822D9" w:rsidP="005204B6">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E822D9" w:rsidRPr="00BD7CEA" w:rsidRDefault="00E822D9" w:rsidP="005204B6">
            <w:pPr>
              <w:pStyle w:val="ColorfulList-Accent11"/>
              <w:spacing w:line="276" w:lineRule="auto"/>
              <w:ind w:left="0"/>
              <w:jc w:val="center"/>
              <w:rPr>
                <w:rFonts w:ascii="Tahoma" w:hAnsi="Tahoma" w:cs="Tahoma"/>
                <w:sz w:val="18"/>
                <w:szCs w:val="18"/>
              </w:rPr>
            </w:pPr>
            <w:r w:rsidRPr="00BD7CEA">
              <w:rPr>
                <w:rFonts w:ascii="Tahoma" w:hAnsi="Tahoma" w:cs="Tahoma"/>
                <w:sz w:val="18"/>
                <w:szCs w:val="18"/>
              </w:rPr>
              <w:t>Russia</w:t>
            </w:r>
          </w:p>
        </w:tc>
        <w:tc>
          <w:tcPr>
            <w:tcW w:w="2670" w:type="dxa"/>
            <w:tcBorders>
              <w:top w:val="single" w:sz="4" w:space="0" w:color="000000"/>
              <w:left w:val="single" w:sz="4" w:space="0" w:color="auto"/>
              <w:bottom w:val="single" w:sz="4" w:space="0" w:color="000000"/>
              <w:right w:val="single" w:sz="4" w:space="0" w:color="000000"/>
            </w:tcBorders>
          </w:tcPr>
          <w:p w:rsidR="00E822D9" w:rsidRPr="00BD7CEA" w:rsidRDefault="00E822D9" w:rsidP="005204B6">
            <w:pPr>
              <w:pStyle w:val="ColorfulList-Accent11"/>
              <w:spacing w:line="276" w:lineRule="auto"/>
              <w:ind w:left="540"/>
              <w:jc w:val="center"/>
              <w:rPr>
                <w:rFonts w:ascii="Tahoma" w:hAnsi="Tahoma" w:cs="Tahoma"/>
                <w:color w:val="000000"/>
                <w:sz w:val="18"/>
                <w:szCs w:val="20"/>
              </w:rPr>
            </w:pPr>
          </w:p>
        </w:tc>
      </w:tr>
      <w:tr w:rsidR="00781A60" w:rsidRPr="00BD7CE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BD7CEA" w:rsidRDefault="00781A60" w:rsidP="005204B6">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BD7CEA" w:rsidRDefault="00781A60" w:rsidP="005204B6">
            <w:pPr>
              <w:pStyle w:val="ColorfulList-Accent11"/>
              <w:spacing w:line="276" w:lineRule="auto"/>
              <w:ind w:left="0"/>
              <w:jc w:val="center"/>
              <w:rPr>
                <w:rFonts w:ascii="Tahoma" w:hAnsi="Tahoma" w:cs="Tahoma"/>
                <w:sz w:val="18"/>
                <w:szCs w:val="18"/>
              </w:rPr>
            </w:pPr>
            <w:r w:rsidRPr="00BD7CEA">
              <w:rPr>
                <w:rFonts w:ascii="Tahoma" w:hAnsi="Tahoma" w:cs="Tahoma"/>
                <w:sz w:val="18"/>
                <w:szCs w:val="18"/>
              </w:rPr>
              <w:t>Spagna</w:t>
            </w:r>
          </w:p>
        </w:tc>
        <w:tc>
          <w:tcPr>
            <w:tcW w:w="2670" w:type="dxa"/>
            <w:tcBorders>
              <w:top w:val="single" w:sz="4" w:space="0" w:color="000000"/>
              <w:left w:val="single" w:sz="4" w:space="0" w:color="auto"/>
              <w:bottom w:val="single" w:sz="4" w:space="0" w:color="000000"/>
              <w:right w:val="single" w:sz="4" w:space="0" w:color="000000"/>
            </w:tcBorders>
          </w:tcPr>
          <w:p w:rsidR="00781A60" w:rsidRPr="00BD7CEA" w:rsidRDefault="00781A60" w:rsidP="005204B6">
            <w:pPr>
              <w:pStyle w:val="ColorfulList-Accent11"/>
              <w:spacing w:line="276" w:lineRule="auto"/>
              <w:ind w:left="540"/>
              <w:jc w:val="center"/>
              <w:rPr>
                <w:rFonts w:ascii="Tahoma" w:hAnsi="Tahoma" w:cs="Tahoma"/>
                <w:color w:val="000000"/>
                <w:sz w:val="18"/>
                <w:szCs w:val="20"/>
              </w:rPr>
            </w:pPr>
          </w:p>
        </w:tc>
      </w:tr>
      <w:tr w:rsidR="00781A60" w:rsidRPr="00BD7CE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BD7CEA" w:rsidRDefault="00781A60" w:rsidP="005204B6">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BD7CEA" w:rsidRDefault="00781A60" w:rsidP="005204B6">
            <w:pPr>
              <w:pStyle w:val="ColorfulList-Accent11"/>
              <w:spacing w:line="276" w:lineRule="auto"/>
              <w:ind w:left="0"/>
              <w:jc w:val="center"/>
              <w:rPr>
                <w:rFonts w:ascii="Tahoma" w:hAnsi="Tahoma" w:cs="Tahoma"/>
                <w:sz w:val="18"/>
                <w:szCs w:val="18"/>
              </w:rPr>
            </w:pPr>
            <w:r w:rsidRPr="00BD7CEA">
              <w:rPr>
                <w:rFonts w:ascii="Tahoma" w:hAnsi="Tahoma" w:cs="Tahoma"/>
                <w:sz w:val="18"/>
                <w:szCs w:val="18"/>
              </w:rPr>
              <w:t>Svezia</w:t>
            </w:r>
          </w:p>
        </w:tc>
        <w:tc>
          <w:tcPr>
            <w:tcW w:w="2670" w:type="dxa"/>
            <w:tcBorders>
              <w:top w:val="single" w:sz="4" w:space="0" w:color="000000"/>
              <w:left w:val="single" w:sz="4" w:space="0" w:color="auto"/>
              <w:bottom w:val="single" w:sz="4" w:space="0" w:color="000000"/>
              <w:right w:val="single" w:sz="4" w:space="0" w:color="000000"/>
            </w:tcBorders>
          </w:tcPr>
          <w:p w:rsidR="00781A60" w:rsidRPr="00BD7CEA" w:rsidRDefault="00781A60" w:rsidP="005204B6">
            <w:pPr>
              <w:pStyle w:val="ColorfulList-Accent11"/>
              <w:spacing w:line="276" w:lineRule="auto"/>
              <w:ind w:left="540"/>
              <w:jc w:val="center"/>
              <w:rPr>
                <w:rFonts w:ascii="Tahoma" w:hAnsi="Tahoma" w:cs="Tahoma"/>
                <w:color w:val="000000"/>
                <w:sz w:val="18"/>
                <w:szCs w:val="20"/>
              </w:rPr>
            </w:pPr>
          </w:p>
        </w:tc>
      </w:tr>
      <w:tr w:rsidR="00781A60" w:rsidRPr="00BD7CE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BD7CEA" w:rsidRDefault="00781A60" w:rsidP="005204B6">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BD7CEA" w:rsidRDefault="00781A60" w:rsidP="005204B6">
            <w:pPr>
              <w:pStyle w:val="ColorfulList-Accent11"/>
              <w:spacing w:line="276" w:lineRule="auto"/>
              <w:ind w:left="0"/>
              <w:jc w:val="center"/>
              <w:rPr>
                <w:rFonts w:ascii="Tahoma" w:hAnsi="Tahoma" w:cs="Tahoma"/>
                <w:sz w:val="18"/>
                <w:szCs w:val="18"/>
              </w:rPr>
            </w:pPr>
            <w:r w:rsidRPr="00BD7CEA">
              <w:rPr>
                <w:rFonts w:ascii="Tahoma" w:hAnsi="Tahoma" w:cs="Tahoma"/>
                <w:sz w:val="18"/>
                <w:szCs w:val="18"/>
              </w:rPr>
              <w:t>Svizzera</w:t>
            </w:r>
          </w:p>
        </w:tc>
        <w:tc>
          <w:tcPr>
            <w:tcW w:w="2670" w:type="dxa"/>
            <w:tcBorders>
              <w:top w:val="single" w:sz="4" w:space="0" w:color="000000"/>
              <w:left w:val="single" w:sz="4" w:space="0" w:color="auto"/>
              <w:bottom w:val="single" w:sz="4" w:space="0" w:color="000000"/>
              <w:right w:val="single" w:sz="4" w:space="0" w:color="000000"/>
            </w:tcBorders>
          </w:tcPr>
          <w:p w:rsidR="00781A60" w:rsidRPr="00BD7CEA" w:rsidRDefault="00781A60" w:rsidP="005204B6">
            <w:pPr>
              <w:pStyle w:val="ColorfulList-Accent11"/>
              <w:spacing w:line="276" w:lineRule="auto"/>
              <w:ind w:left="540"/>
              <w:jc w:val="center"/>
              <w:rPr>
                <w:rFonts w:ascii="Tahoma" w:hAnsi="Tahoma" w:cs="Tahoma"/>
                <w:color w:val="000000"/>
                <w:sz w:val="18"/>
                <w:szCs w:val="20"/>
              </w:rPr>
            </w:pPr>
          </w:p>
        </w:tc>
      </w:tr>
      <w:tr w:rsidR="00781A60" w:rsidRPr="00BD7CE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BD7CEA" w:rsidRDefault="00781A60" w:rsidP="005204B6">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BD7CEA" w:rsidRDefault="00781A60" w:rsidP="005204B6">
            <w:pPr>
              <w:pStyle w:val="ColorfulList-Accent11"/>
              <w:spacing w:line="276" w:lineRule="auto"/>
              <w:ind w:left="0"/>
              <w:jc w:val="center"/>
              <w:rPr>
                <w:rFonts w:ascii="Tahoma" w:hAnsi="Tahoma" w:cs="Tahoma"/>
                <w:sz w:val="18"/>
                <w:szCs w:val="18"/>
              </w:rPr>
            </w:pPr>
            <w:r w:rsidRPr="00BD7CEA">
              <w:rPr>
                <w:rFonts w:ascii="Tahoma" w:hAnsi="Tahoma" w:cs="Tahoma"/>
                <w:sz w:val="18"/>
                <w:szCs w:val="18"/>
              </w:rPr>
              <w:t>Regno Unito</w:t>
            </w:r>
          </w:p>
        </w:tc>
        <w:tc>
          <w:tcPr>
            <w:tcW w:w="2670" w:type="dxa"/>
            <w:tcBorders>
              <w:top w:val="single" w:sz="4" w:space="0" w:color="000000"/>
              <w:left w:val="single" w:sz="4" w:space="0" w:color="auto"/>
              <w:bottom w:val="single" w:sz="4" w:space="0" w:color="000000"/>
              <w:right w:val="single" w:sz="4" w:space="0" w:color="000000"/>
            </w:tcBorders>
          </w:tcPr>
          <w:p w:rsidR="00781A60" w:rsidRPr="00BD7CEA" w:rsidRDefault="00781A60" w:rsidP="005204B6">
            <w:pPr>
              <w:pStyle w:val="ColorfulList-Accent11"/>
              <w:spacing w:line="276" w:lineRule="auto"/>
              <w:ind w:left="540"/>
              <w:jc w:val="center"/>
              <w:rPr>
                <w:rFonts w:ascii="Tahoma" w:hAnsi="Tahoma" w:cs="Tahoma"/>
                <w:color w:val="000000"/>
                <w:sz w:val="18"/>
                <w:szCs w:val="20"/>
              </w:rPr>
            </w:pPr>
          </w:p>
        </w:tc>
      </w:tr>
    </w:tbl>
    <w:p w:rsidR="00D47417" w:rsidRPr="00BD7CEA" w:rsidRDefault="00D47417" w:rsidP="0040633A">
      <w:pPr>
        <w:ind w:left="540"/>
      </w:pPr>
    </w:p>
    <w:p w:rsidR="00D47417" w:rsidRPr="00BD7CEA" w:rsidRDefault="00D47417" w:rsidP="0040633A">
      <w:pPr>
        <w:ind w:left="540"/>
      </w:pPr>
    </w:p>
    <w:p w:rsidR="0040633A" w:rsidRPr="00BD7CEA" w:rsidRDefault="0040633A" w:rsidP="00857EF7">
      <w:pPr>
        <w:spacing w:after="60"/>
        <w:ind w:left="720"/>
      </w:pPr>
      <w:r w:rsidRPr="00BD7CEA">
        <w:rPr>
          <w:rFonts w:cs="Tahoma"/>
          <w:b/>
          <w:bCs/>
          <w:color w:val="000000"/>
          <w:szCs w:val="18"/>
        </w:rPr>
        <w:t>Contratto Campus e School</w:t>
      </w:r>
    </w:p>
    <w:p w:rsidR="00532ABF" w:rsidRPr="00BD7CEA" w:rsidRDefault="0040633A" w:rsidP="005614CA">
      <w:pPr>
        <w:ind w:left="720"/>
      </w:pPr>
      <w:r w:rsidRPr="00BD7CEA">
        <w:rPr>
          <w:rFonts w:cs="Tahoma"/>
          <w:color w:val="000000"/>
          <w:szCs w:val="18"/>
        </w:rPr>
        <w:t>Le licenze “Subscription” per Dynamics CRM online vendute nel quadro del contratto CASA possono essere acquistate per l</w:t>
      </w:r>
      <w:r w:rsidR="007A1415" w:rsidRPr="00BD7CEA">
        <w:rPr>
          <w:rFonts w:cs="Tahoma"/>
          <w:color w:val="000000"/>
          <w:szCs w:val="18"/>
        </w:rPr>
        <w:t>’</w:t>
      </w:r>
      <w:r w:rsidRPr="00BD7CEA">
        <w:rPr>
          <w:rFonts w:cs="Tahoma"/>
          <w:color w:val="000000"/>
          <w:szCs w:val="18"/>
        </w:rPr>
        <w:t>intero Istituto oppure non per l</w:t>
      </w:r>
      <w:r w:rsidR="007A1415" w:rsidRPr="00BD7CEA">
        <w:rPr>
          <w:rFonts w:cs="Tahoma"/>
          <w:color w:val="000000"/>
          <w:szCs w:val="18"/>
        </w:rPr>
        <w:t>’</w:t>
      </w:r>
      <w:r w:rsidRPr="00BD7CEA">
        <w:rPr>
          <w:rFonts w:cs="Tahoma"/>
          <w:color w:val="000000"/>
          <w:szCs w:val="18"/>
        </w:rPr>
        <w:t>intero Istituto. Le licenze “Subscription” devono essere concesse nella modalità Per Utente. Qualora occorressero Licenze “Subscription” per Utente per accedere a</w:t>
      </w:r>
      <w:r w:rsidR="007E1428" w:rsidRPr="00BD7CEA">
        <w:rPr>
          <w:rFonts w:cs="Tahoma"/>
          <w:color w:val="000000"/>
          <w:szCs w:val="18"/>
        </w:rPr>
        <w:t> </w:t>
      </w:r>
      <w:r w:rsidRPr="00BD7CEA">
        <w:rPr>
          <w:rFonts w:cs="Tahoma"/>
          <w:color w:val="000000"/>
          <w:szCs w:val="18"/>
        </w:rPr>
        <w:t xml:space="preserve">Dynamics CRM, si dovrà ordinare lo stesso numero di Licenze </w:t>
      </w:r>
      <w:bookmarkStart w:id="1220" w:name="Srv_41DuetEnterpriseforOfficeandSAP"/>
      <w:bookmarkStart w:id="1221" w:name="Srv_38EntCALSuite"/>
      <w:r w:rsidRPr="00BD7CEA">
        <w:rPr>
          <w:rFonts w:cs="Tahoma"/>
          <w:color w:val="000000"/>
          <w:szCs w:val="18"/>
        </w:rPr>
        <w:t>“Subscription” per Utente.</w:t>
      </w:r>
    </w:p>
    <w:p w:rsidR="006E28CC" w:rsidRPr="00BD7CEA" w:rsidRDefault="006E28CC" w:rsidP="005614CA">
      <w:pPr>
        <w:ind w:left="720"/>
      </w:pPr>
    </w:p>
    <w:p w:rsidR="006E28CC" w:rsidRPr="00BD7CEA" w:rsidRDefault="006E28CC" w:rsidP="006D6A83">
      <w:pPr>
        <w:spacing w:after="60"/>
        <w:ind w:left="720"/>
      </w:pPr>
      <w:r w:rsidRPr="00BD7CEA">
        <w:rPr>
          <w:b/>
        </w:rPr>
        <w:t>Microsoft Dynamics CRM Online</w:t>
      </w:r>
      <w:r w:rsidR="00FD7C0D">
        <w:rPr>
          <w:b/>
        </w:rPr>
        <w:t xml:space="preserve"> – </w:t>
      </w:r>
      <w:r w:rsidRPr="00BD7CEA">
        <w:rPr>
          <w:b/>
        </w:rPr>
        <w:t>Microsoft Dynamics Marketing Online Integration Grant</w:t>
      </w:r>
    </w:p>
    <w:p w:rsidR="003165D6" w:rsidRPr="00BD7CEA" w:rsidRDefault="006E28CC" w:rsidP="009B3FA2">
      <w:pPr>
        <w:ind w:left="720"/>
      </w:pPr>
      <w:r w:rsidRPr="00BD7CEA">
        <w:t>La rinuncia di licenza che segue si applica agli utenti in possesso della licenza per Microsoft Dynamics Marketing Online con l</w:t>
      </w:r>
      <w:r w:rsidR="007A1415" w:rsidRPr="00BD7CEA">
        <w:t>’</w:t>
      </w:r>
      <w:r w:rsidRPr="00BD7CEA">
        <w:t xml:space="preserve">opzione Maintenance Support and Upgrade attiva che accedono al servizio Microsoft Dynamics CRM Online direttamente o indirettamente tramite il Software </w:t>
      </w:r>
      <w:r w:rsidRPr="00BD7CEA">
        <w:rPr>
          <w:bCs/>
        </w:rPr>
        <w:t xml:space="preserve">MarketingPilot Connector per Microsoft Dynamics CRM </w:t>
      </w:r>
      <w:r w:rsidRPr="00BD7CEA">
        <w:t>al solo scopo di sincronizzare i dati della società. Tali utenti non richiedono una USL per Microsoft Dynamics CRM Online. Tale rinuncia si applica fino al</w:t>
      </w:r>
      <w:r w:rsidRPr="00BD7CEA">
        <w:rPr>
          <w:rFonts w:eastAsia="Calibri"/>
        </w:rPr>
        <w:t xml:space="preserve"> </w:t>
      </w:r>
      <w:r w:rsidRPr="00BD7CEA">
        <w:t>30 giugno 2014. Dopo tale data Microsoft si riserva il diritto di richiedere le USL appropriate.</w:t>
      </w:r>
      <w:bookmarkStart w:id="1222" w:name="Srv_45EntCALBridgeWinIntune"/>
      <w:bookmarkEnd w:id="1220"/>
    </w:p>
    <w:p w:rsidR="0054609D" w:rsidRPr="00BD7CEA" w:rsidRDefault="0054609D" w:rsidP="00101859">
      <w:bookmarkStart w:id="1223" w:name="_41_Duet_Enterprise"/>
      <w:bookmarkEnd w:id="1223"/>
    </w:p>
    <w:p w:rsidR="0054609D" w:rsidRPr="00BD7CEA" w:rsidRDefault="0054609D" w:rsidP="00101859"/>
    <w:p w:rsidR="00162A93" w:rsidRPr="00BD7CEA" w:rsidRDefault="004668D9" w:rsidP="00162A93">
      <w:pPr>
        <w:pStyle w:val="Heading3"/>
        <w:ind w:left="180" w:hanging="180"/>
      </w:pPr>
      <w:bookmarkStart w:id="1224" w:name="_41_Enterprise_CAL"/>
      <w:bookmarkStart w:id="1225" w:name="_43_Enterprise_CAL"/>
      <w:bookmarkStart w:id="1226" w:name="_Toc336338303"/>
      <w:bookmarkStart w:id="1227" w:name="_Toc353376081"/>
      <w:bookmarkEnd w:id="1224"/>
      <w:bookmarkEnd w:id="1225"/>
      <w:r w:rsidRPr="00BD7CEA">
        <w:rPr>
          <w:rFonts w:ascii="Tahoma" w:hAnsi="Tahoma" w:cs="Tahoma"/>
          <w:caps/>
          <w:color w:val="F66400"/>
          <w:sz w:val="22"/>
          <w:vertAlign w:val="superscript"/>
        </w:rPr>
        <w:t xml:space="preserve">43 </w:t>
      </w:r>
      <w:r w:rsidRPr="00BD7CEA">
        <w:rPr>
          <w:rFonts w:ascii="Tahoma" w:hAnsi="Tahoma"/>
          <w:color w:val="F66400"/>
          <w:sz w:val="22"/>
        </w:rPr>
        <w:t>Enterprise CAL Suite Bridge per Office 365, Enterprise CAL Suite Bridge per Office</w:t>
      </w:r>
      <w:r w:rsidR="007E1428" w:rsidRPr="00BD7CEA">
        <w:rPr>
          <w:rFonts w:ascii="Tahoma" w:hAnsi="Tahoma"/>
          <w:color w:val="F66400"/>
          <w:sz w:val="22"/>
        </w:rPr>
        <w:t> </w:t>
      </w:r>
      <w:r w:rsidRPr="00BD7CEA">
        <w:rPr>
          <w:rFonts w:ascii="Tahoma" w:hAnsi="Tahoma"/>
          <w:color w:val="F66400"/>
          <w:sz w:val="22"/>
        </w:rPr>
        <w:t>365 e Windows Intune ed Enterprise CAL Suite Bridge per Windows Intune</w:t>
      </w:r>
      <w:bookmarkEnd w:id="1226"/>
      <w:bookmarkEnd w:id="1227"/>
      <w:r w:rsidRPr="00BD7CEA">
        <w:rPr>
          <w:rFonts w:ascii="Tahoma" w:hAnsi="Tahoma"/>
          <w:color w:val="F66400"/>
          <w:sz w:val="22"/>
        </w:rPr>
        <w:t xml:space="preserve"> </w:t>
      </w:r>
    </w:p>
    <w:p w:rsidR="00BD2BE7" w:rsidRPr="00BD7CEA" w:rsidRDefault="00BD2BE7" w:rsidP="0084072C"/>
    <w:bookmarkEnd w:id="1222"/>
    <w:p w:rsidR="0084072C" w:rsidRPr="00BD7CEA" w:rsidRDefault="00162A93" w:rsidP="0084072C">
      <w:pPr>
        <w:spacing w:after="60"/>
        <w:ind w:left="720"/>
      </w:pPr>
      <w:r w:rsidRPr="00BD7CEA">
        <w:rPr>
          <w:rFonts w:cs="Tahoma"/>
          <w:b/>
          <w:szCs w:val="18"/>
        </w:rPr>
        <w:t>Definizione</w:t>
      </w:r>
    </w:p>
    <w:p w:rsidR="00162A93" w:rsidRPr="00BD7CEA" w:rsidRDefault="00162A93" w:rsidP="0084072C">
      <w:pPr>
        <w:ind w:left="720"/>
      </w:pPr>
      <w:r w:rsidRPr="00BD7CEA">
        <w:rPr>
          <w:rFonts w:cs="Tahoma"/>
          <w:szCs w:val="18"/>
        </w:rPr>
        <w:t>“Transizione” indica la conversione di una Licenza con copertura Software Assurance attiva in una licenza “Subscription” o viceversa.</w:t>
      </w:r>
      <w:r w:rsidR="008D782D" w:rsidRPr="00BD7CEA">
        <w:rPr>
          <w:rFonts w:cs="Tahoma"/>
          <w:szCs w:val="18"/>
        </w:rPr>
        <w:t xml:space="preserve"> </w:t>
      </w:r>
    </w:p>
    <w:p w:rsidR="0084072C" w:rsidRPr="00BD7CEA" w:rsidRDefault="0084072C" w:rsidP="0084072C">
      <w:pPr>
        <w:ind w:left="720"/>
      </w:pPr>
    </w:p>
    <w:p w:rsidR="0084072C" w:rsidRPr="00BD7CEA" w:rsidRDefault="0084072C" w:rsidP="0084072C">
      <w:pPr>
        <w:spacing w:after="60"/>
        <w:ind w:left="720"/>
      </w:pPr>
      <w:r w:rsidRPr="00BD7CEA">
        <w:rPr>
          <w:rFonts w:cs="Tahoma"/>
          <w:b/>
          <w:szCs w:val="18"/>
        </w:rPr>
        <w:t>Diritti sull</w:t>
      </w:r>
      <w:r w:rsidR="007A1415" w:rsidRPr="00BD7CEA">
        <w:rPr>
          <w:rFonts w:cs="Tahoma"/>
          <w:b/>
          <w:szCs w:val="18"/>
        </w:rPr>
        <w:t>’</w:t>
      </w:r>
      <w:r w:rsidRPr="00BD7CEA">
        <w:rPr>
          <w:rFonts w:cs="Tahoma"/>
          <w:b/>
          <w:szCs w:val="18"/>
        </w:rPr>
        <w:t>Utilizzo Applicabili</w:t>
      </w:r>
    </w:p>
    <w:p w:rsidR="00162A93" w:rsidRPr="00BD7CEA" w:rsidRDefault="00162A93" w:rsidP="0084072C">
      <w:pPr>
        <w:ind w:left="720"/>
      </w:pPr>
      <w:r w:rsidRPr="00BD7CEA">
        <w:rPr>
          <w:rFonts w:eastAsia="Calibri" w:cs="Tahoma"/>
          <w:szCs w:val="18"/>
        </w:rPr>
        <w:t>Una licenza CAL Suite Bridge non dispone di versioni e i Diritti di Utilizzo del Prodotto sono determinati dallo</w:t>
      </w:r>
      <w:r w:rsidR="007E1428" w:rsidRPr="00BD7CEA">
        <w:rPr>
          <w:rFonts w:eastAsia="Calibri" w:cs="Tahoma"/>
          <w:szCs w:val="18"/>
        </w:rPr>
        <w:t> </w:t>
      </w:r>
      <w:r w:rsidRPr="00BD7CEA">
        <w:rPr>
          <w:rFonts w:eastAsia="Calibri" w:cs="Tahoma"/>
          <w:szCs w:val="18"/>
        </w:rPr>
        <w:t>stato della copertura Software Assurance per tale licenza. Qualora la copertura Software Assurance sia scaduta, i diritti di accesso attribuiti da Licenze perpetue sono determinati sulla base dei Diritti di Utilizzo del Prodotto in vigore prima della scadenza della copertura. Una Licenza per una CAL Suite Bridge è una licenza singola che dovrà essere ceduta a un utente o dispositivo singolo.</w:t>
      </w:r>
    </w:p>
    <w:p w:rsidR="0084072C" w:rsidRPr="00BD7CEA" w:rsidRDefault="0084072C" w:rsidP="0084072C">
      <w:pPr>
        <w:ind w:left="720"/>
      </w:pPr>
    </w:p>
    <w:p w:rsidR="0084072C" w:rsidRPr="00BD7CEA" w:rsidRDefault="00162A93" w:rsidP="0084072C">
      <w:pPr>
        <w:spacing w:after="60"/>
        <w:ind w:left="720"/>
      </w:pPr>
      <w:r w:rsidRPr="00BD7CEA">
        <w:rPr>
          <w:rFonts w:cs="Tahoma"/>
          <w:b/>
          <w:szCs w:val="18"/>
        </w:rPr>
        <w:t>Requisiti</w:t>
      </w:r>
    </w:p>
    <w:p w:rsidR="00162A93" w:rsidRPr="00BD7CEA" w:rsidRDefault="00162A93" w:rsidP="0084072C">
      <w:pPr>
        <w:ind w:left="720"/>
      </w:pPr>
      <w:r w:rsidRPr="00BD7CEA">
        <w:rPr>
          <w:rFonts w:eastAsia="Calibri" w:cs="Tahoma"/>
          <w:szCs w:val="18"/>
        </w:rPr>
        <w:t>Una CAL Suite Bridge potrà essere richiesta durante la Transizione da una CAL Suite a una combinazione di Servizi Online e Prodotti paragonabili. Quando una Transizione richiede una CAL Suite Bridge e la Licenza qualificante è stata pagata totalmente dalla Società, l</w:t>
      </w:r>
      <w:r w:rsidR="007A1415" w:rsidRPr="00BD7CEA">
        <w:rPr>
          <w:rFonts w:eastAsia="Calibri" w:cs="Tahoma"/>
          <w:szCs w:val="18"/>
        </w:rPr>
        <w:t>’</w:t>
      </w:r>
      <w:r w:rsidRPr="00BD7CEA">
        <w:rPr>
          <w:rFonts w:eastAsia="Calibri" w:cs="Tahoma"/>
          <w:szCs w:val="18"/>
        </w:rPr>
        <w:t>acquisto di una Licenza per la CAL Suite Bridge non sarà necessario. La copertura Software Assurance potrà invece essere acquistata per la CAL Suite Bridge in occasione della ricorrenza dell</w:t>
      </w:r>
      <w:r w:rsidR="007A1415" w:rsidRPr="00BD7CEA">
        <w:rPr>
          <w:rFonts w:eastAsia="Calibri" w:cs="Tahoma"/>
          <w:szCs w:val="18"/>
        </w:rPr>
        <w:t>’</w:t>
      </w:r>
      <w:r w:rsidRPr="00BD7CEA">
        <w:rPr>
          <w:rFonts w:eastAsia="Calibri" w:cs="Tahoma"/>
          <w:szCs w:val="18"/>
        </w:rPr>
        <w:t>Iscrizione durante la quale la Transizione è in vigore. In tali circostanze il rapporto della Transizione potrà essere solo di una copertura Software Assurance per CAL Suite Bridge per una copertura Software Assurance per CAL Suite e per la stessa Licenza per utente o dispositivo della CAL Suite qualificante.</w:t>
      </w:r>
      <w:r w:rsidR="008D782D" w:rsidRPr="00BD7CEA">
        <w:rPr>
          <w:rFonts w:eastAsia="Calibri" w:cs="Tahoma"/>
          <w:szCs w:val="18"/>
        </w:rPr>
        <w:t xml:space="preserve"> </w:t>
      </w:r>
    </w:p>
    <w:p w:rsidR="0084072C" w:rsidRDefault="0084072C" w:rsidP="0084072C">
      <w:pPr>
        <w:ind w:left="720"/>
      </w:pPr>
    </w:p>
    <w:p w:rsidR="005204B6" w:rsidRDefault="005204B6" w:rsidP="0084072C">
      <w:pPr>
        <w:ind w:left="720"/>
      </w:pPr>
    </w:p>
    <w:p w:rsidR="005204B6" w:rsidRDefault="005204B6" w:rsidP="0084072C">
      <w:pPr>
        <w:ind w:left="720"/>
      </w:pPr>
    </w:p>
    <w:p w:rsidR="005204B6" w:rsidRDefault="005204B6" w:rsidP="0084072C">
      <w:pPr>
        <w:ind w:left="720"/>
      </w:pPr>
    </w:p>
    <w:p w:rsidR="005204B6" w:rsidRDefault="005204B6" w:rsidP="0084072C">
      <w:pPr>
        <w:ind w:left="720"/>
      </w:pPr>
    </w:p>
    <w:p w:rsidR="005204B6" w:rsidRDefault="005204B6" w:rsidP="0084072C">
      <w:pPr>
        <w:ind w:left="720"/>
      </w:pPr>
    </w:p>
    <w:p w:rsidR="005204B6" w:rsidRDefault="005204B6" w:rsidP="0084072C">
      <w:pPr>
        <w:ind w:left="720"/>
      </w:pPr>
    </w:p>
    <w:p w:rsidR="005204B6" w:rsidRPr="00BD7CEA" w:rsidRDefault="005204B6" w:rsidP="0084072C">
      <w:pPr>
        <w:ind w:left="720"/>
      </w:pPr>
    </w:p>
    <w:p w:rsidR="00162A93" w:rsidRPr="00BD7CEA" w:rsidRDefault="00162A93" w:rsidP="0084072C">
      <w:pPr>
        <w:ind w:left="720"/>
      </w:pPr>
      <w:r w:rsidRPr="00BD7CEA">
        <w:rPr>
          <w:rFonts w:eastAsia="Calibri" w:cs="Tahoma"/>
          <w:szCs w:val="18"/>
        </w:rPr>
        <w:lastRenderedPageBreak/>
        <w:t>Una CAL Suite Bridge è un Prodotto Enterprise e potrà essere ottenuto in licenza solo insieme al Servizio Online qualificante per soddisfare il requisito a livello aziendale sia della CAL Suite Bridge che della CAL Suite</w:t>
      </w:r>
      <w:r w:rsidR="00DC6528">
        <w:rPr>
          <w:rFonts w:eastAsia="Calibri" w:cs="Tahoma"/>
          <w:szCs w:val="18"/>
        </w:rPr>
        <w:t> </w:t>
      </w:r>
      <w:r w:rsidRPr="00BD7CEA">
        <w:rPr>
          <w:rFonts w:eastAsia="Calibri" w:cs="Tahoma"/>
          <w:szCs w:val="18"/>
        </w:rPr>
        <w:t>principale.</w:t>
      </w:r>
    </w:p>
    <w:p w:rsidR="0084072C" w:rsidRPr="00BD7CEA" w:rsidRDefault="0084072C" w:rsidP="0084072C">
      <w:pPr>
        <w:ind w:left="720"/>
      </w:pPr>
    </w:p>
    <w:p w:rsidR="00162A93" w:rsidRPr="00BD7CEA" w:rsidRDefault="00162A93" w:rsidP="0084072C">
      <w:pPr>
        <w:ind w:left="720"/>
      </w:pPr>
    </w:p>
    <w:tbl>
      <w:tblPr>
        <w:tblW w:w="4394" w:type="pct"/>
        <w:jc w:val="center"/>
        <w:tblCellMar>
          <w:left w:w="0" w:type="dxa"/>
          <w:right w:w="0" w:type="dxa"/>
        </w:tblCellMar>
        <w:tblLook w:val="04A0" w:firstRow="1" w:lastRow="0" w:firstColumn="1" w:lastColumn="0" w:noHBand="0" w:noVBand="1"/>
      </w:tblPr>
      <w:tblGrid>
        <w:gridCol w:w="2736"/>
        <w:gridCol w:w="2737"/>
        <w:gridCol w:w="2735"/>
      </w:tblGrid>
      <w:tr w:rsidR="00162A93" w:rsidRPr="00BD7CEA" w:rsidTr="007E466C">
        <w:trPr>
          <w:tblHeader/>
          <w:jc w:val="center"/>
        </w:trPr>
        <w:tc>
          <w:tcPr>
            <w:tcW w:w="1667"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162A93" w:rsidRPr="00BD7CEA" w:rsidRDefault="00162A93" w:rsidP="007E466C">
            <w:pPr>
              <w:spacing w:before="120" w:after="120" w:line="276" w:lineRule="auto"/>
              <w:ind w:left="175"/>
              <w:jc w:val="center"/>
              <w:rPr>
                <w:rFonts w:eastAsia="Calibri" w:cs="Tahoma"/>
                <w:b/>
                <w:bCs/>
                <w:color w:val="000000"/>
                <w:szCs w:val="18"/>
                <w:lang w:eastAsia="ja-JP"/>
              </w:rPr>
            </w:pPr>
            <w:r w:rsidRPr="00BD7CEA">
              <w:rPr>
                <w:rFonts w:eastAsia="Calibri" w:cs="Tahoma"/>
                <w:b/>
                <w:bCs/>
                <w:szCs w:val="18"/>
              </w:rPr>
              <w:t>CAL Suite Bridge</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rsidR="00162A93" w:rsidRPr="00BD7CEA" w:rsidRDefault="00162A93" w:rsidP="007E466C">
            <w:pPr>
              <w:spacing w:before="120" w:after="120" w:line="276" w:lineRule="auto"/>
              <w:ind w:left="180"/>
              <w:jc w:val="center"/>
              <w:rPr>
                <w:rFonts w:eastAsia="Calibri" w:cs="Tahoma"/>
                <w:b/>
                <w:bCs/>
                <w:color w:val="000000"/>
                <w:szCs w:val="18"/>
                <w:lang w:eastAsia="ja-JP"/>
              </w:rPr>
            </w:pPr>
            <w:r w:rsidRPr="00BD7CEA">
              <w:rPr>
                <w:rFonts w:eastAsia="Calibri" w:cs="Tahoma"/>
                <w:b/>
                <w:bCs/>
                <w:szCs w:val="18"/>
              </w:rPr>
              <w:t>CAL Suite Principale</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rsidR="00162A93" w:rsidRPr="00BD7CEA" w:rsidRDefault="00162A93" w:rsidP="007E466C">
            <w:pPr>
              <w:spacing w:before="120" w:after="120" w:line="276" w:lineRule="auto"/>
              <w:ind w:left="180" w:right="247"/>
              <w:jc w:val="center"/>
              <w:rPr>
                <w:rFonts w:eastAsia="Calibri" w:cs="Tahoma"/>
                <w:b/>
                <w:bCs/>
                <w:color w:val="000000"/>
                <w:szCs w:val="18"/>
                <w:lang w:eastAsia="ja-JP"/>
              </w:rPr>
            </w:pPr>
            <w:r w:rsidRPr="00BD7CEA">
              <w:rPr>
                <w:rFonts w:eastAsia="Calibri" w:cs="Tahoma"/>
                <w:b/>
                <w:bCs/>
                <w:szCs w:val="18"/>
              </w:rPr>
              <w:t>Servizi Online Qualificanti</w:t>
            </w:r>
          </w:p>
        </w:tc>
      </w:tr>
      <w:tr w:rsidR="00162A93" w:rsidRPr="00BD7CEA" w:rsidTr="007E466C">
        <w:trPr>
          <w:trHeight w:val="576"/>
          <w:jc w:val="center"/>
        </w:trPr>
        <w:tc>
          <w:tcPr>
            <w:tcW w:w="1667" w:type="pct"/>
            <w:tcBorders>
              <w:top w:val="nil"/>
              <w:left w:val="single" w:sz="8" w:space="0" w:color="auto"/>
              <w:bottom w:val="single" w:sz="8" w:space="0" w:color="auto"/>
              <w:right w:val="single" w:sz="8" w:space="0" w:color="auto"/>
            </w:tcBorders>
          </w:tcPr>
          <w:p w:rsidR="00162A93" w:rsidRPr="00BD7CEA" w:rsidRDefault="00162A93" w:rsidP="007358C5">
            <w:pPr>
              <w:numPr>
                <w:ilvl w:val="0"/>
                <w:numId w:val="43"/>
              </w:numPr>
              <w:spacing w:before="60" w:after="60" w:line="276" w:lineRule="auto"/>
              <w:ind w:left="535" w:right="180"/>
              <w:rPr>
                <w:rFonts w:eastAsia="Calibri" w:cs="Tahoma"/>
                <w:szCs w:val="18"/>
              </w:rPr>
            </w:pPr>
            <w:r w:rsidRPr="00BD7CEA">
              <w:rPr>
                <w:rFonts w:eastAsia="Calibri" w:cs="Tahoma"/>
                <w:color w:val="000000"/>
                <w:szCs w:val="18"/>
              </w:rPr>
              <w:t>Enterprise CAL Suite Bridge per Office 365</w:t>
            </w:r>
          </w:p>
        </w:tc>
        <w:tc>
          <w:tcPr>
            <w:tcW w:w="1667" w:type="pct"/>
            <w:tcBorders>
              <w:top w:val="nil"/>
              <w:left w:val="nil"/>
              <w:bottom w:val="single" w:sz="8" w:space="0" w:color="auto"/>
              <w:right w:val="single" w:sz="8" w:space="0" w:color="auto"/>
            </w:tcBorders>
          </w:tcPr>
          <w:p w:rsidR="00162A93" w:rsidRPr="00BD7CEA" w:rsidRDefault="00162A93" w:rsidP="007358C5">
            <w:pPr>
              <w:numPr>
                <w:ilvl w:val="0"/>
                <w:numId w:val="44"/>
              </w:numPr>
              <w:spacing w:before="80" w:after="200" w:line="276" w:lineRule="auto"/>
              <w:ind w:left="449" w:hanging="270"/>
              <w:jc w:val="both"/>
              <w:rPr>
                <w:rFonts w:eastAsia="Calibri" w:cs="Tahoma"/>
                <w:szCs w:val="18"/>
              </w:rPr>
            </w:pPr>
            <w:r w:rsidRPr="00BD7CEA">
              <w:rPr>
                <w:rFonts w:eastAsia="Calibri" w:cs="Tahoma"/>
                <w:color w:val="000000"/>
                <w:szCs w:val="18"/>
              </w:rPr>
              <w:t>Enterprise CAL Suite</w:t>
            </w:r>
          </w:p>
        </w:tc>
        <w:tc>
          <w:tcPr>
            <w:tcW w:w="1667" w:type="pct"/>
            <w:tcBorders>
              <w:top w:val="nil"/>
              <w:left w:val="nil"/>
              <w:bottom w:val="single" w:sz="8" w:space="0" w:color="auto"/>
              <w:right w:val="single" w:sz="8" w:space="0" w:color="auto"/>
            </w:tcBorders>
          </w:tcPr>
          <w:p w:rsidR="00162A93" w:rsidRPr="00BD7CEA" w:rsidRDefault="00162A93" w:rsidP="007358C5">
            <w:pPr>
              <w:numPr>
                <w:ilvl w:val="0"/>
                <w:numId w:val="45"/>
              </w:numPr>
              <w:spacing w:before="80" w:after="200" w:line="276" w:lineRule="auto"/>
              <w:ind w:left="630"/>
            </w:pPr>
            <w:r w:rsidRPr="00BD7CEA">
              <w:rPr>
                <w:rFonts w:eastAsia="Calibri" w:cs="Tahoma"/>
                <w:color w:val="000000"/>
                <w:szCs w:val="18"/>
              </w:rPr>
              <w:t>Office 365 Enterprise E3 o</w:t>
            </w:r>
          </w:p>
          <w:p w:rsidR="00162A93" w:rsidRPr="00BD7CEA" w:rsidRDefault="00162A93" w:rsidP="007358C5">
            <w:pPr>
              <w:numPr>
                <w:ilvl w:val="0"/>
                <w:numId w:val="45"/>
              </w:numPr>
              <w:spacing w:before="80" w:after="200" w:line="276" w:lineRule="auto"/>
              <w:ind w:left="630"/>
              <w:rPr>
                <w:rFonts w:eastAsia="Calibri" w:cs="Tahoma"/>
                <w:color w:val="000000"/>
                <w:szCs w:val="18"/>
              </w:rPr>
            </w:pPr>
            <w:r w:rsidRPr="00BD7CEA">
              <w:rPr>
                <w:rFonts w:eastAsia="Calibri" w:cs="Tahoma"/>
                <w:color w:val="000000"/>
                <w:szCs w:val="18"/>
              </w:rPr>
              <w:t>Office 365 Enterprise E4</w:t>
            </w:r>
          </w:p>
        </w:tc>
      </w:tr>
      <w:tr w:rsidR="00162A93" w:rsidRPr="00BD7CEA" w:rsidTr="007E466C">
        <w:trPr>
          <w:trHeight w:val="576"/>
          <w:jc w:val="center"/>
        </w:trPr>
        <w:tc>
          <w:tcPr>
            <w:tcW w:w="1667" w:type="pct"/>
            <w:tcBorders>
              <w:top w:val="nil"/>
              <w:left w:val="single" w:sz="8" w:space="0" w:color="auto"/>
              <w:bottom w:val="single" w:sz="8" w:space="0" w:color="auto"/>
              <w:right w:val="single" w:sz="8" w:space="0" w:color="auto"/>
            </w:tcBorders>
          </w:tcPr>
          <w:p w:rsidR="00162A93" w:rsidRPr="00BD7CEA" w:rsidRDefault="00162A93" w:rsidP="007358C5">
            <w:pPr>
              <w:numPr>
                <w:ilvl w:val="0"/>
                <w:numId w:val="43"/>
              </w:numPr>
              <w:spacing w:before="60" w:after="60" w:line="276" w:lineRule="auto"/>
              <w:ind w:left="535" w:right="180"/>
              <w:rPr>
                <w:rFonts w:eastAsia="Calibri" w:cs="Tahoma"/>
                <w:szCs w:val="18"/>
              </w:rPr>
            </w:pPr>
            <w:r w:rsidRPr="00BD7CEA">
              <w:rPr>
                <w:rFonts w:eastAsia="Calibri" w:cs="Tahoma"/>
                <w:color w:val="000000"/>
                <w:szCs w:val="18"/>
              </w:rPr>
              <w:t>Enterprise CAL Suite Bridge per Office 365 e Windows Intune</w:t>
            </w:r>
          </w:p>
        </w:tc>
        <w:tc>
          <w:tcPr>
            <w:tcW w:w="1667" w:type="pct"/>
            <w:tcBorders>
              <w:top w:val="nil"/>
              <w:left w:val="nil"/>
              <w:bottom w:val="single" w:sz="8" w:space="0" w:color="auto"/>
              <w:right w:val="single" w:sz="8" w:space="0" w:color="auto"/>
            </w:tcBorders>
          </w:tcPr>
          <w:p w:rsidR="00162A93" w:rsidRPr="00BD7CEA" w:rsidRDefault="00162A93" w:rsidP="007358C5">
            <w:pPr>
              <w:numPr>
                <w:ilvl w:val="0"/>
                <w:numId w:val="44"/>
              </w:numPr>
              <w:spacing w:before="80" w:after="200" w:line="276" w:lineRule="auto"/>
              <w:ind w:left="449" w:hanging="270"/>
              <w:jc w:val="both"/>
              <w:rPr>
                <w:rFonts w:eastAsia="Calibri" w:cs="Tahoma"/>
                <w:szCs w:val="18"/>
              </w:rPr>
            </w:pPr>
            <w:r w:rsidRPr="00BD7CEA">
              <w:rPr>
                <w:rFonts w:eastAsia="Calibri" w:cs="Tahoma"/>
                <w:color w:val="000000"/>
                <w:szCs w:val="18"/>
              </w:rPr>
              <w:t>Enterprise CAL Suite</w:t>
            </w:r>
          </w:p>
        </w:tc>
        <w:tc>
          <w:tcPr>
            <w:tcW w:w="1667" w:type="pct"/>
            <w:tcBorders>
              <w:top w:val="nil"/>
              <w:left w:val="nil"/>
              <w:bottom w:val="single" w:sz="8" w:space="0" w:color="auto"/>
              <w:right w:val="single" w:sz="8" w:space="0" w:color="auto"/>
            </w:tcBorders>
          </w:tcPr>
          <w:p w:rsidR="00162A93" w:rsidRPr="00BD7CEA" w:rsidRDefault="00162A93" w:rsidP="007358C5">
            <w:pPr>
              <w:numPr>
                <w:ilvl w:val="0"/>
                <w:numId w:val="45"/>
              </w:numPr>
              <w:spacing w:before="80" w:after="200" w:line="276" w:lineRule="auto"/>
              <w:ind w:left="630"/>
            </w:pPr>
            <w:r w:rsidRPr="00BD7CEA">
              <w:rPr>
                <w:rFonts w:eastAsia="Calibri" w:cs="Tahoma"/>
                <w:color w:val="000000"/>
                <w:szCs w:val="18"/>
              </w:rPr>
              <w:t>Office 365 Enterprise E3 e Windows Intune o</w:t>
            </w:r>
          </w:p>
          <w:p w:rsidR="00162A93" w:rsidRPr="00BD7CEA" w:rsidRDefault="00162A93" w:rsidP="007358C5">
            <w:pPr>
              <w:numPr>
                <w:ilvl w:val="0"/>
                <w:numId w:val="45"/>
              </w:numPr>
              <w:spacing w:before="80" w:after="200" w:line="276" w:lineRule="auto"/>
              <w:ind w:left="630"/>
              <w:rPr>
                <w:rFonts w:eastAsia="Calibri" w:cs="Tahoma"/>
                <w:color w:val="000000"/>
                <w:szCs w:val="18"/>
              </w:rPr>
            </w:pPr>
            <w:r w:rsidRPr="00BD7CEA">
              <w:rPr>
                <w:rFonts w:eastAsia="Calibri" w:cs="Tahoma"/>
                <w:color w:val="000000"/>
                <w:szCs w:val="18"/>
              </w:rPr>
              <w:t>Office 365 Enterprise E4 e Windows Intune</w:t>
            </w:r>
          </w:p>
        </w:tc>
      </w:tr>
      <w:tr w:rsidR="00162A93" w:rsidRPr="00BD7CEA" w:rsidTr="007E466C">
        <w:trPr>
          <w:trHeight w:val="576"/>
          <w:jc w:val="center"/>
        </w:trPr>
        <w:tc>
          <w:tcPr>
            <w:tcW w:w="1667" w:type="pct"/>
            <w:tcBorders>
              <w:top w:val="nil"/>
              <w:left w:val="single" w:sz="8" w:space="0" w:color="auto"/>
              <w:bottom w:val="single" w:sz="8" w:space="0" w:color="auto"/>
              <w:right w:val="single" w:sz="8" w:space="0" w:color="auto"/>
            </w:tcBorders>
            <w:hideMark/>
          </w:tcPr>
          <w:p w:rsidR="00162A93" w:rsidRPr="00BD7CEA" w:rsidRDefault="00162A93" w:rsidP="007358C5">
            <w:pPr>
              <w:numPr>
                <w:ilvl w:val="0"/>
                <w:numId w:val="43"/>
              </w:numPr>
              <w:spacing w:before="60" w:after="60" w:line="276" w:lineRule="auto"/>
              <w:ind w:left="535" w:right="180"/>
              <w:rPr>
                <w:rFonts w:eastAsia="Calibri" w:cs="Tahoma"/>
                <w:color w:val="000000"/>
                <w:szCs w:val="18"/>
                <w:lang w:eastAsia="ja-JP"/>
              </w:rPr>
            </w:pPr>
            <w:r w:rsidRPr="00BD7CEA">
              <w:rPr>
                <w:rFonts w:eastAsia="Calibri" w:cs="Tahoma"/>
                <w:szCs w:val="18"/>
              </w:rPr>
              <w:t>Enterprise CAL Suite Bridge per Windows Intune</w:t>
            </w:r>
          </w:p>
        </w:tc>
        <w:tc>
          <w:tcPr>
            <w:tcW w:w="1667" w:type="pct"/>
            <w:tcBorders>
              <w:top w:val="nil"/>
              <w:left w:val="nil"/>
              <w:bottom w:val="single" w:sz="8" w:space="0" w:color="auto"/>
              <w:right w:val="single" w:sz="8" w:space="0" w:color="auto"/>
            </w:tcBorders>
            <w:hideMark/>
          </w:tcPr>
          <w:p w:rsidR="00162A93" w:rsidRPr="00BD7CEA" w:rsidRDefault="00162A93" w:rsidP="007358C5">
            <w:pPr>
              <w:numPr>
                <w:ilvl w:val="0"/>
                <w:numId w:val="44"/>
              </w:numPr>
              <w:spacing w:before="80" w:after="200" w:line="276" w:lineRule="auto"/>
              <w:ind w:left="449" w:hanging="270"/>
              <w:jc w:val="both"/>
              <w:rPr>
                <w:rFonts w:eastAsia="Calibri" w:cs="Tahoma"/>
                <w:color w:val="000000"/>
                <w:szCs w:val="18"/>
                <w:lang w:eastAsia="ja-JP"/>
              </w:rPr>
            </w:pPr>
            <w:r w:rsidRPr="00BD7CEA">
              <w:rPr>
                <w:rFonts w:eastAsia="Calibri" w:cs="Tahoma"/>
                <w:szCs w:val="18"/>
              </w:rPr>
              <w:t>Enterprise CAL Suite</w:t>
            </w:r>
          </w:p>
        </w:tc>
        <w:tc>
          <w:tcPr>
            <w:tcW w:w="1667" w:type="pct"/>
            <w:tcBorders>
              <w:top w:val="nil"/>
              <w:left w:val="nil"/>
              <w:bottom w:val="single" w:sz="8" w:space="0" w:color="auto"/>
              <w:right w:val="single" w:sz="8" w:space="0" w:color="auto"/>
            </w:tcBorders>
            <w:hideMark/>
          </w:tcPr>
          <w:p w:rsidR="00162A93" w:rsidRPr="00BD7CEA" w:rsidRDefault="00162A93" w:rsidP="007358C5">
            <w:pPr>
              <w:numPr>
                <w:ilvl w:val="0"/>
                <w:numId w:val="45"/>
              </w:numPr>
              <w:spacing w:before="80" w:after="200" w:line="276" w:lineRule="auto"/>
              <w:ind w:left="630"/>
              <w:rPr>
                <w:rFonts w:cs="Tahoma"/>
                <w:color w:val="000000"/>
                <w:szCs w:val="18"/>
              </w:rPr>
            </w:pPr>
            <w:r w:rsidRPr="00BD7CEA">
              <w:rPr>
                <w:rFonts w:eastAsia="Calibri" w:cs="Tahoma"/>
                <w:color w:val="000000"/>
                <w:szCs w:val="18"/>
              </w:rPr>
              <w:t>Windows Intune</w:t>
            </w:r>
          </w:p>
        </w:tc>
      </w:tr>
    </w:tbl>
    <w:p w:rsidR="007E1428" w:rsidRPr="00BD7CEA" w:rsidRDefault="007E1428" w:rsidP="00676723">
      <w:bookmarkStart w:id="1228" w:name="_Toc336338304"/>
      <w:bookmarkStart w:id="1229" w:name="Srv_43EnterpriseCALSuite"/>
      <w:bookmarkEnd w:id="1213"/>
      <w:bookmarkEnd w:id="1221"/>
    </w:p>
    <w:p w:rsidR="007E1428" w:rsidRPr="00BD7CEA" w:rsidRDefault="007E1428" w:rsidP="00676723"/>
    <w:p w:rsidR="00652053" w:rsidRPr="00BD7CEA" w:rsidRDefault="004668D9" w:rsidP="00652053">
      <w:pPr>
        <w:pStyle w:val="Heading3"/>
      </w:pPr>
      <w:bookmarkStart w:id="1230" w:name="_42_Enterprise_CAL"/>
      <w:bookmarkStart w:id="1231" w:name="_44_Enterprise_CAL"/>
      <w:bookmarkStart w:id="1232" w:name="_Toc353376082"/>
      <w:bookmarkEnd w:id="1230"/>
      <w:bookmarkEnd w:id="1231"/>
      <w:r w:rsidRPr="00BD7CEA">
        <w:rPr>
          <w:rFonts w:ascii="Tahoma" w:hAnsi="Tahoma"/>
          <w:caps/>
          <w:color w:val="F66400"/>
          <w:sz w:val="22"/>
          <w:vertAlign w:val="superscript"/>
        </w:rPr>
        <w:t>44</w:t>
      </w:r>
      <w:r w:rsidRPr="00BD7CEA">
        <w:rPr>
          <w:rFonts w:ascii="Tahoma" w:hAnsi="Tahoma"/>
          <w:color w:val="F66400"/>
          <w:sz w:val="22"/>
        </w:rPr>
        <w:t xml:space="preserve"> Enterprise CAL Suite</w:t>
      </w:r>
      <w:bookmarkEnd w:id="1228"/>
      <w:bookmarkEnd w:id="1232"/>
      <w:r w:rsidRPr="00BD7CEA">
        <w:rPr>
          <w:rFonts w:ascii="Tahoma" w:hAnsi="Tahoma"/>
          <w:color w:val="F66400"/>
          <w:sz w:val="22"/>
        </w:rPr>
        <w:t xml:space="preserve"> </w:t>
      </w:r>
    </w:p>
    <w:bookmarkEnd w:id="1229"/>
    <w:p w:rsidR="00023FE7" w:rsidRPr="00BD7CEA" w:rsidRDefault="00023FE7" w:rsidP="0084072C"/>
    <w:p w:rsidR="009A727E" w:rsidRPr="00BD7CEA" w:rsidRDefault="008446D1" w:rsidP="0084072C">
      <w:pPr>
        <w:ind w:left="720"/>
      </w:pPr>
      <w:r w:rsidRPr="00BD7CEA">
        <w:rPr>
          <w:rFonts w:cs="Tahoma"/>
          <w:szCs w:val="20"/>
        </w:rPr>
        <w:t>Enterprise CAL Suite non dispone di versioni e i diritti di utilizzo del prodotto sono determinati dallo stato della copertura Software Assurance per Enterprise CAL Suite.</w:t>
      </w:r>
      <w:r w:rsidR="008D782D" w:rsidRPr="00BD7CEA">
        <w:rPr>
          <w:rFonts w:cs="Tahoma"/>
          <w:szCs w:val="20"/>
        </w:rPr>
        <w:t xml:space="preserve"> </w:t>
      </w:r>
      <w:r w:rsidRPr="00BD7CEA">
        <w:rPr>
          <w:rFonts w:cs="Tahoma"/>
          <w:szCs w:val="20"/>
        </w:rPr>
        <w:t>Qualora la copertura sia scaduta, i diritti di accesso attribuiti da licenze perpetue sono determinati sulla base dei diritti di utilizzo del prodotto in vigore prima della scadenza della copertura.</w:t>
      </w:r>
      <w:r w:rsidR="008D782D" w:rsidRPr="00BD7CEA">
        <w:rPr>
          <w:rFonts w:cs="Tahoma"/>
          <w:szCs w:val="20"/>
        </w:rPr>
        <w:t xml:space="preserve"> </w:t>
      </w:r>
      <w:r w:rsidRPr="00BD7CEA">
        <w:rPr>
          <w:rFonts w:cs="Tahoma"/>
          <w:szCs w:val="20"/>
        </w:rPr>
        <w:t>I diritti associati alle offerte dei Servizi Online cesseranno alla scadenza della copertura Software Assurance, indipendentemente dal fatto che l</w:t>
      </w:r>
      <w:r w:rsidR="007A1415" w:rsidRPr="00BD7CEA">
        <w:rPr>
          <w:rFonts w:cs="Tahoma"/>
          <w:szCs w:val="20"/>
        </w:rPr>
        <w:t>’</w:t>
      </w:r>
      <w:r w:rsidRPr="00BD7CEA">
        <w:rPr>
          <w:rFonts w:cs="Tahoma"/>
          <w:szCs w:val="20"/>
        </w:rPr>
        <w:t>Enterprise CAL suite sia perpetua o meno.</w:t>
      </w:r>
      <w:r w:rsidR="008D782D" w:rsidRPr="00BD7CEA">
        <w:rPr>
          <w:rFonts w:cs="Tahoma"/>
          <w:szCs w:val="20"/>
        </w:rPr>
        <w:t xml:space="preserve"> </w:t>
      </w:r>
      <w:r w:rsidRPr="00BD7CEA">
        <w:rPr>
          <w:rFonts w:cs="Tahoma"/>
          <w:szCs w:val="20"/>
        </w:rPr>
        <w:t>A decorrere dal 1 aprile 2013 una licenza per Enterprise CAL Suite con copertura Software Assurance attiva concede diritti equivalenti ai seguenti prodotti: tutti i componenti attuali di Core CAL Suite, Exchange Enterprise CAL con Services 2013, Archiviazione Exchange Online per Exchange Server, SharePoint Server Enterprise CAL 2013, Lync Server Enterprise CAL 2013, CAL per Windows Server 2012 Active Directory Rights Management Services e tutti i componenti attuali di System Center 2012 Client Management Suite.</w:t>
      </w:r>
      <w:r w:rsidR="008D782D" w:rsidRPr="00BD7CEA">
        <w:rPr>
          <w:rFonts w:cs="Tahoma"/>
          <w:szCs w:val="20"/>
        </w:rPr>
        <w:t xml:space="preserve"> </w:t>
      </w:r>
      <w:r w:rsidRPr="00BD7CEA">
        <w:rPr>
          <w:rFonts w:cs="Tahoma"/>
          <w:szCs w:val="20"/>
        </w:rPr>
        <w:t>Una licenza per Enterprise CAL Suite è una licenza singola che deve essere assegnata a</w:t>
      </w:r>
      <w:r w:rsidR="007E1428" w:rsidRPr="00BD7CEA">
        <w:rPr>
          <w:rFonts w:cs="Tahoma"/>
          <w:szCs w:val="20"/>
        </w:rPr>
        <w:t> </w:t>
      </w:r>
      <w:r w:rsidRPr="00BD7CEA">
        <w:rPr>
          <w:rFonts w:cs="Tahoma"/>
          <w:szCs w:val="20"/>
        </w:rPr>
        <w:t>un singolo utente o dispositivo.</w:t>
      </w:r>
      <w:r w:rsidR="008D782D" w:rsidRPr="00BD7CEA">
        <w:rPr>
          <w:rFonts w:cs="Tahoma"/>
          <w:szCs w:val="20"/>
        </w:rPr>
        <w:t xml:space="preserve"> </w:t>
      </w:r>
      <w:r w:rsidRPr="00BD7CEA">
        <w:rPr>
          <w:rFonts w:cs="Tahoma"/>
          <w:szCs w:val="20"/>
        </w:rPr>
        <w:t>Secondo quanto previsto nel relativo contratto multilicenza, la società non</w:t>
      </w:r>
      <w:r w:rsidR="007E1428" w:rsidRPr="00BD7CEA">
        <w:rPr>
          <w:rFonts w:cs="Tahoma"/>
          <w:szCs w:val="20"/>
        </w:rPr>
        <w:t> </w:t>
      </w:r>
      <w:r w:rsidRPr="00BD7CEA">
        <w:rPr>
          <w:rFonts w:cs="Tahoma"/>
          <w:szCs w:val="20"/>
        </w:rPr>
        <w:t>può separare i diritti di Enterprise CAL Suite per consentire a due o più utenti o dispositivi di accedere contemporaneamente ai diversi componenti.</w:t>
      </w:r>
      <w:r w:rsidR="008D782D" w:rsidRPr="00BD7CEA">
        <w:rPr>
          <w:rFonts w:cs="Tahoma"/>
          <w:szCs w:val="20"/>
        </w:rPr>
        <w:t xml:space="preserve"> </w:t>
      </w:r>
    </w:p>
    <w:p w:rsidR="00163658" w:rsidRPr="00BD7CEA" w:rsidRDefault="00163658" w:rsidP="0084072C">
      <w:pPr>
        <w:ind w:left="720"/>
      </w:pPr>
    </w:p>
    <w:p w:rsidR="00163658" w:rsidRPr="00BD7CEA" w:rsidRDefault="00163658" w:rsidP="0084072C">
      <w:pPr>
        <w:ind w:left="720"/>
      </w:pPr>
      <w:r w:rsidRPr="00BD7CEA">
        <w:rPr>
          <w:rFonts w:cs="Tahoma"/>
          <w:b/>
          <w:szCs w:val="20"/>
        </w:rPr>
        <w:t>Erogazione dei Servizi Online inclusi nell</w:t>
      </w:r>
      <w:r w:rsidR="007A1415" w:rsidRPr="00BD7CEA">
        <w:rPr>
          <w:rFonts w:cs="Tahoma"/>
          <w:b/>
          <w:szCs w:val="20"/>
        </w:rPr>
        <w:t>’</w:t>
      </w:r>
      <w:r w:rsidRPr="00BD7CEA">
        <w:rPr>
          <w:rFonts w:cs="Tahoma"/>
          <w:b/>
          <w:szCs w:val="20"/>
        </w:rPr>
        <w:t>Enterprise CAL Suite</w:t>
      </w:r>
    </w:p>
    <w:p w:rsidR="00391D38" w:rsidRPr="00BD7CEA" w:rsidRDefault="00391D38" w:rsidP="0084072C">
      <w:pPr>
        <w:ind w:left="720"/>
      </w:pPr>
    </w:p>
    <w:p w:rsidR="00163658" w:rsidRPr="00BD7CEA" w:rsidRDefault="00163658" w:rsidP="0084072C">
      <w:pPr>
        <w:ind w:left="720"/>
      </w:pPr>
      <w:r w:rsidRPr="00BD7CEA">
        <w:rPr>
          <w:rFonts w:cs="Tahoma"/>
          <w:szCs w:val="20"/>
        </w:rPr>
        <w:t xml:space="preserve">A decorrere dal 1 aprile 2013 una licenza per Enterprise CAL Suite con copertura Software Assurance attiva include i diritti per Archiviazione Exchange Online per Exchange Server, Prevenzione della Perdita dei Dati ed Exchange Online Protection. </w:t>
      </w:r>
    </w:p>
    <w:p w:rsidR="00163658" w:rsidRPr="00BD7CEA" w:rsidRDefault="00163658" w:rsidP="0084072C">
      <w:pPr>
        <w:ind w:left="720"/>
      </w:pPr>
    </w:p>
    <w:p w:rsidR="00163658" w:rsidRPr="00BD7CEA" w:rsidRDefault="00163658" w:rsidP="0084072C">
      <w:pPr>
        <w:ind w:left="720"/>
      </w:pPr>
      <w:r w:rsidRPr="00BD7CEA">
        <w:rPr>
          <w:rFonts w:cs="Tahoma"/>
          <w:szCs w:val="20"/>
        </w:rPr>
        <w:t>Per iniziare a utilizzare questi servizi, la società dovrà contattare il proprio Microsoft Partner, che può avviare il processo di erogazione necessario per l</w:t>
      </w:r>
      <w:r w:rsidR="007A1415" w:rsidRPr="00BD7CEA">
        <w:rPr>
          <w:rFonts w:cs="Tahoma"/>
          <w:szCs w:val="20"/>
        </w:rPr>
        <w:t>’</w:t>
      </w:r>
      <w:r w:rsidRPr="00BD7CEA">
        <w:rPr>
          <w:rFonts w:cs="Tahoma"/>
          <w:szCs w:val="20"/>
        </w:rPr>
        <w:t>attivazione di ciascun servizio.</w:t>
      </w:r>
    </w:p>
    <w:p w:rsidR="00103AD5" w:rsidRPr="00BD7CEA" w:rsidRDefault="00103AD5" w:rsidP="0084072C">
      <w:pPr>
        <w:ind w:left="720"/>
      </w:pPr>
    </w:p>
    <w:p w:rsidR="00391D38" w:rsidRPr="00BD7CEA" w:rsidRDefault="005D1A15" w:rsidP="00391D38">
      <w:pPr>
        <w:ind w:left="720"/>
        <w:rPr>
          <w:spacing w:val="-2"/>
        </w:rPr>
      </w:pPr>
      <w:r w:rsidRPr="00BD7CEA">
        <w:rPr>
          <w:snapToGrid w:val="0"/>
          <w:spacing w:val="-2"/>
        </w:rPr>
        <w:t>Alcune offerte includono sia prodotti software distribuiti e utilizzati presso le sedi delle società che uno o più Servizi Online identificati sopra ai sensi della stessa licenza. Ad esempio,</w:t>
      </w:r>
      <w:r w:rsidRPr="00BD7CEA">
        <w:rPr>
          <w:rFonts w:cs="Tahoma"/>
          <w:spacing w:val="-2"/>
          <w:szCs w:val="20"/>
        </w:rPr>
        <w:t xml:space="preserve"> Archiviazione Exchange Online per Exchange Server, Prevenzione della Perdita dei Dati o Exchange Online Protection sono a disposizione delle società nell</w:t>
      </w:r>
      <w:r w:rsidR="007A1415" w:rsidRPr="00BD7CEA">
        <w:rPr>
          <w:rFonts w:cs="Tahoma"/>
          <w:spacing w:val="-2"/>
          <w:szCs w:val="20"/>
        </w:rPr>
        <w:t>’</w:t>
      </w:r>
      <w:r w:rsidRPr="00BD7CEA">
        <w:rPr>
          <w:rFonts w:cs="Tahoma"/>
          <w:spacing w:val="-2"/>
          <w:szCs w:val="20"/>
        </w:rPr>
        <w:t>ambito dell</w:t>
      </w:r>
      <w:r w:rsidR="007A1415" w:rsidRPr="00BD7CEA">
        <w:rPr>
          <w:rFonts w:cs="Tahoma"/>
          <w:spacing w:val="-2"/>
          <w:szCs w:val="20"/>
        </w:rPr>
        <w:t>’</w:t>
      </w:r>
      <w:r w:rsidRPr="00BD7CEA">
        <w:rPr>
          <w:rFonts w:cs="Tahoma"/>
          <w:spacing w:val="-2"/>
          <w:szCs w:val="20"/>
        </w:rPr>
        <w:t>Enterprise CAL Suite o della CAL per Exchange Enterprise con Servizi 2013. Le seguenti Condizioni Supplementari (“Condizioni Supplementari”) si applicheranno all</w:t>
      </w:r>
      <w:r w:rsidR="007A1415" w:rsidRPr="00BD7CEA">
        <w:rPr>
          <w:rFonts w:cs="Tahoma"/>
          <w:spacing w:val="-2"/>
          <w:szCs w:val="20"/>
        </w:rPr>
        <w:t>’</w:t>
      </w:r>
      <w:r w:rsidRPr="00BD7CEA">
        <w:rPr>
          <w:snapToGrid w:val="0"/>
          <w:spacing w:val="-2"/>
        </w:rPr>
        <w:t>acquisto e all</w:t>
      </w:r>
      <w:r w:rsidR="007A1415" w:rsidRPr="00BD7CEA">
        <w:rPr>
          <w:snapToGrid w:val="0"/>
          <w:spacing w:val="-2"/>
        </w:rPr>
        <w:t>’</w:t>
      </w:r>
      <w:r w:rsidRPr="00BD7CEA">
        <w:rPr>
          <w:snapToGrid w:val="0"/>
          <w:spacing w:val="-2"/>
        </w:rPr>
        <w:t>utilizzo da parte delle società di tali Servizi Online.</w:t>
      </w:r>
      <w:r w:rsidR="008D782D" w:rsidRPr="00BD7CEA">
        <w:rPr>
          <w:rFonts w:cs="Tahoma"/>
          <w:spacing w:val="-2"/>
          <w:szCs w:val="20"/>
        </w:rPr>
        <w:t xml:space="preserve"> </w:t>
      </w:r>
      <w:r w:rsidRPr="00BD7CEA">
        <w:rPr>
          <w:snapToGrid w:val="0"/>
          <w:spacing w:val="-2"/>
        </w:rPr>
        <w:t>Inoltre, nonostante eventuali disposizioni contrarie, i prezzi e le condizioni di pagamento di cui sopra non si applicano ai Servizi Online ottenuti in licenza nella modalità descritta.</w:t>
      </w:r>
    </w:p>
    <w:p w:rsidR="00391D38" w:rsidRPr="00BD7CEA" w:rsidRDefault="00391D38" w:rsidP="00391D38">
      <w:pPr>
        <w:keepNext/>
        <w:spacing w:before="120" w:after="60"/>
        <w:ind w:left="1440"/>
        <w:outlineLvl w:val="0"/>
      </w:pPr>
      <w:r w:rsidRPr="00BD7CEA">
        <w:rPr>
          <w:rFonts w:cs="Tahoma"/>
          <w:b/>
          <w:bCs/>
          <w:iCs/>
          <w:snapToGrid w:val="0"/>
          <w:szCs w:val="18"/>
        </w:rPr>
        <w:lastRenderedPageBreak/>
        <w:t>Definizioni.</w:t>
      </w:r>
    </w:p>
    <w:p w:rsidR="00391D38" w:rsidRPr="00BD7CEA" w:rsidRDefault="00391D38" w:rsidP="007E466C">
      <w:pPr>
        <w:ind w:left="1440"/>
        <w:jc w:val="both"/>
      </w:pPr>
      <w:r w:rsidRPr="00BD7CEA">
        <w:rPr>
          <w:rFonts w:cs="Tahoma"/>
          <w:snapToGrid w:val="0"/>
          <w:color w:val="000000"/>
          <w:szCs w:val="18"/>
        </w:rPr>
        <w:t>“Dati della Società” indica tutti i dati, inclusi tutti i file di testo, audio, software e immagine forniti a</w:t>
      </w:r>
      <w:r w:rsidR="007E1428" w:rsidRPr="00BD7CEA">
        <w:rPr>
          <w:rFonts w:cs="Tahoma"/>
          <w:snapToGrid w:val="0"/>
          <w:color w:val="000000"/>
          <w:szCs w:val="18"/>
        </w:rPr>
        <w:t> </w:t>
      </w:r>
      <w:r w:rsidRPr="00BD7CEA">
        <w:rPr>
          <w:rFonts w:cs="Tahoma"/>
          <w:snapToGrid w:val="0"/>
          <w:color w:val="000000"/>
          <w:szCs w:val="18"/>
        </w:rPr>
        <w:t>Microsoft dalla o per conto della società tramite l</w:t>
      </w:r>
      <w:r w:rsidR="007A1415" w:rsidRPr="00BD7CEA">
        <w:rPr>
          <w:rFonts w:cs="Tahoma"/>
          <w:snapToGrid w:val="0"/>
          <w:color w:val="000000"/>
          <w:szCs w:val="18"/>
        </w:rPr>
        <w:t>’</w:t>
      </w:r>
      <w:r w:rsidRPr="00BD7CEA">
        <w:rPr>
          <w:rFonts w:cs="Tahoma"/>
          <w:snapToGrid w:val="0"/>
          <w:color w:val="000000"/>
          <w:szCs w:val="18"/>
        </w:rPr>
        <w:t>utilizzo dei Servizi Online da parte della società.</w:t>
      </w:r>
    </w:p>
    <w:p w:rsidR="00391D38" w:rsidRPr="00BD7CEA" w:rsidRDefault="00391D38" w:rsidP="00391D38">
      <w:pPr>
        <w:spacing w:before="120"/>
        <w:ind w:left="1440"/>
        <w:jc w:val="both"/>
      </w:pPr>
      <w:r w:rsidRPr="00BD7CEA">
        <w:rPr>
          <w:rFonts w:cs="Tahoma"/>
          <w:snapToGrid w:val="0"/>
          <w:color w:val="000000"/>
          <w:szCs w:val="18"/>
        </w:rPr>
        <w:t>“Contratto di Servizio” indica il documento in cui vengono specificati gli standard cui Microsoft accetta di aderire e tramite i quali misura il livello di servizio per un Servizio Online.</w:t>
      </w:r>
    </w:p>
    <w:p w:rsidR="00391D38" w:rsidRPr="00BD7CEA" w:rsidRDefault="00391D38" w:rsidP="007E466C">
      <w:pPr>
        <w:keepNext/>
        <w:spacing w:before="120" w:after="60"/>
        <w:ind w:left="1440"/>
        <w:outlineLvl w:val="0"/>
      </w:pPr>
      <w:r w:rsidRPr="00BD7CEA">
        <w:rPr>
          <w:rFonts w:cs="Tahoma"/>
          <w:b/>
          <w:bCs/>
          <w:iCs/>
          <w:snapToGrid w:val="0"/>
          <w:szCs w:val="18"/>
        </w:rPr>
        <w:t>Ambito di Applicazione delle Condizioni Supplementari.</w:t>
      </w:r>
    </w:p>
    <w:p w:rsidR="00391D38" w:rsidRPr="00BD7CEA" w:rsidRDefault="00391D38" w:rsidP="007E466C">
      <w:pPr>
        <w:ind w:left="1440"/>
        <w:jc w:val="both"/>
      </w:pPr>
      <w:r w:rsidRPr="00BD7CEA">
        <w:rPr>
          <w:rFonts w:cs="Tahoma"/>
          <w:snapToGrid w:val="0"/>
          <w:color w:val="000000"/>
          <w:szCs w:val="18"/>
        </w:rPr>
        <w:t>Le presenti Condizioni Supplementari si applicano esclusivamente all</w:t>
      </w:r>
      <w:r w:rsidR="007A1415" w:rsidRPr="00BD7CEA">
        <w:rPr>
          <w:rFonts w:cs="Tahoma"/>
          <w:snapToGrid w:val="0"/>
          <w:color w:val="000000"/>
          <w:szCs w:val="18"/>
        </w:rPr>
        <w:t>’</w:t>
      </w:r>
      <w:r w:rsidRPr="00BD7CEA">
        <w:rPr>
          <w:rFonts w:cs="Tahoma"/>
          <w:snapToGrid w:val="0"/>
          <w:color w:val="000000"/>
          <w:szCs w:val="18"/>
        </w:rPr>
        <w:t>acquisto e all</w:t>
      </w:r>
      <w:r w:rsidR="007A1415" w:rsidRPr="00BD7CEA">
        <w:rPr>
          <w:rFonts w:cs="Tahoma"/>
          <w:snapToGrid w:val="0"/>
          <w:color w:val="000000"/>
          <w:szCs w:val="18"/>
        </w:rPr>
        <w:t>’</w:t>
      </w:r>
      <w:r w:rsidRPr="00BD7CEA">
        <w:rPr>
          <w:rFonts w:cs="Tahoma"/>
          <w:snapToGrid w:val="0"/>
          <w:color w:val="000000"/>
          <w:szCs w:val="18"/>
        </w:rPr>
        <w:t>utilizzo dei Servizi Online e dei Servizi da parte della società.</w:t>
      </w:r>
      <w:r w:rsidR="008D782D" w:rsidRPr="00BD7CEA">
        <w:rPr>
          <w:rFonts w:cs="Tahoma"/>
          <w:snapToGrid w:val="0"/>
          <w:color w:val="000000"/>
          <w:szCs w:val="18"/>
        </w:rPr>
        <w:t xml:space="preserve"> </w:t>
      </w:r>
      <w:r w:rsidRPr="00BD7CEA">
        <w:rPr>
          <w:rFonts w:cs="Tahoma"/>
          <w:snapToGrid w:val="0"/>
          <w:color w:val="000000"/>
          <w:szCs w:val="18"/>
        </w:rPr>
        <w:t>Nell</w:t>
      </w:r>
      <w:r w:rsidR="007A1415" w:rsidRPr="00BD7CEA">
        <w:rPr>
          <w:rFonts w:cs="Tahoma"/>
          <w:snapToGrid w:val="0"/>
          <w:color w:val="000000"/>
          <w:szCs w:val="18"/>
        </w:rPr>
        <w:t>’</w:t>
      </w:r>
      <w:r w:rsidRPr="00BD7CEA">
        <w:rPr>
          <w:rFonts w:cs="Tahoma"/>
          <w:snapToGrid w:val="0"/>
          <w:color w:val="000000"/>
          <w:szCs w:val="18"/>
        </w:rPr>
        <w:t>eventualità di una discrepanza tra le presenti Condizioni Supplementari e le condizioni dell</w:t>
      </w:r>
      <w:r w:rsidR="007A1415" w:rsidRPr="00BD7CEA">
        <w:rPr>
          <w:rFonts w:cs="Tahoma"/>
          <w:snapToGrid w:val="0"/>
          <w:color w:val="000000"/>
          <w:szCs w:val="18"/>
        </w:rPr>
        <w:t>’</w:t>
      </w:r>
      <w:r w:rsidRPr="00BD7CEA">
        <w:rPr>
          <w:rFonts w:cs="Tahoma"/>
          <w:snapToGrid w:val="0"/>
          <w:color w:val="000000"/>
          <w:szCs w:val="18"/>
        </w:rPr>
        <w:t>Accordo Principale o del Contratto che non possano essere espressamente risolte dalle condizioni di tali documenti, le Condizioni Supplementari avranno prevalenza:</w:t>
      </w:r>
    </w:p>
    <w:p w:rsidR="00391D38" w:rsidRPr="00BD7CEA" w:rsidRDefault="00391D38" w:rsidP="007E466C">
      <w:pPr>
        <w:keepNext/>
        <w:spacing w:before="120" w:after="60"/>
        <w:ind w:left="1440"/>
        <w:outlineLvl w:val="0"/>
      </w:pPr>
      <w:r w:rsidRPr="00BD7CEA">
        <w:rPr>
          <w:rFonts w:cs="Tahoma"/>
          <w:b/>
          <w:bCs/>
          <w:iCs/>
          <w:snapToGrid w:val="0"/>
          <w:szCs w:val="18"/>
        </w:rPr>
        <w:t>Garanzia Limitata per i Servizi Online.</w:t>
      </w:r>
    </w:p>
    <w:p w:rsidR="00391D38" w:rsidRPr="00BD7CEA" w:rsidRDefault="00391D38" w:rsidP="007E466C">
      <w:pPr>
        <w:ind w:left="1440"/>
        <w:jc w:val="both"/>
      </w:pPr>
      <w:r w:rsidRPr="00BD7CEA">
        <w:rPr>
          <w:rFonts w:cs="Tahoma"/>
          <w:snapToGrid w:val="0"/>
          <w:color w:val="000000"/>
          <w:szCs w:val="18"/>
        </w:rPr>
        <w:t>Microsoft garantisce che i Servizi Online funzioneranno in conformità al Contratto di Servizio (SLA, Service Level Agreement) applicabile.</w:t>
      </w:r>
      <w:r w:rsidR="008D782D" w:rsidRPr="00BD7CEA">
        <w:rPr>
          <w:rFonts w:cs="Tahoma"/>
          <w:snapToGrid w:val="0"/>
          <w:color w:val="000000"/>
          <w:szCs w:val="18"/>
        </w:rPr>
        <w:t xml:space="preserve"> </w:t>
      </w:r>
      <w:r w:rsidRPr="00BD7CEA">
        <w:rPr>
          <w:rFonts w:cs="Tahoma"/>
          <w:snapToGrid w:val="0"/>
          <w:color w:val="000000"/>
          <w:szCs w:val="18"/>
        </w:rPr>
        <w:t>La presente garanzia limitata è valida per tutta la durata dell</w:t>
      </w:r>
      <w:r w:rsidR="007A1415" w:rsidRPr="00BD7CEA">
        <w:rPr>
          <w:rFonts w:cs="Tahoma"/>
          <w:snapToGrid w:val="0"/>
          <w:color w:val="000000"/>
          <w:szCs w:val="18"/>
        </w:rPr>
        <w:t>’</w:t>
      </w:r>
      <w:r w:rsidRPr="00BD7CEA">
        <w:rPr>
          <w:rFonts w:cs="Tahoma"/>
          <w:snapToGrid w:val="0"/>
          <w:color w:val="000000"/>
          <w:szCs w:val="18"/>
        </w:rPr>
        <w:t>utilizzo del Servizio Online da parte della società a condizione che vengano rispettati i requisiti in materia di comunicazioni specificati nel Contratto di Servizio applicabile.</w:t>
      </w:r>
    </w:p>
    <w:p w:rsidR="00391D38" w:rsidRPr="00BD7CEA" w:rsidRDefault="00391D38" w:rsidP="00391D38">
      <w:pPr>
        <w:spacing w:before="120"/>
        <w:ind w:left="1440"/>
        <w:jc w:val="both"/>
      </w:pPr>
      <w:r w:rsidRPr="00BD7CEA">
        <w:rPr>
          <w:rFonts w:cs="Tahoma"/>
          <w:snapToGrid w:val="0"/>
          <w:color w:val="000000"/>
          <w:szCs w:val="18"/>
        </w:rPr>
        <w:t>Qualora Microsoft non rispetti la presente garanzia limitata e la società ne dia comunicazione a</w:t>
      </w:r>
      <w:r w:rsidR="007E1428" w:rsidRPr="00BD7CEA">
        <w:rPr>
          <w:rFonts w:cs="Tahoma"/>
          <w:snapToGrid w:val="0"/>
          <w:color w:val="000000"/>
          <w:szCs w:val="18"/>
        </w:rPr>
        <w:t> </w:t>
      </w:r>
      <w:r w:rsidRPr="00BD7CEA">
        <w:rPr>
          <w:rFonts w:cs="Tahoma"/>
          <w:snapToGrid w:val="0"/>
          <w:color w:val="000000"/>
          <w:szCs w:val="18"/>
        </w:rPr>
        <w:t>Microsoft entro il periodo di validità della garanzia, Microsoft fornirà i rimedi indicati nel Contratto di Servizio per il Servizio Online interessato.</w:t>
      </w:r>
      <w:r w:rsidR="008D782D" w:rsidRPr="00BD7CEA">
        <w:rPr>
          <w:rFonts w:cs="Tahoma"/>
          <w:snapToGrid w:val="0"/>
          <w:color w:val="000000"/>
          <w:szCs w:val="18"/>
        </w:rPr>
        <w:t xml:space="preserve"> </w:t>
      </w:r>
      <w:r w:rsidRPr="00BD7CEA">
        <w:rPr>
          <w:rFonts w:cs="Tahoma"/>
          <w:snapToGrid w:val="0"/>
          <w:color w:val="000000"/>
          <w:szCs w:val="18"/>
        </w:rPr>
        <w:t>Questi sono gli unici rimedi della società relativi all</w:t>
      </w:r>
      <w:r w:rsidR="007A1415" w:rsidRPr="00BD7CEA">
        <w:rPr>
          <w:rFonts w:cs="Tahoma"/>
          <w:snapToGrid w:val="0"/>
          <w:color w:val="000000"/>
          <w:szCs w:val="18"/>
        </w:rPr>
        <w:t>’</w:t>
      </w:r>
      <w:r w:rsidRPr="00BD7CEA">
        <w:rPr>
          <w:rFonts w:cs="Tahoma"/>
          <w:snapToGrid w:val="0"/>
          <w:color w:val="000000"/>
          <w:szCs w:val="18"/>
        </w:rPr>
        <w:t>inadempimento della garanzia limitata, fatti salvi gli eventuali altri rimedi previsti dalla legge applicabile.</w:t>
      </w:r>
    </w:p>
    <w:p w:rsidR="007E1428" w:rsidRPr="00BD7CEA" w:rsidRDefault="007E1428" w:rsidP="00391D38">
      <w:pPr>
        <w:spacing w:before="120"/>
        <w:ind w:left="1440"/>
        <w:jc w:val="both"/>
        <w:rPr>
          <w:rFonts w:cs="Tahoma"/>
          <w:snapToGrid w:val="0"/>
          <w:color w:val="000000"/>
          <w:szCs w:val="18"/>
        </w:rPr>
      </w:pPr>
    </w:p>
    <w:p w:rsidR="00391D38" w:rsidRPr="00BD7CEA" w:rsidRDefault="00391D38" w:rsidP="00391D38">
      <w:pPr>
        <w:spacing w:before="120"/>
        <w:ind w:left="1440"/>
        <w:jc w:val="both"/>
      </w:pPr>
      <w:r w:rsidRPr="00BD7CEA">
        <w:rPr>
          <w:rFonts w:cs="Tahoma"/>
          <w:snapToGrid w:val="0"/>
          <w:color w:val="000000"/>
          <w:szCs w:val="18"/>
        </w:rPr>
        <w:t>Tale garanzia limitata è soggetta alle seguenti limitazioni:</w:t>
      </w:r>
    </w:p>
    <w:p w:rsidR="00391D38" w:rsidRPr="00BD7CEA" w:rsidRDefault="00391D38" w:rsidP="007358C5">
      <w:pPr>
        <w:numPr>
          <w:ilvl w:val="0"/>
          <w:numId w:val="123"/>
        </w:numPr>
        <w:spacing w:before="120"/>
        <w:ind w:left="1800"/>
        <w:contextualSpacing/>
        <w:jc w:val="both"/>
      </w:pPr>
      <w:r w:rsidRPr="00BD7CEA">
        <w:rPr>
          <w:rFonts w:cs="Tahoma"/>
          <w:snapToGrid w:val="0"/>
          <w:color w:val="000000"/>
          <w:szCs w:val="18"/>
        </w:rPr>
        <w:t>qualsiasi garanzia o condizione implicita di legge, che non può essere esclusa contrattualmente avrà validità di un anno dalla data di inizio della garanzia limitata;</w:t>
      </w:r>
    </w:p>
    <w:p w:rsidR="00391D38" w:rsidRPr="00BD7CEA" w:rsidRDefault="00391D38" w:rsidP="007358C5">
      <w:pPr>
        <w:numPr>
          <w:ilvl w:val="0"/>
          <w:numId w:val="123"/>
        </w:numPr>
        <w:spacing w:before="120"/>
        <w:ind w:left="1800"/>
        <w:contextualSpacing/>
        <w:jc w:val="both"/>
      </w:pPr>
      <w:r w:rsidRPr="00BD7CEA">
        <w:rPr>
          <w:rFonts w:cs="Tahoma"/>
          <w:snapToGrid w:val="0"/>
          <w:color w:val="000000"/>
          <w:szCs w:val="18"/>
        </w:rPr>
        <w:t>la garanzia limitata non copre problemi causati da incidenti, da un uso improprio o da un utilizzo non conforme alle disposizioni del presente Contratto Multilicenza della società o ai Diritti di Utilizzo del Prodotto oppure derivanti da eventi non soggetti al ragionevole controllo da parte di Microsoft;</w:t>
      </w:r>
    </w:p>
    <w:p w:rsidR="00391D38" w:rsidRPr="00BD7CEA" w:rsidRDefault="00391D38" w:rsidP="007358C5">
      <w:pPr>
        <w:numPr>
          <w:ilvl w:val="0"/>
          <w:numId w:val="123"/>
        </w:numPr>
        <w:spacing w:before="120"/>
        <w:ind w:left="1800"/>
        <w:contextualSpacing/>
        <w:jc w:val="both"/>
      </w:pPr>
      <w:r w:rsidRPr="00BD7CEA">
        <w:rPr>
          <w:rFonts w:cs="Tahoma"/>
          <w:snapToGrid w:val="0"/>
          <w:color w:val="000000"/>
          <w:szCs w:val="18"/>
        </w:rPr>
        <w:t>la garanzia limitata non si applica a prodotti gratuiti, di valutazione, in versione preliminare o in versione beta dei Servizi Online e</w:t>
      </w:r>
    </w:p>
    <w:p w:rsidR="00391D38" w:rsidRPr="00BD7CEA" w:rsidRDefault="00391D38" w:rsidP="007358C5">
      <w:pPr>
        <w:numPr>
          <w:ilvl w:val="0"/>
          <w:numId w:val="123"/>
        </w:numPr>
        <w:spacing w:before="120"/>
        <w:ind w:left="1800"/>
        <w:contextualSpacing/>
        <w:jc w:val="both"/>
      </w:pPr>
      <w:r w:rsidRPr="00BD7CEA">
        <w:rPr>
          <w:rFonts w:cs="Tahoma"/>
          <w:snapToGrid w:val="0"/>
          <w:color w:val="000000"/>
          <w:szCs w:val="18"/>
        </w:rPr>
        <w:t>la garanzia limitata non si applica a problemi dovuti al mancato soddisfacimento dei requisiti minimi di sistema.</w:t>
      </w:r>
    </w:p>
    <w:p w:rsidR="00391D38" w:rsidRPr="00BD7CEA" w:rsidRDefault="00391D38" w:rsidP="00391D38">
      <w:pPr>
        <w:spacing w:before="120"/>
        <w:ind w:left="1440"/>
        <w:jc w:val="both"/>
      </w:pPr>
      <w:r w:rsidRPr="00BD7CEA">
        <w:rPr>
          <w:rFonts w:cs="Tahoma"/>
          <w:b/>
          <w:bCs/>
          <w:snapToGrid w:val="0"/>
          <w:color w:val="000000"/>
          <w:szCs w:val="18"/>
        </w:rPr>
        <w:t>OLTRE ALLA PRESENTE GARANZIA LIMITATA, MICROSOFT NON FORNISCE ALTRE GARANZIE NÉ CONDIZIONI ESPRESSE O IMPLICITE. MICROSOFT NON RICONOSCE ALCUNA GARANZIA, DICHIARAZIONE NÉ CONDIZIONE IMPLICITA, INCLUSE LE GARANZIE DI COMMERCIABILITÀ (QUALITÀ NON INFERIORE ALLA MEDIA), ADEGUATEZZA PER UNO SCOPO SPECIFICO, QUALITÀ SODDISFACENTE, TITOLARITÀ O NON VIOLAZIONE DI DIRITTI DI TERZI.</w:t>
      </w:r>
      <w:r w:rsidR="008D782D" w:rsidRPr="00BD7CEA">
        <w:rPr>
          <w:rFonts w:cs="Tahoma"/>
          <w:b/>
          <w:bCs/>
          <w:snapToGrid w:val="0"/>
          <w:color w:val="000000"/>
          <w:szCs w:val="18"/>
        </w:rPr>
        <w:t xml:space="preserve"> </w:t>
      </w:r>
      <w:r w:rsidRPr="00BD7CEA">
        <w:rPr>
          <w:rFonts w:cs="Tahoma"/>
          <w:b/>
          <w:bCs/>
          <w:snapToGrid w:val="0"/>
          <w:color w:val="000000"/>
          <w:szCs w:val="18"/>
        </w:rPr>
        <w:t>LE PRESENTI ESCLUSIONI SI APPLICHERANNO NELLA MISURA MASSIMA CONSENTITA DALLA LEGGE APPLICABILE.</w:t>
      </w:r>
    </w:p>
    <w:p w:rsidR="00391D38" w:rsidRPr="00BD7CEA" w:rsidRDefault="00391D38" w:rsidP="007E466C">
      <w:pPr>
        <w:keepNext/>
        <w:spacing w:before="120" w:after="60"/>
        <w:ind w:left="1440"/>
        <w:outlineLvl w:val="0"/>
      </w:pPr>
      <w:r w:rsidRPr="00BD7CEA">
        <w:rPr>
          <w:rFonts w:cs="Tahoma"/>
          <w:b/>
          <w:bCs/>
          <w:iCs/>
          <w:snapToGrid w:val="0"/>
          <w:szCs w:val="18"/>
        </w:rPr>
        <w:t>Sicurezza e diritto alla protezione dei dati personali.</w:t>
      </w:r>
    </w:p>
    <w:p w:rsidR="00391D38" w:rsidRPr="00BD7CEA" w:rsidRDefault="00391D38" w:rsidP="007358C5">
      <w:pPr>
        <w:numPr>
          <w:ilvl w:val="1"/>
          <w:numId w:val="128"/>
        </w:numPr>
        <w:spacing w:before="120"/>
        <w:ind w:left="1800"/>
        <w:contextualSpacing/>
        <w:jc w:val="both"/>
      </w:pPr>
      <w:r w:rsidRPr="00BD7CEA">
        <w:rPr>
          <w:rFonts w:cs="Tahoma"/>
          <w:snapToGrid w:val="0"/>
          <w:color w:val="000000"/>
          <w:szCs w:val="18"/>
        </w:rPr>
        <w:t>Microsoft e la Società si atterranno a tutte le leggi e a tutti i regolamenti applicabili (inclusa la legge applicabile in materia di notifica dell</w:t>
      </w:r>
      <w:r w:rsidR="007A1415" w:rsidRPr="00BD7CEA">
        <w:rPr>
          <w:rFonts w:cs="Tahoma"/>
          <w:snapToGrid w:val="0"/>
          <w:color w:val="000000"/>
          <w:szCs w:val="18"/>
        </w:rPr>
        <w:t>’</w:t>
      </w:r>
      <w:r w:rsidRPr="00BD7CEA">
        <w:rPr>
          <w:rFonts w:cs="Tahoma"/>
          <w:snapToGrid w:val="0"/>
          <w:color w:val="000000"/>
          <w:szCs w:val="18"/>
        </w:rPr>
        <w:t>inadempimento delle obbligazioni di protezione).</w:t>
      </w:r>
      <w:r w:rsidR="008D782D" w:rsidRPr="00BD7CEA">
        <w:rPr>
          <w:rFonts w:cs="Tahoma"/>
          <w:snapToGrid w:val="0"/>
          <w:color w:val="000000"/>
          <w:szCs w:val="18"/>
        </w:rPr>
        <w:t xml:space="preserve"> </w:t>
      </w:r>
      <w:r w:rsidRPr="00BD7CEA">
        <w:rPr>
          <w:rFonts w:cs="Tahoma"/>
          <w:snapToGrid w:val="0"/>
          <w:color w:val="000000"/>
          <w:szCs w:val="18"/>
        </w:rPr>
        <w:t>Microsoft non è tuttavia responsabile della conformità alle leggi o ai regolamenti applicabili da parte della società o da parte del settore cui la società appartiene che non siano generalmente applicabili ai fornitori di servizi informatici.</w:t>
      </w:r>
      <w:r w:rsidR="008D782D" w:rsidRPr="00BD7CEA">
        <w:rPr>
          <w:rFonts w:cs="Tahoma"/>
          <w:snapToGrid w:val="0"/>
          <w:color w:val="000000"/>
          <w:szCs w:val="18"/>
        </w:rPr>
        <w:t xml:space="preserve"> </w:t>
      </w:r>
      <w:r w:rsidRPr="00BD7CEA">
        <w:rPr>
          <w:rFonts w:cs="Tahoma"/>
          <w:snapToGrid w:val="0"/>
          <w:color w:val="000000"/>
          <w:szCs w:val="18"/>
        </w:rPr>
        <w:t>La società autorizza Microsoft e coloro che agiscono per suo conto a elaborare le informazioni personali al fine di agevolare l</w:t>
      </w:r>
      <w:r w:rsidR="007A1415" w:rsidRPr="00BD7CEA">
        <w:rPr>
          <w:rFonts w:cs="Tahoma"/>
          <w:snapToGrid w:val="0"/>
          <w:color w:val="000000"/>
          <w:szCs w:val="18"/>
        </w:rPr>
        <w:t>’</w:t>
      </w:r>
      <w:r w:rsidRPr="00BD7CEA">
        <w:rPr>
          <w:rFonts w:cs="Tahoma"/>
          <w:snapToGrid w:val="0"/>
          <w:color w:val="000000"/>
          <w:szCs w:val="18"/>
        </w:rPr>
        <w:t>esecuzione del Contratto, incluse le presenti Condizioni Supplementari.</w:t>
      </w:r>
    </w:p>
    <w:p w:rsidR="00391D38" w:rsidRPr="00BD7CEA" w:rsidRDefault="00391D38" w:rsidP="007358C5">
      <w:pPr>
        <w:numPr>
          <w:ilvl w:val="1"/>
          <w:numId w:val="128"/>
        </w:numPr>
        <w:spacing w:before="120"/>
        <w:ind w:left="1800"/>
        <w:contextualSpacing/>
        <w:jc w:val="both"/>
      </w:pPr>
      <w:r w:rsidRPr="00BD7CEA">
        <w:rPr>
          <w:rFonts w:cs="Tahoma"/>
          <w:snapToGrid w:val="0"/>
          <w:color w:val="000000"/>
          <w:szCs w:val="18"/>
        </w:rPr>
        <w:t>In relazione all</w:t>
      </w:r>
      <w:r w:rsidR="007A1415" w:rsidRPr="00BD7CEA">
        <w:rPr>
          <w:rFonts w:cs="Tahoma"/>
          <w:snapToGrid w:val="0"/>
          <w:color w:val="000000"/>
          <w:szCs w:val="18"/>
        </w:rPr>
        <w:t>’</w:t>
      </w:r>
      <w:r w:rsidRPr="00BD7CEA">
        <w:rPr>
          <w:rFonts w:cs="Tahoma"/>
          <w:snapToGrid w:val="0"/>
          <w:color w:val="000000"/>
          <w:szCs w:val="18"/>
        </w:rPr>
        <w:t>utilizzo dei Servizi Online o nell</w:t>
      </w:r>
      <w:r w:rsidR="007A1415" w:rsidRPr="00BD7CEA">
        <w:rPr>
          <w:rFonts w:cs="Tahoma"/>
          <w:snapToGrid w:val="0"/>
          <w:color w:val="000000"/>
          <w:szCs w:val="18"/>
        </w:rPr>
        <w:t>’</w:t>
      </w:r>
      <w:r w:rsidRPr="00BD7CEA">
        <w:rPr>
          <w:rFonts w:cs="Tahoma"/>
          <w:snapToGrid w:val="0"/>
          <w:color w:val="000000"/>
          <w:szCs w:val="18"/>
        </w:rPr>
        <w:t xml:space="preserve">ambito del Contratto la società potrà decidere di fornire a Microsoft informazioni personali per conto di terzi (compresi i contatti, i rivenditori, </w:t>
      </w:r>
      <w:r w:rsidR="00A772FD" w:rsidRPr="00BD7CEA">
        <w:rPr>
          <w:rFonts w:cs="Tahoma"/>
          <w:snapToGrid w:val="0"/>
          <w:color w:val="000000"/>
          <w:szCs w:val="18"/>
        </w:rPr>
        <w:t>I </w:t>
      </w:r>
      <w:r w:rsidRPr="00BD7CEA">
        <w:rPr>
          <w:rFonts w:cs="Tahoma"/>
          <w:snapToGrid w:val="0"/>
          <w:color w:val="000000"/>
          <w:szCs w:val="18"/>
        </w:rPr>
        <w:t>distributori, gli amministratori e i dipendenti della società).</w:t>
      </w:r>
      <w:r w:rsidR="008D782D" w:rsidRPr="00BD7CEA">
        <w:rPr>
          <w:rFonts w:cs="Tahoma"/>
          <w:snapToGrid w:val="0"/>
          <w:color w:val="000000"/>
          <w:szCs w:val="18"/>
        </w:rPr>
        <w:t xml:space="preserve"> </w:t>
      </w:r>
      <w:r w:rsidRPr="00BD7CEA">
        <w:rPr>
          <w:rFonts w:cs="Tahoma"/>
          <w:snapToGrid w:val="0"/>
          <w:color w:val="000000"/>
          <w:szCs w:val="18"/>
        </w:rPr>
        <w:t>Prima di fornire informazioni personali a Microsoft, la società otterrà dai terzi interessati tutte le approvazioni necessarie ai sensi delle leggi applicabili in merito al diritto alla protezione dei dati personali.</w:t>
      </w:r>
    </w:p>
    <w:p w:rsidR="00391D38" w:rsidRPr="00BD7CEA" w:rsidRDefault="00391D38" w:rsidP="007358C5">
      <w:pPr>
        <w:numPr>
          <w:ilvl w:val="1"/>
          <w:numId w:val="128"/>
        </w:numPr>
        <w:spacing w:before="120"/>
        <w:ind w:left="1800"/>
        <w:contextualSpacing/>
        <w:jc w:val="both"/>
      </w:pPr>
      <w:r w:rsidRPr="00BD7CEA">
        <w:rPr>
          <w:rFonts w:cs="Tahoma"/>
          <w:snapToGrid w:val="0"/>
          <w:color w:val="000000"/>
          <w:szCs w:val="18"/>
        </w:rPr>
        <w:lastRenderedPageBreak/>
        <w:t>Le informazioni personali che la società fornisce in relazione al Contratto o all</w:t>
      </w:r>
      <w:r w:rsidR="007A1415" w:rsidRPr="00BD7CEA">
        <w:rPr>
          <w:rFonts w:cs="Tahoma"/>
          <w:snapToGrid w:val="0"/>
          <w:color w:val="000000"/>
          <w:szCs w:val="18"/>
        </w:rPr>
        <w:t>’</w:t>
      </w:r>
      <w:r w:rsidRPr="00BD7CEA">
        <w:rPr>
          <w:rFonts w:cs="Tahoma"/>
          <w:snapToGrid w:val="0"/>
          <w:color w:val="000000"/>
          <w:szCs w:val="18"/>
        </w:rPr>
        <w:t>utilizzo dei Servizi Online verranno elaborate ai sensi dell</w:t>
      </w:r>
      <w:r w:rsidR="007A1415" w:rsidRPr="00BD7CEA">
        <w:rPr>
          <w:rFonts w:cs="Tahoma"/>
          <w:snapToGrid w:val="0"/>
          <w:color w:val="000000"/>
          <w:szCs w:val="18"/>
        </w:rPr>
        <w:t>’</w:t>
      </w:r>
      <w:r w:rsidRPr="00BD7CEA">
        <w:rPr>
          <w:rFonts w:cs="Tahoma"/>
          <w:snapToGrid w:val="0"/>
          <w:color w:val="000000"/>
          <w:szCs w:val="18"/>
        </w:rPr>
        <w:t>informativa sulla privacy disponibile all</w:t>
      </w:r>
      <w:r w:rsidR="007A1415" w:rsidRPr="00BD7CEA">
        <w:rPr>
          <w:rFonts w:cs="Tahoma"/>
          <w:snapToGrid w:val="0"/>
          <w:color w:val="000000"/>
          <w:szCs w:val="18"/>
        </w:rPr>
        <w:t>’</w:t>
      </w:r>
      <w:r w:rsidRPr="00BD7CEA">
        <w:rPr>
          <w:rFonts w:cs="Tahoma"/>
          <w:snapToGrid w:val="0"/>
          <w:color w:val="000000"/>
          <w:szCs w:val="18"/>
        </w:rPr>
        <w:t xml:space="preserve">indirizzo </w:t>
      </w:r>
      <w:hyperlink r:id="rId52" w:history="1">
        <w:r w:rsidRPr="00BD7CEA">
          <w:rPr>
            <w:rFonts w:cs="Tahoma"/>
            <w:snapToGrid w:val="0"/>
            <w:color w:val="0000FF"/>
            <w:szCs w:val="18"/>
            <w:u w:val="single"/>
          </w:rPr>
          <w:t>https://www.microsoft.com/licensing/servicecenter</w:t>
        </w:r>
      </w:hyperlink>
      <w:r w:rsidRPr="00BD7CEA">
        <w:rPr>
          <w:rFonts w:cs="Tahoma"/>
          <w:snapToGrid w:val="0"/>
          <w:color w:val="000000"/>
          <w:szCs w:val="18"/>
        </w:rPr>
        <w:t>, fatta eccezione per eventuali informative sulla privacy specifiche per ciascun Prodotto e per i dettagli aggiuntivi relativi alla sicurezza e al diritto alla protezione dei dati personali indicati nei Diritti di Utilizzo del Prodotto.</w:t>
      </w:r>
      <w:r w:rsidR="008D782D" w:rsidRPr="00BD7CEA">
        <w:rPr>
          <w:rFonts w:cs="Tahoma"/>
          <w:snapToGrid w:val="0"/>
          <w:color w:val="000000"/>
          <w:szCs w:val="18"/>
        </w:rPr>
        <w:t xml:space="preserve"> </w:t>
      </w:r>
      <w:r w:rsidRPr="00BD7CEA">
        <w:rPr>
          <w:rFonts w:cs="Tahoma"/>
          <w:snapToGrid w:val="0"/>
          <w:color w:val="000000"/>
          <w:szCs w:val="18"/>
        </w:rPr>
        <w:t xml:space="preserve">I dati personali raccolti da Microsoft tramite i Servizi Online o i Servizi potranno essere trasferiti, archiviati ed elaborati negli Stati Uniti o in qualsiasi altro paese in cui è presente Microsoft o </w:t>
      </w:r>
      <w:r w:rsidR="00A772FD" w:rsidRPr="00BD7CEA">
        <w:rPr>
          <w:rFonts w:cs="Tahoma"/>
          <w:snapToGrid w:val="0"/>
          <w:color w:val="000000"/>
          <w:szCs w:val="18"/>
        </w:rPr>
        <w:t>I </w:t>
      </w:r>
      <w:r w:rsidRPr="00BD7CEA">
        <w:rPr>
          <w:rFonts w:cs="Tahoma"/>
          <w:snapToGrid w:val="0"/>
          <w:color w:val="000000"/>
          <w:szCs w:val="18"/>
        </w:rPr>
        <w:t>provider di servizi che operano per suo conto.</w:t>
      </w:r>
      <w:r w:rsidR="008D782D" w:rsidRPr="00BD7CEA">
        <w:rPr>
          <w:rFonts w:cs="Tahoma"/>
          <w:snapToGrid w:val="0"/>
          <w:color w:val="000000"/>
          <w:szCs w:val="18"/>
        </w:rPr>
        <w:t xml:space="preserve"> </w:t>
      </w:r>
      <w:r w:rsidRPr="00BD7CEA">
        <w:rPr>
          <w:rFonts w:cs="Tahoma"/>
          <w:snapToGrid w:val="0"/>
          <w:color w:val="000000"/>
          <w:szCs w:val="18"/>
        </w:rPr>
        <w:t>Utilizzando i Servizi Online, la società accetta le condizioni sopra indicate.</w:t>
      </w:r>
      <w:r w:rsidR="008D782D" w:rsidRPr="00BD7CEA">
        <w:rPr>
          <w:rFonts w:cs="Tahoma"/>
          <w:snapToGrid w:val="0"/>
          <w:color w:val="000000"/>
          <w:szCs w:val="18"/>
        </w:rPr>
        <w:t xml:space="preserve"> </w:t>
      </w:r>
      <w:r w:rsidRPr="00BD7CEA">
        <w:rPr>
          <w:rFonts w:cs="Tahoma"/>
          <w:snapToGrid w:val="0"/>
          <w:color w:val="000000"/>
          <w:szCs w:val="18"/>
        </w:rPr>
        <w:t>Microsoft aderisce al protocollo di Safe Harbor dell</w:t>
      </w:r>
      <w:r w:rsidR="007A1415" w:rsidRPr="00BD7CEA">
        <w:rPr>
          <w:rFonts w:cs="Tahoma"/>
          <w:snapToGrid w:val="0"/>
          <w:color w:val="000000"/>
          <w:szCs w:val="18"/>
        </w:rPr>
        <w:t>’</w:t>
      </w:r>
      <w:r w:rsidRPr="00BD7CEA">
        <w:rPr>
          <w:rFonts w:cs="Tahoma"/>
          <w:snapToGrid w:val="0"/>
          <w:color w:val="000000"/>
          <w:szCs w:val="18"/>
        </w:rPr>
        <w:t>Unione Europea (EU Safe Harbor) e di Safe Harbour della Svizzera (Swiss Safe Harbor) come stabilito dal Department of Commerce degli Stati Uniti relativamente alla raccolta, al trattamento e alla conservazione dei dati provenienti dall</w:t>
      </w:r>
      <w:r w:rsidR="007A1415" w:rsidRPr="00BD7CEA">
        <w:rPr>
          <w:rFonts w:cs="Tahoma"/>
          <w:snapToGrid w:val="0"/>
          <w:color w:val="000000"/>
          <w:szCs w:val="18"/>
        </w:rPr>
        <w:t>’</w:t>
      </w:r>
      <w:r w:rsidRPr="00BD7CEA">
        <w:rPr>
          <w:rFonts w:cs="Tahoma"/>
          <w:snapToGrid w:val="0"/>
          <w:color w:val="000000"/>
          <w:szCs w:val="18"/>
        </w:rPr>
        <w:t>Unione Europea, dallo Spazio Economico Europeo e</w:t>
      </w:r>
      <w:r w:rsidR="00A772FD" w:rsidRPr="00BD7CEA">
        <w:rPr>
          <w:rFonts w:cs="Tahoma"/>
          <w:snapToGrid w:val="0"/>
          <w:color w:val="000000"/>
          <w:szCs w:val="18"/>
        </w:rPr>
        <w:t> </w:t>
      </w:r>
      <w:r w:rsidRPr="00BD7CEA">
        <w:rPr>
          <w:rFonts w:cs="Tahoma"/>
          <w:snapToGrid w:val="0"/>
          <w:color w:val="000000"/>
          <w:szCs w:val="18"/>
        </w:rPr>
        <w:t>dalla Svizzera.</w:t>
      </w:r>
      <w:r w:rsidR="008D782D" w:rsidRPr="00BD7CEA">
        <w:rPr>
          <w:rFonts w:cs="Tahoma"/>
          <w:snapToGrid w:val="0"/>
          <w:color w:val="000000"/>
          <w:szCs w:val="18"/>
        </w:rPr>
        <w:t xml:space="preserve"> </w:t>
      </w:r>
    </w:p>
    <w:p w:rsidR="00391D38" w:rsidRPr="00BD7CEA" w:rsidRDefault="00391D38" w:rsidP="007E466C">
      <w:pPr>
        <w:keepNext/>
        <w:spacing w:before="120" w:after="60"/>
        <w:ind w:left="1440"/>
        <w:outlineLvl w:val="0"/>
      </w:pPr>
      <w:r w:rsidRPr="00BD7CEA">
        <w:rPr>
          <w:rFonts w:cs="Tahoma"/>
          <w:b/>
          <w:bCs/>
          <w:iCs/>
          <w:snapToGrid w:val="0"/>
          <w:szCs w:val="18"/>
        </w:rPr>
        <w:t>Tutela da parte della società.</w:t>
      </w:r>
    </w:p>
    <w:p w:rsidR="00391D38" w:rsidRPr="00BD7CEA" w:rsidRDefault="00391D38" w:rsidP="007E466C">
      <w:pPr>
        <w:ind w:left="1440"/>
        <w:jc w:val="both"/>
      </w:pPr>
      <w:r w:rsidRPr="00BD7CEA">
        <w:rPr>
          <w:rFonts w:cs="Tahoma"/>
          <w:snapToGrid w:val="0"/>
          <w:color w:val="000000"/>
          <w:szCs w:val="18"/>
        </w:rPr>
        <w:t>La società si impegna a difendere Microsoft nel caso in cui terzi che non siano consociate propongano un reclamo che:</w:t>
      </w:r>
    </w:p>
    <w:p w:rsidR="00391D38" w:rsidRPr="00BD7CEA" w:rsidRDefault="00391D38" w:rsidP="007358C5">
      <w:pPr>
        <w:numPr>
          <w:ilvl w:val="0"/>
          <w:numId w:val="129"/>
        </w:numPr>
        <w:spacing w:before="120"/>
        <w:ind w:left="1980" w:hanging="540"/>
        <w:contextualSpacing/>
        <w:jc w:val="both"/>
      </w:pPr>
      <w:r w:rsidRPr="00BD7CEA">
        <w:rPr>
          <w:rFonts w:cs="Tahoma"/>
          <w:snapToGrid w:val="0"/>
          <w:color w:val="000000"/>
          <w:szCs w:val="18"/>
        </w:rPr>
        <w:t>sostenga che i Dati della Società o i prodotti software non Microsoft ospitati da Microsoft per conto della società violino i diritti di brevetto, copyright o marchio di terzi o facciano un utilizzo illecito di un Segreto Commerciale oppure</w:t>
      </w:r>
    </w:p>
    <w:p w:rsidR="00391D38" w:rsidRPr="00BD7CEA" w:rsidRDefault="00391D38" w:rsidP="007358C5">
      <w:pPr>
        <w:numPr>
          <w:ilvl w:val="0"/>
          <w:numId w:val="129"/>
        </w:numPr>
        <w:spacing w:before="120"/>
        <w:ind w:left="1980" w:hanging="540"/>
        <w:contextualSpacing/>
        <w:jc w:val="both"/>
      </w:pPr>
      <w:r w:rsidRPr="00BD7CEA">
        <w:rPr>
          <w:rFonts w:cs="Tahoma"/>
          <w:snapToGrid w:val="0"/>
          <w:color w:val="000000"/>
          <w:szCs w:val="18"/>
        </w:rPr>
        <w:t>risulti dalla violazione delle condizioni dei Criteri di Utilizzo descritti nei Diritti di Utilizzo del Prodotto.</w:t>
      </w:r>
    </w:p>
    <w:p w:rsidR="00391D38" w:rsidRPr="00BD7CEA" w:rsidRDefault="00391D38" w:rsidP="00391D38">
      <w:pPr>
        <w:spacing w:before="120"/>
        <w:ind w:left="1440"/>
        <w:jc w:val="both"/>
      </w:pPr>
      <w:r w:rsidRPr="00BD7CEA">
        <w:rPr>
          <w:rFonts w:cs="Tahoma"/>
          <w:snapToGrid w:val="0"/>
          <w:color w:val="000000"/>
          <w:szCs w:val="18"/>
        </w:rPr>
        <w:t>In tali casi la società dovrà pagare l</w:t>
      </w:r>
      <w:r w:rsidR="007A1415" w:rsidRPr="00BD7CEA">
        <w:rPr>
          <w:rFonts w:cs="Tahoma"/>
          <w:snapToGrid w:val="0"/>
          <w:color w:val="000000"/>
          <w:szCs w:val="18"/>
        </w:rPr>
        <w:t>’</w:t>
      </w:r>
      <w:r w:rsidRPr="00BD7CEA">
        <w:rPr>
          <w:rFonts w:cs="Tahoma"/>
          <w:snapToGrid w:val="0"/>
          <w:color w:val="000000"/>
          <w:szCs w:val="18"/>
        </w:rPr>
        <w:t>importo liquidato in una sentenza definitiva di condanna (o in un accordo transattivo a cui la società abbia prestato il proprio consenso).</w:t>
      </w:r>
      <w:r w:rsidR="008D782D" w:rsidRPr="00BD7CEA">
        <w:rPr>
          <w:rFonts w:cs="Tahoma"/>
          <w:snapToGrid w:val="0"/>
          <w:color w:val="000000"/>
          <w:szCs w:val="18"/>
        </w:rPr>
        <w:t xml:space="preserve"> </w:t>
      </w:r>
      <w:r w:rsidRPr="00BD7CEA">
        <w:rPr>
          <w:rFonts w:cs="Tahoma"/>
          <w:snapToGrid w:val="0"/>
          <w:color w:val="000000"/>
          <w:szCs w:val="18"/>
        </w:rPr>
        <w:t>Nel presente Articolo viene riportato il rimedio esclusivo di Microsoft relativo a tali reclami.</w:t>
      </w:r>
    </w:p>
    <w:p w:rsidR="00391D38" w:rsidRPr="00BD7CEA" w:rsidRDefault="00391D38" w:rsidP="00391D38">
      <w:pPr>
        <w:spacing w:before="120"/>
        <w:ind w:left="1440"/>
        <w:jc w:val="both"/>
      </w:pPr>
      <w:r w:rsidRPr="00BD7CEA">
        <w:rPr>
          <w:rFonts w:cs="Tahoma"/>
          <w:snapToGrid w:val="0"/>
          <w:color w:val="000000"/>
          <w:szCs w:val="18"/>
        </w:rPr>
        <w:t>Microsoft dovrà informare tempestivamente la società dando preavviso scritto del reclamo in conformità al presente Articolo.</w:t>
      </w:r>
      <w:r w:rsidR="008D782D" w:rsidRPr="00BD7CEA">
        <w:rPr>
          <w:rFonts w:cs="Tahoma"/>
          <w:snapToGrid w:val="0"/>
          <w:color w:val="000000"/>
          <w:szCs w:val="18"/>
        </w:rPr>
        <w:t xml:space="preserve"> </w:t>
      </w:r>
      <w:r w:rsidRPr="00BD7CEA">
        <w:rPr>
          <w:rFonts w:cs="Tahoma"/>
          <w:snapToGrid w:val="0"/>
          <w:color w:val="000000"/>
          <w:szCs w:val="18"/>
        </w:rPr>
        <w:t>Microsoft dovrà (1) affidare alla società l</w:t>
      </w:r>
      <w:r w:rsidR="007A1415" w:rsidRPr="00BD7CEA">
        <w:rPr>
          <w:rFonts w:cs="Tahoma"/>
          <w:snapToGrid w:val="0"/>
          <w:color w:val="000000"/>
          <w:szCs w:val="18"/>
        </w:rPr>
        <w:t>’</w:t>
      </w:r>
      <w:r w:rsidRPr="00BD7CEA">
        <w:rPr>
          <w:rFonts w:cs="Tahoma"/>
          <w:snapToGrid w:val="0"/>
          <w:color w:val="000000"/>
          <w:szCs w:val="18"/>
        </w:rPr>
        <w:t>esclusivo controllo della sua linea di difesa o dell</w:t>
      </w:r>
      <w:r w:rsidR="007A1415" w:rsidRPr="00BD7CEA">
        <w:rPr>
          <w:rFonts w:cs="Tahoma"/>
          <w:snapToGrid w:val="0"/>
          <w:color w:val="000000"/>
          <w:szCs w:val="18"/>
        </w:rPr>
        <w:t>’</w:t>
      </w:r>
      <w:r w:rsidRPr="00BD7CEA">
        <w:rPr>
          <w:rFonts w:cs="Tahoma"/>
          <w:snapToGrid w:val="0"/>
          <w:color w:val="000000"/>
          <w:szCs w:val="18"/>
        </w:rPr>
        <w:t>accordo transattivo di tale reclamo e (2) compiere ogni ragionevole sforzo per assistere la società nella definizione della linea di difesa. La società rimborserà inoltre a</w:t>
      </w:r>
      <w:r w:rsidR="00A772FD" w:rsidRPr="00BD7CEA">
        <w:rPr>
          <w:rFonts w:cs="Tahoma"/>
          <w:snapToGrid w:val="0"/>
          <w:color w:val="000000"/>
          <w:szCs w:val="18"/>
        </w:rPr>
        <w:t> </w:t>
      </w:r>
      <w:r w:rsidRPr="00BD7CEA">
        <w:rPr>
          <w:rFonts w:cs="Tahoma"/>
          <w:snapToGrid w:val="0"/>
          <w:color w:val="000000"/>
          <w:szCs w:val="18"/>
        </w:rPr>
        <w:t>Microsoft tutte le spese esposte in misura ragionevole e sostenute per fornire tale assistenza.</w:t>
      </w:r>
    </w:p>
    <w:p w:rsidR="00391D38" w:rsidRPr="00BD7CEA" w:rsidRDefault="00391D38" w:rsidP="007E466C">
      <w:pPr>
        <w:keepNext/>
        <w:spacing w:before="120" w:after="60"/>
        <w:ind w:left="1440"/>
        <w:outlineLvl w:val="0"/>
      </w:pPr>
      <w:r w:rsidRPr="00BD7CEA">
        <w:rPr>
          <w:rFonts w:cs="Tahoma"/>
          <w:b/>
          <w:bCs/>
          <w:iCs/>
          <w:snapToGrid w:val="0"/>
          <w:szCs w:val="18"/>
        </w:rPr>
        <w:t>Limitazione di responsabilità.</w:t>
      </w:r>
    </w:p>
    <w:p w:rsidR="00391D38" w:rsidRPr="00BD7CEA" w:rsidRDefault="00391D38" w:rsidP="007E466C">
      <w:pPr>
        <w:ind w:left="1440"/>
        <w:jc w:val="both"/>
      </w:pPr>
      <w:r w:rsidRPr="00BD7CEA">
        <w:rPr>
          <w:rFonts w:cs="Tahoma"/>
          <w:snapToGrid w:val="0"/>
          <w:color w:val="000000"/>
          <w:szCs w:val="18"/>
        </w:rPr>
        <w:t>Nella misura massima consentita dalla legge applicabile, la responsabilità di ciascuna delle parti, delle relative Consociate e dei relativi Collaboratori in relazione ai Servizi Online sarà limitata ai danni diretti fino alla concorrenza dell</w:t>
      </w:r>
      <w:r w:rsidR="007A1415" w:rsidRPr="00BD7CEA">
        <w:rPr>
          <w:rFonts w:cs="Tahoma"/>
          <w:snapToGrid w:val="0"/>
          <w:color w:val="000000"/>
          <w:szCs w:val="18"/>
        </w:rPr>
        <w:t>’</w:t>
      </w:r>
      <w:r w:rsidRPr="00BD7CEA">
        <w:rPr>
          <w:rFonts w:cs="Tahoma"/>
          <w:snapToGrid w:val="0"/>
          <w:color w:val="000000"/>
          <w:szCs w:val="18"/>
        </w:rPr>
        <w:t>importo che la società ha pagato per i Servizi Online che hanno dato origine a tale responsabilità durante i 12 mesi precedenti.</w:t>
      </w:r>
      <w:r w:rsidR="008D782D" w:rsidRPr="00BD7CEA">
        <w:rPr>
          <w:rFonts w:cs="Tahoma"/>
          <w:snapToGrid w:val="0"/>
          <w:color w:val="000000"/>
          <w:szCs w:val="18"/>
        </w:rPr>
        <w:t xml:space="preserve"> </w:t>
      </w:r>
      <w:r w:rsidRPr="00BD7CEA">
        <w:rPr>
          <w:rFonts w:cs="Tahoma"/>
          <w:snapToGrid w:val="0"/>
          <w:color w:val="000000"/>
          <w:szCs w:val="18"/>
        </w:rPr>
        <w:t>Le presenti limitazioni si applicano indipendentemente dal fondamento giuridico delle azioni risarcitorie poste in essere dalla società, siano esse relative a inadempimento contrattuale, illecito civile (inclusa la negligenza), responsabilità oggettiva o violazione delle garanzie.</w:t>
      </w:r>
      <w:r w:rsidR="008D782D" w:rsidRPr="00BD7CEA">
        <w:rPr>
          <w:rFonts w:cs="Tahoma"/>
          <w:snapToGrid w:val="0"/>
          <w:color w:val="000000"/>
          <w:szCs w:val="18"/>
        </w:rPr>
        <w:t xml:space="preserve"> </w:t>
      </w:r>
      <w:r w:rsidRPr="00BD7CEA">
        <w:rPr>
          <w:rFonts w:cs="Tahoma"/>
          <w:snapToGrid w:val="0"/>
          <w:color w:val="000000"/>
          <w:szCs w:val="18"/>
        </w:rPr>
        <w:t>Tuttavia, tali limitazioni monetarie non si applicheranno:</w:t>
      </w:r>
    </w:p>
    <w:p w:rsidR="00391D38" w:rsidRPr="00BD7CEA" w:rsidRDefault="00391D38" w:rsidP="007358C5">
      <w:pPr>
        <w:numPr>
          <w:ilvl w:val="0"/>
          <w:numId w:val="124"/>
        </w:numPr>
        <w:spacing w:before="120"/>
        <w:ind w:left="1890" w:hanging="450"/>
        <w:contextualSpacing/>
        <w:jc w:val="both"/>
      </w:pPr>
      <w:r w:rsidRPr="00BD7CEA">
        <w:rPr>
          <w:rFonts w:cs="Tahoma"/>
          <w:snapToGrid w:val="0"/>
          <w:color w:val="000000"/>
          <w:szCs w:val="18"/>
        </w:rPr>
        <w:t>alle obbligazioni di Microsoft ai sensi dell</w:t>
      </w:r>
      <w:r w:rsidR="007A1415" w:rsidRPr="00BD7CEA">
        <w:rPr>
          <w:rFonts w:cs="Tahoma"/>
          <w:snapToGrid w:val="0"/>
          <w:color w:val="000000"/>
          <w:szCs w:val="18"/>
        </w:rPr>
        <w:t>’</w:t>
      </w:r>
      <w:r w:rsidRPr="00BD7CEA">
        <w:rPr>
          <w:rFonts w:cs="Tahoma"/>
          <w:snapToGrid w:val="0"/>
          <w:color w:val="000000"/>
          <w:szCs w:val="18"/>
        </w:rPr>
        <w:t>Articolo dell</w:t>
      </w:r>
      <w:r w:rsidR="007A1415" w:rsidRPr="00BD7CEA">
        <w:rPr>
          <w:rFonts w:cs="Tahoma"/>
          <w:snapToGrid w:val="0"/>
          <w:color w:val="000000"/>
          <w:szCs w:val="18"/>
        </w:rPr>
        <w:t>’</w:t>
      </w:r>
      <w:r w:rsidRPr="00BD7CEA">
        <w:rPr>
          <w:rFonts w:cs="Tahoma"/>
          <w:snapToGrid w:val="0"/>
          <w:color w:val="000000"/>
          <w:szCs w:val="18"/>
        </w:rPr>
        <w:t>Accordo Principale relativo alla “Difesa dai reclami di terzi aventi ad oggetto la violazione dei diritti e l</w:t>
      </w:r>
      <w:r w:rsidR="007A1415" w:rsidRPr="00BD7CEA">
        <w:rPr>
          <w:rFonts w:cs="Tahoma"/>
          <w:snapToGrid w:val="0"/>
          <w:color w:val="000000"/>
          <w:szCs w:val="18"/>
        </w:rPr>
        <w:t>’</w:t>
      </w:r>
      <w:r w:rsidRPr="00BD7CEA">
        <w:rPr>
          <w:rFonts w:cs="Tahoma"/>
          <w:snapToGrid w:val="0"/>
          <w:color w:val="000000"/>
          <w:szCs w:val="18"/>
        </w:rPr>
        <w:t>appropriazione indebita”, né alle obbligazioni della società ai sensi dell</w:t>
      </w:r>
      <w:r w:rsidR="007A1415" w:rsidRPr="00BD7CEA">
        <w:rPr>
          <w:rFonts w:cs="Tahoma"/>
          <w:snapToGrid w:val="0"/>
          <w:color w:val="000000"/>
          <w:szCs w:val="18"/>
        </w:rPr>
        <w:t>’</w:t>
      </w:r>
      <w:r w:rsidRPr="00BD7CEA">
        <w:rPr>
          <w:rFonts w:cs="Tahoma"/>
          <w:snapToGrid w:val="0"/>
          <w:color w:val="000000"/>
          <w:szCs w:val="18"/>
        </w:rPr>
        <w:t>Articolo delle presenti Condizioni Supplementari intitolato “Tutela da parte della Società”;</w:t>
      </w:r>
    </w:p>
    <w:p w:rsidR="00391D38" w:rsidRPr="00BD7CEA" w:rsidRDefault="00391D38" w:rsidP="007358C5">
      <w:pPr>
        <w:numPr>
          <w:ilvl w:val="0"/>
          <w:numId w:val="124"/>
        </w:numPr>
        <w:spacing w:before="120"/>
        <w:ind w:left="1890" w:hanging="450"/>
        <w:contextualSpacing/>
        <w:jc w:val="both"/>
      </w:pPr>
      <w:r w:rsidRPr="00BD7CEA">
        <w:rPr>
          <w:rFonts w:cs="Tahoma"/>
          <w:snapToGrid w:val="0"/>
          <w:color w:val="000000"/>
          <w:szCs w:val="18"/>
        </w:rPr>
        <w:t>alle responsabilità derivanti da qualsiasi inadempimento di una delle parti delle obbligazioni previste ai sensi dell</w:t>
      </w:r>
      <w:r w:rsidR="007A1415" w:rsidRPr="00BD7CEA">
        <w:rPr>
          <w:rFonts w:cs="Tahoma"/>
          <w:snapToGrid w:val="0"/>
          <w:color w:val="000000"/>
          <w:szCs w:val="18"/>
        </w:rPr>
        <w:t>’</w:t>
      </w:r>
      <w:r w:rsidRPr="00BD7CEA">
        <w:rPr>
          <w:rFonts w:cs="Tahoma"/>
          <w:snapToGrid w:val="0"/>
          <w:color w:val="000000"/>
          <w:szCs w:val="18"/>
        </w:rPr>
        <w:t>Articolo delle Condizioni dell</w:t>
      </w:r>
      <w:r w:rsidR="007A1415" w:rsidRPr="00BD7CEA">
        <w:rPr>
          <w:rFonts w:cs="Tahoma"/>
          <w:snapToGrid w:val="0"/>
          <w:color w:val="000000"/>
          <w:szCs w:val="18"/>
        </w:rPr>
        <w:t>’</w:t>
      </w:r>
      <w:r w:rsidRPr="00BD7CEA">
        <w:rPr>
          <w:rFonts w:cs="Tahoma"/>
          <w:snapToGrid w:val="0"/>
          <w:color w:val="000000"/>
          <w:szCs w:val="18"/>
        </w:rPr>
        <w:t>Accordo Principale intitolato “Riservatezza”, fatto salvo che la responsabilità di Microsoft derivante da o in relazione ai Dati della Società sarà in tutti i casi limitata all</w:t>
      </w:r>
      <w:r w:rsidR="007A1415" w:rsidRPr="00BD7CEA">
        <w:rPr>
          <w:rFonts w:cs="Tahoma"/>
          <w:snapToGrid w:val="0"/>
          <w:color w:val="000000"/>
          <w:szCs w:val="18"/>
        </w:rPr>
        <w:t>’</w:t>
      </w:r>
      <w:r w:rsidRPr="00BD7CEA">
        <w:rPr>
          <w:rFonts w:cs="Tahoma"/>
          <w:snapToGrid w:val="0"/>
          <w:color w:val="000000"/>
          <w:szCs w:val="18"/>
        </w:rPr>
        <w:t xml:space="preserve">importo pagato dalla società per i Servizi Online che hanno dato origine a tale responsabilità nei 12 mesi precedenti e </w:t>
      </w:r>
    </w:p>
    <w:p w:rsidR="00391D38" w:rsidRPr="00BD7CEA" w:rsidRDefault="00391D38" w:rsidP="007358C5">
      <w:pPr>
        <w:numPr>
          <w:ilvl w:val="0"/>
          <w:numId w:val="124"/>
        </w:numPr>
        <w:spacing w:before="120"/>
        <w:ind w:left="1890" w:hanging="450"/>
        <w:contextualSpacing/>
        <w:jc w:val="both"/>
      </w:pPr>
      <w:r w:rsidRPr="00BD7CEA">
        <w:rPr>
          <w:rFonts w:cs="Tahoma"/>
          <w:snapToGrid w:val="0"/>
          <w:color w:val="000000"/>
          <w:szCs w:val="18"/>
        </w:rPr>
        <w:t>alla violazione a opera di una delle parti dei diritti di proprietà intellettuale dell</w:t>
      </w:r>
      <w:r w:rsidR="007A1415" w:rsidRPr="00BD7CEA">
        <w:rPr>
          <w:rFonts w:cs="Tahoma"/>
          <w:snapToGrid w:val="0"/>
          <w:color w:val="000000"/>
          <w:szCs w:val="18"/>
        </w:rPr>
        <w:t>’</w:t>
      </w:r>
      <w:r w:rsidRPr="00BD7CEA">
        <w:rPr>
          <w:rFonts w:cs="Tahoma"/>
          <w:snapToGrid w:val="0"/>
          <w:color w:val="000000"/>
          <w:szCs w:val="18"/>
        </w:rPr>
        <w:t>altra parte.</w:t>
      </w:r>
    </w:p>
    <w:p w:rsidR="00391D38" w:rsidRPr="00BD7CEA" w:rsidRDefault="00391D38" w:rsidP="00391D38">
      <w:pPr>
        <w:spacing w:before="120"/>
        <w:ind w:left="1440"/>
        <w:jc w:val="both"/>
      </w:pPr>
      <w:r w:rsidRPr="00BD7CEA">
        <w:rPr>
          <w:rFonts w:cs="Tahoma"/>
          <w:b/>
          <w:bCs/>
          <w:snapToGrid w:val="0"/>
          <w:color w:val="000000"/>
          <w:szCs w:val="18"/>
        </w:rPr>
        <w:t>NELLA MISURA MASSIMA CONSENTITA DALLA LEGGE APPLICABILE, INDIPENDENTEMENTE DAL FONDAMENTO GIURIDICO DEL RECLAMO, LE PARTI, LE RISPETTIVE CONSOCIATE O I RISPETTIVI COLLABORATORI NON SARANNO RESPONSABILI DI DANNI INDIRETTI, CONSEQUENZIALI, SPECIALI O INCIDENTALI NÉ DI DANNI DOVUTI A LUCRO CESSANTE, INTERRUZIONE DELL</w:t>
      </w:r>
      <w:r w:rsidR="007A1415" w:rsidRPr="00BD7CEA">
        <w:rPr>
          <w:rFonts w:cs="Tahoma"/>
          <w:b/>
          <w:bCs/>
          <w:snapToGrid w:val="0"/>
          <w:color w:val="000000"/>
          <w:szCs w:val="18"/>
        </w:rPr>
        <w:t>’</w:t>
      </w:r>
      <w:r w:rsidRPr="00BD7CEA">
        <w:rPr>
          <w:rFonts w:cs="Tahoma"/>
          <w:b/>
          <w:bCs/>
          <w:snapToGrid w:val="0"/>
          <w:color w:val="000000"/>
          <w:szCs w:val="18"/>
        </w:rPr>
        <w:t>ATTIVITÀ O PERDITA DI INFORMAZIONI RELATIVI AL CONTRATTO O ALLE PRESENTI CONDIZIONI SUPPLEMENTARI, ANCHE NEL CASO IN CUI I SOGGETTI DI CUI SOPRA SIANO STATI INFORMATI DELLA POSSIBILITÀ DEL VERIFICARSI DI TALI DANNI O TALE POSSIBILITÀ FOSSE RAGIONEVOLMENTE PREVEDIBILE.</w:t>
      </w:r>
      <w:r w:rsidR="008D782D" w:rsidRPr="00BD7CEA">
        <w:rPr>
          <w:rFonts w:cs="Tahoma"/>
          <w:b/>
          <w:bCs/>
          <w:snapToGrid w:val="0"/>
          <w:color w:val="000000"/>
          <w:szCs w:val="18"/>
        </w:rPr>
        <w:t xml:space="preserve"> </w:t>
      </w:r>
      <w:r w:rsidRPr="00BD7CEA">
        <w:rPr>
          <w:rFonts w:cs="Tahoma"/>
          <w:b/>
          <w:bCs/>
          <w:snapToGrid w:val="0"/>
          <w:color w:val="000000"/>
          <w:szCs w:val="18"/>
        </w:rPr>
        <w:t xml:space="preserve">TUTTAVIA, TALE ESCLUSIONE DI RESPONSABILITÀ NON SI APPLICA NEL CASO DI INADEMPIMENTO DELLE </w:t>
      </w:r>
      <w:r w:rsidRPr="00BD7CEA">
        <w:rPr>
          <w:rFonts w:cs="Tahoma"/>
          <w:b/>
          <w:bCs/>
          <w:snapToGrid w:val="0"/>
          <w:color w:val="000000"/>
          <w:szCs w:val="18"/>
        </w:rPr>
        <w:lastRenderedPageBreak/>
        <w:t>OBBLIGAZIONI DI RISERVATEZZA (FATTA ECCEZIONE PER I CASI IN CUI TALE VIOLAZIONE NON RIGUARDI I DATI DELLA SOCIETÀ) DI UNA PARTE NEI CONFRONTI DELL</w:t>
      </w:r>
      <w:r w:rsidR="007A1415" w:rsidRPr="00BD7CEA">
        <w:rPr>
          <w:rFonts w:cs="Tahoma"/>
          <w:b/>
          <w:bCs/>
          <w:snapToGrid w:val="0"/>
          <w:color w:val="000000"/>
          <w:szCs w:val="18"/>
        </w:rPr>
        <w:t>’</w:t>
      </w:r>
      <w:r w:rsidRPr="00BD7CEA">
        <w:rPr>
          <w:rFonts w:cs="Tahoma"/>
          <w:b/>
          <w:bCs/>
          <w:snapToGrid w:val="0"/>
          <w:color w:val="000000"/>
          <w:szCs w:val="18"/>
        </w:rPr>
        <w:t>ALTRA NÉ NEL CASO DI VIOLAZIONE DEI DIRITTI DI PROPRIETÀ INTELLETTUALE DELL</w:t>
      </w:r>
      <w:r w:rsidR="007A1415" w:rsidRPr="00BD7CEA">
        <w:rPr>
          <w:rFonts w:cs="Tahoma"/>
          <w:b/>
          <w:bCs/>
          <w:snapToGrid w:val="0"/>
          <w:color w:val="000000"/>
          <w:szCs w:val="18"/>
        </w:rPr>
        <w:t>’</w:t>
      </w:r>
      <w:r w:rsidRPr="00BD7CEA">
        <w:rPr>
          <w:rFonts w:cs="Tahoma"/>
          <w:b/>
          <w:bCs/>
          <w:snapToGrid w:val="0"/>
          <w:color w:val="000000"/>
          <w:szCs w:val="18"/>
        </w:rPr>
        <w:t>ALTRA PARTE, DELLE OBBLIGAZIONI DI MICROSOFT DEFINITE AI SENSI DELL</w:t>
      </w:r>
      <w:r w:rsidR="007A1415" w:rsidRPr="00BD7CEA">
        <w:rPr>
          <w:rFonts w:cs="Tahoma"/>
          <w:b/>
          <w:bCs/>
          <w:snapToGrid w:val="0"/>
          <w:color w:val="000000"/>
          <w:szCs w:val="18"/>
        </w:rPr>
        <w:t>’</w:t>
      </w:r>
      <w:r w:rsidRPr="00BD7CEA">
        <w:rPr>
          <w:rFonts w:cs="Tahoma"/>
          <w:b/>
          <w:bCs/>
          <w:snapToGrid w:val="0"/>
          <w:color w:val="000000"/>
          <w:szCs w:val="18"/>
        </w:rPr>
        <w:t>ARTICOLO CONTENUTO NELLE CONDIZIONI DELL</w:t>
      </w:r>
      <w:r w:rsidR="007A1415" w:rsidRPr="00BD7CEA">
        <w:rPr>
          <w:rFonts w:cs="Tahoma"/>
          <w:b/>
          <w:bCs/>
          <w:snapToGrid w:val="0"/>
          <w:color w:val="000000"/>
          <w:szCs w:val="18"/>
        </w:rPr>
        <w:t>’</w:t>
      </w:r>
      <w:r w:rsidRPr="00BD7CEA">
        <w:rPr>
          <w:rFonts w:cs="Tahoma"/>
          <w:b/>
          <w:bCs/>
          <w:snapToGrid w:val="0"/>
          <w:color w:val="000000"/>
          <w:szCs w:val="18"/>
        </w:rPr>
        <w:t>ACCORDO PRINCIPALE INTITOLATO “DIFESA DAI RECLAMI DI TERZI AVENTI AD OGGETTO LA VIOLAZIONE DEI DIRITTI E L</w:t>
      </w:r>
      <w:r w:rsidR="007A1415" w:rsidRPr="00BD7CEA">
        <w:rPr>
          <w:rFonts w:cs="Tahoma"/>
          <w:b/>
          <w:bCs/>
          <w:snapToGrid w:val="0"/>
          <w:color w:val="000000"/>
          <w:szCs w:val="18"/>
        </w:rPr>
        <w:t>’</w:t>
      </w:r>
      <w:r w:rsidRPr="00BD7CEA">
        <w:rPr>
          <w:rFonts w:cs="Tahoma"/>
          <w:b/>
          <w:bCs/>
          <w:snapToGrid w:val="0"/>
          <w:color w:val="000000"/>
          <w:szCs w:val="18"/>
        </w:rPr>
        <w:t>APPROPRIAZIONE INDEBITA” O DELLE OBBLIGAZIONI DELLA SOCIETÀ PREVISTE AI SENSI DELL</w:t>
      </w:r>
      <w:r w:rsidR="007A1415" w:rsidRPr="00BD7CEA">
        <w:rPr>
          <w:rFonts w:cs="Tahoma"/>
          <w:b/>
          <w:bCs/>
          <w:snapToGrid w:val="0"/>
          <w:color w:val="000000"/>
          <w:szCs w:val="18"/>
        </w:rPr>
        <w:t>’</w:t>
      </w:r>
      <w:r w:rsidRPr="00BD7CEA">
        <w:rPr>
          <w:rFonts w:cs="Tahoma"/>
          <w:b/>
          <w:bCs/>
          <w:snapToGrid w:val="0"/>
          <w:color w:val="000000"/>
          <w:szCs w:val="18"/>
        </w:rPr>
        <w:t>ARTICOLO CONTENUTO NELLE PRESENTI CONDIZIONI SUPPLEMENTARI E INTITOLATO “TUTELA DA PARTE DELLA SOCIETÀ”.</w:t>
      </w:r>
    </w:p>
    <w:p w:rsidR="00391D38" w:rsidRPr="00BD7CEA" w:rsidRDefault="00391D38" w:rsidP="007E466C">
      <w:pPr>
        <w:keepNext/>
        <w:spacing w:before="120" w:after="60"/>
        <w:ind w:left="1440"/>
        <w:outlineLvl w:val="0"/>
      </w:pPr>
      <w:r w:rsidRPr="00BD7CEA">
        <w:rPr>
          <w:rFonts w:cs="Tahoma"/>
          <w:b/>
          <w:bCs/>
          <w:iCs/>
          <w:snapToGrid w:val="0"/>
          <w:szCs w:val="18"/>
        </w:rPr>
        <w:t>Subappaltatori.</w:t>
      </w:r>
    </w:p>
    <w:p w:rsidR="00391D38" w:rsidRPr="00BD7CEA" w:rsidRDefault="00391D38" w:rsidP="00391D38">
      <w:pPr>
        <w:ind w:left="1440"/>
      </w:pPr>
      <w:r w:rsidRPr="00BD7CEA">
        <w:rPr>
          <w:rFonts w:cs="Tahoma"/>
          <w:snapToGrid w:val="0"/>
          <w:szCs w:val="18"/>
        </w:rPr>
        <w:t>Microsoft potrà ricorrere all</w:t>
      </w:r>
      <w:r w:rsidR="007A1415" w:rsidRPr="00BD7CEA">
        <w:rPr>
          <w:rFonts w:cs="Tahoma"/>
          <w:snapToGrid w:val="0"/>
          <w:szCs w:val="18"/>
        </w:rPr>
        <w:t>’</w:t>
      </w:r>
      <w:r w:rsidRPr="00BD7CEA">
        <w:rPr>
          <w:rFonts w:cs="Tahoma"/>
          <w:snapToGrid w:val="0"/>
          <w:szCs w:val="18"/>
        </w:rPr>
        <w:t>attività prestata da Collaboratori per supportare i Servizi Online.</w:t>
      </w:r>
      <w:r w:rsidR="008D782D" w:rsidRPr="00BD7CEA">
        <w:rPr>
          <w:rFonts w:cs="Tahoma"/>
          <w:snapToGrid w:val="0"/>
          <w:szCs w:val="18"/>
        </w:rPr>
        <w:t xml:space="preserve"> </w:t>
      </w:r>
      <w:r w:rsidRPr="00BD7CEA">
        <w:rPr>
          <w:rFonts w:cs="Tahoma"/>
          <w:snapToGrid w:val="0"/>
          <w:szCs w:val="18"/>
        </w:rPr>
        <w:t>Microsoft sarà responsabile delle loro prestazioni secondo quanto previsto dalle condizioni del Contratto Multilicenza della società.</w:t>
      </w:r>
    </w:p>
    <w:p w:rsidR="00A772FD" w:rsidRPr="00BD7CEA" w:rsidRDefault="00A772FD" w:rsidP="0084072C">
      <w:pPr>
        <w:ind w:left="720"/>
      </w:pPr>
    </w:p>
    <w:p w:rsidR="005D1A15" w:rsidRPr="00BD7CEA" w:rsidRDefault="005D1A15" w:rsidP="005D1A15">
      <w:pPr>
        <w:spacing w:after="60"/>
        <w:ind w:left="720"/>
      </w:pPr>
      <w:r w:rsidRPr="00BD7CEA">
        <w:rPr>
          <w:rFonts w:cs="Tahoma"/>
          <w:b/>
          <w:color w:val="000000"/>
          <w:szCs w:val="20"/>
        </w:rPr>
        <w:t>Diritti di True-Up</w:t>
      </w:r>
    </w:p>
    <w:p w:rsidR="005D1A15" w:rsidRPr="00BD7CEA" w:rsidRDefault="005D1A15" w:rsidP="005D1A15">
      <w:pPr>
        <w:spacing w:after="60"/>
        <w:ind w:left="720"/>
      </w:pPr>
      <w:r w:rsidRPr="00BD7CEA">
        <w:rPr>
          <w:rFonts w:cs="Tahoma"/>
          <w:color w:val="000000"/>
          <w:szCs w:val="20"/>
        </w:rPr>
        <w:t>Nonostante eventuali disposizioni contrarie dei Diritti di Utilizzo del Prodotto per Forefront Unified Access Gateway 2010 a decorrere dal 1 dicembre 2012, per le Società Qualificanti, le licenze Enterprise CAL Suite acquistate ai sensi dei diritti di true-up dopo il 1 dicembre 2012 consentono l</w:t>
      </w:r>
      <w:r w:rsidR="007A1415" w:rsidRPr="00BD7CEA">
        <w:rPr>
          <w:rFonts w:cs="Tahoma"/>
          <w:color w:val="000000"/>
          <w:szCs w:val="20"/>
        </w:rPr>
        <w:t>’</w:t>
      </w:r>
      <w:r w:rsidRPr="00BD7CEA">
        <w:rPr>
          <w:rFonts w:cs="Tahoma"/>
          <w:color w:val="000000"/>
          <w:szCs w:val="20"/>
        </w:rPr>
        <w:t>accesso a Forefront Unified Access Gateway 2010. Le “Società Qualificanti” sono società titolari di Iscrizioni Enterprise o Enterprise Subscription, società titolari di contratti Open Value Subscription (OVS) o società titolari di contratti Enrollment for Education Solutions che hanno acquistato Enterprise CAL Suite per la prima volta in data precedente al 1 dicembre 2012 e godono del diritto, attribuito dalla medesima iscrizione o dal medesimo contratto OVS, di acquistare licenze aggiuntive dopo il 1 dicembre 2012 ai sensi della procedura di true-up.</w:t>
      </w:r>
      <w:r w:rsidR="008D782D" w:rsidRPr="00BD7CEA">
        <w:rPr>
          <w:rFonts w:cs="Tahoma"/>
          <w:color w:val="000000"/>
          <w:szCs w:val="20"/>
        </w:rPr>
        <w:t xml:space="preserve"> </w:t>
      </w:r>
      <w:r w:rsidRPr="00BD7CEA">
        <w:rPr>
          <w:rFonts w:cs="Tahoma"/>
          <w:color w:val="000000"/>
          <w:szCs w:val="20"/>
        </w:rPr>
        <w:t>Tale eccezione si applica solo alle licenze acquistate ai sensi di diritti di true-up prima del primo rinnovo effettuato dalla Società Qualificante successivamente al 1 dicembre 2012. Vedere l</w:t>
      </w:r>
      <w:r w:rsidR="007A1415" w:rsidRPr="00BD7CEA">
        <w:rPr>
          <w:rFonts w:cs="Tahoma"/>
          <w:color w:val="000000"/>
          <w:szCs w:val="20"/>
        </w:rPr>
        <w:t>’</w:t>
      </w:r>
      <w:r w:rsidRPr="00BD7CEA">
        <w:rPr>
          <w:rFonts w:cs="Tahoma"/>
          <w:color w:val="000000"/>
          <w:szCs w:val="20"/>
        </w:rPr>
        <w:t>Articolo “Diritti sull</w:t>
      </w:r>
      <w:r w:rsidR="007A1415" w:rsidRPr="00BD7CEA">
        <w:rPr>
          <w:rFonts w:cs="Tahoma"/>
          <w:color w:val="000000"/>
          <w:szCs w:val="20"/>
        </w:rPr>
        <w:t>’</w:t>
      </w:r>
      <w:r w:rsidRPr="00BD7CEA">
        <w:rPr>
          <w:rFonts w:cs="Tahoma"/>
          <w:color w:val="000000"/>
          <w:szCs w:val="20"/>
        </w:rPr>
        <w:t>Utilizzo Estesi per i prodotti Forefront” di seguito per informazioni sui diritti sull</w:t>
      </w:r>
      <w:r w:rsidR="007A1415" w:rsidRPr="00BD7CEA">
        <w:rPr>
          <w:rFonts w:cs="Tahoma"/>
          <w:color w:val="000000"/>
          <w:szCs w:val="20"/>
        </w:rPr>
        <w:t>’</w:t>
      </w:r>
      <w:r w:rsidRPr="00BD7CEA">
        <w:rPr>
          <w:rFonts w:cs="Tahoma"/>
          <w:color w:val="000000"/>
          <w:szCs w:val="20"/>
        </w:rPr>
        <w:t>utilizzo estesi ai sensi dell</w:t>
      </w:r>
      <w:r w:rsidR="007A1415" w:rsidRPr="00BD7CEA">
        <w:rPr>
          <w:rFonts w:cs="Tahoma"/>
          <w:color w:val="000000"/>
          <w:szCs w:val="20"/>
        </w:rPr>
        <w:t>’</w:t>
      </w:r>
      <w:r w:rsidRPr="00BD7CEA">
        <w:rPr>
          <w:rFonts w:cs="Tahoma"/>
          <w:color w:val="000000"/>
          <w:szCs w:val="20"/>
        </w:rPr>
        <w:t>Enterprise CAL Suite per i componenti della Forefront Protection Suite (parte dell</w:t>
      </w:r>
      <w:r w:rsidR="007A1415" w:rsidRPr="00BD7CEA">
        <w:rPr>
          <w:rFonts w:cs="Tahoma"/>
          <w:color w:val="000000"/>
          <w:szCs w:val="20"/>
        </w:rPr>
        <w:t>’</w:t>
      </w:r>
      <w:r w:rsidRPr="00BD7CEA">
        <w:rPr>
          <w:rFonts w:cs="Tahoma"/>
          <w:color w:val="000000"/>
          <w:szCs w:val="20"/>
        </w:rPr>
        <w:t>Enterprise CAL Suite fino al 30 novembre 2012).</w:t>
      </w:r>
    </w:p>
    <w:p w:rsidR="005D1A15" w:rsidRPr="00BD7CEA" w:rsidRDefault="005D1A15" w:rsidP="005D1A15">
      <w:pPr>
        <w:spacing w:before="120" w:after="60"/>
        <w:ind w:left="720"/>
      </w:pPr>
      <w:r w:rsidRPr="00BD7CEA">
        <w:rPr>
          <w:rFonts w:cs="Tahoma"/>
          <w:color w:val="000000"/>
          <w:szCs w:val="20"/>
        </w:rPr>
        <w:t>Rinnovo della copertura Software Assurance per Forefront Unified Access Gateway al di fuori della Enterprise CAL Suite. Le società autorizzate all</w:t>
      </w:r>
      <w:r w:rsidR="007A1415" w:rsidRPr="00BD7CEA">
        <w:rPr>
          <w:rFonts w:cs="Tahoma"/>
          <w:color w:val="000000"/>
          <w:szCs w:val="20"/>
        </w:rPr>
        <w:t>’</w:t>
      </w:r>
      <w:r w:rsidRPr="00BD7CEA">
        <w:rPr>
          <w:rFonts w:cs="Tahoma"/>
          <w:color w:val="000000"/>
          <w:szCs w:val="20"/>
        </w:rPr>
        <w:t>utilizzo di Forefront Unified Access Gateway ai sensi di licenze Enterprise CAL Suite con copertura Software Assurance (con licenze acquistate prima del 1 dicembre 2012 o con diritti di true-up, come descritto in precedenza), al primo rinnovo di tale copertura a partire dal 1 dicembre 2012 dispongono dell</w:t>
      </w:r>
      <w:r w:rsidR="007A1415" w:rsidRPr="00BD7CEA">
        <w:rPr>
          <w:rFonts w:cs="Tahoma"/>
          <w:color w:val="000000"/>
          <w:szCs w:val="20"/>
        </w:rPr>
        <w:t>’</w:t>
      </w:r>
      <w:r w:rsidRPr="00BD7CEA">
        <w:rPr>
          <w:rFonts w:cs="Tahoma"/>
          <w:color w:val="000000"/>
          <w:szCs w:val="20"/>
        </w:rPr>
        <w:t>opzione di acquistare la copertura Software Assurance per Forefront Unified Access Gateway al di fuori della Enterprise CAL Suite senza prima acquistare una licenza separata per Forefront Unified Access Gateway. Tale offerta di acquisto di Forefront Unified Access Gateway è valida per un numero massimo di licenze pari al numero totale di licenze Enterprise CAL Suite con copertura Software Assurance in</w:t>
      </w:r>
      <w:r w:rsidR="000E1172" w:rsidRPr="00BD7CEA">
        <w:rPr>
          <w:rFonts w:cs="Tahoma"/>
          <w:color w:val="000000"/>
          <w:szCs w:val="20"/>
        </w:rPr>
        <w:t> </w:t>
      </w:r>
      <w:r w:rsidRPr="00BD7CEA">
        <w:rPr>
          <w:rFonts w:cs="Tahoma"/>
          <w:color w:val="000000"/>
          <w:szCs w:val="20"/>
        </w:rPr>
        <w:t>possesso della società immediatamente prima del rinnovo.</w:t>
      </w:r>
    </w:p>
    <w:p w:rsidR="005D1A15" w:rsidRPr="00BD7CEA" w:rsidRDefault="005D1A15" w:rsidP="005204B6">
      <w:pPr>
        <w:ind w:left="720"/>
      </w:pPr>
    </w:p>
    <w:p w:rsidR="004E3869" w:rsidRPr="00BD7CEA" w:rsidRDefault="00A2724A" w:rsidP="0084072C">
      <w:pPr>
        <w:spacing w:after="60"/>
        <w:ind w:left="720"/>
      </w:pPr>
      <w:r w:rsidRPr="00BD7CEA">
        <w:rPr>
          <w:rFonts w:cs="Tahoma"/>
          <w:b/>
          <w:color w:val="000000"/>
          <w:szCs w:val="20"/>
        </w:rPr>
        <w:t>Diritti sull</w:t>
      </w:r>
      <w:r w:rsidR="007A1415" w:rsidRPr="00BD7CEA">
        <w:rPr>
          <w:rFonts w:cs="Tahoma"/>
          <w:b/>
          <w:color w:val="000000"/>
          <w:szCs w:val="20"/>
        </w:rPr>
        <w:t>’</w:t>
      </w:r>
      <w:r w:rsidRPr="00BD7CEA">
        <w:rPr>
          <w:rFonts w:cs="Tahoma"/>
          <w:b/>
          <w:color w:val="000000"/>
          <w:szCs w:val="20"/>
        </w:rPr>
        <w:t>Utilizzo Estesi per i prodotti Forefront</w:t>
      </w:r>
    </w:p>
    <w:p w:rsidR="00C349AE" w:rsidRPr="00BD7CEA" w:rsidRDefault="00793CBD" w:rsidP="0084072C">
      <w:pPr>
        <w:ind w:left="720"/>
        <w:rPr>
          <w:spacing w:val="-2"/>
        </w:rPr>
      </w:pPr>
      <w:r w:rsidRPr="00BD7CEA">
        <w:rPr>
          <w:rFonts w:cs="Tahoma"/>
          <w:bCs/>
          <w:color w:val="000000"/>
          <w:spacing w:val="-2"/>
          <w:szCs w:val="18"/>
        </w:rPr>
        <w:t>Le società con copertura Software Assurance attiva per Enterprise CAL Suite a partire dal 30 novembre 2012 potranno continuare a utilizzare i servizi componenti di Forefront Protection Suite (che in precedenza appartenevano a Enterprise CAL Suite) fino alla scadenza e/o al rinnovo di tale copertura.</w:t>
      </w:r>
      <w:r w:rsidR="008D782D" w:rsidRPr="00BD7CEA">
        <w:rPr>
          <w:rFonts w:cs="Tahoma"/>
          <w:bCs/>
          <w:color w:val="000000"/>
          <w:spacing w:val="-2"/>
          <w:szCs w:val="18"/>
        </w:rPr>
        <w:t xml:space="preserve"> </w:t>
      </w:r>
      <w:r w:rsidRPr="00BD7CEA">
        <w:rPr>
          <w:rFonts w:cs="Tahoma"/>
          <w:bCs/>
          <w:color w:val="000000"/>
          <w:spacing w:val="-2"/>
          <w:szCs w:val="18"/>
        </w:rPr>
        <w:t>Tali società potranno</w:t>
      </w:r>
      <w:r w:rsidR="00DC6528">
        <w:rPr>
          <w:rFonts w:cs="Tahoma"/>
          <w:bCs/>
          <w:color w:val="000000"/>
          <w:spacing w:val="-2"/>
          <w:szCs w:val="18"/>
        </w:rPr>
        <w:t> </w:t>
      </w:r>
      <w:r w:rsidRPr="00BD7CEA">
        <w:rPr>
          <w:rFonts w:cs="Tahoma"/>
          <w:bCs/>
          <w:color w:val="000000"/>
          <w:spacing w:val="-2"/>
          <w:szCs w:val="18"/>
        </w:rPr>
        <w:t xml:space="preserve">inoltre continuare a utilizzare i componenti </w:t>
      </w:r>
      <w:r w:rsidRPr="00BD7CEA">
        <w:rPr>
          <w:rFonts w:cs="Tahoma"/>
          <w:color w:val="000000"/>
          <w:spacing w:val="-2"/>
          <w:szCs w:val="20"/>
        </w:rPr>
        <w:t xml:space="preserve">Forefront for Office Communications Server, Forefront Protection 2010 for Exchange Server, Forefront Threat Management Gateway Web Protection Service e Forefront Protection 2010 for SharePoint Server </w:t>
      </w:r>
      <w:r w:rsidRPr="00BD7CEA">
        <w:rPr>
          <w:rFonts w:cs="Tahoma"/>
          <w:bCs/>
          <w:color w:val="000000"/>
          <w:spacing w:val="-2"/>
          <w:szCs w:val="18"/>
        </w:rPr>
        <w:t xml:space="preserve">della famiglia di prodotti fino al 31 dicembre 2015. Tali condizioni si applicano anche alle licenze Enterprise CAL Suite successive acquistate da tali società prima </w:t>
      </w:r>
      <w:r w:rsidR="00DC6528">
        <w:rPr>
          <w:rFonts w:cs="Tahoma"/>
          <w:bCs/>
          <w:color w:val="000000"/>
          <w:spacing w:val="-2"/>
          <w:szCs w:val="18"/>
        </w:rPr>
        <w:br/>
      </w:r>
      <w:r w:rsidRPr="00BD7CEA">
        <w:rPr>
          <w:rFonts w:cs="Tahoma"/>
          <w:bCs/>
          <w:color w:val="000000"/>
          <w:spacing w:val="-2"/>
          <w:szCs w:val="18"/>
        </w:rPr>
        <w:t>del 31 dicembre 2015. L</w:t>
      </w:r>
      <w:r w:rsidR="007A1415" w:rsidRPr="00BD7CEA">
        <w:rPr>
          <w:rFonts w:cs="Tahoma"/>
          <w:bCs/>
          <w:color w:val="000000"/>
          <w:spacing w:val="-2"/>
          <w:szCs w:val="18"/>
        </w:rPr>
        <w:t>’</w:t>
      </w:r>
      <w:r w:rsidRPr="00BD7CEA">
        <w:rPr>
          <w:rFonts w:cs="Tahoma"/>
          <w:bCs/>
          <w:color w:val="000000"/>
          <w:spacing w:val="-2"/>
          <w:szCs w:val="18"/>
        </w:rPr>
        <w:t>utilizzo continuato dei servizi online dei componenti rimane soggetto alle condizioni del Contratto Multilicenza della società, ai diritti di utilizzo del prodotto per i servizi online e alle presenti condizioni.</w:t>
      </w:r>
    </w:p>
    <w:p w:rsidR="00C349AE" w:rsidRPr="00BD7CEA" w:rsidRDefault="00C349AE" w:rsidP="0084072C">
      <w:pPr>
        <w:ind w:left="720"/>
      </w:pPr>
    </w:p>
    <w:p w:rsidR="004E3869" w:rsidRPr="00BD7CEA" w:rsidRDefault="004E3869" w:rsidP="0084072C">
      <w:pPr>
        <w:spacing w:after="60"/>
        <w:ind w:left="720"/>
      </w:pPr>
      <w:r w:rsidRPr="00BD7CEA">
        <w:rPr>
          <w:rFonts w:cs="Tahoma"/>
          <w:b/>
          <w:color w:val="000000"/>
          <w:szCs w:val="20"/>
        </w:rPr>
        <w:t xml:space="preserve">Forefront Protection Suite </w:t>
      </w:r>
    </w:p>
    <w:p w:rsidR="004E3869" w:rsidRPr="00BD7CEA" w:rsidRDefault="004E3869" w:rsidP="0084072C">
      <w:pPr>
        <w:ind w:left="720"/>
      </w:pPr>
      <w:r w:rsidRPr="00BD7CEA">
        <w:rPr>
          <w:rFonts w:cs="Tahoma"/>
          <w:color w:val="000000"/>
          <w:szCs w:val="20"/>
        </w:rPr>
        <w:t>Un abbonamento a Forefront Protection Suite è costituito dai seguenti servizi online:</w:t>
      </w:r>
      <w:r w:rsidR="008D782D" w:rsidRPr="00BD7CEA">
        <w:rPr>
          <w:rFonts w:cs="Tahoma"/>
          <w:color w:val="000000"/>
          <w:szCs w:val="20"/>
        </w:rPr>
        <w:t xml:space="preserve"> </w:t>
      </w:r>
      <w:r w:rsidRPr="00BD7CEA">
        <w:rPr>
          <w:rFonts w:cs="Tahoma"/>
          <w:color w:val="000000"/>
          <w:szCs w:val="20"/>
        </w:rPr>
        <w:t>System Center 2012 Endpoint Protection, Forefront for Office Communications Server (ex Antigen for Instant Messaging), Forefront Online Protection for Exchange (ex Exchange Hosted Filtering), Forefront Protection 2010 for</w:t>
      </w:r>
      <w:r w:rsidR="00DC6528">
        <w:rPr>
          <w:rFonts w:cs="Tahoma"/>
          <w:color w:val="000000"/>
          <w:szCs w:val="20"/>
        </w:rPr>
        <w:t> </w:t>
      </w:r>
      <w:r w:rsidRPr="00BD7CEA">
        <w:rPr>
          <w:rFonts w:cs="Tahoma"/>
          <w:color w:val="000000"/>
          <w:szCs w:val="20"/>
        </w:rPr>
        <w:t>Exchange Server, Forefront Threat Management Gateway Web Protection Service e Forefront Protection</w:t>
      </w:r>
      <w:r w:rsidR="00DC6528">
        <w:rPr>
          <w:rFonts w:cs="Tahoma"/>
          <w:color w:val="000000"/>
          <w:szCs w:val="20"/>
        </w:rPr>
        <w:t> </w:t>
      </w:r>
      <w:r w:rsidRPr="00BD7CEA">
        <w:rPr>
          <w:rFonts w:cs="Tahoma"/>
          <w:color w:val="000000"/>
          <w:szCs w:val="20"/>
        </w:rPr>
        <w:t xml:space="preserve">2010 for SharePoint Server. </w:t>
      </w:r>
    </w:p>
    <w:p w:rsidR="00023FE7" w:rsidRPr="00BD7CEA" w:rsidRDefault="00023FE7" w:rsidP="0084072C">
      <w:pPr>
        <w:spacing w:after="60"/>
        <w:ind w:left="720"/>
      </w:pPr>
      <w:r w:rsidRPr="00BD7CEA">
        <w:rPr>
          <w:rFonts w:cs="Tahoma"/>
          <w:b/>
          <w:color w:val="000000"/>
          <w:szCs w:val="20"/>
        </w:rPr>
        <w:t>CAL Solo per Studenti (Academic Open License e Academic Select)</w:t>
      </w:r>
    </w:p>
    <w:p w:rsidR="00023FE7" w:rsidRPr="00BD7CEA" w:rsidRDefault="00023FE7" w:rsidP="0084072C">
      <w:pPr>
        <w:ind w:left="720"/>
        <w:rPr>
          <w:spacing w:val="-2"/>
        </w:rPr>
      </w:pPr>
      <w:r w:rsidRPr="00BD7CEA">
        <w:rPr>
          <w:rFonts w:cs="Tahoma"/>
          <w:spacing w:val="-2"/>
          <w:szCs w:val="20"/>
        </w:rPr>
        <w:lastRenderedPageBreak/>
        <w:t>Le CAL Solo per Studenti sono limitate ai PC di proprietà dello studente titolare della licenza o ai PC di proprietà dell</w:t>
      </w:r>
      <w:r w:rsidR="007A1415" w:rsidRPr="00BD7CEA">
        <w:rPr>
          <w:rFonts w:cs="Tahoma"/>
          <w:spacing w:val="-2"/>
          <w:szCs w:val="20"/>
        </w:rPr>
        <w:t>’</w:t>
      </w:r>
      <w:r w:rsidRPr="00BD7CEA">
        <w:rPr>
          <w:rFonts w:cs="Tahoma"/>
          <w:spacing w:val="-2"/>
          <w:szCs w:val="20"/>
        </w:rPr>
        <w:t>Istituto che siano assegnati a un singolo studente e NON siano utilizzati nei laboratori o in classe.</w:t>
      </w:r>
    </w:p>
    <w:p w:rsidR="00026546" w:rsidRPr="00BD7CEA" w:rsidRDefault="00026546" w:rsidP="0084072C">
      <w:pPr>
        <w:ind w:left="720"/>
      </w:pPr>
    </w:p>
    <w:p w:rsidR="00D70D2C" w:rsidRPr="00BD7CEA" w:rsidRDefault="00D70D2C" w:rsidP="0084072C">
      <w:pPr>
        <w:ind w:left="540"/>
      </w:pPr>
    </w:p>
    <w:p w:rsidR="00D70D2C" w:rsidRPr="00BD7CEA" w:rsidRDefault="00F66FB0" w:rsidP="00D70D2C">
      <w:pPr>
        <w:pStyle w:val="Heading2"/>
        <w:ind w:left="270" w:hanging="270"/>
      </w:pPr>
      <w:bookmarkStart w:id="1233" w:name="_43_Exchange_Enterprise"/>
      <w:bookmarkStart w:id="1234" w:name="_44_Exchange_Online"/>
      <w:bookmarkStart w:id="1235" w:name="_45_Archiviazione_Exchange"/>
      <w:bookmarkStart w:id="1236" w:name="_Toc336338305"/>
      <w:bookmarkStart w:id="1237" w:name="_Toc353376083"/>
      <w:bookmarkStart w:id="1238" w:name="Srv_45ExchOnlineArchivingUserSL"/>
      <w:bookmarkEnd w:id="1233"/>
      <w:bookmarkEnd w:id="1234"/>
      <w:bookmarkEnd w:id="1235"/>
      <w:r w:rsidRPr="00BD7CEA">
        <w:rPr>
          <w:rFonts w:ascii="Tahoma" w:hAnsi="Tahoma" w:cs="Tahoma"/>
          <w:color w:val="F26200"/>
          <w:sz w:val="20"/>
          <w:vertAlign w:val="superscript"/>
        </w:rPr>
        <w:t>45</w:t>
      </w:r>
      <w:r w:rsidRPr="00BD7CEA">
        <w:rPr>
          <w:rFonts w:ascii="Tahoma" w:hAnsi="Tahoma" w:cs="Tahoma"/>
          <w:color w:val="F26200"/>
        </w:rPr>
        <w:t xml:space="preserve"> </w:t>
      </w:r>
      <w:r w:rsidRPr="00BD7CEA">
        <w:rPr>
          <w:rFonts w:ascii="Tahoma" w:hAnsi="Tahoma" w:cs="Tahoma"/>
          <w:color w:val="F26200"/>
          <w:sz w:val="22"/>
        </w:rPr>
        <w:t>Archiviazione Exchange Online (SL per Utente)</w:t>
      </w:r>
      <w:bookmarkEnd w:id="1236"/>
      <w:bookmarkEnd w:id="1237"/>
    </w:p>
    <w:bookmarkEnd w:id="1238"/>
    <w:p w:rsidR="00D70D2C" w:rsidRPr="00BD7CEA" w:rsidRDefault="00D70D2C" w:rsidP="00D70D2C">
      <w:pPr>
        <w:ind w:left="900"/>
      </w:pPr>
    </w:p>
    <w:p w:rsidR="00D70D2C" w:rsidRPr="00BD7CEA" w:rsidRDefault="00D70D2C" w:rsidP="00E62BC4">
      <w:pPr>
        <w:pStyle w:val="ListParagraph"/>
      </w:pPr>
      <w:r w:rsidRPr="00BD7CEA">
        <w:rPr>
          <w:rFonts w:ascii="Tahoma" w:hAnsi="Tahoma" w:cs="Tahoma"/>
          <w:color w:val="000000"/>
          <w:sz w:val="18"/>
          <w:szCs w:val="18"/>
        </w:rPr>
        <w:t>Archiviazione Exchange Online è un servizio online che succede a Exchange Hosted Archive.</w:t>
      </w:r>
    </w:p>
    <w:p w:rsidR="00D70D2C" w:rsidRPr="00DC6528" w:rsidRDefault="00D70D2C" w:rsidP="00E62BC4">
      <w:pPr>
        <w:pStyle w:val="ListParagraph"/>
        <w:rPr>
          <w:rFonts w:ascii="Tahoma" w:hAnsi="Tahoma" w:cs="Tahoma"/>
          <w:sz w:val="18"/>
          <w:szCs w:val="18"/>
        </w:rPr>
      </w:pPr>
    </w:p>
    <w:p w:rsidR="00D70D2C" w:rsidRPr="00BD7CEA" w:rsidRDefault="00D70D2C" w:rsidP="00E62BC4">
      <w:pPr>
        <w:ind w:left="720"/>
      </w:pPr>
      <w:r w:rsidRPr="00BD7CEA">
        <w:rPr>
          <w:rFonts w:cs="Tahoma"/>
          <w:color w:val="000000"/>
          <w:szCs w:val="18"/>
        </w:rPr>
        <w:t>Qualora la società effettui il rinnovo passando da Exchange Hosted Archive ad Archiviazione Exchange Online e non abbia ancora eseguito la migrazione ad Archiviazione Exchange</w:t>
      </w:r>
      <w:r w:rsidRPr="00BD7CEA">
        <w:rPr>
          <w:color w:val="000000"/>
        </w:rPr>
        <w:t xml:space="preserve"> Online, gli utenti in possesso di</w:t>
      </w:r>
      <w:r w:rsidR="000E1172" w:rsidRPr="00BD7CEA">
        <w:rPr>
          <w:color w:val="000000"/>
        </w:rPr>
        <w:t> </w:t>
      </w:r>
      <w:r w:rsidRPr="00BD7CEA">
        <w:rPr>
          <w:color w:val="000000"/>
        </w:rPr>
        <w:t>licenza potranno continuare a utilizzare il servizio Exchange Hosted Archive in conformità alle condizioni del</w:t>
      </w:r>
      <w:r w:rsidR="000E1172" w:rsidRPr="00BD7CEA">
        <w:rPr>
          <w:color w:val="000000"/>
        </w:rPr>
        <w:t> </w:t>
      </w:r>
      <w:r w:rsidRPr="00BD7CEA">
        <w:rPr>
          <w:color w:val="000000"/>
        </w:rPr>
        <w:t>PUR di marzo 2011 fino alla migrazione ad Archiviazione Exchange Online e alla scadenza della sottoscrizione di Archiviazione Exchange Online, a seconda di quale dei due eventi si verificherà per primo.</w:t>
      </w:r>
    </w:p>
    <w:p w:rsidR="00DC6528" w:rsidRDefault="00DC6528" w:rsidP="0084072C">
      <w:pPr>
        <w:spacing w:after="60"/>
        <w:ind w:left="720"/>
        <w:rPr>
          <w:rFonts w:eastAsia="Calibri" w:cs="Tahoma"/>
          <w:b/>
          <w:color w:val="000000"/>
          <w:szCs w:val="18"/>
        </w:rPr>
      </w:pPr>
    </w:p>
    <w:p w:rsidR="00B23BE6" w:rsidRPr="00BD7CEA" w:rsidRDefault="00B23BE6" w:rsidP="0084072C">
      <w:pPr>
        <w:spacing w:after="60"/>
        <w:ind w:left="720"/>
      </w:pPr>
      <w:r w:rsidRPr="00BD7CEA">
        <w:rPr>
          <w:rFonts w:eastAsia="Calibri" w:cs="Tahoma"/>
          <w:b/>
          <w:color w:val="000000"/>
          <w:szCs w:val="18"/>
        </w:rPr>
        <w:t>Community Cloud per Enti Pubblici (solo Stati Uniti)</w:t>
      </w:r>
    </w:p>
    <w:p w:rsidR="00B23BE6" w:rsidRPr="00BD7CEA" w:rsidRDefault="00B23BE6" w:rsidP="00E62BC4">
      <w:pPr>
        <w:ind w:left="720"/>
      </w:pPr>
      <w:r w:rsidRPr="00BD7CEA">
        <w:rPr>
          <w:rFonts w:eastAsia="Calibri" w:cs="Tahoma"/>
          <w:color w:val="000000"/>
          <w:szCs w:val="18"/>
        </w:rPr>
        <w:t>Alcuni servizi online della famiglia di prodotti Office 365 (incluso Archiviazione Exchange Online) sono offerti come servizi di community cloud per enti pubblici e come servizi di community cloud per enti non pubblici.</w:t>
      </w:r>
      <w:r w:rsidR="008D782D" w:rsidRPr="00BD7CEA">
        <w:rPr>
          <w:rFonts w:eastAsia="Calibri" w:cs="Tahoma"/>
          <w:color w:val="000000"/>
          <w:szCs w:val="18"/>
        </w:rPr>
        <w:t xml:space="preserve"> </w:t>
      </w:r>
      <w:r w:rsidRPr="00BD7CEA">
        <w:rPr>
          <w:rFonts w:eastAsia="Calibri" w:cs="Tahoma"/>
          <w:color w:val="000000"/>
          <w:szCs w:val="18"/>
        </w:rPr>
        <w:t>Alle società potrà essere effettuato il provisioning come ente pubblico o non pubblico, ma non come una combinazione di entrambi.</w:t>
      </w:r>
      <w:r w:rsidR="008D782D" w:rsidRPr="00BD7CEA">
        <w:rPr>
          <w:rFonts w:eastAsia="Calibri" w:cs="Tahoma"/>
          <w:color w:val="000000"/>
          <w:szCs w:val="18"/>
        </w:rPr>
        <w:t xml:space="preserve"> </w:t>
      </w:r>
      <w:r w:rsidRPr="00BD7CEA">
        <w:rPr>
          <w:rFonts w:eastAsia="Calibri" w:cs="Tahoma"/>
          <w:color w:val="000000"/>
          <w:szCs w:val="18"/>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8D782D" w:rsidRPr="00BD7CEA">
        <w:rPr>
          <w:rFonts w:eastAsia="Calibri" w:cs="Tahoma"/>
          <w:color w:val="000000"/>
          <w:szCs w:val="18"/>
        </w:rPr>
        <w:t xml:space="preserve"> </w:t>
      </w:r>
    </w:p>
    <w:p w:rsidR="00B23BE6" w:rsidRPr="00BD7CEA" w:rsidRDefault="00B23BE6" w:rsidP="00E62BC4">
      <w:pPr>
        <w:ind w:left="720"/>
      </w:pPr>
    </w:p>
    <w:p w:rsidR="00B23BE6" w:rsidRPr="00BD7CEA" w:rsidRDefault="00B23BE6" w:rsidP="00E62BC4">
      <w:pPr>
        <w:ind w:left="720"/>
      </w:pPr>
      <w:r w:rsidRPr="00BD7CEA">
        <w:rPr>
          <w:rFonts w:eastAsia="Calibri" w:cs="Tahoma"/>
          <w:color w:val="000000"/>
          <w:szCs w:val="18"/>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7A1415" w:rsidRPr="00BD7CEA">
        <w:rPr>
          <w:rFonts w:eastAsia="Calibri" w:cs="Tahoma"/>
          <w:color w:val="000000"/>
          <w:szCs w:val="18"/>
        </w:rPr>
        <w:t>’</w:t>
      </w:r>
      <w:r w:rsidRPr="00BD7CEA">
        <w:rPr>
          <w:rFonts w:eastAsia="Calibri" w:cs="Tahoma"/>
          <w:color w:val="000000"/>
          <w:szCs w:val="18"/>
        </w:rPr>
        <w:t>Iscrizione Enterprise o Enterprise Subscription per Enti Pubblici Statunitensi per essere idonei all</w:t>
      </w:r>
      <w:r w:rsidR="007A1415" w:rsidRPr="00BD7CEA">
        <w:rPr>
          <w:rFonts w:eastAsia="Calibri" w:cs="Tahoma"/>
          <w:color w:val="000000"/>
          <w:szCs w:val="18"/>
        </w:rPr>
        <w:t>’</w:t>
      </w:r>
      <w:r w:rsidRPr="00BD7CEA">
        <w:rPr>
          <w:rFonts w:eastAsia="Calibri" w:cs="Tahoma"/>
          <w:color w:val="000000"/>
          <w:szCs w:val="18"/>
        </w:rPr>
        <w:t>acquisto di servizi online designati come community cloud per enti pubblici.</w:t>
      </w:r>
      <w:r w:rsidR="008D782D" w:rsidRPr="00BD7CEA">
        <w:rPr>
          <w:rFonts w:eastAsia="Calibri" w:cs="Tahoma"/>
          <w:color w:val="000000"/>
          <w:szCs w:val="18"/>
        </w:rPr>
        <w:t xml:space="preserve"> </w:t>
      </w:r>
      <w:r w:rsidRPr="00BD7CEA">
        <w:rPr>
          <w:rFonts w:eastAsia="Calibri" w:cs="Tahoma"/>
          <w:color w:val="000000"/>
          <w:szCs w:val="18"/>
        </w:rPr>
        <w:t>I Diritti sull</w:t>
      </w:r>
      <w:r w:rsidR="007A1415" w:rsidRPr="00BD7CEA">
        <w:rPr>
          <w:rFonts w:eastAsia="Calibri" w:cs="Tahoma"/>
          <w:color w:val="000000"/>
          <w:szCs w:val="18"/>
        </w:rPr>
        <w:t>’</w:t>
      </w:r>
      <w:r w:rsidRPr="00BD7CEA">
        <w:rPr>
          <w:rFonts w:eastAsia="Calibri" w:cs="Tahoma"/>
          <w:color w:val="000000"/>
          <w:szCs w:val="18"/>
        </w:rPr>
        <w:t>Utilizzo relativi ai servizi di community cloud per enti pubblici sono simili a quelli dei loro equivalenti multi-tenant standard.</w:t>
      </w:r>
      <w:r w:rsidR="008D782D" w:rsidRPr="00BD7CEA">
        <w:rPr>
          <w:rFonts w:eastAsia="Calibri" w:cs="Tahoma"/>
          <w:color w:val="000000"/>
          <w:szCs w:val="18"/>
        </w:rPr>
        <w:t xml:space="preserve"> </w:t>
      </w:r>
      <w:r w:rsidRPr="00BD7CEA">
        <w:rPr>
          <w:rFonts w:eastAsia="Calibri" w:cs="Tahoma"/>
          <w:color w:val="000000"/>
          <w:szCs w:val="18"/>
        </w:rPr>
        <w:t>I servizi di community cloud per enti pubblici non sono in questa fase idonei alla Prenotazione di Licenze e alle Transizioni.</w:t>
      </w:r>
    </w:p>
    <w:p w:rsidR="00B23BE6" w:rsidRPr="00BD7CEA" w:rsidRDefault="00B23BE6" w:rsidP="00D70D2C">
      <w:pPr>
        <w:ind w:left="540"/>
      </w:pPr>
    </w:p>
    <w:p w:rsidR="00EC1F23" w:rsidRPr="00BD7CEA" w:rsidRDefault="00EC1F23" w:rsidP="0084072C">
      <w:pPr>
        <w:pStyle w:val="Heading2"/>
        <w:ind w:left="0"/>
        <w:rPr>
          <w:sz w:val="18"/>
          <w:szCs w:val="18"/>
        </w:rPr>
      </w:pPr>
    </w:p>
    <w:p w:rsidR="00EC1F23" w:rsidRPr="00BD7CEA" w:rsidRDefault="00F66FB0" w:rsidP="00465757">
      <w:pPr>
        <w:pStyle w:val="Heading2"/>
        <w:ind w:left="270" w:hanging="270"/>
      </w:pPr>
      <w:bookmarkStart w:id="1239" w:name="_45_Exchange_Hosted"/>
      <w:bookmarkStart w:id="1240" w:name="_Toc336338306"/>
      <w:bookmarkStart w:id="1241" w:name="_Toc353376084"/>
      <w:bookmarkStart w:id="1242" w:name="Srv_44ExchHostArchiveandStorage"/>
      <w:bookmarkEnd w:id="1239"/>
      <w:r w:rsidRPr="00BD7CEA">
        <w:rPr>
          <w:rFonts w:ascii="Tahoma" w:hAnsi="Tahoma" w:cs="Tahoma"/>
          <w:color w:val="F26200"/>
          <w:sz w:val="20"/>
          <w:vertAlign w:val="superscript"/>
        </w:rPr>
        <w:t>46</w:t>
      </w:r>
      <w:r w:rsidRPr="00BD7CEA">
        <w:rPr>
          <w:rFonts w:ascii="Tahoma" w:hAnsi="Tahoma" w:cs="Tahoma"/>
          <w:color w:val="F26200"/>
        </w:rPr>
        <w:t xml:space="preserve"> </w:t>
      </w:r>
      <w:r w:rsidRPr="00BD7CEA">
        <w:rPr>
          <w:rFonts w:ascii="Tahoma" w:hAnsi="Tahoma" w:cs="Tahoma"/>
          <w:color w:val="F26200"/>
          <w:sz w:val="22"/>
        </w:rPr>
        <w:t>Exchange Hosted Archive (SL per Utente), Exchange Hosted Archive Extra Storage (SL Add-on)</w:t>
      </w:r>
      <w:bookmarkEnd w:id="1240"/>
      <w:bookmarkEnd w:id="1241"/>
      <w:r w:rsidRPr="00BD7CEA">
        <w:rPr>
          <w:rFonts w:ascii="Tahoma" w:hAnsi="Tahoma" w:cs="Tahoma"/>
          <w:color w:val="F26200"/>
          <w:sz w:val="22"/>
        </w:rPr>
        <w:t xml:space="preserve"> </w:t>
      </w:r>
      <w:bookmarkEnd w:id="1242"/>
    </w:p>
    <w:p w:rsidR="00EC1F23" w:rsidRPr="00BD7CEA" w:rsidRDefault="00EC1F23" w:rsidP="00EC1F23">
      <w:pPr>
        <w:ind w:left="900"/>
      </w:pPr>
    </w:p>
    <w:p w:rsidR="00EC1F23" w:rsidRPr="00BD7CEA" w:rsidRDefault="00EC1F23" w:rsidP="0084072C">
      <w:pPr>
        <w:spacing w:after="60"/>
        <w:ind w:left="720"/>
      </w:pPr>
      <w:r w:rsidRPr="00BD7CEA">
        <w:rPr>
          <w:rFonts w:eastAsia="Calibri" w:cs="Tahoma"/>
          <w:b/>
          <w:bCs/>
          <w:iCs/>
          <w:color w:val="000000"/>
        </w:rPr>
        <w:t>Concessione di Licenza del 1 Maggio 2011 per Società Exchange Hosted Archive</w:t>
      </w:r>
      <w:r w:rsidRPr="00BD7CEA">
        <w:rPr>
          <w:rFonts w:eastAsia="Calibri" w:cs="Tahoma"/>
          <w:b/>
          <w:iCs/>
          <w:color w:val="000000"/>
        </w:rPr>
        <w:t xml:space="preserve"> </w:t>
      </w:r>
    </w:p>
    <w:p w:rsidR="00EC1F23" w:rsidRPr="00BD7CEA" w:rsidRDefault="00EC1F23" w:rsidP="00E62BC4">
      <w:pPr>
        <w:ind w:left="720"/>
        <w:rPr>
          <w:spacing w:val="-2"/>
        </w:rPr>
      </w:pPr>
      <w:r w:rsidRPr="00BD7CEA">
        <w:rPr>
          <w:rFonts w:eastAsia="Calibri" w:cs="Tahoma"/>
          <w:iCs/>
          <w:color w:val="000000"/>
          <w:spacing w:val="-2"/>
        </w:rPr>
        <w:t>Alle società viene concessa un</w:t>
      </w:r>
      <w:r w:rsidR="007A1415" w:rsidRPr="00BD7CEA">
        <w:rPr>
          <w:rFonts w:eastAsia="Calibri" w:cs="Tahoma"/>
          <w:iCs/>
          <w:color w:val="000000"/>
          <w:spacing w:val="-2"/>
        </w:rPr>
        <w:t>’</w:t>
      </w:r>
      <w:r w:rsidRPr="00BD7CEA">
        <w:rPr>
          <w:rFonts w:eastAsia="Calibri" w:cs="Tahoma"/>
          <w:iCs/>
          <w:color w:val="000000"/>
          <w:spacing w:val="-2"/>
        </w:rPr>
        <w:t>ulteriore quantità di licenze (“licenze gratuite”) pari al 15% del numero delle</w:t>
      </w:r>
      <w:r w:rsidR="00E07158" w:rsidRPr="00BD7CEA">
        <w:rPr>
          <w:rFonts w:eastAsia="Calibri" w:cs="Tahoma"/>
          <w:iCs/>
          <w:color w:val="000000"/>
          <w:spacing w:val="-2"/>
        </w:rPr>
        <w:t> </w:t>
      </w:r>
      <w:r w:rsidRPr="00BD7CEA">
        <w:rPr>
          <w:rFonts w:eastAsia="Calibri" w:cs="Tahoma"/>
          <w:iCs/>
          <w:color w:val="000000"/>
          <w:spacing w:val="-2"/>
        </w:rPr>
        <w:t>licenze Exchange Hosted Archive (EHA) acquistate e attive in data 1 maggio 2011 (“licenze qualificanti”). Fintantoché le licenze qualificanti della società rimangono attive, le licenze gratuite rimarranno valide fino al termine della sottoscrizione che coinciderà con la migrazione della società da EHA a un Servizio Online successivo come specificato nella tabella di migrazione qui sotto. Alle società che desiderano continuare a utilizzare il Servizio Online successivo dopo la scadenza delle loro licenze gratuite verrà richiesto di ordinare un numero di licenze uguale al numero totale degli utenti che eseguiranno l</w:t>
      </w:r>
      <w:r w:rsidR="007A1415" w:rsidRPr="00BD7CEA">
        <w:rPr>
          <w:rFonts w:eastAsia="Calibri" w:cs="Tahoma"/>
          <w:iCs/>
          <w:color w:val="000000"/>
          <w:spacing w:val="-2"/>
        </w:rPr>
        <w:t>’</w:t>
      </w:r>
      <w:r w:rsidRPr="00BD7CEA">
        <w:rPr>
          <w:rFonts w:eastAsia="Calibri" w:cs="Tahoma"/>
          <w:iCs/>
          <w:color w:val="000000"/>
          <w:spacing w:val="-2"/>
        </w:rPr>
        <w:t>accesso a tale Servizio Online o</w:t>
      </w:r>
      <w:r w:rsidR="00E07158" w:rsidRPr="00BD7CEA">
        <w:rPr>
          <w:rFonts w:eastAsia="Calibri" w:cs="Tahoma"/>
          <w:iCs/>
          <w:color w:val="000000"/>
          <w:spacing w:val="-2"/>
        </w:rPr>
        <w:t> </w:t>
      </w:r>
      <w:r w:rsidRPr="00BD7CEA">
        <w:rPr>
          <w:rFonts w:eastAsia="Calibri" w:cs="Tahoma"/>
          <w:iCs/>
          <w:color w:val="000000"/>
          <w:spacing w:val="-2"/>
        </w:rPr>
        <w:t xml:space="preserve">che lo utilizzeranno. </w:t>
      </w:r>
    </w:p>
    <w:p w:rsidR="00BA1490" w:rsidRPr="00BD7CEA" w:rsidRDefault="00BA1490" w:rsidP="0084072C"/>
    <w:p w:rsidR="00EA6918" w:rsidRPr="00BD7CEA" w:rsidRDefault="00EC1F23" w:rsidP="0084072C">
      <w:pPr>
        <w:spacing w:after="60"/>
        <w:ind w:left="720"/>
      </w:pPr>
      <w:r w:rsidRPr="00BD7CEA">
        <w:rPr>
          <w:rFonts w:eastAsia="Calibri" w:cs="Tahoma"/>
          <w:b/>
          <w:bCs/>
          <w:iCs/>
          <w:color w:val="000000"/>
        </w:rPr>
        <w:t>Concessione di Licenza di Migrazione per Società Exchange Hosted Archive</w:t>
      </w:r>
    </w:p>
    <w:p w:rsidR="00EC1F23" w:rsidRPr="00BD7CEA" w:rsidRDefault="00EC1F23" w:rsidP="00E62BC4">
      <w:pPr>
        <w:ind w:left="720"/>
      </w:pPr>
      <w:r w:rsidRPr="00BD7CEA">
        <w:rPr>
          <w:rFonts w:eastAsia="Calibri" w:cs="Tahoma"/>
          <w:iCs/>
          <w:color w:val="000000"/>
        </w:rPr>
        <w:t xml:space="preserve">Alle società EHA che eseguono la migrazione ai Servizi Online successivi verrà concesso un numero totale di licenze sostitutive per i Servizi Online successivi uguale al numero totale di licenze EHA qualificanti e gratuite di cui dispongono, mostrate nella tabella seguente. Tali licenze sostitutive scadranno al termine del periodo di validità della sottoscrizione coincidente con la migrazione della società da EHA ai Servizi Online successivi. </w:t>
      </w:r>
    </w:p>
    <w:p w:rsidR="00EC1F23" w:rsidRPr="00BD7CEA" w:rsidRDefault="00EC1F23" w:rsidP="00E62BC4">
      <w:pPr>
        <w:ind w:left="720"/>
      </w:pPr>
    </w:p>
    <w:p w:rsidR="002512D3" w:rsidRPr="00BD7CEA" w:rsidRDefault="00EC1F23" w:rsidP="003165D6">
      <w:pPr>
        <w:ind w:left="720"/>
      </w:pPr>
      <w:r w:rsidRPr="00BD7CEA">
        <w:rPr>
          <w:rFonts w:eastAsia="Calibri" w:cs="Tahoma"/>
          <w:iCs/>
          <w:color w:val="000000"/>
        </w:rPr>
        <w:t>Le SL per Utente per Exchange Online Piano 2 concesse ai sensi di questa offerta di migrazione devono essere cedute all</w:t>
      </w:r>
      <w:r w:rsidR="007A1415" w:rsidRPr="00BD7CEA">
        <w:rPr>
          <w:rFonts w:eastAsia="Calibri" w:cs="Tahoma"/>
          <w:iCs/>
          <w:color w:val="000000"/>
        </w:rPr>
        <w:t>’</w:t>
      </w:r>
      <w:r w:rsidRPr="00BD7CEA">
        <w:rPr>
          <w:rFonts w:eastAsia="Calibri" w:cs="Tahoma"/>
          <w:iCs/>
          <w:color w:val="000000"/>
        </w:rPr>
        <w:t>utente al quale è ceduta la corrispondente SL per Utente per Exchange Online Standard, Exchange Online Piano 2, BPOS Standard, Office 365 Enterprise E1, BPOS Deskless, Exchange Online Deskless o Chiosco Exchange Online. Se la SL per Utente corrispondente viene riassegnata a un nuovo utente, anche Exchange Online Piano 2 dovrà essere riassegnata allo stesso nuovo utente. </w:t>
      </w:r>
    </w:p>
    <w:p w:rsidR="00EC1F23" w:rsidRPr="00BD7CEA" w:rsidRDefault="00EC1F23" w:rsidP="00EC1F23"/>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40"/>
        <w:gridCol w:w="3600"/>
      </w:tblGrid>
      <w:tr w:rsidR="00EC1F23" w:rsidRPr="00BD7CEA" w:rsidTr="00C066F9">
        <w:trPr>
          <w:jc w:val="center"/>
        </w:trPr>
        <w:tc>
          <w:tcPr>
            <w:tcW w:w="7740" w:type="dxa"/>
            <w:gridSpan w:val="2"/>
            <w:shd w:val="clear" w:color="auto" w:fill="FABF8F"/>
          </w:tcPr>
          <w:p w:rsidR="00EC1F23" w:rsidRPr="00BD7CEA" w:rsidRDefault="00EC1F23" w:rsidP="00022FBE">
            <w:pPr>
              <w:jc w:val="center"/>
              <w:rPr>
                <w:rFonts w:eastAsia="Calibri" w:cs="Tahoma"/>
                <w:b/>
                <w:iCs/>
                <w:color w:val="000000"/>
              </w:rPr>
            </w:pPr>
            <w:r w:rsidRPr="00BD7CEA">
              <w:rPr>
                <w:rFonts w:eastAsia="Calibri" w:cs="Tahoma"/>
                <w:b/>
                <w:iCs/>
                <w:color w:val="000000"/>
              </w:rPr>
              <w:lastRenderedPageBreak/>
              <w:t>Concessione della Licenza di Migrazione</w:t>
            </w:r>
          </w:p>
        </w:tc>
      </w:tr>
      <w:tr w:rsidR="00EC1F23" w:rsidRPr="00BD7CEA" w:rsidTr="005204B6">
        <w:trPr>
          <w:jc w:val="center"/>
        </w:trPr>
        <w:tc>
          <w:tcPr>
            <w:tcW w:w="4140" w:type="dxa"/>
            <w:shd w:val="clear" w:color="auto" w:fill="auto"/>
          </w:tcPr>
          <w:p w:rsidR="00EC1F23" w:rsidRPr="00BD7CEA" w:rsidRDefault="00EC1F23" w:rsidP="00022FBE">
            <w:pPr>
              <w:jc w:val="center"/>
              <w:rPr>
                <w:rFonts w:eastAsia="Calibri" w:cs="Tahoma"/>
                <w:iCs/>
                <w:color w:val="000000"/>
              </w:rPr>
            </w:pPr>
            <w:r w:rsidRPr="00BD7CEA">
              <w:rPr>
                <w:rFonts w:eastAsia="Calibri" w:cs="Tahoma"/>
                <w:iCs/>
                <w:color w:val="000000"/>
              </w:rPr>
              <w:t>Posizione della licenza qualificante</w:t>
            </w:r>
          </w:p>
        </w:tc>
        <w:tc>
          <w:tcPr>
            <w:tcW w:w="3600" w:type="dxa"/>
            <w:shd w:val="clear" w:color="auto" w:fill="auto"/>
          </w:tcPr>
          <w:p w:rsidR="00EC1F23" w:rsidRPr="00BD7CEA" w:rsidRDefault="00EC1F23" w:rsidP="00022FBE">
            <w:pPr>
              <w:jc w:val="center"/>
              <w:rPr>
                <w:rFonts w:eastAsia="Calibri" w:cs="Tahoma"/>
                <w:iCs/>
                <w:color w:val="000000"/>
              </w:rPr>
            </w:pPr>
            <w:r w:rsidRPr="00BD7CEA">
              <w:rPr>
                <w:rFonts w:eastAsia="Calibri" w:cs="Tahoma"/>
                <w:iCs/>
                <w:color w:val="000000"/>
              </w:rPr>
              <w:t>Concessione di Licenza</w:t>
            </w:r>
          </w:p>
        </w:tc>
      </w:tr>
      <w:tr w:rsidR="00EC1F23" w:rsidRPr="00BD7CEA" w:rsidTr="005204B6">
        <w:trPr>
          <w:jc w:val="center"/>
        </w:trPr>
        <w:tc>
          <w:tcPr>
            <w:tcW w:w="4140" w:type="dxa"/>
            <w:shd w:val="clear" w:color="auto" w:fill="auto"/>
          </w:tcPr>
          <w:p w:rsidR="00EE53FF" w:rsidRPr="00BD7CEA" w:rsidRDefault="00EE53FF" w:rsidP="001051D1">
            <w:pPr>
              <w:spacing w:before="60" w:after="60"/>
              <w:ind w:left="158" w:right="346"/>
            </w:pPr>
            <w:r w:rsidRPr="00BD7CEA">
              <w:rPr>
                <w:rFonts w:eastAsia="Calibri" w:cs="Tahoma"/>
                <w:iCs/>
                <w:color w:val="000000"/>
              </w:rPr>
              <w:t>SL per Utente per EHA (utilizzato insieme a una CAL per Exchange on-premise)</w:t>
            </w:r>
          </w:p>
          <w:p w:rsidR="00EC1F23" w:rsidRPr="00BD7CEA" w:rsidRDefault="00EC1F23" w:rsidP="001051D1">
            <w:pPr>
              <w:spacing w:before="60" w:after="60"/>
              <w:ind w:left="158" w:right="346"/>
            </w:pPr>
            <w:r w:rsidRPr="00BD7CEA">
              <w:rPr>
                <w:rFonts w:eastAsia="Calibri" w:cs="Tahoma"/>
                <w:iCs/>
                <w:color w:val="000000"/>
              </w:rPr>
              <w:t>SL per Utente per EHA (utilizzata insieme a SL per Utente per Exchange Online Standard, Exchange Online Plan</w:t>
            </w:r>
          </w:p>
          <w:p w:rsidR="00EC1F23" w:rsidRPr="00BD7CEA" w:rsidRDefault="00EC1F23" w:rsidP="00CC1A5E">
            <w:pPr>
              <w:spacing w:before="60" w:after="60"/>
              <w:ind w:left="158" w:right="346"/>
              <w:rPr>
                <w:rFonts w:eastAsia="Calibri" w:cs="Tahoma"/>
                <w:iCs/>
                <w:color w:val="000000"/>
              </w:rPr>
            </w:pPr>
            <w:r w:rsidRPr="00BD7CEA">
              <w:rPr>
                <w:rFonts w:eastAsia="Calibri" w:cs="Tahoma"/>
                <w:iCs/>
                <w:color w:val="000000"/>
              </w:rPr>
              <w:t>2, BPOS Standard, Office 365 E1, BPOS Deskless, Exchange Online Deskless o</w:t>
            </w:r>
            <w:r w:rsidR="00CC1A5E" w:rsidRPr="00BD7CEA">
              <w:rPr>
                <w:rFonts w:eastAsia="Calibri" w:cs="Tahoma"/>
                <w:iCs/>
                <w:color w:val="000000"/>
              </w:rPr>
              <w:t> </w:t>
            </w:r>
            <w:r w:rsidRPr="00BD7CEA">
              <w:rPr>
                <w:rFonts w:eastAsia="Calibri" w:cs="Tahoma"/>
                <w:iCs/>
                <w:color w:val="000000"/>
              </w:rPr>
              <w:t>Chiosco Exchange Online)</w:t>
            </w:r>
          </w:p>
        </w:tc>
        <w:tc>
          <w:tcPr>
            <w:tcW w:w="3600" w:type="dxa"/>
            <w:shd w:val="clear" w:color="auto" w:fill="auto"/>
          </w:tcPr>
          <w:p w:rsidR="00EC1F23" w:rsidRPr="00BD7CEA" w:rsidRDefault="00EC1F23" w:rsidP="007358C5">
            <w:pPr>
              <w:numPr>
                <w:ilvl w:val="0"/>
                <w:numId w:val="46"/>
              </w:numPr>
              <w:spacing w:before="60" w:after="60"/>
              <w:ind w:right="342"/>
              <w:rPr>
                <w:rFonts w:eastAsia="Calibri" w:cs="Tahoma"/>
                <w:iCs/>
                <w:color w:val="000000"/>
              </w:rPr>
            </w:pPr>
            <w:r w:rsidRPr="00BD7CEA">
              <w:rPr>
                <w:rFonts w:eastAsia="Calibri" w:cs="Tahoma"/>
                <w:iCs/>
                <w:color w:val="000000"/>
              </w:rPr>
              <w:t>SL per Utente per Exchange Online Piano 2</w:t>
            </w:r>
          </w:p>
        </w:tc>
      </w:tr>
    </w:tbl>
    <w:p w:rsidR="00DD39C7" w:rsidRPr="00BD7CEA" w:rsidRDefault="00DD39C7" w:rsidP="0084072C"/>
    <w:p w:rsidR="00CC1A5E" w:rsidRPr="00BD7CEA" w:rsidRDefault="00CC1A5E" w:rsidP="0084072C"/>
    <w:p w:rsidR="00DD39C7" w:rsidRPr="00BD7CEA" w:rsidRDefault="00DD39C7" w:rsidP="0084072C">
      <w:pPr>
        <w:spacing w:after="60"/>
        <w:ind w:left="720"/>
      </w:pPr>
      <w:r w:rsidRPr="00BD7CEA">
        <w:rPr>
          <w:b/>
          <w:color w:val="000000"/>
        </w:rPr>
        <w:t>L</w:t>
      </w:r>
      <w:r w:rsidR="007A1415" w:rsidRPr="00BD7CEA">
        <w:rPr>
          <w:b/>
          <w:color w:val="000000"/>
        </w:rPr>
        <w:t>’</w:t>
      </w:r>
      <w:r w:rsidRPr="00BD7CEA">
        <w:rPr>
          <w:b/>
          <w:color w:val="000000"/>
        </w:rPr>
        <w:t>Utilizzo Continuativo di Exchange Hosted Archive (EHA) con Sottoscrizioni Attive di Business Productivity Online Subscription (BPOS) e di Exchange Online Standard</w:t>
      </w:r>
    </w:p>
    <w:p w:rsidR="00DD39C7" w:rsidRPr="00BD7CEA" w:rsidRDefault="00DD39C7" w:rsidP="00DD39C7">
      <w:pPr>
        <w:ind w:left="720"/>
      </w:pPr>
      <w:r w:rsidRPr="00BD7CEA">
        <w:rPr>
          <w:iCs/>
          <w:color w:val="000000"/>
        </w:rPr>
        <w:t>Le società con sottoscrizioni EHA in scadenza che non hanno ancora effettuato la migrazione a Office 365 e sono attualmente implementate su BPOS o Exchange Online Standard potranno continuare a utilizzare EHA dopo la scadenza della loro sottoscrizione e fino (i) alla migrazione a Office 365 o (ii) alla scadenza della loro sottoscrizione di BPOS o Exchange Online Standard.</w:t>
      </w:r>
      <w:r w:rsidR="008D782D" w:rsidRPr="00BD7CEA">
        <w:rPr>
          <w:iCs/>
          <w:color w:val="000000"/>
        </w:rPr>
        <w:t xml:space="preserve"> </w:t>
      </w:r>
      <w:r w:rsidRPr="00BD7CEA">
        <w:rPr>
          <w:iCs/>
          <w:color w:val="000000"/>
        </w:rPr>
        <w:t>L</w:t>
      </w:r>
      <w:r w:rsidR="007A1415" w:rsidRPr="00BD7CEA">
        <w:rPr>
          <w:iCs/>
          <w:color w:val="000000"/>
        </w:rPr>
        <w:t>’</w:t>
      </w:r>
      <w:r w:rsidRPr="00BD7CEA">
        <w:rPr>
          <w:iCs/>
          <w:color w:val="000000"/>
        </w:rPr>
        <w:t>utilizzo di EHA da parte delle società ai sensi della presente offerta è soggetto alle condizioni del Contratto Multilicenza e alle condizioni di licenza EHA presenti nei Diritti di Utilizzo del Prodotto del mese di gennaio 2011. Le società saranno ritenute titolari di una licenza “Subscription” per utente o dispositivo EHA temporanea per ciascuna delle loro licenze “Subscription” per utente o dispositivo EHA in scadenza. Tali licenze “Subscription” per utente o dispositivo EHA temporanee potranno essere cedute solo agli utenti e ai dispositivi ai quali vengono cedute licenze per BPOS o Exchange Online Standard.</w:t>
      </w:r>
      <w:r w:rsidR="008D782D" w:rsidRPr="00BD7CEA">
        <w:rPr>
          <w:iCs/>
          <w:color w:val="000000"/>
        </w:rPr>
        <w:t xml:space="preserve"> </w:t>
      </w:r>
      <w:r w:rsidRPr="00BD7CEA">
        <w:rPr>
          <w:iCs/>
          <w:color w:val="000000"/>
        </w:rPr>
        <w:t>EHA viene concesso in licenza com</w:t>
      </w:r>
      <w:r w:rsidR="007A1415" w:rsidRPr="00BD7CEA">
        <w:rPr>
          <w:iCs/>
          <w:color w:val="000000"/>
        </w:rPr>
        <w:t>’</w:t>
      </w:r>
      <w:r w:rsidRPr="00BD7CEA">
        <w:rPr>
          <w:iCs/>
          <w:color w:val="000000"/>
        </w:rPr>
        <w:t>è, senza alcun tipo di garanzia.</w:t>
      </w:r>
      <w:r w:rsidR="008D782D" w:rsidRPr="00BD7CEA">
        <w:rPr>
          <w:iCs/>
          <w:color w:val="000000"/>
        </w:rPr>
        <w:t xml:space="preserve"> </w:t>
      </w:r>
    </w:p>
    <w:p w:rsidR="00DD39C7" w:rsidRPr="005204B6" w:rsidRDefault="00DD39C7" w:rsidP="00DD39C7">
      <w:pPr>
        <w:ind w:left="720"/>
        <w:rPr>
          <w:szCs w:val="18"/>
        </w:rPr>
      </w:pPr>
    </w:p>
    <w:p w:rsidR="00023FE7" w:rsidRPr="005204B6" w:rsidRDefault="00023FE7" w:rsidP="00B52F10">
      <w:pPr>
        <w:pStyle w:val="Heading2"/>
        <w:rPr>
          <w:sz w:val="18"/>
          <w:szCs w:val="18"/>
        </w:rPr>
      </w:pPr>
    </w:p>
    <w:p w:rsidR="00827D38" w:rsidRPr="00BD7CEA" w:rsidRDefault="00F66FB0" w:rsidP="00B52F10">
      <w:pPr>
        <w:pStyle w:val="Heading2"/>
        <w:ind w:left="0"/>
      </w:pPr>
      <w:bookmarkStart w:id="1243" w:name="_46_Exchange_Hosted"/>
      <w:bookmarkStart w:id="1244" w:name="_47_Exchange_Hosted"/>
      <w:bookmarkStart w:id="1245" w:name="_Toc336338307"/>
      <w:bookmarkStart w:id="1246" w:name="_Toc353376085"/>
      <w:bookmarkStart w:id="1247" w:name="Srv_39ExchangeOnDeskWork"/>
      <w:bookmarkEnd w:id="1243"/>
      <w:bookmarkEnd w:id="1244"/>
      <w:r w:rsidRPr="00BD7CEA">
        <w:rPr>
          <w:rFonts w:ascii="Tahoma" w:hAnsi="Tahoma" w:cs="Tahoma"/>
          <w:color w:val="E25B00"/>
          <w:sz w:val="22"/>
          <w:szCs w:val="22"/>
          <w:vertAlign w:val="superscript"/>
        </w:rPr>
        <w:t>47</w:t>
      </w:r>
      <w:r w:rsidRPr="00BD7CEA">
        <w:rPr>
          <w:rFonts w:ascii="Tahoma" w:hAnsi="Tahoma" w:cs="Tahoma"/>
          <w:sz w:val="22"/>
          <w:szCs w:val="22"/>
        </w:rPr>
        <w:t xml:space="preserve"> </w:t>
      </w:r>
      <w:r w:rsidRPr="00BD7CEA">
        <w:rPr>
          <w:rFonts w:ascii="Tahoma" w:hAnsi="Tahoma" w:cs="Tahoma"/>
          <w:color w:val="F66400"/>
          <w:sz w:val="22"/>
          <w:szCs w:val="22"/>
        </w:rPr>
        <w:t>Exchange Hosted Encryption (SL per Utente)</w:t>
      </w:r>
      <w:bookmarkEnd w:id="1245"/>
      <w:bookmarkEnd w:id="1246"/>
    </w:p>
    <w:p w:rsidR="00827D38" w:rsidRPr="00BD7CEA" w:rsidRDefault="00827D38" w:rsidP="00827D38">
      <w:pPr>
        <w:ind w:left="900"/>
      </w:pPr>
    </w:p>
    <w:p w:rsidR="00827D38" w:rsidRPr="00BD7CEA" w:rsidRDefault="00827D38" w:rsidP="00E62BC4">
      <w:pPr>
        <w:ind w:left="720"/>
      </w:pPr>
      <w:r w:rsidRPr="00BD7CEA">
        <w:t>Le società dovrebbero utilizzare la stessa iscrizione del contratto Select attivo, l</w:t>
      </w:r>
      <w:r w:rsidR="007A1415" w:rsidRPr="00BD7CEA">
        <w:t>’</w:t>
      </w:r>
      <w:r w:rsidRPr="00BD7CEA">
        <w:t>iscrizione del contratto Enterprise o il contratto Open Value per effettuare ordini successivamente all</w:t>
      </w:r>
      <w:r w:rsidR="007A1415" w:rsidRPr="00BD7CEA">
        <w:t>’</w:t>
      </w:r>
      <w:r w:rsidRPr="00BD7CEA">
        <w:t>ordine iniziale.</w:t>
      </w:r>
    </w:p>
    <w:p w:rsidR="00827D38" w:rsidRPr="00BD7CEA" w:rsidRDefault="00827D38" w:rsidP="00E62BC4">
      <w:pPr>
        <w:ind w:left="720"/>
      </w:pPr>
    </w:p>
    <w:p w:rsidR="00023FE7" w:rsidRPr="00BD7CEA" w:rsidRDefault="00827D38" w:rsidP="00E62BC4">
      <w:pPr>
        <w:ind w:left="720"/>
      </w:pPr>
      <w:r w:rsidRPr="00BD7CEA">
        <w:t>Fare riferimento all</w:t>
      </w:r>
      <w:r w:rsidR="007A1415" w:rsidRPr="00BD7CEA">
        <w:t>’</w:t>
      </w:r>
      <w:hyperlink w:anchor="_Section_5_–" w:history="1">
        <w:r w:rsidRPr="00BD7CEA">
          <w:rPr>
            <w:rStyle w:val="Hyperlink"/>
          </w:rPr>
          <w:t>Articolo 5</w:t>
        </w:r>
      </w:hyperlink>
      <w:r w:rsidRPr="00BD7CEA">
        <w:t xml:space="preserve"> per i prezzi dei servizi online e le condizioni di pagamento.</w:t>
      </w:r>
    </w:p>
    <w:p w:rsidR="00827D38" w:rsidRPr="00BD7CEA" w:rsidRDefault="00827D38" w:rsidP="00827D38">
      <w:pPr>
        <w:ind w:left="900"/>
      </w:pPr>
    </w:p>
    <w:p w:rsidR="00827D38" w:rsidRPr="00BD7CEA" w:rsidRDefault="00827D38" w:rsidP="00827D38">
      <w:pPr>
        <w:ind w:left="900"/>
      </w:pPr>
    </w:p>
    <w:p w:rsidR="00023FE7" w:rsidRPr="00BD7CEA" w:rsidRDefault="00F66FB0">
      <w:pPr>
        <w:pStyle w:val="Heading3"/>
      </w:pPr>
      <w:bookmarkStart w:id="1248" w:name="_48_Exchange_Online_1"/>
      <w:bookmarkStart w:id="1249" w:name="_Toc336338308"/>
      <w:bookmarkStart w:id="1250" w:name="_Toc353376086"/>
      <w:bookmarkStart w:id="1251" w:name="Srv_40ExchangeOnDeskWork"/>
      <w:bookmarkStart w:id="1252" w:name="Srv_45ExchangeOnDeskWork"/>
      <w:bookmarkEnd w:id="1248"/>
      <w:r w:rsidRPr="00BD7CEA">
        <w:rPr>
          <w:rFonts w:ascii="Tahoma" w:hAnsi="Tahoma"/>
          <w:caps/>
          <w:color w:val="F66400"/>
          <w:sz w:val="22"/>
          <w:vertAlign w:val="superscript"/>
        </w:rPr>
        <w:t>48</w:t>
      </w:r>
      <w:r w:rsidRPr="00BD7CEA">
        <w:rPr>
          <w:rFonts w:ascii="Tahoma" w:hAnsi="Tahoma"/>
          <w:color w:val="F66400"/>
          <w:sz w:val="22"/>
        </w:rPr>
        <w:t xml:space="preserve"> Exchange Online Kiosk (SL per Utente)</w:t>
      </w:r>
      <w:bookmarkEnd w:id="1249"/>
      <w:bookmarkEnd w:id="1250"/>
    </w:p>
    <w:bookmarkEnd w:id="1247"/>
    <w:bookmarkEnd w:id="1251"/>
    <w:bookmarkEnd w:id="1252"/>
    <w:p w:rsidR="00023FE7" w:rsidRPr="00BD7CEA" w:rsidRDefault="00023FE7">
      <w:pPr>
        <w:pStyle w:val="EndnoteText"/>
      </w:pPr>
    </w:p>
    <w:p w:rsidR="00040ADC" w:rsidRPr="00BD7CEA" w:rsidRDefault="00040ADC" w:rsidP="00E62BC4">
      <w:pPr>
        <w:ind w:left="720"/>
      </w:pPr>
      <w:r w:rsidRPr="00BD7CEA">
        <w:rPr>
          <w:rFonts w:cs="Tahoma"/>
          <w:color w:val="000000"/>
          <w:szCs w:val="18"/>
        </w:rPr>
        <w:t>Nonostante quanto diversamente stabilito nei contratti di licenza delle società, gli utenti qualificati non includono gli utenti titolari di licenza Chiosco Exchange Online.</w:t>
      </w:r>
    </w:p>
    <w:p w:rsidR="00040ADC" w:rsidRPr="00BD7CEA" w:rsidRDefault="00040ADC" w:rsidP="00E62BC4">
      <w:pPr>
        <w:ind w:left="720"/>
      </w:pPr>
    </w:p>
    <w:p w:rsidR="00040ADC" w:rsidRPr="00BD7CEA" w:rsidRDefault="00040ADC" w:rsidP="00E62BC4">
      <w:pPr>
        <w:ind w:left="720"/>
      </w:pPr>
      <w:r w:rsidRPr="00BD7CEA">
        <w:rPr>
          <w:rFonts w:cs="Tahoma"/>
          <w:color w:val="000000"/>
          <w:szCs w:val="18"/>
        </w:rPr>
        <w:t>Il Chiosco Exchange Online era precedentemente noto come Exchange Online Deskless Worker.</w:t>
      </w:r>
    </w:p>
    <w:p w:rsidR="00352135" w:rsidRPr="00BD7CEA" w:rsidRDefault="00352135" w:rsidP="00E62BC4">
      <w:pPr>
        <w:ind w:left="720"/>
      </w:pPr>
    </w:p>
    <w:p w:rsidR="00702931" w:rsidRPr="00BD7CEA" w:rsidRDefault="00702931" w:rsidP="00AF3B19">
      <w:pPr>
        <w:spacing w:after="60"/>
        <w:ind w:left="720"/>
      </w:pPr>
      <w:r w:rsidRPr="00BD7CEA">
        <w:rPr>
          <w:rFonts w:eastAsia="Calibri" w:cs="Tahoma"/>
          <w:b/>
          <w:color w:val="000000"/>
          <w:szCs w:val="18"/>
        </w:rPr>
        <w:t>Community Cloud per Enti Pubblici (solo Stati Uniti)</w:t>
      </w:r>
    </w:p>
    <w:p w:rsidR="00702931" w:rsidRPr="00BD7CEA" w:rsidRDefault="00702931" w:rsidP="00E62BC4">
      <w:pPr>
        <w:ind w:left="720"/>
      </w:pPr>
      <w:r w:rsidRPr="00BD7CEA">
        <w:rPr>
          <w:rFonts w:eastAsia="Calibri" w:cs="Tahoma"/>
          <w:color w:val="000000"/>
          <w:szCs w:val="18"/>
        </w:rPr>
        <w:t>Alcuni servizi online della famiglia di prodotti Office 365 (incluso Chiosco Exchange Online) sono offerti come</w:t>
      </w:r>
      <w:r w:rsidR="00CC1A5E" w:rsidRPr="00BD7CEA">
        <w:rPr>
          <w:rFonts w:eastAsia="Calibri" w:cs="Tahoma"/>
          <w:color w:val="000000"/>
          <w:szCs w:val="18"/>
        </w:rPr>
        <w:t> </w:t>
      </w:r>
      <w:r w:rsidRPr="00BD7CEA">
        <w:rPr>
          <w:rFonts w:eastAsia="Calibri" w:cs="Tahoma"/>
          <w:color w:val="000000"/>
          <w:szCs w:val="18"/>
        </w:rPr>
        <w:t>servizi di community cloud per enti pubblici e come servizi di community cloud per enti non pubblici.</w:t>
      </w:r>
      <w:r w:rsidR="008D782D" w:rsidRPr="00BD7CEA">
        <w:rPr>
          <w:rFonts w:eastAsia="Calibri" w:cs="Tahoma"/>
          <w:color w:val="000000"/>
          <w:szCs w:val="18"/>
        </w:rPr>
        <w:t xml:space="preserve"> </w:t>
      </w:r>
      <w:r w:rsidRPr="00BD7CEA">
        <w:rPr>
          <w:rFonts w:eastAsia="Calibri" w:cs="Tahoma"/>
          <w:color w:val="000000"/>
          <w:szCs w:val="18"/>
        </w:rPr>
        <w:t>Alle</w:t>
      </w:r>
      <w:r w:rsidR="00CC1A5E" w:rsidRPr="00BD7CEA">
        <w:rPr>
          <w:rFonts w:eastAsia="Calibri" w:cs="Tahoma"/>
          <w:color w:val="000000"/>
          <w:szCs w:val="18"/>
        </w:rPr>
        <w:t> </w:t>
      </w:r>
      <w:r w:rsidRPr="00BD7CEA">
        <w:rPr>
          <w:rFonts w:eastAsia="Calibri" w:cs="Tahoma"/>
          <w:color w:val="000000"/>
          <w:szCs w:val="18"/>
        </w:rPr>
        <w:t>società potrà essere effettuato il provisioning come ente pubblico o non pubblico, ma non come una combinazione di entrambi.</w:t>
      </w:r>
      <w:r w:rsidR="008D782D" w:rsidRPr="00BD7CEA">
        <w:rPr>
          <w:rFonts w:eastAsia="Calibri" w:cs="Tahoma"/>
          <w:color w:val="000000"/>
          <w:szCs w:val="18"/>
        </w:rPr>
        <w:t xml:space="preserve"> </w:t>
      </w:r>
      <w:r w:rsidRPr="00BD7CEA">
        <w:rPr>
          <w:rFonts w:eastAsia="Calibri" w:cs="Tahoma"/>
          <w:color w:val="000000"/>
          <w:szCs w:val="18"/>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8D782D" w:rsidRPr="00BD7CEA">
        <w:rPr>
          <w:rFonts w:eastAsia="Calibri" w:cs="Tahoma"/>
          <w:color w:val="000000"/>
          <w:szCs w:val="18"/>
        </w:rPr>
        <w:t xml:space="preserve"> </w:t>
      </w:r>
    </w:p>
    <w:p w:rsidR="00702931" w:rsidRPr="00BD7CEA" w:rsidRDefault="00702931" w:rsidP="00E62BC4">
      <w:pPr>
        <w:ind w:left="720"/>
      </w:pPr>
    </w:p>
    <w:p w:rsidR="00C066F9" w:rsidRPr="00BD7CEA" w:rsidRDefault="00702931" w:rsidP="00C066F9">
      <w:pPr>
        <w:ind w:left="720"/>
      </w:pPr>
      <w:r w:rsidRPr="00BD7CEA">
        <w:rPr>
          <w:rFonts w:eastAsia="Calibri" w:cs="Tahoma"/>
          <w:color w:val="000000"/>
          <w:szCs w:val="18"/>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7A1415" w:rsidRPr="00BD7CEA">
        <w:rPr>
          <w:rFonts w:eastAsia="Calibri" w:cs="Tahoma"/>
          <w:color w:val="000000"/>
          <w:szCs w:val="18"/>
        </w:rPr>
        <w:t>’</w:t>
      </w:r>
      <w:r w:rsidRPr="00BD7CEA">
        <w:rPr>
          <w:rFonts w:eastAsia="Calibri" w:cs="Tahoma"/>
          <w:color w:val="000000"/>
          <w:szCs w:val="18"/>
        </w:rPr>
        <w:t>Iscrizione Enterprise o Enterprise Subscription per Enti Pubblici Statunitensi per essere idonei all</w:t>
      </w:r>
      <w:r w:rsidR="007A1415" w:rsidRPr="00BD7CEA">
        <w:rPr>
          <w:rFonts w:eastAsia="Calibri" w:cs="Tahoma"/>
          <w:color w:val="000000"/>
          <w:szCs w:val="18"/>
        </w:rPr>
        <w:t>’</w:t>
      </w:r>
      <w:r w:rsidRPr="00BD7CEA">
        <w:rPr>
          <w:rFonts w:eastAsia="Calibri" w:cs="Tahoma"/>
          <w:color w:val="000000"/>
          <w:szCs w:val="18"/>
        </w:rPr>
        <w:t>acquisto di servizi online designati come community cloud per enti pubblici.</w:t>
      </w:r>
      <w:r w:rsidR="008D782D" w:rsidRPr="00BD7CEA">
        <w:rPr>
          <w:rFonts w:eastAsia="Calibri" w:cs="Tahoma"/>
          <w:color w:val="000000"/>
          <w:szCs w:val="18"/>
        </w:rPr>
        <w:t xml:space="preserve"> </w:t>
      </w:r>
      <w:r w:rsidRPr="00BD7CEA">
        <w:rPr>
          <w:rFonts w:eastAsia="Calibri" w:cs="Tahoma"/>
          <w:color w:val="000000"/>
          <w:szCs w:val="18"/>
        </w:rPr>
        <w:t>I Diritti sull</w:t>
      </w:r>
      <w:r w:rsidR="007A1415" w:rsidRPr="00BD7CEA">
        <w:rPr>
          <w:rFonts w:eastAsia="Calibri" w:cs="Tahoma"/>
          <w:color w:val="000000"/>
          <w:szCs w:val="18"/>
        </w:rPr>
        <w:t>’</w:t>
      </w:r>
      <w:r w:rsidRPr="00BD7CEA">
        <w:rPr>
          <w:rFonts w:eastAsia="Calibri" w:cs="Tahoma"/>
          <w:color w:val="000000"/>
          <w:szCs w:val="18"/>
        </w:rPr>
        <w:t>Utilizzo relativi ai servizi di community cloud per enti pubblici sono simili a quelli dei loro equivalenti multi-tenant standard.</w:t>
      </w:r>
      <w:r w:rsidR="008D782D" w:rsidRPr="00BD7CEA">
        <w:rPr>
          <w:rFonts w:eastAsia="Calibri" w:cs="Tahoma"/>
          <w:color w:val="000000"/>
          <w:szCs w:val="18"/>
        </w:rPr>
        <w:t xml:space="preserve"> </w:t>
      </w:r>
      <w:bookmarkStart w:id="1253" w:name="Srv_41ExchangeSvr07EntCAL"/>
    </w:p>
    <w:p w:rsidR="00371299" w:rsidRPr="00BD7CEA" w:rsidRDefault="00F66FB0" w:rsidP="00B17EFB">
      <w:pPr>
        <w:pStyle w:val="Heading3"/>
      </w:pPr>
      <w:bookmarkStart w:id="1254" w:name="_48_Exchange_Online"/>
      <w:bookmarkStart w:id="1255" w:name="_Toc336338309"/>
      <w:bookmarkStart w:id="1256" w:name="_Toc353376087"/>
      <w:bookmarkStart w:id="1257" w:name="Srv_46ExhangeOnlinePlan1"/>
      <w:bookmarkStart w:id="1258" w:name="Srv_42ExchangeSvr2010EntCAL"/>
      <w:bookmarkStart w:id="1259" w:name="Srv_47ExchangeSvr2010EntCAL"/>
      <w:bookmarkEnd w:id="1254"/>
      <w:r w:rsidRPr="00BD7CEA">
        <w:rPr>
          <w:rFonts w:ascii="Tahoma" w:hAnsi="Tahoma" w:cs="Tahoma"/>
          <w:caps/>
          <w:color w:val="F66400"/>
          <w:sz w:val="22"/>
          <w:szCs w:val="22"/>
          <w:vertAlign w:val="superscript"/>
        </w:rPr>
        <w:t>49</w:t>
      </w:r>
      <w:r w:rsidRPr="00BD7CEA">
        <w:rPr>
          <w:rFonts w:ascii="Tahoma" w:hAnsi="Tahoma" w:cs="Tahoma"/>
          <w:color w:val="F66400"/>
          <w:sz w:val="22"/>
          <w:szCs w:val="22"/>
        </w:rPr>
        <w:t xml:space="preserve"> Exchange Online Piano 1</w:t>
      </w:r>
      <w:bookmarkEnd w:id="1255"/>
      <w:bookmarkEnd w:id="1256"/>
    </w:p>
    <w:bookmarkEnd w:id="1257"/>
    <w:p w:rsidR="00371299" w:rsidRPr="00BD7CEA" w:rsidRDefault="00371299" w:rsidP="00371299">
      <w:pPr>
        <w:outlineLvl w:val="2"/>
      </w:pPr>
    </w:p>
    <w:p w:rsidR="00371299" w:rsidRPr="00BD7CEA" w:rsidRDefault="00371299" w:rsidP="00371299">
      <w:pPr>
        <w:ind w:left="720"/>
        <w:contextualSpacing/>
      </w:pPr>
      <w:r w:rsidRPr="00BD7CEA">
        <w:rPr>
          <w:rFonts w:cs="Tahoma"/>
          <w:szCs w:val="20"/>
        </w:rPr>
        <w:t>Exchange Online Piano 1 era precedentemente noto come Exchange Online Standard.</w:t>
      </w:r>
    </w:p>
    <w:p w:rsidR="00A61080" w:rsidRPr="00BD7CEA" w:rsidRDefault="00A61080" w:rsidP="00C066F9">
      <w:pPr>
        <w:ind w:left="720"/>
        <w:contextualSpacing/>
      </w:pPr>
    </w:p>
    <w:p w:rsidR="00A61080" w:rsidRPr="00BD7CEA" w:rsidRDefault="00A61080" w:rsidP="00A61080">
      <w:pPr>
        <w:ind w:left="720"/>
      </w:pPr>
      <w:r w:rsidRPr="00BD7CEA">
        <w:rPr>
          <w:rFonts w:ascii="Arial" w:eastAsia="Calibri" w:hAnsi="Arial" w:cs="Arial"/>
          <w:color w:val="000000"/>
          <w:szCs w:val="18"/>
        </w:rPr>
        <w:t>Nonostante eventuali disposizioni contrarie dei diritti di utilizzo del prodotto, un Exchange Online Piano 1 (SL per Utente) acquistato ai sensi di un contratto Campus e School, non consente l</w:t>
      </w:r>
      <w:r w:rsidR="007A1415" w:rsidRPr="00BD7CEA">
        <w:rPr>
          <w:rFonts w:ascii="Arial" w:eastAsia="Calibri" w:hAnsi="Arial" w:cs="Arial"/>
          <w:color w:val="000000"/>
          <w:szCs w:val="18"/>
        </w:rPr>
        <w:t>’</w:t>
      </w:r>
      <w:r w:rsidRPr="00BD7CEA">
        <w:rPr>
          <w:rFonts w:ascii="Arial" w:eastAsia="Calibri" w:hAnsi="Arial" w:cs="Arial"/>
          <w:color w:val="000000"/>
          <w:szCs w:val="18"/>
        </w:rPr>
        <w:t>accesso all</w:t>
      </w:r>
      <w:r w:rsidR="007A1415" w:rsidRPr="00BD7CEA">
        <w:rPr>
          <w:rFonts w:ascii="Arial" w:eastAsia="Calibri" w:hAnsi="Arial" w:cs="Arial"/>
          <w:color w:val="000000"/>
          <w:szCs w:val="18"/>
        </w:rPr>
        <w:t>’</w:t>
      </w:r>
      <w:r w:rsidRPr="00BD7CEA">
        <w:rPr>
          <w:rFonts w:ascii="Arial" w:eastAsia="Calibri" w:hAnsi="Arial" w:cs="Arial"/>
          <w:color w:val="000000"/>
          <w:szCs w:val="18"/>
        </w:rPr>
        <w:t>Exchange Server.</w:t>
      </w:r>
    </w:p>
    <w:p w:rsidR="00B23BE6" w:rsidRPr="00BD7CEA" w:rsidRDefault="00B23BE6" w:rsidP="00A61080">
      <w:pPr>
        <w:ind w:left="720"/>
      </w:pPr>
    </w:p>
    <w:p w:rsidR="00702931" w:rsidRPr="00BD7CEA" w:rsidRDefault="00702931" w:rsidP="0067725A">
      <w:pPr>
        <w:spacing w:after="60"/>
        <w:ind w:left="720"/>
      </w:pPr>
      <w:r w:rsidRPr="00BD7CEA">
        <w:rPr>
          <w:rFonts w:eastAsia="Calibri" w:cs="Tahoma"/>
          <w:b/>
          <w:color w:val="000000"/>
          <w:szCs w:val="18"/>
        </w:rPr>
        <w:t>Community Cloud per Enti Pubblici (solo Stati Uniti)</w:t>
      </w:r>
    </w:p>
    <w:p w:rsidR="00702931" w:rsidRPr="00BD7CEA" w:rsidRDefault="00702931" w:rsidP="00702931">
      <w:pPr>
        <w:ind w:left="720"/>
      </w:pPr>
      <w:r w:rsidRPr="00BD7CEA">
        <w:rPr>
          <w:rFonts w:eastAsia="Calibri" w:cs="Tahoma"/>
          <w:color w:val="000000"/>
          <w:szCs w:val="18"/>
        </w:rPr>
        <w:t>Alcuni servizi online della famiglia di prodotti Office 365 (incluso Exchange Online Piano 1) sono offerti come servizi di community cloud per enti pubblici e come servizi di community cloud per enti non pubblici.</w:t>
      </w:r>
      <w:r w:rsidR="008D782D" w:rsidRPr="00BD7CEA">
        <w:rPr>
          <w:rFonts w:eastAsia="Calibri" w:cs="Tahoma"/>
          <w:color w:val="000000"/>
          <w:szCs w:val="18"/>
        </w:rPr>
        <w:t xml:space="preserve"> </w:t>
      </w:r>
      <w:r w:rsidRPr="00BD7CEA">
        <w:rPr>
          <w:rFonts w:eastAsia="Calibri" w:cs="Tahoma"/>
          <w:color w:val="000000"/>
          <w:szCs w:val="18"/>
        </w:rPr>
        <w:t>Alle società potrà essere effettuato il provisioning come ente pubblico o non pubblico, ma non come una combinazione di entrambi.</w:t>
      </w:r>
      <w:r w:rsidR="008D782D" w:rsidRPr="00BD7CEA">
        <w:rPr>
          <w:rFonts w:eastAsia="Calibri" w:cs="Tahoma"/>
          <w:color w:val="000000"/>
          <w:szCs w:val="18"/>
        </w:rPr>
        <w:t xml:space="preserve"> </w:t>
      </w:r>
      <w:r w:rsidRPr="00BD7CEA">
        <w:rPr>
          <w:rFonts w:eastAsia="Calibri" w:cs="Tahoma"/>
          <w:color w:val="000000"/>
          <w:szCs w:val="18"/>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8D782D" w:rsidRPr="00BD7CEA">
        <w:rPr>
          <w:rFonts w:eastAsia="Calibri" w:cs="Tahoma"/>
          <w:color w:val="000000"/>
          <w:szCs w:val="18"/>
        </w:rPr>
        <w:t xml:space="preserve"> </w:t>
      </w:r>
    </w:p>
    <w:p w:rsidR="00702931" w:rsidRPr="00BD7CEA" w:rsidRDefault="00702931" w:rsidP="00702931">
      <w:pPr>
        <w:ind w:left="720"/>
      </w:pPr>
    </w:p>
    <w:p w:rsidR="00702931" w:rsidRPr="00BD7CEA" w:rsidRDefault="00702931" w:rsidP="00702931">
      <w:pPr>
        <w:ind w:left="720"/>
      </w:pPr>
      <w:r w:rsidRPr="00BD7CEA">
        <w:rPr>
          <w:rFonts w:eastAsia="Calibri" w:cs="Tahoma"/>
          <w:color w:val="000000"/>
          <w:szCs w:val="18"/>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7A1415" w:rsidRPr="00BD7CEA">
        <w:rPr>
          <w:rFonts w:eastAsia="Calibri" w:cs="Tahoma"/>
          <w:color w:val="000000"/>
          <w:szCs w:val="18"/>
        </w:rPr>
        <w:t>’</w:t>
      </w:r>
      <w:r w:rsidRPr="00BD7CEA">
        <w:rPr>
          <w:rFonts w:eastAsia="Calibri" w:cs="Tahoma"/>
          <w:color w:val="000000"/>
          <w:szCs w:val="18"/>
        </w:rPr>
        <w:t>Iscrizione Enterprise o Enterprise Subscription per Enti Pubblici Statunitensi per essere idonei all</w:t>
      </w:r>
      <w:r w:rsidR="007A1415" w:rsidRPr="00BD7CEA">
        <w:rPr>
          <w:rFonts w:eastAsia="Calibri" w:cs="Tahoma"/>
          <w:color w:val="000000"/>
          <w:szCs w:val="18"/>
        </w:rPr>
        <w:t>’</w:t>
      </w:r>
      <w:r w:rsidRPr="00BD7CEA">
        <w:rPr>
          <w:rFonts w:eastAsia="Calibri" w:cs="Tahoma"/>
          <w:color w:val="000000"/>
          <w:szCs w:val="18"/>
        </w:rPr>
        <w:t>acquisto di servizi online designati come community cloud per enti pubblici.</w:t>
      </w:r>
      <w:r w:rsidR="008D782D" w:rsidRPr="00BD7CEA">
        <w:rPr>
          <w:rFonts w:eastAsia="Calibri" w:cs="Tahoma"/>
          <w:color w:val="000000"/>
          <w:szCs w:val="18"/>
        </w:rPr>
        <w:t xml:space="preserve"> </w:t>
      </w:r>
      <w:r w:rsidRPr="00BD7CEA">
        <w:rPr>
          <w:rFonts w:eastAsia="Calibri" w:cs="Tahoma"/>
          <w:color w:val="000000"/>
          <w:szCs w:val="18"/>
        </w:rPr>
        <w:t>I Diritti sull</w:t>
      </w:r>
      <w:r w:rsidR="007A1415" w:rsidRPr="00BD7CEA">
        <w:rPr>
          <w:rFonts w:eastAsia="Calibri" w:cs="Tahoma"/>
          <w:color w:val="000000"/>
          <w:szCs w:val="18"/>
        </w:rPr>
        <w:t>’</w:t>
      </w:r>
      <w:r w:rsidRPr="00BD7CEA">
        <w:rPr>
          <w:rFonts w:eastAsia="Calibri" w:cs="Tahoma"/>
          <w:color w:val="000000"/>
          <w:szCs w:val="18"/>
        </w:rPr>
        <w:t>Utilizzo relativi ai servizi di community cloud per enti pubblici sono simili a quelli dei loro equivalenti multi-tenant standard.</w:t>
      </w:r>
      <w:r w:rsidR="008D782D" w:rsidRPr="00BD7CEA">
        <w:rPr>
          <w:rFonts w:eastAsia="Calibri" w:cs="Tahoma"/>
          <w:color w:val="000000"/>
          <w:szCs w:val="18"/>
        </w:rPr>
        <w:t xml:space="preserve"> </w:t>
      </w:r>
    </w:p>
    <w:p w:rsidR="00B23BE6" w:rsidRPr="00BD7CEA" w:rsidRDefault="00B23BE6" w:rsidP="00A61080">
      <w:pPr>
        <w:ind w:left="720"/>
      </w:pPr>
    </w:p>
    <w:p w:rsidR="00D70D2C" w:rsidRPr="00BD7CEA" w:rsidRDefault="00D70D2C" w:rsidP="00A61080">
      <w:pPr>
        <w:ind w:left="720"/>
      </w:pPr>
    </w:p>
    <w:p w:rsidR="00D70D2C" w:rsidRPr="00BD7CEA" w:rsidRDefault="00F66FB0" w:rsidP="00D70D2C">
      <w:pPr>
        <w:pStyle w:val="Heading2"/>
        <w:ind w:left="0"/>
      </w:pPr>
      <w:bookmarkStart w:id="1260" w:name="_49_Exchange_Online"/>
      <w:bookmarkStart w:id="1261" w:name="_50_Exchange_Online"/>
      <w:bookmarkStart w:id="1262" w:name="_Toc353376088"/>
      <w:bookmarkStart w:id="1263" w:name="Srv_50ExchangeOnlinePlan2"/>
      <w:bookmarkEnd w:id="1260"/>
      <w:bookmarkEnd w:id="1261"/>
      <w:r w:rsidRPr="00BD7CEA">
        <w:rPr>
          <w:rFonts w:ascii="Tahoma" w:hAnsi="Tahoma" w:cs="Tahoma"/>
          <w:caps/>
          <w:color w:val="F66400"/>
          <w:sz w:val="22"/>
          <w:szCs w:val="20"/>
          <w:vertAlign w:val="superscript"/>
        </w:rPr>
        <w:t>50</w:t>
      </w:r>
      <w:r w:rsidRPr="00BD7CEA">
        <w:rPr>
          <w:rFonts w:ascii="Tahoma" w:hAnsi="Tahoma" w:cs="Tahoma"/>
          <w:color w:val="F66400"/>
          <w:sz w:val="22"/>
          <w:szCs w:val="20"/>
        </w:rPr>
        <w:t xml:space="preserve"> Exchange Online Piano 2</w:t>
      </w:r>
      <w:bookmarkEnd w:id="1262"/>
    </w:p>
    <w:bookmarkEnd w:id="1263"/>
    <w:p w:rsidR="00D70D2C" w:rsidRPr="00BD7CEA" w:rsidRDefault="00D70D2C" w:rsidP="00D70D2C">
      <w:pPr>
        <w:outlineLvl w:val="2"/>
      </w:pPr>
    </w:p>
    <w:p w:rsidR="00D70D2C" w:rsidRPr="00BD7CEA" w:rsidRDefault="00D70D2C" w:rsidP="00D70D2C">
      <w:pPr>
        <w:pStyle w:val="ListParagraph"/>
      </w:pPr>
      <w:r w:rsidRPr="00BD7CEA">
        <w:rPr>
          <w:rFonts w:ascii="Tahoma" w:hAnsi="Tahoma" w:cs="Tahoma"/>
          <w:color w:val="000000"/>
          <w:sz w:val="18"/>
          <w:szCs w:val="18"/>
        </w:rPr>
        <w:t>Exchange Online Piano 2 è un servizio online che succede a Exchange Hosted Archive.</w:t>
      </w:r>
    </w:p>
    <w:p w:rsidR="00D70D2C" w:rsidRPr="00BD7CEA" w:rsidRDefault="00D70D2C" w:rsidP="00D70D2C">
      <w:pPr>
        <w:pStyle w:val="ListParagraph"/>
      </w:pPr>
    </w:p>
    <w:p w:rsidR="00D70D2C" w:rsidRPr="00BD7CEA" w:rsidRDefault="00D70D2C" w:rsidP="00D70D2C">
      <w:pPr>
        <w:ind w:left="720"/>
      </w:pPr>
      <w:r w:rsidRPr="00BD7CEA">
        <w:rPr>
          <w:rFonts w:cs="Tahoma"/>
          <w:color w:val="000000"/>
          <w:szCs w:val="18"/>
        </w:rPr>
        <w:t>Qualora la società effettui il rinnovo passando da Exchange Hosted Archive ad Exchange Online Piano 2 e</w:t>
      </w:r>
      <w:r w:rsidR="009D2EFF" w:rsidRPr="00BD7CEA">
        <w:rPr>
          <w:rFonts w:cs="Tahoma"/>
          <w:color w:val="000000"/>
          <w:szCs w:val="18"/>
        </w:rPr>
        <w:t> </w:t>
      </w:r>
      <w:r w:rsidRPr="00BD7CEA">
        <w:rPr>
          <w:rFonts w:cs="Tahoma"/>
          <w:color w:val="000000"/>
          <w:szCs w:val="18"/>
        </w:rPr>
        <w:t>non abbia ancora eseguito la migrazione a Exchange Online Piano 2,</w:t>
      </w:r>
      <w:r w:rsidRPr="00BD7CEA">
        <w:rPr>
          <w:color w:val="000000"/>
        </w:rPr>
        <w:t xml:space="preserve"> gli utenti in possesso di licenza potranno continuare a utilizzare il servizio Exchange Hosted Archive in conformità alle condizioni dei Diritti di Utilizzo del Prodotto di marzo 2011 fino alla migrazione a Exchange Online Piano 2 e alla scadenza della sottoscrizione di Exchange Online Piano 2, a seconda di quale dei due eventi si verificherà per primo.</w:t>
      </w:r>
    </w:p>
    <w:p w:rsidR="00702931" w:rsidRPr="00BD7CEA" w:rsidRDefault="00702931" w:rsidP="00D70D2C">
      <w:pPr>
        <w:ind w:left="720"/>
      </w:pPr>
    </w:p>
    <w:p w:rsidR="00702931" w:rsidRPr="00BD7CEA" w:rsidRDefault="00702931" w:rsidP="0067725A">
      <w:pPr>
        <w:spacing w:after="60"/>
        <w:ind w:left="720"/>
      </w:pPr>
      <w:r w:rsidRPr="00BD7CEA">
        <w:rPr>
          <w:rFonts w:eastAsia="Calibri" w:cs="Tahoma"/>
          <w:b/>
          <w:color w:val="000000"/>
          <w:szCs w:val="18"/>
        </w:rPr>
        <w:t>Community Cloud per Enti Pubblici (solo Stati Uniti)</w:t>
      </w:r>
    </w:p>
    <w:p w:rsidR="00702931" w:rsidRPr="00BD7CEA" w:rsidRDefault="00702931" w:rsidP="00702931">
      <w:pPr>
        <w:ind w:left="720"/>
      </w:pPr>
      <w:r w:rsidRPr="00BD7CEA">
        <w:rPr>
          <w:rFonts w:eastAsia="Calibri" w:cs="Tahoma"/>
          <w:color w:val="000000"/>
          <w:szCs w:val="18"/>
        </w:rPr>
        <w:t>Alcuni servizi online della famiglia di prodotti Office 365 (incluso Exchange Online Piano 2) sono offerti come servizi di community cloud per enti pubblici e come servizi di community cloud per enti non pubblici.</w:t>
      </w:r>
      <w:r w:rsidR="008D782D" w:rsidRPr="00BD7CEA">
        <w:rPr>
          <w:rFonts w:eastAsia="Calibri" w:cs="Tahoma"/>
          <w:color w:val="000000"/>
          <w:szCs w:val="18"/>
        </w:rPr>
        <w:t xml:space="preserve"> </w:t>
      </w:r>
      <w:r w:rsidRPr="00BD7CEA">
        <w:rPr>
          <w:rFonts w:eastAsia="Calibri" w:cs="Tahoma"/>
          <w:color w:val="000000"/>
          <w:szCs w:val="18"/>
        </w:rPr>
        <w:t>Alle società potrà essere effettuato il provisioning come ente pubblico o non pubblico, ma non come una combinazione di entrambi.</w:t>
      </w:r>
      <w:r w:rsidR="008D782D" w:rsidRPr="00BD7CEA">
        <w:rPr>
          <w:rFonts w:eastAsia="Calibri" w:cs="Tahoma"/>
          <w:color w:val="000000"/>
          <w:szCs w:val="18"/>
        </w:rPr>
        <w:t xml:space="preserve"> </w:t>
      </w:r>
      <w:r w:rsidRPr="00BD7CEA">
        <w:rPr>
          <w:rFonts w:eastAsia="Calibri" w:cs="Tahoma"/>
          <w:color w:val="000000"/>
          <w:szCs w:val="18"/>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8D782D" w:rsidRPr="00BD7CEA">
        <w:rPr>
          <w:rFonts w:eastAsia="Calibri" w:cs="Tahoma"/>
          <w:color w:val="000000"/>
          <w:szCs w:val="18"/>
        </w:rPr>
        <w:t xml:space="preserve"> </w:t>
      </w:r>
    </w:p>
    <w:p w:rsidR="00702931" w:rsidRPr="00BD7CEA" w:rsidRDefault="00702931" w:rsidP="00702931">
      <w:pPr>
        <w:ind w:left="720"/>
      </w:pPr>
    </w:p>
    <w:p w:rsidR="00B2460D" w:rsidRPr="00BD7CEA" w:rsidRDefault="00702931" w:rsidP="00697E59">
      <w:pPr>
        <w:ind w:left="720"/>
      </w:pPr>
      <w:r w:rsidRPr="00BD7CEA">
        <w:rPr>
          <w:rFonts w:eastAsia="Calibri" w:cs="Tahoma"/>
          <w:color w:val="000000"/>
          <w:szCs w:val="18"/>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7A1415" w:rsidRPr="00BD7CEA">
        <w:rPr>
          <w:rFonts w:eastAsia="Calibri" w:cs="Tahoma"/>
          <w:color w:val="000000"/>
          <w:szCs w:val="18"/>
        </w:rPr>
        <w:t>’</w:t>
      </w:r>
      <w:r w:rsidRPr="00BD7CEA">
        <w:rPr>
          <w:rFonts w:eastAsia="Calibri" w:cs="Tahoma"/>
          <w:color w:val="000000"/>
          <w:szCs w:val="18"/>
        </w:rPr>
        <w:t>Iscrizione Enterprise o Enterprise Subscription per Enti Pubblici Statunitensi per essere idonei all</w:t>
      </w:r>
      <w:r w:rsidR="007A1415" w:rsidRPr="00BD7CEA">
        <w:rPr>
          <w:rFonts w:eastAsia="Calibri" w:cs="Tahoma"/>
          <w:color w:val="000000"/>
          <w:szCs w:val="18"/>
        </w:rPr>
        <w:t>’</w:t>
      </w:r>
      <w:r w:rsidRPr="00BD7CEA">
        <w:rPr>
          <w:rFonts w:eastAsia="Calibri" w:cs="Tahoma"/>
          <w:color w:val="000000"/>
          <w:szCs w:val="18"/>
        </w:rPr>
        <w:t>acquisto di servizi online designati come community cloud per enti pubblici.</w:t>
      </w:r>
      <w:r w:rsidR="008D782D" w:rsidRPr="00BD7CEA">
        <w:rPr>
          <w:rFonts w:eastAsia="Calibri" w:cs="Tahoma"/>
          <w:color w:val="000000"/>
          <w:szCs w:val="18"/>
        </w:rPr>
        <w:t xml:space="preserve"> </w:t>
      </w:r>
      <w:r w:rsidRPr="00BD7CEA">
        <w:rPr>
          <w:rFonts w:eastAsia="Calibri" w:cs="Tahoma"/>
          <w:color w:val="000000"/>
          <w:szCs w:val="18"/>
        </w:rPr>
        <w:t>I Diritti sull</w:t>
      </w:r>
      <w:r w:rsidR="007A1415" w:rsidRPr="00BD7CEA">
        <w:rPr>
          <w:rFonts w:eastAsia="Calibri" w:cs="Tahoma"/>
          <w:color w:val="000000"/>
          <w:szCs w:val="18"/>
        </w:rPr>
        <w:t>’</w:t>
      </w:r>
      <w:r w:rsidRPr="00BD7CEA">
        <w:rPr>
          <w:rFonts w:eastAsia="Calibri" w:cs="Tahoma"/>
          <w:color w:val="000000"/>
          <w:szCs w:val="18"/>
        </w:rPr>
        <w:t>Utilizzo relativi ai servizi di community cloud per enti pubblici sono simili a quelli dei loro equivalenti multi-tenant standard.</w:t>
      </w:r>
      <w:r w:rsidR="008D782D" w:rsidRPr="00BD7CEA">
        <w:rPr>
          <w:rFonts w:eastAsia="Calibri" w:cs="Tahoma"/>
          <w:color w:val="000000"/>
          <w:szCs w:val="18"/>
        </w:rPr>
        <w:t xml:space="preserve"> </w:t>
      </w:r>
      <w:bookmarkStart w:id="1264" w:name="_51_Exchange_Server"/>
      <w:bookmarkEnd w:id="1253"/>
      <w:bookmarkEnd w:id="1258"/>
      <w:bookmarkEnd w:id="1259"/>
      <w:bookmarkEnd w:id="1264"/>
    </w:p>
    <w:p w:rsidR="00023FE7" w:rsidRPr="00BD7CEA" w:rsidRDefault="00023FE7" w:rsidP="00C066F9">
      <w:pPr>
        <w:pStyle w:val="EndnoteText"/>
        <w:ind w:left="1620" w:hanging="900"/>
      </w:pPr>
      <w:bookmarkStart w:id="1265" w:name="Srv_43ExchangeSvr2010"/>
    </w:p>
    <w:p w:rsidR="00C066F9" w:rsidRPr="00BD7CEA" w:rsidRDefault="00C066F9" w:rsidP="00C066F9">
      <w:pPr>
        <w:pStyle w:val="EndnoteText"/>
        <w:ind w:left="1620" w:hanging="900"/>
      </w:pPr>
    </w:p>
    <w:p w:rsidR="00453CAC" w:rsidRPr="00BD7CEA" w:rsidRDefault="00F66FB0" w:rsidP="009D3013">
      <w:pPr>
        <w:pStyle w:val="Heading2"/>
        <w:ind w:left="0"/>
      </w:pPr>
      <w:bookmarkStart w:id="1266" w:name="_49_Exchange_Server"/>
      <w:bookmarkStart w:id="1267" w:name="_51_50_Exchange"/>
      <w:bookmarkStart w:id="1268" w:name="_51_Exchange_Online"/>
      <w:bookmarkStart w:id="1269" w:name="_Toc353376089"/>
      <w:bookmarkStart w:id="1270" w:name="_Toc336338311"/>
      <w:bookmarkStart w:id="1271" w:name="Srv_50ExchangeServer2010StdCAL"/>
      <w:bookmarkEnd w:id="1265"/>
      <w:bookmarkEnd w:id="1266"/>
      <w:bookmarkEnd w:id="1267"/>
      <w:bookmarkEnd w:id="1268"/>
      <w:r w:rsidRPr="00BD7CEA">
        <w:rPr>
          <w:rFonts w:ascii="Tahoma" w:hAnsi="Tahoma" w:cs="Tahoma"/>
          <w:caps/>
          <w:color w:val="FA6500"/>
          <w:sz w:val="22"/>
          <w:vertAlign w:val="superscript"/>
        </w:rPr>
        <w:t xml:space="preserve">51 </w:t>
      </w:r>
      <w:r w:rsidRPr="00BD7CEA">
        <w:rPr>
          <w:rFonts w:ascii="Tahoma" w:hAnsi="Tahoma" w:cs="Tahoma"/>
          <w:color w:val="F66400"/>
          <w:sz w:val="22"/>
          <w:szCs w:val="20"/>
        </w:rPr>
        <w:t>Exchange Online Protection (SL per Utente)</w:t>
      </w:r>
      <w:bookmarkEnd w:id="1269"/>
    </w:p>
    <w:p w:rsidR="00453CAC" w:rsidRPr="00BD7CEA" w:rsidRDefault="00453CAC" w:rsidP="00453CAC">
      <w:pPr>
        <w:ind w:left="720"/>
      </w:pPr>
    </w:p>
    <w:p w:rsidR="0004051B" w:rsidRPr="00BD7CEA" w:rsidRDefault="007D4770" w:rsidP="005204B6">
      <w:pPr>
        <w:ind w:left="720"/>
      </w:pPr>
      <w:r w:rsidRPr="00BD7CEA">
        <w:rPr>
          <w:rFonts w:cs="Tahoma"/>
          <w:color w:val="444444"/>
          <w:szCs w:val="18"/>
        </w:rPr>
        <w:t>Poiché questo servizio online viene erogato in base al dominio, tutti gli utenti di qualunque dominio interessato devono disporre di SL per Utente.</w:t>
      </w:r>
      <w:r w:rsidR="008D782D" w:rsidRPr="00BD7CEA">
        <w:rPr>
          <w:rFonts w:cs="Tahoma"/>
          <w:color w:val="444444"/>
          <w:szCs w:val="18"/>
        </w:rPr>
        <w:t xml:space="preserve"> </w:t>
      </w:r>
      <w:r w:rsidRPr="00BD7CEA">
        <w:rPr>
          <w:rFonts w:cs="Tahoma"/>
          <w:color w:val="444444"/>
          <w:szCs w:val="18"/>
        </w:rPr>
        <w:t>Le società che desiderano che il servizio sia erogato a un sottoinsieme dei loro utenti possono creare sottodomini per un</w:t>
      </w:r>
      <w:r w:rsidR="007A1415" w:rsidRPr="00BD7CEA">
        <w:rPr>
          <w:rFonts w:cs="Tahoma"/>
          <w:color w:val="444444"/>
          <w:szCs w:val="18"/>
        </w:rPr>
        <w:t>’</w:t>
      </w:r>
      <w:r w:rsidRPr="00BD7CEA">
        <w:rPr>
          <w:rFonts w:cs="Tahoma"/>
          <w:color w:val="444444"/>
          <w:szCs w:val="18"/>
        </w:rPr>
        <w:t>erogazione del servizio più mirata. Solo gli utenti che rientrano nel sottodominio incluso devono disporre di SL per Utente.</w:t>
      </w:r>
    </w:p>
    <w:p w:rsidR="009D3013" w:rsidRPr="00BD7CEA" w:rsidRDefault="00F66FB0" w:rsidP="009D3013">
      <w:pPr>
        <w:pStyle w:val="Heading2"/>
        <w:ind w:left="0"/>
      </w:pPr>
      <w:bookmarkStart w:id="1272" w:name="_52_51_Exchange"/>
      <w:bookmarkStart w:id="1273" w:name="_52_Exchange_Server"/>
      <w:bookmarkStart w:id="1274" w:name="_Toc353376090"/>
      <w:bookmarkEnd w:id="1272"/>
      <w:bookmarkEnd w:id="1273"/>
      <w:r w:rsidRPr="00BD7CEA">
        <w:rPr>
          <w:rFonts w:ascii="Tahoma" w:hAnsi="Tahoma" w:cs="Tahoma"/>
          <w:caps/>
          <w:color w:val="FA6500"/>
          <w:sz w:val="22"/>
          <w:vertAlign w:val="superscript"/>
        </w:rPr>
        <w:t xml:space="preserve">52 </w:t>
      </w:r>
      <w:r w:rsidRPr="00BD7CEA">
        <w:rPr>
          <w:rFonts w:ascii="Tahoma" w:hAnsi="Tahoma" w:cs="Tahoma"/>
          <w:color w:val="FA6500"/>
          <w:sz w:val="22"/>
        </w:rPr>
        <w:t xml:space="preserve">Exchange Server 2013, Edizioni Enterprise e </w:t>
      </w:r>
      <w:bookmarkEnd w:id="1270"/>
      <w:r w:rsidRPr="00BD7CEA">
        <w:rPr>
          <w:rFonts w:ascii="Tahoma" w:hAnsi="Tahoma" w:cs="Tahoma"/>
          <w:color w:val="FA6500"/>
          <w:sz w:val="22"/>
        </w:rPr>
        <w:t>Standard</w:t>
      </w:r>
      <w:bookmarkEnd w:id="1274"/>
    </w:p>
    <w:p w:rsidR="009D3013" w:rsidRPr="00BD7CEA" w:rsidRDefault="009D3013" w:rsidP="009D3013">
      <w:pPr>
        <w:ind w:left="720"/>
      </w:pPr>
    </w:p>
    <w:p w:rsidR="009D3013" w:rsidRPr="00BD7CEA" w:rsidRDefault="009D3013" w:rsidP="009D3013">
      <w:pPr>
        <w:ind w:left="720"/>
      </w:pPr>
      <w:r w:rsidRPr="00BD7CEA">
        <w:rPr>
          <w:rFonts w:cs="Tahoma"/>
          <w:color w:val="000000"/>
          <w:szCs w:val="18"/>
        </w:rPr>
        <w:t>Exchange Server 2013 è l</w:t>
      </w:r>
      <w:r w:rsidR="007A1415" w:rsidRPr="00BD7CEA">
        <w:rPr>
          <w:rFonts w:cs="Tahoma"/>
          <w:color w:val="000000"/>
          <w:szCs w:val="18"/>
        </w:rPr>
        <w:t>’</w:t>
      </w:r>
      <w:r w:rsidRPr="00BD7CEA">
        <w:rPr>
          <w:rFonts w:cs="Tahoma"/>
          <w:color w:val="000000"/>
          <w:szCs w:val="18"/>
        </w:rPr>
        <w:t>ultima versione di Exchange Server.</w:t>
      </w:r>
    </w:p>
    <w:p w:rsidR="009D3013" w:rsidRPr="00BD7CEA" w:rsidRDefault="009D3013" w:rsidP="0067725A"/>
    <w:p w:rsidR="009D3013" w:rsidRPr="00BD7CEA" w:rsidRDefault="009D3013" w:rsidP="0067725A">
      <w:pPr>
        <w:spacing w:after="60"/>
        <w:ind w:left="720"/>
      </w:pPr>
      <w:r w:rsidRPr="00BD7CEA">
        <w:rPr>
          <w:rFonts w:cs="Tahoma"/>
          <w:b/>
          <w:color w:val="000000"/>
          <w:szCs w:val="18"/>
        </w:rPr>
        <w:t>Concessione di Licenza per le Società Titolari di Licenza External Connector per Exchange Server 2010</w:t>
      </w:r>
    </w:p>
    <w:p w:rsidR="009D3013" w:rsidRPr="00BD7CEA" w:rsidRDefault="009D3013" w:rsidP="0067725A">
      <w:pPr>
        <w:ind w:left="720"/>
      </w:pPr>
      <w:r w:rsidRPr="00BD7CEA">
        <w:rPr>
          <w:rFonts w:cs="Tahoma"/>
          <w:color w:val="000000"/>
          <w:szCs w:val="18"/>
        </w:rPr>
        <w:t xml:space="preserve">La versione 2010 della Licenza </w:t>
      </w:r>
      <w:bookmarkStart w:id="1275" w:name="Srv_42ExchangeSvr07"/>
      <w:bookmarkStart w:id="1276" w:name="Srv_48ExchangeSvr2010"/>
      <w:r w:rsidRPr="00BD7CEA">
        <w:rPr>
          <w:rFonts w:cs="Tahoma"/>
          <w:color w:val="000000"/>
          <w:szCs w:val="18"/>
        </w:rPr>
        <w:t>External Connector</w:t>
      </w:r>
      <w:bookmarkEnd w:id="1275"/>
      <w:bookmarkEnd w:id="1276"/>
      <w:r w:rsidRPr="00BD7CEA">
        <w:rPr>
          <w:rFonts w:cs="Tahoma"/>
          <w:color w:val="000000"/>
          <w:szCs w:val="18"/>
        </w:rPr>
        <w:t xml:space="preserve"> per Exchange Server 2010 è la versione finale di tale licenza.</w:t>
      </w:r>
      <w:r w:rsidR="008D782D" w:rsidRPr="00BD7CEA">
        <w:rPr>
          <w:rFonts w:cs="Tahoma"/>
          <w:color w:val="000000"/>
          <w:szCs w:val="18"/>
        </w:rPr>
        <w:t xml:space="preserve"> </w:t>
      </w:r>
      <w:r w:rsidRPr="00BD7CEA">
        <w:rPr>
          <w:rFonts w:cs="Tahoma"/>
          <w:color w:val="000000"/>
          <w:szCs w:val="18"/>
        </w:rPr>
        <w:t>Alla luce di ciò, le società titolari di Licenze External Connector per Exchange Server 2010 con copertura Software Assurance attiva al 1 dicembre 2012 sono idonee a ricevere la concessione di licenza che</w:t>
      </w:r>
      <w:r w:rsidR="009D2EFF" w:rsidRPr="00BD7CEA">
        <w:rPr>
          <w:rFonts w:cs="Tahoma"/>
          <w:color w:val="000000"/>
          <w:szCs w:val="18"/>
        </w:rPr>
        <w:t> </w:t>
      </w:r>
      <w:r w:rsidRPr="00BD7CEA">
        <w:rPr>
          <w:rFonts w:cs="Tahoma"/>
          <w:color w:val="000000"/>
          <w:szCs w:val="18"/>
        </w:rPr>
        <w:t>segue.</w:t>
      </w:r>
    </w:p>
    <w:p w:rsidR="009D3013" w:rsidRPr="00BD7CEA" w:rsidRDefault="009D3013" w:rsidP="009D3013">
      <w:pPr>
        <w:ind w:left="90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BD7CEA" w:rsidTr="002C3AB1">
        <w:trPr>
          <w:trHeight w:val="332"/>
        </w:trPr>
        <w:tc>
          <w:tcPr>
            <w:tcW w:w="4500" w:type="dxa"/>
            <w:shd w:val="clear" w:color="auto" w:fill="FABF8F"/>
          </w:tcPr>
          <w:p w:rsidR="009D3013" w:rsidRPr="00BD7CEA" w:rsidRDefault="009D3013" w:rsidP="002C3AB1">
            <w:pPr>
              <w:rPr>
                <w:rFonts w:cs="Tahoma"/>
                <w:b/>
                <w:color w:val="000000"/>
                <w:szCs w:val="18"/>
              </w:rPr>
            </w:pPr>
            <w:r w:rsidRPr="00BD7CEA">
              <w:rPr>
                <w:rFonts w:cs="Tahoma"/>
                <w:b/>
                <w:color w:val="000000"/>
                <w:szCs w:val="18"/>
              </w:rPr>
              <w:t>Licenza Qualificante</w:t>
            </w:r>
          </w:p>
        </w:tc>
        <w:tc>
          <w:tcPr>
            <w:tcW w:w="3600" w:type="dxa"/>
            <w:shd w:val="clear" w:color="auto" w:fill="FABF8F"/>
          </w:tcPr>
          <w:p w:rsidR="009D3013" w:rsidRPr="00BD7CEA" w:rsidRDefault="009D3013" w:rsidP="002C3AB1">
            <w:pPr>
              <w:rPr>
                <w:rFonts w:cs="Tahoma"/>
                <w:b/>
                <w:color w:val="000000"/>
                <w:szCs w:val="18"/>
              </w:rPr>
            </w:pPr>
            <w:r w:rsidRPr="00BD7CEA">
              <w:rPr>
                <w:rFonts w:cs="Tahoma"/>
                <w:b/>
                <w:color w:val="000000"/>
                <w:szCs w:val="18"/>
              </w:rPr>
              <w:t>Licenza Gratuita e Vantaggi</w:t>
            </w:r>
          </w:p>
        </w:tc>
      </w:tr>
      <w:tr w:rsidR="009D3013" w:rsidRPr="00BD7CEA" w:rsidTr="002C3AB1">
        <w:trPr>
          <w:trHeight w:val="70"/>
        </w:trPr>
        <w:tc>
          <w:tcPr>
            <w:tcW w:w="4500" w:type="dxa"/>
            <w:shd w:val="clear" w:color="auto" w:fill="auto"/>
          </w:tcPr>
          <w:p w:rsidR="009D3013" w:rsidRPr="00BD7CEA" w:rsidRDefault="009D3013" w:rsidP="000E3B21">
            <w:pPr>
              <w:rPr>
                <w:rFonts w:cs="Tahoma"/>
                <w:color w:val="000000"/>
                <w:szCs w:val="18"/>
              </w:rPr>
            </w:pPr>
            <w:r w:rsidRPr="00BD7CEA">
              <w:rPr>
                <w:rFonts w:cs="Tahoma"/>
                <w:color w:val="000000"/>
                <w:szCs w:val="18"/>
              </w:rPr>
              <w:t>Licenza External Connector per Exchange Server 2010 con Software Assurance attiva a partire dal 1</w:t>
            </w:r>
            <w:r w:rsidR="000E3B21">
              <w:rPr>
                <w:rFonts w:cs="Tahoma"/>
                <w:color w:val="000000"/>
                <w:szCs w:val="18"/>
              </w:rPr>
              <w:t> </w:t>
            </w:r>
            <w:r w:rsidRPr="00BD7CEA">
              <w:rPr>
                <w:rFonts w:cs="Tahoma"/>
                <w:color w:val="000000"/>
                <w:szCs w:val="18"/>
              </w:rPr>
              <w:t>dicembre 2012</w:t>
            </w:r>
          </w:p>
        </w:tc>
        <w:tc>
          <w:tcPr>
            <w:tcW w:w="3600" w:type="dxa"/>
            <w:shd w:val="clear" w:color="auto" w:fill="auto"/>
          </w:tcPr>
          <w:p w:rsidR="009D3013" w:rsidRPr="00BD7CEA" w:rsidRDefault="009D3013" w:rsidP="009D2EFF">
            <w:pPr>
              <w:rPr>
                <w:rFonts w:cs="Tahoma"/>
                <w:color w:val="000000"/>
                <w:szCs w:val="18"/>
              </w:rPr>
            </w:pPr>
            <w:r w:rsidRPr="00BD7CEA">
              <w:rPr>
                <w:rFonts w:cs="Tahoma"/>
                <w:color w:val="000000"/>
                <w:szCs w:val="18"/>
              </w:rPr>
              <w:t>Licenza Enterprise per Exchange Server</w:t>
            </w:r>
            <w:r w:rsidR="009D2EFF" w:rsidRPr="00BD7CEA">
              <w:rPr>
                <w:rFonts w:cs="Tahoma"/>
                <w:color w:val="000000"/>
                <w:szCs w:val="18"/>
              </w:rPr>
              <w:t> </w:t>
            </w:r>
            <w:r w:rsidRPr="00BD7CEA">
              <w:rPr>
                <w:rFonts w:cs="Tahoma"/>
                <w:color w:val="000000"/>
                <w:szCs w:val="18"/>
              </w:rPr>
              <w:t>2013</w:t>
            </w:r>
          </w:p>
        </w:tc>
      </w:tr>
    </w:tbl>
    <w:p w:rsidR="009D3013" w:rsidRPr="00BD7CEA" w:rsidRDefault="009D3013" w:rsidP="0067725A"/>
    <w:p w:rsidR="009D3013" w:rsidRPr="00BD7CEA" w:rsidRDefault="009D3013" w:rsidP="009D3013">
      <w:pPr>
        <w:ind w:left="720"/>
      </w:pPr>
      <w:r w:rsidRPr="00BD7CEA">
        <w:rPr>
          <w:rFonts w:cs="Tahoma"/>
          <w:color w:val="000000"/>
          <w:szCs w:val="18"/>
        </w:rPr>
        <w:t>Le condizioni che seguono si applicano alle concessioni di licenze riportate sopra:</w:t>
      </w:r>
    </w:p>
    <w:p w:rsidR="009D3013" w:rsidRPr="00BD7CEA" w:rsidRDefault="009D3013" w:rsidP="009D3013">
      <w:pPr>
        <w:ind w:left="720"/>
      </w:pPr>
    </w:p>
    <w:p w:rsidR="009D3013" w:rsidRPr="00BD7CEA" w:rsidRDefault="009D3013" w:rsidP="007358C5">
      <w:pPr>
        <w:numPr>
          <w:ilvl w:val="0"/>
          <w:numId w:val="100"/>
        </w:numPr>
        <w:spacing w:after="60"/>
        <w:ind w:left="1440"/>
      </w:pPr>
      <w:r w:rsidRPr="00BD7CEA">
        <w:rPr>
          <w:rFonts w:cs="Tahoma"/>
          <w:bCs/>
          <w:color w:val="000000"/>
          <w:szCs w:val="18"/>
        </w:rPr>
        <w:t>Percorso di Migrazione</w:t>
      </w:r>
      <w:r w:rsidRPr="00BD7CEA">
        <w:rPr>
          <w:rFonts w:cs="Tahoma"/>
          <w:color w:val="000000"/>
          <w:szCs w:val="18"/>
        </w:rPr>
        <w:t>: Le società con copertura Software Assurance attiva per una determinata Licenza Qualificante a partire dal 1 dicembre 2012 e in occasione del rilascio della versione commerciale di Exchange Server 2013 sono idonee a effettuare l</w:t>
      </w:r>
      <w:r w:rsidR="007A1415" w:rsidRPr="00BD7CEA">
        <w:rPr>
          <w:rFonts w:cs="Tahoma"/>
          <w:color w:val="000000"/>
          <w:szCs w:val="18"/>
        </w:rPr>
        <w:t>’</w:t>
      </w:r>
      <w:r w:rsidRPr="00BD7CEA">
        <w:rPr>
          <w:rFonts w:cs="Tahoma"/>
          <w:color w:val="000000"/>
          <w:szCs w:val="18"/>
        </w:rPr>
        <w:t>aggiornamento al software Exchange Server 2013 e a utilizzarlo ai sensi della Licenza Gratuita al posto del software Exchange Server 2010 ai sensi della corrispondente licenza External Connector qualificante.</w:t>
      </w:r>
      <w:r w:rsidR="008D782D" w:rsidRPr="00BD7CEA">
        <w:rPr>
          <w:rFonts w:cs="Tahoma"/>
          <w:color w:val="000000"/>
          <w:szCs w:val="18"/>
        </w:rPr>
        <w:t xml:space="preserve"> </w:t>
      </w:r>
    </w:p>
    <w:p w:rsidR="009D3013" w:rsidRPr="00BD7CEA" w:rsidRDefault="009D3013" w:rsidP="007358C5">
      <w:pPr>
        <w:numPr>
          <w:ilvl w:val="0"/>
          <w:numId w:val="100"/>
        </w:numPr>
        <w:spacing w:after="60"/>
        <w:ind w:left="1440"/>
      </w:pPr>
      <w:r w:rsidRPr="00BD7CEA">
        <w:rPr>
          <w:rFonts w:cs="Tahoma"/>
          <w:color w:val="000000"/>
          <w:szCs w:val="18"/>
        </w:rPr>
        <w:t>Diritti sull</w:t>
      </w:r>
      <w:r w:rsidR="007A1415" w:rsidRPr="00BD7CEA">
        <w:rPr>
          <w:rFonts w:cs="Tahoma"/>
          <w:color w:val="000000"/>
          <w:szCs w:val="18"/>
        </w:rPr>
        <w:t>’</w:t>
      </w:r>
      <w:r w:rsidRPr="00BD7CEA">
        <w:rPr>
          <w:rFonts w:cs="Tahoma"/>
          <w:color w:val="000000"/>
          <w:szCs w:val="18"/>
        </w:rPr>
        <w:t>utilizzo: il diritto di utilizzo del software ai sensi della Licenza Gratuita della presente offerta scadrà alla scadenza del diritto di utilizzo del software ai sensi della Licenza Qualificante.</w:t>
      </w:r>
      <w:r w:rsidR="008D782D" w:rsidRPr="00BD7CEA">
        <w:rPr>
          <w:rFonts w:cs="Tahoma"/>
          <w:color w:val="000000"/>
          <w:szCs w:val="18"/>
        </w:rPr>
        <w:t xml:space="preserve"> </w:t>
      </w:r>
      <w:r w:rsidRPr="00BD7CEA">
        <w:rPr>
          <w:rFonts w:cs="Tahoma"/>
          <w:color w:val="000000"/>
          <w:szCs w:val="18"/>
        </w:rPr>
        <w:t>L</w:t>
      </w:r>
      <w:r w:rsidR="007A1415" w:rsidRPr="00BD7CEA">
        <w:rPr>
          <w:rFonts w:cs="Tahoma"/>
          <w:color w:val="000000"/>
          <w:szCs w:val="18"/>
        </w:rPr>
        <w:t>’</w:t>
      </w:r>
      <w:r w:rsidRPr="00BD7CEA">
        <w:rPr>
          <w:rFonts w:cs="Tahoma"/>
          <w:color w:val="000000"/>
          <w:szCs w:val="18"/>
        </w:rPr>
        <w:t>utilizzo di tale software è disciplinato dai diritti sull</w:t>
      </w:r>
      <w:r w:rsidR="007A1415" w:rsidRPr="00BD7CEA">
        <w:rPr>
          <w:rFonts w:cs="Tahoma"/>
          <w:color w:val="000000"/>
          <w:szCs w:val="18"/>
        </w:rPr>
        <w:t>’</w:t>
      </w:r>
      <w:r w:rsidRPr="00BD7CEA">
        <w:rPr>
          <w:rFonts w:cs="Tahoma"/>
          <w:color w:val="000000"/>
          <w:szCs w:val="18"/>
        </w:rPr>
        <w:t>utilizzo del software e dalle condizioni del contratto multilicenza della società.</w:t>
      </w:r>
      <w:r w:rsidR="008D782D" w:rsidRPr="00BD7CEA">
        <w:rPr>
          <w:rFonts w:cs="Tahoma"/>
          <w:color w:val="000000"/>
          <w:szCs w:val="18"/>
        </w:rPr>
        <w:t xml:space="preserve"> </w:t>
      </w:r>
      <w:r w:rsidRPr="00BD7CEA">
        <w:rPr>
          <w:rFonts w:cs="Tahoma"/>
          <w:color w:val="000000"/>
          <w:szCs w:val="18"/>
        </w:rPr>
        <w:t>Questa nota relativa alle condizioni del prodotto e la prova da</w:t>
      </w:r>
      <w:r w:rsidR="009D2EFF" w:rsidRPr="00BD7CEA">
        <w:rPr>
          <w:rFonts w:cs="Tahoma"/>
          <w:color w:val="000000"/>
          <w:szCs w:val="18"/>
        </w:rPr>
        <w:t> </w:t>
      </w:r>
      <w:r w:rsidRPr="00BD7CEA">
        <w:rPr>
          <w:rFonts w:cs="Tahoma"/>
          <w:color w:val="000000"/>
          <w:szCs w:val="18"/>
        </w:rPr>
        <w:t>parte della società della corrispondente Licenza e Software Assurance (L&amp;SA) Qualificante costituiscono insieme la prova del diritto di utilizzo del software ai sensi della Licenza Gratuita della</w:t>
      </w:r>
      <w:r w:rsidR="009D2EFF" w:rsidRPr="00BD7CEA">
        <w:rPr>
          <w:rFonts w:cs="Tahoma"/>
          <w:color w:val="000000"/>
          <w:szCs w:val="18"/>
        </w:rPr>
        <w:t> </w:t>
      </w:r>
      <w:r w:rsidRPr="00BD7CEA">
        <w:rPr>
          <w:rFonts w:cs="Tahoma"/>
          <w:color w:val="000000"/>
          <w:szCs w:val="18"/>
        </w:rPr>
        <w:t>presente offerta.</w:t>
      </w:r>
      <w:r w:rsidR="008D782D" w:rsidRPr="00BD7CEA">
        <w:rPr>
          <w:rFonts w:cs="Tahoma"/>
          <w:color w:val="000000"/>
          <w:szCs w:val="18"/>
        </w:rPr>
        <w:t xml:space="preserve"> </w:t>
      </w:r>
    </w:p>
    <w:p w:rsidR="009D3013" w:rsidRPr="00BD7CEA" w:rsidRDefault="009D3013" w:rsidP="005427B6">
      <w:pPr>
        <w:numPr>
          <w:ilvl w:val="0"/>
          <w:numId w:val="8"/>
        </w:numPr>
        <w:spacing w:after="60"/>
        <w:ind w:left="1440"/>
      </w:pPr>
      <w:r w:rsidRPr="00BD7CEA">
        <w:rPr>
          <w:rFonts w:cs="Tahoma"/>
          <w:color w:val="000000"/>
          <w:szCs w:val="18"/>
        </w:rPr>
        <w:t>Licenza e Software Assurance (L&amp;SA): la Licenza Gratuita include la copertura Software Assurance.</w:t>
      </w:r>
      <w:r w:rsidR="008D782D" w:rsidRPr="00BD7CEA">
        <w:rPr>
          <w:rFonts w:cs="Tahoma"/>
          <w:color w:val="000000"/>
          <w:szCs w:val="18"/>
        </w:rPr>
        <w:t xml:space="preserve"> </w:t>
      </w:r>
      <w:r w:rsidRPr="00BD7CEA">
        <w:rPr>
          <w:rFonts w:cs="Tahoma"/>
          <w:color w:val="000000"/>
          <w:szCs w:val="18"/>
        </w:rPr>
        <w:t>La copertura Software Assurance per la Licenza Gratuita scadrà alla scadenza della copertura per la Licenza Qualificante.</w:t>
      </w:r>
      <w:r w:rsidR="008D782D" w:rsidRPr="00BD7CEA">
        <w:rPr>
          <w:rFonts w:cs="Tahoma"/>
          <w:color w:val="000000"/>
          <w:szCs w:val="18"/>
        </w:rPr>
        <w:t xml:space="preserve"> </w:t>
      </w:r>
      <w:r w:rsidRPr="00BD7CEA">
        <w:rPr>
          <w:rFonts w:cs="Tahoma"/>
          <w:color w:val="000000"/>
          <w:szCs w:val="18"/>
        </w:rPr>
        <w:t>Alla scadenza della copertura Software Assurance per la Licenza Qualificante, la società potrà rinnovare Software Assurance per la Licenza Gratuita senza dover acquistare una nuova licenza specifica.</w:t>
      </w:r>
    </w:p>
    <w:p w:rsidR="009D3013" w:rsidRPr="00BD7CEA" w:rsidRDefault="009D3013" w:rsidP="007358C5">
      <w:pPr>
        <w:numPr>
          <w:ilvl w:val="0"/>
          <w:numId w:val="101"/>
        </w:numPr>
        <w:spacing w:after="60"/>
        <w:ind w:left="1440"/>
      </w:pPr>
      <w:r w:rsidRPr="00BD7CEA">
        <w:rPr>
          <w:rFonts w:eastAsia="Calibri" w:cs="Tahoma"/>
          <w:color w:val="000000"/>
          <w:szCs w:val="18"/>
        </w:rPr>
        <w:t>True-up</w:t>
      </w:r>
      <w:r w:rsidRPr="00BD7CEA">
        <w:rPr>
          <w:rFonts w:eastAsia="Calibri" w:cs="Tahoma"/>
          <w:b/>
          <w:color w:val="000000"/>
          <w:szCs w:val="18"/>
        </w:rPr>
        <w:t>:</w:t>
      </w:r>
      <w:r w:rsidR="008D782D" w:rsidRPr="00BD7CEA">
        <w:rPr>
          <w:rFonts w:eastAsia="Calibri" w:cs="Tahoma"/>
          <w:color w:val="000000"/>
          <w:szCs w:val="18"/>
        </w:rPr>
        <w:t xml:space="preserve"> </w:t>
      </w:r>
      <w:r w:rsidRPr="00BD7CEA">
        <w:rPr>
          <w:rFonts w:eastAsia="Calibri" w:cs="Tahoma"/>
          <w:color w:val="000000"/>
          <w:szCs w:val="18"/>
        </w:rPr>
        <w:t>Per le società titolari di un Contratto Enterprise idonee a ricevere tali licenze gratuite e i diritti descritti in precedenza, le licenze External Connector per Exchange Server 2010 acquistate nell</w:t>
      </w:r>
      <w:r w:rsidR="007A1415" w:rsidRPr="00BD7CEA">
        <w:rPr>
          <w:rFonts w:eastAsia="Calibri" w:cs="Tahoma"/>
          <w:color w:val="000000"/>
          <w:szCs w:val="18"/>
        </w:rPr>
        <w:t>’</w:t>
      </w:r>
      <w:r w:rsidRPr="00BD7CEA">
        <w:rPr>
          <w:rFonts w:eastAsia="Calibri" w:cs="Tahoma"/>
          <w:color w:val="000000"/>
          <w:szCs w:val="18"/>
        </w:rPr>
        <w:t xml:space="preserve">ambito di una procedura </w:t>
      </w:r>
      <w:r w:rsidRPr="00BD7CEA">
        <w:rPr>
          <w:rFonts w:cs="Tahoma"/>
          <w:color w:val="000000"/>
          <w:szCs w:val="18"/>
        </w:rPr>
        <w:t>annuale di true-up sono, anch</w:t>
      </w:r>
      <w:r w:rsidR="007A1415" w:rsidRPr="00BD7CEA">
        <w:rPr>
          <w:rFonts w:cs="Tahoma"/>
          <w:color w:val="000000"/>
          <w:szCs w:val="18"/>
        </w:rPr>
        <w:t>’</w:t>
      </w:r>
      <w:r w:rsidRPr="00BD7CEA">
        <w:rPr>
          <w:rFonts w:cs="Tahoma"/>
          <w:color w:val="000000"/>
          <w:szCs w:val="18"/>
        </w:rPr>
        <w:t>esse, Licenze Qualificanti.</w:t>
      </w:r>
    </w:p>
    <w:p w:rsidR="009D3013" w:rsidRPr="00BD7CEA" w:rsidRDefault="009D3013" w:rsidP="007358C5">
      <w:pPr>
        <w:numPr>
          <w:ilvl w:val="0"/>
          <w:numId w:val="101"/>
        </w:numPr>
        <w:spacing w:after="60"/>
        <w:ind w:left="1440"/>
      </w:pPr>
      <w:r w:rsidRPr="00BD7CEA">
        <w:rPr>
          <w:rFonts w:cs="Tahoma"/>
          <w:color w:val="000000"/>
          <w:szCs w:val="18"/>
        </w:rPr>
        <w:t>Contratti “Subscription”:</w:t>
      </w:r>
      <w:r w:rsidR="008D782D" w:rsidRPr="00BD7CEA">
        <w:rPr>
          <w:rFonts w:cs="Tahoma"/>
          <w:color w:val="000000"/>
          <w:szCs w:val="18"/>
        </w:rPr>
        <w:t xml:space="preserve"> </w:t>
      </w:r>
      <w:r w:rsidRPr="00BD7CEA">
        <w:rPr>
          <w:rFonts w:cs="Tahoma"/>
          <w:color w:val="000000"/>
          <w:szCs w:val="18"/>
        </w:rPr>
        <w:t xml:space="preserve">per quanto riguarda i Contratti Enterprise Subscription, </w:t>
      </w:r>
      <w:r w:rsidRPr="00BD7CEA">
        <w:rPr>
          <w:rFonts w:cs="Tahoma"/>
          <w:szCs w:val="18"/>
        </w:rPr>
        <w:t>Open Value Subscription, Campus e School, Enrollment for Education Solutions e Open Value Subscription-Education Solutions, gli stessi diritti verranno concessi temporaneamente, in base alle medesime condizioni,</w:t>
      </w:r>
      <w:r w:rsidRPr="00BD7CEA">
        <w:rPr>
          <w:rFonts w:cs="Tahoma"/>
          <w:color w:val="000000"/>
          <w:szCs w:val="18"/>
        </w:rPr>
        <w:t xml:space="preserve"> fino al termine del periodo di validità corrente dell</w:t>
      </w:r>
      <w:r w:rsidR="007A1415" w:rsidRPr="00BD7CEA">
        <w:rPr>
          <w:rFonts w:cs="Tahoma"/>
          <w:color w:val="000000"/>
          <w:szCs w:val="18"/>
        </w:rPr>
        <w:t>’</w:t>
      </w:r>
      <w:r w:rsidRPr="00BD7CEA">
        <w:rPr>
          <w:rFonts w:cs="Tahoma"/>
          <w:color w:val="000000"/>
          <w:szCs w:val="18"/>
        </w:rPr>
        <w:t>iscrizione (o del periodo di validità del contratto nel caso di Open Value).</w:t>
      </w:r>
      <w:r w:rsidR="008D782D" w:rsidRPr="00BD7CEA">
        <w:rPr>
          <w:rFonts w:cs="Tahoma"/>
          <w:color w:val="000000"/>
          <w:szCs w:val="18"/>
        </w:rPr>
        <w:t xml:space="preserve"> </w:t>
      </w:r>
      <w:r w:rsidRPr="00BD7CEA">
        <w:rPr>
          <w:rFonts w:cs="Tahoma"/>
          <w:color w:val="000000"/>
          <w:szCs w:val="18"/>
        </w:rPr>
        <w:t>La società dovrà mantenere la copertura dell</w:t>
      </w:r>
      <w:r w:rsidR="007A1415" w:rsidRPr="00BD7CEA">
        <w:rPr>
          <w:rFonts w:cs="Tahoma"/>
          <w:color w:val="000000"/>
          <w:szCs w:val="18"/>
        </w:rPr>
        <w:t>’</w:t>
      </w:r>
      <w:r w:rsidRPr="00BD7CEA">
        <w:rPr>
          <w:rFonts w:cs="Tahoma"/>
          <w:color w:val="000000"/>
          <w:szCs w:val="18"/>
        </w:rPr>
        <w:t>abbonamento in via continuativa.</w:t>
      </w:r>
      <w:r w:rsidR="008D782D" w:rsidRPr="00BD7CEA">
        <w:rPr>
          <w:rFonts w:cs="Tahoma"/>
          <w:color w:val="000000"/>
          <w:szCs w:val="18"/>
        </w:rPr>
        <w:t xml:space="preserve"> </w:t>
      </w:r>
      <w:bookmarkStart w:id="1277" w:name="_Toc336338313"/>
      <w:r w:rsidRPr="00BD7CEA">
        <w:rPr>
          <w:rFonts w:cs="Tahoma"/>
          <w:color w:val="000000"/>
          <w:szCs w:val="18"/>
        </w:rPr>
        <w:t>Tali diritti diventeranno permanenti soltanto all</w:t>
      </w:r>
      <w:r w:rsidR="007A1415" w:rsidRPr="00BD7CEA">
        <w:rPr>
          <w:rFonts w:cs="Tahoma"/>
          <w:color w:val="000000"/>
          <w:szCs w:val="18"/>
        </w:rPr>
        <w:t>’</w:t>
      </w:r>
      <w:r w:rsidRPr="00BD7CEA">
        <w:rPr>
          <w:rFonts w:cs="Tahoma"/>
          <w:color w:val="000000"/>
          <w:szCs w:val="18"/>
        </w:rPr>
        <w:t>esercizio dell</w:t>
      </w:r>
      <w:r w:rsidR="007A1415" w:rsidRPr="00BD7CEA">
        <w:rPr>
          <w:rFonts w:cs="Tahoma"/>
          <w:color w:val="000000"/>
          <w:szCs w:val="18"/>
        </w:rPr>
        <w:t>’</w:t>
      </w:r>
      <w:r w:rsidRPr="00BD7CEA">
        <w:rPr>
          <w:rFonts w:cs="Tahoma"/>
          <w:color w:val="000000"/>
          <w:szCs w:val="18"/>
        </w:rPr>
        <w:t>opzione buy-out e resteranno soggetti a tutte le condizioni del contratto di licenza della società.</w:t>
      </w:r>
    </w:p>
    <w:p w:rsidR="009D3013" w:rsidRPr="00BD7CEA" w:rsidRDefault="009D3013" w:rsidP="007358C5">
      <w:pPr>
        <w:numPr>
          <w:ilvl w:val="0"/>
          <w:numId w:val="102"/>
        </w:numPr>
        <w:spacing w:after="60"/>
        <w:ind w:left="1440"/>
      </w:pPr>
      <w:r w:rsidRPr="00BD7CEA">
        <w:rPr>
          <w:rFonts w:cs="Tahoma"/>
          <w:szCs w:val="18"/>
        </w:rPr>
        <w:t>Transizioni ai Contratti Campus e School: Per quanto riguarda le società che a metà del periodo di</w:t>
      </w:r>
      <w:r w:rsidR="009D2EFF" w:rsidRPr="00BD7CEA">
        <w:rPr>
          <w:rFonts w:cs="Tahoma"/>
          <w:szCs w:val="18"/>
        </w:rPr>
        <w:t> </w:t>
      </w:r>
      <w:r w:rsidRPr="00BD7CEA">
        <w:rPr>
          <w:rFonts w:cs="Tahoma"/>
          <w:szCs w:val="18"/>
        </w:rPr>
        <w:t>validità effettuano la transizione dai contratti Campus e School al contratto Enrollment for Education Solutions o Open Value Subscription-Education Solutions mantenendo la copertura della</w:t>
      </w:r>
      <w:r w:rsidR="009D2EFF" w:rsidRPr="00BD7CEA">
        <w:rPr>
          <w:rFonts w:cs="Tahoma"/>
          <w:szCs w:val="18"/>
        </w:rPr>
        <w:t> </w:t>
      </w:r>
      <w:r w:rsidRPr="00BD7CEA">
        <w:rPr>
          <w:rFonts w:cs="Tahoma"/>
          <w:szCs w:val="18"/>
        </w:rPr>
        <w:t>sottoscrizione in via continuativa:</w:t>
      </w:r>
    </w:p>
    <w:p w:rsidR="009D3013" w:rsidRPr="00BD7CEA" w:rsidRDefault="009D3013" w:rsidP="007358C5">
      <w:pPr>
        <w:pStyle w:val="ListParagraph"/>
        <w:numPr>
          <w:ilvl w:val="0"/>
          <w:numId w:val="86"/>
        </w:numPr>
        <w:spacing w:after="60"/>
        <w:ind w:left="1980"/>
        <w:contextualSpacing w:val="0"/>
      </w:pPr>
      <w:r w:rsidRPr="00BD7CEA">
        <w:rPr>
          <w:rFonts w:ascii="Tahoma" w:hAnsi="Tahoma" w:cs="Tahoma"/>
          <w:sz w:val="18"/>
          <w:szCs w:val="18"/>
        </w:rPr>
        <w:t>Vengono concessi gli stessi diritti su base temporanea, ai sensi delle medesime condizioni, fino al termine, rispettivamente, del loro contratto Enrollment for Education Solutions o</w:t>
      </w:r>
      <w:r w:rsidR="009D2EFF" w:rsidRPr="00BD7CEA">
        <w:rPr>
          <w:rFonts w:ascii="Tahoma" w:hAnsi="Tahoma" w:cs="Tahoma"/>
          <w:sz w:val="18"/>
          <w:szCs w:val="18"/>
        </w:rPr>
        <w:t> </w:t>
      </w:r>
      <w:r w:rsidRPr="00BD7CEA">
        <w:rPr>
          <w:rFonts w:ascii="Tahoma" w:hAnsi="Tahoma" w:cs="Tahoma"/>
          <w:sz w:val="18"/>
          <w:szCs w:val="18"/>
        </w:rPr>
        <w:t xml:space="preserve">Open Value Subscription-Education Solutions. </w:t>
      </w:r>
    </w:p>
    <w:p w:rsidR="0073424F" w:rsidRPr="00BD7CEA" w:rsidRDefault="0073424F" w:rsidP="007358C5">
      <w:pPr>
        <w:pStyle w:val="ListParagraph"/>
        <w:numPr>
          <w:ilvl w:val="0"/>
          <w:numId w:val="86"/>
        </w:numPr>
        <w:spacing w:after="60"/>
        <w:ind w:left="1980"/>
        <w:contextualSpacing w:val="0"/>
      </w:pPr>
      <w:r w:rsidRPr="00BD7CEA">
        <w:rPr>
          <w:rFonts w:ascii="Tahoma" w:hAnsi="Tahoma" w:cs="Tahoma"/>
          <w:sz w:val="18"/>
          <w:szCs w:val="18"/>
        </w:rPr>
        <w:t>Tali diritti diventeranno permanenti soltanto all</w:t>
      </w:r>
      <w:r w:rsidR="007A1415" w:rsidRPr="00BD7CEA">
        <w:rPr>
          <w:rFonts w:ascii="Tahoma" w:hAnsi="Tahoma" w:cs="Tahoma"/>
          <w:sz w:val="18"/>
          <w:szCs w:val="18"/>
        </w:rPr>
        <w:t>’</w:t>
      </w:r>
      <w:r w:rsidRPr="00BD7CEA">
        <w:rPr>
          <w:rFonts w:ascii="Tahoma" w:hAnsi="Tahoma" w:cs="Tahoma"/>
          <w:sz w:val="18"/>
          <w:szCs w:val="18"/>
        </w:rPr>
        <w:t>esercizio dell</w:t>
      </w:r>
      <w:r w:rsidR="007A1415" w:rsidRPr="00BD7CEA">
        <w:rPr>
          <w:rFonts w:ascii="Tahoma" w:hAnsi="Tahoma" w:cs="Tahoma"/>
          <w:sz w:val="18"/>
          <w:szCs w:val="18"/>
        </w:rPr>
        <w:t>’</w:t>
      </w:r>
      <w:r w:rsidRPr="00BD7CEA">
        <w:rPr>
          <w:rFonts w:ascii="Tahoma" w:hAnsi="Tahoma" w:cs="Tahoma"/>
          <w:sz w:val="18"/>
          <w:szCs w:val="18"/>
        </w:rPr>
        <w:t>opzione buy-out e resteranno soggetti a tutte le condizioni del contratto di licenza della società.</w:t>
      </w:r>
    </w:p>
    <w:p w:rsidR="009D2EFF" w:rsidRPr="00BD7CEA" w:rsidRDefault="009D2EFF" w:rsidP="009D3013">
      <w:pPr>
        <w:pStyle w:val="EndnoteText"/>
        <w:ind w:left="540"/>
      </w:pPr>
    </w:p>
    <w:p w:rsidR="004069A4" w:rsidRPr="00BD7CEA" w:rsidRDefault="00F66FB0" w:rsidP="004069A4">
      <w:pPr>
        <w:pStyle w:val="Heading3"/>
      </w:pPr>
      <w:bookmarkStart w:id="1278" w:name="_50_Exchange_Server"/>
      <w:bookmarkStart w:id="1279" w:name="_53_52_Exchange"/>
      <w:bookmarkStart w:id="1280" w:name="_53_Standard_CAL"/>
      <w:bookmarkStart w:id="1281" w:name="_Toc353376091"/>
      <w:bookmarkEnd w:id="1278"/>
      <w:bookmarkEnd w:id="1279"/>
      <w:bookmarkEnd w:id="1280"/>
      <w:r w:rsidRPr="00BD7CEA">
        <w:rPr>
          <w:rFonts w:ascii="Tahoma" w:hAnsi="Tahoma"/>
          <w:caps/>
          <w:color w:val="F66400"/>
          <w:sz w:val="22"/>
          <w:vertAlign w:val="superscript"/>
        </w:rPr>
        <w:t>53</w:t>
      </w:r>
      <w:r w:rsidRPr="00BD7CEA">
        <w:rPr>
          <w:rFonts w:ascii="Tahoma" w:hAnsi="Tahoma"/>
          <w:color w:val="F66400"/>
          <w:sz w:val="22"/>
        </w:rPr>
        <w:t xml:space="preserve"> Standard CAL per Exchange Server 2010</w:t>
      </w:r>
      <w:bookmarkEnd w:id="1277"/>
      <w:bookmarkEnd w:id="1281"/>
    </w:p>
    <w:bookmarkEnd w:id="1271"/>
    <w:p w:rsidR="004069A4" w:rsidRPr="00BD7CEA" w:rsidRDefault="004069A4" w:rsidP="004069A4"/>
    <w:p w:rsidR="004069A4" w:rsidRPr="00BD7CEA" w:rsidRDefault="004069A4" w:rsidP="005427B6">
      <w:pPr>
        <w:spacing w:after="60"/>
        <w:ind w:left="720"/>
      </w:pPr>
      <w:r w:rsidRPr="00BD7CEA">
        <w:rPr>
          <w:rFonts w:cs="Tahoma"/>
          <w:b/>
          <w:color w:val="000000"/>
          <w:szCs w:val="18"/>
        </w:rPr>
        <w:t>Managed Default Folders Concesso in Licenza con Exchange Server 2010 Standard CAL</w:t>
      </w:r>
    </w:p>
    <w:p w:rsidR="004069A4" w:rsidRPr="00BD7CEA" w:rsidRDefault="004069A4" w:rsidP="00E62BC4">
      <w:pPr>
        <w:ind w:left="720"/>
      </w:pPr>
      <w:r w:rsidRPr="00BD7CEA">
        <w:rPr>
          <w:rFonts w:cs="Tahoma"/>
          <w:color w:val="000000"/>
          <w:szCs w:val="18"/>
        </w:rPr>
        <w:t>Il diritto di accedere alla funzionalità Cartella Predefinita Gestita di Exchange Server 2010 è concesso ai sensi della licenza Standard CAL per Exchange Server 2010 o di licenze CAL equivalenti.</w:t>
      </w:r>
      <w:r w:rsidR="008D782D" w:rsidRPr="00BD7CEA">
        <w:rPr>
          <w:rFonts w:cs="Tahoma"/>
          <w:color w:val="000000"/>
          <w:szCs w:val="18"/>
        </w:rPr>
        <w:t xml:space="preserve"> </w:t>
      </w:r>
      <w:r w:rsidRPr="00BD7CEA">
        <w:rPr>
          <w:rFonts w:cs="Tahoma"/>
          <w:color w:val="000000"/>
          <w:szCs w:val="18"/>
        </w:rPr>
        <w:t xml:space="preserve">Per accedere alla funzionalità Managed Custom Folder occorre essere titolari di una licenza Exchange Server 2010 Enterprise CAL o CAL equivalente, ma tale condizione non deve essere soddisfatta per accedere alla funzionalità Managed Default Folder. </w:t>
      </w:r>
    </w:p>
    <w:p w:rsidR="004069A4" w:rsidRPr="00BD7CEA" w:rsidRDefault="004069A4" w:rsidP="00E62BC4">
      <w:pPr>
        <w:ind w:left="720"/>
      </w:pPr>
    </w:p>
    <w:p w:rsidR="00031547" w:rsidRPr="00BD7CEA" w:rsidRDefault="00031547" w:rsidP="005427B6">
      <w:pPr>
        <w:spacing w:after="60"/>
        <w:ind w:left="720"/>
      </w:pPr>
      <w:r w:rsidRPr="00BD7CEA">
        <w:rPr>
          <w:rFonts w:cs="Tahoma"/>
          <w:b/>
          <w:color w:val="000000"/>
          <w:szCs w:val="18"/>
        </w:rPr>
        <w:t>Funzionalità Ricerca in più cassette postali Concessa in Licenza con Exchange Server 2010 Standard CAL</w:t>
      </w:r>
    </w:p>
    <w:p w:rsidR="00031547" w:rsidRPr="00BD7CEA" w:rsidRDefault="00031547" w:rsidP="00BA1490">
      <w:pPr>
        <w:ind w:left="720"/>
      </w:pPr>
      <w:r w:rsidRPr="00BD7CEA">
        <w:rPr>
          <w:rFonts w:cs="Tahoma"/>
          <w:bCs/>
          <w:szCs w:val="20"/>
        </w:rPr>
        <w:t>Microsoft sta aggiornando i diritti sull</w:t>
      </w:r>
      <w:r w:rsidR="007A1415" w:rsidRPr="00BD7CEA">
        <w:rPr>
          <w:rFonts w:cs="Tahoma"/>
          <w:bCs/>
          <w:szCs w:val="20"/>
        </w:rPr>
        <w:t>’</w:t>
      </w:r>
      <w:r w:rsidRPr="00BD7CEA">
        <w:rPr>
          <w:rFonts w:cs="Tahoma"/>
          <w:bCs/>
          <w:szCs w:val="20"/>
        </w:rPr>
        <w:t>utilizzo di Exchange Server 2010 per evidenziare che il diritto di accedere alla funzionalità di ricerca in più cassette postali di Exchange Server 2010 è concesso ai sensi della licenza Standard CAL per Exchange Server 2010 e di licenze CAL equivalenti. Tale aggiornamento è applicabile a tutte le licenze per Exchange Server 2010.</w:t>
      </w:r>
    </w:p>
    <w:p w:rsidR="004D0019" w:rsidRPr="00BD7CEA" w:rsidRDefault="004D0019" w:rsidP="00E62BC4">
      <w:pPr>
        <w:ind w:left="720"/>
      </w:pPr>
    </w:p>
    <w:p w:rsidR="004069A4" w:rsidRPr="00BD7CEA" w:rsidRDefault="004069A4" w:rsidP="005427B6">
      <w:pPr>
        <w:spacing w:after="60"/>
        <w:ind w:left="720"/>
      </w:pPr>
      <w:r w:rsidRPr="00BD7CEA">
        <w:rPr>
          <w:rFonts w:cs="Tahoma"/>
          <w:b/>
          <w:color w:val="000000"/>
          <w:szCs w:val="18"/>
        </w:rPr>
        <w:t>CAL Solo per Studenti (Academic Open License e Academic Select)</w:t>
      </w:r>
    </w:p>
    <w:p w:rsidR="004069A4" w:rsidRPr="00BD7CEA" w:rsidRDefault="004069A4" w:rsidP="00E62BC4">
      <w:pPr>
        <w:ind w:left="720"/>
        <w:rPr>
          <w:spacing w:val="-2"/>
        </w:rPr>
      </w:pPr>
      <w:r w:rsidRPr="00BD7CEA">
        <w:rPr>
          <w:rFonts w:cs="Tahoma"/>
          <w:spacing w:val="-2"/>
          <w:szCs w:val="20"/>
        </w:rPr>
        <w:t>Le CAL Solo per Studenti sono limitate ai PC di proprietà dello studente titolare della licenza o ai PC di proprietà dell</w:t>
      </w:r>
      <w:r w:rsidR="007A1415" w:rsidRPr="00BD7CEA">
        <w:rPr>
          <w:rFonts w:cs="Tahoma"/>
          <w:spacing w:val="-2"/>
          <w:szCs w:val="20"/>
        </w:rPr>
        <w:t>’</w:t>
      </w:r>
      <w:r w:rsidRPr="00BD7CEA">
        <w:rPr>
          <w:rFonts w:cs="Tahoma"/>
          <w:spacing w:val="-2"/>
          <w:szCs w:val="20"/>
        </w:rPr>
        <w:t>Istituto che siano assegnati a un singolo studente e NON siano utilizzati nei laboratori o in classe.</w:t>
      </w:r>
    </w:p>
    <w:p w:rsidR="00DD14E6" w:rsidRPr="00BD7CEA" w:rsidRDefault="00DD14E6" w:rsidP="005427B6">
      <w:bookmarkStart w:id="1282" w:name="Srv_43ExchangeSvr07StdCAL"/>
      <w:bookmarkStart w:id="1283" w:name="Srv_44ExchangeSvr2010StdCAL"/>
    </w:p>
    <w:p w:rsidR="005427B6" w:rsidRPr="00BD7CEA" w:rsidRDefault="005427B6" w:rsidP="005427B6"/>
    <w:p w:rsidR="00CC1B99" w:rsidRPr="00BD7CEA" w:rsidRDefault="00F66FB0" w:rsidP="00CC1B99">
      <w:pPr>
        <w:pStyle w:val="Heading3"/>
      </w:pPr>
      <w:bookmarkStart w:id="1284" w:name="_53_Forefront_Endpoint"/>
      <w:bookmarkStart w:id="1285" w:name="_54_Forefront_Endpoint"/>
      <w:bookmarkStart w:id="1286" w:name="_Toc336338314"/>
      <w:bookmarkStart w:id="1287" w:name="_Toc353376092"/>
      <w:bookmarkStart w:id="1288" w:name="Srv_51ForfrontEndpointProtection"/>
      <w:bookmarkStart w:id="1289" w:name="Srv_50ForfrontEndpointProtection"/>
      <w:bookmarkStart w:id="1290" w:name="Srv_42ExchangeSvr07StdCAL"/>
      <w:bookmarkEnd w:id="1284"/>
      <w:bookmarkEnd w:id="1285"/>
      <w:r w:rsidRPr="00BD7CEA">
        <w:rPr>
          <w:rFonts w:ascii="Tahoma" w:hAnsi="Tahoma"/>
          <w:caps/>
          <w:color w:val="F66400"/>
          <w:sz w:val="22"/>
          <w:vertAlign w:val="superscript"/>
        </w:rPr>
        <w:t>54</w:t>
      </w:r>
      <w:r w:rsidRPr="00BD7CEA">
        <w:rPr>
          <w:rFonts w:ascii="Tahoma" w:hAnsi="Tahoma"/>
          <w:color w:val="F66400"/>
          <w:sz w:val="22"/>
        </w:rPr>
        <w:t xml:space="preserve"> Forefront Endpoint Protection</w:t>
      </w:r>
      <w:bookmarkEnd w:id="1286"/>
      <w:bookmarkEnd w:id="1287"/>
    </w:p>
    <w:bookmarkEnd w:id="1288"/>
    <w:bookmarkEnd w:id="1289"/>
    <w:p w:rsidR="00CC1B99" w:rsidRPr="00BD7CEA" w:rsidRDefault="00CC1B99" w:rsidP="00E62BC4">
      <w:pPr>
        <w:ind w:left="720"/>
      </w:pPr>
    </w:p>
    <w:p w:rsidR="008A1A57" w:rsidRPr="00BD7CEA" w:rsidRDefault="008A1A57" w:rsidP="00E62BC4">
      <w:pPr>
        <w:tabs>
          <w:tab w:val="left" w:pos="1920"/>
        </w:tabs>
        <w:ind w:left="720"/>
      </w:pPr>
      <w:r w:rsidRPr="00BD7CEA">
        <w:t xml:space="preserve">A partire dal 1 aprile 2012 </w:t>
      </w:r>
      <w:r w:rsidRPr="00BD7CEA">
        <w:rPr>
          <w:rFonts w:eastAsia="Calibri" w:cs="Tahoma"/>
          <w:szCs w:val="18"/>
        </w:rPr>
        <w:t>Forefront Endpoint Protection, trattandosi di un</w:t>
      </w:r>
      <w:r w:rsidR="007A1415" w:rsidRPr="00BD7CEA">
        <w:rPr>
          <w:rFonts w:eastAsia="Calibri" w:cs="Tahoma"/>
          <w:szCs w:val="18"/>
        </w:rPr>
        <w:t>’</w:t>
      </w:r>
      <w:r w:rsidRPr="00BD7CEA">
        <w:rPr>
          <w:rFonts w:eastAsia="Calibri" w:cs="Tahoma"/>
          <w:szCs w:val="18"/>
        </w:rPr>
        <w:t xml:space="preserve">offerta per la protezione client, sarà sostituita da </w:t>
      </w:r>
      <w:r w:rsidRPr="00BD7CEA">
        <w:t>System Center 2012 Endpoint Protection. System Center 2012 Endpoint Protection, trattandosi di un</w:t>
      </w:r>
      <w:r w:rsidR="007A1415" w:rsidRPr="00BD7CEA">
        <w:t>’</w:t>
      </w:r>
      <w:r w:rsidRPr="00BD7CEA">
        <w:t>offerta standalone, conferisce diritti sull</w:t>
      </w:r>
      <w:r w:rsidR="007A1415" w:rsidRPr="00BD7CEA">
        <w:t>’</w:t>
      </w:r>
      <w:r w:rsidRPr="00BD7CEA">
        <w:t>utilizzo solo per proteggere i dispositivi client. I</w:t>
      </w:r>
      <w:r w:rsidR="009D2EFF" w:rsidRPr="00BD7CEA">
        <w:t> </w:t>
      </w:r>
      <w:r w:rsidRPr="00BD7CEA">
        <w:t>diritti sull</w:t>
      </w:r>
      <w:r w:rsidR="007A1415" w:rsidRPr="00BD7CEA">
        <w:t>’</w:t>
      </w:r>
      <w:r w:rsidRPr="00BD7CEA">
        <w:t>utilizzo per la protezione dei dispositivi server possono essere acquistati solo tramite l</w:t>
      </w:r>
      <w:r w:rsidR="007A1415" w:rsidRPr="00BD7CEA">
        <w:t>’</w:t>
      </w:r>
      <w:r w:rsidRPr="00BD7CEA">
        <w:t>acquisto di</w:t>
      </w:r>
      <w:r w:rsidR="009D2EFF" w:rsidRPr="00BD7CEA">
        <w:t> </w:t>
      </w:r>
      <w:r w:rsidRPr="00BD7CEA">
        <w:t>licenze di gestione per System Center 2012 Standard o Datacenter.</w:t>
      </w:r>
    </w:p>
    <w:p w:rsidR="008A1A57" w:rsidRPr="00BD7CEA" w:rsidRDefault="008A1A57" w:rsidP="00E62BC4">
      <w:pPr>
        <w:tabs>
          <w:tab w:val="left" w:pos="1920"/>
        </w:tabs>
        <w:ind w:left="720"/>
      </w:pPr>
    </w:p>
    <w:p w:rsidR="008A1A57" w:rsidRPr="00BD7CEA" w:rsidRDefault="008A1A57" w:rsidP="00E62BC4">
      <w:pPr>
        <w:tabs>
          <w:tab w:val="left" w:pos="1920"/>
        </w:tabs>
        <w:ind w:left="720"/>
      </w:pPr>
      <w:r w:rsidRPr="00BD7CEA">
        <w:rPr>
          <w:rFonts w:eastAsia="Calibri" w:cs="Tahoma"/>
          <w:szCs w:val="18"/>
        </w:rPr>
        <w:t>Gli utenti con sottoscrizioni di Forefront Endpoint Protection attive</w:t>
      </w:r>
      <w:r w:rsidRPr="00BD7CEA">
        <w:t xml:space="preserve"> che utilizzano il servizio per proteggere </w:t>
      </w:r>
      <w:r w:rsidR="009D2EFF" w:rsidRPr="00BD7CEA">
        <w:t>I </w:t>
      </w:r>
      <w:r w:rsidRPr="00BD7CEA">
        <w:t>dispositivi client possono effettuare l</w:t>
      </w:r>
      <w:r w:rsidR="007A1415" w:rsidRPr="00BD7CEA">
        <w:t>’</w:t>
      </w:r>
      <w:r w:rsidRPr="00BD7CEA">
        <w:t>aggiornamento a System Center 2012 Endpoint Protection per lo stesso scopo.</w:t>
      </w:r>
    </w:p>
    <w:p w:rsidR="008A1A57" w:rsidRPr="00BD7CEA" w:rsidRDefault="008A1A57" w:rsidP="00E62BC4">
      <w:pPr>
        <w:tabs>
          <w:tab w:val="left" w:pos="1920"/>
        </w:tabs>
        <w:ind w:left="720"/>
      </w:pPr>
    </w:p>
    <w:p w:rsidR="008A1A57" w:rsidRPr="00BD7CEA" w:rsidRDefault="008A1A57" w:rsidP="00E62BC4">
      <w:pPr>
        <w:tabs>
          <w:tab w:val="left" w:pos="1920"/>
        </w:tabs>
        <w:ind w:left="720"/>
      </w:pPr>
      <w:r w:rsidRPr="00BD7CEA">
        <w:rPr>
          <w:rFonts w:eastAsia="Calibri" w:cs="Tahoma"/>
          <w:szCs w:val="18"/>
        </w:rPr>
        <w:t>Gli utenti con sottoscrizioni di Forefront Endpoint Protection attive</w:t>
      </w:r>
      <w:r w:rsidRPr="00BD7CEA">
        <w:t xml:space="preserve"> che si servono del servizio per proteggere i dispositivi server potranno continuare a utilizzare il servizio Forefront Endpoint Protection.</w:t>
      </w:r>
    </w:p>
    <w:p w:rsidR="008A1A57" w:rsidRPr="00BD7CEA" w:rsidRDefault="008A1A57" w:rsidP="00E62BC4">
      <w:pPr>
        <w:ind w:left="720"/>
      </w:pPr>
    </w:p>
    <w:p w:rsidR="008A1A57" w:rsidRPr="00BD7CEA" w:rsidRDefault="008A1A57" w:rsidP="00E62BC4">
      <w:pPr>
        <w:ind w:left="720"/>
      </w:pPr>
      <w:r w:rsidRPr="00BD7CEA">
        <w:rPr>
          <w:rFonts w:eastAsia="Calibri" w:cs="Tahoma"/>
          <w:szCs w:val="18"/>
        </w:rPr>
        <w:t>System Center Configuration Manager 2007 R2 o R3 è la console di gestione di Forefront Endpoint Protection 2010. Le società dovranno disporre della licenza per System Center Configuration Manager 2007 R2 o R3 per fornire funzionalità di gestione a Forefront Endpoint Protection 2010. Forefront Endpoint Protection 2010 può essere utilizzato senza funzionalità di gestione e senza dovere acquistare la licenza per</w:t>
      </w:r>
      <w:r w:rsidR="009D2EFF" w:rsidRPr="00BD7CEA">
        <w:rPr>
          <w:rFonts w:eastAsia="Calibri" w:cs="Tahoma"/>
          <w:szCs w:val="18"/>
        </w:rPr>
        <w:t> </w:t>
      </w:r>
      <w:r w:rsidRPr="00BD7CEA">
        <w:rPr>
          <w:rFonts w:eastAsia="Calibri" w:cs="Tahoma"/>
          <w:szCs w:val="18"/>
        </w:rPr>
        <w:t>System Center Configuration Manager.</w:t>
      </w:r>
      <w:r w:rsidR="008D782D" w:rsidRPr="00BD7CEA">
        <w:rPr>
          <w:rFonts w:eastAsia="Calibri" w:cs="Tahoma"/>
          <w:szCs w:val="18"/>
        </w:rPr>
        <w:t xml:space="preserve"> </w:t>
      </w:r>
    </w:p>
    <w:p w:rsidR="008A1A57" w:rsidRPr="00BD7CEA" w:rsidRDefault="008A1A57" w:rsidP="00E62BC4">
      <w:pPr>
        <w:ind w:left="720"/>
      </w:pPr>
    </w:p>
    <w:p w:rsidR="008A1A57" w:rsidRPr="00BD7CEA" w:rsidRDefault="005427B6" w:rsidP="005427B6">
      <w:pPr>
        <w:spacing w:after="60"/>
        <w:ind w:left="720"/>
      </w:pPr>
      <w:r w:rsidRPr="00BD7CEA">
        <w:rPr>
          <w:rFonts w:eastAsia="Calibri" w:cs="Tahoma"/>
          <w:b/>
          <w:szCs w:val="18"/>
        </w:rPr>
        <w:t>Home Use Program</w:t>
      </w:r>
    </w:p>
    <w:p w:rsidR="008A1A57" w:rsidRPr="00BD7CEA" w:rsidRDefault="008A1A57" w:rsidP="00E62BC4">
      <w:pPr>
        <w:ind w:left="720"/>
      </w:pPr>
      <w:r w:rsidRPr="00BD7CEA">
        <w:rPr>
          <w:rFonts w:eastAsia="Calibri" w:cs="Tahoma"/>
          <w:szCs w:val="18"/>
        </w:rPr>
        <w:t>Le società in possesso di Licenze “Subscription” per Utente attive per Forefront Endpoint Protection 2010 si qualificano per il programma Home Use Program.</w:t>
      </w:r>
    </w:p>
    <w:p w:rsidR="00BA1490" w:rsidRPr="00BD7CEA" w:rsidRDefault="00BA1490" w:rsidP="00BA1490">
      <w:bookmarkStart w:id="1291" w:name="_Toc254758297"/>
      <w:bookmarkStart w:id="1292" w:name="Srv_44ForefrontOnSecforExch"/>
      <w:bookmarkStart w:id="1293" w:name="Srv_43ForefrontOnSecforExch"/>
      <w:bookmarkEnd w:id="1282"/>
      <w:bookmarkEnd w:id="1283"/>
      <w:bookmarkEnd w:id="1290"/>
    </w:p>
    <w:p w:rsidR="009E4FDD" w:rsidRPr="00BD7CEA" w:rsidRDefault="00F66FB0" w:rsidP="009E4FDD">
      <w:pPr>
        <w:pStyle w:val="Heading3"/>
      </w:pPr>
      <w:bookmarkStart w:id="1294" w:name="_54_Forefront_Identity"/>
      <w:bookmarkStart w:id="1295" w:name="_Toc336338315"/>
      <w:bookmarkStart w:id="1296" w:name="_Toc353376093"/>
      <w:bookmarkStart w:id="1297" w:name="Srv_43ForefrontIdMgr2010"/>
      <w:bookmarkStart w:id="1298" w:name="Srv_48ForefrontIdMgr2010"/>
      <w:bookmarkStart w:id="1299" w:name="Srv_45ForefrontIdMgr2010"/>
      <w:bookmarkEnd w:id="1294"/>
      <w:r w:rsidRPr="00BD7CEA">
        <w:rPr>
          <w:rFonts w:ascii="Tahoma" w:hAnsi="Tahoma"/>
          <w:caps/>
          <w:color w:val="F66400"/>
          <w:sz w:val="22"/>
          <w:vertAlign w:val="superscript"/>
        </w:rPr>
        <w:t xml:space="preserve">55 </w:t>
      </w:r>
      <w:r w:rsidRPr="00BD7CEA">
        <w:rPr>
          <w:rFonts w:ascii="Tahoma" w:hAnsi="Tahoma"/>
          <w:color w:val="F66400"/>
          <w:sz w:val="22"/>
        </w:rPr>
        <w:t>Forefront Identity Manager 2010</w:t>
      </w:r>
      <w:bookmarkEnd w:id="1291"/>
      <w:r w:rsidRPr="00BD7CEA">
        <w:rPr>
          <w:rFonts w:ascii="Tahoma" w:hAnsi="Tahoma"/>
          <w:color w:val="F66400"/>
          <w:sz w:val="22"/>
        </w:rPr>
        <w:t xml:space="preserve"> R2</w:t>
      </w:r>
      <w:bookmarkEnd w:id="1295"/>
      <w:bookmarkEnd w:id="1296"/>
    </w:p>
    <w:bookmarkEnd w:id="1297"/>
    <w:bookmarkEnd w:id="1298"/>
    <w:bookmarkEnd w:id="1299"/>
    <w:p w:rsidR="009E4FDD" w:rsidRPr="00BD7CEA" w:rsidRDefault="009E4FDD" w:rsidP="009E4FDD">
      <w:pPr>
        <w:ind w:left="720"/>
      </w:pPr>
    </w:p>
    <w:p w:rsidR="009E4FDD" w:rsidRPr="00BD7CEA" w:rsidRDefault="009E4FDD" w:rsidP="005427B6">
      <w:pPr>
        <w:spacing w:after="60"/>
        <w:ind w:left="720"/>
      </w:pPr>
      <w:r w:rsidRPr="00BD7CEA">
        <w:rPr>
          <w:rFonts w:cs="Tahoma"/>
          <w:b/>
          <w:color w:val="000000"/>
          <w:szCs w:val="18"/>
        </w:rPr>
        <w:t>Versione</w:t>
      </w:r>
    </w:p>
    <w:p w:rsidR="009E4FDD" w:rsidRPr="00BD7CEA" w:rsidRDefault="009E4FDD" w:rsidP="005427B6">
      <w:pPr>
        <w:ind w:left="720"/>
      </w:pPr>
      <w:r w:rsidRPr="00BD7CEA">
        <w:rPr>
          <w:rFonts w:cs="Tahoma"/>
          <w:color w:val="000000"/>
          <w:szCs w:val="18"/>
        </w:rPr>
        <w:t>Forefront Identity Manager 2010 R2 è la versione successiva di Forefront Identity Manager 2010.</w:t>
      </w:r>
    </w:p>
    <w:p w:rsidR="005427B6" w:rsidRPr="00BD7CEA" w:rsidRDefault="005427B6" w:rsidP="005427B6"/>
    <w:p w:rsidR="00936C19" w:rsidRPr="00BD7CEA" w:rsidRDefault="00F66FB0" w:rsidP="005427B6">
      <w:pPr>
        <w:pStyle w:val="Heading2"/>
        <w:ind w:left="0"/>
      </w:pPr>
      <w:bookmarkStart w:id="1300" w:name="_55_Forefront_Identity"/>
      <w:bookmarkStart w:id="1301" w:name="_56_Forefront_Identity"/>
      <w:bookmarkStart w:id="1302" w:name="_Toc336338316"/>
      <w:bookmarkStart w:id="1303" w:name="Srv_54ForefrontIDMgrWinLiveEd"/>
      <w:bookmarkStart w:id="1304" w:name="_Toc353376094"/>
      <w:bookmarkStart w:id="1305" w:name="Srv_46ForefrontOnlineProforExch"/>
      <w:bookmarkEnd w:id="1300"/>
      <w:bookmarkEnd w:id="1301"/>
      <w:r w:rsidRPr="00BD7CEA">
        <w:rPr>
          <w:rFonts w:ascii="Tahoma" w:hAnsi="Tahoma" w:cs="Tahoma"/>
          <w:caps/>
          <w:color w:val="F26200"/>
          <w:sz w:val="20"/>
          <w:vertAlign w:val="superscript"/>
        </w:rPr>
        <w:t>56</w:t>
      </w:r>
      <w:r w:rsidRPr="00BD7CEA">
        <w:rPr>
          <w:rFonts w:ascii="Tahoma" w:hAnsi="Tahoma" w:cs="Tahoma"/>
          <w:color w:val="F26200"/>
        </w:rPr>
        <w:t xml:space="preserve"> </w:t>
      </w:r>
      <w:r w:rsidRPr="00BD7CEA">
        <w:rPr>
          <w:rFonts w:ascii="Tahoma" w:hAnsi="Tahoma" w:cs="Tahoma"/>
          <w:color w:val="F26200"/>
          <w:sz w:val="22"/>
        </w:rPr>
        <w:t>Forefront Identity Manager 2010</w:t>
      </w:r>
      <w:r w:rsidR="00FD7C0D">
        <w:rPr>
          <w:rFonts w:ascii="Tahoma" w:hAnsi="Tahoma" w:cs="Tahoma"/>
          <w:color w:val="F26200"/>
          <w:sz w:val="22"/>
        </w:rPr>
        <w:t xml:space="preserve"> – </w:t>
      </w:r>
      <w:r w:rsidRPr="00BD7CEA">
        <w:rPr>
          <w:rFonts w:ascii="Tahoma" w:hAnsi="Tahoma" w:cs="Tahoma"/>
          <w:color w:val="F26200"/>
          <w:sz w:val="22"/>
        </w:rPr>
        <w:t>Windows Live Edition</w:t>
      </w:r>
      <w:bookmarkEnd w:id="1302"/>
      <w:bookmarkEnd w:id="1303"/>
      <w:bookmarkEnd w:id="1304"/>
    </w:p>
    <w:p w:rsidR="005427B6" w:rsidRPr="00BD7CEA" w:rsidRDefault="005427B6" w:rsidP="005427B6"/>
    <w:p w:rsidR="005D346C" w:rsidRPr="00BD7CEA" w:rsidRDefault="005D346C" w:rsidP="005427B6">
      <w:pPr>
        <w:spacing w:after="60"/>
        <w:ind w:left="720"/>
      </w:pPr>
      <w:r w:rsidRPr="00BD7CEA">
        <w:rPr>
          <w:rFonts w:cs="Tahoma"/>
          <w:b/>
          <w:color w:val="000000"/>
          <w:szCs w:val="18"/>
        </w:rPr>
        <w:t>Versione</w:t>
      </w:r>
    </w:p>
    <w:p w:rsidR="005D346C" w:rsidRPr="00BD7CEA" w:rsidRDefault="005D346C" w:rsidP="00E62BC4">
      <w:pPr>
        <w:ind w:left="720"/>
      </w:pPr>
      <w:r w:rsidRPr="00BD7CEA">
        <w:rPr>
          <w:color w:val="000000"/>
        </w:rPr>
        <w:t>Forefront Identity Manager 2010 – Windows Live Edition è la versione successiva di Identity Lifecycle Manager 2007 – Windows Live Edition</w:t>
      </w:r>
    </w:p>
    <w:p w:rsidR="00273685" w:rsidRPr="00BD7CEA" w:rsidRDefault="00F66FB0" w:rsidP="00273685">
      <w:pPr>
        <w:pStyle w:val="Heading3"/>
        <w:ind w:left="270" w:hanging="270"/>
      </w:pPr>
      <w:bookmarkStart w:id="1306" w:name="_54_Forefront_Protection"/>
      <w:bookmarkStart w:id="1307" w:name="_55_Forefront_Protection"/>
      <w:bookmarkStart w:id="1308" w:name="_57_Forefront_Protection"/>
      <w:bookmarkStart w:id="1309" w:name="_Toc336338318"/>
      <w:bookmarkStart w:id="1310" w:name="_Toc353376095"/>
      <w:bookmarkStart w:id="1311" w:name="Srv_44ForefrontSecforExcSharep"/>
      <w:bookmarkStart w:id="1312" w:name="Srv_45ForefrontSecforExcSharep"/>
      <w:bookmarkStart w:id="1313" w:name="Srv_48ForefrontProtectionSuite"/>
      <w:bookmarkEnd w:id="1292"/>
      <w:bookmarkEnd w:id="1293"/>
      <w:bookmarkEnd w:id="1305"/>
      <w:bookmarkEnd w:id="1306"/>
      <w:bookmarkEnd w:id="1307"/>
      <w:bookmarkEnd w:id="1308"/>
      <w:r w:rsidRPr="00BD7CEA">
        <w:rPr>
          <w:rFonts w:ascii="Tahoma" w:hAnsi="Tahoma"/>
          <w:caps/>
          <w:color w:val="F66400"/>
          <w:sz w:val="22"/>
          <w:vertAlign w:val="superscript"/>
        </w:rPr>
        <w:lastRenderedPageBreak/>
        <w:t>57</w:t>
      </w:r>
      <w:r w:rsidRPr="00BD7CEA">
        <w:rPr>
          <w:rFonts w:ascii="Tahoma" w:hAnsi="Tahoma"/>
          <w:color w:val="F66400"/>
          <w:sz w:val="22"/>
        </w:rPr>
        <w:t xml:space="preserve"> Forefront Protection 2010 for Exchange Server (SL per Dispositivo e Utente), Forefront Protection 2010 for SharePoint (SL per Dispositivo e Utente)</w:t>
      </w:r>
      <w:bookmarkEnd w:id="1309"/>
      <w:r w:rsidRPr="00BD7CEA">
        <w:rPr>
          <w:rFonts w:ascii="Tahoma" w:hAnsi="Tahoma"/>
          <w:color w:val="F66400"/>
          <w:sz w:val="22"/>
        </w:rPr>
        <w:t xml:space="preserve"> e </w:t>
      </w:r>
      <w:r w:rsidR="00DC6528">
        <w:rPr>
          <w:rFonts w:ascii="Tahoma" w:hAnsi="Tahoma"/>
          <w:color w:val="F66400"/>
          <w:sz w:val="22"/>
        </w:rPr>
        <w:br/>
      </w:r>
      <w:r w:rsidRPr="00BD7CEA">
        <w:rPr>
          <w:rFonts w:ascii="Tahoma" w:hAnsi="Tahoma"/>
          <w:color w:val="F66400"/>
          <w:sz w:val="22"/>
        </w:rPr>
        <w:t>Forefront Protection 2010 per Siti Internet (SL Add-on)</w:t>
      </w:r>
      <w:bookmarkEnd w:id="1310"/>
    </w:p>
    <w:bookmarkEnd w:id="1311"/>
    <w:bookmarkEnd w:id="1312"/>
    <w:p w:rsidR="00273685" w:rsidRPr="00BD7CEA" w:rsidRDefault="00273685" w:rsidP="00273685">
      <w:pPr>
        <w:ind w:left="720"/>
      </w:pPr>
    </w:p>
    <w:p w:rsidR="00273685" w:rsidRPr="00BD7CEA" w:rsidRDefault="00273685" w:rsidP="00273685">
      <w:pPr>
        <w:ind w:left="720"/>
      </w:pPr>
      <w:r w:rsidRPr="00BD7CEA">
        <w:rPr>
          <w:rFonts w:cs="Tahoma"/>
          <w:bCs/>
          <w:color w:val="000000"/>
          <w:szCs w:val="18"/>
        </w:rPr>
        <w:t>Forefront Protection 2010 for SharePoint, Forefront Protection 2010 for Exchange Server e Forefront Protection 2010 per Siti Internet non saranno più disponibili a partire dal 1 dicembre 2012. Le società che disporranno di sottoscrizioni attive dei servizi online alla data del 30 novembre 2012 potranno continuare a</w:t>
      </w:r>
      <w:r w:rsidR="003E1512" w:rsidRPr="00BD7CEA">
        <w:rPr>
          <w:rFonts w:cs="Tahoma"/>
          <w:bCs/>
          <w:color w:val="000000"/>
          <w:szCs w:val="18"/>
        </w:rPr>
        <w:t> </w:t>
      </w:r>
      <w:r w:rsidRPr="00BD7CEA">
        <w:rPr>
          <w:rFonts w:cs="Tahoma"/>
          <w:bCs/>
          <w:color w:val="000000"/>
          <w:szCs w:val="18"/>
        </w:rPr>
        <w:t xml:space="preserve">utilizzare i servizi online fino al 31 dicembre 2015. </w:t>
      </w:r>
      <w:r w:rsidRPr="00BD7CEA">
        <w:t>Le società esistenti potranno inoltre aggiungere nuovi utenti in base alle proprie esigenze senza dovere ordinare Licenze “Subscription” per Utente aggiuntive.</w:t>
      </w:r>
      <w:r w:rsidR="008D782D" w:rsidRPr="00BD7CEA">
        <w:t xml:space="preserve"> </w:t>
      </w:r>
      <w:r w:rsidRPr="00BD7CEA">
        <w:rPr>
          <w:rFonts w:cs="Tahoma"/>
          <w:bCs/>
          <w:color w:val="000000"/>
          <w:szCs w:val="18"/>
        </w:rPr>
        <w:t>L</w:t>
      </w:r>
      <w:r w:rsidR="007A1415" w:rsidRPr="00BD7CEA">
        <w:rPr>
          <w:rFonts w:cs="Tahoma"/>
          <w:bCs/>
          <w:color w:val="000000"/>
          <w:szCs w:val="18"/>
        </w:rPr>
        <w:t>’</w:t>
      </w:r>
      <w:r w:rsidRPr="00BD7CEA">
        <w:rPr>
          <w:rFonts w:cs="Tahoma"/>
          <w:bCs/>
          <w:color w:val="000000"/>
          <w:szCs w:val="18"/>
        </w:rPr>
        <w:t xml:space="preserve">utilizzo continuato dei servizi online rimane soggetto alle condizioni del Contratto Multilicenza della società, ai diritti di utilizzo del prodotto relativi al servizio online e alle presenti condizioni. </w:t>
      </w:r>
    </w:p>
    <w:p w:rsidR="00273685" w:rsidRPr="00BD7CEA" w:rsidRDefault="00273685" w:rsidP="00273685">
      <w:pPr>
        <w:ind w:left="720"/>
      </w:pPr>
    </w:p>
    <w:p w:rsidR="00273685" w:rsidRPr="00BD7CEA" w:rsidRDefault="00273685" w:rsidP="00221A57">
      <w:pPr>
        <w:spacing w:after="60"/>
        <w:ind w:left="720"/>
      </w:pPr>
      <w:r w:rsidRPr="00BD7CEA">
        <w:rPr>
          <w:rFonts w:cs="Tahoma"/>
          <w:b/>
          <w:szCs w:val="20"/>
        </w:rPr>
        <w:t>Diritto di Migrazione per Forefront Protection 2010 for Exchange Server</w:t>
      </w:r>
    </w:p>
    <w:p w:rsidR="00273685" w:rsidRPr="00BD7CEA" w:rsidRDefault="00273685" w:rsidP="00221A57">
      <w:pPr>
        <w:ind w:left="720"/>
      </w:pPr>
      <w:r w:rsidRPr="00BD7CEA">
        <w:rPr>
          <w:rFonts w:cs="Tahoma"/>
          <w:color w:val="000000"/>
          <w:szCs w:val="20"/>
        </w:rPr>
        <w:t>Le società che hanno stipulato un contratto multilicenza e che hanno acquistato una licenza per Forefront Protection 2010 for Exchange Server sono idonee a utilizzare Antigen for Exchange, Antigen for SMTP Gateways e Antigen Spam Manager al posto di Forefront Protection 2010 for Exchange Server. L</w:t>
      </w:r>
      <w:r w:rsidR="007A1415" w:rsidRPr="00BD7CEA">
        <w:rPr>
          <w:rFonts w:cs="Tahoma"/>
          <w:color w:val="000000"/>
          <w:szCs w:val="20"/>
        </w:rPr>
        <w:t>’</w:t>
      </w:r>
      <w:r w:rsidRPr="00BD7CEA">
        <w:rPr>
          <w:rFonts w:cs="Tahoma"/>
          <w:color w:val="000000"/>
          <w:szCs w:val="20"/>
        </w:rPr>
        <w:t>utilizzo di Antigen for Exchange, Antigen for SMTP Gateways e Antigen Spam Manager è soggetto al relativo contratto di licenza e ai diritti sull</w:t>
      </w:r>
      <w:r w:rsidR="007A1415" w:rsidRPr="00BD7CEA">
        <w:rPr>
          <w:rFonts w:cs="Tahoma"/>
          <w:color w:val="000000"/>
          <w:szCs w:val="20"/>
        </w:rPr>
        <w:t>’</w:t>
      </w:r>
      <w:r w:rsidRPr="00BD7CEA">
        <w:rPr>
          <w:rFonts w:cs="Tahoma"/>
          <w:color w:val="000000"/>
          <w:szCs w:val="20"/>
        </w:rPr>
        <w:t>utilizzo di Forefront Protection 2010 for Exchange Server.* I diritti delle società di utilizzare Antigen for Exchange, Antigen for SMTP Gateways e Antigen Spam Manager cesseranno alla scadenza dei diritti concessi dalla loro licenza per Forefront Protection 2010 for Exchange Server.</w:t>
      </w:r>
    </w:p>
    <w:p w:rsidR="00273685" w:rsidRPr="00BD7CEA" w:rsidRDefault="00273685" w:rsidP="00221A57">
      <w:pPr>
        <w:ind w:left="720"/>
      </w:pPr>
    </w:p>
    <w:p w:rsidR="00273685" w:rsidRPr="00BD7CEA" w:rsidRDefault="00273685" w:rsidP="00221A57">
      <w:pPr>
        <w:ind w:left="720"/>
      </w:pPr>
      <w:r w:rsidRPr="00BD7CEA">
        <w:rPr>
          <w:rFonts w:cs="Tahoma"/>
          <w:color w:val="000000"/>
          <w:szCs w:val="20"/>
        </w:rPr>
        <w:t>*Il diritto di utilizzo di Antigen al posto di Forefront Security non si applica alle società che hanno inizialmente acquistato licenze per uno o più servizi Antigen e che successivamente migrano a Forefront Protection 2010 for Exchange Server. Ad esempio, le società titolari di una licenza Antigen for Exchange non</w:t>
      </w:r>
      <w:r w:rsidR="003E1512" w:rsidRPr="00BD7CEA">
        <w:rPr>
          <w:rFonts w:cs="Tahoma"/>
          <w:color w:val="000000"/>
          <w:szCs w:val="20"/>
        </w:rPr>
        <w:t> </w:t>
      </w:r>
      <w:r w:rsidRPr="00BD7CEA">
        <w:rPr>
          <w:rFonts w:cs="Tahoma"/>
          <w:color w:val="000000"/>
          <w:szCs w:val="20"/>
        </w:rPr>
        <w:t>sono autorizzate a utilizzare Antigen for SMTP Gateways o Antigen Spam Manager nell</w:t>
      </w:r>
      <w:r w:rsidR="007A1415" w:rsidRPr="00BD7CEA">
        <w:rPr>
          <w:rFonts w:cs="Tahoma"/>
          <w:color w:val="000000"/>
          <w:szCs w:val="20"/>
        </w:rPr>
        <w:t>’</w:t>
      </w:r>
      <w:r w:rsidRPr="00BD7CEA">
        <w:rPr>
          <w:rFonts w:cs="Tahoma"/>
          <w:color w:val="000000"/>
          <w:szCs w:val="20"/>
        </w:rPr>
        <w:t>ambito delle rispettive licenze Antigen for Exchange ai sensi dei diritti di migrazione a Forefront Protection 2010 for Exchange Server previsti da tale licenza.</w:t>
      </w:r>
      <w:r w:rsidR="008D782D" w:rsidRPr="00BD7CEA">
        <w:rPr>
          <w:rFonts w:cs="Tahoma"/>
          <w:color w:val="000000"/>
          <w:szCs w:val="20"/>
        </w:rPr>
        <w:t xml:space="preserve"> </w:t>
      </w:r>
    </w:p>
    <w:p w:rsidR="00973A93" w:rsidRPr="00BD7CEA" w:rsidRDefault="00973A93"/>
    <w:p w:rsidR="00273685" w:rsidRPr="00BD7CEA" w:rsidRDefault="00273685" w:rsidP="00221A57">
      <w:pPr>
        <w:spacing w:after="60"/>
        <w:ind w:left="720"/>
      </w:pPr>
      <w:r w:rsidRPr="00BD7CEA">
        <w:rPr>
          <w:rFonts w:cs="Tahoma"/>
          <w:b/>
          <w:szCs w:val="20"/>
        </w:rPr>
        <w:t>Diritto di Downgrade per Forefront Security for SharePoint</w:t>
      </w:r>
    </w:p>
    <w:p w:rsidR="00273685" w:rsidRPr="00BD7CEA" w:rsidRDefault="00273685" w:rsidP="00221A57">
      <w:pPr>
        <w:ind w:left="720"/>
      </w:pPr>
      <w:r w:rsidRPr="00BD7CEA">
        <w:rPr>
          <w:rFonts w:cs="Tahoma"/>
          <w:szCs w:val="20"/>
        </w:rPr>
        <w:t>Le società che abbiano stipulato contratti Volume License e che abbiano acquistato una licenza per Forefront Protection 2010 for SharePoint sono idonee a effettuare il downgrade a e utilizzare Antigen for SharePoint al posto delle licenze Forefront Protection 2010 for SharePoint. L</w:t>
      </w:r>
      <w:r w:rsidR="007A1415" w:rsidRPr="00BD7CEA">
        <w:rPr>
          <w:rFonts w:cs="Tahoma"/>
          <w:szCs w:val="20"/>
        </w:rPr>
        <w:t>’</w:t>
      </w:r>
      <w:r w:rsidRPr="00BD7CEA">
        <w:rPr>
          <w:rFonts w:cs="Tahoma"/>
          <w:szCs w:val="20"/>
        </w:rPr>
        <w:t>utilizzo di Antigen for SharePoint è soggetto alle condizioni del contratto di licenza e ai diritti di utilizzo di Forefront Protection 2010 for SharePoint. I diritti delle società di utilizzare Antigen for SharePoint cesseranno alla scadenza dei diritti della licenza Forefront Protection 2010 for SharePoint.</w:t>
      </w:r>
    </w:p>
    <w:p w:rsidR="00273685" w:rsidRPr="00BD7CEA" w:rsidRDefault="00273685" w:rsidP="00221A57">
      <w:pPr>
        <w:ind w:left="720"/>
      </w:pPr>
    </w:p>
    <w:p w:rsidR="00273685" w:rsidRPr="00BD7CEA" w:rsidRDefault="00273685" w:rsidP="00221A57">
      <w:pPr>
        <w:ind w:left="720"/>
      </w:pPr>
      <w:r w:rsidRPr="00BD7CEA">
        <w:rPr>
          <w:rFonts w:cs="Tahoma"/>
          <w:bCs/>
          <w:color w:val="000000"/>
          <w:szCs w:val="20"/>
        </w:rPr>
        <w:t>Tutti gli utenti (o i dispositivi) che accedono a un server protetto devono disporre di licenze SL per Utente (o</w:t>
      </w:r>
      <w:r w:rsidR="003E1512" w:rsidRPr="00BD7CEA">
        <w:rPr>
          <w:rFonts w:cs="Tahoma"/>
          <w:bCs/>
          <w:color w:val="000000"/>
          <w:szCs w:val="20"/>
        </w:rPr>
        <w:t> </w:t>
      </w:r>
      <w:r w:rsidRPr="00BD7CEA">
        <w:rPr>
          <w:rFonts w:cs="Tahoma"/>
          <w:bCs/>
          <w:color w:val="000000"/>
          <w:szCs w:val="20"/>
        </w:rPr>
        <w:t>Dispositivo), a meno che non siano in possesso di una licenza External Connector per Forefront for Exchange o di una licenza SL Add-on per Forefront Security for SharePoint per Siti Internet.</w:t>
      </w:r>
    </w:p>
    <w:p w:rsidR="00273685" w:rsidRPr="00BD7CEA" w:rsidRDefault="00273685" w:rsidP="00221A57">
      <w:pPr>
        <w:pStyle w:val="EndnoteText"/>
        <w:ind w:left="720"/>
      </w:pPr>
    </w:p>
    <w:p w:rsidR="00023FE7" w:rsidRPr="00BD7CEA" w:rsidRDefault="00273685" w:rsidP="00221A57">
      <w:pPr>
        <w:pStyle w:val="EndnoteText"/>
        <w:ind w:left="720"/>
      </w:pPr>
      <w:r w:rsidRPr="00BD7CEA">
        <w:rPr>
          <w:rFonts w:cs="Tahoma"/>
          <w:bCs/>
          <w:color w:val="000000"/>
          <w:szCs w:val="20"/>
        </w:rPr>
        <w:t>Fare riferimento all</w:t>
      </w:r>
      <w:r w:rsidR="007A1415" w:rsidRPr="00BD7CEA">
        <w:rPr>
          <w:rFonts w:cs="Tahoma"/>
          <w:bCs/>
          <w:color w:val="000000"/>
          <w:szCs w:val="20"/>
        </w:rPr>
        <w:t>’</w:t>
      </w:r>
      <w:hyperlink w:anchor="_Section_5_–" w:history="1">
        <w:r w:rsidRPr="00BD7CEA">
          <w:t xml:space="preserve"> </w:t>
        </w:r>
        <w:r w:rsidRPr="00BD7CEA">
          <w:rPr>
            <w:rStyle w:val="Hyperlink"/>
            <w:rFonts w:cs="Tahoma"/>
          </w:rPr>
          <w:t>Articolo 5</w:t>
        </w:r>
      </w:hyperlink>
      <w:r w:rsidRPr="00BD7CEA">
        <w:rPr>
          <w:rFonts w:cs="Tahoma"/>
          <w:bCs/>
          <w:color w:val="000000"/>
          <w:szCs w:val="20"/>
        </w:rPr>
        <w:t xml:space="preserve"> per i prezzi dei servizi online e le condizioni di pagamento.</w:t>
      </w:r>
    </w:p>
    <w:p w:rsidR="00273685" w:rsidRPr="00BD7CEA" w:rsidRDefault="00273685" w:rsidP="00273685">
      <w:pPr>
        <w:pStyle w:val="EndnoteText"/>
      </w:pPr>
    </w:p>
    <w:p w:rsidR="00586FCE" w:rsidRPr="00BD7CEA" w:rsidRDefault="00586FCE" w:rsidP="00273685">
      <w:pPr>
        <w:pStyle w:val="EndnoteText"/>
      </w:pPr>
    </w:p>
    <w:p w:rsidR="00796FF5" w:rsidRPr="00BD7CEA" w:rsidRDefault="00F66FB0" w:rsidP="00796FF5">
      <w:pPr>
        <w:pStyle w:val="Heading3"/>
      </w:pPr>
      <w:bookmarkStart w:id="1314" w:name="_58_Forefront_Protection"/>
      <w:bookmarkStart w:id="1315" w:name="_Toc336338319"/>
      <w:bookmarkStart w:id="1316" w:name="_Toc353376096"/>
      <w:bookmarkStart w:id="1317" w:name="Srv_45ForefrontSecfoOffComm"/>
      <w:bookmarkStart w:id="1318" w:name="Srv_46ForefrontSecfoOffComm"/>
      <w:bookmarkEnd w:id="1314"/>
      <w:r w:rsidRPr="00BD7CEA">
        <w:rPr>
          <w:rFonts w:ascii="Tahoma" w:hAnsi="Tahoma"/>
          <w:caps/>
          <w:color w:val="F66400"/>
          <w:sz w:val="22"/>
          <w:vertAlign w:val="superscript"/>
        </w:rPr>
        <w:t>58</w:t>
      </w:r>
      <w:r w:rsidRPr="00BD7CEA">
        <w:rPr>
          <w:rFonts w:ascii="Tahoma" w:hAnsi="Tahoma"/>
          <w:color w:val="F66400"/>
          <w:sz w:val="22"/>
        </w:rPr>
        <w:t xml:space="preserve"> Forefront Protection Suite (Dispositivo e Utente)</w:t>
      </w:r>
      <w:bookmarkEnd w:id="1315"/>
      <w:bookmarkEnd w:id="1316"/>
    </w:p>
    <w:bookmarkEnd w:id="1313"/>
    <w:p w:rsidR="00796FF5" w:rsidRPr="00BD7CEA" w:rsidRDefault="00796FF5" w:rsidP="00796FF5"/>
    <w:p w:rsidR="009115D6" w:rsidRPr="00BD7CEA" w:rsidRDefault="009115D6" w:rsidP="00796FF5">
      <w:pPr>
        <w:ind w:left="720"/>
      </w:pPr>
      <w:r w:rsidRPr="00BD7CEA">
        <w:rPr>
          <w:rFonts w:cs="Tahoma"/>
          <w:bCs/>
          <w:color w:val="000000"/>
          <w:szCs w:val="18"/>
        </w:rPr>
        <w:t>Forefront Protection Suite non sarà più disponibile a partire dal 1 dicembre 2012. Le società con abbonamenti attivi al servizio online in data 30 novembre 2012 potranno continuare a utilizzare i servizi online dei componenti fino alla scadenza dell</w:t>
      </w:r>
      <w:r w:rsidR="007A1415" w:rsidRPr="00BD7CEA">
        <w:rPr>
          <w:rFonts w:cs="Tahoma"/>
          <w:bCs/>
          <w:color w:val="000000"/>
          <w:szCs w:val="18"/>
        </w:rPr>
        <w:t>’</w:t>
      </w:r>
      <w:r w:rsidRPr="00BD7CEA">
        <w:rPr>
          <w:rFonts w:cs="Tahoma"/>
          <w:bCs/>
          <w:color w:val="000000"/>
          <w:szCs w:val="18"/>
        </w:rPr>
        <w:t>abbonamento.</w:t>
      </w:r>
      <w:r w:rsidR="008D782D" w:rsidRPr="00BD7CEA">
        <w:rPr>
          <w:rFonts w:cs="Tahoma"/>
          <w:bCs/>
          <w:color w:val="000000"/>
          <w:szCs w:val="18"/>
        </w:rPr>
        <w:t xml:space="preserve"> </w:t>
      </w:r>
      <w:r w:rsidRPr="00BD7CEA">
        <w:rPr>
          <w:rFonts w:cs="Tahoma"/>
          <w:bCs/>
          <w:color w:val="000000"/>
          <w:szCs w:val="18"/>
        </w:rPr>
        <w:t xml:space="preserve">Tali società potranno inoltre continuare a utilizzare i componenti </w:t>
      </w:r>
      <w:r w:rsidRPr="00BD7CEA">
        <w:rPr>
          <w:rFonts w:cs="Tahoma"/>
          <w:color w:val="000000"/>
          <w:szCs w:val="20"/>
        </w:rPr>
        <w:t xml:space="preserve">Forefront Security for Office Communications Server, Forefront Protection 2010 for Exchange Server, Forefront Threat Management Gateway Web Protection Service e Forefront Protection 2010 for SharePoint Server </w:t>
      </w:r>
      <w:r w:rsidRPr="00BD7CEA">
        <w:rPr>
          <w:rFonts w:cs="Tahoma"/>
          <w:bCs/>
          <w:color w:val="000000"/>
          <w:szCs w:val="18"/>
        </w:rPr>
        <w:t xml:space="preserve">della famiglia di prodotti fino al 31 dicembre 2015. </w:t>
      </w:r>
      <w:r w:rsidRPr="00BD7CEA">
        <w:t>Le società esistenti potranno</w:t>
      </w:r>
      <w:r w:rsidR="003E1512" w:rsidRPr="00BD7CEA">
        <w:t> </w:t>
      </w:r>
      <w:r w:rsidRPr="00BD7CEA">
        <w:t>inoltre aggiungere nuovi utenti in base alle proprie esigenze per Forefront Security for Office Communications Server, Forefront Protection 2010 for Exchange Server, Forefront Threat Management Gateway Web Protection Service e Forefront Protection for SharePoint Server senza dovere ordinare Licenze “Subscription” per Utente aggiuntive.</w:t>
      </w:r>
      <w:r w:rsidRPr="00BD7CEA">
        <w:rPr>
          <w:rFonts w:cs="Tahoma"/>
          <w:bCs/>
          <w:szCs w:val="18"/>
        </w:rPr>
        <w:t xml:space="preserve"> </w:t>
      </w:r>
      <w:r w:rsidRPr="00BD7CEA">
        <w:rPr>
          <w:rFonts w:cs="Tahoma"/>
          <w:bCs/>
          <w:color w:val="000000"/>
          <w:szCs w:val="18"/>
        </w:rPr>
        <w:t>L</w:t>
      </w:r>
      <w:r w:rsidR="007A1415" w:rsidRPr="00BD7CEA">
        <w:rPr>
          <w:rFonts w:cs="Tahoma"/>
          <w:bCs/>
          <w:color w:val="000000"/>
          <w:szCs w:val="18"/>
        </w:rPr>
        <w:t>’</w:t>
      </w:r>
      <w:r w:rsidRPr="00BD7CEA">
        <w:rPr>
          <w:rFonts w:cs="Tahoma"/>
          <w:bCs/>
          <w:color w:val="000000"/>
          <w:szCs w:val="18"/>
        </w:rPr>
        <w:t>utilizzo continuato dei servizi online dei componenti rimane soggetto alle condizioni del Contratto Multilicenza della società, ai diritti di utilizzo del prodotto relativi ai servizi online e alle presenti condizioni.</w:t>
      </w:r>
    </w:p>
    <w:p w:rsidR="00796FF5" w:rsidRPr="00BD7CEA" w:rsidRDefault="00796FF5" w:rsidP="00796FF5">
      <w:pPr>
        <w:ind w:left="720"/>
      </w:pPr>
      <w:r w:rsidRPr="00BD7CEA">
        <w:rPr>
          <w:rFonts w:cs="Tahoma"/>
          <w:color w:val="000000"/>
          <w:szCs w:val="20"/>
        </w:rPr>
        <w:lastRenderedPageBreak/>
        <w:t xml:space="preserve">Un abbonamento a Forefront Protection Suite è costituito dai seguenti servizi online: Forefront Endpoint Protection, Forefront for Office Communications Server (ex Antigen for Instant Messaging), Forefront Online Protection for Exchange (ex Exchange Hosted Filtering), Forefront Protection 2010 for Exchange Server, Forefront Threat Management Gateway Web Protection Service e Forefront Protection 2010 for SharePoint Server. </w:t>
      </w:r>
    </w:p>
    <w:p w:rsidR="00796FF5" w:rsidRPr="00BD7CEA" w:rsidRDefault="00796FF5" w:rsidP="00796FF5">
      <w:pPr>
        <w:ind w:left="720"/>
      </w:pPr>
    </w:p>
    <w:p w:rsidR="006E5A58" w:rsidRPr="00BD7CEA" w:rsidRDefault="00796FF5" w:rsidP="00221A57">
      <w:pPr>
        <w:ind w:left="720"/>
      </w:pPr>
      <w:r w:rsidRPr="00BD7CEA">
        <w:rPr>
          <w:rFonts w:cs="Tahoma"/>
          <w:bCs/>
          <w:color w:val="000000"/>
          <w:szCs w:val="20"/>
        </w:rPr>
        <w:t>Fare riferimento all</w:t>
      </w:r>
      <w:r w:rsidR="007A1415" w:rsidRPr="00BD7CEA">
        <w:rPr>
          <w:rFonts w:cs="Tahoma"/>
          <w:bCs/>
          <w:color w:val="000000"/>
          <w:szCs w:val="20"/>
        </w:rPr>
        <w:t>’</w:t>
      </w:r>
      <w:hyperlink w:anchor="_Articolo_5_-" w:history="1">
        <w:r w:rsidRPr="008F335E">
          <w:rPr>
            <w:rStyle w:val="Hyperlink"/>
          </w:rPr>
          <w:t>Articolo 5</w:t>
        </w:r>
      </w:hyperlink>
      <w:r w:rsidRPr="00BD7CEA">
        <w:rPr>
          <w:rFonts w:cs="Tahoma"/>
          <w:bCs/>
          <w:color w:val="000000"/>
          <w:szCs w:val="20"/>
        </w:rPr>
        <w:t xml:space="preserve"> per i prezzi dei servizi online e le condizioni di pagamento. </w:t>
      </w:r>
    </w:p>
    <w:p w:rsidR="00796FF5" w:rsidRPr="00BD7CEA" w:rsidRDefault="00796FF5" w:rsidP="00221A57"/>
    <w:p w:rsidR="009C2B6B" w:rsidRPr="00BD7CEA" w:rsidRDefault="009C2B6B" w:rsidP="00221A57"/>
    <w:p w:rsidR="00023FE7" w:rsidRPr="00BD7CEA" w:rsidRDefault="00F66FB0">
      <w:pPr>
        <w:pStyle w:val="Heading3"/>
      </w:pPr>
      <w:bookmarkStart w:id="1319" w:name="_59_Forefront_Security"/>
      <w:bookmarkStart w:id="1320" w:name="_Toc336338320"/>
      <w:bookmarkStart w:id="1321" w:name="_Toc353376097"/>
      <w:bookmarkStart w:id="1322" w:name="Srv_49ForefrontSecfoOffComm"/>
      <w:bookmarkEnd w:id="1319"/>
      <w:r w:rsidRPr="00BD7CEA">
        <w:rPr>
          <w:rFonts w:ascii="Tahoma" w:hAnsi="Tahoma"/>
          <w:caps/>
          <w:color w:val="F66400"/>
          <w:sz w:val="22"/>
          <w:vertAlign w:val="superscript"/>
        </w:rPr>
        <w:t xml:space="preserve">59 </w:t>
      </w:r>
      <w:r w:rsidRPr="00BD7CEA">
        <w:rPr>
          <w:rFonts w:ascii="Tahoma" w:hAnsi="Tahoma"/>
          <w:color w:val="F66400"/>
          <w:sz w:val="22"/>
        </w:rPr>
        <w:t>Forefront Security for Office Communications Server (SL per Utente e Dispositivo)</w:t>
      </w:r>
      <w:bookmarkEnd w:id="1320"/>
      <w:bookmarkEnd w:id="1321"/>
    </w:p>
    <w:bookmarkEnd w:id="1322"/>
    <w:p w:rsidR="00023FE7" w:rsidRPr="00BD7CEA" w:rsidRDefault="00023FE7">
      <w:pPr>
        <w:pStyle w:val="EndnoteText"/>
        <w:ind w:left="0"/>
      </w:pPr>
    </w:p>
    <w:bookmarkEnd w:id="1317"/>
    <w:bookmarkEnd w:id="1318"/>
    <w:p w:rsidR="009115D6" w:rsidRPr="00BD7CEA" w:rsidRDefault="009115D6" w:rsidP="009115D6">
      <w:pPr>
        <w:ind w:left="720"/>
      </w:pPr>
      <w:r w:rsidRPr="00BD7CEA">
        <w:rPr>
          <w:rFonts w:cs="Tahoma"/>
          <w:bCs/>
          <w:color w:val="000000"/>
          <w:szCs w:val="18"/>
        </w:rPr>
        <w:t xml:space="preserve">Forefront Security for Office Communications Server non sarà più disponibile a partire dal 1 dicembre 2012. Le società che disporranno di sottoscrizioni attive del servizio online alla data del 30 novembre 2012 potranno continuare a utilizzare il servizio online fino al 31 dicembre 2015. </w:t>
      </w:r>
      <w:r w:rsidRPr="00BD7CEA">
        <w:t>Le società esistenti potranno inoltre aggiungere nuovi utenti in base alle proprie esigenze senza dovere ordinare Licenze “Subscription” per Utente aggiuntive.</w:t>
      </w:r>
      <w:r w:rsidR="008D782D" w:rsidRPr="00BD7CEA">
        <w:t xml:space="preserve"> </w:t>
      </w:r>
      <w:r w:rsidRPr="00BD7CEA">
        <w:rPr>
          <w:rFonts w:cs="Tahoma"/>
          <w:bCs/>
          <w:color w:val="000000"/>
          <w:szCs w:val="18"/>
        </w:rPr>
        <w:t>L</w:t>
      </w:r>
      <w:r w:rsidR="007A1415" w:rsidRPr="00BD7CEA">
        <w:rPr>
          <w:rFonts w:cs="Tahoma"/>
          <w:bCs/>
          <w:color w:val="000000"/>
          <w:szCs w:val="18"/>
        </w:rPr>
        <w:t>’</w:t>
      </w:r>
      <w:r w:rsidRPr="00BD7CEA">
        <w:rPr>
          <w:rFonts w:cs="Tahoma"/>
          <w:bCs/>
          <w:color w:val="000000"/>
          <w:szCs w:val="18"/>
        </w:rPr>
        <w:t xml:space="preserve">utilizzo continuato del servizio online rimane soggetto alle condizioni del Contratto Multilicenza della società, ai diritti di utilizzo del prodotto relativi al servizio online e alle presenti condizioni. </w:t>
      </w:r>
    </w:p>
    <w:p w:rsidR="009115D6" w:rsidRPr="00BD7CEA" w:rsidRDefault="009115D6" w:rsidP="009115D6">
      <w:pPr>
        <w:ind w:left="720"/>
      </w:pPr>
    </w:p>
    <w:p w:rsidR="00023FE7" w:rsidRPr="00BD7CEA" w:rsidRDefault="00023FE7" w:rsidP="00E62BC4">
      <w:pPr>
        <w:pStyle w:val="EndnoteText"/>
        <w:ind w:left="720"/>
      </w:pPr>
      <w:r w:rsidRPr="00BD7CEA">
        <w:rPr>
          <w:rFonts w:ascii="Tahoma" w:hAnsi="Tahoma" w:cs="Tahoma"/>
          <w:bCs/>
          <w:color w:val="000000"/>
          <w:sz w:val="18"/>
          <w:szCs w:val="20"/>
        </w:rPr>
        <w:t>Tutti gli utenti (o dispositivi) che accedono a un server protetto hanno bisogno di SL Utente (o Dispositivo).</w:t>
      </w:r>
      <w:r w:rsidR="008D782D" w:rsidRPr="00BD7CEA">
        <w:rPr>
          <w:rFonts w:ascii="Tahoma" w:hAnsi="Tahoma" w:cs="Tahoma"/>
          <w:bCs/>
          <w:color w:val="000000"/>
          <w:sz w:val="18"/>
          <w:szCs w:val="20"/>
        </w:rPr>
        <w:t xml:space="preserve"> </w:t>
      </w:r>
      <w:r w:rsidRPr="00BD7CEA">
        <w:rPr>
          <w:rFonts w:ascii="Tahoma" w:hAnsi="Tahoma" w:cs="Tahoma"/>
          <w:bCs/>
          <w:color w:val="000000"/>
          <w:sz w:val="18"/>
          <w:szCs w:val="20"/>
        </w:rPr>
        <w:t>Questo servizio online era precedentemente noto come Antigen for Instant Messaging.</w:t>
      </w:r>
      <w:r w:rsidR="008D782D" w:rsidRPr="00BD7CEA">
        <w:rPr>
          <w:rFonts w:ascii="Tahoma" w:hAnsi="Tahoma" w:cs="Tahoma"/>
          <w:bCs/>
          <w:color w:val="000000"/>
          <w:sz w:val="18"/>
          <w:szCs w:val="20"/>
        </w:rPr>
        <w:t xml:space="preserve"> </w:t>
      </w:r>
    </w:p>
    <w:p w:rsidR="00023FE7" w:rsidRPr="00BD7CEA" w:rsidRDefault="00023FE7" w:rsidP="00697E59">
      <w:bookmarkStart w:id="1323" w:name="Srv_48ForefrontSvrSecMgmtConsole"/>
    </w:p>
    <w:p w:rsidR="00EE30F1" w:rsidRPr="00BD7CEA" w:rsidRDefault="00EE30F1" w:rsidP="00221A57">
      <w:bookmarkStart w:id="1324" w:name="_49_Forefront_Threat"/>
      <w:bookmarkStart w:id="1325" w:name="Srv_52ForefrontUnifiedAccessGtwy2010"/>
      <w:bookmarkStart w:id="1326" w:name="Srv_56ForefrontUnifiedAccessGtwy2010"/>
      <w:bookmarkEnd w:id="1323"/>
      <w:bookmarkEnd w:id="1324"/>
    </w:p>
    <w:p w:rsidR="0079439D" w:rsidRPr="00BD7CEA" w:rsidRDefault="00F66FB0" w:rsidP="00221A57">
      <w:pPr>
        <w:pStyle w:val="Heading3"/>
      </w:pPr>
      <w:bookmarkStart w:id="1327" w:name="_50__Forefront"/>
      <w:bookmarkStart w:id="1328" w:name="_57_Forefront_Threat"/>
      <w:bookmarkStart w:id="1329" w:name="_60_Forefront_Threat"/>
      <w:bookmarkStart w:id="1330" w:name="_Toc336338321"/>
      <w:bookmarkStart w:id="1331" w:name="Srv_51ForefrontThreatMgmtGtwy2010"/>
      <w:bookmarkStart w:id="1332" w:name="_Toc353376098"/>
      <w:bookmarkEnd w:id="1327"/>
      <w:bookmarkEnd w:id="1328"/>
      <w:bookmarkEnd w:id="1329"/>
      <w:r w:rsidRPr="00BD7CEA">
        <w:rPr>
          <w:rFonts w:ascii="Tahoma" w:hAnsi="Tahoma"/>
          <w:caps/>
          <w:color w:val="F66400"/>
          <w:sz w:val="22"/>
          <w:vertAlign w:val="superscript"/>
        </w:rPr>
        <w:t xml:space="preserve">60 </w:t>
      </w:r>
      <w:r w:rsidRPr="00BD7CEA">
        <w:rPr>
          <w:rFonts w:ascii="Tahoma" w:hAnsi="Tahoma"/>
          <w:color w:val="F66400"/>
          <w:sz w:val="22"/>
        </w:rPr>
        <w:t xml:space="preserve">Forefront Threat Management Gateway </w:t>
      </w:r>
      <w:bookmarkEnd w:id="1330"/>
      <w:r w:rsidRPr="00BD7CEA">
        <w:rPr>
          <w:rFonts w:ascii="Tahoma" w:hAnsi="Tahoma"/>
          <w:color w:val="F66400"/>
          <w:sz w:val="22"/>
        </w:rPr>
        <w:t>Web Protection Service</w:t>
      </w:r>
      <w:bookmarkEnd w:id="1331"/>
      <w:bookmarkEnd w:id="1332"/>
    </w:p>
    <w:p w:rsidR="00221A57" w:rsidRPr="00BD7CEA" w:rsidRDefault="00221A57" w:rsidP="00221A57"/>
    <w:p w:rsidR="00586FCE" w:rsidRPr="00BD7CEA" w:rsidRDefault="0079439D" w:rsidP="00221A57">
      <w:pPr>
        <w:ind w:left="720"/>
      </w:pPr>
      <w:bookmarkStart w:id="1333" w:name="_Toc336338322"/>
      <w:r w:rsidRPr="00BD7CEA">
        <w:rPr>
          <w:rFonts w:cs="Tahoma"/>
          <w:bCs/>
          <w:color w:val="000000"/>
          <w:szCs w:val="18"/>
        </w:rPr>
        <w:t>Forefront Threat Management Gateway Web Protection Service non sarà più disponibile a partire dal 1</w:t>
      </w:r>
      <w:r w:rsidR="00581319">
        <w:rPr>
          <w:rFonts w:cs="Tahoma"/>
          <w:bCs/>
          <w:color w:val="000000"/>
          <w:szCs w:val="18"/>
        </w:rPr>
        <w:t> </w:t>
      </w:r>
      <w:r w:rsidRPr="00BD7CEA">
        <w:rPr>
          <w:rFonts w:cs="Tahoma"/>
          <w:bCs/>
          <w:color w:val="000000"/>
          <w:szCs w:val="18"/>
        </w:rPr>
        <w:t>dicembre 2012. Le società che disporranno di sottoscrizioni attive del servizio online alla data del 30</w:t>
      </w:r>
      <w:r w:rsidR="00581319">
        <w:rPr>
          <w:rFonts w:cs="Tahoma"/>
          <w:bCs/>
          <w:color w:val="000000"/>
          <w:szCs w:val="18"/>
        </w:rPr>
        <w:t> </w:t>
      </w:r>
      <w:r w:rsidRPr="00BD7CEA">
        <w:rPr>
          <w:rFonts w:cs="Tahoma"/>
          <w:bCs/>
          <w:color w:val="000000"/>
          <w:szCs w:val="18"/>
        </w:rPr>
        <w:t xml:space="preserve">novembre 2012 potranno continuare a utilizzare il servizio online fino al 31 dicembre 2015. </w:t>
      </w:r>
      <w:r w:rsidRPr="00BD7CEA">
        <w:t>Le società esistenti potranno inoltre aggiungere nuovi utenti in base alle proprie esigenze senza dovere ordinare Licenze “Subscription” per Utente aggiuntive.</w:t>
      </w:r>
      <w:r w:rsidR="008D782D" w:rsidRPr="00BD7CEA">
        <w:rPr>
          <w:rFonts w:cs="Tahoma"/>
          <w:bCs/>
          <w:szCs w:val="18"/>
        </w:rPr>
        <w:t xml:space="preserve"> </w:t>
      </w:r>
      <w:r w:rsidRPr="00BD7CEA">
        <w:rPr>
          <w:rFonts w:cs="Tahoma"/>
          <w:bCs/>
          <w:color w:val="000000"/>
          <w:szCs w:val="18"/>
        </w:rPr>
        <w:t>L</w:t>
      </w:r>
      <w:r w:rsidR="007A1415" w:rsidRPr="00BD7CEA">
        <w:rPr>
          <w:rFonts w:cs="Tahoma"/>
          <w:bCs/>
          <w:color w:val="000000"/>
          <w:szCs w:val="18"/>
        </w:rPr>
        <w:t>’</w:t>
      </w:r>
      <w:r w:rsidRPr="00BD7CEA">
        <w:rPr>
          <w:rFonts w:cs="Tahoma"/>
          <w:bCs/>
          <w:color w:val="000000"/>
          <w:szCs w:val="18"/>
        </w:rPr>
        <w:t xml:space="preserve">utilizzo continuato del servizio online rimane soggetto alle condizioni del Contratto Multilicenza della società, ai diritti di utilizzo del prodotto relativi al servizio online e alle presenti condizioni. </w:t>
      </w:r>
    </w:p>
    <w:p w:rsidR="00221A57" w:rsidRPr="00BD7CEA" w:rsidRDefault="00221A57" w:rsidP="00221A57"/>
    <w:p w:rsidR="00221A57" w:rsidRPr="00BD7CEA" w:rsidRDefault="00221A57" w:rsidP="00221A57"/>
    <w:p w:rsidR="009E4FDD" w:rsidRPr="00BD7CEA" w:rsidRDefault="00F66FB0" w:rsidP="009E4FDD">
      <w:pPr>
        <w:pStyle w:val="Heading3"/>
      </w:pPr>
      <w:bookmarkStart w:id="1334" w:name="_61_Forefront_Unified"/>
      <w:bookmarkStart w:id="1335" w:name="_Toc353376099"/>
      <w:bookmarkEnd w:id="1334"/>
      <w:r w:rsidRPr="00BD7CEA">
        <w:rPr>
          <w:rFonts w:ascii="Tahoma" w:hAnsi="Tahoma"/>
          <w:caps/>
          <w:color w:val="F66400"/>
          <w:sz w:val="22"/>
          <w:vertAlign w:val="superscript"/>
        </w:rPr>
        <w:t xml:space="preserve">61 </w:t>
      </w:r>
      <w:r w:rsidRPr="00BD7CEA">
        <w:rPr>
          <w:rFonts w:ascii="Tahoma" w:hAnsi="Tahoma"/>
          <w:color w:val="F66400"/>
          <w:sz w:val="22"/>
        </w:rPr>
        <w:t>Forefront Unified Access Gateway 2010</w:t>
      </w:r>
      <w:bookmarkEnd w:id="1333"/>
      <w:bookmarkEnd w:id="1335"/>
    </w:p>
    <w:bookmarkEnd w:id="1325"/>
    <w:bookmarkEnd w:id="1326"/>
    <w:p w:rsidR="009E4FDD" w:rsidRPr="00BD7CEA" w:rsidRDefault="009E4FDD" w:rsidP="009E4FDD"/>
    <w:p w:rsidR="009E4FDD" w:rsidRPr="00BD7CEA" w:rsidRDefault="009E4FDD" w:rsidP="00221A57">
      <w:pPr>
        <w:spacing w:after="60"/>
        <w:ind w:left="720"/>
      </w:pPr>
      <w:r w:rsidRPr="00BD7CEA">
        <w:rPr>
          <w:rFonts w:cs="Tahoma"/>
          <w:b/>
          <w:color w:val="000000"/>
          <w:szCs w:val="18"/>
        </w:rPr>
        <w:t>Versione</w:t>
      </w:r>
    </w:p>
    <w:p w:rsidR="009E4FDD" w:rsidRPr="00BD7CEA" w:rsidRDefault="009E4FDD" w:rsidP="009E4FDD">
      <w:pPr>
        <w:ind w:left="720"/>
        <w:rPr>
          <w:spacing w:val="-2"/>
        </w:rPr>
      </w:pPr>
      <w:r w:rsidRPr="00BD7CEA">
        <w:rPr>
          <w:rFonts w:cs="Tahoma"/>
          <w:color w:val="000000"/>
          <w:spacing w:val="-2"/>
          <w:szCs w:val="18"/>
        </w:rPr>
        <w:t>Forefront Unified Access Gateway 2010 è la versione successiva di Whale Intelligent Application Gateway 2007</w:t>
      </w:r>
    </w:p>
    <w:p w:rsidR="00EE30F1" w:rsidRPr="00BD7CEA" w:rsidRDefault="00EE30F1">
      <w:pPr>
        <w:ind w:left="720"/>
      </w:pPr>
    </w:p>
    <w:p w:rsidR="001979E9" w:rsidRPr="00BD7CEA" w:rsidRDefault="001979E9">
      <w:pPr>
        <w:ind w:left="720"/>
      </w:pPr>
    </w:p>
    <w:p w:rsidR="00023FE7" w:rsidRPr="00BD7CEA" w:rsidRDefault="00F66FB0" w:rsidP="00416294">
      <w:pPr>
        <w:pStyle w:val="Heading3"/>
      </w:pPr>
      <w:bookmarkStart w:id="1336" w:name="_51_High_Performance"/>
      <w:bookmarkStart w:id="1337" w:name="_63_61_HPC"/>
      <w:bookmarkStart w:id="1338" w:name="_62_HPC_Pack"/>
      <w:bookmarkStart w:id="1339" w:name="_Toc336338323"/>
      <w:bookmarkStart w:id="1340" w:name="_Toc353376100"/>
      <w:bookmarkStart w:id="1341" w:name="Srv_48HighPerfComputingPack"/>
      <w:bookmarkStart w:id="1342" w:name="Srv_54HighPerfComputingPack"/>
      <w:bookmarkStart w:id="1343" w:name="Srv_49HighPerfComputingPack"/>
      <w:bookmarkEnd w:id="1336"/>
      <w:bookmarkEnd w:id="1337"/>
      <w:bookmarkEnd w:id="1338"/>
      <w:r w:rsidRPr="00BD7CEA">
        <w:rPr>
          <w:rFonts w:ascii="Tahoma" w:hAnsi="Tahoma"/>
          <w:caps/>
          <w:color w:val="F66400"/>
          <w:sz w:val="22"/>
          <w:vertAlign w:val="superscript"/>
        </w:rPr>
        <w:t xml:space="preserve">62 </w:t>
      </w:r>
      <w:r w:rsidRPr="00BD7CEA">
        <w:rPr>
          <w:rFonts w:ascii="Tahoma" w:hAnsi="Tahoma"/>
          <w:color w:val="F66400"/>
          <w:sz w:val="22"/>
        </w:rPr>
        <w:t>HPC Pack 2008 R2 Enterprise</w:t>
      </w:r>
      <w:bookmarkEnd w:id="1339"/>
      <w:bookmarkEnd w:id="1340"/>
    </w:p>
    <w:bookmarkEnd w:id="1341"/>
    <w:bookmarkEnd w:id="1342"/>
    <w:p w:rsidR="00023FE7" w:rsidRPr="00BD7CEA" w:rsidRDefault="00023FE7" w:rsidP="00416294">
      <w:pPr>
        <w:ind w:left="720"/>
      </w:pPr>
    </w:p>
    <w:bookmarkEnd w:id="1343"/>
    <w:p w:rsidR="00221A57" w:rsidRPr="00BD7CEA" w:rsidRDefault="001978C7" w:rsidP="00221A57">
      <w:pPr>
        <w:spacing w:after="60"/>
        <w:ind w:left="720"/>
      </w:pPr>
      <w:r w:rsidRPr="00BD7CEA">
        <w:rPr>
          <w:b/>
          <w:color w:val="000000"/>
        </w:rPr>
        <w:t>Concessioni di licenza associate alla fine del ciclo di vita di HPC Pack Enterprise</w:t>
      </w:r>
    </w:p>
    <w:p w:rsidR="00221A57" w:rsidRPr="00BD7CEA" w:rsidRDefault="001978C7" w:rsidP="00221A57">
      <w:pPr>
        <w:ind w:left="720"/>
      </w:pPr>
      <w:r w:rsidRPr="00BD7CEA">
        <w:rPr>
          <w:color w:val="000000"/>
        </w:rPr>
        <w:t>HPC Pack 2008 R2 Enterprise sarà l</w:t>
      </w:r>
      <w:r w:rsidR="007A1415" w:rsidRPr="00BD7CEA">
        <w:rPr>
          <w:color w:val="000000"/>
        </w:rPr>
        <w:t>’</w:t>
      </w:r>
      <w:r w:rsidRPr="00BD7CEA">
        <w:rPr>
          <w:color w:val="000000"/>
        </w:rPr>
        <w:t xml:space="preserve">ultima versione del software HPC Pack Enterprise venduta nel Programma Multilicenza. Le prossime versioni saranno disponibili come download gratuiti. Le società titolari di contratti multilicenza con copertura Software Assurance attiva per le licenze per HPC Pack 2008 R2 Enterprise in data 1 settembre 2012 o in occasione della prima disponibilità di Windows Server 2012 per il download dal sito Web Volume Licensing Service Center, a seconda di quale evento si verificherà per primo, (“Licenze Qualificanti”) saranno autorizzate a </w:t>
      </w:r>
      <w:r w:rsidRPr="00BD7CEA">
        <w:rPr>
          <w:rFonts w:eastAsia="Calibri" w:cs="Tahoma"/>
          <w:szCs w:val="18"/>
        </w:rPr>
        <w:t>utilizzare il software Windows Server 2012 Standard. Per agevolare tale utilizzo, per ogni due Licenze Qualificanti in suo possesso, alla società verrà concessa una licenza per processore per Windows Server 2012 Standard in base alla disponibilità di Windows Server 2012.</w:t>
      </w:r>
    </w:p>
    <w:p w:rsidR="001978C7" w:rsidRPr="00BD7CEA" w:rsidRDefault="001978C7" w:rsidP="00221A57">
      <w:pPr>
        <w:ind w:left="720"/>
      </w:pPr>
      <w:r w:rsidRPr="00BD7CEA">
        <w:rPr>
          <w:rFonts w:eastAsia="Calibri" w:cs="Tahoma"/>
          <w:szCs w:val="18"/>
        </w:rPr>
        <w:t xml:space="preserve"> </w:t>
      </w:r>
    </w:p>
    <w:p w:rsidR="001978C7" w:rsidRPr="00BD7CEA" w:rsidRDefault="001978C7" w:rsidP="007358C5">
      <w:pPr>
        <w:numPr>
          <w:ilvl w:val="0"/>
          <w:numId w:val="55"/>
        </w:numPr>
        <w:tabs>
          <w:tab w:val="clear" w:pos="360"/>
          <w:tab w:val="left" w:pos="1440"/>
        </w:tabs>
        <w:spacing w:after="60"/>
        <w:ind w:left="1440"/>
      </w:pPr>
      <w:r w:rsidRPr="00BD7CEA">
        <w:rPr>
          <w:color w:val="000000"/>
        </w:rPr>
        <w:t>Qualora una società disponga di un numero dispari di licenze per HPC Pack Enterprise, dovrà arrotondarle al successivo numero pari per determinare la quantità concessa.</w:t>
      </w:r>
      <w:r w:rsidR="008D782D" w:rsidRPr="00BD7CEA">
        <w:rPr>
          <w:color w:val="000000"/>
        </w:rPr>
        <w:t xml:space="preserve"> </w:t>
      </w:r>
      <w:r w:rsidRPr="00BD7CEA">
        <w:rPr>
          <w:color w:val="000000"/>
        </w:rPr>
        <w:t>Ad esempio, una società titolare di tre licenze per HPC Pack Enterprise riceverà in totale due licenze per Windows Server 2012 Standard.</w:t>
      </w:r>
    </w:p>
    <w:p w:rsidR="001978C7" w:rsidRPr="005204B6" w:rsidRDefault="001978C7" w:rsidP="007358C5">
      <w:pPr>
        <w:pStyle w:val="ListParagraph"/>
        <w:numPr>
          <w:ilvl w:val="0"/>
          <w:numId w:val="55"/>
        </w:numPr>
        <w:tabs>
          <w:tab w:val="clear" w:pos="360"/>
          <w:tab w:val="left" w:pos="1440"/>
        </w:tabs>
        <w:spacing w:after="60"/>
        <w:ind w:left="1440"/>
        <w:contextualSpacing w:val="0"/>
        <w:rPr>
          <w:spacing w:val="-2"/>
        </w:rPr>
      </w:pPr>
      <w:r w:rsidRPr="005204B6">
        <w:rPr>
          <w:rFonts w:ascii="Tahoma" w:eastAsia="Calibri" w:hAnsi="Tahoma" w:cs="Tahoma"/>
          <w:spacing w:val="-2"/>
          <w:sz w:val="18"/>
          <w:szCs w:val="18"/>
        </w:rPr>
        <w:t>Le licenze acquistate ai sensi della presente concessione includono la copertura Software Assurance.</w:t>
      </w:r>
      <w:r w:rsidR="008D782D" w:rsidRPr="005204B6">
        <w:rPr>
          <w:rFonts w:ascii="Tahoma" w:eastAsia="Calibri" w:hAnsi="Tahoma" w:cs="Tahoma"/>
          <w:spacing w:val="-2"/>
          <w:sz w:val="18"/>
          <w:szCs w:val="18"/>
        </w:rPr>
        <w:t xml:space="preserve"> </w:t>
      </w:r>
      <w:r w:rsidRPr="005204B6">
        <w:rPr>
          <w:rFonts w:ascii="Tahoma" w:eastAsia="Calibri" w:hAnsi="Tahoma" w:cs="Tahoma"/>
          <w:spacing w:val="-2"/>
          <w:sz w:val="18"/>
          <w:szCs w:val="18"/>
        </w:rPr>
        <w:t>Tale copertura cessa alla scadenza della corrispondente copertura per le Licenze Qualificanti.</w:t>
      </w:r>
    </w:p>
    <w:p w:rsidR="001978C7" w:rsidRPr="00BD7CEA" w:rsidRDefault="001978C7" w:rsidP="007358C5">
      <w:pPr>
        <w:pStyle w:val="ListParagraph"/>
        <w:numPr>
          <w:ilvl w:val="0"/>
          <w:numId w:val="55"/>
        </w:numPr>
        <w:tabs>
          <w:tab w:val="clear" w:pos="360"/>
          <w:tab w:val="left" w:pos="1440"/>
        </w:tabs>
        <w:spacing w:after="60"/>
        <w:ind w:left="1440"/>
        <w:contextualSpacing w:val="0"/>
      </w:pPr>
      <w:r w:rsidRPr="00BD7CEA">
        <w:rPr>
          <w:rFonts w:ascii="Tahoma" w:eastAsia="Calibri" w:hAnsi="Tahoma" w:cs="Tahoma"/>
          <w:sz w:val="18"/>
          <w:szCs w:val="18"/>
        </w:rPr>
        <w:lastRenderedPageBreak/>
        <w:t>Nel caso in cui le società abbiano acquistato diritti perpetui per utilizzare software ai sensi di Licenze Qualificanti, le licenze acquistate ai sensi della presente concessione saranno anch</w:t>
      </w:r>
      <w:r w:rsidR="007A1415" w:rsidRPr="00BD7CEA">
        <w:rPr>
          <w:rFonts w:ascii="Tahoma" w:eastAsia="Calibri" w:hAnsi="Tahoma" w:cs="Tahoma"/>
          <w:sz w:val="18"/>
          <w:szCs w:val="18"/>
        </w:rPr>
        <w:t>’</w:t>
      </w:r>
      <w:r w:rsidRPr="00BD7CEA">
        <w:rPr>
          <w:rFonts w:ascii="Tahoma" w:eastAsia="Calibri" w:hAnsi="Tahoma" w:cs="Tahoma"/>
          <w:sz w:val="18"/>
          <w:szCs w:val="18"/>
        </w:rPr>
        <w:t>esse perpetue; diversamente, le licenze acquistate ai sensi della presente concessione cesseranno alla scadenza delle Licenze Qualificanti sottostanti.</w:t>
      </w:r>
    </w:p>
    <w:p w:rsidR="001978C7" w:rsidRPr="00BD7CEA" w:rsidRDefault="001978C7" w:rsidP="007358C5">
      <w:pPr>
        <w:numPr>
          <w:ilvl w:val="0"/>
          <w:numId w:val="55"/>
        </w:numPr>
        <w:tabs>
          <w:tab w:val="clear" w:pos="360"/>
          <w:tab w:val="left" w:pos="1440"/>
          <w:tab w:val="left" w:pos="2160"/>
        </w:tabs>
        <w:spacing w:after="60"/>
        <w:ind w:left="1440"/>
      </w:pPr>
      <w:r w:rsidRPr="00BD7CEA">
        <w:rPr>
          <w:rFonts w:eastAsia="Calibri" w:cs="Tahoma"/>
          <w:szCs w:val="18"/>
        </w:rPr>
        <w:t>Eseguendo l</w:t>
      </w:r>
      <w:r w:rsidR="007A1415" w:rsidRPr="00BD7CEA">
        <w:rPr>
          <w:rFonts w:eastAsia="Calibri" w:cs="Tahoma"/>
          <w:szCs w:val="18"/>
        </w:rPr>
        <w:t>’</w:t>
      </w:r>
      <w:r w:rsidRPr="00BD7CEA">
        <w:rPr>
          <w:rFonts w:eastAsia="Calibri" w:cs="Tahoma"/>
          <w:szCs w:val="18"/>
        </w:rPr>
        <w:t xml:space="preserve">aggiornamento a Windows Server 2012 Standard ai sensi della presente concessione, le licenze in essere per </w:t>
      </w:r>
      <w:r w:rsidRPr="00BD7CEA">
        <w:rPr>
          <w:color w:val="000000"/>
        </w:rPr>
        <w:t>HPC Pack Enterprise</w:t>
      </w:r>
      <w:r w:rsidRPr="00BD7CEA">
        <w:rPr>
          <w:rFonts w:eastAsia="Calibri" w:cs="Tahoma"/>
          <w:szCs w:val="18"/>
        </w:rPr>
        <w:t xml:space="preserve"> rimangono valide.</w:t>
      </w:r>
    </w:p>
    <w:p w:rsidR="001978C7" w:rsidRPr="00BD7CEA" w:rsidRDefault="001978C7" w:rsidP="007358C5">
      <w:pPr>
        <w:numPr>
          <w:ilvl w:val="0"/>
          <w:numId w:val="55"/>
        </w:numPr>
        <w:tabs>
          <w:tab w:val="clear" w:pos="360"/>
          <w:tab w:val="left" w:pos="1440"/>
          <w:tab w:val="left" w:pos="2160"/>
        </w:tabs>
        <w:spacing w:after="60"/>
        <w:ind w:left="1440"/>
      </w:pPr>
      <w:r w:rsidRPr="00BD7CEA">
        <w:t xml:space="preserve">Le licenze per </w:t>
      </w:r>
      <w:r w:rsidRPr="00BD7CEA">
        <w:rPr>
          <w:color w:val="000000"/>
        </w:rPr>
        <w:t>HPC Pack 2008 R2 Enterprise</w:t>
      </w:r>
      <w:r w:rsidR="008D782D" w:rsidRPr="00BD7CEA">
        <w:rPr>
          <w:color w:val="000000"/>
        </w:rPr>
        <w:t xml:space="preserve"> </w:t>
      </w:r>
      <w:r w:rsidRPr="00BD7CEA">
        <w:rPr>
          <w:rFonts w:cs="Tahoma"/>
          <w:bCs/>
          <w:color w:val="000000"/>
          <w:szCs w:val="18"/>
        </w:rPr>
        <w:t>acquistate successivamente nello stesso periodo di validità dell</w:t>
      </w:r>
      <w:r w:rsidR="007A1415" w:rsidRPr="00BD7CEA">
        <w:rPr>
          <w:rFonts w:cs="Tahoma"/>
          <w:bCs/>
          <w:color w:val="000000"/>
          <w:szCs w:val="18"/>
        </w:rPr>
        <w:t>’</w:t>
      </w:r>
      <w:r w:rsidRPr="00BD7CEA">
        <w:rPr>
          <w:rFonts w:cs="Tahoma"/>
          <w:bCs/>
          <w:color w:val="000000"/>
          <w:szCs w:val="18"/>
        </w:rPr>
        <w:t>iscrizione nell</w:t>
      </w:r>
      <w:r w:rsidR="007A1415" w:rsidRPr="00BD7CEA">
        <w:rPr>
          <w:rFonts w:cs="Tahoma"/>
          <w:bCs/>
          <w:color w:val="000000"/>
          <w:szCs w:val="18"/>
        </w:rPr>
        <w:t>’</w:t>
      </w:r>
      <w:r w:rsidRPr="00BD7CEA">
        <w:rPr>
          <w:rFonts w:cs="Tahoma"/>
          <w:bCs/>
          <w:color w:val="000000"/>
          <w:szCs w:val="18"/>
        </w:rPr>
        <w:t>ambito di una procedura pianificata di true-up di una società Enterprise, Enterprise Subscription, Open Value Subscription o EES sono anch</w:t>
      </w:r>
      <w:r w:rsidR="007A1415" w:rsidRPr="00BD7CEA">
        <w:rPr>
          <w:rFonts w:cs="Tahoma"/>
          <w:bCs/>
          <w:color w:val="000000"/>
          <w:szCs w:val="18"/>
        </w:rPr>
        <w:t>’</w:t>
      </w:r>
      <w:r w:rsidRPr="00BD7CEA">
        <w:rPr>
          <w:rFonts w:cs="Tahoma"/>
          <w:bCs/>
          <w:color w:val="000000"/>
          <w:szCs w:val="18"/>
        </w:rPr>
        <w:t>esse Licenze Qualificanti per gli scopi previsti dalla suddetta concessione.</w:t>
      </w:r>
    </w:p>
    <w:p w:rsidR="001978C7" w:rsidRPr="00BD7CEA" w:rsidRDefault="001978C7" w:rsidP="007358C5">
      <w:pPr>
        <w:numPr>
          <w:ilvl w:val="0"/>
          <w:numId w:val="55"/>
        </w:numPr>
        <w:tabs>
          <w:tab w:val="clear" w:pos="360"/>
          <w:tab w:val="left" w:pos="1440"/>
          <w:tab w:val="left" w:pos="2160"/>
        </w:tabs>
        <w:spacing w:after="60"/>
        <w:ind w:left="1440"/>
      </w:pPr>
      <w:r w:rsidRPr="00BD7CEA">
        <w:rPr>
          <w:rFonts w:cs="Tahoma"/>
          <w:bCs/>
          <w:color w:val="000000"/>
          <w:szCs w:val="18"/>
        </w:rPr>
        <w:t>Nonostante la concessione di licenze per Windows Server 2012 Standard e di aggiornamenti per tale versione, le obbligazioni di pagamento degli importi scaduti e dovuti per le Licenze Qualificanti e la copertura rimangono pienamente vincolanti ed efficaci.</w:t>
      </w:r>
    </w:p>
    <w:p w:rsidR="00221A57" w:rsidRPr="00BD7CEA" w:rsidRDefault="00221A57" w:rsidP="00221A57">
      <w:pPr>
        <w:tabs>
          <w:tab w:val="left" w:pos="1440"/>
          <w:tab w:val="left" w:pos="2160"/>
        </w:tabs>
        <w:ind w:left="1080"/>
        <w:contextualSpacing/>
      </w:pPr>
    </w:p>
    <w:p w:rsidR="00221A57" w:rsidRPr="00BD7CEA" w:rsidRDefault="001978C7" w:rsidP="00B1475C">
      <w:pPr>
        <w:spacing w:after="60"/>
        <w:ind w:left="720"/>
      </w:pPr>
      <w:r w:rsidRPr="00BD7CEA">
        <w:rPr>
          <w:b/>
          <w:color w:val="000000"/>
        </w:rPr>
        <w:t>Informazioni aggiuntive sull</w:t>
      </w:r>
      <w:r w:rsidR="007A1415" w:rsidRPr="00BD7CEA">
        <w:rPr>
          <w:b/>
          <w:color w:val="000000"/>
        </w:rPr>
        <w:t>’</w:t>
      </w:r>
      <w:r w:rsidRPr="00BD7CEA">
        <w:rPr>
          <w:b/>
          <w:color w:val="000000"/>
        </w:rPr>
        <w:t>utilizzo di Windows Server 2012 High Performance Computing</w:t>
      </w:r>
      <w:r w:rsidR="003E1512" w:rsidRPr="00BD7CEA">
        <w:rPr>
          <w:b/>
          <w:color w:val="000000"/>
        </w:rPr>
        <w:t> </w:t>
      </w:r>
      <w:r w:rsidRPr="00BD7CEA">
        <w:rPr>
          <w:b/>
          <w:color w:val="000000"/>
        </w:rPr>
        <w:t>(HPC)</w:t>
      </w:r>
    </w:p>
    <w:p w:rsidR="00E62BC4" w:rsidRPr="00BD7CEA" w:rsidRDefault="001978C7" w:rsidP="00B1475C">
      <w:pPr>
        <w:ind w:left="720"/>
      </w:pPr>
      <w:r w:rsidRPr="00BD7CEA">
        <w:rPr>
          <w:color w:val="000000"/>
        </w:rPr>
        <w:t>Quando Windows Server 2012 Standard o Datacenter viene utilizzato per High Performance Computing, non servono licenze CAL per accedere al software. Un “Carico di Lavoro High Performance Computing (“HPC”)” indica un carico di lavoro nel quale il software server viene utilizzato per eseguire un Nodo del Cluster e per consentire, insieme ad altro software, la gestione dei sistemi, la gestione della protezione e dell</w:t>
      </w:r>
      <w:r w:rsidR="007A1415" w:rsidRPr="00BD7CEA">
        <w:rPr>
          <w:color w:val="000000"/>
        </w:rPr>
        <w:t>’</w:t>
      </w:r>
      <w:r w:rsidRPr="00BD7CEA">
        <w:rPr>
          <w:color w:val="000000"/>
        </w:rPr>
        <w:t>archiviazione o il miglioramento delle prestazioni in un nodo del cluster allo scopo di supportare le Applicazioni HPC con cluster. Ulteriori dettagli sono disponibili nei Diritti di Utilizzo del Prodotto.</w:t>
      </w:r>
    </w:p>
    <w:p w:rsidR="00586FCE" w:rsidRPr="00BD7CEA" w:rsidRDefault="00586FCE" w:rsidP="00221A57">
      <w:pPr>
        <w:ind w:left="216"/>
      </w:pPr>
    </w:p>
    <w:p w:rsidR="00023FE7" w:rsidRPr="00BD7CEA" w:rsidRDefault="00F66FB0" w:rsidP="00416294">
      <w:pPr>
        <w:pStyle w:val="Heading3"/>
      </w:pPr>
      <w:bookmarkStart w:id="1344" w:name="_58_Learning_Solutions"/>
      <w:bookmarkStart w:id="1345" w:name="_54_Learning_Solutions"/>
      <w:bookmarkStart w:id="1346" w:name="_64_62_Learning"/>
      <w:bookmarkStart w:id="1347" w:name="_63_Learning_Solutions"/>
      <w:bookmarkStart w:id="1348" w:name="Srv_60LearningSolMCP1ExamVouch"/>
      <w:bookmarkStart w:id="1349" w:name="_Toc336338324"/>
      <w:bookmarkStart w:id="1350" w:name="_Toc353376101"/>
      <w:bookmarkStart w:id="1351" w:name="Srv_55LearningSolMCP1ExamVouch"/>
      <w:bookmarkStart w:id="1352" w:name="Srv_56LearningSolMCP1ExamVouch"/>
      <w:bookmarkEnd w:id="1344"/>
      <w:bookmarkEnd w:id="1345"/>
      <w:bookmarkEnd w:id="1346"/>
      <w:bookmarkEnd w:id="1347"/>
      <w:r w:rsidRPr="00BD7CEA">
        <w:rPr>
          <w:rFonts w:ascii="Tahoma" w:hAnsi="Tahoma"/>
          <w:caps/>
          <w:color w:val="F66400"/>
          <w:sz w:val="22"/>
          <w:vertAlign w:val="superscript"/>
        </w:rPr>
        <w:t>63</w:t>
      </w:r>
      <w:r w:rsidRPr="00BD7CEA">
        <w:rPr>
          <w:rFonts w:ascii="Tahoma" w:hAnsi="Tahoma"/>
          <w:color w:val="F66400"/>
          <w:sz w:val="22"/>
        </w:rPr>
        <w:t xml:space="preserve"> Learning Solutions MCP Exam Vouchers</w:t>
      </w:r>
      <w:bookmarkEnd w:id="1348"/>
      <w:bookmarkEnd w:id="1349"/>
      <w:bookmarkEnd w:id="1350"/>
    </w:p>
    <w:bookmarkEnd w:id="1351"/>
    <w:p w:rsidR="00023FE7" w:rsidRPr="00BD7CEA" w:rsidRDefault="00023FE7" w:rsidP="00416294">
      <w:pPr>
        <w:pStyle w:val="EndnoteText"/>
      </w:pPr>
    </w:p>
    <w:bookmarkEnd w:id="1352"/>
    <w:p w:rsidR="002A760F" w:rsidRPr="00BD7CEA" w:rsidRDefault="002A760F" w:rsidP="00416294">
      <w:pPr>
        <w:pStyle w:val="EndnoteText"/>
        <w:ind w:left="720"/>
      </w:pPr>
      <w:r w:rsidRPr="00BD7CEA">
        <w:rPr>
          <w:rFonts w:ascii="Tahoma" w:hAnsi="Tahoma" w:cs="Tahoma"/>
          <w:sz w:val="18"/>
        </w:rPr>
        <w:t>Tutti i voucher verranno consegna anticipatamente e potranno essere utilizzati in qualunque momento entro</w:t>
      </w:r>
      <w:r w:rsidR="00DC6528">
        <w:rPr>
          <w:rFonts w:ascii="Tahoma" w:hAnsi="Tahoma" w:cs="Tahoma"/>
          <w:sz w:val="18"/>
        </w:rPr>
        <w:t> </w:t>
      </w:r>
      <w:r w:rsidRPr="00BD7CEA">
        <w:rPr>
          <w:rFonts w:ascii="Tahoma" w:hAnsi="Tahoma" w:cs="Tahoma"/>
          <w:sz w:val="18"/>
        </w:rPr>
        <w:t xml:space="preserve">12 mesi dalla data di acquisto. </w:t>
      </w:r>
      <w:r w:rsidRPr="00BD7CEA">
        <w:rPr>
          <w:rFonts w:ascii="Tahoma" w:hAnsi="Tahoma" w:cs="Tahoma"/>
          <w:bCs/>
          <w:color w:val="000000"/>
          <w:sz w:val="18"/>
          <w:szCs w:val="20"/>
        </w:rPr>
        <w:t>Fare riferimento all</w:t>
      </w:r>
      <w:r w:rsidR="007A1415" w:rsidRPr="00BD7CEA">
        <w:rPr>
          <w:rFonts w:ascii="Tahoma" w:hAnsi="Tahoma" w:cs="Tahoma"/>
          <w:bCs/>
          <w:color w:val="000000"/>
          <w:sz w:val="18"/>
          <w:szCs w:val="20"/>
        </w:rPr>
        <w:t>’</w:t>
      </w:r>
      <w:hyperlink w:anchor="_Section_5_–" w:history="1">
        <w:r w:rsidRPr="00BD7CEA">
          <w:rPr>
            <w:rFonts w:ascii="Tahoma" w:hAnsi="Tahoma"/>
            <w:sz w:val="18"/>
            <w:szCs w:val="22"/>
          </w:rPr>
          <w:t xml:space="preserve"> </w:t>
        </w:r>
        <w:r w:rsidRPr="00BD7CEA">
          <w:rPr>
            <w:rStyle w:val="Hyperlink"/>
            <w:rFonts w:ascii="Tahoma" w:hAnsi="Tahoma" w:cs="Tahoma"/>
            <w:sz w:val="18"/>
          </w:rPr>
          <w:t>Articolo 5</w:t>
        </w:r>
      </w:hyperlink>
      <w:r w:rsidRPr="00BD7CEA">
        <w:rPr>
          <w:rFonts w:ascii="Tahoma" w:hAnsi="Tahoma" w:cs="Tahoma"/>
          <w:bCs/>
          <w:color w:val="000000"/>
          <w:sz w:val="18"/>
          <w:szCs w:val="20"/>
        </w:rPr>
        <w:t xml:space="preserve"> per i prezzi dei servizi online e le condizioni di pagamento. </w:t>
      </w:r>
    </w:p>
    <w:p w:rsidR="00560A10" w:rsidRPr="00BD7CEA" w:rsidRDefault="00560A10" w:rsidP="00416294">
      <w:pPr>
        <w:pStyle w:val="EndnoteText"/>
        <w:ind w:left="720"/>
      </w:pPr>
    </w:p>
    <w:p w:rsidR="00560A10" w:rsidRPr="00BD7CEA" w:rsidRDefault="00560A10" w:rsidP="00B1475C">
      <w:pPr>
        <w:spacing w:after="60"/>
        <w:ind w:left="720"/>
      </w:pPr>
      <w:r w:rsidRPr="00BD7CEA">
        <w:rPr>
          <w:b/>
          <w:color w:val="000000"/>
        </w:rPr>
        <w:t>Licenza per il Sito degli Esami per la Certificazione MOS (Microsoft Office Specialist)</w:t>
      </w:r>
    </w:p>
    <w:p w:rsidR="00560A10" w:rsidRPr="00BD7CEA" w:rsidRDefault="00560A10" w:rsidP="00B1475C">
      <w:pPr>
        <w:ind w:left="720"/>
      </w:pPr>
      <w:r w:rsidRPr="00BD7CEA">
        <w:rPr>
          <w:color w:val="000000"/>
        </w:rPr>
        <w:t>Alla società verrà chiesto di fungere da centro di test autorizzato Certiport per poter utilizzare la licenza per</w:t>
      </w:r>
      <w:r w:rsidR="003E1512" w:rsidRPr="00BD7CEA">
        <w:rPr>
          <w:color w:val="000000"/>
        </w:rPr>
        <w:t> </w:t>
      </w:r>
      <w:r w:rsidRPr="00BD7CEA">
        <w:rPr>
          <w:color w:val="000000"/>
        </w:rPr>
        <w:t>il sito.</w:t>
      </w:r>
      <w:r w:rsidR="008D782D" w:rsidRPr="00BD7CEA">
        <w:rPr>
          <w:color w:val="000000"/>
        </w:rPr>
        <w:t xml:space="preserve"> </w:t>
      </w:r>
      <w:r w:rsidRPr="00BD7CEA">
        <w:rPr>
          <w:color w:val="000000"/>
        </w:rPr>
        <w:t>Qualora la società non sia un centro di test Certiport autorizzato, dovrà attenersi alla seguente procedura per diventare un centro di test Certiport prima di poter utilizzare la licenza per il sito. La licenza per il sito cesserà automaticamente dopo 12 mesi dalla data di acquisto. Qualsiasi esame di certificazione non utilizzato andrà perso.</w:t>
      </w:r>
    </w:p>
    <w:p w:rsidR="00560A10" w:rsidRPr="00BD7CEA" w:rsidRDefault="00560A10" w:rsidP="00B1475C">
      <w:pPr>
        <w:pStyle w:val="EndnoteText"/>
        <w:ind w:left="0"/>
      </w:pPr>
    </w:p>
    <w:p w:rsidR="00560A10" w:rsidRPr="00BD7CEA" w:rsidRDefault="00560A10" w:rsidP="00B1475C">
      <w:pPr>
        <w:spacing w:after="60"/>
        <w:ind w:left="720"/>
      </w:pPr>
      <w:r w:rsidRPr="00BD7CEA">
        <w:rPr>
          <w:b/>
          <w:color w:val="000000"/>
        </w:rPr>
        <w:t>Licenza per il Sito degli Esami per la Certificazione MTA (Microsoft Technology Associate)</w:t>
      </w:r>
    </w:p>
    <w:p w:rsidR="00560A10" w:rsidRPr="00BD7CEA" w:rsidRDefault="00560A10" w:rsidP="00B1475C">
      <w:pPr>
        <w:ind w:left="720"/>
      </w:pPr>
      <w:r w:rsidRPr="00BD7CEA">
        <w:rPr>
          <w:color w:val="000000"/>
        </w:rPr>
        <w:t>Alla società verrà chiesto di fungere da centro di test autorizzato Certiport per poter utilizzare la licenza per</w:t>
      </w:r>
      <w:r w:rsidR="003E1512" w:rsidRPr="00BD7CEA">
        <w:rPr>
          <w:color w:val="000000"/>
        </w:rPr>
        <w:t> </w:t>
      </w:r>
      <w:r w:rsidRPr="00BD7CEA">
        <w:rPr>
          <w:color w:val="000000"/>
        </w:rPr>
        <w:t>il sito.</w:t>
      </w:r>
      <w:r w:rsidR="008D782D" w:rsidRPr="00BD7CEA">
        <w:rPr>
          <w:color w:val="000000"/>
        </w:rPr>
        <w:t xml:space="preserve"> </w:t>
      </w:r>
      <w:r w:rsidRPr="00BD7CEA">
        <w:rPr>
          <w:color w:val="000000"/>
        </w:rPr>
        <w:t>Qualora la società non sia un centro di test Certiport autorizzato, dovrà attenersi alla seguente procedura per diventare un centro di test Certiport prima di poter utilizzare la licenza per il sito. La licenza per il sito cesserà automaticamente dopo 12 mesi dalla data di acquisto. Qualsiasi esame di certificazione non utilizzato andrà perso.</w:t>
      </w:r>
    </w:p>
    <w:p w:rsidR="00F42FD5" w:rsidRPr="00BD7CEA" w:rsidRDefault="00F42FD5" w:rsidP="00416294">
      <w:pPr>
        <w:pStyle w:val="EndnoteText"/>
        <w:ind w:left="720"/>
      </w:pPr>
    </w:p>
    <w:p w:rsidR="00F42FD5" w:rsidRPr="00BD7CEA" w:rsidRDefault="00F66FB0" w:rsidP="00416294">
      <w:pPr>
        <w:pStyle w:val="Heading2"/>
        <w:ind w:left="0"/>
      </w:pPr>
      <w:bookmarkStart w:id="1353" w:name="_65_63_Lync"/>
      <w:bookmarkStart w:id="1354" w:name="_64_Lync_Online"/>
      <w:bookmarkStart w:id="1355" w:name="_Toc336338325"/>
      <w:bookmarkStart w:id="1356" w:name="_Toc353376102"/>
      <w:bookmarkStart w:id="1357" w:name="Srv_65LyncOnlinePlan1and2"/>
      <w:bookmarkEnd w:id="1353"/>
      <w:bookmarkEnd w:id="1354"/>
      <w:r w:rsidRPr="00BD7CEA">
        <w:rPr>
          <w:rFonts w:ascii="Tahoma" w:hAnsi="Tahoma" w:cs="Tahoma"/>
          <w:caps/>
          <w:color w:val="FF6600"/>
          <w:sz w:val="22"/>
          <w:vertAlign w:val="superscript"/>
        </w:rPr>
        <w:t>64</w:t>
      </w:r>
      <w:r w:rsidRPr="00BD7CEA">
        <w:rPr>
          <w:rFonts w:ascii="Tahoma" w:hAnsi="Tahoma" w:cs="Tahoma"/>
          <w:color w:val="FF6600"/>
        </w:rPr>
        <w:t xml:space="preserve"> </w:t>
      </w:r>
      <w:r w:rsidRPr="00BD7CEA">
        <w:rPr>
          <w:rFonts w:ascii="Tahoma" w:hAnsi="Tahoma" w:cs="Tahoma"/>
          <w:color w:val="FF6600"/>
          <w:sz w:val="22"/>
        </w:rPr>
        <w:t>Lync Online Piani 1, 2 e 3</w:t>
      </w:r>
      <w:bookmarkEnd w:id="1355"/>
      <w:bookmarkEnd w:id="1356"/>
    </w:p>
    <w:bookmarkEnd w:id="1357"/>
    <w:p w:rsidR="00F42FD5" w:rsidRPr="00BD7CEA" w:rsidRDefault="00F42FD5" w:rsidP="00F42FD5"/>
    <w:p w:rsidR="00693524" w:rsidRPr="00BD7CEA" w:rsidRDefault="00194DAF" w:rsidP="00693524">
      <w:pPr>
        <w:ind w:left="720"/>
        <w:rPr>
          <w:spacing w:val="-2"/>
        </w:rPr>
      </w:pPr>
      <w:r w:rsidRPr="00BD7CEA">
        <w:rPr>
          <w:color w:val="000000"/>
          <w:spacing w:val="-2"/>
        </w:rPr>
        <w:t>Lync Online Piano 1 e Piano 2 richiedono l</w:t>
      </w:r>
      <w:r w:rsidR="007A1415" w:rsidRPr="00BD7CEA">
        <w:rPr>
          <w:color w:val="000000"/>
          <w:spacing w:val="-2"/>
        </w:rPr>
        <w:t>’</w:t>
      </w:r>
      <w:r w:rsidRPr="00BD7CEA">
        <w:rPr>
          <w:color w:val="000000"/>
          <w:spacing w:val="-2"/>
        </w:rPr>
        <w:t>acquisto e l</w:t>
      </w:r>
      <w:r w:rsidR="007A1415" w:rsidRPr="00BD7CEA">
        <w:rPr>
          <w:color w:val="000000"/>
          <w:spacing w:val="-2"/>
        </w:rPr>
        <w:t>’</w:t>
      </w:r>
      <w:r w:rsidRPr="00BD7CEA">
        <w:rPr>
          <w:color w:val="000000"/>
          <w:spacing w:val="-2"/>
        </w:rPr>
        <w:t>installazione separati di Microsoft Lync 2013 (o di Lync per Mac 2011) per accedere al set completo di funzionalità di Lync Online Piano 1 e Piano 2. Grazie a un</w:t>
      </w:r>
      <w:r w:rsidR="007A1415" w:rsidRPr="00BD7CEA">
        <w:rPr>
          <w:color w:val="000000"/>
          <w:spacing w:val="-2"/>
        </w:rPr>
        <w:t>’</w:t>
      </w:r>
      <w:r w:rsidRPr="00BD7CEA">
        <w:rPr>
          <w:color w:val="000000"/>
          <w:spacing w:val="-2"/>
        </w:rPr>
        <w:t>offerta di durata limitata, le società titolari di licenza per Lync Online riceveranno gratuitamente in licenza una copia di Lync per Mac 2011 per ciascuna licenza "subscription" acquistata o in versione di valutazione di Lync Online. Il</w:t>
      </w:r>
      <w:r w:rsidR="003E1512" w:rsidRPr="00BD7CEA">
        <w:rPr>
          <w:color w:val="000000"/>
          <w:spacing w:val="-2"/>
        </w:rPr>
        <w:t> </w:t>
      </w:r>
      <w:r w:rsidRPr="00BD7CEA">
        <w:rPr>
          <w:color w:val="000000"/>
          <w:spacing w:val="-2"/>
        </w:rPr>
        <w:t>software potrà essere utilizzato esclusivamente con Lync Online e tutti i diritti di utilizzo del software cesseranno alla scadenza della licenza "subscription" sottostante oppure in occasione della migrazione alla successiva nuova versione principale di Lync Online, a seconda di quale evento si verificherà per primo. Le società potranno utilizzare il client gratuito Lync Basic 2013 per i loro utenti finali in possesso di Windows. </w:t>
      </w:r>
    </w:p>
    <w:p w:rsidR="005204B6" w:rsidRDefault="005204B6" w:rsidP="003D0252">
      <w:pPr>
        <w:spacing w:after="60"/>
        <w:ind w:left="720"/>
        <w:rPr>
          <w:rFonts w:eastAsia="Calibri" w:cs="Tahoma"/>
          <w:b/>
          <w:color w:val="000000"/>
          <w:szCs w:val="18"/>
        </w:rPr>
      </w:pPr>
    </w:p>
    <w:p w:rsidR="005204B6" w:rsidRDefault="005204B6" w:rsidP="003D0252">
      <w:pPr>
        <w:spacing w:after="60"/>
        <w:ind w:left="720"/>
        <w:rPr>
          <w:rFonts w:eastAsia="Calibri" w:cs="Tahoma"/>
          <w:b/>
          <w:color w:val="000000"/>
          <w:szCs w:val="18"/>
        </w:rPr>
      </w:pPr>
    </w:p>
    <w:p w:rsidR="005204B6" w:rsidRDefault="005204B6" w:rsidP="003D0252">
      <w:pPr>
        <w:spacing w:after="60"/>
        <w:ind w:left="720"/>
        <w:rPr>
          <w:rFonts w:eastAsia="Calibri" w:cs="Tahoma"/>
          <w:b/>
          <w:color w:val="000000"/>
          <w:szCs w:val="18"/>
        </w:rPr>
      </w:pPr>
    </w:p>
    <w:p w:rsidR="006D33A5" w:rsidRPr="00BD7CEA" w:rsidRDefault="006D33A5" w:rsidP="003D0252">
      <w:pPr>
        <w:spacing w:after="60"/>
        <w:ind w:left="720"/>
      </w:pPr>
      <w:r w:rsidRPr="00BD7CEA">
        <w:rPr>
          <w:rFonts w:eastAsia="Calibri" w:cs="Tahoma"/>
          <w:b/>
          <w:color w:val="000000"/>
          <w:szCs w:val="18"/>
        </w:rPr>
        <w:lastRenderedPageBreak/>
        <w:t>Community Cloud per Enti Pubblici (solo Stati Uniti)</w:t>
      </w:r>
    </w:p>
    <w:p w:rsidR="006D33A5" w:rsidRPr="00BD7CEA" w:rsidRDefault="006D33A5" w:rsidP="006D33A5">
      <w:pPr>
        <w:ind w:left="720"/>
      </w:pPr>
      <w:r w:rsidRPr="00BD7CEA">
        <w:rPr>
          <w:rFonts w:eastAsia="Calibri" w:cs="Tahoma"/>
          <w:color w:val="000000"/>
          <w:szCs w:val="18"/>
        </w:rPr>
        <w:t>Alcuni servizi online della famiglia di prodotti Office 365 (incluso Lync Online Piano 1,2 e 3) sono offerti come servizi di community cloud per enti pubblici e come servizi di community cloud per enti non pubblici.</w:t>
      </w:r>
      <w:r w:rsidR="008D782D" w:rsidRPr="00BD7CEA">
        <w:rPr>
          <w:rFonts w:eastAsia="Calibri" w:cs="Tahoma"/>
          <w:color w:val="000000"/>
          <w:szCs w:val="18"/>
        </w:rPr>
        <w:t xml:space="preserve"> </w:t>
      </w:r>
      <w:r w:rsidRPr="00BD7CEA">
        <w:rPr>
          <w:rFonts w:eastAsia="Calibri" w:cs="Tahoma"/>
          <w:color w:val="000000"/>
          <w:szCs w:val="18"/>
        </w:rPr>
        <w:t>Alle società potrà essere effettuato il provisioning come ente pubblico o non pubblico, ma non come una combinazione di entrambi.</w:t>
      </w:r>
      <w:r w:rsidR="008D782D" w:rsidRPr="00BD7CEA">
        <w:rPr>
          <w:rFonts w:eastAsia="Calibri" w:cs="Tahoma"/>
          <w:color w:val="000000"/>
          <w:szCs w:val="18"/>
        </w:rPr>
        <w:t xml:space="preserve"> </w:t>
      </w:r>
      <w:r w:rsidRPr="00BD7CEA">
        <w:rPr>
          <w:rFonts w:eastAsia="Calibri" w:cs="Tahoma"/>
          <w:color w:val="000000"/>
          <w:szCs w:val="18"/>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8D782D" w:rsidRPr="00BD7CEA">
        <w:rPr>
          <w:rFonts w:eastAsia="Calibri" w:cs="Tahoma"/>
          <w:color w:val="000000"/>
          <w:szCs w:val="18"/>
        </w:rPr>
        <w:t xml:space="preserve"> </w:t>
      </w:r>
    </w:p>
    <w:p w:rsidR="006D33A5" w:rsidRPr="00BD7CEA" w:rsidRDefault="006D33A5" w:rsidP="006D33A5">
      <w:pPr>
        <w:ind w:left="720"/>
        <w:rPr>
          <w:sz w:val="14"/>
          <w:szCs w:val="14"/>
        </w:rPr>
      </w:pPr>
    </w:p>
    <w:p w:rsidR="006D33A5" w:rsidRPr="00BD7CEA" w:rsidRDefault="006D33A5" w:rsidP="006D33A5">
      <w:pPr>
        <w:ind w:left="720"/>
      </w:pPr>
      <w:r w:rsidRPr="00BD7CEA">
        <w:rPr>
          <w:rFonts w:eastAsia="Calibri" w:cs="Tahoma"/>
          <w:color w:val="000000"/>
          <w:szCs w:val="18"/>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7A1415" w:rsidRPr="00BD7CEA">
        <w:rPr>
          <w:rFonts w:eastAsia="Calibri" w:cs="Tahoma"/>
          <w:color w:val="000000"/>
          <w:szCs w:val="18"/>
        </w:rPr>
        <w:t>’</w:t>
      </w:r>
      <w:r w:rsidRPr="00BD7CEA">
        <w:rPr>
          <w:rFonts w:eastAsia="Calibri" w:cs="Tahoma"/>
          <w:color w:val="000000"/>
          <w:szCs w:val="18"/>
        </w:rPr>
        <w:t>Iscrizione Enterprise o Enterprise Subscription per Enti Pubblici Statunitensi per essere idonei all</w:t>
      </w:r>
      <w:r w:rsidR="007A1415" w:rsidRPr="00BD7CEA">
        <w:rPr>
          <w:rFonts w:eastAsia="Calibri" w:cs="Tahoma"/>
          <w:color w:val="000000"/>
          <w:szCs w:val="18"/>
        </w:rPr>
        <w:t>’</w:t>
      </w:r>
      <w:r w:rsidRPr="00BD7CEA">
        <w:rPr>
          <w:rFonts w:eastAsia="Calibri" w:cs="Tahoma"/>
          <w:color w:val="000000"/>
          <w:szCs w:val="18"/>
        </w:rPr>
        <w:t>acquisto di servizi online designati come community cloud per enti pubblici.</w:t>
      </w:r>
      <w:r w:rsidR="008D782D" w:rsidRPr="00BD7CEA">
        <w:rPr>
          <w:rFonts w:eastAsia="Calibri" w:cs="Tahoma"/>
          <w:color w:val="000000"/>
          <w:szCs w:val="18"/>
        </w:rPr>
        <w:t xml:space="preserve"> </w:t>
      </w:r>
      <w:r w:rsidRPr="00BD7CEA">
        <w:rPr>
          <w:rFonts w:eastAsia="Calibri" w:cs="Tahoma"/>
          <w:color w:val="000000"/>
          <w:szCs w:val="18"/>
        </w:rPr>
        <w:t>I Diritti sull</w:t>
      </w:r>
      <w:r w:rsidR="007A1415" w:rsidRPr="00BD7CEA">
        <w:rPr>
          <w:rFonts w:eastAsia="Calibri" w:cs="Tahoma"/>
          <w:color w:val="000000"/>
          <w:szCs w:val="18"/>
        </w:rPr>
        <w:t>’</w:t>
      </w:r>
      <w:r w:rsidRPr="00BD7CEA">
        <w:rPr>
          <w:rFonts w:eastAsia="Calibri" w:cs="Tahoma"/>
          <w:color w:val="000000"/>
          <w:szCs w:val="18"/>
        </w:rPr>
        <w:t>Utilizzo relativi ai servizi di community cloud per enti pubblici sono simili a quelli dei loro equivalenti multi-tenant standard.</w:t>
      </w:r>
      <w:r w:rsidR="008D782D" w:rsidRPr="00BD7CEA">
        <w:rPr>
          <w:rFonts w:eastAsia="Calibri" w:cs="Tahoma"/>
          <w:color w:val="000000"/>
          <w:szCs w:val="18"/>
        </w:rPr>
        <w:t xml:space="preserve"> </w:t>
      </w:r>
    </w:p>
    <w:p w:rsidR="00FC31B7" w:rsidRPr="00BD7CEA" w:rsidRDefault="00FC31B7" w:rsidP="00FC31B7">
      <w:pPr>
        <w:ind w:left="720"/>
        <w:rPr>
          <w:sz w:val="14"/>
          <w:szCs w:val="14"/>
        </w:rPr>
      </w:pPr>
    </w:p>
    <w:p w:rsidR="00586FCE" w:rsidRPr="00BD7CEA" w:rsidRDefault="00586FCE" w:rsidP="00FC31B7">
      <w:pPr>
        <w:ind w:left="720"/>
        <w:rPr>
          <w:sz w:val="14"/>
          <w:szCs w:val="14"/>
        </w:rPr>
      </w:pPr>
    </w:p>
    <w:p w:rsidR="004E0852" w:rsidRPr="00BD7CEA" w:rsidRDefault="00F66FB0" w:rsidP="004E0852">
      <w:pPr>
        <w:pStyle w:val="Heading2"/>
        <w:ind w:left="0"/>
      </w:pPr>
      <w:bookmarkStart w:id="1358" w:name="_62_Lync_Server"/>
      <w:bookmarkStart w:id="1359" w:name="_65_Lync_Server"/>
      <w:bookmarkStart w:id="1360" w:name="_Toc353376103"/>
      <w:bookmarkStart w:id="1361" w:name="_Toc336338326"/>
      <w:bookmarkStart w:id="1362" w:name="Srv_62LyncServer2010StandEnt"/>
      <w:bookmarkEnd w:id="1358"/>
      <w:bookmarkEnd w:id="1359"/>
      <w:r w:rsidRPr="00BD7CEA">
        <w:rPr>
          <w:rFonts w:ascii="Tahoma" w:hAnsi="Tahoma" w:cs="Tahoma"/>
          <w:caps/>
          <w:color w:val="FA6500"/>
          <w:sz w:val="22"/>
          <w:vertAlign w:val="superscript"/>
        </w:rPr>
        <w:t xml:space="preserve">65 </w:t>
      </w:r>
      <w:r w:rsidRPr="00BD7CEA">
        <w:rPr>
          <w:rFonts w:ascii="Tahoma" w:hAnsi="Tahoma" w:cs="Tahoma"/>
          <w:color w:val="FA6500"/>
          <w:sz w:val="22"/>
        </w:rPr>
        <w:t>Lync Server 2013</w:t>
      </w:r>
      <w:bookmarkEnd w:id="1360"/>
      <w:r w:rsidRPr="00BD7CEA">
        <w:rPr>
          <w:rFonts w:ascii="Tahoma" w:hAnsi="Tahoma" w:cs="Tahoma"/>
          <w:color w:val="FA6500"/>
          <w:sz w:val="22"/>
        </w:rPr>
        <w:t xml:space="preserve"> </w:t>
      </w:r>
    </w:p>
    <w:p w:rsidR="004E0852" w:rsidRPr="00BD7CEA" w:rsidRDefault="004E0852" w:rsidP="004E0852">
      <w:pPr>
        <w:ind w:left="720"/>
        <w:rPr>
          <w:sz w:val="14"/>
          <w:szCs w:val="14"/>
        </w:rPr>
      </w:pPr>
    </w:p>
    <w:p w:rsidR="004E0852" w:rsidRPr="00BD7CEA" w:rsidRDefault="004E0852" w:rsidP="004E0852">
      <w:pPr>
        <w:ind w:left="720"/>
      </w:pPr>
      <w:r w:rsidRPr="00BD7CEA">
        <w:rPr>
          <w:rFonts w:cs="Tahoma"/>
          <w:color w:val="000000"/>
          <w:szCs w:val="18"/>
        </w:rPr>
        <w:t>Lync Server 2013 è l</w:t>
      </w:r>
      <w:r w:rsidR="007A1415" w:rsidRPr="00BD7CEA">
        <w:rPr>
          <w:rFonts w:cs="Tahoma"/>
          <w:color w:val="000000"/>
          <w:szCs w:val="18"/>
        </w:rPr>
        <w:t>’</w:t>
      </w:r>
      <w:r w:rsidRPr="00BD7CEA">
        <w:rPr>
          <w:rFonts w:cs="Tahoma"/>
          <w:color w:val="000000"/>
          <w:szCs w:val="18"/>
        </w:rPr>
        <w:t>ultima versione di Lync Server.</w:t>
      </w:r>
      <w:r w:rsidR="008D782D" w:rsidRPr="00BD7CEA">
        <w:rPr>
          <w:rFonts w:cs="Tahoma"/>
          <w:color w:val="000000"/>
          <w:szCs w:val="18"/>
        </w:rPr>
        <w:t xml:space="preserve"> </w:t>
      </w:r>
      <w:r w:rsidRPr="00BD7CEA">
        <w:rPr>
          <w:rFonts w:cs="Tahoma"/>
          <w:color w:val="000000"/>
          <w:szCs w:val="18"/>
        </w:rPr>
        <w:t xml:space="preserve">Le società con Software Assurance attiva per Lync Server 2010 Standard o Enterprise </w:t>
      </w:r>
      <w:bookmarkEnd w:id="1361"/>
      <w:r w:rsidRPr="00BD7CEA">
        <w:rPr>
          <w:rFonts w:cs="Tahoma"/>
          <w:color w:val="000000"/>
          <w:szCs w:val="18"/>
        </w:rPr>
        <w:t>al 1 dicembre 2012 potranno eseguire l</w:t>
      </w:r>
      <w:r w:rsidR="007A1415" w:rsidRPr="00BD7CEA">
        <w:rPr>
          <w:rFonts w:cs="Tahoma"/>
          <w:color w:val="000000"/>
          <w:szCs w:val="18"/>
        </w:rPr>
        <w:t>’</w:t>
      </w:r>
      <w:r w:rsidRPr="00BD7CEA">
        <w:rPr>
          <w:rFonts w:cs="Tahoma"/>
          <w:color w:val="000000"/>
          <w:szCs w:val="18"/>
        </w:rPr>
        <w:t>aggiornamento a Lync Server 2013 e utilizzare questo prodotto al posto delle corrispondenti copie con licenza di Lync Server 2010.</w:t>
      </w:r>
    </w:p>
    <w:bookmarkEnd w:id="1362"/>
    <w:p w:rsidR="00CD0D74" w:rsidRPr="00BD7CEA" w:rsidRDefault="00CD0D74" w:rsidP="00CD0D74">
      <w:pPr>
        <w:ind w:left="720"/>
        <w:rPr>
          <w:sz w:val="14"/>
          <w:szCs w:val="14"/>
        </w:rPr>
      </w:pPr>
    </w:p>
    <w:p w:rsidR="00CD0D74" w:rsidRPr="00BD7CEA" w:rsidRDefault="00CD0D74" w:rsidP="00CD0D74">
      <w:pPr>
        <w:ind w:left="720"/>
      </w:pPr>
      <w:r w:rsidRPr="00BD7CEA">
        <w:rPr>
          <w:rFonts w:cs="Tahoma"/>
          <w:color w:val="000000"/>
          <w:szCs w:val="18"/>
        </w:rPr>
        <w:t>Le licenze CAL per Lync Server 2013 sono le versioni successive delle licenze CAL per Lync Server 2010.</w:t>
      </w:r>
      <w:r w:rsidR="008D782D" w:rsidRPr="00BD7CEA">
        <w:rPr>
          <w:rFonts w:cs="Tahoma"/>
          <w:color w:val="000000"/>
          <w:szCs w:val="18"/>
        </w:rPr>
        <w:t xml:space="preserve"> </w:t>
      </w:r>
    </w:p>
    <w:p w:rsidR="00CD0D74" w:rsidRPr="00BD7CEA" w:rsidRDefault="00CD0D74" w:rsidP="00CD0D74">
      <w:pPr>
        <w:ind w:left="720"/>
        <w:rPr>
          <w:sz w:val="14"/>
          <w:szCs w:val="14"/>
        </w:rPr>
      </w:pPr>
      <w:r w:rsidRPr="00BD7CEA">
        <w:rPr>
          <w:rFonts w:cs="Tahoma"/>
          <w:color w:val="000000"/>
          <w:szCs w:val="18"/>
        </w:rPr>
        <w:t xml:space="preserve"> </w:t>
      </w: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BD7CEA" w:rsidTr="0057135E">
        <w:trPr>
          <w:trHeight w:val="332"/>
        </w:trPr>
        <w:tc>
          <w:tcPr>
            <w:tcW w:w="4500" w:type="dxa"/>
            <w:shd w:val="clear" w:color="auto" w:fill="FABF8F"/>
          </w:tcPr>
          <w:p w:rsidR="00CD0D74" w:rsidRPr="00BD7CEA" w:rsidRDefault="00CD0D74" w:rsidP="0057135E">
            <w:pPr>
              <w:rPr>
                <w:rFonts w:cs="Tahoma"/>
                <w:b/>
                <w:color w:val="000000"/>
                <w:szCs w:val="18"/>
              </w:rPr>
            </w:pPr>
            <w:r w:rsidRPr="00BD7CEA">
              <w:rPr>
                <w:rFonts w:cs="Tahoma"/>
                <w:b/>
                <w:color w:val="000000"/>
                <w:szCs w:val="18"/>
              </w:rPr>
              <w:t>Licenza CAL per Lync Server 2010</w:t>
            </w:r>
          </w:p>
        </w:tc>
        <w:tc>
          <w:tcPr>
            <w:tcW w:w="3600" w:type="dxa"/>
            <w:shd w:val="clear" w:color="auto" w:fill="FABF8F"/>
          </w:tcPr>
          <w:p w:rsidR="00CD0D74" w:rsidRPr="00BD7CEA" w:rsidRDefault="00CD0D74" w:rsidP="0057135E">
            <w:pPr>
              <w:rPr>
                <w:rFonts w:cs="Tahoma"/>
                <w:b/>
                <w:color w:val="000000"/>
                <w:szCs w:val="18"/>
              </w:rPr>
            </w:pPr>
            <w:r w:rsidRPr="00BD7CEA">
              <w:rPr>
                <w:rFonts w:cs="Tahoma"/>
                <w:b/>
                <w:color w:val="000000"/>
                <w:szCs w:val="18"/>
              </w:rPr>
              <w:t>Versione Successiva</w:t>
            </w:r>
          </w:p>
        </w:tc>
      </w:tr>
      <w:tr w:rsidR="00CD0D74" w:rsidRPr="00BD7CEA" w:rsidTr="0057135E">
        <w:trPr>
          <w:trHeight w:val="70"/>
        </w:trPr>
        <w:tc>
          <w:tcPr>
            <w:tcW w:w="4500" w:type="dxa"/>
            <w:shd w:val="clear" w:color="auto" w:fill="auto"/>
          </w:tcPr>
          <w:p w:rsidR="00CD0D74" w:rsidRPr="00BD7CEA" w:rsidRDefault="00CD0D74" w:rsidP="0057135E">
            <w:pPr>
              <w:rPr>
                <w:rFonts w:cs="Tahoma"/>
                <w:color w:val="000000"/>
                <w:szCs w:val="18"/>
              </w:rPr>
            </w:pPr>
            <w:r w:rsidRPr="00BD7CEA">
              <w:rPr>
                <w:rFonts w:cs="Tahoma"/>
                <w:color w:val="000000"/>
                <w:szCs w:val="18"/>
              </w:rPr>
              <w:t xml:space="preserve">Plus CAL per Lync Server 2010 </w:t>
            </w:r>
          </w:p>
        </w:tc>
        <w:tc>
          <w:tcPr>
            <w:tcW w:w="3600" w:type="dxa"/>
            <w:shd w:val="clear" w:color="auto" w:fill="auto"/>
          </w:tcPr>
          <w:p w:rsidR="00CD0D74" w:rsidRPr="00BD7CEA" w:rsidRDefault="00CD0D74" w:rsidP="0057135E">
            <w:pPr>
              <w:rPr>
                <w:rFonts w:cs="Tahoma"/>
                <w:color w:val="000000"/>
                <w:szCs w:val="18"/>
              </w:rPr>
            </w:pPr>
            <w:r w:rsidRPr="00BD7CEA">
              <w:rPr>
                <w:rFonts w:cs="Tahoma"/>
                <w:color w:val="000000"/>
                <w:szCs w:val="18"/>
              </w:rPr>
              <w:t>Plus CAL per Lync Server 2013</w:t>
            </w:r>
          </w:p>
        </w:tc>
      </w:tr>
      <w:tr w:rsidR="00CD0D74" w:rsidRPr="00BD7CEA" w:rsidTr="0057135E">
        <w:trPr>
          <w:trHeight w:val="70"/>
        </w:trPr>
        <w:tc>
          <w:tcPr>
            <w:tcW w:w="4500" w:type="dxa"/>
            <w:shd w:val="clear" w:color="auto" w:fill="auto"/>
          </w:tcPr>
          <w:p w:rsidR="00CD0D74" w:rsidRPr="00BD7CEA" w:rsidRDefault="00CD0D74" w:rsidP="0057135E">
            <w:pPr>
              <w:rPr>
                <w:rFonts w:cs="Tahoma"/>
                <w:color w:val="000000"/>
                <w:szCs w:val="18"/>
              </w:rPr>
            </w:pPr>
            <w:r w:rsidRPr="00BD7CEA">
              <w:rPr>
                <w:rFonts w:cs="Tahoma"/>
                <w:color w:val="000000"/>
                <w:szCs w:val="18"/>
              </w:rPr>
              <w:t xml:space="preserve">Enterprise CAL per Lync Server 2010 </w:t>
            </w:r>
          </w:p>
        </w:tc>
        <w:tc>
          <w:tcPr>
            <w:tcW w:w="3600" w:type="dxa"/>
            <w:shd w:val="clear" w:color="auto" w:fill="auto"/>
          </w:tcPr>
          <w:p w:rsidR="00CD0D74" w:rsidRPr="00BD7CEA" w:rsidRDefault="00CD0D74" w:rsidP="0057135E">
            <w:pPr>
              <w:rPr>
                <w:rFonts w:cs="Tahoma"/>
                <w:color w:val="000000"/>
                <w:szCs w:val="18"/>
              </w:rPr>
            </w:pPr>
            <w:r w:rsidRPr="00BD7CEA">
              <w:rPr>
                <w:rFonts w:cs="Tahoma"/>
                <w:color w:val="000000"/>
                <w:szCs w:val="18"/>
              </w:rPr>
              <w:t>Enterprise CAL per Lync Server 2013</w:t>
            </w:r>
          </w:p>
        </w:tc>
      </w:tr>
      <w:tr w:rsidR="00CD0D74" w:rsidRPr="00BD7CEA" w:rsidTr="0057135E">
        <w:trPr>
          <w:trHeight w:val="70"/>
        </w:trPr>
        <w:tc>
          <w:tcPr>
            <w:tcW w:w="4500" w:type="dxa"/>
            <w:shd w:val="clear" w:color="auto" w:fill="auto"/>
          </w:tcPr>
          <w:p w:rsidR="00CD0D74" w:rsidRPr="00BD7CEA" w:rsidRDefault="00CD0D74" w:rsidP="0057135E">
            <w:pPr>
              <w:rPr>
                <w:rFonts w:cs="Tahoma"/>
                <w:color w:val="000000"/>
                <w:szCs w:val="18"/>
              </w:rPr>
            </w:pPr>
            <w:r w:rsidRPr="00BD7CEA">
              <w:rPr>
                <w:rFonts w:cs="Tahoma"/>
                <w:color w:val="000000"/>
                <w:szCs w:val="18"/>
              </w:rPr>
              <w:t xml:space="preserve">Standard CAL per Lync Server 2010 </w:t>
            </w:r>
          </w:p>
        </w:tc>
        <w:tc>
          <w:tcPr>
            <w:tcW w:w="3600" w:type="dxa"/>
            <w:shd w:val="clear" w:color="auto" w:fill="auto"/>
          </w:tcPr>
          <w:p w:rsidR="00CD0D74" w:rsidRPr="00BD7CEA" w:rsidRDefault="00CD0D74" w:rsidP="0057135E">
            <w:pPr>
              <w:rPr>
                <w:rFonts w:cs="Tahoma"/>
                <w:color w:val="000000"/>
                <w:szCs w:val="18"/>
              </w:rPr>
            </w:pPr>
            <w:r w:rsidRPr="00BD7CEA">
              <w:rPr>
                <w:rFonts w:cs="Tahoma"/>
                <w:color w:val="000000"/>
                <w:szCs w:val="18"/>
              </w:rPr>
              <w:t>Standard CAL per Lync Server 2013</w:t>
            </w:r>
          </w:p>
        </w:tc>
      </w:tr>
    </w:tbl>
    <w:p w:rsidR="004E0852" w:rsidRPr="00BD7CEA" w:rsidRDefault="004E0852" w:rsidP="003D0252"/>
    <w:p w:rsidR="004E0852" w:rsidRPr="00BD7CEA" w:rsidRDefault="004E0852" w:rsidP="0080323A">
      <w:pPr>
        <w:spacing w:after="60"/>
        <w:ind w:left="720"/>
      </w:pPr>
      <w:r w:rsidRPr="00BD7CEA">
        <w:rPr>
          <w:rFonts w:cs="Tahoma"/>
          <w:b/>
          <w:color w:val="000000"/>
          <w:szCs w:val="18"/>
        </w:rPr>
        <w:t>Concessione di Licenza per le Società Titolari della Licenza External Connector per Lync Server 2010 Enterprise, della Licenza External Connector per Lync Server 2010 Plus e della Licenza External Connector per Lync Server 2010 Standard</w:t>
      </w:r>
    </w:p>
    <w:p w:rsidR="004E0852" w:rsidRPr="00BD7CEA" w:rsidRDefault="004E0852" w:rsidP="003D0252">
      <w:pPr>
        <w:ind w:left="720"/>
      </w:pPr>
      <w:r w:rsidRPr="00BD7CEA">
        <w:rPr>
          <w:rFonts w:cs="Tahoma"/>
          <w:color w:val="000000"/>
          <w:szCs w:val="18"/>
        </w:rPr>
        <w:t>La versione 2010 della Licenza External Connector per Lync Server Enterprise, della Licenza External Connector per Lync Server Plus e della Licenza External Connector per Lync Server Standard è la versione finale di tali licenze.</w:t>
      </w:r>
      <w:r w:rsidR="008D782D" w:rsidRPr="00BD7CEA">
        <w:rPr>
          <w:rFonts w:cs="Tahoma"/>
          <w:color w:val="000000"/>
          <w:szCs w:val="18"/>
        </w:rPr>
        <w:t xml:space="preserve"> </w:t>
      </w:r>
      <w:r w:rsidRPr="00BD7CEA">
        <w:rPr>
          <w:rFonts w:cs="Tahoma"/>
          <w:color w:val="000000"/>
          <w:szCs w:val="18"/>
        </w:rPr>
        <w:t>Alla luce di ciò, le società con licenze External Connector per Lync Server 2010 Enterprise, External Connector per Lync Server 2010 Plus ed External Connector per Lync Server 2010 Standard con copertura Software Assurance attiva a partire dal 1 dicembre 2012 sono idonee alle concessioni di licenze che seguono.</w:t>
      </w:r>
    </w:p>
    <w:p w:rsidR="004E0852" w:rsidRPr="00BD7CEA" w:rsidRDefault="004E0852" w:rsidP="004E0852">
      <w:pPr>
        <w:ind w:left="90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BD7CEA" w:rsidTr="00BD1A6A">
        <w:trPr>
          <w:trHeight w:val="332"/>
        </w:trPr>
        <w:tc>
          <w:tcPr>
            <w:tcW w:w="4500" w:type="dxa"/>
            <w:shd w:val="clear" w:color="auto" w:fill="FABF8F"/>
          </w:tcPr>
          <w:p w:rsidR="00BD1A6A" w:rsidRPr="00BD7CEA" w:rsidRDefault="00BD1A6A" w:rsidP="002C3AB1">
            <w:pPr>
              <w:rPr>
                <w:rFonts w:cs="Tahoma"/>
                <w:b/>
                <w:color w:val="000000"/>
                <w:szCs w:val="18"/>
              </w:rPr>
            </w:pPr>
            <w:r w:rsidRPr="00BD7CEA">
              <w:rPr>
                <w:rFonts w:cs="Tahoma"/>
                <w:b/>
                <w:color w:val="000000"/>
                <w:szCs w:val="18"/>
              </w:rPr>
              <w:t>Licenza Qualificante</w:t>
            </w:r>
          </w:p>
        </w:tc>
        <w:tc>
          <w:tcPr>
            <w:tcW w:w="3600" w:type="dxa"/>
            <w:shd w:val="clear" w:color="auto" w:fill="FABF8F"/>
          </w:tcPr>
          <w:p w:rsidR="00BD1A6A" w:rsidRPr="00BD7CEA" w:rsidRDefault="00BD1A6A" w:rsidP="002C3AB1">
            <w:pPr>
              <w:rPr>
                <w:rFonts w:cs="Tahoma"/>
                <w:b/>
                <w:color w:val="000000"/>
                <w:szCs w:val="18"/>
              </w:rPr>
            </w:pPr>
            <w:r w:rsidRPr="00BD7CEA">
              <w:rPr>
                <w:rFonts w:cs="Tahoma"/>
                <w:b/>
                <w:color w:val="000000"/>
                <w:szCs w:val="18"/>
              </w:rPr>
              <w:t>Licenza Gratuita e Vantaggi</w:t>
            </w:r>
          </w:p>
        </w:tc>
      </w:tr>
      <w:tr w:rsidR="00BD1A6A" w:rsidRPr="00BD7CEA" w:rsidTr="00BD1A6A">
        <w:trPr>
          <w:trHeight w:val="70"/>
        </w:trPr>
        <w:tc>
          <w:tcPr>
            <w:tcW w:w="4500" w:type="dxa"/>
            <w:shd w:val="clear" w:color="auto" w:fill="auto"/>
          </w:tcPr>
          <w:p w:rsidR="00BD1A6A" w:rsidRPr="00BD7CEA" w:rsidRDefault="00BD1A6A" w:rsidP="002C3AB1">
            <w:pPr>
              <w:rPr>
                <w:rFonts w:cs="Tahoma"/>
                <w:color w:val="000000"/>
                <w:szCs w:val="18"/>
              </w:rPr>
            </w:pPr>
            <w:r w:rsidRPr="00BD7CEA">
              <w:rPr>
                <w:rFonts w:cs="Tahoma"/>
                <w:color w:val="000000"/>
                <w:szCs w:val="18"/>
              </w:rPr>
              <w:t>Licenza External Connector per Lync Server 2010 Enterprise con Software Assurance attiva a partire dal 1 dicembre 2012</w:t>
            </w:r>
          </w:p>
        </w:tc>
        <w:tc>
          <w:tcPr>
            <w:tcW w:w="3600" w:type="dxa"/>
            <w:shd w:val="clear" w:color="auto" w:fill="auto"/>
          </w:tcPr>
          <w:p w:rsidR="00BD1A6A" w:rsidRPr="00BD7CEA" w:rsidRDefault="00BD1A6A" w:rsidP="002C3AB1">
            <w:pPr>
              <w:rPr>
                <w:rFonts w:cs="Tahoma"/>
                <w:color w:val="000000"/>
                <w:szCs w:val="18"/>
              </w:rPr>
            </w:pPr>
            <w:r w:rsidRPr="00BD7CEA">
              <w:rPr>
                <w:rFonts w:cs="Tahoma"/>
                <w:color w:val="000000"/>
                <w:szCs w:val="18"/>
              </w:rPr>
              <w:t>Licenza per Lync Server 2013</w:t>
            </w:r>
          </w:p>
        </w:tc>
      </w:tr>
      <w:tr w:rsidR="00BD1A6A" w:rsidRPr="00BD7CEA" w:rsidTr="00BD1A6A">
        <w:trPr>
          <w:trHeight w:val="70"/>
        </w:trPr>
        <w:tc>
          <w:tcPr>
            <w:tcW w:w="4500" w:type="dxa"/>
            <w:shd w:val="clear" w:color="auto" w:fill="auto"/>
          </w:tcPr>
          <w:p w:rsidR="00BD1A6A" w:rsidRPr="00BD7CEA" w:rsidRDefault="00BD1A6A" w:rsidP="000E3B21">
            <w:pPr>
              <w:rPr>
                <w:rFonts w:cs="Tahoma"/>
                <w:color w:val="000000"/>
                <w:szCs w:val="18"/>
              </w:rPr>
            </w:pPr>
            <w:r w:rsidRPr="00BD7CEA">
              <w:rPr>
                <w:rFonts w:cs="Tahoma"/>
                <w:color w:val="000000"/>
                <w:szCs w:val="18"/>
              </w:rPr>
              <w:t>Licenza External Connector per Lync Server 2010 Plus</w:t>
            </w:r>
            <w:r w:rsidR="000E3B21">
              <w:rPr>
                <w:rFonts w:cs="Tahoma"/>
                <w:color w:val="000000"/>
                <w:szCs w:val="18"/>
              </w:rPr>
              <w:t> </w:t>
            </w:r>
            <w:r w:rsidRPr="00BD7CEA">
              <w:rPr>
                <w:rFonts w:cs="Tahoma"/>
                <w:color w:val="000000"/>
                <w:szCs w:val="18"/>
              </w:rPr>
              <w:t>con Software Assurance attiva a partire dal 1</w:t>
            </w:r>
            <w:r w:rsidR="000E3B21">
              <w:rPr>
                <w:rFonts w:cs="Tahoma"/>
                <w:color w:val="000000"/>
                <w:szCs w:val="18"/>
              </w:rPr>
              <w:t> </w:t>
            </w:r>
            <w:r w:rsidRPr="00BD7CEA">
              <w:rPr>
                <w:rFonts w:cs="Tahoma"/>
                <w:color w:val="000000"/>
                <w:szCs w:val="18"/>
              </w:rPr>
              <w:t>dicembre 2012</w:t>
            </w:r>
          </w:p>
        </w:tc>
        <w:tc>
          <w:tcPr>
            <w:tcW w:w="3600" w:type="dxa"/>
            <w:shd w:val="clear" w:color="auto" w:fill="auto"/>
          </w:tcPr>
          <w:p w:rsidR="00BD1A6A" w:rsidRPr="00BD7CEA" w:rsidRDefault="00BD1A6A" w:rsidP="002C3AB1">
            <w:pPr>
              <w:rPr>
                <w:rFonts w:cs="Tahoma"/>
                <w:color w:val="000000"/>
                <w:szCs w:val="18"/>
              </w:rPr>
            </w:pPr>
            <w:r w:rsidRPr="00BD7CEA">
              <w:rPr>
                <w:rFonts w:cs="Tahoma"/>
                <w:color w:val="000000"/>
                <w:szCs w:val="18"/>
              </w:rPr>
              <w:t>Licenza per Lync Server 2013</w:t>
            </w:r>
          </w:p>
        </w:tc>
      </w:tr>
      <w:tr w:rsidR="00BD1A6A" w:rsidRPr="00BD7CEA" w:rsidTr="00BD1A6A">
        <w:trPr>
          <w:trHeight w:val="70"/>
        </w:trPr>
        <w:tc>
          <w:tcPr>
            <w:tcW w:w="4500" w:type="dxa"/>
            <w:shd w:val="clear" w:color="auto" w:fill="auto"/>
          </w:tcPr>
          <w:p w:rsidR="00BD1A6A" w:rsidRPr="00BD7CEA" w:rsidRDefault="00BD1A6A" w:rsidP="002C3AB1">
            <w:pPr>
              <w:rPr>
                <w:rFonts w:cs="Tahoma"/>
                <w:color w:val="000000"/>
                <w:szCs w:val="18"/>
              </w:rPr>
            </w:pPr>
            <w:r w:rsidRPr="00BD7CEA">
              <w:rPr>
                <w:rFonts w:cs="Tahoma"/>
                <w:color w:val="000000"/>
                <w:szCs w:val="18"/>
              </w:rPr>
              <w:t>Licenza External Connector per Lync Server 2010 Standard con Software Assurance attiva a partire dal 1 dicembre 2012</w:t>
            </w:r>
          </w:p>
        </w:tc>
        <w:tc>
          <w:tcPr>
            <w:tcW w:w="3600" w:type="dxa"/>
            <w:shd w:val="clear" w:color="auto" w:fill="auto"/>
          </w:tcPr>
          <w:p w:rsidR="00BD1A6A" w:rsidRPr="00BD7CEA" w:rsidRDefault="00BD1A6A" w:rsidP="002C3AB1">
            <w:pPr>
              <w:rPr>
                <w:rFonts w:cs="Tahoma"/>
                <w:color w:val="000000"/>
                <w:szCs w:val="18"/>
              </w:rPr>
            </w:pPr>
            <w:r w:rsidRPr="00BD7CEA">
              <w:rPr>
                <w:rFonts w:cs="Tahoma"/>
                <w:color w:val="000000"/>
                <w:szCs w:val="18"/>
              </w:rPr>
              <w:t>Licenza per Lync Server 2013</w:t>
            </w:r>
          </w:p>
        </w:tc>
      </w:tr>
    </w:tbl>
    <w:p w:rsidR="004E0852" w:rsidRDefault="004E0852" w:rsidP="004E0852">
      <w:pPr>
        <w:ind w:left="720"/>
        <w:jc w:val="both"/>
      </w:pPr>
    </w:p>
    <w:p w:rsidR="005204B6" w:rsidRDefault="005204B6" w:rsidP="004E0852">
      <w:pPr>
        <w:ind w:left="720"/>
        <w:jc w:val="both"/>
      </w:pPr>
    </w:p>
    <w:p w:rsidR="005204B6" w:rsidRDefault="005204B6" w:rsidP="004E0852">
      <w:pPr>
        <w:ind w:left="720"/>
        <w:jc w:val="both"/>
      </w:pPr>
    </w:p>
    <w:p w:rsidR="005204B6" w:rsidRDefault="005204B6" w:rsidP="004E0852">
      <w:pPr>
        <w:ind w:left="720"/>
        <w:jc w:val="both"/>
      </w:pPr>
    </w:p>
    <w:p w:rsidR="005204B6" w:rsidRDefault="005204B6" w:rsidP="004E0852">
      <w:pPr>
        <w:ind w:left="720"/>
        <w:jc w:val="both"/>
      </w:pPr>
    </w:p>
    <w:p w:rsidR="005204B6" w:rsidRDefault="005204B6" w:rsidP="004E0852">
      <w:pPr>
        <w:ind w:left="720"/>
        <w:jc w:val="both"/>
      </w:pPr>
    </w:p>
    <w:p w:rsidR="005204B6" w:rsidRDefault="005204B6" w:rsidP="004E0852">
      <w:pPr>
        <w:ind w:left="720"/>
        <w:jc w:val="both"/>
      </w:pPr>
    </w:p>
    <w:p w:rsidR="005204B6" w:rsidRPr="00BD7CEA" w:rsidRDefault="005204B6" w:rsidP="004E0852">
      <w:pPr>
        <w:ind w:left="720"/>
        <w:jc w:val="both"/>
      </w:pPr>
    </w:p>
    <w:p w:rsidR="004E0852" w:rsidRPr="00BD7CEA" w:rsidRDefault="004E0852" w:rsidP="004E0852">
      <w:pPr>
        <w:ind w:left="720"/>
      </w:pPr>
      <w:r w:rsidRPr="00BD7CEA">
        <w:rPr>
          <w:rFonts w:cs="Tahoma"/>
          <w:color w:val="000000"/>
          <w:szCs w:val="18"/>
        </w:rPr>
        <w:lastRenderedPageBreak/>
        <w:t>Le condizioni che seguono si applicano alle concessioni di licenze riportate sopra.</w:t>
      </w:r>
    </w:p>
    <w:p w:rsidR="004E0852" w:rsidRPr="00BD7CEA" w:rsidRDefault="004E0852" w:rsidP="004E0852">
      <w:pPr>
        <w:ind w:left="720"/>
      </w:pPr>
    </w:p>
    <w:p w:rsidR="004E0852" w:rsidRPr="00BD7CEA" w:rsidRDefault="004E0852" w:rsidP="007358C5">
      <w:pPr>
        <w:numPr>
          <w:ilvl w:val="0"/>
          <w:numId w:val="100"/>
        </w:numPr>
        <w:spacing w:after="60"/>
        <w:ind w:left="1440"/>
      </w:pPr>
      <w:r w:rsidRPr="00BD7CEA">
        <w:rPr>
          <w:rFonts w:cs="Tahoma"/>
          <w:bCs/>
          <w:color w:val="000000"/>
          <w:szCs w:val="18"/>
          <w:u w:val="single"/>
        </w:rPr>
        <w:t>Percorso di Migrazione</w:t>
      </w:r>
      <w:r w:rsidRPr="00581319">
        <w:rPr>
          <w:rFonts w:cs="Tahoma"/>
          <w:color w:val="000000"/>
          <w:szCs w:val="18"/>
        </w:rPr>
        <w:t xml:space="preserve">: </w:t>
      </w:r>
      <w:r w:rsidRPr="00BD7CEA">
        <w:rPr>
          <w:rFonts w:cs="Tahoma"/>
          <w:color w:val="000000"/>
          <w:szCs w:val="18"/>
        </w:rPr>
        <w:t>le società con copertura Software Assurance attiva per una determinata Licenza Qualificante a partire dal 1 dicembre 2012 e in occasione del rilascio della versione commerciale di Lync Server 2013 sono idonee a effettuare l</w:t>
      </w:r>
      <w:r w:rsidR="007A1415" w:rsidRPr="00BD7CEA">
        <w:rPr>
          <w:rFonts w:cs="Tahoma"/>
          <w:color w:val="000000"/>
          <w:szCs w:val="18"/>
        </w:rPr>
        <w:t>’</w:t>
      </w:r>
      <w:r w:rsidRPr="00BD7CEA">
        <w:rPr>
          <w:rFonts w:cs="Tahoma"/>
          <w:color w:val="000000"/>
          <w:szCs w:val="18"/>
        </w:rPr>
        <w:t>aggiornamento al software Lync Server 2013 e a utilizzarlo ai sensi della Licenza Gratuita al posto del software Lync Server 2010 ai sensi della corrispondente licenza External Connector qualificante.</w:t>
      </w:r>
      <w:r w:rsidR="008D782D" w:rsidRPr="00BD7CEA">
        <w:rPr>
          <w:rFonts w:cs="Tahoma"/>
          <w:color w:val="000000"/>
          <w:szCs w:val="18"/>
        </w:rPr>
        <w:t xml:space="preserve"> </w:t>
      </w:r>
    </w:p>
    <w:p w:rsidR="004E0852" w:rsidRPr="00BD7CEA" w:rsidRDefault="004E0852" w:rsidP="007358C5">
      <w:pPr>
        <w:numPr>
          <w:ilvl w:val="0"/>
          <w:numId w:val="100"/>
        </w:numPr>
        <w:spacing w:after="60"/>
        <w:ind w:left="1440"/>
      </w:pPr>
      <w:r w:rsidRPr="00BD7CEA">
        <w:rPr>
          <w:rFonts w:cs="Tahoma"/>
          <w:color w:val="000000"/>
          <w:szCs w:val="18"/>
          <w:u w:val="single"/>
        </w:rPr>
        <w:t>Diritti sull</w:t>
      </w:r>
      <w:r w:rsidR="007A1415" w:rsidRPr="00BD7CEA">
        <w:rPr>
          <w:rFonts w:cs="Tahoma"/>
          <w:color w:val="000000"/>
          <w:szCs w:val="18"/>
          <w:u w:val="single"/>
        </w:rPr>
        <w:t>’</w:t>
      </w:r>
      <w:r w:rsidRPr="00BD7CEA">
        <w:rPr>
          <w:rFonts w:cs="Tahoma"/>
          <w:color w:val="000000"/>
          <w:szCs w:val="18"/>
          <w:u w:val="single"/>
        </w:rPr>
        <w:t>utilizzo</w:t>
      </w:r>
      <w:r w:rsidRPr="00BD7CEA">
        <w:rPr>
          <w:rFonts w:cs="Tahoma"/>
          <w:color w:val="000000"/>
          <w:szCs w:val="18"/>
        </w:rPr>
        <w:t>: il diritto di utilizzo del software ai sensi della Licenza Gratuita della presente offerta scadrà alla scadenza del diritto di utilizzo del software ai sensi della Licenza Qualificante.</w:t>
      </w:r>
      <w:r w:rsidR="008D782D" w:rsidRPr="00BD7CEA">
        <w:rPr>
          <w:rFonts w:cs="Tahoma"/>
          <w:color w:val="000000"/>
          <w:szCs w:val="18"/>
        </w:rPr>
        <w:t xml:space="preserve"> </w:t>
      </w:r>
      <w:r w:rsidRPr="00BD7CEA">
        <w:rPr>
          <w:rFonts w:cs="Tahoma"/>
          <w:color w:val="000000"/>
          <w:szCs w:val="18"/>
        </w:rPr>
        <w:t>L</w:t>
      </w:r>
      <w:r w:rsidR="007A1415" w:rsidRPr="00BD7CEA">
        <w:rPr>
          <w:rFonts w:cs="Tahoma"/>
          <w:color w:val="000000"/>
          <w:szCs w:val="18"/>
        </w:rPr>
        <w:t>’</w:t>
      </w:r>
      <w:r w:rsidRPr="00BD7CEA">
        <w:rPr>
          <w:rFonts w:cs="Tahoma"/>
          <w:color w:val="000000"/>
          <w:szCs w:val="18"/>
        </w:rPr>
        <w:t>utilizzo di tale software è disciplinato dai diritti sull</w:t>
      </w:r>
      <w:r w:rsidR="007A1415" w:rsidRPr="00BD7CEA">
        <w:rPr>
          <w:rFonts w:cs="Tahoma"/>
          <w:color w:val="000000"/>
          <w:szCs w:val="18"/>
        </w:rPr>
        <w:t>’</w:t>
      </w:r>
      <w:r w:rsidRPr="00BD7CEA">
        <w:rPr>
          <w:rFonts w:cs="Tahoma"/>
          <w:color w:val="000000"/>
          <w:szCs w:val="18"/>
        </w:rPr>
        <w:t>utilizzo del software e dalle condizioni del contratto multilicenza della società.</w:t>
      </w:r>
      <w:r w:rsidR="008D782D" w:rsidRPr="00BD7CEA">
        <w:rPr>
          <w:rFonts w:cs="Tahoma"/>
          <w:color w:val="000000"/>
          <w:szCs w:val="18"/>
        </w:rPr>
        <w:t xml:space="preserve"> </w:t>
      </w:r>
      <w:r w:rsidRPr="00BD7CEA">
        <w:rPr>
          <w:rFonts w:cs="Tahoma"/>
          <w:color w:val="000000"/>
          <w:szCs w:val="18"/>
        </w:rPr>
        <w:t>Questa nota relativa alle condizioni del prodotto e la prova da</w:t>
      </w:r>
      <w:r w:rsidR="004535CD" w:rsidRPr="00BD7CEA">
        <w:rPr>
          <w:rFonts w:cs="Tahoma"/>
          <w:color w:val="000000"/>
          <w:szCs w:val="18"/>
        </w:rPr>
        <w:t> </w:t>
      </w:r>
      <w:r w:rsidRPr="00BD7CEA">
        <w:rPr>
          <w:rFonts w:cs="Tahoma"/>
          <w:color w:val="000000"/>
          <w:szCs w:val="18"/>
        </w:rPr>
        <w:t>parte della società della corrispondente Licenza e Software Assurance (L&amp;SA) Qualificante costituiscono insieme la prova del diritto di utilizzo del software ai sensi della Licenza Gratuita della</w:t>
      </w:r>
      <w:r w:rsidR="00DC6528">
        <w:rPr>
          <w:rFonts w:cs="Tahoma"/>
          <w:color w:val="000000"/>
          <w:szCs w:val="18"/>
        </w:rPr>
        <w:t> </w:t>
      </w:r>
      <w:r w:rsidRPr="00BD7CEA">
        <w:rPr>
          <w:rFonts w:cs="Tahoma"/>
          <w:color w:val="000000"/>
          <w:szCs w:val="18"/>
        </w:rPr>
        <w:t xml:space="preserve">presente offerta. </w:t>
      </w:r>
    </w:p>
    <w:p w:rsidR="004E0852" w:rsidRPr="00BD7CEA" w:rsidRDefault="004E0852" w:rsidP="003D0252">
      <w:pPr>
        <w:numPr>
          <w:ilvl w:val="0"/>
          <w:numId w:val="8"/>
        </w:numPr>
        <w:spacing w:after="60"/>
        <w:ind w:left="1440"/>
      </w:pPr>
      <w:r w:rsidRPr="00BD7CEA">
        <w:rPr>
          <w:rFonts w:cs="Tahoma"/>
          <w:color w:val="000000"/>
          <w:szCs w:val="18"/>
          <w:u w:val="single"/>
        </w:rPr>
        <w:t>Licenza e Software Assurance (L&amp;SA)</w:t>
      </w:r>
      <w:r w:rsidRPr="00BD7CEA">
        <w:rPr>
          <w:rFonts w:cs="Tahoma"/>
          <w:color w:val="000000"/>
          <w:szCs w:val="18"/>
        </w:rPr>
        <w:t>: la Licenza Gratuita include la copertura Software Assurance.</w:t>
      </w:r>
      <w:r w:rsidR="008D782D" w:rsidRPr="00BD7CEA">
        <w:rPr>
          <w:rFonts w:cs="Tahoma"/>
          <w:color w:val="000000"/>
          <w:szCs w:val="18"/>
        </w:rPr>
        <w:t xml:space="preserve"> </w:t>
      </w:r>
      <w:r w:rsidRPr="00BD7CEA">
        <w:rPr>
          <w:rFonts w:cs="Tahoma"/>
          <w:color w:val="000000"/>
          <w:szCs w:val="18"/>
        </w:rPr>
        <w:t>La copertura Software Assurance per la Licenza Gratuita scadrà alla scadenza della copertura per la Licenza Qualificante.</w:t>
      </w:r>
      <w:r w:rsidR="008D782D" w:rsidRPr="00BD7CEA">
        <w:rPr>
          <w:rFonts w:cs="Tahoma"/>
          <w:color w:val="000000"/>
          <w:szCs w:val="18"/>
        </w:rPr>
        <w:t xml:space="preserve"> </w:t>
      </w:r>
      <w:r w:rsidRPr="00BD7CEA">
        <w:rPr>
          <w:rFonts w:cs="Tahoma"/>
          <w:color w:val="000000"/>
          <w:szCs w:val="18"/>
        </w:rPr>
        <w:t>Alla scadenza della copertura Software Assurance per la Licenza Qualificante, la società potrà rinnovare Software Assurance per la Licenza Gratuita senza dover acquistare una nuova licenza specifica.</w:t>
      </w:r>
    </w:p>
    <w:p w:rsidR="004E0852" w:rsidRPr="00BD7CEA" w:rsidRDefault="004E0852" w:rsidP="007358C5">
      <w:pPr>
        <w:numPr>
          <w:ilvl w:val="0"/>
          <w:numId w:val="101"/>
        </w:numPr>
        <w:spacing w:after="60"/>
        <w:ind w:left="1440"/>
      </w:pPr>
      <w:r w:rsidRPr="00BD7CEA">
        <w:rPr>
          <w:rFonts w:eastAsia="Calibri" w:cs="Tahoma"/>
          <w:color w:val="000000"/>
          <w:szCs w:val="18"/>
          <w:u w:val="single"/>
        </w:rPr>
        <w:t>True-up</w:t>
      </w:r>
      <w:r w:rsidRPr="005D417D">
        <w:rPr>
          <w:rFonts w:eastAsia="Calibri" w:cs="Tahoma"/>
          <w:color w:val="000000"/>
          <w:szCs w:val="18"/>
        </w:rPr>
        <w:t>:</w:t>
      </w:r>
      <w:r w:rsidR="008D782D" w:rsidRPr="005D417D">
        <w:rPr>
          <w:rFonts w:eastAsia="Calibri" w:cs="Tahoma"/>
          <w:color w:val="000000"/>
          <w:szCs w:val="18"/>
        </w:rPr>
        <w:t xml:space="preserve"> </w:t>
      </w:r>
      <w:r w:rsidRPr="00BD7CEA">
        <w:rPr>
          <w:rFonts w:eastAsia="Calibri" w:cs="Tahoma"/>
          <w:color w:val="000000"/>
          <w:szCs w:val="18"/>
        </w:rPr>
        <w:t>per le società con un Contratto Enterprise idonee a ricevere tali licenze e diritti gratuiti descritti in precedenza, le licenze Enterprise External Connector per Lync Server 2010, Plus External Connector per Lync Server 2010 e Standard External Connector per Lync Server 2010 acquistate nell</w:t>
      </w:r>
      <w:r w:rsidR="007A1415" w:rsidRPr="00BD7CEA">
        <w:rPr>
          <w:rFonts w:eastAsia="Calibri" w:cs="Tahoma"/>
          <w:color w:val="000000"/>
          <w:szCs w:val="18"/>
        </w:rPr>
        <w:t>’</w:t>
      </w:r>
      <w:r w:rsidRPr="00BD7CEA">
        <w:rPr>
          <w:rFonts w:eastAsia="Calibri" w:cs="Tahoma"/>
          <w:color w:val="000000"/>
          <w:szCs w:val="18"/>
        </w:rPr>
        <w:t xml:space="preserve">ambito di una </w:t>
      </w:r>
      <w:r w:rsidRPr="00BD7CEA">
        <w:rPr>
          <w:rFonts w:cs="Tahoma"/>
          <w:color w:val="000000"/>
          <w:szCs w:val="18"/>
        </w:rPr>
        <w:t>procedura annuale di true-up sono, anch</w:t>
      </w:r>
      <w:r w:rsidR="007A1415" w:rsidRPr="00BD7CEA">
        <w:rPr>
          <w:rFonts w:cs="Tahoma"/>
          <w:color w:val="000000"/>
          <w:szCs w:val="18"/>
        </w:rPr>
        <w:t>’</w:t>
      </w:r>
      <w:r w:rsidRPr="00BD7CEA">
        <w:rPr>
          <w:rFonts w:cs="Tahoma"/>
          <w:color w:val="000000"/>
          <w:szCs w:val="18"/>
        </w:rPr>
        <w:t xml:space="preserve">esse, licenze qualificanti. </w:t>
      </w:r>
    </w:p>
    <w:p w:rsidR="004E0852" w:rsidRPr="00BD7CEA" w:rsidRDefault="003D0252" w:rsidP="007358C5">
      <w:pPr>
        <w:numPr>
          <w:ilvl w:val="0"/>
          <w:numId w:val="101"/>
        </w:numPr>
        <w:spacing w:after="60"/>
        <w:ind w:left="1440"/>
      </w:pPr>
      <w:r w:rsidRPr="00BD7CEA">
        <w:rPr>
          <w:rFonts w:cs="Tahoma"/>
          <w:color w:val="000000"/>
          <w:szCs w:val="18"/>
          <w:u w:val="single"/>
        </w:rPr>
        <w:t>Contratti “Subscription”</w:t>
      </w:r>
      <w:r w:rsidRPr="005D417D">
        <w:rPr>
          <w:rFonts w:cs="Tahoma"/>
          <w:color w:val="000000"/>
          <w:szCs w:val="18"/>
        </w:rPr>
        <w:t>:</w:t>
      </w:r>
      <w:r w:rsidR="008D782D" w:rsidRPr="005D417D">
        <w:rPr>
          <w:rFonts w:cs="Tahoma"/>
          <w:color w:val="000000"/>
          <w:szCs w:val="18"/>
        </w:rPr>
        <w:t xml:space="preserve"> </w:t>
      </w:r>
      <w:r w:rsidRPr="00BD7CEA">
        <w:rPr>
          <w:rFonts w:cs="Tahoma"/>
          <w:color w:val="000000"/>
          <w:szCs w:val="18"/>
        </w:rPr>
        <w:t xml:space="preserve">per quanto riguarda i Contratti Enterprise Subscription, </w:t>
      </w:r>
      <w:r w:rsidRPr="00BD7CEA">
        <w:rPr>
          <w:rFonts w:cs="Tahoma"/>
          <w:szCs w:val="18"/>
        </w:rPr>
        <w:t>Open Value Subscription, Campus e School, Enrollment for Education Solutions e Open Value Subscription-Education Solutions, gli stessi diritti verranno concessi temporaneamente, in base alle medesime condizioni,</w:t>
      </w:r>
      <w:r w:rsidRPr="00BD7CEA">
        <w:rPr>
          <w:rFonts w:cs="Tahoma"/>
          <w:color w:val="000000"/>
          <w:szCs w:val="18"/>
        </w:rPr>
        <w:t xml:space="preserve"> fino al termine del periodo di validità corrente dell</w:t>
      </w:r>
      <w:r w:rsidR="007A1415" w:rsidRPr="00BD7CEA">
        <w:rPr>
          <w:rFonts w:cs="Tahoma"/>
          <w:color w:val="000000"/>
          <w:szCs w:val="18"/>
        </w:rPr>
        <w:t>’</w:t>
      </w:r>
      <w:r w:rsidRPr="00BD7CEA">
        <w:rPr>
          <w:rFonts w:cs="Tahoma"/>
          <w:color w:val="000000"/>
          <w:szCs w:val="18"/>
        </w:rPr>
        <w:t>iscrizione (o del periodo di validità del</w:t>
      </w:r>
      <w:r w:rsidR="005D417D">
        <w:rPr>
          <w:rFonts w:cs="Tahoma"/>
          <w:color w:val="000000"/>
          <w:szCs w:val="18"/>
        </w:rPr>
        <w:t> </w:t>
      </w:r>
      <w:r w:rsidRPr="00BD7CEA">
        <w:rPr>
          <w:rFonts w:cs="Tahoma"/>
          <w:color w:val="000000"/>
          <w:szCs w:val="18"/>
        </w:rPr>
        <w:t>contratto nel caso di Open Value).</w:t>
      </w:r>
      <w:r w:rsidR="008D782D" w:rsidRPr="00BD7CEA">
        <w:rPr>
          <w:rFonts w:cs="Tahoma"/>
          <w:color w:val="000000"/>
          <w:szCs w:val="18"/>
        </w:rPr>
        <w:t xml:space="preserve"> </w:t>
      </w:r>
      <w:r w:rsidRPr="00BD7CEA">
        <w:rPr>
          <w:rFonts w:cs="Tahoma"/>
          <w:color w:val="000000"/>
          <w:szCs w:val="18"/>
        </w:rPr>
        <w:t>La società dovrà mantenere la copertura dell</w:t>
      </w:r>
      <w:r w:rsidR="007A1415" w:rsidRPr="00BD7CEA">
        <w:rPr>
          <w:rFonts w:cs="Tahoma"/>
          <w:color w:val="000000"/>
          <w:szCs w:val="18"/>
        </w:rPr>
        <w:t>’</w:t>
      </w:r>
      <w:r w:rsidRPr="00BD7CEA">
        <w:rPr>
          <w:rFonts w:cs="Tahoma"/>
          <w:color w:val="000000"/>
          <w:szCs w:val="18"/>
        </w:rPr>
        <w:t>abbonamento in via continuativa.</w:t>
      </w:r>
      <w:r w:rsidR="008D782D" w:rsidRPr="00BD7CEA">
        <w:rPr>
          <w:rFonts w:cs="Tahoma"/>
          <w:color w:val="000000"/>
          <w:szCs w:val="18"/>
        </w:rPr>
        <w:t xml:space="preserve"> </w:t>
      </w:r>
      <w:r w:rsidRPr="00BD7CEA">
        <w:rPr>
          <w:rFonts w:cs="Tahoma"/>
          <w:color w:val="000000"/>
          <w:szCs w:val="18"/>
        </w:rPr>
        <w:t>Tali diritti diventeranno permanenti soltanto all</w:t>
      </w:r>
      <w:r w:rsidR="007A1415" w:rsidRPr="00BD7CEA">
        <w:rPr>
          <w:rFonts w:cs="Tahoma"/>
          <w:color w:val="000000"/>
          <w:szCs w:val="18"/>
        </w:rPr>
        <w:t>’</w:t>
      </w:r>
      <w:r w:rsidRPr="00BD7CEA">
        <w:rPr>
          <w:rFonts w:cs="Tahoma"/>
          <w:color w:val="000000"/>
          <w:szCs w:val="18"/>
        </w:rPr>
        <w:t>esercizio dell</w:t>
      </w:r>
      <w:r w:rsidR="007A1415" w:rsidRPr="00BD7CEA">
        <w:rPr>
          <w:rFonts w:cs="Tahoma"/>
          <w:color w:val="000000"/>
          <w:szCs w:val="18"/>
        </w:rPr>
        <w:t>’</w:t>
      </w:r>
      <w:r w:rsidRPr="00BD7CEA">
        <w:rPr>
          <w:rFonts w:cs="Tahoma"/>
          <w:color w:val="000000"/>
          <w:szCs w:val="18"/>
        </w:rPr>
        <w:t>opzione buy-out e</w:t>
      </w:r>
      <w:r w:rsidR="005D417D">
        <w:rPr>
          <w:rFonts w:cs="Tahoma"/>
          <w:color w:val="000000"/>
          <w:szCs w:val="18"/>
        </w:rPr>
        <w:t> </w:t>
      </w:r>
      <w:r w:rsidRPr="00BD7CEA">
        <w:rPr>
          <w:rFonts w:cs="Tahoma"/>
          <w:color w:val="000000"/>
          <w:szCs w:val="18"/>
        </w:rPr>
        <w:t>resteranno soggetti a tutte le condizioni del contratto di licenza della società.</w:t>
      </w:r>
    </w:p>
    <w:p w:rsidR="004E0852" w:rsidRPr="00BD7CEA" w:rsidRDefault="004E0852" w:rsidP="007358C5">
      <w:pPr>
        <w:numPr>
          <w:ilvl w:val="0"/>
          <w:numId w:val="102"/>
        </w:numPr>
        <w:spacing w:after="60"/>
        <w:ind w:left="1440"/>
      </w:pPr>
      <w:r w:rsidRPr="00BD7CEA">
        <w:rPr>
          <w:rFonts w:cs="Tahoma"/>
          <w:szCs w:val="18"/>
          <w:u w:val="single"/>
        </w:rPr>
        <w:t>Transizioni ai Contratti Campus e School</w:t>
      </w:r>
      <w:r w:rsidRPr="005D417D">
        <w:rPr>
          <w:rFonts w:cs="Tahoma"/>
          <w:szCs w:val="18"/>
        </w:rPr>
        <w:t>:</w:t>
      </w:r>
      <w:r w:rsidRPr="00BD7CEA">
        <w:rPr>
          <w:rFonts w:cs="Tahoma"/>
          <w:szCs w:val="18"/>
        </w:rPr>
        <w:t xml:space="preserve"> Per quanto riguarda le società che a metà del periodo di</w:t>
      </w:r>
      <w:r w:rsidR="004535CD" w:rsidRPr="00BD7CEA">
        <w:rPr>
          <w:rFonts w:cs="Tahoma"/>
          <w:szCs w:val="18"/>
        </w:rPr>
        <w:t> </w:t>
      </w:r>
      <w:r w:rsidRPr="00BD7CEA">
        <w:rPr>
          <w:rFonts w:cs="Tahoma"/>
          <w:szCs w:val="18"/>
        </w:rPr>
        <w:t>validità effettuano la transizione dai contratti Campus e School al contratto Enrollment for Education Solutions o Open Value Subscription-Education Solutions mantenendo la copertura della</w:t>
      </w:r>
      <w:r w:rsidR="004535CD" w:rsidRPr="00BD7CEA">
        <w:rPr>
          <w:rFonts w:cs="Tahoma"/>
          <w:szCs w:val="18"/>
        </w:rPr>
        <w:t> </w:t>
      </w:r>
      <w:r w:rsidRPr="00BD7CEA">
        <w:rPr>
          <w:rFonts w:cs="Tahoma"/>
          <w:szCs w:val="18"/>
        </w:rPr>
        <w:t>sottoscrizione in via continuativa:</w:t>
      </w:r>
    </w:p>
    <w:p w:rsidR="004E0852" w:rsidRPr="00BD7CEA" w:rsidRDefault="004E0852" w:rsidP="007358C5">
      <w:pPr>
        <w:pStyle w:val="ListParagraph"/>
        <w:numPr>
          <w:ilvl w:val="0"/>
          <w:numId w:val="86"/>
        </w:numPr>
        <w:spacing w:after="60"/>
        <w:ind w:left="1980"/>
        <w:contextualSpacing w:val="0"/>
      </w:pPr>
      <w:r w:rsidRPr="00BD7CEA">
        <w:rPr>
          <w:rFonts w:ascii="Tahoma" w:hAnsi="Tahoma" w:cs="Tahoma"/>
          <w:sz w:val="18"/>
          <w:szCs w:val="18"/>
        </w:rPr>
        <w:t>Vengono concessi gli stessi diritti su base temporanea, ai sensi delle medesime condizioni, fino al termine, rispettivamente, del loro contratto Enrollment for Education Solutions o</w:t>
      </w:r>
      <w:r w:rsidR="004535CD" w:rsidRPr="00BD7CEA">
        <w:rPr>
          <w:rFonts w:ascii="Tahoma" w:hAnsi="Tahoma" w:cs="Tahoma"/>
          <w:sz w:val="18"/>
          <w:szCs w:val="18"/>
        </w:rPr>
        <w:t> </w:t>
      </w:r>
      <w:r w:rsidRPr="00BD7CEA">
        <w:rPr>
          <w:rFonts w:ascii="Tahoma" w:hAnsi="Tahoma" w:cs="Tahoma"/>
          <w:sz w:val="18"/>
          <w:szCs w:val="18"/>
        </w:rPr>
        <w:t xml:space="preserve">Open Value Subscription-Education Solutions. </w:t>
      </w:r>
    </w:p>
    <w:p w:rsidR="00BA1490" w:rsidRPr="00BD7CEA" w:rsidRDefault="004E0852" w:rsidP="007358C5">
      <w:pPr>
        <w:pStyle w:val="ListParagraph"/>
        <w:numPr>
          <w:ilvl w:val="0"/>
          <w:numId w:val="86"/>
        </w:numPr>
        <w:spacing w:after="60"/>
        <w:ind w:left="1980"/>
        <w:contextualSpacing w:val="0"/>
      </w:pPr>
      <w:r w:rsidRPr="00BD7CEA">
        <w:rPr>
          <w:rFonts w:ascii="Tahoma" w:hAnsi="Tahoma" w:cs="Tahoma"/>
          <w:sz w:val="18"/>
          <w:szCs w:val="18"/>
        </w:rPr>
        <w:t>Tali diritti diventeranno permanenti soltanto all</w:t>
      </w:r>
      <w:r w:rsidR="007A1415" w:rsidRPr="00BD7CEA">
        <w:rPr>
          <w:rFonts w:ascii="Tahoma" w:hAnsi="Tahoma" w:cs="Tahoma"/>
          <w:sz w:val="18"/>
          <w:szCs w:val="18"/>
        </w:rPr>
        <w:t>’</w:t>
      </w:r>
      <w:r w:rsidRPr="00BD7CEA">
        <w:rPr>
          <w:rFonts w:ascii="Tahoma" w:hAnsi="Tahoma" w:cs="Tahoma"/>
          <w:sz w:val="18"/>
          <w:szCs w:val="18"/>
        </w:rPr>
        <w:t>esercizio dell</w:t>
      </w:r>
      <w:r w:rsidR="007A1415" w:rsidRPr="00BD7CEA">
        <w:rPr>
          <w:rFonts w:ascii="Tahoma" w:hAnsi="Tahoma" w:cs="Tahoma"/>
          <w:sz w:val="18"/>
          <w:szCs w:val="18"/>
        </w:rPr>
        <w:t>’</w:t>
      </w:r>
      <w:r w:rsidRPr="00BD7CEA">
        <w:rPr>
          <w:rFonts w:ascii="Tahoma" w:hAnsi="Tahoma" w:cs="Tahoma"/>
          <w:sz w:val="18"/>
          <w:szCs w:val="18"/>
        </w:rPr>
        <w:t>opzione buy-out e resteranno soggetti a tutte le condizioni del contratto di licenza della società.</w:t>
      </w:r>
      <w:bookmarkStart w:id="1363" w:name="_66_Lync_Server"/>
      <w:bookmarkStart w:id="1364" w:name="_Toc336338327"/>
      <w:bookmarkStart w:id="1365" w:name="Srv_57OfficeCommSvrOnlineStd"/>
      <w:bookmarkEnd w:id="1363"/>
    </w:p>
    <w:p w:rsidR="00586FCE" w:rsidRPr="00BD7CEA" w:rsidRDefault="00586FCE" w:rsidP="003D0252">
      <w:bookmarkStart w:id="1366" w:name="Srv_56MicrosoftDynamicsCRM2011"/>
      <w:bookmarkStart w:id="1367" w:name="Srv_67MicrosoftDynamicsCRM2011"/>
    </w:p>
    <w:p w:rsidR="002512D3" w:rsidRPr="00BD7CEA" w:rsidRDefault="002512D3"/>
    <w:p w:rsidR="00253288" w:rsidRPr="00BD7CEA" w:rsidRDefault="00F66FB0" w:rsidP="00D47417">
      <w:pPr>
        <w:pStyle w:val="Heading3"/>
      </w:pPr>
      <w:bookmarkStart w:id="1368" w:name="_66_Microsoft_Dynamics_1"/>
      <w:bookmarkStart w:id="1369" w:name="_Toc353376104"/>
      <w:bookmarkEnd w:id="1368"/>
      <w:r w:rsidRPr="00BD7CEA">
        <w:rPr>
          <w:rFonts w:ascii="Tahoma" w:hAnsi="Tahoma"/>
          <w:color w:val="F66400"/>
          <w:sz w:val="22"/>
          <w:vertAlign w:val="superscript"/>
        </w:rPr>
        <w:t>66</w:t>
      </w:r>
      <w:r w:rsidRPr="00BD7CEA">
        <w:rPr>
          <w:rFonts w:ascii="Tahoma" w:hAnsi="Tahoma"/>
          <w:color w:val="F66400"/>
          <w:sz w:val="22"/>
        </w:rPr>
        <w:t xml:space="preserve"> Microsoft Dynamics AX 2012</w:t>
      </w:r>
      <w:bookmarkEnd w:id="1364"/>
      <w:r w:rsidRPr="00BD7CEA">
        <w:rPr>
          <w:rFonts w:ascii="Tahoma" w:hAnsi="Tahoma"/>
          <w:color w:val="F66400"/>
          <w:sz w:val="22"/>
        </w:rPr>
        <w:t xml:space="preserve"> R2</w:t>
      </w:r>
      <w:bookmarkEnd w:id="1369"/>
    </w:p>
    <w:p w:rsidR="003D0252" w:rsidRPr="00BD7CEA" w:rsidRDefault="003D0252" w:rsidP="003D0252"/>
    <w:p w:rsidR="00047874" w:rsidRPr="00BD7CEA" w:rsidRDefault="00860CF0" w:rsidP="007B699C">
      <w:pPr>
        <w:spacing w:after="60"/>
        <w:ind w:left="734" w:hanging="14"/>
      </w:pPr>
      <w:r w:rsidRPr="00BD7CEA">
        <w:rPr>
          <w:rFonts w:cs="Tahoma"/>
          <w:b/>
          <w:bCs/>
          <w:szCs w:val="20"/>
        </w:rPr>
        <w:t>Localizzazioni e Traduzioni</w:t>
      </w:r>
    </w:p>
    <w:p w:rsidR="00253288" w:rsidRPr="00BD7CEA" w:rsidRDefault="00047874" w:rsidP="00737831">
      <w:pPr>
        <w:ind w:left="734" w:hanging="14"/>
      </w:pPr>
      <w:r w:rsidRPr="00BD7CEA">
        <w:rPr>
          <w:rFonts w:cs="Tahoma"/>
          <w:color w:val="000000"/>
          <w:szCs w:val="20"/>
        </w:rPr>
        <w:t xml:space="preserve">Microsoft Dynamics AX è localizzato, tradotto e supportato da Microsoft, nonché reso disponibile al pubblico in determinati paesi e lingue. Informazioni sulla disponibilità di traduzioni e localizzazioni Microsoft sono reperibili alla pagina </w:t>
      </w:r>
      <w:hyperlink r:id="rId53" w:history="1">
        <w:r w:rsidRPr="00BD7CEA">
          <w:rPr>
            <w:rFonts w:cs="Tahoma"/>
            <w:color w:val="000000"/>
            <w:szCs w:val="20"/>
          </w:rPr>
          <w:t>http://www.microsoft.com/en-us/dynamics/erp-explore-ax-capabilities.aspx</w:t>
        </w:r>
      </w:hyperlink>
      <w:r w:rsidRPr="00BD7CEA">
        <w:rPr>
          <w:rFonts w:cs="Tahoma"/>
          <w:color w:val="000000"/>
          <w:szCs w:val="20"/>
        </w:rPr>
        <w:t>.</w:t>
      </w:r>
    </w:p>
    <w:p w:rsidR="00860CF0" w:rsidRPr="00BD7CEA" w:rsidRDefault="00860CF0" w:rsidP="00737831">
      <w:pPr>
        <w:ind w:left="720"/>
      </w:pPr>
    </w:p>
    <w:p w:rsidR="004535CD" w:rsidRPr="00BD7CEA" w:rsidRDefault="00860CF0" w:rsidP="005204B6">
      <w:pPr>
        <w:pStyle w:val="PURBody-Indented"/>
        <w:spacing w:after="0"/>
        <w:ind w:left="720"/>
      </w:pPr>
      <w:r w:rsidRPr="00BD7CEA">
        <w:rPr>
          <w:rFonts w:ascii="Tahoma" w:hAnsi="Tahoma" w:cs="Tahoma"/>
          <w:color w:val="000000"/>
          <w:spacing w:val="-2"/>
          <w:sz w:val="18"/>
        </w:rPr>
        <w:t>Microsoft comprende che in talune circostanze la società desideri utilizzare determinati moduli o funzionalità, localizzati e/o tradotti per uno specifico Paese, al di fuori di esso.</w:t>
      </w:r>
      <w:r w:rsidR="008D782D" w:rsidRPr="00BD7CEA">
        <w:rPr>
          <w:rFonts w:ascii="Tahoma" w:hAnsi="Tahoma" w:cs="Tahoma"/>
          <w:color w:val="000000"/>
          <w:spacing w:val="-2"/>
          <w:sz w:val="18"/>
        </w:rPr>
        <w:t xml:space="preserve"> </w:t>
      </w:r>
      <w:r w:rsidRPr="00BD7CEA">
        <w:rPr>
          <w:rFonts w:ascii="Tahoma" w:hAnsi="Tahoma" w:cs="Tahoma"/>
          <w:color w:val="000000"/>
          <w:spacing w:val="-2"/>
          <w:sz w:val="18"/>
        </w:rPr>
        <w:t>Poiché leggi e regolamenti variano da Paese a Paese, le differenze normative potrebbero influire sull</w:t>
      </w:r>
      <w:r w:rsidR="007A1415" w:rsidRPr="00BD7CEA">
        <w:rPr>
          <w:rFonts w:ascii="Tahoma" w:hAnsi="Tahoma" w:cs="Tahoma"/>
          <w:color w:val="000000"/>
          <w:spacing w:val="-2"/>
          <w:sz w:val="18"/>
        </w:rPr>
        <w:t>’</w:t>
      </w:r>
      <w:r w:rsidRPr="00BD7CEA">
        <w:rPr>
          <w:rFonts w:ascii="Tahoma" w:hAnsi="Tahoma" w:cs="Tahoma"/>
          <w:color w:val="000000"/>
          <w:spacing w:val="-2"/>
          <w:sz w:val="18"/>
        </w:rPr>
        <w:t>utilizzo della funzionalità desiderata in Paesi per i quali non è stata creata.</w:t>
      </w:r>
      <w:r w:rsidR="008D782D" w:rsidRPr="00BD7CEA">
        <w:rPr>
          <w:rFonts w:ascii="Tahoma" w:hAnsi="Tahoma" w:cs="Tahoma"/>
          <w:color w:val="000000"/>
          <w:spacing w:val="-2"/>
          <w:sz w:val="18"/>
        </w:rPr>
        <w:t xml:space="preserve"> </w:t>
      </w:r>
      <w:r w:rsidRPr="00BD7CEA">
        <w:rPr>
          <w:rFonts w:ascii="Tahoma" w:hAnsi="Tahoma" w:cs="Tahoma"/>
          <w:color w:val="000000"/>
          <w:spacing w:val="-2"/>
          <w:sz w:val="18"/>
        </w:rPr>
        <w:t>Microsoft non fornisce alcuna dichiarazione o garanzia (espressa, implicita o</w:t>
      </w:r>
      <w:r w:rsidR="004535CD" w:rsidRPr="00BD7CEA">
        <w:rPr>
          <w:rFonts w:ascii="Tahoma" w:hAnsi="Tahoma" w:cs="Tahoma"/>
          <w:color w:val="000000"/>
          <w:spacing w:val="-2"/>
          <w:sz w:val="18"/>
        </w:rPr>
        <w:t> </w:t>
      </w:r>
      <w:r w:rsidRPr="00BD7CEA">
        <w:rPr>
          <w:rFonts w:ascii="Tahoma" w:hAnsi="Tahoma" w:cs="Tahoma"/>
          <w:color w:val="000000"/>
          <w:spacing w:val="-2"/>
          <w:sz w:val="18"/>
        </w:rPr>
        <w:t>altro) né assicurazione sulle prestazioni o sull</w:t>
      </w:r>
      <w:r w:rsidR="007A1415" w:rsidRPr="00BD7CEA">
        <w:rPr>
          <w:rFonts w:ascii="Tahoma" w:hAnsi="Tahoma" w:cs="Tahoma"/>
          <w:color w:val="000000"/>
          <w:spacing w:val="-2"/>
          <w:sz w:val="18"/>
        </w:rPr>
        <w:t>’</w:t>
      </w:r>
      <w:r w:rsidRPr="00BD7CEA">
        <w:rPr>
          <w:rFonts w:ascii="Tahoma" w:hAnsi="Tahoma" w:cs="Tahoma"/>
          <w:color w:val="000000"/>
          <w:spacing w:val="-2"/>
          <w:sz w:val="18"/>
        </w:rPr>
        <w:t>idoneità di qualsiasi versione localizzata e/o tradotta del software (inclusi i servizi online disponibili tramite tale software) utilizzato al di fuori del territorio per il quale è stato creato e in cui Microsoft normalmente commercializza tali software e servizi.</w:t>
      </w:r>
      <w:r w:rsidR="008D782D" w:rsidRPr="00BD7CEA">
        <w:rPr>
          <w:rFonts w:ascii="Tahoma" w:hAnsi="Tahoma" w:cs="Tahoma"/>
          <w:color w:val="000000"/>
          <w:spacing w:val="-2"/>
          <w:sz w:val="18"/>
        </w:rPr>
        <w:t xml:space="preserve"> </w:t>
      </w:r>
      <w:r w:rsidRPr="00BD7CEA">
        <w:rPr>
          <w:rFonts w:ascii="Tahoma" w:hAnsi="Tahoma" w:cs="Tahoma"/>
          <w:color w:val="000000"/>
          <w:spacing w:val="-2"/>
          <w:sz w:val="18"/>
        </w:rPr>
        <w:t>Verificare con un esperto locale in materia fiscale se sia opportuno utilizzare in tale Paese la funzionalità del software desiderata.</w:t>
      </w:r>
    </w:p>
    <w:p w:rsidR="00253288" w:rsidRPr="00BD7CEA" w:rsidRDefault="00047874" w:rsidP="007B699C">
      <w:pPr>
        <w:spacing w:after="60"/>
        <w:ind w:left="734" w:hanging="187"/>
      </w:pPr>
      <w:r w:rsidRPr="00BD7CEA">
        <w:rPr>
          <w:rFonts w:cs="Tahoma"/>
          <w:b/>
          <w:bCs/>
          <w:szCs w:val="20"/>
        </w:rPr>
        <w:lastRenderedPageBreak/>
        <w:t>Diritti sull</w:t>
      </w:r>
      <w:r w:rsidR="007A1415" w:rsidRPr="00BD7CEA">
        <w:rPr>
          <w:rFonts w:cs="Tahoma"/>
          <w:b/>
          <w:bCs/>
          <w:szCs w:val="20"/>
        </w:rPr>
        <w:t>’</w:t>
      </w:r>
      <w:r w:rsidRPr="00BD7CEA">
        <w:rPr>
          <w:rFonts w:cs="Tahoma"/>
          <w:b/>
          <w:bCs/>
          <w:szCs w:val="20"/>
        </w:rPr>
        <w:t>utilizzo delle Licenze CAL</w:t>
      </w:r>
    </w:p>
    <w:p w:rsidR="00047874" w:rsidRPr="00BD7CEA" w:rsidRDefault="00047874" w:rsidP="00E62BC4">
      <w:pPr>
        <w:ind w:left="720" w:hanging="180"/>
      </w:pPr>
      <w:r w:rsidRPr="00BD7CEA">
        <w:rPr>
          <w:rFonts w:eastAsia="Calibri" w:cs="Tahoma"/>
          <w:szCs w:val="18"/>
        </w:rPr>
        <w:t>Gli utilizzi autorizzati ai sensi delle diverse licenze CAL per Microsoft Dynamics AX 2012 R2 sono delineati nella seguente tabella:</w:t>
      </w:r>
    </w:p>
    <w:p w:rsidR="00047874" w:rsidRPr="00BD7CEA" w:rsidRDefault="00047874" w:rsidP="00944DAD">
      <w:pPr>
        <w:ind w:firstLine="540"/>
      </w:pPr>
    </w:p>
    <w:p w:rsidR="00047874" w:rsidRPr="00BD7CEA" w:rsidRDefault="00047874" w:rsidP="007358C5">
      <w:pPr>
        <w:numPr>
          <w:ilvl w:val="1"/>
          <w:numId w:val="65"/>
        </w:numPr>
        <w:tabs>
          <w:tab w:val="clear" w:pos="1440"/>
          <w:tab w:val="num" w:pos="900"/>
        </w:tabs>
        <w:autoSpaceDE w:val="0"/>
        <w:autoSpaceDN w:val="0"/>
        <w:adjustRightInd w:val="0"/>
        <w:ind w:left="900" w:right="720"/>
      </w:pPr>
      <w:r w:rsidRPr="00BD7CEA">
        <w:rPr>
          <w:rFonts w:eastAsia="Calibri" w:cs="Tahoma"/>
          <w:b/>
          <w:szCs w:val="18"/>
        </w:rPr>
        <w:t>Self-Serve CAL (CAL Base)</w:t>
      </w:r>
    </w:p>
    <w:p w:rsidR="00047874" w:rsidRPr="00BD7CEA" w:rsidRDefault="00047874" w:rsidP="00713397">
      <w:pPr>
        <w:numPr>
          <w:ilvl w:val="1"/>
          <w:numId w:val="87"/>
        </w:numPr>
        <w:autoSpaceDE w:val="0"/>
        <w:autoSpaceDN w:val="0"/>
        <w:adjustRightInd w:val="0"/>
        <w:ind w:left="1339" w:right="720"/>
      </w:pPr>
      <w:r w:rsidRPr="00BD7CEA">
        <w:rPr>
          <w:rFonts w:eastAsia="Calibri" w:cs="Tahoma"/>
          <w:szCs w:val="18"/>
        </w:rPr>
        <w:t>creazione di note spese;</w:t>
      </w:r>
    </w:p>
    <w:p w:rsidR="00047874" w:rsidRPr="00BD7CEA" w:rsidRDefault="00047874" w:rsidP="00713397">
      <w:pPr>
        <w:numPr>
          <w:ilvl w:val="1"/>
          <w:numId w:val="87"/>
        </w:numPr>
        <w:autoSpaceDE w:val="0"/>
        <w:autoSpaceDN w:val="0"/>
        <w:adjustRightInd w:val="0"/>
        <w:ind w:left="1339" w:right="720"/>
      </w:pPr>
      <w:r w:rsidRPr="00BD7CEA">
        <w:rPr>
          <w:rFonts w:eastAsia="Calibri" w:cs="Tahoma"/>
          <w:szCs w:val="18"/>
        </w:rPr>
        <w:t>gestione di dati personali, ad esempio le iscrizioni ai vantaggi;</w:t>
      </w:r>
    </w:p>
    <w:p w:rsidR="00047874" w:rsidRPr="00BD7CEA" w:rsidRDefault="00047874" w:rsidP="00713397">
      <w:pPr>
        <w:numPr>
          <w:ilvl w:val="1"/>
          <w:numId w:val="87"/>
        </w:numPr>
        <w:autoSpaceDE w:val="0"/>
        <w:autoSpaceDN w:val="0"/>
        <w:adjustRightInd w:val="0"/>
        <w:ind w:left="1339" w:right="720"/>
      </w:pPr>
      <w:r w:rsidRPr="00BD7CEA">
        <w:rPr>
          <w:rFonts w:eastAsia="Calibri" w:cs="Tahoma"/>
          <w:szCs w:val="18"/>
        </w:rPr>
        <w:t>creazione di voci relative a orari e presenze, ad esempio registrazione delle ore di entrata e</w:t>
      </w:r>
      <w:r w:rsidR="004535CD" w:rsidRPr="00BD7CEA">
        <w:rPr>
          <w:rFonts w:eastAsia="Calibri" w:cs="Tahoma"/>
          <w:szCs w:val="18"/>
        </w:rPr>
        <w:t> </w:t>
      </w:r>
      <w:r w:rsidRPr="00BD7CEA">
        <w:rPr>
          <w:rFonts w:eastAsia="Calibri" w:cs="Tahoma"/>
          <w:szCs w:val="18"/>
        </w:rPr>
        <w:t>di uscita;</w:t>
      </w:r>
    </w:p>
    <w:p w:rsidR="00047874" w:rsidRPr="00BD7CEA" w:rsidRDefault="00047874" w:rsidP="00713397">
      <w:pPr>
        <w:numPr>
          <w:ilvl w:val="1"/>
          <w:numId w:val="87"/>
        </w:numPr>
        <w:autoSpaceDE w:val="0"/>
        <w:autoSpaceDN w:val="0"/>
        <w:adjustRightInd w:val="0"/>
        <w:ind w:left="1339" w:right="720"/>
      </w:pPr>
      <w:r w:rsidRPr="00BD7CEA">
        <w:rPr>
          <w:rFonts w:eastAsia="Calibri" w:cs="Tahoma"/>
          <w:szCs w:val="18"/>
        </w:rPr>
        <w:t>inserimento di richieste di servizio dei dipendenti;</w:t>
      </w:r>
    </w:p>
    <w:p w:rsidR="00047874" w:rsidRPr="00BD7CEA" w:rsidRDefault="00047874" w:rsidP="00713397">
      <w:pPr>
        <w:numPr>
          <w:ilvl w:val="1"/>
          <w:numId w:val="87"/>
        </w:numPr>
        <w:autoSpaceDE w:val="0"/>
        <w:autoSpaceDN w:val="0"/>
        <w:adjustRightInd w:val="0"/>
        <w:ind w:left="1339" w:right="720"/>
      </w:pPr>
      <w:r w:rsidRPr="00BD7CEA">
        <w:rPr>
          <w:rFonts w:eastAsia="Calibri" w:cs="Tahoma"/>
          <w:szCs w:val="18"/>
        </w:rPr>
        <w:t>preparazione di richieste indirette di approvvigionamento di prodotti o servizi per l</w:t>
      </w:r>
      <w:r w:rsidR="007A1415" w:rsidRPr="00BD7CEA">
        <w:rPr>
          <w:rFonts w:eastAsia="Calibri" w:cs="Tahoma"/>
          <w:szCs w:val="18"/>
        </w:rPr>
        <w:t>’</w:t>
      </w:r>
      <w:r w:rsidRPr="00BD7CEA">
        <w:rPr>
          <w:rFonts w:eastAsia="Calibri" w:cs="Tahoma"/>
          <w:szCs w:val="18"/>
        </w:rPr>
        <w:t>utente-dipendente, ad esempio viaggi, attrezzatura per l</w:t>
      </w:r>
      <w:r w:rsidR="007A1415" w:rsidRPr="00BD7CEA">
        <w:rPr>
          <w:rFonts w:eastAsia="Calibri" w:cs="Tahoma"/>
          <w:szCs w:val="18"/>
        </w:rPr>
        <w:t>’</w:t>
      </w:r>
      <w:r w:rsidRPr="00BD7CEA">
        <w:rPr>
          <w:rFonts w:eastAsia="Calibri" w:cs="Tahoma"/>
          <w:szCs w:val="18"/>
        </w:rPr>
        <w:t>ufficio, cancelleria e/o e di richieste di aggiunta o iscrizione di fornitori.</w:t>
      </w:r>
      <w:r w:rsidRPr="00BD7CEA">
        <w:rPr>
          <w:rFonts w:eastAsia="Calibri" w:cs="Tahoma"/>
          <w:szCs w:val="18"/>
        </w:rPr>
        <w:br/>
      </w:r>
    </w:p>
    <w:p w:rsidR="00047874" w:rsidRPr="00BD7CEA" w:rsidRDefault="00047874" w:rsidP="007358C5">
      <w:pPr>
        <w:numPr>
          <w:ilvl w:val="0"/>
          <w:numId w:val="87"/>
        </w:numPr>
        <w:autoSpaceDE w:val="0"/>
        <w:autoSpaceDN w:val="0"/>
        <w:adjustRightInd w:val="0"/>
        <w:ind w:left="900" w:right="720"/>
      </w:pPr>
      <w:r w:rsidRPr="00BD7CEA">
        <w:rPr>
          <w:rFonts w:eastAsia="Calibri" w:cs="Tahoma"/>
          <w:b/>
          <w:szCs w:val="18"/>
        </w:rPr>
        <w:t>Task CAL (Self-Serve CAL + Task Additive CAL)</w:t>
      </w:r>
    </w:p>
    <w:p w:rsidR="00B10F79" w:rsidRPr="00BD7CEA" w:rsidRDefault="00B10F79" w:rsidP="00713397">
      <w:pPr>
        <w:numPr>
          <w:ilvl w:val="1"/>
          <w:numId w:val="87"/>
        </w:numPr>
        <w:ind w:left="1339" w:right="720"/>
      </w:pPr>
      <w:r w:rsidRPr="00BD7CEA">
        <w:rPr>
          <w:rFonts w:eastAsia="Calibri" w:cs="Tahoma"/>
          <w:szCs w:val="18"/>
        </w:rPr>
        <w:t>inclusione dei diritti sull</w:t>
      </w:r>
      <w:r w:rsidR="007A1415" w:rsidRPr="00BD7CEA">
        <w:rPr>
          <w:rFonts w:eastAsia="Calibri" w:cs="Tahoma"/>
          <w:szCs w:val="18"/>
        </w:rPr>
        <w:t>’</w:t>
      </w:r>
      <w:r w:rsidRPr="00BD7CEA">
        <w:rPr>
          <w:rFonts w:eastAsia="Calibri" w:cs="Tahoma"/>
          <w:szCs w:val="18"/>
        </w:rPr>
        <w:t>utilizzo di Self-Serve CAL</w:t>
      </w:r>
    </w:p>
    <w:p w:rsidR="00047874" w:rsidRPr="00BD7CEA" w:rsidRDefault="00B10F79" w:rsidP="00713397">
      <w:pPr>
        <w:numPr>
          <w:ilvl w:val="1"/>
          <w:numId w:val="87"/>
        </w:numPr>
        <w:ind w:left="1339" w:right="720"/>
      </w:pPr>
      <w:r w:rsidRPr="00BD7CEA">
        <w:rPr>
          <w:rFonts w:eastAsia="Calibri" w:cs="Tahoma"/>
          <w:szCs w:val="18"/>
        </w:rPr>
        <w:t>inserimento del tempo fatturabile;</w:t>
      </w:r>
    </w:p>
    <w:p w:rsidR="00047874" w:rsidRPr="00BD7CEA" w:rsidRDefault="00B10F79" w:rsidP="00713397">
      <w:pPr>
        <w:numPr>
          <w:ilvl w:val="1"/>
          <w:numId w:val="87"/>
        </w:numPr>
        <w:ind w:left="1339" w:right="720"/>
      </w:pPr>
      <w:r w:rsidRPr="00BD7CEA">
        <w:rPr>
          <w:rFonts w:eastAsia="Calibri" w:cs="Tahoma"/>
          <w:szCs w:val="18"/>
        </w:rPr>
        <w:t>inserimento delle spese fatturabili;</w:t>
      </w:r>
    </w:p>
    <w:p w:rsidR="00047874" w:rsidRPr="00BD7CEA" w:rsidRDefault="00B10F79" w:rsidP="00713397">
      <w:pPr>
        <w:numPr>
          <w:ilvl w:val="1"/>
          <w:numId w:val="87"/>
        </w:numPr>
        <w:ind w:left="1339" w:right="720"/>
      </w:pPr>
      <w:r w:rsidRPr="00BD7CEA">
        <w:rPr>
          <w:rFonts w:eastAsia="Calibri" w:cs="Tahoma"/>
          <w:szCs w:val="18"/>
        </w:rPr>
        <w:t>gestione delle revisioni annuali e delle prestazioni, della definizione degli obiettivi e delle competenze;</w:t>
      </w:r>
    </w:p>
    <w:p w:rsidR="00047874" w:rsidRPr="00BD7CEA" w:rsidRDefault="00B10F79" w:rsidP="00713397">
      <w:pPr>
        <w:numPr>
          <w:ilvl w:val="1"/>
          <w:numId w:val="87"/>
        </w:numPr>
        <w:ind w:left="1339" w:right="720"/>
      </w:pPr>
      <w:r w:rsidRPr="00BD7CEA">
        <w:rPr>
          <w:rFonts w:eastAsia="Calibri" w:cs="Tahoma"/>
          <w:szCs w:val="18"/>
        </w:rPr>
        <w:t>funzionamento di un dispositivo per punto di vendita al dettaglio;</w:t>
      </w:r>
    </w:p>
    <w:p w:rsidR="00047874" w:rsidRPr="00BD7CEA" w:rsidRDefault="00B10F79" w:rsidP="00713397">
      <w:pPr>
        <w:numPr>
          <w:ilvl w:val="1"/>
          <w:numId w:val="87"/>
        </w:numPr>
        <w:ind w:left="1339" w:right="720"/>
      </w:pPr>
      <w:r w:rsidRPr="00BD7CEA">
        <w:rPr>
          <w:rFonts w:eastAsia="Calibri" w:cs="Tahoma"/>
          <w:szCs w:val="18"/>
        </w:rPr>
        <w:t>approvazione di fatture relative all</w:t>
      </w:r>
      <w:r w:rsidR="007A1415" w:rsidRPr="00BD7CEA">
        <w:rPr>
          <w:rFonts w:eastAsia="Calibri" w:cs="Tahoma"/>
          <w:szCs w:val="18"/>
        </w:rPr>
        <w:t>’</w:t>
      </w:r>
      <w:r w:rsidRPr="00BD7CEA">
        <w:rPr>
          <w:rFonts w:eastAsia="Calibri" w:cs="Tahoma"/>
          <w:szCs w:val="18"/>
        </w:rPr>
        <w:t>approvvigionamento indiretto e</w:t>
      </w:r>
    </w:p>
    <w:p w:rsidR="00047874" w:rsidRPr="00BD7CEA" w:rsidRDefault="00047874" w:rsidP="00713397">
      <w:pPr>
        <w:numPr>
          <w:ilvl w:val="1"/>
          <w:numId w:val="87"/>
        </w:numPr>
        <w:ind w:left="1339" w:right="720"/>
      </w:pPr>
      <w:r w:rsidRPr="00BD7CEA">
        <w:rPr>
          <w:rFonts w:eastAsia="Calibri" w:cs="Tahoma"/>
          <w:szCs w:val="18"/>
        </w:rPr>
        <w:t>gli utenti in possesso di Task CAL non possono eseguire le approvazioni del flusso di lavoro.</w:t>
      </w:r>
      <w:r w:rsidRPr="00BD7CEA">
        <w:rPr>
          <w:szCs w:val="18"/>
        </w:rPr>
        <w:t xml:space="preserve"> </w:t>
      </w:r>
    </w:p>
    <w:p w:rsidR="00047874" w:rsidRPr="00BD7CEA" w:rsidRDefault="00047874" w:rsidP="00944DAD">
      <w:pPr>
        <w:autoSpaceDE w:val="0"/>
        <w:autoSpaceDN w:val="0"/>
        <w:adjustRightInd w:val="0"/>
        <w:ind w:left="1260" w:right="720"/>
      </w:pPr>
    </w:p>
    <w:p w:rsidR="00047874" w:rsidRPr="00BD7CEA" w:rsidRDefault="00047874" w:rsidP="007358C5">
      <w:pPr>
        <w:numPr>
          <w:ilvl w:val="0"/>
          <w:numId w:val="87"/>
        </w:numPr>
        <w:ind w:left="900" w:right="720"/>
      </w:pPr>
      <w:r w:rsidRPr="00BD7CEA">
        <w:rPr>
          <w:rFonts w:eastAsia="Calibri" w:cs="Tahoma"/>
          <w:b/>
          <w:szCs w:val="18"/>
        </w:rPr>
        <w:t>Functional CAL (Task CAL + Functional Additive CAL)</w:t>
      </w:r>
    </w:p>
    <w:p w:rsidR="00B10F79" w:rsidRPr="00BD7CEA" w:rsidRDefault="00B10F79" w:rsidP="00713397">
      <w:pPr>
        <w:numPr>
          <w:ilvl w:val="1"/>
          <w:numId w:val="87"/>
        </w:numPr>
        <w:ind w:left="1339" w:right="720"/>
      </w:pPr>
      <w:r w:rsidRPr="00BD7CEA">
        <w:rPr>
          <w:rFonts w:eastAsia="Calibri" w:cs="Tahoma"/>
          <w:szCs w:val="18"/>
        </w:rPr>
        <w:t>inclusione dei diritti sull</w:t>
      </w:r>
      <w:r w:rsidR="007A1415" w:rsidRPr="00BD7CEA">
        <w:rPr>
          <w:rFonts w:eastAsia="Calibri" w:cs="Tahoma"/>
          <w:szCs w:val="18"/>
        </w:rPr>
        <w:t>’</w:t>
      </w:r>
      <w:r w:rsidRPr="00BD7CEA">
        <w:rPr>
          <w:rFonts w:eastAsia="Calibri" w:cs="Tahoma"/>
          <w:szCs w:val="18"/>
        </w:rPr>
        <w:t>utilizzo di Task CAL</w:t>
      </w:r>
    </w:p>
    <w:p w:rsidR="00047874" w:rsidRPr="00BD7CEA" w:rsidRDefault="00B10F79" w:rsidP="00713397">
      <w:pPr>
        <w:numPr>
          <w:ilvl w:val="1"/>
          <w:numId w:val="87"/>
        </w:numPr>
        <w:ind w:left="1339" w:right="720"/>
      </w:pPr>
      <w:r w:rsidRPr="00BD7CEA">
        <w:rPr>
          <w:rFonts w:eastAsia="Calibri" w:cs="Tahoma"/>
          <w:szCs w:val="18"/>
        </w:rPr>
        <w:t>gestione di uno Shop Floor in un ciclo di produzione o fabbricazione;</w:t>
      </w:r>
    </w:p>
    <w:p w:rsidR="00047874" w:rsidRPr="00BD7CEA" w:rsidRDefault="00B10F79" w:rsidP="00713397">
      <w:pPr>
        <w:numPr>
          <w:ilvl w:val="1"/>
          <w:numId w:val="87"/>
        </w:numPr>
        <w:ind w:left="1339" w:right="720"/>
      </w:pPr>
      <w:r w:rsidRPr="00BD7CEA">
        <w:rPr>
          <w:rFonts w:eastAsia="Calibri" w:cs="Tahoma"/>
          <w:szCs w:val="18"/>
        </w:rPr>
        <w:t>gestione di progetti e risorse;</w:t>
      </w:r>
    </w:p>
    <w:p w:rsidR="00047874" w:rsidRPr="00BD7CEA" w:rsidRDefault="00B10F79" w:rsidP="00713397">
      <w:pPr>
        <w:numPr>
          <w:ilvl w:val="1"/>
          <w:numId w:val="87"/>
        </w:numPr>
        <w:ind w:left="1339" w:right="720"/>
      </w:pPr>
      <w:r w:rsidRPr="00BD7CEA">
        <w:rPr>
          <w:rFonts w:eastAsia="Calibri" w:cs="Tahoma"/>
          <w:szCs w:val="18"/>
        </w:rPr>
        <w:t>gestione di cicli di risorse umane;</w:t>
      </w:r>
    </w:p>
    <w:p w:rsidR="00047874" w:rsidRPr="00BD7CEA" w:rsidRDefault="00B10F79" w:rsidP="00713397">
      <w:pPr>
        <w:numPr>
          <w:ilvl w:val="1"/>
          <w:numId w:val="87"/>
        </w:numPr>
        <w:ind w:left="1339" w:right="720"/>
      </w:pPr>
      <w:r w:rsidRPr="00BD7CEA">
        <w:rPr>
          <w:rFonts w:eastAsia="Calibri" w:cs="Tahoma"/>
          <w:szCs w:val="18"/>
        </w:rPr>
        <w:t>gestione di trasferimenti di budget e richieste organizzative;</w:t>
      </w:r>
    </w:p>
    <w:p w:rsidR="00047874" w:rsidRPr="00BD7CEA" w:rsidRDefault="00B10F79" w:rsidP="00713397">
      <w:pPr>
        <w:numPr>
          <w:ilvl w:val="1"/>
          <w:numId w:val="87"/>
        </w:numPr>
        <w:ind w:left="1339" w:right="720"/>
      </w:pPr>
      <w:r w:rsidRPr="00BD7CEA">
        <w:rPr>
          <w:rFonts w:eastAsia="Calibri" w:cs="Tahoma"/>
          <w:szCs w:val="18"/>
        </w:rPr>
        <w:t>creazione di record di dati master per candidati o impiegati;</w:t>
      </w:r>
    </w:p>
    <w:p w:rsidR="00047874" w:rsidRPr="00BD7CEA" w:rsidRDefault="00B10F79" w:rsidP="00713397">
      <w:pPr>
        <w:numPr>
          <w:ilvl w:val="1"/>
          <w:numId w:val="87"/>
        </w:numPr>
        <w:ind w:left="1339" w:right="720"/>
      </w:pPr>
      <w:r w:rsidRPr="00BD7CEA">
        <w:rPr>
          <w:rFonts w:eastAsia="Calibri" w:cs="Tahoma"/>
          <w:szCs w:val="18"/>
        </w:rPr>
        <w:t xml:space="preserve">creazione di richieste di copertura di mansioni o posizioni; </w:t>
      </w:r>
    </w:p>
    <w:p w:rsidR="00047874" w:rsidRPr="00BD7CEA" w:rsidRDefault="00B10F79" w:rsidP="00713397">
      <w:pPr>
        <w:numPr>
          <w:ilvl w:val="1"/>
          <w:numId w:val="87"/>
        </w:numPr>
        <w:ind w:left="1339" w:right="720"/>
      </w:pPr>
      <w:r w:rsidRPr="00BD7CEA">
        <w:rPr>
          <w:rFonts w:eastAsia="Calibri" w:cs="Tahoma"/>
          <w:szCs w:val="18"/>
        </w:rPr>
        <w:t xml:space="preserve">escalation o richiesta di approvazioni di fatture relative a clienti; </w:t>
      </w:r>
    </w:p>
    <w:p w:rsidR="00047874" w:rsidRPr="00BD7CEA" w:rsidRDefault="00B10F79" w:rsidP="00713397">
      <w:pPr>
        <w:numPr>
          <w:ilvl w:val="1"/>
          <w:numId w:val="87"/>
        </w:numPr>
        <w:ind w:left="1339" w:right="720"/>
      </w:pPr>
      <w:r w:rsidRPr="00BD7CEA">
        <w:rPr>
          <w:rFonts w:eastAsia="Calibri" w:cs="Tahoma"/>
          <w:szCs w:val="18"/>
        </w:rPr>
        <w:t>approvazione di fatture fornitori o giustificativi per servizi resi;</w:t>
      </w:r>
    </w:p>
    <w:p w:rsidR="00047874" w:rsidRPr="00BD7CEA" w:rsidRDefault="00B10F79" w:rsidP="00713397">
      <w:pPr>
        <w:numPr>
          <w:ilvl w:val="1"/>
          <w:numId w:val="87"/>
        </w:numPr>
        <w:ind w:left="1339" w:right="720"/>
      </w:pPr>
      <w:r w:rsidRPr="00BD7CEA">
        <w:rPr>
          <w:rFonts w:eastAsia="Calibri" w:cs="Tahoma"/>
          <w:szCs w:val="18"/>
        </w:rPr>
        <w:t>creazione e gestione di record di dati master relativi a società, fornitori, inventario o</w:t>
      </w:r>
      <w:r w:rsidR="004535CD" w:rsidRPr="00BD7CEA">
        <w:rPr>
          <w:rFonts w:eastAsia="Calibri" w:cs="Tahoma"/>
          <w:szCs w:val="18"/>
        </w:rPr>
        <w:t> </w:t>
      </w:r>
      <w:r w:rsidRPr="00BD7CEA">
        <w:rPr>
          <w:rFonts w:eastAsia="Calibri" w:cs="Tahoma"/>
          <w:szCs w:val="18"/>
        </w:rPr>
        <w:t>cataloghi di prodotti e/o</w:t>
      </w:r>
    </w:p>
    <w:p w:rsidR="00047874" w:rsidRPr="00BD7CEA" w:rsidRDefault="00B10F79" w:rsidP="00713397">
      <w:pPr>
        <w:numPr>
          <w:ilvl w:val="1"/>
          <w:numId w:val="87"/>
        </w:numPr>
        <w:ind w:left="1339" w:right="720"/>
      </w:pPr>
      <w:r w:rsidRPr="00BD7CEA">
        <w:rPr>
          <w:rFonts w:eastAsia="Calibri" w:cs="Tahoma"/>
          <w:szCs w:val="18"/>
        </w:rPr>
        <w:t>approvazione di richieste di utenti in possesso di Self-Serve CAL o Task CAL.</w:t>
      </w:r>
    </w:p>
    <w:p w:rsidR="00047874" w:rsidRPr="00BD7CEA" w:rsidRDefault="00047874" w:rsidP="00B20F02">
      <w:pPr>
        <w:autoSpaceDE w:val="0"/>
        <w:autoSpaceDN w:val="0"/>
        <w:adjustRightInd w:val="0"/>
        <w:ind w:left="1260" w:right="720" w:hanging="360"/>
      </w:pPr>
    </w:p>
    <w:p w:rsidR="00047874" w:rsidRPr="00BD7CEA" w:rsidRDefault="00047874" w:rsidP="007358C5">
      <w:pPr>
        <w:numPr>
          <w:ilvl w:val="0"/>
          <w:numId w:val="87"/>
        </w:numPr>
        <w:ind w:left="900" w:right="720"/>
      </w:pPr>
      <w:r w:rsidRPr="00BD7CEA">
        <w:rPr>
          <w:rFonts w:eastAsia="Calibri" w:cs="Tahoma"/>
          <w:b/>
          <w:szCs w:val="18"/>
        </w:rPr>
        <w:t>Enterprise CAL (Functional CAL + Enterprise Additive CAL)</w:t>
      </w:r>
    </w:p>
    <w:p w:rsidR="00047874" w:rsidRPr="00BD7CEA" w:rsidRDefault="00047874" w:rsidP="00713397">
      <w:pPr>
        <w:numPr>
          <w:ilvl w:val="1"/>
          <w:numId w:val="87"/>
        </w:numPr>
        <w:ind w:left="1339" w:right="720"/>
      </w:pPr>
      <w:r w:rsidRPr="00BD7CEA">
        <w:rPr>
          <w:rFonts w:eastAsia="Calibri" w:cs="Tahoma"/>
          <w:szCs w:val="18"/>
        </w:rPr>
        <w:t>Diritti di Utilizzo Completo</w:t>
      </w:r>
    </w:p>
    <w:p w:rsidR="00047874" w:rsidRPr="00BD7CEA" w:rsidRDefault="00047874" w:rsidP="00944DAD">
      <w:pPr>
        <w:autoSpaceDE w:val="0"/>
        <w:autoSpaceDN w:val="0"/>
        <w:adjustRightInd w:val="0"/>
        <w:ind w:left="900" w:right="720"/>
      </w:pPr>
    </w:p>
    <w:p w:rsidR="00047874" w:rsidRPr="00BD7CEA" w:rsidRDefault="00047874" w:rsidP="00944DAD">
      <w:pPr>
        <w:autoSpaceDE w:val="0"/>
        <w:autoSpaceDN w:val="0"/>
        <w:adjustRightInd w:val="0"/>
        <w:ind w:left="720" w:right="720"/>
      </w:pPr>
      <w:r w:rsidRPr="00BD7CEA">
        <w:rPr>
          <w:rFonts w:eastAsia="Calibri" w:cs="Tahoma"/>
          <w:szCs w:val="18"/>
        </w:rPr>
        <w:t xml:space="preserve">Per una maggiore granularità e comprensione delle licenze CAL richieste fare riferimento alla Guida relativa alle Licenze per Microsoft Dynamics AX 2012 R2 di luglio 2012 disponibile sul sito </w:t>
      </w:r>
      <w:hyperlink r:id="rId54" w:history="1">
        <w:r w:rsidRPr="00BD7CEA">
          <w:rPr>
            <w:rStyle w:val="Hyperlink"/>
            <w:rFonts w:eastAsia="Calibri" w:cs="Tahoma"/>
            <w:szCs w:val="18"/>
          </w:rPr>
          <w:t>www.microsoft.com</w:t>
        </w:r>
      </w:hyperlink>
      <w:r w:rsidRPr="00BD7CEA">
        <w:rPr>
          <w:rFonts w:eastAsia="Calibri" w:cs="Tahoma"/>
          <w:szCs w:val="18"/>
        </w:rPr>
        <w:t>.</w:t>
      </w:r>
    </w:p>
    <w:p w:rsidR="00A6185F" w:rsidRPr="00BD7CEA" w:rsidRDefault="00A6185F" w:rsidP="00A6185F">
      <w:pPr>
        <w:ind w:left="720" w:hanging="180"/>
      </w:pPr>
    </w:p>
    <w:p w:rsidR="00A6185F" w:rsidRPr="00BD7CEA" w:rsidRDefault="00A6185F" w:rsidP="00C066F9">
      <w:pPr>
        <w:spacing w:after="60"/>
        <w:ind w:left="734" w:hanging="194"/>
      </w:pPr>
      <w:r w:rsidRPr="00BD7CEA">
        <w:rPr>
          <w:rFonts w:cs="Tahoma"/>
          <w:b/>
          <w:bCs/>
        </w:rPr>
        <w:t>Condizioni di Licenza Supplementari</w:t>
      </w:r>
    </w:p>
    <w:p w:rsidR="00A6185F" w:rsidRPr="00BD7CEA" w:rsidRDefault="00A6185F" w:rsidP="00C066F9">
      <w:pPr>
        <w:pStyle w:val="PURBody-Indented"/>
        <w:spacing w:after="0"/>
        <w:ind w:left="547"/>
      </w:pPr>
      <w:r w:rsidRPr="00BD7CEA">
        <w:rPr>
          <w:rFonts w:ascii="Tahoma" w:eastAsia="Calibri" w:hAnsi="Tahoma" w:cs="Tahoma"/>
          <w:sz w:val="18"/>
          <w:szCs w:val="18"/>
        </w:rPr>
        <w:t>L</w:t>
      </w:r>
      <w:r w:rsidR="007A1415" w:rsidRPr="00BD7CEA">
        <w:rPr>
          <w:rFonts w:ascii="Tahoma" w:eastAsia="Calibri" w:hAnsi="Tahoma" w:cs="Tahoma"/>
          <w:sz w:val="18"/>
          <w:szCs w:val="18"/>
        </w:rPr>
        <w:t>’</w:t>
      </w:r>
      <w:r w:rsidRPr="00BD7CEA">
        <w:rPr>
          <w:rFonts w:ascii="Tahoma" w:eastAsia="Calibri" w:hAnsi="Tahoma" w:cs="Tahoma"/>
          <w:sz w:val="18"/>
          <w:szCs w:val="18"/>
        </w:rPr>
        <w:t xml:space="preserve">utilizzo da parte della società di Componenti e-Commerce, Componenti Point of Sale e aggiornamenti e supplementi simili per Microsoft Dynamics AX 2012 R2 è disciplinato dalle Condizioni di Licenza Supplementari disponibili al seguente indirizzo: </w:t>
      </w:r>
      <w:hyperlink r:id="rId55" w:history="1">
        <w:r w:rsidRPr="00BD7CEA">
          <w:rPr>
            <w:rFonts w:ascii="Tahoma" w:eastAsia="Calibri" w:hAnsi="Tahoma" w:cs="Tahoma"/>
            <w:sz w:val="18"/>
            <w:szCs w:val="18"/>
          </w:rPr>
          <w:t>http://www.microsoft.com/en-us/dynamics/erp-buy-ax-software.aspx</w:t>
        </w:r>
      </w:hyperlink>
      <w:r w:rsidRPr="00BD7CEA">
        <w:rPr>
          <w:rFonts w:ascii="Tahoma" w:eastAsia="Calibri" w:hAnsi="Tahoma" w:cs="Tahoma"/>
          <w:sz w:val="18"/>
          <w:szCs w:val="18"/>
        </w:rPr>
        <w:t>.</w:t>
      </w:r>
    </w:p>
    <w:p w:rsidR="00047874" w:rsidRPr="00BD7CEA" w:rsidRDefault="00047874" w:rsidP="00944DAD"/>
    <w:p w:rsidR="007B699C" w:rsidRPr="00BD7CEA" w:rsidRDefault="007B699C" w:rsidP="00944DAD"/>
    <w:p w:rsidR="004535CD" w:rsidRPr="00BD7CEA" w:rsidRDefault="004535CD" w:rsidP="00944DAD"/>
    <w:p w:rsidR="004535CD" w:rsidRPr="00BD7CEA" w:rsidRDefault="004535CD" w:rsidP="00944DAD"/>
    <w:p w:rsidR="004535CD" w:rsidRPr="00BD7CEA" w:rsidRDefault="004535CD" w:rsidP="00944DAD"/>
    <w:p w:rsidR="004535CD" w:rsidRPr="00BD7CEA" w:rsidRDefault="004535CD" w:rsidP="00944DAD"/>
    <w:p w:rsidR="004535CD" w:rsidRPr="00BD7CEA" w:rsidRDefault="004535CD" w:rsidP="00944DAD"/>
    <w:p w:rsidR="004535CD" w:rsidRPr="00BD7CEA" w:rsidRDefault="004535CD" w:rsidP="00944DAD"/>
    <w:p w:rsidR="004535CD" w:rsidRPr="00BD7CEA" w:rsidRDefault="004535CD" w:rsidP="00944DAD"/>
    <w:p w:rsidR="00D47417" w:rsidRPr="00BD7CEA" w:rsidRDefault="00F66FB0" w:rsidP="00D47417">
      <w:pPr>
        <w:pStyle w:val="Heading3"/>
      </w:pPr>
      <w:bookmarkStart w:id="1370" w:name="_68_Microsoft_Dynamics"/>
      <w:bookmarkStart w:id="1371" w:name="_67_Microsoft_Dynamics"/>
      <w:bookmarkStart w:id="1372" w:name="_Toc336338328"/>
      <w:bookmarkStart w:id="1373" w:name="_Toc353376105"/>
      <w:bookmarkEnd w:id="1370"/>
      <w:bookmarkEnd w:id="1371"/>
      <w:r w:rsidRPr="00BD7CEA">
        <w:rPr>
          <w:rFonts w:ascii="Tahoma" w:hAnsi="Tahoma"/>
          <w:color w:val="F66400"/>
          <w:sz w:val="22"/>
          <w:vertAlign w:val="superscript"/>
        </w:rPr>
        <w:lastRenderedPageBreak/>
        <w:t>67</w:t>
      </w:r>
      <w:r w:rsidRPr="00BD7CEA">
        <w:rPr>
          <w:rFonts w:ascii="Tahoma" w:hAnsi="Tahoma"/>
          <w:color w:val="F66400"/>
          <w:sz w:val="22"/>
        </w:rPr>
        <w:t xml:space="preserve"> Microsoft Dynamics CRM 2011</w:t>
      </w:r>
      <w:bookmarkEnd w:id="1372"/>
      <w:bookmarkEnd w:id="1373"/>
    </w:p>
    <w:bookmarkEnd w:id="1366"/>
    <w:bookmarkEnd w:id="1367"/>
    <w:p w:rsidR="00D47417" w:rsidRPr="00BD7CEA" w:rsidRDefault="00D47417" w:rsidP="00D47417"/>
    <w:p w:rsidR="00944BDF" w:rsidRPr="00BD7CEA" w:rsidRDefault="00944BDF" w:rsidP="007B699C">
      <w:pPr>
        <w:spacing w:after="60"/>
        <w:ind w:left="720"/>
      </w:pPr>
      <w:r w:rsidRPr="00BD7CEA">
        <w:rPr>
          <w:rFonts w:cs="Tahoma"/>
          <w:b/>
          <w:bCs/>
          <w:color w:val="000000"/>
          <w:szCs w:val="20"/>
        </w:rPr>
        <w:t>Percorso di Migrazione di Software Assurance per Microsoft Dynamics CRM 4.0</w:t>
      </w:r>
    </w:p>
    <w:p w:rsidR="00944BDF" w:rsidRPr="00BD7CEA" w:rsidRDefault="00944BDF" w:rsidP="00E62BC4">
      <w:pPr>
        <w:ind w:left="720"/>
      </w:pPr>
      <w:r w:rsidRPr="00BD7CEA">
        <w:rPr>
          <w:rFonts w:cs="Tahoma"/>
          <w:color w:val="000000"/>
          <w:szCs w:val="20"/>
        </w:rPr>
        <w:t>Le società che hanno acquistato le licenze per Microsoft Dynamics CRM 4.0 e dispongono di una copertura Software Assurance attiva per tali licenze in data 1 aprile 2011 o successiva potranno effettuare l</w:t>
      </w:r>
      <w:r w:rsidR="007A1415" w:rsidRPr="00BD7CEA">
        <w:rPr>
          <w:rFonts w:cs="Tahoma"/>
          <w:color w:val="000000"/>
          <w:szCs w:val="20"/>
        </w:rPr>
        <w:t>’</w:t>
      </w:r>
      <w:r w:rsidRPr="00BD7CEA">
        <w:rPr>
          <w:rFonts w:cs="Tahoma"/>
          <w:color w:val="000000"/>
          <w:szCs w:val="20"/>
        </w:rPr>
        <w:t>aggiornamento di tali licenze, come indicato di seguito:</w:t>
      </w:r>
    </w:p>
    <w:p w:rsidR="00944BDF" w:rsidRPr="00BD7CEA" w:rsidRDefault="00944BDF" w:rsidP="00944BDF"/>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944BDF" w:rsidRPr="00BD7CEA" w:rsidTr="00CA14C9">
        <w:tc>
          <w:tcPr>
            <w:tcW w:w="4248" w:type="dxa"/>
            <w:tcBorders>
              <w:top w:val="single" w:sz="4" w:space="0" w:color="000000"/>
              <w:bottom w:val="single" w:sz="6" w:space="0" w:color="000000"/>
            </w:tcBorders>
            <w:shd w:val="clear" w:color="auto" w:fill="FABF8F"/>
          </w:tcPr>
          <w:p w:rsidR="00944BDF" w:rsidRPr="00BD7CEA" w:rsidRDefault="00944BDF" w:rsidP="00191CEA">
            <w:pPr>
              <w:jc w:val="center"/>
              <w:rPr>
                <w:rFonts w:cs="Tahoma"/>
                <w:b/>
                <w:color w:val="000000"/>
                <w:szCs w:val="20"/>
              </w:rPr>
            </w:pPr>
            <w:r w:rsidRPr="00BD7CEA">
              <w:rPr>
                <w:rFonts w:cs="Tahoma"/>
                <w:b/>
                <w:color w:val="000000"/>
                <w:szCs w:val="20"/>
              </w:rPr>
              <w:t>Licenze Qualificanti per Microsoft Dynamics</w:t>
            </w:r>
            <w:r w:rsidR="00191CEA" w:rsidRPr="00BD7CEA">
              <w:rPr>
                <w:rFonts w:cs="Tahoma"/>
                <w:b/>
                <w:color w:val="000000"/>
                <w:szCs w:val="20"/>
              </w:rPr>
              <w:t> </w:t>
            </w:r>
            <w:r w:rsidRPr="00BD7CEA">
              <w:rPr>
                <w:rFonts w:cs="Tahoma"/>
                <w:b/>
                <w:color w:val="000000"/>
                <w:szCs w:val="20"/>
              </w:rPr>
              <w:t>CRM 4.0</w:t>
            </w:r>
          </w:p>
        </w:tc>
        <w:tc>
          <w:tcPr>
            <w:tcW w:w="4212" w:type="dxa"/>
            <w:tcBorders>
              <w:top w:val="single" w:sz="4" w:space="0" w:color="000000"/>
              <w:bottom w:val="single" w:sz="6" w:space="0" w:color="000000"/>
            </w:tcBorders>
            <w:shd w:val="clear" w:color="auto" w:fill="FABF8F"/>
          </w:tcPr>
          <w:p w:rsidR="00944BDF" w:rsidRPr="00BD7CEA" w:rsidRDefault="00944BDF" w:rsidP="00E6206A">
            <w:pPr>
              <w:jc w:val="center"/>
              <w:rPr>
                <w:rFonts w:cs="Tahoma"/>
                <w:b/>
                <w:color w:val="000000"/>
                <w:szCs w:val="20"/>
              </w:rPr>
            </w:pPr>
            <w:r w:rsidRPr="00BD7CEA">
              <w:rPr>
                <w:rFonts w:cs="Tahoma"/>
                <w:b/>
                <w:color w:val="000000"/>
                <w:szCs w:val="20"/>
              </w:rPr>
              <w:t>Licenze Corrispondenti per CRM 2011</w:t>
            </w:r>
          </w:p>
        </w:tc>
      </w:tr>
      <w:tr w:rsidR="00944BDF" w:rsidRPr="00BD7CEA" w:rsidTr="00CA14C9">
        <w:tc>
          <w:tcPr>
            <w:tcW w:w="4248" w:type="dxa"/>
            <w:tcBorders>
              <w:top w:val="single" w:sz="6" w:space="0" w:color="000000"/>
            </w:tcBorders>
            <w:shd w:val="clear" w:color="auto" w:fill="FFFFFF"/>
          </w:tcPr>
          <w:p w:rsidR="00944BDF" w:rsidRPr="00BD7CEA" w:rsidRDefault="00944BDF" w:rsidP="00E6206A">
            <w:pPr>
              <w:rPr>
                <w:rFonts w:cs="Tahoma"/>
                <w:color w:val="000000"/>
                <w:szCs w:val="20"/>
              </w:rPr>
            </w:pPr>
            <w:r w:rsidRPr="00BD7CEA">
              <w:rPr>
                <w:rFonts w:cs="Tahoma"/>
                <w:color w:val="000000"/>
                <w:szCs w:val="20"/>
              </w:rPr>
              <w:t>CAL Aggiuntiva per l</w:t>
            </w:r>
            <w:r w:rsidR="007A1415" w:rsidRPr="00BD7CEA">
              <w:rPr>
                <w:rFonts w:cs="Tahoma"/>
                <w:color w:val="000000"/>
                <w:szCs w:val="20"/>
              </w:rPr>
              <w:t>’</w:t>
            </w:r>
            <w:r w:rsidRPr="00BD7CEA">
              <w:rPr>
                <w:rFonts w:cs="Tahoma"/>
                <w:color w:val="000000"/>
                <w:szCs w:val="20"/>
              </w:rPr>
              <w:t>Utilizzo Completo di Microsoft Dynamics CRM 4.0</w:t>
            </w:r>
          </w:p>
        </w:tc>
        <w:tc>
          <w:tcPr>
            <w:tcW w:w="4212" w:type="dxa"/>
            <w:tcBorders>
              <w:top w:val="single" w:sz="6" w:space="0" w:color="000000"/>
            </w:tcBorders>
            <w:shd w:val="clear" w:color="auto" w:fill="FFFFFF"/>
          </w:tcPr>
          <w:p w:rsidR="00944BDF" w:rsidRPr="00BD7CEA" w:rsidRDefault="00944BDF" w:rsidP="00E6206A">
            <w:pPr>
              <w:rPr>
                <w:rFonts w:cs="Tahoma"/>
                <w:color w:val="000000"/>
                <w:szCs w:val="20"/>
              </w:rPr>
            </w:pPr>
            <w:r w:rsidRPr="00BD7CEA">
              <w:rPr>
                <w:rFonts w:cs="Tahoma"/>
                <w:color w:val="000000"/>
                <w:szCs w:val="20"/>
              </w:rPr>
              <w:t>1 CAL Aggiuntiva per l</w:t>
            </w:r>
            <w:r w:rsidR="007A1415" w:rsidRPr="00BD7CEA">
              <w:rPr>
                <w:rFonts w:cs="Tahoma"/>
                <w:color w:val="000000"/>
                <w:szCs w:val="20"/>
              </w:rPr>
              <w:t>’</w:t>
            </w:r>
            <w:r w:rsidRPr="00BD7CEA">
              <w:rPr>
                <w:rFonts w:cs="Tahoma"/>
                <w:color w:val="000000"/>
                <w:szCs w:val="20"/>
              </w:rPr>
              <w:t>Utilizzo Completo di Microsoft Dynamics CRM 2011</w:t>
            </w:r>
          </w:p>
        </w:tc>
      </w:tr>
      <w:tr w:rsidR="00944BDF" w:rsidRPr="00BD7CEA" w:rsidTr="00CA14C9">
        <w:tc>
          <w:tcPr>
            <w:tcW w:w="4248" w:type="dxa"/>
            <w:tcBorders>
              <w:top w:val="single" w:sz="6" w:space="0" w:color="000000"/>
            </w:tcBorders>
            <w:shd w:val="clear" w:color="auto" w:fill="FFFFFF"/>
          </w:tcPr>
          <w:p w:rsidR="00944BDF" w:rsidRPr="00BD7CEA" w:rsidRDefault="00944BDF" w:rsidP="00E6206A">
            <w:pPr>
              <w:rPr>
                <w:rFonts w:cs="Tahoma"/>
                <w:color w:val="000000"/>
                <w:szCs w:val="20"/>
              </w:rPr>
            </w:pPr>
            <w:r w:rsidRPr="00BD7CEA">
              <w:rPr>
                <w:rFonts w:cs="Tahoma"/>
                <w:color w:val="000000"/>
                <w:szCs w:val="20"/>
              </w:rPr>
              <w:t>CAL Limitata per Microsoft Dynamics CRM 4.0</w:t>
            </w:r>
          </w:p>
        </w:tc>
        <w:tc>
          <w:tcPr>
            <w:tcW w:w="4212" w:type="dxa"/>
            <w:tcBorders>
              <w:top w:val="single" w:sz="6" w:space="0" w:color="000000"/>
            </w:tcBorders>
            <w:shd w:val="clear" w:color="auto" w:fill="FFFFFF"/>
          </w:tcPr>
          <w:p w:rsidR="00944BDF" w:rsidRPr="00BD7CEA" w:rsidRDefault="00944BDF" w:rsidP="004535CD">
            <w:pPr>
              <w:rPr>
                <w:rFonts w:cs="Tahoma"/>
                <w:color w:val="000000"/>
                <w:szCs w:val="20"/>
              </w:rPr>
            </w:pPr>
            <w:r w:rsidRPr="00BD7CEA">
              <w:rPr>
                <w:rFonts w:cs="Tahoma"/>
                <w:color w:val="000000"/>
                <w:szCs w:val="20"/>
              </w:rPr>
              <w:t>1 licenza Self Service CAL per Microsoft Dynamics CRM 2011 Employee e 1 licenza CAL Aggiuntiva per l</w:t>
            </w:r>
            <w:r w:rsidR="007A1415" w:rsidRPr="00BD7CEA">
              <w:rPr>
                <w:rFonts w:cs="Tahoma"/>
                <w:color w:val="000000"/>
                <w:szCs w:val="20"/>
              </w:rPr>
              <w:t>’</w:t>
            </w:r>
            <w:r w:rsidRPr="00BD7CEA">
              <w:rPr>
                <w:rFonts w:cs="Tahoma"/>
                <w:color w:val="000000"/>
                <w:szCs w:val="20"/>
              </w:rPr>
              <w:t>Utilizzo Limitato di Microsoft Dynamics CRM</w:t>
            </w:r>
            <w:r w:rsidR="004535CD" w:rsidRPr="00BD7CEA">
              <w:rPr>
                <w:rFonts w:cs="Tahoma"/>
                <w:color w:val="000000"/>
                <w:szCs w:val="20"/>
              </w:rPr>
              <w:t> </w:t>
            </w:r>
            <w:r w:rsidRPr="00BD7CEA">
              <w:rPr>
                <w:rFonts w:cs="Tahoma"/>
                <w:color w:val="000000"/>
                <w:szCs w:val="20"/>
              </w:rPr>
              <w:t>2011</w:t>
            </w:r>
          </w:p>
        </w:tc>
      </w:tr>
      <w:tr w:rsidR="00944BDF" w:rsidRPr="00BD7CEA" w:rsidTr="00CA14C9">
        <w:tc>
          <w:tcPr>
            <w:tcW w:w="4248" w:type="dxa"/>
            <w:tcBorders>
              <w:top w:val="single" w:sz="6" w:space="0" w:color="000000"/>
            </w:tcBorders>
            <w:shd w:val="clear" w:color="auto" w:fill="FFFFFF"/>
          </w:tcPr>
          <w:p w:rsidR="00944BDF" w:rsidRPr="00BD7CEA" w:rsidRDefault="00944BDF" w:rsidP="00E6206A">
            <w:r w:rsidRPr="00BD7CEA">
              <w:rPr>
                <w:rFonts w:cs="Tahoma"/>
                <w:color w:val="000000"/>
                <w:szCs w:val="20"/>
              </w:rPr>
              <w:t>Licenza External Connector Limitata per Microsoft Dynamics CRM 4.0</w:t>
            </w:r>
          </w:p>
          <w:p w:rsidR="00944BDF" w:rsidRPr="00BD7CEA" w:rsidRDefault="00944BDF" w:rsidP="00E6206A">
            <w:pPr>
              <w:rPr>
                <w:rFonts w:cs="Tahoma"/>
                <w:color w:val="000000"/>
                <w:szCs w:val="20"/>
              </w:rPr>
            </w:pPr>
            <w:r w:rsidRPr="00BD7CEA">
              <w:rPr>
                <w:rFonts w:cs="Tahoma"/>
                <w:color w:val="000000"/>
                <w:szCs w:val="20"/>
              </w:rPr>
              <w:t xml:space="preserve">(da sola </w:t>
            </w:r>
            <w:r w:rsidRPr="00BD7CEA">
              <w:rPr>
                <w:color w:val="000000"/>
              </w:rPr>
              <w:t>o come parte del gruppo di Licenze External Connector Limitate per Microsoft Dynamics CRM 4.0</w:t>
            </w:r>
            <w:r w:rsidR="008D782D" w:rsidRPr="00BD7CEA">
              <w:rPr>
                <w:rFonts w:cs="Tahoma"/>
                <w:color w:val="000000"/>
                <w:szCs w:val="18"/>
              </w:rPr>
              <w:t xml:space="preserve"> </w:t>
            </w:r>
            <w:r w:rsidRPr="00BD7CEA">
              <w:rPr>
                <w:color w:val="000000"/>
              </w:rPr>
              <w:t>e</w:t>
            </w:r>
            <w:r w:rsidR="008D782D" w:rsidRPr="00BD7CEA">
              <w:rPr>
                <w:color w:val="000000"/>
              </w:rPr>
              <w:t xml:space="preserve"> </w:t>
            </w:r>
            <w:r w:rsidRPr="00BD7CEA">
              <w:rPr>
                <w:color w:val="000000"/>
              </w:rPr>
              <w:t>del gruppo di Licenze External Connector Aggiuntive per l</w:t>
            </w:r>
            <w:r w:rsidR="007A1415" w:rsidRPr="00BD7CEA">
              <w:rPr>
                <w:color w:val="000000"/>
              </w:rPr>
              <w:t>’</w:t>
            </w:r>
            <w:r w:rsidRPr="00BD7CEA">
              <w:rPr>
                <w:color w:val="000000"/>
              </w:rPr>
              <w:t>Utilizzo Completo di Microsoft Dynamics CRM 4.0)</w:t>
            </w:r>
          </w:p>
        </w:tc>
        <w:tc>
          <w:tcPr>
            <w:tcW w:w="4212" w:type="dxa"/>
            <w:tcBorders>
              <w:top w:val="single" w:sz="6" w:space="0" w:color="000000"/>
            </w:tcBorders>
            <w:shd w:val="clear" w:color="auto" w:fill="FFFFFF"/>
          </w:tcPr>
          <w:p w:rsidR="00944BDF" w:rsidRPr="00BD7CEA" w:rsidRDefault="00944BDF" w:rsidP="00E6206A">
            <w:pPr>
              <w:rPr>
                <w:rFonts w:cs="Tahoma"/>
                <w:color w:val="000000"/>
                <w:szCs w:val="20"/>
              </w:rPr>
            </w:pPr>
            <w:r w:rsidRPr="00BD7CEA">
              <w:rPr>
                <w:rFonts w:cs="Tahoma"/>
                <w:color w:val="000000"/>
                <w:szCs w:val="20"/>
              </w:rPr>
              <w:t xml:space="preserve">1 External Connector per Microsoft </w:t>
            </w:r>
            <w:r w:rsidR="004535CD" w:rsidRPr="00BD7CEA">
              <w:rPr>
                <w:rFonts w:cs="Tahoma"/>
                <w:color w:val="000000"/>
                <w:szCs w:val="20"/>
              </w:rPr>
              <w:br/>
            </w:r>
            <w:r w:rsidRPr="00BD7CEA">
              <w:rPr>
                <w:rFonts w:cs="Tahoma"/>
                <w:color w:val="000000"/>
                <w:szCs w:val="20"/>
              </w:rPr>
              <w:t>Dynamics CRM 2011</w:t>
            </w:r>
            <w:r w:rsidRPr="00BD7CEA">
              <w:rPr>
                <w:rFonts w:cs="Tahoma"/>
                <w:color w:val="000000"/>
                <w:szCs w:val="20"/>
                <w:vertAlign w:val="superscript"/>
              </w:rPr>
              <w:t>1</w:t>
            </w:r>
          </w:p>
        </w:tc>
      </w:tr>
      <w:tr w:rsidR="00944BDF" w:rsidRPr="00BD7CEA" w:rsidTr="00CA14C9">
        <w:tc>
          <w:tcPr>
            <w:tcW w:w="4248" w:type="dxa"/>
            <w:tcBorders>
              <w:top w:val="single" w:sz="6" w:space="0" w:color="000000"/>
            </w:tcBorders>
            <w:shd w:val="clear" w:color="auto" w:fill="FFFFFF"/>
          </w:tcPr>
          <w:p w:rsidR="00944BDF" w:rsidRPr="00BD7CEA" w:rsidRDefault="00944BDF" w:rsidP="00E6206A">
            <w:pPr>
              <w:rPr>
                <w:rFonts w:cs="Tahoma"/>
                <w:color w:val="000000"/>
                <w:szCs w:val="20"/>
              </w:rPr>
            </w:pPr>
            <w:r w:rsidRPr="00BD7CEA">
              <w:rPr>
                <w:rFonts w:cs="Tahoma"/>
                <w:color w:val="000000"/>
                <w:szCs w:val="20"/>
              </w:rPr>
              <w:t>Microsoft Dynamics CRM 4.0 Workgroup Server</w:t>
            </w:r>
          </w:p>
        </w:tc>
        <w:tc>
          <w:tcPr>
            <w:tcW w:w="4212" w:type="dxa"/>
            <w:tcBorders>
              <w:top w:val="single" w:sz="6" w:space="0" w:color="000000"/>
            </w:tcBorders>
            <w:shd w:val="clear" w:color="auto" w:fill="FFFFFF"/>
          </w:tcPr>
          <w:p w:rsidR="00944BDF" w:rsidRPr="00BD7CEA" w:rsidRDefault="00944BDF" w:rsidP="00E6206A">
            <w:pPr>
              <w:rPr>
                <w:rFonts w:cs="Tahoma"/>
                <w:color w:val="000000"/>
                <w:szCs w:val="20"/>
              </w:rPr>
            </w:pPr>
            <w:r w:rsidRPr="00BD7CEA">
              <w:rPr>
                <w:rFonts w:cs="Tahoma"/>
                <w:color w:val="000000"/>
                <w:szCs w:val="20"/>
              </w:rPr>
              <w:t>1 Microsoft Dynamics CRM Workgroup Server 2011</w:t>
            </w:r>
          </w:p>
        </w:tc>
      </w:tr>
      <w:tr w:rsidR="00944BDF" w:rsidRPr="00BD7CEA" w:rsidTr="00CA14C9">
        <w:tc>
          <w:tcPr>
            <w:tcW w:w="4248" w:type="dxa"/>
            <w:shd w:val="clear" w:color="auto" w:fill="FFFFFF"/>
          </w:tcPr>
          <w:p w:rsidR="00944BDF" w:rsidRPr="00BD7CEA" w:rsidRDefault="00944BDF" w:rsidP="00E6206A">
            <w:pPr>
              <w:rPr>
                <w:rFonts w:cs="Tahoma"/>
                <w:color w:val="000000"/>
                <w:szCs w:val="20"/>
              </w:rPr>
            </w:pPr>
            <w:r w:rsidRPr="00BD7CEA">
              <w:rPr>
                <w:rFonts w:cs="Tahoma"/>
                <w:color w:val="000000"/>
                <w:szCs w:val="20"/>
              </w:rPr>
              <w:t>Microsoft Dynamics CRM 4.0 Professional Server</w:t>
            </w:r>
          </w:p>
        </w:tc>
        <w:tc>
          <w:tcPr>
            <w:tcW w:w="4212" w:type="dxa"/>
            <w:shd w:val="clear" w:color="auto" w:fill="FFFFFF"/>
          </w:tcPr>
          <w:p w:rsidR="00944BDF" w:rsidRPr="00BD7CEA" w:rsidRDefault="00944BDF" w:rsidP="00E6206A">
            <w:pPr>
              <w:rPr>
                <w:rFonts w:cs="Tahoma"/>
                <w:color w:val="000000"/>
                <w:szCs w:val="20"/>
              </w:rPr>
            </w:pPr>
            <w:r w:rsidRPr="00BD7CEA">
              <w:rPr>
                <w:rFonts w:cs="Tahoma"/>
                <w:color w:val="000000"/>
                <w:szCs w:val="20"/>
              </w:rPr>
              <w:t>1 Microsoft Dynamics CRM Server 2011</w:t>
            </w:r>
          </w:p>
        </w:tc>
      </w:tr>
      <w:tr w:rsidR="00944BDF" w:rsidRPr="00BD7CEA" w:rsidTr="00CA14C9">
        <w:tc>
          <w:tcPr>
            <w:tcW w:w="4248" w:type="dxa"/>
            <w:shd w:val="clear" w:color="auto" w:fill="FFFFFF"/>
          </w:tcPr>
          <w:p w:rsidR="00944BDF" w:rsidRPr="00BD7CEA" w:rsidRDefault="00944BDF" w:rsidP="00E6206A">
            <w:pPr>
              <w:rPr>
                <w:rFonts w:cs="Tahoma"/>
                <w:color w:val="000000"/>
                <w:szCs w:val="20"/>
              </w:rPr>
            </w:pPr>
            <w:r w:rsidRPr="00BD7CEA">
              <w:rPr>
                <w:rFonts w:cs="Tahoma"/>
                <w:color w:val="000000"/>
                <w:szCs w:val="20"/>
              </w:rPr>
              <w:t>Microsoft Dynamics CRM 4.0 Enterprise Server</w:t>
            </w:r>
          </w:p>
        </w:tc>
        <w:tc>
          <w:tcPr>
            <w:tcW w:w="4212" w:type="dxa"/>
            <w:shd w:val="clear" w:color="auto" w:fill="FFFFFF"/>
          </w:tcPr>
          <w:p w:rsidR="00944BDF" w:rsidRPr="00BD7CEA" w:rsidRDefault="00944BDF" w:rsidP="00E6206A">
            <w:pPr>
              <w:rPr>
                <w:rFonts w:cs="Tahoma"/>
                <w:color w:val="000000"/>
                <w:szCs w:val="20"/>
              </w:rPr>
            </w:pPr>
            <w:r w:rsidRPr="00BD7CEA">
              <w:rPr>
                <w:rFonts w:cs="Tahoma"/>
                <w:color w:val="000000"/>
                <w:szCs w:val="20"/>
              </w:rPr>
              <w:t>1 Microsoft Dynamics CRM Server 2011</w:t>
            </w:r>
          </w:p>
        </w:tc>
      </w:tr>
    </w:tbl>
    <w:p w:rsidR="00944BDF" w:rsidRPr="00BD7CEA" w:rsidRDefault="00944BDF" w:rsidP="00944BDF">
      <w:pPr>
        <w:ind w:left="540"/>
      </w:pPr>
    </w:p>
    <w:p w:rsidR="00944BDF" w:rsidRPr="00BD7CEA" w:rsidRDefault="00944BDF" w:rsidP="00E62BC4">
      <w:pPr>
        <w:ind w:left="810"/>
      </w:pPr>
      <w:r w:rsidRPr="00BD7CEA">
        <w:rPr>
          <w:rFonts w:cs="Tahoma"/>
          <w:i/>
          <w:color w:val="000000"/>
          <w:sz w:val="16"/>
          <w:szCs w:val="18"/>
          <w:bdr w:val="none" w:sz="0" w:space="0" w:color="auto" w:frame="1"/>
          <w:vertAlign w:val="superscript"/>
        </w:rPr>
        <w:t>1</w:t>
      </w:r>
      <w:r w:rsidRPr="00BD7CEA">
        <w:rPr>
          <w:i/>
          <w:color w:val="000000"/>
          <w:sz w:val="16"/>
          <w:bdr w:val="none" w:sz="0" w:space="0" w:color="auto" w:frame="1"/>
        </w:rPr>
        <w:t>La licenza External Connector per CRM 2011 è l</w:t>
      </w:r>
      <w:r w:rsidR="007A1415" w:rsidRPr="00BD7CEA">
        <w:rPr>
          <w:i/>
          <w:color w:val="000000"/>
          <w:sz w:val="16"/>
          <w:bdr w:val="none" w:sz="0" w:space="0" w:color="auto" w:frame="1"/>
        </w:rPr>
        <w:t>’</w:t>
      </w:r>
      <w:r w:rsidRPr="00BD7CEA">
        <w:rPr>
          <w:i/>
          <w:color w:val="000000"/>
          <w:sz w:val="16"/>
          <w:bdr w:val="none" w:sz="0" w:space="0" w:color="auto" w:frame="1"/>
        </w:rPr>
        <w:t xml:space="preserve">unica licenza external connector disponibile in questa versione. </w:t>
      </w:r>
      <w:r w:rsidRPr="00BD7CEA">
        <w:rPr>
          <w:i/>
          <w:color w:val="000000"/>
          <w:sz w:val="16"/>
        </w:rPr>
        <w:t>Le società disporranno dei diritti di aggiornamento a una licenza External Connector per CRM 2011 per ogni licenza External Connector Limitata qualificante per CRM 4.0 in loro possesso, sia che la licenza External Connector Limitata per CRM 4.0 sia stata utilizzata da sola per consentire l</w:t>
      </w:r>
      <w:r w:rsidR="007A1415" w:rsidRPr="00BD7CEA">
        <w:rPr>
          <w:i/>
          <w:color w:val="000000"/>
          <w:sz w:val="16"/>
        </w:rPr>
        <w:t>’</w:t>
      </w:r>
      <w:r w:rsidRPr="00BD7CEA">
        <w:rPr>
          <w:i/>
          <w:color w:val="000000"/>
          <w:sz w:val="16"/>
        </w:rPr>
        <w:t>accesso alla funzionalità corrispondente a tale licenza di base sia che sia stata utilizzata insieme a una licenza External Connector Aggiuntiva per l</w:t>
      </w:r>
      <w:r w:rsidR="007A1415" w:rsidRPr="00BD7CEA">
        <w:rPr>
          <w:i/>
          <w:color w:val="000000"/>
          <w:sz w:val="16"/>
        </w:rPr>
        <w:t>’</w:t>
      </w:r>
      <w:r w:rsidRPr="00BD7CEA">
        <w:rPr>
          <w:i/>
          <w:color w:val="000000"/>
          <w:sz w:val="16"/>
        </w:rPr>
        <w:t>Utilizzo Completo di CRM 4.0 per consentire l</w:t>
      </w:r>
      <w:r w:rsidR="007A1415" w:rsidRPr="00BD7CEA">
        <w:rPr>
          <w:i/>
          <w:color w:val="000000"/>
          <w:sz w:val="16"/>
        </w:rPr>
        <w:t>’</w:t>
      </w:r>
      <w:r w:rsidRPr="00BD7CEA">
        <w:rPr>
          <w:i/>
          <w:color w:val="000000"/>
          <w:sz w:val="16"/>
        </w:rPr>
        <w:t>accesso a tutte le Funzionalità di CRM 4.0. Le società disporranno di un numero di licenze External Connector per CRM Server 2011 uguale al numero di licenze External Connector Limitate qualificanti per CRM 4.0 in loro possesso</w:t>
      </w:r>
      <w:r w:rsidRPr="00BD7CEA">
        <w:rPr>
          <w:rFonts w:cs="Tahoma"/>
          <w:i/>
          <w:color w:val="000000"/>
          <w:sz w:val="16"/>
          <w:szCs w:val="18"/>
          <w:bdr w:val="none" w:sz="0" w:space="0" w:color="auto" w:frame="1"/>
        </w:rPr>
        <w:t>.</w:t>
      </w:r>
    </w:p>
    <w:p w:rsidR="00944BDF" w:rsidRPr="00BD7CEA" w:rsidRDefault="00944BDF" w:rsidP="00E62BC4">
      <w:pPr>
        <w:ind w:left="720"/>
      </w:pPr>
    </w:p>
    <w:p w:rsidR="00944BDF" w:rsidRPr="00BD7CEA" w:rsidRDefault="00944BDF" w:rsidP="00E62BC4">
      <w:pPr>
        <w:ind w:left="720"/>
      </w:pPr>
      <w:r w:rsidRPr="00BD7CEA">
        <w:rPr>
          <w:rFonts w:cs="Tahoma"/>
          <w:color w:val="000000"/>
          <w:szCs w:val="20"/>
        </w:rPr>
        <w:t>Il diritto di utilizzo del software Microsoft Dynamics CRM 2011 da parte della società è attestato dalla presente nota relativa alle condizioni del prodotto e dalla prova delle licenze corrispondenti e di Software Assurance per Microsoft Dynamics CRM 4.0. Il diritto di utilizzo del software Microsoft Dynamics CRM 2011 da parte di una società, ai sensi della presente concessione per la migrazione, è soggetto alle condizioni del relativo contratto multilicenza. Tale</w:t>
      </w:r>
      <w:r w:rsidRPr="00BD7CEA">
        <w:rPr>
          <w:rStyle w:val="CommentReference"/>
          <w:sz w:val="18"/>
          <w:szCs w:val="20"/>
        </w:rPr>
        <w:t> </w:t>
      </w:r>
      <w:r w:rsidRPr="00BD7CEA">
        <w:rPr>
          <w:rFonts w:cs="Tahoma"/>
          <w:color w:val="000000"/>
          <w:szCs w:val="20"/>
        </w:rPr>
        <w:t>diritto cesserà alla scadenza o alla risoluzione del diritto di utilizzo di Microsoft Dynamics CRM 4.0 ai sensi delle corrispondenti licenze qualificanti per Microsoft Dynamics CRM</w:t>
      </w:r>
      <w:r w:rsidR="00713397">
        <w:rPr>
          <w:rFonts w:cs="Tahoma"/>
          <w:color w:val="000000"/>
          <w:szCs w:val="20"/>
        </w:rPr>
        <w:t> </w:t>
      </w:r>
      <w:r w:rsidRPr="00BD7CEA">
        <w:rPr>
          <w:rFonts w:cs="Tahoma"/>
          <w:color w:val="000000"/>
          <w:szCs w:val="20"/>
        </w:rPr>
        <w:t>4.0. Alla scadenza della copertura SA per le licenze Microsoft Dynamics CRM 4.0, la società potrà rinnovare SA per le licenze Microsoft Dynamics CRM 2011 in concessione.</w:t>
      </w:r>
      <w:r w:rsidR="008D782D" w:rsidRPr="00BD7CEA">
        <w:rPr>
          <w:rFonts w:cs="Tahoma"/>
          <w:color w:val="000000"/>
          <w:szCs w:val="20"/>
        </w:rPr>
        <w:t xml:space="preserve"> </w:t>
      </w:r>
    </w:p>
    <w:p w:rsidR="00944BDF" w:rsidRPr="00BD7CEA" w:rsidRDefault="00944BDF" w:rsidP="00E62BC4">
      <w:pPr>
        <w:ind w:left="720"/>
      </w:pPr>
    </w:p>
    <w:p w:rsidR="00944BDF" w:rsidRPr="00BD7CEA" w:rsidRDefault="00944BDF" w:rsidP="00E62BC4">
      <w:pPr>
        <w:ind w:left="720"/>
      </w:pPr>
      <w:r w:rsidRPr="00BD7CEA">
        <w:rPr>
          <w:rFonts w:cs="Tahoma"/>
          <w:color w:val="000000"/>
        </w:rPr>
        <w:t>La presente offerta è valida anche per le società che abbiano ottenuto le rispettive licenze Microsoft Dynamics CRM 4.0 in seguito alla migrazione da un altro prodotto, nella misura in cui le società dispongano di una copertura SA attiva per quelle licenze in data 1 aprile 2011.</w:t>
      </w:r>
    </w:p>
    <w:p w:rsidR="00944BDF" w:rsidRPr="00BD7CEA" w:rsidRDefault="00944BDF" w:rsidP="00E62BC4">
      <w:pPr>
        <w:ind w:left="720"/>
      </w:pPr>
    </w:p>
    <w:p w:rsidR="00944BDF" w:rsidRPr="00BD7CEA" w:rsidRDefault="00944BDF" w:rsidP="00E62BC4">
      <w:pPr>
        <w:pStyle w:val="EndnoteText"/>
        <w:ind w:left="720"/>
      </w:pPr>
      <w:r w:rsidRPr="00BD7CEA">
        <w:rPr>
          <w:rFonts w:ascii="Tahoma" w:hAnsi="Tahoma" w:cs="Tahoma"/>
          <w:bCs/>
          <w:sz w:val="18"/>
          <w:szCs w:val="18"/>
        </w:rPr>
        <w:t>Per le società con un Contratto Enterprise idonee a ricevere le presenti licenze gratuite e i diritti descritti in precedenza, le licenze per Microsoft Dynamics CRM 4.0 acquistate nell</w:t>
      </w:r>
      <w:r w:rsidR="007A1415" w:rsidRPr="00BD7CEA">
        <w:rPr>
          <w:rFonts w:ascii="Tahoma" w:hAnsi="Tahoma" w:cs="Tahoma"/>
          <w:bCs/>
          <w:sz w:val="18"/>
          <w:szCs w:val="18"/>
        </w:rPr>
        <w:t>’</w:t>
      </w:r>
      <w:r w:rsidRPr="00BD7CEA">
        <w:rPr>
          <w:rFonts w:ascii="Tahoma" w:hAnsi="Tahoma" w:cs="Tahoma"/>
          <w:bCs/>
          <w:sz w:val="18"/>
          <w:szCs w:val="18"/>
        </w:rPr>
        <w:t>ambito della procedura annuale di true-up durante il periodo di validità dell</w:t>
      </w:r>
      <w:r w:rsidR="007A1415" w:rsidRPr="00BD7CEA">
        <w:rPr>
          <w:rFonts w:ascii="Tahoma" w:hAnsi="Tahoma" w:cs="Tahoma"/>
          <w:bCs/>
          <w:sz w:val="18"/>
          <w:szCs w:val="18"/>
        </w:rPr>
        <w:t>’</w:t>
      </w:r>
      <w:r w:rsidRPr="00BD7CEA">
        <w:rPr>
          <w:rFonts w:ascii="Tahoma" w:hAnsi="Tahoma" w:cs="Tahoma"/>
          <w:bCs/>
          <w:sz w:val="18"/>
          <w:szCs w:val="18"/>
        </w:rPr>
        <w:t>iscrizione attuale costituiscono, anch</w:t>
      </w:r>
      <w:r w:rsidR="007A1415" w:rsidRPr="00BD7CEA">
        <w:rPr>
          <w:rFonts w:ascii="Tahoma" w:hAnsi="Tahoma" w:cs="Tahoma"/>
          <w:bCs/>
          <w:sz w:val="18"/>
          <w:szCs w:val="18"/>
        </w:rPr>
        <w:t>’</w:t>
      </w:r>
      <w:r w:rsidRPr="00BD7CEA">
        <w:rPr>
          <w:rFonts w:ascii="Tahoma" w:hAnsi="Tahoma" w:cs="Tahoma"/>
          <w:bCs/>
          <w:sz w:val="18"/>
          <w:szCs w:val="18"/>
        </w:rPr>
        <w:t>esse, licenze qualificanti.</w:t>
      </w:r>
    </w:p>
    <w:p w:rsidR="00944BDF" w:rsidRPr="00BD7CEA" w:rsidRDefault="00944BDF" w:rsidP="00E62BC4">
      <w:pPr>
        <w:pStyle w:val="EndnoteText"/>
        <w:ind w:left="720"/>
      </w:pPr>
    </w:p>
    <w:p w:rsidR="00944BDF" w:rsidRPr="00BD7CEA" w:rsidRDefault="00944BDF" w:rsidP="00E62BC4">
      <w:pPr>
        <w:pStyle w:val="EndnoteText"/>
        <w:ind w:left="720"/>
        <w:rPr>
          <w:spacing w:val="-2"/>
          <w:highlight w:val="yellow"/>
        </w:rPr>
      </w:pPr>
      <w:r w:rsidRPr="00BD7CEA">
        <w:rPr>
          <w:rFonts w:ascii="Tahoma" w:hAnsi="Tahoma" w:cs="Tahoma"/>
          <w:bCs/>
          <w:color w:val="000000"/>
          <w:spacing w:val="-2"/>
          <w:sz w:val="18"/>
          <w:szCs w:val="18"/>
        </w:rPr>
        <w:t>Per Contratti Enterprise Subscription, Campus e School e Open Value Subscription, gli stessi diritti verranno concessi temporaneamente fino al termine del periodo di validità dell</w:t>
      </w:r>
      <w:r w:rsidR="007A1415" w:rsidRPr="00BD7CEA">
        <w:rPr>
          <w:rFonts w:ascii="Tahoma" w:hAnsi="Tahoma" w:cs="Tahoma"/>
          <w:bCs/>
          <w:color w:val="000000"/>
          <w:spacing w:val="-2"/>
          <w:sz w:val="18"/>
          <w:szCs w:val="18"/>
        </w:rPr>
        <w:t>’</w:t>
      </w:r>
      <w:r w:rsidRPr="00BD7CEA">
        <w:rPr>
          <w:rFonts w:ascii="Tahoma" w:hAnsi="Tahoma" w:cs="Tahoma"/>
          <w:bCs/>
          <w:color w:val="000000"/>
          <w:spacing w:val="-2"/>
          <w:sz w:val="18"/>
          <w:szCs w:val="18"/>
        </w:rPr>
        <w:t>iscrizione della licenza, qualora le Licenze e la copertura Software Assurance siano valide durante il periodo di concessione e la società mantenga la copertura dell</w:t>
      </w:r>
      <w:r w:rsidR="007A1415" w:rsidRPr="00BD7CEA">
        <w:rPr>
          <w:rFonts w:ascii="Tahoma" w:hAnsi="Tahoma" w:cs="Tahoma"/>
          <w:bCs/>
          <w:color w:val="000000"/>
          <w:spacing w:val="-2"/>
          <w:sz w:val="18"/>
          <w:szCs w:val="18"/>
        </w:rPr>
        <w:t>’</w:t>
      </w:r>
      <w:r w:rsidRPr="00BD7CEA">
        <w:rPr>
          <w:rFonts w:ascii="Tahoma" w:hAnsi="Tahoma" w:cs="Tahoma"/>
          <w:bCs/>
          <w:color w:val="000000"/>
          <w:spacing w:val="-2"/>
          <w:sz w:val="18"/>
          <w:szCs w:val="18"/>
        </w:rPr>
        <w:t>abbonamento in via continuativa.</w:t>
      </w:r>
      <w:r w:rsidR="008D782D" w:rsidRPr="00BD7CEA">
        <w:rPr>
          <w:rFonts w:ascii="Tahoma" w:hAnsi="Tahoma" w:cs="Tahoma"/>
          <w:bCs/>
          <w:color w:val="000000"/>
          <w:spacing w:val="-2"/>
          <w:sz w:val="18"/>
          <w:szCs w:val="18"/>
        </w:rPr>
        <w:t xml:space="preserve"> </w:t>
      </w:r>
      <w:r w:rsidRPr="00BD7CEA">
        <w:rPr>
          <w:rFonts w:ascii="Tahoma" w:hAnsi="Tahoma" w:cs="Tahoma"/>
          <w:bCs/>
          <w:color w:val="000000"/>
          <w:spacing w:val="-2"/>
          <w:sz w:val="18"/>
          <w:szCs w:val="18"/>
        </w:rPr>
        <w:t>Tali diritti diventeranno permanenti soltanto all</w:t>
      </w:r>
      <w:r w:rsidR="007A1415" w:rsidRPr="00BD7CEA">
        <w:rPr>
          <w:rFonts w:ascii="Tahoma" w:hAnsi="Tahoma" w:cs="Tahoma"/>
          <w:bCs/>
          <w:color w:val="000000"/>
          <w:spacing w:val="-2"/>
          <w:sz w:val="18"/>
          <w:szCs w:val="18"/>
        </w:rPr>
        <w:t>’</w:t>
      </w:r>
      <w:r w:rsidRPr="00BD7CEA">
        <w:rPr>
          <w:rFonts w:ascii="Tahoma" w:hAnsi="Tahoma" w:cs="Tahoma"/>
          <w:bCs/>
          <w:color w:val="000000"/>
          <w:spacing w:val="-2"/>
          <w:sz w:val="18"/>
          <w:szCs w:val="18"/>
        </w:rPr>
        <w:t>esercizio dell</w:t>
      </w:r>
      <w:r w:rsidR="007A1415" w:rsidRPr="00BD7CEA">
        <w:rPr>
          <w:rFonts w:ascii="Tahoma" w:hAnsi="Tahoma" w:cs="Tahoma"/>
          <w:bCs/>
          <w:color w:val="000000"/>
          <w:spacing w:val="-2"/>
          <w:sz w:val="18"/>
          <w:szCs w:val="18"/>
        </w:rPr>
        <w:t>’</w:t>
      </w:r>
      <w:r w:rsidRPr="00BD7CEA">
        <w:rPr>
          <w:rFonts w:ascii="Tahoma" w:hAnsi="Tahoma" w:cs="Tahoma"/>
          <w:bCs/>
          <w:color w:val="000000"/>
          <w:spacing w:val="-2"/>
          <w:sz w:val="18"/>
          <w:szCs w:val="18"/>
        </w:rPr>
        <w:t>opzione buy-out e resteranno soggetti a tutte le condizioni del contratto di licenza della società.</w:t>
      </w:r>
    </w:p>
    <w:p w:rsidR="00944BDF" w:rsidRPr="00BD7CEA" w:rsidRDefault="00944BDF" w:rsidP="00E62BC4">
      <w:pPr>
        <w:ind w:left="720"/>
      </w:pPr>
    </w:p>
    <w:p w:rsidR="009F7F09" w:rsidRPr="00BD7CEA" w:rsidRDefault="009F7F09" w:rsidP="00E62BC4">
      <w:pPr>
        <w:ind w:left="720"/>
      </w:pPr>
    </w:p>
    <w:p w:rsidR="00944BDF" w:rsidRPr="00BD7CEA" w:rsidRDefault="00944BDF" w:rsidP="007B699C">
      <w:pPr>
        <w:spacing w:after="60"/>
        <w:ind w:left="720"/>
      </w:pPr>
      <w:r w:rsidRPr="00BD7CEA">
        <w:rPr>
          <w:rFonts w:cs="Tahoma"/>
          <w:b/>
          <w:bCs/>
          <w:szCs w:val="20"/>
        </w:rPr>
        <w:lastRenderedPageBreak/>
        <w:t xml:space="preserve">Diritti di Downgrade per Microsoft Dynamics CRM 2011 </w:t>
      </w:r>
    </w:p>
    <w:p w:rsidR="00944BDF" w:rsidRPr="00BD7CEA" w:rsidRDefault="00944BDF" w:rsidP="00E62BC4">
      <w:pPr>
        <w:ind w:left="720"/>
      </w:pPr>
      <w:r w:rsidRPr="00BD7CEA">
        <w:rPr>
          <w:rFonts w:cs="Tahoma"/>
          <w:szCs w:val="20"/>
        </w:rPr>
        <w:t>Le società che dispongono di licenze per Microsoft Dynamics CRM 2011 potranno utilizzare Microsoft Dynamics CRM 4.0 anziché Microsoft Dynamics CRM 2011. Le loro licenze per Microsoft Dynamics CRM 2011 potranno essere distribuite come licenze per CRM 4.0 nella modalità che segue:</w:t>
      </w:r>
    </w:p>
    <w:p w:rsidR="007B699C" w:rsidRPr="00BD7CEA" w:rsidRDefault="007B699C" w:rsidP="00E62BC4">
      <w:pPr>
        <w:ind w:left="720"/>
      </w:pPr>
    </w:p>
    <w:tbl>
      <w:tblPr>
        <w:tblW w:w="8280" w:type="dxa"/>
        <w:tblInd w:w="878" w:type="dxa"/>
        <w:tblCellMar>
          <w:left w:w="0" w:type="dxa"/>
          <w:right w:w="0" w:type="dxa"/>
        </w:tblCellMar>
        <w:tblLook w:val="04A0" w:firstRow="1" w:lastRow="0" w:firstColumn="1" w:lastColumn="0" w:noHBand="0" w:noVBand="1"/>
      </w:tblPr>
      <w:tblGrid>
        <w:gridCol w:w="4140"/>
        <w:gridCol w:w="4140"/>
      </w:tblGrid>
      <w:tr w:rsidR="00944BDF" w:rsidRPr="00BD7CEA" w:rsidTr="00CA14C9">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944BDF" w:rsidRPr="00BD7CEA" w:rsidRDefault="00944BDF" w:rsidP="00E6206A">
            <w:pPr>
              <w:ind w:left="360"/>
              <w:rPr>
                <w:rFonts w:cs="Tahoma"/>
                <w:b/>
                <w:bCs/>
                <w:szCs w:val="20"/>
              </w:rPr>
            </w:pPr>
            <w:r w:rsidRPr="00BD7CEA">
              <w:rPr>
                <w:rFonts w:cs="Tahoma"/>
                <w:b/>
                <w:bCs/>
                <w:szCs w:val="20"/>
              </w:rPr>
              <w:t>Licenza Qualificante per Microsoft Dynamics CRM 2011</w:t>
            </w:r>
          </w:p>
        </w:tc>
        <w:tc>
          <w:tcPr>
            <w:tcW w:w="4140" w:type="dxa"/>
            <w:tcBorders>
              <w:top w:val="single" w:sz="8" w:space="0" w:color="000000"/>
              <w:left w:val="nil"/>
              <w:bottom w:val="single" w:sz="8" w:space="0" w:color="000000"/>
              <w:right w:val="single" w:sz="8" w:space="0" w:color="auto"/>
            </w:tcBorders>
            <w:shd w:val="clear" w:color="auto" w:fill="FABF8F"/>
          </w:tcPr>
          <w:p w:rsidR="00944BDF" w:rsidRPr="00BD7CEA" w:rsidRDefault="00944BDF" w:rsidP="00E6206A">
            <w:pPr>
              <w:ind w:left="360"/>
              <w:rPr>
                <w:rFonts w:cs="Tahoma"/>
                <w:b/>
                <w:bCs/>
                <w:szCs w:val="20"/>
              </w:rPr>
            </w:pPr>
            <w:r w:rsidRPr="00BD7CEA">
              <w:rPr>
                <w:rFonts w:cs="Tahoma"/>
                <w:b/>
                <w:bCs/>
                <w:szCs w:val="20"/>
              </w:rPr>
              <w:t>Licenze Corrispondenti per CRM 4.0</w:t>
            </w:r>
          </w:p>
        </w:tc>
      </w:tr>
      <w:tr w:rsidR="00944BDF" w:rsidRPr="00BD7CEA"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BD7CEA" w:rsidRDefault="00944BDF" w:rsidP="00E6206A">
            <w:pPr>
              <w:rPr>
                <w:rFonts w:cs="Tahoma"/>
                <w:color w:val="000000"/>
                <w:szCs w:val="20"/>
              </w:rPr>
            </w:pPr>
            <w:r w:rsidRPr="00BD7CEA">
              <w:rPr>
                <w:rFonts w:cs="Tahoma"/>
                <w:szCs w:val="20"/>
              </w:rPr>
              <w:t>CAL Aggiuntiva per l</w:t>
            </w:r>
            <w:r w:rsidR="007A1415" w:rsidRPr="00BD7CEA">
              <w:rPr>
                <w:rFonts w:cs="Tahoma"/>
                <w:szCs w:val="20"/>
              </w:rPr>
              <w:t>’</w:t>
            </w:r>
            <w:r w:rsidRPr="00BD7CEA">
              <w:rPr>
                <w:rFonts w:cs="Tahoma"/>
                <w:szCs w:val="20"/>
              </w:rPr>
              <w:t>Utilizzo Completo di Microsoft Dynamics CRM 2011</w:t>
            </w:r>
          </w:p>
        </w:tc>
        <w:tc>
          <w:tcPr>
            <w:tcW w:w="4140" w:type="dxa"/>
            <w:tcBorders>
              <w:top w:val="nil"/>
              <w:left w:val="nil"/>
              <w:bottom w:val="single" w:sz="8" w:space="0" w:color="000000"/>
              <w:right w:val="single" w:sz="8" w:space="0" w:color="000000"/>
            </w:tcBorders>
            <w:vAlign w:val="center"/>
          </w:tcPr>
          <w:p w:rsidR="00944BDF" w:rsidRPr="00BD7CEA" w:rsidRDefault="00944BDF" w:rsidP="00E6206A">
            <w:pPr>
              <w:pStyle w:val="ColorfulList-Accent11"/>
              <w:spacing w:line="276" w:lineRule="auto"/>
              <w:ind w:left="288" w:right="162" w:hanging="180"/>
              <w:rPr>
                <w:rFonts w:ascii="Tahoma" w:hAnsi="Tahoma" w:cs="Tahoma"/>
                <w:sz w:val="18"/>
                <w:szCs w:val="20"/>
              </w:rPr>
            </w:pPr>
            <w:r w:rsidRPr="00BD7CEA">
              <w:rPr>
                <w:rFonts w:ascii="Tahoma" w:hAnsi="Tahoma" w:cs="Tahoma"/>
                <w:sz w:val="18"/>
                <w:szCs w:val="20"/>
              </w:rPr>
              <w:t>1 CAL Aggiuntiva per l</w:t>
            </w:r>
            <w:r w:rsidR="007A1415" w:rsidRPr="00BD7CEA">
              <w:rPr>
                <w:rFonts w:ascii="Tahoma" w:hAnsi="Tahoma" w:cs="Tahoma"/>
                <w:sz w:val="18"/>
                <w:szCs w:val="20"/>
              </w:rPr>
              <w:t>’</w:t>
            </w:r>
            <w:r w:rsidRPr="00BD7CEA">
              <w:rPr>
                <w:rFonts w:ascii="Tahoma" w:hAnsi="Tahoma" w:cs="Tahoma"/>
                <w:sz w:val="18"/>
                <w:szCs w:val="20"/>
              </w:rPr>
              <w:t>Utilizzo Completo di Microsoft Dynamics CRM 4.0</w:t>
            </w:r>
          </w:p>
        </w:tc>
      </w:tr>
      <w:tr w:rsidR="00944BDF" w:rsidRPr="00BD7CEA"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BD7CEA" w:rsidRDefault="00944BDF" w:rsidP="00E6206A">
            <w:pPr>
              <w:rPr>
                <w:rFonts w:cs="Tahoma"/>
                <w:color w:val="000000"/>
                <w:szCs w:val="20"/>
              </w:rPr>
            </w:pPr>
            <w:r w:rsidRPr="00BD7CEA">
              <w:rPr>
                <w:rFonts w:cs="Tahoma"/>
                <w:szCs w:val="20"/>
              </w:rPr>
              <w:t>CAL Aggiuntiva per l</w:t>
            </w:r>
            <w:r w:rsidR="007A1415" w:rsidRPr="00BD7CEA">
              <w:rPr>
                <w:rFonts w:cs="Tahoma"/>
                <w:szCs w:val="20"/>
              </w:rPr>
              <w:t>’</w:t>
            </w:r>
            <w:r w:rsidRPr="00BD7CEA">
              <w:rPr>
                <w:rFonts w:cs="Tahoma"/>
                <w:szCs w:val="20"/>
              </w:rPr>
              <w:t>Utilizzo Limitato di Microsoft Dynamics CRM 2011</w:t>
            </w:r>
          </w:p>
        </w:tc>
        <w:tc>
          <w:tcPr>
            <w:tcW w:w="4140" w:type="dxa"/>
            <w:tcBorders>
              <w:top w:val="nil"/>
              <w:left w:val="nil"/>
              <w:bottom w:val="single" w:sz="8" w:space="0" w:color="000000"/>
              <w:right w:val="single" w:sz="8" w:space="0" w:color="000000"/>
            </w:tcBorders>
            <w:vAlign w:val="center"/>
          </w:tcPr>
          <w:p w:rsidR="00944BDF" w:rsidRPr="00BD7CEA" w:rsidRDefault="00944BDF" w:rsidP="00E6206A">
            <w:pPr>
              <w:pStyle w:val="ColorfulList-Accent11"/>
              <w:spacing w:line="276" w:lineRule="auto"/>
              <w:ind w:left="288" w:right="162" w:hanging="180"/>
              <w:rPr>
                <w:rFonts w:ascii="Tahoma" w:hAnsi="Tahoma" w:cs="Tahoma"/>
                <w:sz w:val="18"/>
                <w:szCs w:val="20"/>
              </w:rPr>
            </w:pPr>
            <w:r w:rsidRPr="00BD7CEA">
              <w:rPr>
                <w:rFonts w:ascii="Tahoma" w:hAnsi="Tahoma" w:cs="Tahoma"/>
                <w:sz w:val="18"/>
                <w:szCs w:val="20"/>
              </w:rPr>
              <w:t>1 CAL Limitata per Microsoft Dynamics CRM 4.0</w:t>
            </w:r>
          </w:p>
        </w:tc>
      </w:tr>
      <w:tr w:rsidR="00944BDF" w:rsidRPr="00BD7CEA"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BD7CEA" w:rsidRDefault="00944BDF" w:rsidP="00E6206A">
            <w:pPr>
              <w:rPr>
                <w:rFonts w:cs="Tahoma"/>
                <w:szCs w:val="20"/>
              </w:rPr>
            </w:pPr>
            <w:r w:rsidRPr="00BD7CEA">
              <w:rPr>
                <w:rFonts w:cs="Tahoma"/>
                <w:szCs w:val="20"/>
              </w:rPr>
              <w:t>Microsoft Dynamics CRM 2011 External Connector</w:t>
            </w:r>
          </w:p>
        </w:tc>
        <w:tc>
          <w:tcPr>
            <w:tcW w:w="4140" w:type="dxa"/>
            <w:tcBorders>
              <w:top w:val="nil"/>
              <w:left w:val="nil"/>
              <w:bottom w:val="single" w:sz="8" w:space="0" w:color="000000"/>
              <w:right w:val="single" w:sz="8" w:space="0" w:color="000000"/>
            </w:tcBorders>
            <w:vAlign w:val="center"/>
          </w:tcPr>
          <w:p w:rsidR="00944BDF" w:rsidRPr="00BD7CEA" w:rsidRDefault="00944BDF" w:rsidP="00E6206A">
            <w:pPr>
              <w:pStyle w:val="ColorfulList-Accent11"/>
              <w:spacing w:line="276" w:lineRule="auto"/>
              <w:ind w:left="288" w:right="162" w:hanging="180"/>
            </w:pPr>
            <w:r w:rsidRPr="00BD7CEA">
              <w:rPr>
                <w:rFonts w:ascii="Tahoma" w:hAnsi="Tahoma" w:cs="Tahoma"/>
                <w:sz w:val="18"/>
                <w:szCs w:val="20"/>
              </w:rPr>
              <w:t>1 Licenza External Connector Limitata per Microsoft Dynamics CRM 4.0</w:t>
            </w:r>
          </w:p>
          <w:p w:rsidR="00944BDF" w:rsidRPr="00BD7CEA" w:rsidRDefault="00944BDF" w:rsidP="00E6206A">
            <w:pPr>
              <w:pStyle w:val="ColorfulList-Accent11"/>
              <w:spacing w:line="276" w:lineRule="auto"/>
              <w:ind w:left="288" w:right="162" w:hanging="180"/>
              <w:jc w:val="center"/>
            </w:pPr>
            <w:r w:rsidRPr="00BD7CEA">
              <w:rPr>
                <w:rFonts w:ascii="Tahoma" w:hAnsi="Tahoma" w:cs="Tahoma"/>
                <w:sz w:val="18"/>
                <w:szCs w:val="20"/>
              </w:rPr>
              <w:t>E</w:t>
            </w:r>
          </w:p>
          <w:p w:rsidR="00944BDF" w:rsidRPr="00BD7CEA" w:rsidRDefault="00944BDF" w:rsidP="00E6206A">
            <w:pPr>
              <w:pStyle w:val="ColorfulList-Accent11"/>
              <w:spacing w:line="276" w:lineRule="auto"/>
              <w:ind w:left="288" w:right="162" w:hanging="180"/>
              <w:rPr>
                <w:rFonts w:ascii="Tahoma" w:hAnsi="Tahoma" w:cs="Tahoma"/>
                <w:sz w:val="18"/>
                <w:szCs w:val="20"/>
              </w:rPr>
            </w:pPr>
            <w:r w:rsidRPr="00BD7CEA">
              <w:rPr>
                <w:rFonts w:ascii="Tahoma" w:hAnsi="Tahoma" w:cs="Tahoma"/>
                <w:sz w:val="18"/>
                <w:szCs w:val="20"/>
              </w:rPr>
              <w:t>1 Licenza External Connector Aggiuntiva per l</w:t>
            </w:r>
            <w:r w:rsidR="007A1415" w:rsidRPr="00BD7CEA">
              <w:rPr>
                <w:rFonts w:ascii="Tahoma" w:hAnsi="Tahoma" w:cs="Tahoma"/>
                <w:sz w:val="18"/>
                <w:szCs w:val="20"/>
              </w:rPr>
              <w:t>’</w:t>
            </w:r>
            <w:r w:rsidRPr="00BD7CEA">
              <w:rPr>
                <w:rFonts w:ascii="Tahoma" w:hAnsi="Tahoma" w:cs="Tahoma"/>
                <w:sz w:val="18"/>
                <w:szCs w:val="20"/>
              </w:rPr>
              <w:t xml:space="preserve">Utilizzo Completo di Microsoft </w:t>
            </w:r>
            <w:r w:rsidR="009F7F09" w:rsidRPr="00BD7CEA">
              <w:rPr>
                <w:rFonts w:ascii="Tahoma" w:hAnsi="Tahoma" w:cs="Tahoma"/>
                <w:sz w:val="18"/>
                <w:szCs w:val="20"/>
              </w:rPr>
              <w:br/>
            </w:r>
            <w:r w:rsidRPr="00BD7CEA">
              <w:rPr>
                <w:rFonts w:ascii="Tahoma" w:hAnsi="Tahoma" w:cs="Tahoma"/>
                <w:sz w:val="18"/>
                <w:szCs w:val="20"/>
              </w:rPr>
              <w:t>Dynamics CRM 4.0</w:t>
            </w:r>
          </w:p>
        </w:tc>
      </w:tr>
      <w:tr w:rsidR="00944BDF" w:rsidRPr="00BD7CEA"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BD7CEA" w:rsidRDefault="00944BDF" w:rsidP="00E6206A">
            <w:pPr>
              <w:rPr>
                <w:rFonts w:cs="Tahoma"/>
                <w:color w:val="000000"/>
                <w:szCs w:val="20"/>
              </w:rPr>
            </w:pPr>
            <w:r w:rsidRPr="00BD7CEA">
              <w:rPr>
                <w:rFonts w:cs="Tahoma"/>
                <w:color w:val="000000"/>
                <w:szCs w:val="20"/>
              </w:rPr>
              <w:t>Microsoft Dynamics CRM Server 2011</w:t>
            </w:r>
          </w:p>
        </w:tc>
        <w:tc>
          <w:tcPr>
            <w:tcW w:w="4140" w:type="dxa"/>
            <w:tcBorders>
              <w:top w:val="nil"/>
              <w:left w:val="nil"/>
              <w:bottom w:val="single" w:sz="8" w:space="0" w:color="000000"/>
              <w:right w:val="single" w:sz="8" w:space="0" w:color="000000"/>
            </w:tcBorders>
          </w:tcPr>
          <w:p w:rsidR="00944BDF" w:rsidRPr="00BD7CEA" w:rsidRDefault="00944BDF" w:rsidP="00E6206A">
            <w:pPr>
              <w:pStyle w:val="ColorfulList-Accent11"/>
              <w:spacing w:line="276" w:lineRule="auto"/>
              <w:ind w:left="288" w:right="162" w:hanging="180"/>
            </w:pPr>
            <w:r w:rsidRPr="00BD7CEA">
              <w:rPr>
                <w:rFonts w:ascii="Tahoma" w:hAnsi="Tahoma" w:cs="Tahoma"/>
                <w:sz w:val="18"/>
                <w:szCs w:val="20"/>
              </w:rPr>
              <w:t xml:space="preserve">1 Microsoft Dynamics CRM 4.0 Professional Server </w:t>
            </w:r>
          </w:p>
          <w:p w:rsidR="00944BDF" w:rsidRPr="00BD7CEA" w:rsidRDefault="00944BDF" w:rsidP="00E6206A">
            <w:pPr>
              <w:pStyle w:val="ColorfulList-Accent11"/>
              <w:spacing w:line="276" w:lineRule="auto"/>
              <w:ind w:left="288" w:right="162" w:hanging="180"/>
              <w:jc w:val="center"/>
            </w:pPr>
            <w:r w:rsidRPr="00BD7CEA">
              <w:rPr>
                <w:rFonts w:ascii="Tahoma" w:hAnsi="Tahoma" w:cs="Tahoma"/>
                <w:sz w:val="18"/>
                <w:szCs w:val="20"/>
              </w:rPr>
              <w:t>O</w:t>
            </w:r>
          </w:p>
          <w:p w:rsidR="00944BDF" w:rsidRPr="00BD7CEA" w:rsidRDefault="00944BDF" w:rsidP="00287758">
            <w:pPr>
              <w:pStyle w:val="ColorfulList-Accent11"/>
              <w:spacing w:line="276" w:lineRule="auto"/>
              <w:ind w:left="288" w:right="162" w:hanging="180"/>
              <w:rPr>
                <w:rFonts w:ascii="Tahoma" w:hAnsi="Tahoma" w:cs="Tahoma"/>
                <w:sz w:val="18"/>
                <w:szCs w:val="20"/>
              </w:rPr>
            </w:pPr>
            <w:r w:rsidRPr="00BD7CEA">
              <w:rPr>
                <w:rFonts w:ascii="Tahoma" w:hAnsi="Tahoma" w:cs="Tahoma"/>
                <w:sz w:val="18"/>
                <w:szCs w:val="20"/>
              </w:rPr>
              <w:t xml:space="preserve">1 Microsoft Dynamics CRM 4.0 Enterprise Server </w:t>
            </w:r>
          </w:p>
        </w:tc>
      </w:tr>
      <w:tr w:rsidR="00944BDF" w:rsidRPr="00BD7CEA" w:rsidTr="00CA14C9">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BD7CEA" w:rsidRDefault="00944BDF" w:rsidP="00E6206A">
            <w:pPr>
              <w:rPr>
                <w:rFonts w:cs="Tahoma"/>
                <w:color w:val="000000"/>
                <w:szCs w:val="20"/>
              </w:rPr>
            </w:pPr>
            <w:r w:rsidRPr="00BD7CEA">
              <w:rPr>
                <w:rFonts w:cs="Tahoma"/>
                <w:color w:val="000000"/>
                <w:szCs w:val="20"/>
              </w:rPr>
              <w:t>Microsoft Dynamics CRM Workgroup Server 2011</w:t>
            </w:r>
          </w:p>
        </w:tc>
        <w:tc>
          <w:tcPr>
            <w:tcW w:w="4140" w:type="dxa"/>
            <w:tcBorders>
              <w:top w:val="nil"/>
              <w:left w:val="nil"/>
              <w:bottom w:val="single" w:sz="8" w:space="0" w:color="000000"/>
              <w:right w:val="single" w:sz="8" w:space="0" w:color="000000"/>
            </w:tcBorders>
          </w:tcPr>
          <w:p w:rsidR="00944BDF" w:rsidRPr="00BD7CEA" w:rsidRDefault="00944BDF" w:rsidP="00E6206A">
            <w:pPr>
              <w:pStyle w:val="ColorfulList-Accent11"/>
              <w:spacing w:line="276" w:lineRule="auto"/>
              <w:ind w:left="288" w:right="162" w:hanging="180"/>
              <w:rPr>
                <w:rFonts w:ascii="Tahoma" w:hAnsi="Tahoma" w:cs="Tahoma"/>
                <w:sz w:val="18"/>
                <w:szCs w:val="20"/>
              </w:rPr>
            </w:pPr>
            <w:r w:rsidRPr="00BD7CEA">
              <w:rPr>
                <w:rFonts w:ascii="Tahoma" w:hAnsi="Tahoma" w:cs="Tahoma"/>
                <w:sz w:val="18"/>
                <w:szCs w:val="20"/>
              </w:rPr>
              <w:t xml:space="preserve">1 Microsoft Dynamics CRM 4.0 Workgroup Server </w:t>
            </w:r>
          </w:p>
        </w:tc>
      </w:tr>
    </w:tbl>
    <w:p w:rsidR="00944BDF" w:rsidRPr="00BD7CEA" w:rsidRDefault="00944BDF" w:rsidP="00944BDF">
      <w:r w:rsidRPr="00BD7CEA">
        <w:rPr>
          <w:rFonts w:cs="Tahoma"/>
          <w:szCs w:val="20"/>
        </w:rPr>
        <w:t xml:space="preserve"> </w:t>
      </w:r>
    </w:p>
    <w:p w:rsidR="00BF7FDE" w:rsidRPr="00BD7CEA" w:rsidRDefault="00944BDF" w:rsidP="00586FCE">
      <w:pPr>
        <w:ind w:left="720"/>
      </w:pPr>
      <w:r w:rsidRPr="00BD7CEA">
        <w:rPr>
          <w:rFonts w:cs="Tahoma"/>
          <w:szCs w:val="20"/>
        </w:rPr>
        <w:t xml:space="preserve">Il diritto della società di utilizzare Microsoft Dynamics CRM 4.0 è soggetto alle condizioni di un contratto di licenza della società, ai diritti di utilizzo del prodotto relativi a Microsoft Dynamics CRM 4.0 e alle presenti condizioni. Tale diritto cesserà alla scadenza o alla risoluzione del diritto di utilizzo di Microsoft Dynamics CRM 2011 ai sensi delle relative licenze qualificanti per Microsoft Dynamics CRM 2011. </w:t>
      </w:r>
    </w:p>
    <w:p w:rsidR="00944BDF" w:rsidRPr="00BD7CEA" w:rsidRDefault="00944BDF" w:rsidP="00944BDF">
      <w:pPr>
        <w:ind w:left="540"/>
      </w:pPr>
    </w:p>
    <w:p w:rsidR="00944BDF" w:rsidRPr="00BD7CEA" w:rsidRDefault="00944BDF" w:rsidP="007B699C">
      <w:pPr>
        <w:spacing w:after="60"/>
        <w:ind w:left="720"/>
      </w:pPr>
      <w:r w:rsidRPr="00BD7CEA">
        <w:rPr>
          <w:rFonts w:cs="Tahoma"/>
          <w:b/>
          <w:bCs/>
          <w:color w:val="000000"/>
          <w:szCs w:val="20"/>
        </w:rPr>
        <w:t>Opzioni delle Licenze CAL ed External Connector</w:t>
      </w:r>
    </w:p>
    <w:p w:rsidR="00944BDF" w:rsidRPr="00BD7CEA" w:rsidRDefault="00944BDF" w:rsidP="00E62BC4">
      <w:pPr>
        <w:ind w:left="720"/>
      </w:pPr>
      <w:r w:rsidRPr="00BD7CEA">
        <w:rPr>
          <w:rFonts w:cs="Tahoma"/>
          <w:color w:val="000000"/>
          <w:szCs w:val="20"/>
        </w:rPr>
        <w:t>Gli utilizzi autorizzati ai sensi delle diverse licenze CAL per Microsoft Dynamics CRM 2011 sono delineati nella tabella che segue.</w:t>
      </w:r>
      <w:r w:rsidR="008D782D" w:rsidRPr="00BD7CEA">
        <w:rPr>
          <w:rFonts w:cs="Tahoma"/>
          <w:color w:val="000000"/>
          <w:szCs w:val="20"/>
        </w:rPr>
        <w:t xml:space="preserve"> </w:t>
      </w:r>
      <w:r w:rsidRPr="00BD7CEA">
        <w:rPr>
          <w:rFonts w:cs="Tahoma"/>
          <w:color w:val="000000"/>
          <w:szCs w:val="20"/>
        </w:rPr>
        <w:t>La CAL Limitata e la CAL Completa sono offerte che includono più licenze.</w:t>
      </w:r>
    </w:p>
    <w:p w:rsidR="0033725C" w:rsidRPr="00BD7CEA" w:rsidRDefault="0033725C" w:rsidP="0033725C">
      <w:pPr>
        <w:pStyle w:val="ListParagraph"/>
        <w:ind w:left="0"/>
      </w:pPr>
    </w:p>
    <w:tbl>
      <w:tblPr>
        <w:tblW w:w="8878" w:type="dxa"/>
        <w:tblInd w:w="828" w:type="dxa"/>
        <w:tblLayout w:type="fixed"/>
        <w:tblCellMar>
          <w:left w:w="58" w:type="dxa"/>
          <w:right w:w="58" w:type="dxa"/>
        </w:tblCellMar>
        <w:tblLook w:val="04A0" w:firstRow="1" w:lastRow="0" w:firstColumn="1" w:lastColumn="0" w:noHBand="0" w:noVBand="1"/>
      </w:tblPr>
      <w:tblGrid>
        <w:gridCol w:w="2470"/>
        <w:gridCol w:w="810"/>
        <w:gridCol w:w="990"/>
        <w:gridCol w:w="1170"/>
        <w:gridCol w:w="1080"/>
        <w:gridCol w:w="1260"/>
        <w:gridCol w:w="1098"/>
      </w:tblGrid>
      <w:tr w:rsidR="0033725C" w:rsidRPr="00BD7CEA" w:rsidTr="009F7F09">
        <w:trPr>
          <w:trHeight w:val="226"/>
          <w:tblHeader/>
        </w:trPr>
        <w:tc>
          <w:tcPr>
            <w:tcW w:w="2470" w:type="dxa"/>
            <w:tcBorders>
              <w:top w:val="single" w:sz="4" w:space="0" w:color="auto"/>
              <w:left w:val="single" w:sz="4" w:space="0" w:color="auto"/>
              <w:bottom w:val="single" w:sz="4" w:space="0" w:color="auto"/>
              <w:right w:val="single" w:sz="4" w:space="0" w:color="auto"/>
            </w:tcBorders>
            <w:shd w:val="clear" w:color="auto" w:fill="FABF8F"/>
          </w:tcPr>
          <w:p w:rsidR="0033725C" w:rsidRPr="00BD7CEA" w:rsidRDefault="0033725C" w:rsidP="00A73DBD">
            <w:pPr>
              <w:pStyle w:val="TableHeading"/>
              <w:rPr>
                <w:rFonts w:ascii="Tahoma" w:hAnsi="Tahoma" w:cs="Tahoma"/>
                <w:color w:val="000000"/>
                <w:sz w:val="18"/>
                <w:szCs w:val="18"/>
              </w:rPr>
            </w:pPr>
            <w:r w:rsidRPr="00BD7CEA">
              <w:rPr>
                <w:rFonts w:ascii="Tahoma" w:hAnsi="Tahoma" w:cs="Tahoma"/>
                <w:color w:val="000000"/>
                <w:sz w:val="18"/>
                <w:szCs w:val="18"/>
              </w:rPr>
              <w:t>Diritti sull</w:t>
            </w:r>
            <w:r w:rsidR="007A1415" w:rsidRPr="00BD7CEA">
              <w:rPr>
                <w:rFonts w:ascii="Tahoma" w:hAnsi="Tahoma" w:cs="Tahoma"/>
                <w:color w:val="000000"/>
                <w:sz w:val="18"/>
                <w:szCs w:val="18"/>
              </w:rPr>
              <w:t>’</w:t>
            </w:r>
            <w:r w:rsidRPr="00BD7CEA">
              <w:rPr>
                <w:rFonts w:ascii="Tahoma" w:hAnsi="Tahoma" w:cs="Tahoma"/>
                <w:color w:val="000000"/>
                <w:sz w:val="18"/>
                <w:szCs w:val="18"/>
              </w:rPr>
              <w:t>Utilizzo</w:t>
            </w:r>
          </w:p>
        </w:tc>
        <w:tc>
          <w:tcPr>
            <w:tcW w:w="810" w:type="dxa"/>
            <w:tcBorders>
              <w:top w:val="single" w:sz="4" w:space="0" w:color="auto"/>
              <w:left w:val="single" w:sz="4" w:space="0" w:color="auto"/>
              <w:bottom w:val="single" w:sz="4" w:space="0" w:color="auto"/>
              <w:right w:val="single" w:sz="4" w:space="0" w:color="auto"/>
            </w:tcBorders>
            <w:shd w:val="clear" w:color="auto" w:fill="FABF8F"/>
          </w:tcPr>
          <w:p w:rsidR="0033725C" w:rsidRPr="00BD7CEA" w:rsidRDefault="0033725C" w:rsidP="00A73DBD">
            <w:pPr>
              <w:pStyle w:val="TableHeading"/>
              <w:rPr>
                <w:rFonts w:ascii="Tahoma" w:hAnsi="Tahoma" w:cs="Tahoma"/>
                <w:color w:val="000000"/>
                <w:sz w:val="18"/>
                <w:szCs w:val="18"/>
              </w:rPr>
            </w:pPr>
            <w:r w:rsidRPr="00BD7CEA">
              <w:rPr>
                <w:rFonts w:ascii="Tahoma" w:hAnsi="Tahoma" w:cs="Tahoma"/>
                <w:color w:val="000000"/>
                <w:sz w:val="18"/>
                <w:szCs w:val="18"/>
              </w:rPr>
              <w:t>CAL per ESS</w:t>
            </w:r>
          </w:p>
        </w:tc>
        <w:tc>
          <w:tcPr>
            <w:tcW w:w="990" w:type="dxa"/>
            <w:tcBorders>
              <w:top w:val="single" w:sz="4" w:space="0" w:color="auto"/>
              <w:left w:val="single" w:sz="4" w:space="0" w:color="auto"/>
              <w:bottom w:val="single" w:sz="4" w:space="0" w:color="auto"/>
              <w:right w:val="single" w:sz="4" w:space="0" w:color="auto"/>
            </w:tcBorders>
            <w:shd w:val="clear" w:color="auto" w:fill="FABF8F"/>
          </w:tcPr>
          <w:p w:rsidR="0033725C" w:rsidRPr="00BD7CEA" w:rsidRDefault="0033725C" w:rsidP="009F7F09">
            <w:pPr>
              <w:pStyle w:val="TableHeading"/>
              <w:ind w:right="50"/>
              <w:rPr>
                <w:rFonts w:ascii="Tahoma" w:hAnsi="Tahoma" w:cs="Tahoma"/>
                <w:color w:val="000000"/>
                <w:sz w:val="18"/>
                <w:szCs w:val="18"/>
              </w:rPr>
            </w:pPr>
            <w:r w:rsidRPr="00BD7CEA">
              <w:rPr>
                <w:rFonts w:ascii="Tahoma" w:hAnsi="Tahoma" w:cs="Tahoma"/>
                <w:color w:val="000000"/>
                <w:sz w:val="18"/>
                <w:szCs w:val="18"/>
              </w:rPr>
              <w:t>CAL Limitata</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rsidR="0033725C" w:rsidRPr="00BD7CEA" w:rsidRDefault="0033725C" w:rsidP="00A73DBD">
            <w:pPr>
              <w:pStyle w:val="TableHeading"/>
              <w:rPr>
                <w:rFonts w:ascii="Tahoma" w:hAnsi="Tahoma" w:cs="Tahoma"/>
                <w:color w:val="000000"/>
                <w:sz w:val="18"/>
                <w:szCs w:val="18"/>
              </w:rPr>
            </w:pPr>
            <w:r w:rsidRPr="00BD7CEA">
              <w:rPr>
                <w:rFonts w:ascii="Tahoma" w:hAnsi="Tahoma" w:cs="Tahoma"/>
                <w:color w:val="000000"/>
                <w:sz w:val="18"/>
                <w:szCs w:val="18"/>
              </w:rPr>
              <w:t>CAL Completa</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33725C" w:rsidRPr="00BD7CEA" w:rsidRDefault="0033725C" w:rsidP="00A73DBD">
            <w:pPr>
              <w:pStyle w:val="TableHeading"/>
              <w:rPr>
                <w:rFonts w:ascii="Tahoma" w:hAnsi="Tahoma" w:cs="Tahoma"/>
                <w:color w:val="000000"/>
                <w:sz w:val="18"/>
                <w:szCs w:val="18"/>
              </w:rPr>
            </w:pPr>
            <w:r w:rsidRPr="00BD7CEA">
              <w:rPr>
                <w:rFonts w:ascii="Tahoma" w:hAnsi="Tahoma" w:cs="Tahoma"/>
                <w:color w:val="000000"/>
                <w:sz w:val="18"/>
                <w:szCs w:val="18"/>
              </w:rPr>
              <w:t>CAL Aggiunta per l</w:t>
            </w:r>
            <w:r w:rsidR="007A1415" w:rsidRPr="00BD7CEA">
              <w:rPr>
                <w:rFonts w:ascii="Tahoma" w:hAnsi="Tahoma" w:cs="Tahoma"/>
                <w:color w:val="000000"/>
                <w:sz w:val="18"/>
                <w:szCs w:val="18"/>
              </w:rPr>
              <w:t>’</w:t>
            </w:r>
            <w:r w:rsidRPr="00BD7CEA">
              <w:rPr>
                <w:rFonts w:ascii="Tahoma" w:hAnsi="Tahoma" w:cs="Tahoma"/>
                <w:color w:val="000000"/>
                <w:sz w:val="18"/>
                <w:szCs w:val="18"/>
              </w:rPr>
              <w:t>Utilizzo Limitato</w:t>
            </w:r>
          </w:p>
        </w:tc>
        <w:tc>
          <w:tcPr>
            <w:tcW w:w="1260" w:type="dxa"/>
            <w:tcBorders>
              <w:top w:val="single" w:sz="4" w:space="0" w:color="auto"/>
              <w:left w:val="single" w:sz="4" w:space="0" w:color="auto"/>
              <w:bottom w:val="single" w:sz="4" w:space="0" w:color="auto"/>
              <w:right w:val="single" w:sz="4" w:space="0" w:color="auto"/>
            </w:tcBorders>
            <w:shd w:val="clear" w:color="auto" w:fill="FABF8F"/>
          </w:tcPr>
          <w:p w:rsidR="0033725C" w:rsidRPr="00BD7CEA" w:rsidRDefault="0033725C" w:rsidP="00A73DBD">
            <w:pPr>
              <w:pStyle w:val="TableHeading"/>
              <w:rPr>
                <w:rFonts w:ascii="Tahoma" w:hAnsi="Tahoma" w:cs="Tahoma"/>
                <w:color w:val="000000"/>
                <w:sz w:val="18"/>
                <w:szCs w:val="18"/>
              </w:rPr>
            </w:pPr>
            <w:r w:rsidRPr="00BD7CEA">
              <w:rPr>
                <w:rFonts w:ascii="Tahoma" w:hAnsi="Tahoma" w:cs="Tahoma"/>
                <w:color w:val="000000"/>
                <w:sz w:val="18"/>
                <w:szCs w:val="18"/>
              </w:rPr>
              <w:t>CAL Aggiuntiva per l</w:t>
            </w:r>
            <w:r w:rsidR="007A1415" w:rsidRPr="00BD7CEA">
              <w:rPr>
                <w:rFonts w:ascii="Tahoma" w:hAnsi="Tahoma" w:cs="Tahoma"/>
                <w:color w:val="000000"/>
                <w:sz w:val="18"/>
                <w:szCs w:val="18"/>
              </w:rPr>
              <w:t>’</w:t>
            </w:r>
            <w:r w:rsidRPr="00BD7CEA">
              <w:rPr>
                <w:rFonts w:ascii="Tahoma" w:hAnsi="Tahoma" w:cs="Tahoma"/>
                <w:color w:val="000000"/>
                <w:sz w:val="18"/>
                <w:szCs w:val="18"/>
              </w:rPr>
              <w:t>Utilizzo Completo</w:t>
            </w:r>
          </w:p>
        </w:tc>
        <w:tc>
          <w:tcPr>
            <w:tcW w:w="1098" w:type="dxa"/>
            <w:tcBorders>
              <w:top w:val="single" w:sz="4" w:space="0" w:color="auto"/>
              <w:left w:val="single" w:sz="4" w:space="0" w:color="auto"/>
              <w:bottom w:val="single" w:sz="4" w:space="0" w:color="auto"/>
              <w:right w:val="single" w:sz="4" w:space="0" w:color="auto"/>
            </w:tcBorders>
            <w:shd w:val="clear" w:color="auto" w:fill="FABF8F"/>
          </w:tcPr>
          <w:p w:rsidR="0033725C" w:rsidRPr="00BD7CEA" w:rsidRDefault="0033725C" w:rsidP="009F7F09">
            <w:pPr>
              <w:pStyle w:val="TableHeading"/>
              <w:ind w:left="-4" w:right="0" w:firstLine="9"/>
              <w:rPr>
                <w:rFonts w:ascii="Tahoma" w:hAnsi="Tahoma" w:cs="Tahoma"/>
                <w:color w:val="000000"/>
                <w:sz w:val="18"/>
                <w:szCs w:val="18"/>
              </w:rPr>
            </w:pPr>
            <w:r w:rsidRPr="00BD7CEA">
              <w:rPr>
                <w:rFonts w:ascii="Tahoma" w:hAnsi="Tahoma" w:cs="Tahoma"/>
                <w:color w:val="000000"/>
                <w:sz w:val="18"/>
                <w:szCs w:val="18"/>
              </w:rPr>
              <w:t>External Connector</w:t>
            </w:r>
          </w:p>
        </w:tc>
      </w:tr>
      <w:tr w:rsidR="0033725C" w:rsidRPr="00BD7CEA" w:rsidTr="009F7F09">
        <w:trPr>
          <w:trHeight w:val="199"/>
        </w:trPr>
        <w:tc>
          <w:tcPr>
            <w:tcW w:w="2470" w:type="dxa"/>
            <w:tcBorders>
              <w:top w:val="single" w:sz="4" w:space="0" w:color="auto"/>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Creazione di Account utilizzando l</w:t>
            </w:r>
            <w:r w:rsidR="007A1415" w:rsidRPr="00BD7CEA">
              <w:rPr>
                <w:rFonts w:ascii="Tahoma" w:eastAsia="Calibri" w:hAnsi="Tahoma" w:cs="Tahoma"/>
                <w:sz w:val="18"/>
                <w:szCs w:val="18"/>
              </w:rPr>
              <w:t>’</w:t>
            </w:r>
            <w:r w:rsidRPr="00BD7CEA">
              <w:rPr>
                <w:rFonts w:ascii="Tahoma" w:eastAsia="Calibri" w:hAnsi="Tahoma" w:cs="Tahoma"/>
                <w:sz w:val="18"/>
                <w:szCs w:val="18"/>
              </w:rPr>
              <w:t>Accesso alle API</w:t>
            </w:r>
          </w:p>
        </w:tc>
        <w:tc>
          <w:tcPr>
            <w:tcW w:w="810" w:type="dxa"/>
            <w:tcBorders>
              <w:top w:val="single" w:sz="4" w:space="0" w:color="auto"/>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990" w:type="dxa"/>
            <w:tcBorders>
              <w:top w:val="single" w:sz="4" w:space="0" w:color="auto"/>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170" w:type="dxa"/>
            <w:tcBorders>
              <w:top w:val="single" w:sz="4" w:space="0" w:color="auto"/>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4" w:space="0" w:color="auto"/>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260" w:type="dxa"/>
            <w:tcBorders>
              <w:top w:val="single" w:sz="4" w:space="0" w:color="auto"/>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098" w:type="dxa"/>
            <w:tcBorders>
              <w:top w:val="single" w:sz="4" w:space="0" w:color="auto"/>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r>
      <w:tr w:rsidR="0033725C" w:rsidRPr="00BD7CEA" w:rsidTr="009F7F09">
        <w:trPr>
          <w:trHeight w:val="352"/>
        </w:trPr>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lang w:val="fr-FR"/>
              </w:rPr>
            </w:pPr>
            <w:r w:rsidRPr="00BD7CEA">
              <w:rPr>
                <w:rFonts w:ascii="Tahoma" w:eastAsia="Calibri" w:hAnsi="Tahoma" w:cs="Tahoma"/>
                <w:sz w:val="18"/>
                <w:szCs w:val="18"/>
              </w:rPr>
              <w:t>Creazione di Contatti utilizzando l</w:t>
            </w:r>
            <w:r w:rsidR="007A1415" w:rsidRPr="00BD7CEA">
              <w:rPr>
                <w:rFonts w:ascii="Tahoma" w:eastAsia="Calibri" w:hAnsi="Tahoma" w:cs="Tahoma"/>
                <w:sz w:val="18"/>
                <w:szCs w:val="18"/>
              </w:rPr>
              <w:t>’</w:t>
            </w:r>
            <w:r w:rsidRPr="00BD7CEA">
              <w:rPr>
                <w:rFonts w:ascii="Tahoma" w:eastAsia="Calibri" w:hAnsi="Tahoma" w:cs="Tahoma"/>
                <w:sz w:val="18"/>
                <w:szCs w:val="18"/>
              </w:rPr>
              <w:t>Accesso alle API</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Creazione di Casi utilizzando l</w:t>
            </w:r>
            <w:r w:rsidR="007A1415" w:rsidRPr="00BD7CEA">
              <w:rPr>
                <w:rFonts w:ascii="Tahoma" w:eastAsia="Calibri" w:hAnsi="Tahoma" w:cs="Tahoma"/>
                <w:sz w:val="18"/>
                <w:szCs w:val="18"/>
              </w:rPr>
              <w:t>’</w:t>
            </w:r>
            <w:r w:rsidRPr="00BD7CEA">
              <w:rPr>
                <w:rFonts w:ascii="Tahoma" w:eastAsia="Calibri" w:hAnsi="Tahoma" w:cs="Tahoma"/>
                <w:sz w:val="18"/>
                <w:szCs w:val="18"/>
              </w:rPr>
              <w:t>Accesso alle API</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Creazione di Lead utilizzando l</w:t>
            </w:r>
            <w:r w:rsidR="007A1415" w:rsidRPr="00BD7CEA">
              <w:rPr>
                <w:rFonts w:ascii="Tahoma" w:eastAsia="Calibri" w:hAnsi="Tahoma" w:cs="Tahoma"/>
                <w:sz w:val="18"/>
                <w:szCs w:val="18"/>
              </w:rPr>
              <w:t>’</w:t>
            </w:r>
            <w:r w:rsidRPr="00BD7CEA">
              <w:rPr>
                <w:rFonts w:ascii="Tahoma" w:eastAsia="Calibri" w:hAnsi="Tahoma" w:cs="Tahoma"/>
                <w:sz w:val="18"/>
                <w:szCs w:val="18"/>
              </w:rPr>
              <w:t>Accesso alle API</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Creazione di Attività utilizzando l</w:t>
            </w:r>
            <w:r w:rsidR="007A1415" w:rsidRPr="00BD7CEA">
              <w:rPr>
                <w:rFonts w:ascii="Tahoma" w:eastAsia="Calibri" w:hAnsi="Tahoma" w:cs="Tahoma"/>
                <w:sz w:val="18"/>
                <w:szCs w:val="18"/>
              </w:rPr>
              <w:t>’</w:t>
            </w:r>
            <w:r w:rsidRPr="00BD7CEA">
              <w:rPr>
                <w:rFonts w:ascii="Tahoma" w:eastAsia="Calibri" w:hAnsi="Tahoma" w:cs="Tahoma"/>
                <w:sz w:val="18"/>
                <w:szCs w:val="18"/>
              </w:rPr>
              <w:t>Accesso alle API</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Creazione di Note utilizzando l</w:t>
            </w:r>
            <w:r w:rsidR="007A1415" w:rsidRPr="00BD7CEA">
              <w:rPr>
                <w:rFonts w:ascii="Tahoma" w:eastAsia="Calibri" w:hAnsi="Tahoma" w:cs="Tahoma"/>
                <w:sz w:val="18"/>
                <w:szCs w:val="18"/>
              </w:rPr>
              <w:t>’</w:t>
            </w:r>
            <w:r w:rsidRPr="00BD7CEA">
              <w:rPr>
                <w:rFonts w:ascii="Tahoma" w:eastAsia="Calibri" w:hAnsi="Tahoma" w:cs="Tahoma"/>
                <w:sz w:val="18"/>
                <w:szCs w:val="18"/>
              </w:rPr>
              <w:t>Accesso alle API</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r>
      <w:tr w:rsidR="0033725C" w:rsidRPr="00BD7CEA" w:rsidTr="009F7F09">
        <w:trPr>
          <w:cantSplit/>
        </w:trPr>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9F7F09">
            <w:pPr>
              <w:pStyle w:val="TableText"/>
              <w:jc w:val="left"/>
              <w:rPr>
                <w:rFonts w:ascii="Tahoma" w:eastAsia="Calibri" w:hAnsi="Tahoma" w:cs="Tahoma"/>
                <w:sz w:val="18"/>
                <w:szCs w:val="18"/>
              </w:rPr>
            </w:pPr>
            <w:r w:rsidRPr="00BD7CEA">
              <w:rPr>
                <w:rFonts w:ascii="Tahoma" w:eastAsia="Calibri" w:hAnsi="Tahoma" w:cs="Tahoma"/>
                <w:sz w:val="18"/>
                <w:szCs w:val="18"/>
              </w:rPr>
              <w:t>Creazione di record delle</w:t>
            </w:r>
            <w:r w:rsidR="009F7F09" w:rsidRPr="00BD7CEA">
              <w:rPr>
                <w:rFonts w:ascii="Tahoma" w:eastAsia="Calibri" w:hAnsi="Tahoma" w:cs="Tahoma"/>
                <w:sz w:val="18"/>
                <w:szCs w:val="18"/>
              </w:rPr>
              <w:t> </w:t>
            </w:r>
            <w:r w:rsidRPr="00BD7CEA">
              <w:rPr>
                <w:rFonts w:ascii="Tahoma" w:eastAsia="Calibri" w:hAnsi="Tahoma" w:cs="Tahoma"/>
                <w:sz w:val="18"/>
                <w:szCs w:val="18"/>
              </w:rPr>
              <w:t>persone giuridiche personalizzati utilizzando l</w:t>
            </w:r>
            <w:r w:rsidR="007A1415" w:rsidRPr="00BD7CEA">
              <w:rPr>
                <w:rFonts w:ascii="Tahoma" w:eastAsia="Calibri" w:hAnsi="Tahoma" w:cs="Tahoma"/>
                <w:sz w:val="18"/>
                <w:szCs w:val="18"/>
              </w:rPr>
              <w:t>’</w:t>
            </w:r>
            <w:r w:rsidRPr="00BD7CEA">
              <w:rPr>
                <w:rFonts w:ascii="Tahoma" w:eastAsia="Calibri" w:hAnsi="Tahoma" w:cs="Tahoma"/>
                <w:sz w:val="18"/>
                <w:szCs w:val="18"/>
              </w:rPr>
              <w:t>Accesso alle API</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lastRenderedPageBreak/>
              <w:t>Aggiornamento di Account utilizzando l</w:t>
            </w:r>
            <w:r w:rsidR="007A1415" w:rsidRPr="00BD7CEA">
              <w:rPr>
                <w:rFonts w:ascii="Tahoma" w:eastAsia="Calibri" w:hAnsi="Tahoma" w:cs="Tahoma"/>
                <w:sz w:val="18"/>
                <w:szCs w:val="18"/>
              </w:rPr>
              <w:t>’</w:t>
            </w:r>
            <w:r w:rsidRPr="00BD7CEA">
              <w:rPr>
                <w:rFonts w:ascii="Tahoma" w:eastAsia="Calibri" w:hAnsi="Tahoma" w:cs="Tahoma"/>
                <w:sz w:val="18"/>
                <w:szCs w:val="18"/>
              </w:rPr>
              <w:t>Accesso alle API</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Aggiornamento di Contatti utilizzando l</w:t>
            </w:r>
            <w:r w:rsidR="007A1415" w:rsidRPr="00BD7CEA">
              <w:rPr>
                <w:rFonts w:ascii="Tahoma" w:eastAsia="Calibri" w:hAnsi="Tahoma" w:cs="Tahoma"/>
                <w:sz w:val="18"/>
                <w:szCs w:val="18"/>
              </w:rPr>
              <w:t>’</w:t>
            </w:r>
            <w:r w:rsidRPr="00BD7CEA">
              <w:rPr>
                <w:rFonts w:ascii="Tahoma" w:eastAsia="Calibri" w:hAnsi="Tahoma" w:cs="Tahoma"/>
                <w:sz w:val="18"/>
                <w:szCs w:val="18"/>
              </w:rPr>
              <w:t>Accesso alle API</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Aggiornamento di Casi utilizzando l</w:t>
            </w:r>
            <w:r w:rsidR="007A1415" w:rsidRPr="00BD7CEA">
              <w:rPr>
                <w:rFonts w:ascii="Tahoma" w:eastAsia="Calibri" w:hAnsi="Tahoma" w:cs="Tahoma"/>
                <w:sz w:val="18"/>
                <w:szCs w:val="18"/>
              </w:rPr>
              <w:t>’</w:t>
            </w:r>
            <w:r w:rsidRPr="00BD7CEA">
              <w:rPr>
                <w:rFonts w:ascii="Tahoma" w:eastAsia="Calibri" w:hAnsi="Tahoma" w:cs="Tahoma"/>
                <w:sz w:val="18"/>
                <w:szCs w:val="18"/>
              </w:rPr>
              <w:t>Accesso alle API</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Aggiornamento di Lead utilizzando l</w:t>
            </w:r>
            <w:r w:rsidR="007A1415" w:rsidRPr="00BD7CEA">
              <w:rPr>
                <w:rFonts w:ascii="Tahoma" w:eastAsia="Calibri" w:hAnsi="Tahoma" w:cs="Tahoma"/>
                <w:sz w:val="18"/>
                <w:szCs w:val="18"/>
              </w:rPr>
              <w:t>’</w:t>
            </w:r>
            <w:r w:rsidRPr="00BD7CEA">
              <w:rPr>
                <w:rFonts w:ascii="Tahoma" w:eastAsia="Calibri" w:hAnsi="Tahoma" w:cs="Tahoma"/>
                <w:sz w:val="18"/>
                <w:szCs w:val="18"/>
              </w:rPr>
              <w:t>Accesso alle API</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Aggiornamento di Attività utilizzando l</w:t>
            </w:r>
            <w:r w:rsidR="007A1415" w:rsidRPr="00BD7CEA">
              <w:rPr>
                <w:rFonts w:ascii="Tahoma" w:eastAsia="Calibri" w:hAnsi="Tahoma" w:cs="Tahoma"/>
                <w:sz w:val="18"/>
                <w:szCs w:val="18"/>
              </w:rPr>
              <w:t>’</w:t>
            </w:r>
            <w:r w:rsidRPr="00BD7CEA">
              <w:rPr>
                <w:rFonts w:ascii="Tahoma" w:eastAsia="Calibri" w:hAnsi="Tahoma" w:cs="Tahoma"/>
                <w:sz w:val="18"/>
                <w:szCs w:val="18"/>
              </w:rPr>
              <w:t>Accesso alle API</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Aggiornamento di Note utilizzando l</w:t>
            </w:r>
            <w:r w:rsidR="007A1415" w:rsidRPr="00BD7CEA">
              <w:rPr>
                <w:rFonts w:ascii="Tahoma" w:eastAsia="Calibri" w:hAnsi="Tahoma" w:cs="Tahoma"/>
                <w:sz w:val="18"/>
                <w:szCs w:val="18"/>
              </w:rPr>
              <w:t>’</w:t>
            </w:r>
            <w:r w:rsidRPr="00BD7CEA">
              <w:rPr>
                <w:rFonts w:ascii="Tahoma" w:eastAsia="Calibri" w:hAnsi="Tahoma" w:cs="Tahoma"/>
                <w:sz w:val="18"/>
                <w:szCs w:val="18"/>
              </w:rPr>
              <w:t>Accesso alle API</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Aggiornamento di record delle persone giuridiche personalizzati utilizzando l</w:t>
            </w:r>
            <w:r w:rsidR="007A1415" w:rsidRPr="00BD7CEA">
              <w:rPr>
                <w:rFonts w:ascii="Tahoma" w:eastAsia="Calibri" w:hAnsi="Tahoma" w:cs="Tahoma"/>
                <w:sz w:val="18"/>
                <w:szCs w:val="18"/>
              </w:rPr>
              <w:t>’</w:t>
            </w:r>
            <w:r w:rsidRPr="00BD7CEA">
              <w:rPr>
                <w:rFonts w:ascii="Tahoma" w:eastAsia="Calibri" w:hAnsi="Tahoma" w:cs="Tahoma"/>
                <w:sz w:val="18"/>
                <w:szCs w:val="18"/>
              </w:rPr>
              <w:t>Accesso alle API</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Aggiunta di Account utilizzando l</w:t>
            </w:r>
            <w:r w:rsidR="007A1415" w:rsidRPr="00BD7CEA">
              <w:rPr>
                <w:rFonts w:ascii="Tahoma" w:eastAsia="Calibri" w:hAnsi="Tahoma" w:cs="Tahoma"/>
                <w:sz w:val="18"/>
                <w:szCs w:val="18"/>
              </w:rPr>
              <w:t>’</w:t>
            </w:r>
            <w:r w:rsidRPr="00BD7CEA">
              <w:rPr>
                <w:rFonts w:ascii="Tahoma" w:eastAsia="Calibri" w:hAnsi="Tahoma" w:cs="Tahoma"/>
                <w:sz w:val="18"/>
                <w:szCs w:val="18"/>
              </w:rPr>
              <w:t>Accesso alle API</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Aggiunta di Contatti utilizzando l</w:t>
            </w:r>
            <w:r w:rsidR="007A1415" w:rsidRPr="00BD7CEA">
              <w:rPr>
                <w:rFonts w:ascii="Tahoma" w:eastAsia="Calibri" w:hAnsi="Tahoma" w:cs="Tahoma"/>
                <w:sz w:val="18"/>
                <w:szCs w:val="18"/>
              </w:rPr>
              <w:t>’</w:t>
            </w:r>
            <w:r w:rsidRPr="00BD7CEA">
              <w:rPr>
                <w:rFonts w:ascii="Tahoma" w:eastAsia="Calibri" w:hAnsi="Tahoma" w:cs="Tahoma"/>
                <w:sz w:val="18"/>
                <w:szCs w:val="18"/>
              </w:rPr>
              <w:t>Accesso alle API</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Aggiunta di Casi utilizzando l</w:t>
            </w:r>
            <w:r w:rsidR="007A1415" w:rsidRPr="00BD7CEA">
              <w:rPr>
                <w:rFonts w:ascii="Tahoma" w:eastAsia="Calibri" w:hAnsi="Tahoma" w:cs="Tahoma"/>
                <w:sz w:val="18"/>
                <w:szCs w:val="18"/>
              </w:rPr>
              <w:t>’</w:t>
            </w:r>
            <w:r w:rsidRPr="00BD7CEA">
              <w:rPr>
                <w:rFonts w:ascii="Tahoma" w:eastAsia="Calibri" w:hAnsi="Tahoma" w:cs="Tahoma"/>
                <w:sz w:val="18"/>
                <w:szCs w:val="18"/>
              </w:rPr>
              <w:t>Accesso alle API</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Aggiunta di Lead utilizzando l</w:t>
            </w:r>
            <w:r w:rsidR="007A1415" w:rsidRPr="00BD7CEA">
              <w:rPr>
                <w:rFonts w:ascii="Tahoma" w:eastAsia="Calibri" w:hAnsi="Tahoma" w:cs="Tahoma"/>
                <w:sz w:val="18"/>
                <w:szCs w:val="18"/>
              </w:rPr>
              <w:t>’</w:t>
            </w:r>
            <w:r w:rsidRPr="00BD7CEA">
              <w:rPr>
                <w:rFonts w:ascii="Tahoma" w:eastAsia="Calibri" w:hAnsi="Tahoma" w:cs="Tahoma"/>
                <w:sz w:val="18"/>
                <w:szCs w:val="18"/>
              </w:rPr>
              <w:t>Accesso alle API</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Aggiunta di Attività utilizzando l</w:t>
            </w:r>
            <w:r w:rsidR="007A1415" w:rsidRPr="00BD7CEA">
              <w:rPr>
                <w:rFonts w:ascii="Tahoma" w:eastAsia="Calibri" w:hAnsi="Tahoma" w:cs="Tahoma"/>
                <w:sz w:val="18"/>
                <w:szCs w:val="18"/>
              </w:rPr>
              <w:t>’</w:t>
            </w:r>
            <w:r w:rsidRPr="00BD7CEA">
              <w:rPr>
                <w:rFonts w:ascii="Tahoma" w:eastAsia="Calibri" w:hAnsi="Tahoma" w:cs="Tahoma"/>
                <w:sz w:val="18"/>
                <w:szCs w:val="18"/>
              </w:rPr>
              <w:t>Accesso alle API</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Aggiunta di Note utilizzando l</w:t>
            </w:r>
            <w:r w:rsidR="007A1415" w:rsidRPr="00BD7CEA">
              <w:rPr>
                <w:rFonts w:ascii="Tahoma" w:eastAsia="Calibri" w:hAnsi="Tahoma" w:cs="Tahoma"/>
                <w:sz w:val="18"/>
                <w:szCs w:val="18"/>
              </w:rPr>
              <w:t>’</w:t>
            </w:r>
            <w:r w:rsidRPr="00BD7CEA">
              <w:rPr>
                <w:rFonts w:ascii="Tahoma" w:eastAsia="Calibri" w:hAnsi="Tahoma" w:cs="Tahoma"/>
                <w:sz w:val="18"/>
                <w:szCs w:val="18"/>
              </w:rPr>
              <w:t>Accesso alle API</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Aggiunta di record delle persone giuridiche personalizzati utilizzando l</w:t>
            </w:r>
            <w:r w:rsidR="007A1415" w:rsidRPr="00BD7CEA">
              <w:rPr>
                <w:rFonts w:ascii="Tahoma" w:eastAsia="Calibri" w:hAnsi="Tahoma" w:cs="Tahoma"/>
                <w:sz w:val="18"/>
                <w:szCs w:val="18"/>
              </w:rPr>
              <w:t>’</w:t>
            </w:r>
            <w:r w:rsidRPr="00BD7CEA">
              <w:rPr>
                <w:rFonts w:ascii="Tahoma" w:eastAsia="Calibri" w:hAnsi="Tahoma" w:cs="Tahoma"/>
                <w:sz w:val="18"/>
                <w:szCs w:val="18"/>
              </w:rPr>
              <w:t>Accesso alle API</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Aggiunta ad Account utilizzando l</w:t>
            </w:r>
            <w:r w:rsidR="007A1415" w:rsidRPr="00BD7CEA">
              <w:rPr>
                <w:rFonts w:ascii="Tahoma" w:eastAsia="Calibri" w:hAnsi="Tahoma" w:cs="Tahoma"/>
                <w:sz w:val="18"/>
                <w:szCs w:val="18"/>
              </w:rPr>
              <w:t>’</w:t>
            </w:r>
            <w:r w:rsidRPr="00BD7CEA">
              <w:rPr>
                <w:rFonts w:ascii="Tahoma" w:eastAsia="Calibri" w:hAnsi="Tahoma" w:cs="Tahoma"/>
                <w:sz w:val="18"/>
                <w:szCs w:val="18"/>
              </w:rPr>
              <w:t>Accesso alle API</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Aggiunta a Contatti utilizzando l</w:t>
            </w:r>
            <w:r w:rsidR="007A1415" w:rsidRPr="00BD7CEA">
              <w:rPr>
                <w:rFonts w:ascii="Tahoma" w:eastAsia="Calibri" w:hAnsi="Tahoma" w:cs="Tahoma"/>
                <w:sz w:val="18"/>
                <w:szCs w:val="18"/>
              </w:rPr>
              <w:t>’</w:t>
            </w:r>
            <w:r w:rsidRPr="00BD7CEA">
              <w:rPr>
                <w:rFonts w:ascii="Tahoma" w:eastAsia="Calibri" w:hAnsi="Tahoma" w:cs="Tahoma"/>
                <w:sz w:val="18"/>
                <w:szCs w:val="18"/>
              </w:rPr>
              <w:t>Accesso alle API</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Aggiunta a Casi utilizzando l</w:t>
            </w:r>
            <w:r w:rsidR="007A1415" w:rsidRPr="00BD7CEA">
              <w:rPr>
                <w:rFonts w:ascii="Tahoma" w:eastAsia="Calibri" w:hAnsi="Tahoma" w:cs="Tahoma"/>
                <w:sz w:val="18"/>
                <w:szCs w:val="18"/>
              </w:rPr>
              <w:t>’</w:t>
            </w:r>
            <w:r w:rsidRPr="00BD7CEA">
              <w:rPr>
                <w:rFonts w:ascii="Tahoma" w:eastAsia="Calibri" w:hAnsi="Tahoma" w:cs="Tahoma"/>
                <w:sz w:val="18"/>
                <w:szCs w:val="18"/>
              </w:rPr>
              <w:t>Accesso alle API</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Aggiunta a Lead utilizzando l</w:t>
            </w:r>
            <w:r w:rsidR="007A1415" w:rsidRPr="00BD7CEA">
              <w:rPr>
                <w:rFonts w:ascii="Tahoma" w:eastAsia="Calibri" w:hAnsi="Tahoma" w:cs="Tahoma"/>
                <w:sz w:val="18"/>
                <w:szCs w:val="18"/>
              </w:rPr>
              <w:t>’</w:t>
            </w:r>
            <w:r w:rsidRPr="00BD7CEA">
              <w:rPr>
                <w:rFonts w:ascii="Tahoma" w:eastAsia="Calibri" w:hAnsi="Tahoma" w:cs="Tahoma"/>
                <w:sz w:val="18"/>
                <w:szCs w:val="18"/>
              </w:rPr>
              <w:t>Accesso alle API</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Aggiunta ad Attività utilizzando l</w:t>
            </w:r>
            <w:r w:rsidR="007A1415" w:rsidRPr="00BD7CEA">
              <w:rPr>
                <w:rFonts w:ascii="Tahoma" w:eastAsia="Calibri" w:hAnsi="Tahoma" w:cs="Tahoma"/>
                <w:sz w:val="18"/>
                <w:szCs w:val="18"/>
              </w:rPr>
              <w:t>’</w:t>
            </w:r>
            <w:r w:rsidRPr="00BD7CEA">
              <w:rPr>
                <w:rFonts w:ascii="Tahoma" w:eastAsia="Calibri" w:hAnsi="Tahoma" w:cs="Tahoma"/>
                <w:sz w:val="18"/>
                <w:szCs w:val="18"/>
              </w:rPr>
              <w:t>Accesso alle API</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Aggiunta a Note utilizzando l</w:t>
            </w:r>
            <w:r w:rsidR="007A1415" w:rsidRPr="00BD7CEA">
              <w:rPr>
                <w:rFonts w:ascii="Tahoma" w:eastAsia="Calibri" w:hAnsi="Tahoma" w:cs="Tahoma"/>
                <w:sz w:val="18"/>
                <w:szCs w:val="18"/>
              </w:rPr>
              <w:t>’</w:t>
            </w:r>
            <w:r w:rsidRPr="00BD7CEA">
              <w:rPr>
                <w:rFonts w:ascii="Tahoma" w:eastAsia="Calibri" w:hAnsi="Tahoma" w:cs="Tahoma"/>
                <w:sz w:val="18"/>
                <w:szCs w:val="18"/>
              </w:rPr>
              <w:t>Accesso alle API</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Aggiunta a record delle persone giuridiche personalizzati utilizzando l</w:t>
            </w:r>
            <w:r w:rsidR="007A1415" w:rsidRPr="00BD7CEA">
              <w:rPr>
                <w:rFonts w:ascii="Tahoma" w:eastAsia="Calibri" w:hAnsi="Tahoma" w:cs="Tahoma"/>
                <w:sz w:val="18"/>
                <w:szCs w:val="18"/>
              </w:rPr>
              <w:t>’</w:t>
            </w:r>
            <w:r w:rsidRPr="00BD7CEA">
              <w:rPr>
                <w:rFonts w:ascii="Tahoma" w:eastAsia="Calibri" w:hAnsi="Tahoma" w:cs="Tahoma"/>
                <w:sz w:val="18"/>
                <w:szCs w:val="18"/>
              </w:rPr>
              <w:t>Accesso alle API</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Eliminazione di Account utilizzando l</w:t>
            </w:r>
            <w:r w:rsidR="007A1415" w:rsidRPr="00BD7CEA">
              <w:rPr>
                <w:rFonts w:ascii="Tahoma" w:eastAsia="Calibri" w:hAnsi="Tahoma" w:cs="Tahoma"/>
                <w:sz w:val="18"/>
                <w:szCs w:val="18"/>
              </w:rPr>
              <w:t>’</w:t>
            </w:r>
            <w:r w:rsidRPr="00BD7CEA">
              <w:rPr>
                <w:rFonts w:ascii="Tahoma" w:eastAsia="Calibri" w:hAnsi="Tahoma" w:cs="Tahoma"/>
                <w:sz w:val="18"/>
                <w:szCs w:val="18"/>
              </w:rPr>
              <w:t>Accesso alle API</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r w:rsidRPr="00BD7CEA">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r w:rsidRPr="00BD7CEA">
              <w:rPr>
                <w:rFonts w:eastAsia="Calibri" w:cs="Segoe UI"/>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Eliminazione di Contatti utilizzando l</w:t>
            </w:r>
            <w:r w:rsidR="007A1415" w:rsidRPr="00BD7CEA">
              <w:rPr>
                <w:rFonts w:ascii="Tahoma" w:eastAsia="Calibri" w:hAnsi="Tahoma" w:cs="Tahoma"/>
                <w:sz w:val="18"/>
                <w:szCs w:val="18"/>
              </w:rPr>
              <w:t>’</w:t>
            </w:r>
            <w:r w:rsidRPr="00BD7CEA">
              <w:rPr>
                <w:rFonts w:ascii="Tahoma" w:eastAsia="Calibri" w:hAnsi="Tahoma" w:cs="Tahoma"/>
                <w:sz w:val="18"/>
                <w:szCs w:val="18"/>
              </w:rPr>
              <w:t>Accesso alle API</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r w:rsidRPr="00BD7CEA">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r w:rsidRPr="00BD7CEA">
              <w:rPr>
                <w:rFonts w:eastAsia="Calibri" w:cs="Segoe UI"/>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lastRenderedPageBreak/>
              <w:t>Eliminazione di Casi utilizzando l</w:t>
            </w:r>
            <w:r w:rsidR="007A1415" w:rsidRPr="00BD7CEA">
              <w:rPr>
                <w:rFonts w:ascii="Tahoma" w:eastAsia="Calibri" w:hAnsi="Tahoma" w:cs="Tahoma"/>
                <w:sz w:val="18"/>
                <w:szCs w:val="18"/>
              </w:rPr>
              <w:t>’</w:t>
            </w:r>
            <w:r w:rsidRPr="00BD7CEA">
              <w:rPr>
                <w:rFonts w:ascii="Tahoma" w:eastAsia="Calibri" w:hAnsi="Tahoma" w:cs="Tahoma"/>
                <w:sz w:val="18"/>
                <w:szCs w:val="18"/>
              </w:rPr>
              <w:t>Accesso alle API</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r w:rsidRPr="00BD7CEA">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r w:rsidRPr="00BD7CEA">
              <w:rPr>
                <w:rFonts w:eastAsia="Calibri" w:cs="Segoe UI"/>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Eliminazione di Lead utilizzando l</w:t>
            </w:r>
            <w:r w:rsidR="007A1415" w:rsidRPr="00BD7CEA">
              <w:rPr>
                <w:rFonts w:ascii="Tahoma" w:eastAsia="Calibri" w:hAnsi="Tahoma" w:cs="Tahoma"/>
                <w:sz w:val="18"/>
                <w:szCs w:val="18"/>
              </w:rPr>
              <w:t>’</w:t>
            </w:r>
            <w:r w:rsidRPr="00BD7CEA">
              <w:rPr>
                <w:rFonts w:ascii="Tahoma" w:eastAsia="Calibri" w:hAnsi="Tahoma" w:cs="Tahoma"/>
                <w:sz w:val="18"/>
                <w:szCs w:val="18"/>
              </w:rPr>
              <w:t>Accesso alle API</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r w:rsidRPr="00BD7CEA">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r w:rsidRPr="00BD7CEA">
              <w:rPr>
                <w:rFonts w:eastAsia="Calibri" w:cs="Segoe UI"/>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Eliminazione di Attività utilizzando l</w:t>
            </w:r>
            <w:r w:rsidR="007A1415" w:rsidRPr="00BD7CEA">
              <w:rPr>
                <w:rFonts w:ascii="Tahoma" w:eastAsia="Calibri" w:hAnsi="Tahoma" w:cs="Tahoma"/>
                <w:sz w:val="18"/>
                <w:szCs w:val="18"/>
              </w:rPr>
              <w:t>’</w:t>
            </w:r>
            <w:r w:rsidRPr="00BD7CEA">
              <w:rPr>
                <w:rFonts w:ascii="Tahoma" w:eastAsia="Calibri" w:hAnsi="Tahoma" w:cs="Tahoma"/>
                <w:sz w:val="18"/>
                <w:szCs w:val="18"/>
              </w:rPr>
              <w:t>Accesso alle API</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r w:rsidRPr="00BD7CEA">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r w:rsidRPr="00BD7CEA">
              <w:rPr>
                <w:rFonts w:eastAsia="Calibri" w:cs="Segoe UI"/>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Eliminazione di Note utilizzando l</w:t>
            </w:r>
            <w:r w:rsidR="007A1415" w:rsidRPr="00BD7CEA">
              <w:rPr>
                <w:rFonts w:ascii="Tahoma" w:eastAsia="Calibri" w:hAnsi="Tahoma" w:cs="Tahoma"/>
                <w:sz w:val="18"/>
                <w:szCs w:val="18"/>
              </w:rPr>
              <w:t>’</w:t>
            </w:r>
            <w:r w:rsidRPr="00BD7CEA">
              <w:rPr>
                <w:rFonts w:ascii="Tahoma" w:eastAsia="Calibri" w:hAnsi="Tahoma" w:cs="Tahoma"/>
                <w:sz w:val="18"/>
                <w:szCs w:val="18"/>
              </w:rPr>
              <w:t>Accesso alle API</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r w:rsidRPr="00BD7CEA">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r w:rsidRPr="00BD7CEA">
              <w:rPr>
                <w:rFonts w:eastAsia="Calibri" w:cs="Segoe UI"/>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Eliminazione di record delle persone giuridiche personalizzati utilizzando l</w:t>
            </w:r>
            <w:r w:rsidR="007A1415" w:rsidRPr="00BD7CEA">
              <w:rPr>
                <w:rFonts w:ascii="Tahoma" w:eastAsia="Calibri" w:hAnsi="Tahoma" w:cs="Tahoma"/>
                <w:sz w:val="18"/>
                <w:szCs w:val="18"/>
              </w:rPr>
              <w:t>’</w:t>
            </w:r>
            <w:r w:rsidRPr="00BD7CEA">
              <w:rPr>
                <w:rFonts w:ascii="Tahoma" w:eastAsia="Calibri" w:hAnsi="Tahoma" w:cs="Tahoma"/>
                <w:sz w:val="18"/>
                <w:szCs w:val="18"/>
              </w:rPr>
              <w:t>Accesso alle API</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r w:rsidRPr="00BD7CEA">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r w:rsidRPr="00BD7CEA">
              <w:rPr>
                <w:rFonts w:eastAsia="Calibri" w:cs="Segoe UI"/>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Assegnazione di Account utilizzando l</w:t>
            </w:r>
            <w:r w:rsidR="007A1415" w:rsidRPr="00BD7CEA">
              <w:rPr>
                <w:rFonts w:ascii="Tahoma" w:eastAsia="Calibri" w:hAnsi="Tahoma" w:cs="Tahoma"/>
                <w:sz w:val="18"/>
                <w:szCs w:val="18"/>
              </w:rPr>
              <w:t>’</w:t>
            </w:r>
            <w:r w:rsidRPr="00BD7CEA">
              <w:rPr>
                <w:rFonts w:ascii="Tahoma" w:eastAsia="Calibri" w:hAnsi="Tahoma" w:cs="Tahoma"/>
                <w:sz w:val="18"/>
                <w:szCs w:val="18"/>
              </w:rPr>
              <w:t>Accesso alle API</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r w:rsidRPr="00BD7CEA">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r w:rsidRPr="00BD7CEA">
              <w:rPr>
                <w:rFonts w:eastAsia="Calibri" w:cs="Segoe UI"/>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Assegnazione di Contatti utilizzando l</w:t>
            </w:r>
            <w:r w:rsidR="007A1415" w:rsidRPr="00BD7CEA">
              <w:rPr>
                <w:rFonts w:ascii="Tahoma" w:eastAsia="Calibri" w:hAnsi="Tahoma" w:cs="Tahoma"/>
                <w:sz w:val="18"/>
                <w:szCs w:val="18"/>
              </w:rPr>
              <w:t>’</w:t>
            </w:r>
            <w:r w:rsidRPr="00BD7CEA">
              <w:rPr>
                <w:rFonts w:ascii="Tahoma" w:eastAsia="Calibri" w:hAnsi="Tahoma" w:cs="Tahoma"/>
                <w:sz w:val="18"/>
                <w:szCs w:val="18"/>
              </w:rPr>
              <w:t>Accesso alle API</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r w:rsidRPr="00BD7CEA">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r w:rsidRPr="00BD7CEA">
              <w:rPr>
                <w:rFonts w:eastAsia="Calibri" w:cs="Segoe UI"/>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Assegnazione di Casi utilizzando l</w:t>
            </w:r>
            <w:r w:rsidR="007A1415" w:rsidRPr="00BD7CEA">
              <w:rPr>
                <w:rFonts w:ascii="Tahoma" w:eastAsia="Calibri" w:hAnsi="Tahoma" w:cs="Tahoma"/>
                <w:sz w:val="18"/>
                <w:szCs w:val="18"/>
              </w:rPr>
              <w:t>’</w:t>
            </w:r>
            <w:r w:rsidRPr="00BD7CEA">
              <w:rPr>
                <w:rFonts w:ascii="Tahoma" w:eastAsia="Calibri" w:hAnsi="Tahoma" w:cs="Tahoma"/>
                <w:sz w:val="18"/>
                <w:szCs w:val="18"/>
              </w:rPr>
              <w:t>Accesso alle API</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r w:rsidRPr="00BD7CEA">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r w:rsidRPr="00BD7CEA">
              <w:rPr>
                <w:rFonts w:eastAsia="Calibri" w:cs="Segoe UI"/>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Assegnazione di Lead utilizzando l</w:t>
            </w:r>
            <w:r w:rsidR="007A1415" w:rsidRPr="00BD7CEA">
              <w:rPr>
                <w:rFonts w:ascii="Tahoma" w:eastAsia="Calibri" w:hAnsi="Tahoma" w:cs="Tahoma"/>
                <w:sz w:val="18"/>
                <w:szCs w:val="18"/>
              </w:rPr>
              <w:t>’</w:t>
            </w:r>
            <w:r w:rsidRPr="00BD7CEA">
              <w:rPr>
                <w:rFonts w:ascii="Tahoma" w:eastAsia="Calibri" w:hAnsi="Tahoma" w:cs="Tahoma"/>
                <w:sz w:val="18"/>
                <w:szCs w:val="18"/>
              </w:rPr>
              <w:t>Accesso alle API</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r w:rsidRPr="00BD7CEA">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r w:rsidRPr="00BD7CEA">
              <w:rPr>
                <w:rFonts w:eastAsia="Calibri" w:cs="Segoe UI"/>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Assegnazione di Attività utilizzando l</w:t>
            </w:r>
            <w:r w:rsidR="007A1415" w:rsidRPr="00BD7CEA">
              <w:rPr>
                <w:rFonts w:ascii="Tahoma" w:eastAsia="Calibri" w:hAnsi="Tahoma" w:cs="Tahoma"/>
                <w:sz w:val="18"/>
                <w:szCs w:val="18"/>
              </w:rPr>
              <w:t>’</w:t>
            </w:r>
            <w:r w:rsidRPr="00BD7CEA">
              <w:rPr>
                <w:rFonts w:ascii="Tahoma" w:eastAsia="Calibri" w:hAnsi="Tahoma" w:cs="Tahoma"/>
                <w:sz w:val="18"/>
                <w:szCs w:val="18"/>
              </w:rPr>
              <w:t>Accesso alle API</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r w:rsidRPr="00BD7CEA">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r w:rsidRPr="00BD7CEA">
              <w:rPr>
                <w:rFonts w:eastAsia="Calibri" w:cs="Segoe UI"/>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Assegnazione di record delle persone giuridiche personalizzati utilizzando l</w:t>
            </w:r>
            <w:r w:rsidR="007A1415" w:rsidRPr="00BD7CEA">
              <w:rPr>
                <w:rFonts w:ascii="Tahoma" w:eastAsia="Calibri" w:hAnsi="Tahoma" w:cs="Tahoma"/>
                <w:sz w:val="18"/>
                <w:szCs w:val="18"/>
              </w:rPr>
              <w:t>’</w:t>
            </w:r>
            <w:r w:rsidRPr="00BD7CEA">
              <w:rPr>
                <w:rFonts w:ascii="Tahoma" w:eastAsia="Calibri" w:hAnsi="Tahoma" w:cs="Tahoma"/>
                <w:sz w:val="18"/>
                <w:szCs w:val="18"/>
              </w:rPr>
              <w:t>Accesso alle API</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r w:rsidRPr="00BD7CEA">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r w:rsidRPr="00BD7CEA">
              <w:rPr>
                <w:rFonts w:eastAsia="Calibri" w:cs="Segoe UI"/>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Condivisione di Account utilizzando l</w:t>
            </w:r>
            <w:r w:rsidR="007A1415" w:rsidRPr="00BD7CEA">
              <w:rPr>
                <w:rFonts w:ascii="Tahoma" w:eastAsia="Calibri" w:hAnsi="Tahoma" w:cs="Tahoma"/>
                <w:sz w:val="18"/>
                <w:szCs w:val="18"/>
              </w:rPr>
              <w:t>’</w:t>
            </w:r>
            <w:r w:rsidRPr="00BD7CEA">
              <w:rPr>
                <w:rFonts w:ascii="Tahoma" w:eastAsia="Calibri" w:hAnsi="Tahoma" w:cs="Tahoma"/>
                <w:sz w:val="18"/>
                <w:szCs w:val="18"/>
              </w:rPr>
              <w:t>Accesso alle API</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r w:rsidRPr="00BD7CEA">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r w:rsidRPr="00BD7CEA">
              <w:rPr>
                <w:rFonts w:eastAsia="Calibri" w:cs="Segoe UI"/>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Condivisione di Contatti utilizzando l</w:t>
            </w:r>
            <w:r w:rsidR="007A1415" w:rsidRPr="00BD7CEA">
              <w:rPr>
                <w:rFonts w:ascii="Tahoma" w:eastAsia="Calibri" w:hAnsi="Tahoma" w:cs="Tahoma"/>
                <w:sz w:val="18"/>
                <w:szCs w:val="18"/>
              </w:rPr>
              <w:t>’</w:t>
            </w:r>
            <w:r w:rsidRPr="00BD7CEA">
              <w:rPr>
                <w:rFonts w:ascii="Tahoma" w:eastAsia="Calibri" w:hAnsi="Tahoma" w:cs="Tahoma"/>
                <w:sz w:val="18"/>
                <w:szCs w:val="18"/>
              </w:rPr>
              <w:t>Accesso alle API</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r w:rsidRPr="00BD7CEA">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r w:rsidRPr="00BD7CEA">
              <w:rPr>
                <w:rFonts w:eastAsia="Calibri" w:cs="Segoe UI"/>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Condivisione di Casi utilizzando l</w:t>
            </w:r>
            <w:r w:rsidR="007A1415" w:rsidRPr="00BD7CEA">
              <w:rPr>
                <w:rFonts w:ascii="Tahoma" w:eastAsia="Calibri" w:hAnsi="Tahoma" w:cs="Tahoma"/>
                <w:sz w:val="18"/>
                <w:szCs w:val="18"/>
              </w:rPr>
              <w:t>’</w:t>
            </w:r>
            <w:r w:rsidRPr="00BD7CEA">
              <w:rPr>
                <w:rFonts w:ascii="Tahoma" w:eastAsia="Calibri" w:hAnsi="Tahoma" w:cs="Tahoma"/>
                <w:sz w:val="18"/>
                <w:szCs w:val="18"/>
              </w:rPr>
              <w:t>Accesso alle API</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r w:rsidRPr="00BD7CEA">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r w:rsidRPr="00BD7CEA">
              <w:rPr>
                <w:rFonts w:eastAsia="Calibri" w:cs="Segoe UI"/>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Condivisione di Lead utilizzando l</w:t>
            </w:r>
            <w:r w:rsidR="007A1415" w:rsidRPr="00BD7CEA">
              <w:rPr>
                <w:rFonts w:ascii="Tahoma" w:eastAsia="Calibri" w:hAnsi="Tahoma" w:cs="Tahoma"/>
                <w:sz w:val="18"/>
                <w:szCs w:val="18"/>
              </w:rPr>
              <w:t>’</w:t>
            </w:r>
            <w:r w:rsidRPr="00BD7CEA">
              <w:rPr>
                <w:rFonts w:ascii="Tahoma" w:eastAsia="Calibri" w:hAnsi="Tahoma" w:cs="Tahoma"/>
                <w:sz w:val="18"/>
                <w:szCs w:val="18"/>
              </w:rPr>
              <w:t>Accesso alle API</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r w:rsidRPr="00BD7CEA">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r w:rsidRPr="00BD7CEA">
              <w:rPr>
                <w:rFonts w:eastAsia="Calibri" w:cs="Segoe UI"/>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Condivisione di Attività utilizzando l</w:t>
            </w:r>
            <w:r w:rsidR="007A1415" w:rsidRPr="00BD7CEA">
              <w:rPr>
                <w:rFonts w:ascii="Tahoma" w:eastAsia="Calibri" w:hAnsi="Tahoma" w:cs="Tahoma"/>
                <w:sz w:val="18"/>
                <w:szCs w:val="18"/>
              </w:rPr>
              <w:t>’</w:t>
            </w:r>
            <w:r w:rsidRPr="00BD7CEA">
              <w:rPr>
                <w:rFonts w:ascii="Tahoma" w:eastAsia="Calibri" w:hAnsi="Tahoma" w:cs="Tahoma"/>
                <w:sz w:val="18"/>
                <w:szCs w:val="18"/>
              </w:rPr>
              <w:t>Accesso alle API</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r w:rsidRPr="00BD7CEA">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r w:rsidRPr="00BD7CEA">
              <w:rPr>
                <w:rFonts w:eastAsia="Calibri" w:cs="Segoe UI"/>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Condivisione di record delle persone giuridiche personalizzati utilizzando l</w:t>
            </w:r>
            <w:r w:rsidR="007A1415" w:rsidRPr="00BD7CEA">
              <w:rPr>
                <w:rFonts w:ascii="Tahoma" w:eastAsia="Calibri" w:hAnsi="Tahoma" w:cs="Tahoma"/>
                <w:sz w:val="18"/>
                <w:szCs w:val="18"/>
              </w:rPr>
              <w:t>’</w:t>
            </w:r>
            <w:r w:rsidRPr="00BD7CEA">
              <w:rPr>
                <w:rFonts w:ascii="Tahoma" w:eastAsia="Calibri" w:hAnsi="Tahoma" w:cs="Tahoma"/>
                <w:sz w:val="18"/>
                <w:szCs w:val="18"/>
              </w:rPr>
              <w:t>Accesso alle API</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r w:rsidRPr="00BD7CEA">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r w:rsidRPr="00BD7CEA">
              <w:rPr>
                <w:rFonts w:eastAsia="Calibri" w:cs="Segoe UI"/>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Creazione di Account utilizzando i client Microsoft Dynamics CRM</w:t>
            </w:r>
            <w:r w:rsidRPr="00BD7CEA">
              <w:rPr>
                <w:rFonts w:ascii="Tahoma" w:eastAsia="Calibri" w:hAnsi="Tahoma" w:cs="Tahoma"/>
                <w:b/>
                <w:sz w:val="18"/>
                <w:szCs w:val="18"/>
                <w:vertAlign w:val="superscript"/>
              </w:rPr>
              <w:t>1</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Creazione di Contatti utilizzando i client Microsoft Dynamics CRM</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rPr>
          <w:cantSplit/>
        </w:trPr>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9F7F09">
            <w:pPr>
              <w:pStyle w:val="TableText"/>
              <w:jc w:val="left"/>
              <w:rPr>
                <w:rFonts w:ascii="Tahoma" w:eastAsia="Calibri" w:hAnsi="Tahoma" w:cs="Tahoma"/>
                <w:sz w:val="18"/>
                <w:szCs w:val="18"/>
              </w:rPr>
            </w:pPr>
            <w:r w:rsidRPr="00BD7CEA">
              <w:rPr>
                <w:rFonts w:ascii="Tahoma" w:eastAsia="Calibri" w:hAnsi="Tahoma" w:cs="Tahoma"/>
                <w:sz w:val="18"/>
                <w:szCs w:val="18"/>
              </w:rPr>
              <w:t>Creazione di Casi utilizzando</w:t>
            </w:r>
            <w:r w:rsidR="0054515F" w:rsidRPr="00BD7CEA">
              <w:rPr>
                <w:rFonts w:ascii="Tahoma" w:eastAsia="Calibri" w:hAnsi="Tahoma" w:cs="Tahoma"/>
                <w:sz w:val="18"/>
                <w:szCs w:val="18"/>
              </w:rPr>
              <w:t> </w:t>
            </w:r>
            <w:r w:rsidR="009F7F09" w:rsidRPr="00BD7CEA">
              <w:rPr>
                <w:rFonts w:ascii="Tahoma" w:eastAsia="Calibri" w:hAnsi="Tahoma" w:cs="Tahoma"/>
                <w:sz w:val="18"/>
                <w:szCs w:val="18"/>
              </w:rPr>
              <w:t>I </w:t>
            </w:r>
            <w:r w:rsidRPr="00BD7CEA">
              <w:rPr>
                <w:rFonts w:ascii="Tahoma" w:eastAsia="Calibri" w:hAnsi="Tahoma" w:cs="Tahoma"/>
                <w:sz w:val="18"/>
                <w:szCs w:val="18"/>
              </w:rPr>
              <w:t>client Microsoft</w:t>
            </w:r>
            <w:r w:rsidR="0054515F" w:rsidRPr="00BD7CEA">
              <w:rPr>
                <w:rFonts w:ascii="Tahoma" w:eastAsia="Calibri" w:hAnsi="Tahoma" w:cs="Tahoma"/>
                <w:sz w:val="18"/>
                <w:szCs w:val="18"/>
              </w:rPr>
              <w:t> </w:t>
            </w:r>
            <w:r w:rsidRPr="00BD7CEA">
              <w:rPr>
                <w:rFonts w:ascii="Tahoma" w:eastAsia="Calibri" w:hAnsi="Tahoma" w:cs="Tahoma"/>
                <w:sz w:val="18"/>
                <w:szCs w:val="18"/>
              </w:rPr>
              <w:t>Dynamics</w:t>
            </w:r>
            <w:r w:rsidR="009F7F09" w:rsidRPr="00BD7CEA">
              <w:rPr>
                <w:rFonts w:ascii="Tahoma" w:eastAsia="Calibri" w:hAnsi="Tahoma" w:cs="Tahoma"/>
                <w:sz w:val="18"/>
                <w:szCs w:val="18"/>
              </w:rPr>
              <w:t> </w:t>
            </w:r>
            <w:r w:rsidRPr="00BD7CEA">
              <w:rPr>
                <w:rFonts w:ascii="Tahoma" w:eastAsia="Calibri" w:hAnsi="Tahoma" w:cs="Tahoma"/>
                <w:sz w:val="18"/>
                <w:szCs w:val="18"/>
              </w:rPr>
              <w:t>CRM</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Creazione di Lead utilizzando i client Microsoft Dynamics</w:t>
            </w:r>
            <w:r w:rsidR="0054515F" w:rsidRPr="00BD7CEA">
              <w:rPr>
                <w:rFonts w:ascii="Tahoma" w:eastAsia="Calibri" w:hAnsi="Tahoma" w:cs="Tahoma"/>
                <w:sz w:val="18"/>
                <w:szCs w:val="18"/>
              </w:rPr>
              <w:t> </w:t>
            </w:r>
            <w:r w:rsidRPr="00BD7CEA">
              <w:rPr>
                <w:rFonts w:ascii="Tahoma" w:eastAsia="Calibri" w:hAnsi="Tahoma" w:cs="Tahoma"/>
                <w:sz w:val="18"/>
                <w:szCs w:val="18"/>
              </w:rPr>
              <w:t>CRM</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lastRenderedPageBreak/>
              <w:t>Creazione di Attività utilizzando i client Microsoft Dynamics CRM</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9F7F09">
            <w:pPr>
              <w:pStyle w:val="TableText"/>
              <w:jc w:val="left"/>
              <w:rPr>
                <w:rFonts w:ascii="Tahoma" w:eastAsia="Calibri" w:hAnsi="Tahoma" w:cs="Tahoma"/>
                <w:sz w:val="18"/>
                <w:szCs w:val="18"/>
              </w:rPr>
            </w:pPr>
            <w:r w:rsidRPr="00BD7CEA">
              <w:rPr>
                <w:rFonts w:ascii="Tahoma" w:eastAsia="Calibri" w:hAnsi="Tahoma" w:cs="Tahoma"/>
                <w:sz w:val="18"/>
                <w:szCs w:val="18"/>
              </w:rPr>
              <w:t>Creazione di Note utilizzando</w:t>
            </w:r>
            <w:r w:rsidR="009F7F09" w:rsidRPr="00BD7CEA">
              <w:rPr>
                <w:rFonts w:ascii="Tahoma" w:eastAsia="Calibri" w:hAnsi="Tahoma" w:cs="Tahoma"/>
                <w:sz w:val="18"/>
                <w:szCs w:val="18"/>
              </w:rPr>
              <w:t> </w:t>
            </w:r>
            <w:r w:rsidRPr="00BD7CEA">
              <w:rPr>
                <w:rFonts w:ascii="Tahoma" w:eastAsia="Calibri" w:hAnsi="Tahoma" w:cs="Tahoma"/>
                <w:sz w:val="18"/>
                <w:szCs w:val="18"/>
              </w:rPr>
              <w:t>i client Microsoft</w:t>
            </w:r>
            <w:r w:rsidR="0054515F" w:rsidRPr="00BD7CEA">
              <w:rPr>
                <w:rFonts w:ascii="Tahoma" w:eastAsia="Calibri" w:hAnsi="Tahoma" w:cs="Tahoma"/>
                <w:sz w:val="18"/>
                <w:szCs w:val="18"/>
              </w:rPr>
              <w:t> </w:t>
            </w:r>
            <w:r w:rsidRPr="00BD7CEA">
              <w:rPr>
                <w:rFonts w:ascii="Tahoma" w:eastAsia="Calibri" w:hAnsi="Tahoma" w:cs="Tahoma"/>
                <w:sz w:val="18"/>
                <w:szCs w:val="18"/>
              </w:rPr>
              <w:t>Dynamics</w:t>
            </w:r>
            <w:r w:rsidR="009F7F09" w:rsidRPr="00BD7CEA">
              <w:rPr>
                <w:rFonts w:ascii="Tahoma" w:eastAsia="Calibri" w:hAnsi="Tahoma" w:cs="Tahoma"/>
                <w:sz w:val="18"/>
                <w:szCs w:val="18"/>
              </w:rPr>
              <w:t> </w:t>
            </w:r>
            <w:r w:rsidRPr="00BD7CEA">
              <w:rPr>
                <w:rFonts w:ascii="Tahoma" w:eastAsia="Calibri" w:hAnsi="Tahoma" w:cs="Tahoma"/>
                <w:sz w:val="18"/>
                <w:szCs w:val="18"/>
              </w:rPr>
              <w:t>CRM</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Aggiornamento di Account utilizzando i client Microsoft</w:t>
            </w:r>
            <w:r w:rsidR="0054515F" w:rsidRPr="00BD7CEA">
              <w:rPr>
                <w:rFonts w:ascii="Tahoma" w:eastAsia="Calibri" w:hAnsi="Tahoma" w:cs="Tahoma"/>
                <w:sz w:val="18"/>
                <w:szCs w:val="18"/>
              </w:rPr>
              <w:t> </w:t>
            </w:r>
            <w:r w:rsidRPr="00BD7CEA">
              <w:rPr>
                <w:rFonts w:ascii="Tahoma" w:eastAsia="Calibri" w:hAnsi="Tahoma" w:cs="Tahoma"/>
                <w:sz w:val="18"/>
                <w:szCs w:val="18"/>
              </w:rPr>
              <w:t>Dynamics CRM</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Aggiornamento di Contatti utilizzando i client Microsoft Dynamics CRM</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Aggiornamento di Casi</w:t>
            </w:r>
            <w:r w:rsidR="0054515F" w:rsidRPr="00BD7CEA">
              <w:rPr>
                <w:rFonts w:ascii="Tahoma" w:eastAsia="Calibri" w:hAnsi="Tahoma" w:cs="Tahoma"/>
                <w:sz w:val="18"/>
                <w:szCs w:val="18"/>
              </w:rPr>
              <w:t> </w:t>
            </w:r>
            <w:r w:rsidRPr="00BD7CEA">
              <w:rPr>
                <w:rFonts w:ascii="Tahoma" w:eastAsia="Calibri" w:hAnsi="Tahoma" w:cs="Tahoma"/>
                <w:sz w:val="18"/>
                <w:szCs w:val="18"/>
              </w:rPr>
              <w:t>utilizzando i client Microsoft</w:t>
            </w:r>
            <w:r w:rsidR="0054515F" w:rsidRPr="00BD7CEA">
              <w:rPr>
                <w:rFonts w:ascii="Tahoma" w:eastAsia="Calibri" w:hAnsi="Tahoma" w:cs="Tahoma"/>
                <w:sz w:val="18"/>
                <w:szCs w:val="18"/>
              </w:rPr>
              <w:t> </w:t>
            </w:r>
            <w:r w:rsidRPr="00BD7CEA">
              <w:rPr>
                <w:rFonts w:ascii="Tahoma" w:eastAsia="Calibri" w:hAnsi="Tahoma" w:cs="Tahoma"/>
                <w:sz w:val="18"/>
                <w:szCs w:val="18"/>
              </w:rPr>
              <w:t>Dynamics CRM</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Aggiornamento di Lead utilizzando i client Microsoft</w:t>
            </w:r>
            <w:r w:rsidR="0054515F" w:rsidRPr="00BD7CEA">
              <w:rPr>
                <w:rFonts w:ascii="Tahoma" w:eastAsia="Calibri" w:hAnsi="Tahoma" w:cs="Tahoma"/>
                <w:sz w:val="18"/>
                <w:szCs w:val="18"/>
              </w:rPr>
              <w:t> </w:t>
            </w:r>
            <w:r w:rsidRPr="00BD7CEA">
              <w:rPr>
                <w:rFonts w:ascii="Tahoma" w:eastAsia="Calibri" w:hAnsi="Tahoma" w:cs="Tahoma"/>
                <w:sz w:val="18"/>
                <w:szCs w:val="18"/>
              </w:rPr>
              <w:t>Dynamics CRM</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Aggiornamento di Attività</w:t>
            </w:r>
            <w:r w:rsidR="0054515F" w:rsidRPr="00BD7CEA">
              <w:rPr>
                <w:rFonts w:ascii="Tahoma" w:eastAsia="Calibri" w:hAnsi="Tahoma" w:cs="Tahoma"/>
                <w:sz w:val="18"/>
                <w:szCs w:val="18"/>
              </w:rPr>
              <w:t> </w:t>
            </w:r>
            <w:r w:rsidRPr="00BD7CEA">
              <w:rPr>
                <w:rFonts w:ascii="Tahoma" w:eastAsia="Calibri" w:hAnsi="Tahoma" w:cs="Tahoma"/>
                <w:sz w:val="18"/>
                <w:szCs w:val="18"/>
              </w:rPr>
              <w:t>utilizzando i client Microsoft</w:t>
            </w:r>
            <w:r w:rsidR="0054515F" w:rsidRPr="00BD7CEA">
              <w:rPr>
                <w:rFonts w:ascii="Tahoma" w:eastAsia="Calibri" w:hAnsi="Tahoma" w:cs="Tahoma"/>
                <w:sz w:val="18"/>
                <w:szCs w:val="18"/>
              </w:rPr>
              <w:t> </w:t>
            </w:r>
            <w:r w:rsidRPr="00BD7CEA">
              <w:rPr>
                <w:rFonts w:ascii="Tahoma" w:eastAsia="Calibri" w:hAnsi="Tahoma" w:cs="Tahoma"/>
                <w:sz w:val="18"/>
                <w:szCs w:val="18"/>
              </w:rPr>
              <w:t>Dynamics CRM</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Aggiornamento di Note</w:t>
            </w:r>
            <w:r w:rsidR="0054515F" w:rsidRPr="00BD7CEA">
              <w:rPr>
                <w:rFonts w:ascii="Tahoma" w:eastAsia="Calibri" w:hAnsi="Tahoma" w:cs="Tahoma"/>
                <w:sz w:val="18"/>
                <w:szCs w:val="18"/>
              </w:rPr>
              <w:t> </w:t>
            </w:r>
            <w:r w:rsidRPr="00BD7CEA">
              <w:rPr>
                <w:rFonts w:ascii="Tahoma" w:eastAsia="Calibri" w:hAnsi="Tahoma" w:cs="Tahoma"/>
                <w:sz w:val="18"/>
                <w:szCs w:val="18"/>
              </w:rPr>
              <w:t>utilizzando i client Microsoft</w:t>
            </w:r>
            <w:r w:rsidR="0054515F" w:rsidRPr="00BD7CEA">
              <w:rPr>
                <w:rFonts w:ascii="Tahoma" w:eastAsia="Calibri" w:hAnsi="Tahoma" w:cs="Tahoma"/>
                <w:sz w:val="18"/>
                <w:szCs w:val="18"/>
              </w:rPr>
              <w:t> </w:t>
            </w:r>
            <w:r w:rsidRPr="00BD7CEA">
              <w:rPr>
                <w:rFonts w:ascii="Tahoma" w:eastAsia="Calibri" w:hAnsi="Tahoma" w:cs="Tahoma"/>
                <w:sz w:val="18"/>
                <w:szCs w:val="18"/>
              </w:rPr>
              <w:t>Dynamics CRM</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Aggiunta di Account utilizzando i client Microsoft</w:t>
            </w:r>
            <w:r w:rsidR="0054515F" w:rsidRPr="00BD7CEA">
              <w:rPr>
                <w:rFonts w:ascii="Tahoma" w:eastAsia="Calibri" w:hAnsi="Tahoma" w:cs="Tahoma"/>
                <w:sz w:val="18"/>
                <w:szCs w:val="18"/>
              </w:rPr>
              <w:t> </w:t>
            </w:r>
            <w:r w:rsidRPr="00BD7CEA">
              <w:rPr>
                <w:rFonts w:ascii="Tahoma" w:eastAsia="Calibri" w:hAnsi="Tahoma" w:cs="Tahoma"/>
                <w:sz w:val="18"/>
                <w:szCs w:val="18"/>
              </w:rPr>
              <w:t>Dynamics CRM</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Aggiunta di Contatti utilizzando i client Microsoft</w:t>
            </w:r>
            <w:r w:rsidR="0054515F" w:rsidRPr="00BD7CEA">
              <w:rPr>
                <w:rFonts w:ascii="Tahoma" w:eastAsia="Calibri" w:hAnsi="Tahoma" w:cs="Tahoma"/>
                <w:sz w:val="18"/>
                <w:szCs w:val="18"/>
              </w:rPr>
              <w:t> </w:t>
            </w:r>
            <w:r w:rsidRPr="00BD7CEA">
              <w:rPr>
                <w:rFonts w:ascii="Tahoma" w:eastAsia="Calibri" w:hAnsi="Tahoma" w:cs="Tahoma"/>
                <w:sz w:val="18"/>
                <w:szCs w:val="18"/>
              </w:rPr>
              <w:t>Dynamics CRM</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9F7F09">
            <w:pPr>
              <w:pStyle w:val="TableText"/>
              <w:jc w:val="left"/>
              <w:rPr>
                <w:rFonts w:ascii="Tahoma" w:eastAsia="Calibri" w:hAnsi="Tahoma" w:cs="Tahoma"/>
                <w:sz w:val="18"/>
                <w:szCs w:val="18"/>
              </w:rPr>
            </w:pPr>
            <w:r w:rsidRPr="00BD7CEA">
              <w:rPr>
                <w:rFonts w:ascii="Tahoma" w:eastAsia="Calibri" w:hAnsi="Tahoma" w:cs="Tahoma"/>
                <w:sz w:val="18"/>
                <w:szCs w:val="18"/>
              </w:rPr>
              <w:t>Aggiunta di Casi utilizzando</w:t>
            </w:r>
            <w:r w:rsidR="0054515F" w:rsidRPr="00BD7CEA">
              <w:rPr>
                <w:rFonts w:ascii="Tahoma" w:eastAsia="Calibri" w:hAnsi="Tahoma" w:cs="Tahoma"/>
                <w:sz w:val="18"/>
                <w:szCs w:val="18"/>
              </w:rPr>
              <w:t> </w:t>
            </w:r>
            <w:r w:rsidR="009F7F09" w:rsidRPr="00BD7CEA">
              <w:rPr>
                <w:rFonts w:ascii="Tahoma" w:eastAsia="Calibri" w:hAnsi="Tahoma" w:cs="Tahoma"/>
                <w:sz w:val="18"/>
                <w:szCs w:val="18"/>
              </w:rPr>
              <w:t>I </w:t>
            </w:r>
            <w:r w:rsidRPr="00BD7CEA">
              <w:rPr>
                <w:rFonts w:ascii="Tahoma" w:eastAsia="Calibri" w:hAnsi="Tahoma" w:cs="Tahoma"/>
                <w:sz w:val="18"/>
                <w:szCs w:val="18"/>
              </w:rPr>
              <w:t>client Microsoft</w:t>
            </w:r>
            <w:r w:rsidR="0054515F" w:rsidRPr="00BD7CEA">
              <w:rPr>
                <w:rFonts w:ascii="Tahoma" w:eastAsia="Calibri" w:hAnsi="Tahoma" w:cs="Tahoma"/>
                <w:sz w:val="18"/>
                <w:szCs w:val="18"/>
              </w:rPr>
              <w:t> </w:t>
            </w:r>
            <w:r w:rsidRPr="00BD7CEA">
              <w:rPr>
                <w:rFonts w:ascii="Tahoma" w:eastAsia="Calibri" w:hAnsi="Tahoma" w:cs="Tahoma"/>
                <w:sz w:val="18"/>
                <w:szCs w:val="18"/>
              </w:rPr>
              <w:t>Dynamics</w:t>
            </w:r>
            <w:r w:rsidR="0054515F" w:rsidRPr="00BD7CEA">
              <w:rPr>
                <w:rFonts w:ascii="Tahoma" w:eastAsia="Calibri" w:hAnsi="Tahoma" w:cs="Tahoma"/>
                <w:sz w:val="18"/>
                <w:szCs w:val="18"/>
              </w:rPr>
              <w:t> </w:t>
            </w:r>
            <w:r w:rsidRPr="00BD7CEA">
              <w:rPr>
                <w:rFonts w:ascii="Tahoma" w:eastAsia="Calibri" w:hAnsi="Tahoma" w:cs="Tahoma"/>
                <w:sz w:val="18"/>
                <w:szCs w:val="18"/>
              </w:rPr>
              <w:t>CRM</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54515F">
            <w:pPr>
              <w:pStyle w:val="TableText"/>
              <w:jc w:val="left"/>
              <w:rPr>
                <w:rFonts w:ascii="Tahoma" w:eastAsia="Calibri" w:hAnsi="Tahoma" w:cs="Tahoma"/>
                <w:sz w:val="18"/>
                <w:szCs w:val="18"/>
              </w:rPr>
            </w:pPr>
            <w:r w:rsidRPr="00BD7CEA">
              <w:rPr>
                <w:rFonts w:ascii="Tahoma" w:eastAsia="Calibri" w:hAnsi="Tahoma" w:cs="Tahoma"/>
                <w:sz w:val="18"/>
                <w:szCs w:val="18"/>
              </w:rPr>
              <w:t>Aggiunta di Lead utilizzando</w:t>
            </w:r>
            <w:r w:rsidR="0054515F" w:rsidRPr="00BD7CEA">
              <w:rPr>
                <w:rFonts w:ascii="Tahoma" w:eastAsia="Calibri" w:hAnsi="Tahoma" w:cs="Tahoma"/>
                <w:sz w:val="18"/>
                <w:szCs w:val="18"/>
              </w:rPr>
              <w:t> </w:t>
            </w:r>
            <w:r w:rsidR="009F7F09" w:rsidRPr="00BD7CEA">
              <w:rPr>
                <w:rFonts w:ascii="Tahoma" w:eastAsia="Calibri" w:hAnsi="Tahoma" w:cs="Tahoma"/>
                <w:sz w:val="18"/>
                <w:szCs w:val="18"/>
              </w:rPr>
              <w:t>I </w:t>
            </w:r>
            <w:r w:rsidRPr="00BD7CEA">
              <w:rPr>
                <w:rFonts w:ascii="Tahoma" w:eastAsia="Calibri" w:hAnsi="Tahoma" w:cs="Tahoma"/>
                <w:sz w:val="18"/>
                <w:szCs w:val="18"/>
              </w:rPr>
              <w:t>client Microsoft</w:t>
            </w:r>
            <w:r w:rsidR="0054515F" w:rsidRPr="00BD7CEA">
              <w:rPr>
                <w:rFonts w:ascii="Tahoma" w:eastAsia="Calibri" w:hAnsi="Tahoma" w:cs="Tahoma"/>
                <w:sz w:val="18"/>
                <w:szCs w:val="18"/>
              </w:rPr>
              <w:t> </w:t>
            </w:r>
            <w:r w:rsidRPr="00BD7CEA">
              <w:rPr>
                <w:rFonts w:ascii="Tahoma" w:eastAsia="Calibri" w:hAnsi="Tahoma" w:cs="Tahoma"/>
                <w:sz w:val="18"/>
                <w:szCs w:val="18"/>
              </w:rPr>
              <w:t>Dynamics</w:t>
            </w:r>
            <w:r w:rsidR="0054515F" w:rsidRPr="00BD7CEA">
              <w:rPr>
                <w:rFonts w:ascii="Tahoma" w:eastAsia="Calibri" w:hAnsi="Tahoma" w:cs="Tahoma"/>
                <w:sz w:val="18"/>
                <w:szCs w:val="18"/>
              </w:rPr>
              <w:t> </w:t>
            </w:r>
            <w:r w:rsidRPr="00BD7CEA">
              <w:rPr>
                <w:rFonts w:ascii="Tahoma" w:eastAsia="Calibri" w:hAnsi="Tahoma" w:cs="Tahoma"/>
                <w:sz w:val="18"/>
                <w:szCs w:val="18"/>
              </w:rPr>
              <w:t>CRM</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Aggiunta di Attività utilizzando i client Microsoft</w:t>
            </w:r>
            <w:r w:rsidR="0054515F" w:rsidRPr="00BD7CEA">
              <w:rPr>
                <w:rFonts w:ascii="Tahoma" w:eastAsia="Calibri" w:hAnsi="Tahoma" w:cs="Tahoma"/>
                <w:sz w:val="18"/>
                <w:szCs w:val="18"/>
              </w:rPr>
              <w:t> </w:t>
            </w:r>
            <w:r w:rsidRPr="00BD7CEA">
              <w:rPr>
                <w:rFonts w:ascii="Tahoma" w:eastAsia="Calibri" w:hAnsi="Tahoma" w:cs="Tahoma"/>
                <w:sz w:val="18"/>
                <w:szCs w:val="18"/>
              </w:rPr>
              <w:t>Dynamics CRM</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54515F">
            <w:pPr>
              <w:pStyle w:val="TableText"/>
              <w:jc w:val="left"/>
              <w:rPr>
                <w:rFonts w:ascii="Tahoma" w:eastAsia="Calibri" w:hAnsi="Tahoma" w:cs="Tahoma"/>
                <w:sz w:val="18"/>
                <w:szCs w:val="18"/>
              </w:rPr>
            </w:pPr>
            <w:r w:rsidRPr="00BD7CEA">
              <w:rPr>
                <w:rFonts w:ascii="Tahoma" w:eastAsia="Calibri" w:hAnsi="Tahoma" w:cs="Tahoma"/>
                <w:sz w:val="18"/>
                <w:szCs w:val="18"/>
              </w:rPr>
              <w:t>Aggiunta di Note utilizzando</w:t>
            </w:r>
            <w:r w:rsidR="0054515F" w:rsidRPr="00BD7CEA">
              <w:rPr>
                <w:rFonts w:ascii="Tahoma" w:eastAsia="Calibri" w:hAnsi="Tahoma" w:cs="Tahoma"/>
                <w:sz w:val="18"/>
                <w:szCs w:val="18"/>
              </w:rPr>
              <w:t> I </w:t>
            </w:r>
            <w:r w:rsidRPr="00BD7CEA">
              <w:rPr>
                <w:rFonts w:ascii="Tahoma" w:eastAsia="Calibri" w:hAnsi="Tahoma" w:cs="Tahoma"/>
                <w:sz w:val="18"/>
                <w:szCs w:val="18"/>
              </w:rPr>
              <w:t>client Microsoft</w:t>
            </w:r>
            <w:r w:rsidR="0054515F" w:rsidRPr="00BD7CEA">
              <w:rPr>
                <w:rFonts w:ascii="Tahoma" w:eastAsia="Calibri" w:hAnsi="Tahoma" w:cs="Tahoma"/>
                <w:sz w:val="18"/>
                <w:szCs w:val="18"/>
              </w:rPr>
              <w:t> </w:t>
            </w:r>
            <w:r w:rsidRPr="00BD7CEA">
              <w:rPr>
                <w:rFonts w:ascii="Tahoma" w:eastAsia="Calibri" w:hAnsi="Tahoma" w:cs="Tahoma"/>
                <w:sz w:val="18"/>
                <w:szCs w:val="18"/>
              </w:rPr>
              <w:t>Dynamics</w:t>
            </w:r>
            <w:r w:rsidR="0054515F" w:rsidRPr="00BD7CEA">
              <w:rPr>
                <w:rFonts w:ascii="Tahoma" w:eastAsia="Calibri" w:hAnsi="Tahoma" w:cs="Tahoma"/>
                <w:sz w:val="18"/>
                <w:szCs w:val="18"/>
              </w:rPr>
              <w:t> </w:t>
            </w:r>
            <w:r w:rsidRPr="00BD7CEA">
              <w:rPr>
                <w:rFonts w:ascii="Tahoma" w:eastAsia="Calibri" w:hAnsi="Tahoma" w:cs="Tahoma"/>
                <w:sz w:val="18"/>
                <w:szCs w:val="18"/>
              </w:rPr>
              <w:t>CRM</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Aggiunta ad Account utilizzando i client Microsoft</w:t>
            </w:r>
            <w:r w:rsidR="0054515F" w:rsidRPr="00BD7CEA">
              <w:rPr>
                <w:rFonts w:ascii="Tahoma" w:eastAsia="Calibri" w:hAnsi="Tahoma" w:cs="Tahoma"/>
                <w:sz w:val="18"/>
                <w:szCs w:val="18"/>
              </w:rPr>
              <w:t> </w:t>
            </w:r>
            <w:r w:rsidRPr="00BD7CEA">
              <w:rPr>
                <w:rFonts w:ascii="Tahoma" w:eastAsia="Calibri" w:hAnsi="Tahoma" w:cs="Tahoma"/>
                <w:sz w:val="18"/>
                <w:szCs w:val="18"/>
              </w:rPr>
              <w:t>Dynamics CRM</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54515F">
        <w:trPr>
          <w:cantSplit/>
        </w:trPr>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54515F">
            <w:pPr>
              <w:pStyle w:val="TableText"/>
              <w:jc w:val="left"/>
              <w:rPr>
                <w:rFonts w:ascii="Tahoma" w:eastAsia="Calibri" w:hAnsi="Tahoma" w:cs="Tahoma"/>
                <w:sz w:val="18"/>
                <w:szCs w:val="18"/>
              </w:rPr>
            </w:pPr>
            <w:r w:rsidRPr="00BD7CEA">
              <w:rPr>
                <w:rFonts w:ascii="Tahoma" w:eastAsia="Calibri" w:hAnsi="Tahoma" w:cs="Tahoma"/>
                <w:sz w:val="18"/>
                <w:szCs w:val="18"/>
              </w:rPr>
              <w:t>Aggiunta a Contatti utilizzando i client Microsoft</w:t>
            </w:r>
            <w:r w:rsidR="0054515F" w:rsidRPr="00BD7CEA">
              <w:rPr>
                <w:rFonts w:ascii="Tahoma" w:eastAsia="Calibri" w:hAnsi="Tahoma" w:cs="Tahoma"/>
                <w:sz w:val="18"/>
                <w:szCs w:val="18"/>
              </w:rPr>
              <w:t> </w:t>
            </w:r>
            <w:r w:rsidRPr="00BD7CEA">
              <w:rPr>
                <w:rFonts w:ascii="Tahoma" w:eastAsia="Calibri" w:hAnsi="Tahoma" w:cs="Tahoma"/>
                <w:sz w:val="18"/>
                <w:szCs w:val="18"/>
              </w:rPr>
              <w:t>Dynamics CRM</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Aggiunta a Casi utilizzando i</w:t>
            </w:r>
            <w:r w:rsidR="0054515F" w:rsidRPr="00BD7CEA">
              <w:rPr>
                <w:rFonts w:ascii="Tahoma" w:eastAsia="Calibri" w:hAnsi="Tahoma" w:cs="Tahoma"/>
                <w:sz w:val="18"/>
                <w:szCs w:val="18"/>
              </w:rPr>
              <w:t> </w:t>
            </w:r>
            <w:r w:rsidRPr="00BD7CEA">
              <w:rPr>
                <w:rFonts w:ascii="Tahoma" w:eastAsia="Calibri" w:hAnsi="Tahoma" w:cs="Tahoma"/>
                <w:sz w:val="18"/>
                <w:szCs w:val="18"/>
              </w:rPr>
              <w:t>client Microsoft Dynamics</w:t>
            </w:r>
            <w:r w:rsidR="0054515F" w:rsidRPr="00BD7CEA">
              <w:rPr>
                <w:rFonts w:ascii="Tahoma" w:eastAsia="Calibri" w:hAnsi="Tahoma" w:cs="Tahoma"/>
                <w:sz w:val="18"/>
                <w:szCs w:val="18"/>
              </w:rPr>
              <w:t> </w:t>
            </w:r>
            <w:r w:rsidRPr="00BD7CEA">
              <w:rPr>
                <w:rFonts w:ascii="Tahoma" w:eastAsia="Calibri" w:hAnsi="Tahoma" w:cs="Tahoma"/>
                <w:sz w:val="18"/>
                <w:szCs w:val="18"/>
              </w:rPr>
              <w:t>CRM</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0E3B21">
        <w:trPr>
          <w:cantSplit/>
        </w:trPr>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lastRenderedPageBreak/>
              <w:t>Aggiunta a Lead utilizzando i</w:t>
            </w:r>
            <w:r w:rsidR="0054515F" w:rsidRPr="00BD7CEA">
              <w:rPr>
                <w:rFonts w:ascii="Tahoma" w:eastAsia="Calibri" w:hAnsi="Tahoma" w:cs="Tahoma"/>
                <w:sz w:val="18"/>
                <w:szCs w:val="18"/>
              </w:rPr>
              <w:t> </w:t>
            </w:r>
            <w:r w:rsidRPr="00BD7CEA">
              <w:rPr>
                <w:rFonts w:ascii="Tahoma" w:eastAsia="Calibri" w:hAnsi="Tahoma" w:cs="Tahoma"/>
                <w:sz w:val="18"/>
                <w:szCs w:val="18"/>
              </w:rPr>
              <w:t>client Microsoft Dynamics</w:t>
            </w:r>
            <w:r w:rsidR="0054515F" w:rsidRPr="00BD7CEA">
              <w:rPr>
                <w:rFonts w:ascii="Tahoma" w:eastAsia="Calibri" w:hAnsi="Tahoma" w:cs="Tahoma"/>
                <w:sz w:val="18"/>
                <w:szCs w:val="18"/>
              </w:rPr>
              <w:t> </w:t>
            </w:r>
            <w:r w:rsidRPr="00BD7CEA">
              <w:rPr>
                <w:rFonts w:ascii="Tahoma" w:eastAsia="Calibri" w:hAnsi="Tahoma" w:cs="Tahoma"/>
                <w:sz w:val="18"/>
                <w:szCs w:val="18"/>
              </w:rPr>
              <w:t>CRM</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Aggiunta ad Attività utilizzando i client Microsoft</w:t>
            </w:r>
            <w:r w:rsidR="0054515F" w:rsidRPr="00BD7CEA">
              <w:rPr>
                <w:rFonts w:ascii="Tahoma" w:eastAsia="Calibri" w:hAnsi="Tahoma" w:cs="Tahoma"/>
                <w:sz w:val="18"/>
                <w:szCs w:val="18"/>
              </w:rPr>
              <w:t> </w:t>
            </w:r>
            <w:r w:rsidRPr="00BD7CEA">
              <w:rPr>
                <w:rFonts w:ascii="Tahoma" w:eastAsia="Calibri" w:hAnsi="Tahoma" w:cs="Tahoma"/>
                <w:sz w:val="18"/>
                <w:szCs w:val="18"/>
              </w:rPr>
              <w:t>Dynamics CRM</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BD7CEA">
            <w:pPr>
              <w:pStyle w:val="TableText"/>
              <w:jc w:val="left"/>
              <w:rPr>
                <w:rFonts w:ascii="Tahoma" w:eastAsia="Calibri" w:hAnsi="Tahoma" w:cs="Tahoma"/>
                <w:sz w:val="18"/>
                <w:szCs w:val="18"/>
              </w:rPr>
            </w:pPr>
            <w:r w:rsidRPr="00BD7CEA">
              <w:rPr>
                <w:rFonts w:ascii="Tahoma" w:eastAsia="Calibri" w:hAnsi="Tahoma" w:cs="Tahoma"/>
                <w:sz w:val="18"/>
                <w:szCs w:val="18"/>
              </w:rPr>
              <w:t>Aggiunta a Note utilizzando</w:t>
            </w:r>
            <w:r w:rsidR="00BD7CEA" w:rsidRPr="00BD7CEA">
              <w:rPr>
                <w:rFonts w:ascii="Tahoma" w:eastAsia="Calibri" w:hAnsi="Tahoma" w:cs="Tahoma"/>
                <w:sz w:val="18"/>
                <w:szCs w:val="18"/>
              </w:rPr>
              <w:t> </w:t>
            </w:r>
            <w:r w:rsidRPr="00BD7CEA">
              <w:rPr>
                <w:rFonts w:ascii="Tahoma" w:eastAsia="Calibri" w:hAnsi="Tahoma" w:cs="Tahoma"/>
                <w:sz w:val="18"/>
                <w:szCs w:val="18"/>
              </w:rPr>
              <w:t>i</w:t>
            </w:r>
            <w:r w:rsidR="0054515F" w:rsidRPr="00BD7CEA">
              <w:rPr>
                <w:rFonts w:ascii="Tahoma" w:eastAsia="Calibri" w:hAnsi="Tahoma" w:cs="Tahoma"/>
                <w:sz w:val="18"/>
                <w:szCs w:val="18"/>
              </w:rPr>
              <w:t> </w:t>
            </w:r>
            <w:r w:rsidRPr="00BD7CEA">
              <w:rPr>
                <w:rFonts w:ascii="Tahoma" w:eastAsia="Calibri" w:hAnsi="Tahoma" w:cs="Tahoma"/>
                <w:sz w:val="18"/>
                <w:szCs w:val="18"/>
              </w:rPr>
              <w:t>client Microsoft</w:t>
            </w:r>
            <w:r w:rsidR="00BD7CEA" w:rsidRPr="00BD7CEA">
              <w:rPr>
                <w:rFonts w:ascii="Tahoma" w:eastAsia="Calibri" w:hAnsi="Tahoma" w:cs="Tahoma"/>
                <w:sz w:val="18"/>
                <w:szCs w:val="18"/>
              </w:rPr>
              <w:t> </w:t>
            </w:r>
            <w:r w:rsidRPr="00BD7CEA">
              <w:rPr>
                <w:rFonts w:ascii="Tahoma" w:eastAsia="Calibri" w:hAnsi="Tahoma" w:cs="Tahoma"/>
                <w:sz w:val="18"/>
                <w:szCs w:val="18"/>
              </w:rPr>
              <w:t>Dynamics CRM</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Eliminazione di Account utilizzando i client Microsoft</w:t>
            </w:r>
            <w:r w:rsidR="0054515F" w:rsidRPr="00BD7CEA">
              <w:rPr>
                <w:rFonts w:ascii="Tahoma" w:eastAsia="Calibri" w:hAnsi="Tahoma" w:cs="Tahoma"/>
                <w:sz w:val="18"/>
                <w:szCs w:val="18"/>
              </w:rPr>
              <w:t> </w:t>
            </w:r>
            <w:r w:rsidRPr="00BD7CEA">
              <w:rPr>
                <w:rFonts w:ascii="Tahoma" w:eastAsia="Calibri" w:hAnsi="Tahoma" w:cs="Tahoma"/>
                <w:sz w:val="18"/>
                <w:szCs w:val="18"/>
              </w:rPr>
              <w:t>Dynamics CRM</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r w:rsidRPr="00BD7CEA">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r w:rsidRPr="00BD7CEA">
              <w:rPr>
                <w:rFonts w:eastAsia="Calibri" w:cs="Segoe UI"/>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Eliminazione di Contatti utilizzando i client Microsoft</w:t>
            </w:r>
            <w:r w:rsidR="0054515F" w:rsidRPr="00BD7CEA">
              <w:rPr>
                <w:rFonts w:ascii="Tahoma" w:eastAsia="Calibri" w:hAnsi="Tahoma" w:cs="Tahoma"/>
                <w:sz w:val="18"/>
                <w:szCs w:val="18"/>
              </w:rPr>
              <w:t> </w:t>
            </w:r>
            <w:r w:rsidRPr="00BD7CEA">
              <w:rPr>
                <w:rFonts w:ascii="Tahoma" w:eastAsia="Calibri" w:hAnsi="Tahoma" w:cs="Tahoma"/>
                <w:sz w:val="18"/>
                <w:szCs w:val="18"/>
              </w:rPr>
              <w:t>Dynamics CRM</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r w:rsidRPr="00BD7CEA">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r w:rsidRPr="00BD7CEA">
              <w:rPr>
                <w:rFonts w:eastAsia="Calibri" w:cs="Segoe UI"/>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Eliminazione di Casi utilizzando i client Microsoft</w:t>
            </w:r>
            <w:r w:rsidR="0054515F" w:rsidRPr="00BD7CEA">
              <w:rPr>
                <w:rFonts w:ascii="Tahoma" w:eastAsia="Calibri" w:hAnsi="Tahoma" w:cs="Tahoma"/>
                <w:sz w:val="18"/>
                <w:szCs w:val="18"/>
              </w:rPr>
              <w:t> </w:t>
            </w:r>
            <w:r w:rsidRPr="00BD7CEA">
              <w:rPr>
                <w:rFonts w:ascii="Tahoma" w:eastAsia="Calibri" w:hAnsi="Tahoma" w:cs="Tahoma"/>
                <w:sz w:val="18"/>
                <w:szCs w:val="18"/>
              </w:rPr>
              <w:t>Dynamics CRM</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r w:rsidRPr="00BD7CEA">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r w:rsidRPr="00BD7CEA">
              <w:rPr>
                <w:rFonts w:eastAsia="Calibri" w:cs="Segoe UI"/>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Eliminazione di Lead utilizzando i client Microsoft</w:t>
            </w:r>
            <w:r w:rsidR="0054515F" w:rsidRPr="00BD7CEA">
              <w:rPr>
                <w:rFonts w:ascii="Tahoma" w:eastAsia="Calibri" w:hAnsi="Tahoma" w:cs="Tahoma"/>
                <w:sz w:val="18"/>
                <w:szCs w:val="18"/>
              </w:rPr>
              <w:t> </w:t>
            </w:r>
            <w:r w:rsidRPr="00BD7CEA">
              <w:rPr>
                <w:rFonts w:ascii="Tahoma" w:eastAsia="Calibri" w:hAnsi="Tahoma" w:cs="Tahoma"/>
                <w:sz w:val="18"/>
                <w:szCs w:val="18"/>
              </w:rPr>
              <w:t>Dynamics CRM</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r w:rsidRPr="00BD7CEA">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r w:rsidRPr="00BD7CEA">
              <w:rPr>
                <w:rFonts w:eastAsia="Calibri" w:cs="Segoe UI"/>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Eliminazione di Attività utilizzando i client Microsoft Dynamics CRM</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r w:rsidRPr="00BD7CEA">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r w:rsidRPr="00BD7CEA">
              <w:rPr>
                <w:rFonts w:eastAsia="Calibri" w:cs="Segoe UI"/>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Eliminazione di Note utilizzando i client Microsoft</w:t>
            </w:r>
            <w:r w:rsidR="0054515F" w:rsidRPr="00BD7CEA">
              <w:rPr>
                <w:rFonts w:ascii="Tahoma" w:eastAsia="Calibri" w:hAnsi="Tahoma" w:cs="Tahoma"/>
                <w:sz w:val="18"/>
                <w:szCs w:val="18"/>
              </w:rPr>
              <w:t> </w:t>
            </w:r>
            <w:r w:rsidRPr="00BD7CEA">
              <w:rPr>
                <w:rFonts w:ascii="Tahoma" w:eastAsia="Calibri" w:hAnsi="Tahoma" w:cs="Tahoma"/>
                <w:sz w:val="18"/>
                <w:szCs w:val="18"/>
              </w:rPr>
              <w:t>Dynamics CRM</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r w:rsidRPr="00BD7CEA">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r w:rsidRPr="00BD7CEA">
              <w:rPr>
                <w:rFonts w:eastAsia="Calibri" w:cs="Segoe UI"/>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Assegnazione di Account utilizzando i client Microsoft</w:t>
            </w:r>
            <w:r w:rsidR="0054515F" w:rsidRPr="00BD7CEA">
              <w:rPr>
                <w:rFonts w:ascii="Tahoma" w:eastAsia="Calibri" w:hAnsi="Tahoma" w:cs="Tahoma"/>
                <w:sz w:val="18"/>
                <w:szCs w:val="18"/>
              </w:rPr>
              <w:t> </w:t>
            </w:r>
            <w:r w:rsidRPr="00BD7CEA">
              <w:rPr>
                <w:rFonts w:ascii="Tahoma" w:eastAsia="Calibri" w:hAnsi="Tahoma" w:cs="Tahoma"/>
                <w:sz w:val="18"/>
                <w:szCs w:val="18"/>
              </w:rPr>
              <w:t>Dynamics CRM</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r w:rsidRPr="00BD7CEA">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r w:rsidRPr="00BD7CEA">
              <w:rPr>
                <w:rFonts w:eastAsia="Calibri" w:cs="Segoe UI"/>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Assegnazione di Contatti utilizzando i client Microsoft</w:t>
            </w:r>
            <w:r w:rsidR="0054515F" w:rsidRPr="00BD7CEA">
              <w:rPr>
                <w:rFonts w:ascii="Tahoma" w:eastAsia="Calibri" w:hAnsi="Tahoma" w:cs="Tahoma"/>
                <w:sz w:val="18"/>
                <w:szCs w:val="18"/>
              </w:rPr>
              <w:t> </w:t>
            </w:r>
            <w:r w:rsidRPr="00BD7CEA">
              <w:rPr>
                <w:rFonts w:ascii="Tahoma" w:eastAsia="Calibri" w:hAnsi="Tahoma" w:cs="Tahoma"/>
                <w:sz w:val="18"/>
                <w:szCs w:val="18"/>
              </w:rPr>
              <w:t>Dynamics CRM</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r w:rsidRPr="00BD7CEA">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r w:rsidRPr="00BD7CEA">
              <w:rPr>
                <w:rFonts w:eastAsia="Calibri" w:cs="Segoe UI"/>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Assegnazione di Casi utilizzando i client Microsoft</w:t>
            </w:r>
            <w:r w:rsidR="0054515F" w:rsidRPr="00BD7CEA">
              <w:rPr>
                <w:rFonts w:ascii="Tahoma" w:eastAsia="Calibri" w:hAnsi="Tahoma" w:cs="Tahoma"/>
                <w:sz w:val="18"/>
                <w:szCs w:val="18"/>
              </w:rPr>
              <w:t> </w:t>
            </w:r>
            <w:r w:rsidRPr="00BD7CEA">
              <w:rPr>
                <w:rFonts w:ascii="Tahoma" w:eastAsia="Calibri" w:hAnsi="Tahoma" w:cs="Tahoma"/>
                <w:sz w:val="18"/>
                <w:szCs w:val="18"/>
              </w:rPr>
              <w:t>Dynamics CRM</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r w:rsidRPr="00BD7CEA">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r w:rsidRPr="00BD7CEA">
              <w:rPr>
                <w:rFonts w:eastAsia="Calibri" w:cs="Segoe UI"/>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Assegnazione di Lead utilizzando i client Microsoft</w:t>
            </w:r>
            <w:r w:rsidR="0054515F" w:rsidRPr="00BD7CEA">
              <w:rPr>
                <w:rFonts w:ascii="Tahoma" w:eastAsia="Calibri" w:hAnsi="Tahoma" w:cs="Tahoma"/>
                <w:sz w:val="18"/>
                <w:szCs w:val="18"/>
              </w:rPr>
              <w:t> </w:t>
            </w:r>
            <w:r w:rsidRPr="00BD7CEA">
              <w:rPr>
                <w:rFonts w:ascii="Tahoma" w:eastAsia="Calibri" w:hAnsi="Tahoma" w:cs="Tahoma"/>
                <w:sz w:val="18"/>
                <w:szCs w:val="18"/>
              </w:rPr>
              <w:t>Dynamics CRM</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r w:rsidRPr="00BD7CEA">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r w:rsidRPr="00BD7CEA">
              <w:rPr>
                <w:rFonts w:eastAsia="Calibri" w:cs="Segoe UI"/>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Assegnazione di Attività utilizzando i client Microsoft</w:t>
            </w:r>
            <w:r w:rsidR="0054515F" w:rsidRPr="00BD7CEA">
              <w:rPr>
                <w:rFonts w:ascii="Tahoma" w:eastAsia="Calibri" w:hAnsi="Tahoma" w:cs="Tahoma"/>
                <w:sz w:val="18"/>
                <w:szCs w:val="18"/>
              </w:rPr>
              <w:t> </w:t>
            </w:r>
            <w:r w:rsidRPr="00BD7CEA">
              <w:rPr>
                <w:rFonts w:ascii="Tahoma" w:eastAsia="Calibri" w:hAnsi="Tahoma" w:cs="Tahoma"/>
                <w:sz w:val="18"/>
                <w:szCs w:val="18"/>
              </w:rPr>
              <w:t>Dynamics CRM</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r w:rsidRPr="00BD7CEA">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r w:rsidRPr="00BD7CEA">
              <w:rPr>
                <w:rFonts w:eastAsia="Calibri" w:cs="Segoe UI"/>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rPr>
          <w:trHeight w:val="309"/>
        </w:trPr>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Condivisione di Account utilizzando i client Microsoft</w:t>
            </w:r>
            <w:r w:rsidR="0054515F" w:rsidRPr="00BD7CEA">
              <w:rPr>
                <w:rFonts w:ascii="Tahoma" w:eastAsia="Calibri" w:hAnsi="Tahoma" w:cs="Tahoma"/>
                <w:sz w:val="18"/>
                <w:szCs w:val="18"/>
              </w:rPr>
              <w:t> </w:t>
            </w:r>
            <w:r w:rsidRPr="00BD7CEA">
              <w:rPr>
                <w:rFonts w:ascii="Tahoma" w:eastAsia="Calibri" w:hAnsi="Tahoma" w:cs="Tahoma"/>
                <w:sz w:val="18"/>
                <w:szCs w:val="18"/>
              </w:rPr>
              <w:t>Dynamics CRM</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r w:rsidRPr="00BD7CEA">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r w:rsidRPr="00BD7CEA">
              <w:rPr>
                <w:rFonts w:eastAsia="Calibri" w:cs="Segoe UI"/>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54515F">
        <w:trPr>
          <w:cantSplit/>
        </w:trPr>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Condivisione di Contatti utilizzando i client Microsoft</w:t>
            </w:r>
            <w:r w:rsidR="0054515F" w:rsidRPr="00BD7CEA">
              <w:rPr>
                <w:rFonts w:ascii="Tahoma" w:eastAsia="Calibri" w:hAnsi="Tahoma" w:cs="Tahoma"/>
                <w:sz w:val="18"/>
                <w:szCs w:val="18"/>
              </w:rPr>
              <w:t> </w:t>
            </w:r>
            <w:r w:rsidRPr="00BD7CEA">
              <w:rPr>
                <w:rFonts w:ascii="Tahoma" w:eastAsia="Calibri" w:hAnsi="Tahoma" w:cs="Tahoma"/>
                <w:sz w:val="18"/>
                <w:szCs w:val="18"/>
              </w:rPr>
              <w:t>Dynamics CRM</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r w:rsidRPr="00BD7CEA">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r w:rsidRPr="00BD7CEA">
              <w:rPr>
                <w:rFonts w:eastAsia="Calibri" w:cs="Segoe UI"/>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54515F">
            <w:pPr>
              <w:pStyle w:val="TableText"/>
              <w:jc w:val="left"/>
              <w:rPr>
                <w:rFonts w:ascii="Tahoma" w:eastAsia="Calibri" w:hAnsi="Tahoma" w:cs="Tahoma"/>
                <w:sz w:val="18"/>
                <w:szCs w:val="18"/>
              </w:rPr>
            </w:pPr>
            <w:r w:rsidRPr="00BD7CEA">
              <w:rPr>
                <w:rFonts w:ascii="Tahoma" w:eastAsia="Calibri" w:hAnsi="Tahoma" w:cs="Tahoma"/>
                <w:sz w:val="18"/>
                <w:szCs w:val="18"/>
              </w:rPr>
              <w:t>Condivisione di Casi utilizzando i client Microsoft</w:t>
            </w:r>
            <w:r w:rsidR="0054515F" w:rsidRPr="00BD7CEA">
              <w:rPr>
                <w:rFonts w:ascii="Tahoma" w:eastAsia="Calibri" w:hAnsi="Tahoma" w:cs="Tahoma"/>
                <w:sz w:val="18"/>
                <w:szCs w:val="18"/>
              </w:rPr>
              <w:t> </w:t>
            </w:r>
            <w:r w:rsidRPr="00BD7CEA">
              <w:rPr>
                <w:rFonts w:ascii="Tahoma" w:eastAsia="Calibri" w:hAnsi="Tahoma" w:cs="Tahoma"/>
                <w:sz w:val="18"/>
                <w:szCs w:val="18"/>
              </w:rPr>
              <w:t>Dynamics CRM</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r w:rsidRPr="00BD7CEA">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r w:rsidRPr="00BD7CEA">
              <w:rPr>
                <w:rFonts w:eastAsia="Calibri" w:cs="Segoe UI"/>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0E3B21">
        <w:trPr>
          <w:cantSplit/>
        </w:trPr>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lastRenderedPageBreak/>
              <w:t>Condivisione di Lead utilizzando i client Microsoft</w:t>
            </w:r>
            <w:r w:rsidR="0054515F" w:rsidRPr="00BD7CEA">
              <w:rPr>
                <w:rFonts w:ascii="Tahoma" w:eastAsia="Calibri" w:hAnsi="Tahoma" w:cs="Tahoma"/>
                <w:sz w:val="18"/>
                <w:szCs w:val="18"/>
              </w:rPr>
              <w:t> </w:t>
            </w:r>
            <w:r w:rsidRPr="00BD7CEA">
              <w:rPr>
                <w:rFonts w:ascii="Tahoma" w:eastAsia="Calibri" w:hAnsi="Tahoma" w:cs="Tahoma"/>
                <w:sz w:val="18"/>
                <w:szCs w:val="18"/>
              </w:rPr>
              <w:t>Dynamics CRM</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r w:rsidRPr="00BD7CEA">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r w:rsidRPr="00BD7CEA">
              <w:rPr>
                <w:rFonts w:eastAsia="Calibri" w:cs="Segoe UI"/>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Condivisione di Attività utilizzando i client Microsoft</w:t>
            </w:r>
            <w:r w:rsidR="0054515F" w:rsidRPr="00BD7CEA">
              <w:rPr>
                <w:rFonts w:ascii="Tahoma" w:eastAsia="Calibri" w:hAnsi="Tahoma" w:cs="Tahoma"/>
                <w:sz w:val="18"/>
                <w:szCs w:val="18"/>
              </w:rPr>
              <w:t> </w:t>
            </w:r>
            <w:r w:rsidRPr="00BD7CEA">
              <w:rPr>
                <w:rFonts w:ascii="Tahoma" w:eastAsia="Calibri" w:hAnsi="Tahoma" w:cs="Tahoma"/>
                <w:sz w:val="18"/>
                <w:szCs w:val="18"/>
              </w:rPr>
              <w:t>Dynamics CRM</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r w:rsidRPr="00BD7CEA">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ascii="Segoe" w:eastAsia="Calibri" w:hAnsi="Segoe"/>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r w:rsidRPr="00BD7CEA">
              <w:rPr>
                <w:rFonts w:eastAsia="Calibri" w:cs="Segoe UI"/>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Creazione di record delle persone giuridiche personalizzati utilizzando i</w:t>
            </w:r>
            <w:r w:rsidR="0054515F" w:rsidRPr="00BD7CEA">
              <w:rPr>
                <w:rFonts w:ascii="Tahoma" w:eastAsia="Calibri" w:hAnsi="Tahoma" w:cs="Tahoma"/>
                <w:sz w:val="18"/>
                <w:szCs w:val="18"/>
              </w:rPr>
              <w:t> </w:t>
            </w:r>
            <w:r w:rsidRPr="00BD7CEA">
              <w:rPr>
                <w:rFonts w:ascii="Tahoma" w:eastAsia="Calibri" w:hAnsi="Tahoma" w:cs="Tahoma"/>
                <w:sz w:val="18"/>
                <w:szCs w:val="18"/>
              </w:rPr>
              <w:t>client Microsoft Dynamics</w:t>
            </w:r>
            <w:r w:rsidR="0054515F" w:rsidRPr="00BD7CEA">
              <w:rPr>
                <w:rFonts w:ascii="Tahoma" w:eastAsia="Calibri" w:hAnsi="Tahoma" w:cs="Tahoma"/>
                <w:sz w:val="18"/>
                <w:szCs w:val="18"/>
              </w:rPr>
              <w:t> </w:t>
            </w:r>
            <w:r w:rsidRPr="00BD7CEA">
              <w:rPr>
                <w:rFonts w:ascii="Tahoma" w:eastAsia="Calibri" w:hAnsi="Tahoma" w:cs="Tahoma"/>
                <w:sz w:val="18"/>
                <w:szCs w:val="18"/>
              </w:rPr>
              <w:t>CRM</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Aggiornamento di record delle persone giuridiche personalizzati utilizzando i</w:t>
            </w:r>
            <w:r w:rsidR="0054515F" w:rsidRPr="00BD7CEA">
              <w:rPr>
                <w:rFonts w:ascii="Tahoma" w:eastAsia="Calibri" w:hAnsi="Tahoma" w:cs="Tahoma"/>
                <w:sz w:val="18"/>
                <w:szCs w:val="18"/>
              </w:rPr>
              <w:t> </w:t>
            </w:r>
            <w:r w:rsidRPr="00BD7CEA">
              <w:rPr>
                <w:rFonts w:ascii="Tahoma" w:eastAsia="Calibri" w:hAnsi="Tahoma" w:cs="Tahoma"/>
                <w:sz w:val="18"/>
                <w:szCs w:val="18"/>
              </w:rPr>
              <w:t>client Microsoft Dynamics</w:t>
            </w:r>
            <w:r w:rsidR="0054515F" w:rsidRPr="00BD7CEA">
              <w:rPr>
                <w:rFonts w:ascii="Tahoma" w:eastAsia="Calibri" w:hAnsi="Tahoma" w:cs="Tahoma"/>
                <w:sz w:val="18"/>
                <w:szCs w:val="18"/>
              </w:rPr>
              <w:t> </w:t>
            </w:r>
            <w:r w:rsidRPr="00BD7CEA">
              <w:rPr>
                <w:rFonts w:ascii="Tahoma" w:eastAsia="Calibri" w:hAnsi="Tahoma" w:cs="Tahoma"/>
                <w:sz w:val="18"/>
                <w:szCs w:val="18"/>
              </w:rPr>
              <w:t>CRM</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Aggiunta di privilegi per i</w:t>
            </w:r>
            <w:r w:rsidR="0054515F" w:rsidRPr="00BD7CEA">
              <w:rPr>
                <w:rFonts w:ascii="Tahoma" w:eastAsia="Calibri" w:hAnsi="Tahoma" w:cs="Tahoma"/>
                <w:sz w:val="18"/>
                <w:szCs w:val="18"/>
              </w:rPr>
              <w:t> </w:t>
            </w:r>
            <w:r w:rsidRPr="00BD7CEA">
              <w:rPr>
                <w:rFonts w:ascii="Tahoma" w:eastAsia="Calibri" w:hAnsi="Tahoma" w:cs="Tahoma"/>
                <w:sz w:val="18"/>
                <w:szCs w:val="18"/>
              </w:rPr>
              <w:t>record delle attività personalizzati utilizzando i</w:t>
            </w:r>
            <w:r w:rsidR="0054515F" w:rsidRPr="00BD7CEA">
              <w:rPr>
                <w:rFonts w:ascii="Tahoma" w:eastAsia="Calibri" w:hAnsi="Tahoma" w:cs="Tahoma"/>
                <w:sz w:val="18"/>
                <w:szCs w:val="18"/>
              </w:rPr>
              <w:t> </w:t>
            </w:r>
            <w:r w:rsidRPr="00BD7CEA">
              <w:rPr>
                <w:rFonts w:ascii="Tahoma" w:eastAsia="Calibri" w:hAnsi="Tahoma" w:cs="Tahoma"/>
                <w:sz w:val="18"/>
                <w:szCs w:val="18"/>
              </w:rPr>
              <w:t>client Microsoft Dynamics</w:t>
            </w:r>
            <w:r w:rsidR="0054515F" w:rsidRPr="00BD7CEA">
              <w:rPr>
                <w:rFonts w:ascii="Tahoma" w:eastAsia="Calibri" w:hAnsi="Tahoma" w:cs="Tahoma"/>
                <w:sz w:val="18"/>
                <w:szCs w:val="18"/>
              </w:rPr>
              <w:t> </w:t>
            </w:r>
            <w:r w:rsidRPr="00BD7CEA">
              <w:rPr>
                <w:rFonts w:ascii="Tahoma" w:eastAsia="Calibri" w:hAnsi="Tahoma" w:cs="Tahoma"/>
                <w:sz w:val="18"/>
                <w:szCs w:val="18"/>
              </w:rPr>
              <w:t>CRM</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r w:rsidRPr="00BD7CEA">
              <w:rPr>
                <w:rFonts w:eastAsia="Calibri" w:cs="Segoe UI"/>
                <w:b/>
                <w:sz w:val="24"/>
                <w:szCs w:val="24"/>
                <w:vertAlign w:val="superscript"/>
              </w:rPr>
              <w:t>3</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r w:rsidRPr="00BD7CEA">
              <w:rPr>
                <w:rFonts w:eastAsia="Calibri" w:cs="Segoe UI"/>
                <w:b/>
                <w:sz w:val="24"/>
                <w:szCs w:val="24"/>
                <w:vertAlign w:val="superscript"/>
              </w:rPr>
              <w:t>3</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Aggiunta di privilegi per i</w:t>
            </w:r>
            <w:r w:rsidR="0054515F" w:rsidRPr="00BD7CEA">
              <w:rPr>
                <w:rFonts w:ascii="Tahoma" w:eastAsia="Calibri" w:hAnsi="Tahoma" w:cs="Tahoma"/>
                <w:sz w:val="18"/>
                <w:szCs w:val="18"/>
              </w:rPr>
              <w:t> </w:t>
            </w:r>
            <w:r w:rsidRPr="00BD7CEA">
              <w:rPr>
                <w:rFonts w:ascii="Tahoma" w:eastAsia="Calibri" w:hAnsi="Tahoma" w:cs="Tahoma"/>
                <w:sz w:val="18"/>
                <w:szCs w:val="18"/>
              </w:rPr>
              <w:t>record delle persone giuridiche personalizzati (ad</w:t>
            </w:r>
            <w:r w:rsidR="0054515F" w:rsidRPr="00BD7CEA">
              <w:rPr>
                <w:rFonts w:ascii="Tahoma" w:eastAsia="Calibri" w:hAnsi="Tahoma" w:cs="Tahoma"/>
                <w:sz w:val="18"/>
                <w:szCs w:val="18"/>
              </w:rPr>
              <w:t> </w:t>
            </w:r>
            <w:r w:rsidRPr="00BD7CEA">
              <w:rPr>
                <w:rFonts w:ascii="Tahoma" w:eastAsia="Calibri" w:hAnsi="Tahoma" w:cs="Tahoma"/>
                <w:sz w:val="18"/>
                <w:szCs w:val="18"/>
              </w:rPr>
              <w:t>eccezione dei record delle attività personalizzati) utilizzando i client Microsoft Dynamics CRM</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Aggiunta a privilegi per i</w:t>
            </w:r>
            <w:r w:rsidR="0054515F" w:rsidRPr="00BD7CEA">
              <w:rPr>
                <w:rFonts w:ascii="Tahoma" w:eastAsia="Calibri" w:hAnsi="Tahoma" w:cs="Tahoma"/>
                <w:sz w:val="18"/>
                <w:szCs w:val="18"/>
              </w:rPr>
              <w:t> </w:t>
            </w:r>
            <w:r w:rsidRPr="00BD7CEA">
              <w:rPr>
                <w:rFonts w:ascii="Tahoma" w:eastAsia="Calibri" w:hAnsi="Tahoma" w:cs="Tahoma"/>
                <w:sz w:val="18"/>
                <w:szCs w:val="18"/>
              </w:rPr>
              <w:t>record delle persone giuridiche personalizzati utilizzando i client Microsoft Dynamics CRM</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Eliminazione di record delle</w:t>
            </w:r>
            <w:r w:rsidR="0054515F" w:rsidRPr="00BD7CEA">
              <w:rPr>
                <w:rFonts w:ascii="Tahoma" w:eastAsia="Calibri" w:hAnsi="Tahoma" w:cs="Tahoma"/>
                <w:sz w:val="18"/>
                <w:szCs w:val="18"/>
              </w:rPr>
              <w:t> </w:t>
            </w:r>
            <w:r w:rsidRPr="00BD7CEA">
              <w:rPr>
                <w:rFonts w:ascii="Tahoma" w:eastAsia="Calibri" w:hAnsi="Tahoma" w:cs="Tahoma"/>
                <w:sz w:val="18"/>
                <w:szCs w:val="18"/>
              </w:rPr>
              <w:t>persone giuridiche personalizzati utilizzando i</w:t>
            </w:r>
            <w:r w:rsidR="0054515F" w:rsidRPr="00BD7CEA">
              <w:rPr>
                <w:rFonts w:ascii="Tahoma" w:eastAsia="Calibri" w:hAnsi="Tahoma" w:cs="Tahoma"/>
                <w:sz w:val="18"/>
                <w:szCs w:val="18"/>
              </w:rPr>
              <w:t> </w:t>
            </w:r>
            <w:r w:rsidRPr="00BD7CEA">
              <w:rPr>
                <w:rFonts w:ascii="Tahoma" w:eastAsia="Calibri" w:hAnsi="Tahoma" w:cs="Tahoma"/>
                <w:sz w:val="18"/>
                <w:szCs w:val="18"/>
              </w:rPr>
              <w:t>client Microsoft Dynamics</w:t>
            </w:r>
            <w:r w:rsidR="0054515F" w:rsidRPr="00BD7CEA">
              <w:rPr>
                <w:rFonts w:ascii="Tahoma" w:eastAsia="Calibri" w:hAnsi="Tahoma" w:cs="Tahoma"/>
                <w:sz w:val="18"/>
                <w:szCs w:val="18"/>
              </w:rPr>
              <w:t> </w:t>
            </w:r>
            <w:r w:rsidRPr="00BD7CEA">
              <w:rPr>
                <w:rFonts w:ascii="Tahoma" w:eastAsia="Calibri" w:hAnsi="Tahoma" w:cs="Tahoma"/>
                <w:sz w:val="18"/>
                <w:szCs w:val="18"/>
              </w:rPr>
              <w:t>CRM</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Assegnazione di record delle</w:t>
            </w:r>
            <w:r w:rsidR="0054515F" w:rsidRPr="00BD7CEA">
              <w:rPr>
                <w:rFonts w:ascii="Tahoma" w:eastAsia="Calibri" w:hAnsi="Tahoma" w:cs="Tahoma"/>
                <w:sz w:val="18"/>
                <w:szCs w:val="18"/>
              </w:rPr>
              <w:t> </w:t>
            </w:r>
            <w:r w:rsidRPr="00BD7CEA">
              <w:rPr>
                <w:rFonts w:ascii="Tahoma" w:eastAsia="Calibri" w:hAnsi="Tahoma" w:cs="Tahoma"/>
                <w:sz w:val="18"/>
                <w:szCs w:val="18"/>
              </w:rPr>
              <w:t>persone giuridiche personalizzati utilizzando i</w:t>
            </w:r>
            <w:r w:rsidR="0054515F" w:rsidRPr="00BD7CEA">
              <w:rPr>
                <w:rFonts w:ascii="Tahoma" w:eastAsia="Calibri" w:hAnsi="Tahoma" w:cs="Tahoma"/>
                <w:sz w:val="18"/>
                <w:szCs w:val="18"/>
              </w:rPr>
              <w:t> </w:t>
            </w:r>
            <w:r w:rsidRPr="00BD7CEA">
              <w:rPr>
                <w:rFonts w:ascii="Tahoma" w:eastAsia="Calibri" w:hAnsi="Tahoma" w:cs="Tahoma"/>
                <w:sz w:val="18"/>
                <w:szCs w:val="18"/>
              </w:rPr>
              <w:t>client Microsoft Dynamics</w:t>
            </w:r>
            <w:r w:rsidR="0054515F" w:rsidRPr="00BD7CEA">
              <w:rPr>
                <w:rFonts w:ascii="Tahoma" w:eastAsia="Calibri" w:hAnsi="Tahoma" w:cs="Tahoma"/>
                <w:sz w:val="18"/>
                <w:szCs w:val="18"/>
              </w:rPr>
              <w:t> </w:t>
            </w:r>
            <w:r w:rsidRPr="00BD7CEA">
              <w:rPr>
                <w:rFonts w:ascii="Tahoma" w:eastAsia="Calibri" w:hAnsi="Tahoma" w:cs="Tahoma"/>
                <w:sz w:val="18"/>
                <w:szCs w:val="18"/>
              </w:rPr>
              <w:t>CRM</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54515F">
        <w:trPr>
          <w:cantSplit/>
        </w:trPr>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54515F">
            <w:pPr>
              <w:pStyle w:val="TableText"/>
              <w:jc w:val="left"/>
              <w:rPr>
                <w:rFonts w:ascii="Tahoma" w:eastAsia="Calibri" w:hAnsi="Tahoma" w:cs="Tahoma"/>
                <w:sz w:val="18"/>
                <w:szCs w:val="18"/>
              </w:rPr>
            </w:pPr>
            <w:r w:rsidRPr="00BD7CEA">
              <w:rPr>
                <w:rFonts w:ascii="Tahoma" w:eastAsia="Calibri" w:hAnsi="Tahoma" w:cs="Tahoma"/>
                <w:sz w:val="18"/>
                <w:szCs w:val="18"/>
              </w:rPr>
              <w:t>Condivisione di record delle</w:t>
            </w:r>
            <w:r w:rsidR="0054515F" w:rsidRPr="00BD7CEA">
              <w:rPr>
                <w:rFonts w:ascii="Tahoma" w:eastAsia="Calibri" w:hAnsi="Tahoma" w:cs="Tahoma"/>
                <w:sz w:val="18"/>
                <w:szCs w:val="18"/>
              </w:rPr>
              <w:t> </w:t>
            </w:r>
            <w:r w:rsidRPr="00BD7CEA">
              <w:rPr>
                <w:rFonts w:ascii="Tahoma" w:eastAsia="Calibri" w:hAnsi="Tahoma" w:cs="Tahoma"/>
                <w:sz w:val="18"/>
                <w:szCs w:val="18"/>
              </w:rPr>
              <w:t>persone giuridiche personalizzati utilizzando i</w:t>
            </w:r>
            <w:r w:rsidR="0054515F" w:rsidRPr="00BD7CEA">
              <w:rPr>
                <w:rFonts w:ascii="Tahoma" w:eastAsia="Calibri" w:hAnsi="Tahoma" w:cs="Tahoma"/>
                <w:sz w:val="18"/>
                <w:szCs w:val="18"/>
              </w:rPr>
              <w:t> </w:t>
            </w:r>
            <w:r w:rsidRPr="00BD7CEA">
              <w:rPr>
                <w:rFonts w:ascii="Tahoma" w:eastAsia="Calibri" w:hAnsi="Tahoma" w:cs="Tahoma"/>
                <w:sz w:val="18"/>
                <w:szCs w:val="18"/>
              </w:rPr>
              <w:t>client Microsoft Dynamics</w:t>
            </w:r>
            <w:r w:rsidR="0054515F" w:rsidRPr="00BD7CEA">
              <w:rPr>
                <w:rFonts w:ascii="Tahoma" w:eastAsia="Calibri" w:hAnsi="Tahoma" w:cs="Tahoma"/>
                <w:sz w:val="18"/>
                <w:szCs w:val="18"/>
              </w:rPr>
              <w:t> </w:t>
            </w:r>
            <w:r w:rsidRPr="00BD7CEA">
              <w:rPr>
                <w:rFonts w:ascii="Tahoma" w:eastAsia="Calibri" w:hAnsi="Tahoma" w:cs="Tahoma"/>
                <w:sz w:val="18"/>
                <w:szCs w:val="18"/>
              </w:rPr>
              <w:t>CRM</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Customer Care Accelerator Framework</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Creazione di Query “Ricerca Avanzata”</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lastRenderedPageBreak/>
              <w:t>Salvataggio di Query “Ricerca Avanzata”</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Viste Personali</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Creazione del Dashboard di Sistema</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auto"/>
          </w:tcPr>
          <w:p w:rsidR="0033725C" w:rsidRPr="00BD7CE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Condivisione del Dashboard di Sistema</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auto"/>
          </w:tcPr>
          <w:p w:rsidR="0033725C" w:rsidRPr="00BD7CE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Creazione del Dashboard personale</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Condivisione del Dashboard personale</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Creazione del Flusso di Lavoro</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Aggiornamento del Flusso di</w:t>
            </w:r>
            <w:r w:rsidR="0054515F" w:rsidRPr="00BD7CEA">
              <w:rPr>
                <w:rFonts w:ascii="Tahoma" w:eastAsia="Calibri" w:hAnsi="Tahoma" w:cs="Tahoma"/>
                <w:sz w:val="18"/>
                <w:szCs w:val="18"/>
              </w:rPr>
              <w:t> </w:t>
            </w:r>
            <w:r w:rsidRPr="00BD7CEA">
              <w:rPr>
                <w:rFonts w:ascii="Tahoma" w:eastAsia="Calibri" w:hAnsi="Tahoma" w:cs="Tahoma"/>
                <w:sz w:val="18"/>
                <w:szCs w:val="18"/>
              </w:rPr>
              <w:t>Lavoro</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Esecuzione del flusso di lavoro automatizzato</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auto"/>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r w:rsidRPr="00BD7CEA">
              <w:rPr>
                <w:rFonts w:eastAsia="Calibri" w:cs="Segoe UI"/>
                <w:b/>
                <w:sz w:val="24"/>
                <w:szCs w:val="24"/>
                <w:vertAlign w:val="superscript"/>
              </w:rPr>
              <w:t>5</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r w:rsidRPr="00BD7CEA">
              <w:rPr>
                <w:rFonts w:eastAsia="Calibri" w:cs="Segoe UI"/>
                <w:b/>
                <w:sz w:val="24"/>
                <w:szCs w:val="24"/>
                <w:vertAlign w:val="superscript"/>
              </w:rPr>
              <w:t>5</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Esecuzione del flusso di lavoro Su richiesta</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auto"/>
          </w:tcPr>
          <w:p w:rsidR="0033725C" w:rsidRPr="00BD7CE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Creazione di una Finestra di</w:t>
            </w:r>
            <w:r w:rsidR="0054515F" w:rsidRPr="00BD7CEA">
              <w:rPr>
                <w:rFonts w:ascii="Tahoma" w:eastAsia="Calibri" w:hAnsi="Tahoma" w:cs="Tahoma"/>
                <w:sz w:val="18"/>
                <w:szCs w:val="18"/>
              </w:rPr>
              <w:t> </w:t>
            </w:r>
            <w:r w:rsidRPr="00BD7CEA">
              <w:rPr>
                <w:rFonts w:ascii="Tahoma" w:eastAsia="Calibri" w:hAnsi="Tahoma" w:cs="Tahoma"/>
                <w:sz w:val="18"/>
                <w:szCs w:val="18"/>
              </w:rPr>
              <w:t>Dialogo</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Aggiornamento di una Finestra di Dialogo</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Avvio di una Finestra di</w:t>
            </w:r>
            <w:r w:rsidR="0054515F" w:rsidRPr="00BD7CEA">
              <w:rPr>
                <w:rFonts w:ascii="Tahoma" w:eastAsia="Calibri" w:hAnsi="Tahoma" w:cs="Tahoma"/>
                <w:sz w:val="18"/>
                <w:szCs w:val="18"/>
              </w:rPr>
              <w:t> </w:t>
            </w:r>
            <w:r w:rsidRPr="00BD7CEA">
              <w:rPr>
                <w:rFonts w:ascii="Tahoma" w:eastAsia="Calibri" w:hAnsi="Tahoma" w:cs="Tahoma"/>
                <w:sz w:val="18"/>
                <w:szCs w:val="18"/>
              </w:rPr>
              <w:t>Dialogo</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auto"/>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r w:rsidRPr="00BD7CEA">
              <w:rPr>
                <w:rFonts w:eastAsia="Calibri" w:cs="Segoe UI"/>
                <w:b/>
                <w:sz w:val="24"/>
                <w:szCs w:val="24"/>
                <w:vertAlign w:val="superscript"/>
              </w:rPr>
              <w:t>5</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r w:rsidRPr="00BD7CEA">
              <w:rPr>
                <w:rFonts w:eastAsia="Calibri" w:cs="Segoe UI"/>
                <w:b/>
                <w:sz w:val="24"/>
                <w:szCs w:val="24"/>
                <w:vertAlign w:val="superscript"/>
              </w:rPr>
              <w:t>5</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Creazione di un Rapporto</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 xml:space="preserve">Esecuzione di un Rapporto </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Esecuzione di Stampa Unione</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Esportazione di dati in Microsoft Excel</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Gestione e pubblicazione di feed attività che interessano Account, Contatti, Lead e</w:t>
            </w:r>
            <w:r w:rsidR="0054515F" w:rsidRPr="00BD7CEA">
              <w:rPr>
                <w:rFonts w:ascii="Tahoma" w:eastAsia="Calibri" w:hAnsi="Tahoma" w:cs="Tahoma"/>
                <w:sz w:val="18"/>
                <w:szCs w:val="18"/>
              </w:rPr>
              <w:t> </w:t>
            </w:r>
            <w:r w:rsidRPr="00BD7CEA">
              <w:rPr>
                <w:rFonts w:ascii="Tahoma" w:eastAsia="Calibri" w:hAnsi="Tahoma" w:cs="Tahoma"/>
                <w:sz w:val="18"/>
                <w:szCs w:val="18"/>
              </w:rPr>
              <w:t>Record delle persone giuridiche personalizzati utilizzando l</w:t>
            </w:r>
            <w:r w:rsidR="007A1415" w:rsidRPr="00BD7CEA">
              <w:rPr>
                <w:rFonts w:ascii="Tahoma" w:eastAsia="Calibri" w:hAnsi="Tahoma" w:cs="Tahoma"/>
                <w:sz w:val="18"/>
                <w:szCs w:val="18"/>
              </w:rPr>
              <w:t>’</w:t>
            </w:r>
            <w:r w:rsidRPr="00BD7CEA">
              <w:rPr>
                <w:rFonts w:ascii="Tahoma" w:eastAsia="Calibri" w:hAnsi="Tahoma" w:cs="Tahoma"/>
                <w:sz w:val="18"/>
                <w:szCs w:val="18"/>
              </w:rPr>
              <w:t>accesso alle API</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Gestione e pubblicazione di</w:t>
            </w:r>
            <w:r w:rsidR="0054515F" w:rsidRPr="00BD7CEA">
              <w:rPr>
                <w:rFonts w:ascii="Tahoma" w:eastAsia="Calibri" w:hAnsi="Tahoma" w:cs="Tahoma"/>
                <w:sz w:val="18"/>
                <w:szCs w:val="18"/>
              </w:rPr>
              <w:t> </w:t>
            </w:r>
            <w:r w:rsidRPr="00BD7CEA">
              <w:rPr>
                <w:rFonts w:ascii="Tahoma" w:eastAsia="Calibri" w:hAnsi="Tahoma" w:cs="Tahoma"/>
                <w:sz w:val="18"/>
                <w:szCs w:val="18"/>
              </w:rPr>
              <w:t>feed attività che interessano record delle persone giuridiche standard Dynamics CRM utilizzando client Dynamics CRM</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bl>
    <w:p w:rsidR="000E3B21" w:rsidRDefault="000E3B21">
      <w:r>
        <w:br w:type="page"/>
      </w:r>
    </w:p>
    <w:tbl>
      <w:tblPr>
        <w:tblW w:w="8878" w:type="dxa"/>
        <w:tblInd w:w="828" w:type="dxa"/>
        <w:tblLayout w:type="fixed"/>
        <w:tblCellMar>
          <w:left w:w="58" w:type="dxa"/>
          <w:right w:w="58" w:type="dxa"/>
        </w:tblCellMar>
        <w:tblLook w:val="04A0" w:firstRow="1" w:lastRow="0" w:firstColumn="1" w:lastColumn="0" w:noHBand="0" w:noVBand="1"/>
      </w:tblPr>
      <w:tblGrid>
        <w:gridCol w:w="2470"/>
        <w:gridCol w:w="810"/>
        <w:gridCol w:w="990"/>
        <w:gridCol w:w="1170"/>
        <w:gridCol w:w="1080"/>
        <w:gridCol w:w="1260"/>
        <w:gridCol w:w="1098"/>
      </w:tblGrid>
      <w:tr w:rsidR="00713397" w:rsidRPr="00BD7CEA" w:rsidTr="00E130A5">
        <w:trPr>
          <w:trHeight w:val="226"/>
          <w:tblHeader/>
        </w:trPr>
        <w:tc>
          <w:tcPr>
            <w:tcW w:w="2470" w:type="dxa"/>
            <w:tcBorders>
              <w:top w:val="single" w:sz="4" w:space="0" w:color="auto"/>
              <w:left w:val="single" w:sz="4" w:space="0" w:color="auto"/>
              <w:bottom w:val="single" w:sz="4" w:space="0" w:color="auto"/>
              <w:right w:val="single" w:sz="4" w:space="0" w:color="auto"/>
            </w:tcBorders>
            <w:shd w:val="clear" w:color="auto" w:fill="FABF8F"/>
          </w:tcPr>
          <w:p w:rsidR="00713397" w:rsidRPr="00BD7CEA" w:rsidRDefault="00713397" w:rsidP="00E130A5">
            <w:pPr>
              <w:pStyle w:val="TableHeading"/>
              <w:rPr>
                <w:rFonts w:ascii="Tahoma" w:hAnsi="Tahoma" w:cs="Tahoma"/>
                <w:color w:val="000000"/>
                <w:sz w:val="18"/>
                <w:szCs w:val="18"/>
              </w:rPr>
            </w:pPr>
            <w:r w:rsidRPr="00BD7CEA">
              <w:rPr>
                <w:rFonts w:ascii="Tahoma" w:hAnsi="Tahoma" w:cs="Tahoma"/>
                <w:color w:val="000000"/>
                <w:sz w:val="18"/>
                <w:szCs w:val="18"/>
              </w:rPr>
              <w:lastRenderedPageBreak/>
              <w:t>Diritti sull’Utilizzo</w:t>
            </w:r>
          </w:p>
        </w:tc>
        <w:tc>
          <w:tcPr>
            <w:tcW w:w="810" w:type="dxa"/>
            <w:tcBorders>
              <w:top w:val="single" w:sz="4" w:space="0" w:color="auto"/>
              <w:left w:val="single" w:sz="4" w:space="0" w:color="auto"/>
              <w:bottom w:val="single" w:sz="4" w:space="0" w:color="auto"/>
              <w:right w:val="single" w:sz="4" w:space="0" w:color="auto"/>
            </w:tcBorders>
            <w:shd w:val="clear" w:color="auto" w:fill="FABF8F"/>
          </w:tcPr>
          <w:p w:rsidR="00713397" w:rsidRPr="00BD7CEA" w:rsidRDefault="00713397" w:rsidP="00E130A5">
            <w:pPr>
              <w:pStyle w:val="TableHeading"/>
              <w:rPr>
                <w:rFonts w:ascii="Tahoma" w:hAnsi="Tahoma" w:cs="Tahoma"/>
                <w:color w:val="000000"/>
                <w:sz w:val="18"/>
                <w:szCs w:val="18"/>
              </w:rPr>
            </w:pPr>
            <w:r w:rsidRPr="00BD7CEA">
              <w:rPr>
                <w:rFonts w:ascii="Tahoma" w:hAnsi="Tahoma" w:cs="Tahoma"/>
                <w:color w:val="000000"/>
                <w:sz w:val="18"/>
                <w:szCs w:val="18"/>
              </w:rPr>
              <w:t>CAL per ESS</w:t>
            </w:r>
          </w:p>
        </w:tc>
        <w:tc>
          <w:tcPr>
            <w:tcW w:w="990" w:type="dxa"/>
            <w:tcBorders>
              <w:top w:val="single" w:sz="4" w:space="0" w:color="auto"/>
              <w:left w:val="single" w:sz="4" w:space="0" w:color="auto"/>
              <w:bottom w:val="single" w:sz="4" w:space="0" w:color="auto"/>
              <w:right w:val="single" w:sz="4" w:space="0" w:color="auto"/>
            </w:tcBorders>
            <w:shd w:val="clear" w:color="auto" w:fill="FABF8F"/>
          </w:tcPr>
          <w:p w:rsidR="00713397" w:rsidRPr="00BD7CEA" w:rsidRDefault="00713397" w:rsidP="00E130A5">
            <w:pPr>
              <w:pStyle w:val="TableHeading"/>
              <w:ind w:right="50"/>
              <w:rPr>
                <w:rFonts w:ascii="Tahoma" w:hAnsi="Tahoma" w:cs="Tahoma"/>
                <w:color w:val="000000"/>
                <w:sz w:val="18"/>
                <w:szCs w:val="18"/>
              </w:rPr>
            </w:pPr>
            <w:r w:rsidRPr="00BD7CEA">
              <w:rPr>
                <w:rFonts w:ascii="Tahoma" w:hAnsi="Tahoma" w:cs="Tahoma"/>
                <w:color w:val="000000"/>
                <w:sz w:val="18"/>
                <w:szCs w:val="18"/>
              </w:rPr>
              <w:t>CAL Limitata</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rsidR="00713397" w:rsidRPr="00BD7CEA" w:rsidRDefault="00713397" w:rsidP="00E130A5">
            <w:pPr>
              <w:pStyle w:val="TableHeading"/>
              <w:rPr>
                <w:rFonts w:ascii="Tahoma" w:hAnsi="Tahoma" w:cs="Tahoma"/>
                <w:color w:val="000000"/>
                <w:sz w:val="18"/>
                <w:szCs w:val="18"/>
              </w:rPr>
            </w:pPr>
            <w:r w:rsidRPr="00BD7CEA">
              <w:rPr>
                <w:rFonts w:ascii="Tahoma" w:hAnsi="Tahoma" w:cs="Tahoma"/>
                <w:color w:val="000000"/>
                <w:sz w:val="18"/>
                <w:szCs w:val="18"/>
              </w:rPr>
              <w:t>CAL Completa</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713397" w:rsidRPr="00BD7CEA" w:rsidRDefault="00713397" w:rsidP="00E130A5">
            <w:pPr>
              <w:pStyle w:val="TableHeading"/>
              <w:rPr>
                <w:rFonts w:ascii="Tahoma" w:hAnsi="Tahoma" w:cs="Tahoma"/>
                <w:color w:val="000000"/>
                <w:sz w:val="18"/>
                <w:szCs w:val="18"/>
              </w:rPr>
            </w:pPr>
            <w:r w:rsidRPr="00BD7CEA">
              <w:rPr>
                <w:rFonts w:ascii="Tahoma" w:hAnsi="Tahoma" w:cs="Tahoma"/>
                <w:color w:val="000000"/>
                <w:sz w:val="18"/>
                <w:szCs w:val="18"/>
              </w:rPr>
              <w:t>CAL Aggiunta per l’Utilizzo Limitato</w:t>
            </w:r>
          </w:p>
        </w:tc>
        <w:tc>
          <w:tcPr>
            <w:tcW w:w="1260" w:type="dxa"/>
            <w:tcBorders>
              <w:top w:val="single" w:sz="4" w:space="0" w:color="auto"/>
              <w:left w:val="single" w:sz="4" w:space="0" w:color="auto"/>
              <w:bottom w:val="single" w:sz="4" w:space="0" w:color="auto"/>
              <w:right w:val="single" w:sz="4" w:space="0" w:color="auto"/>
            </w:tcBorders>
            <w:shd w:val="clear" w:color="auto" w:fill="FABF8F"/>
          </w:tcPr>
          <w:p w:rsidR="00713397" w:rsidRPr="00BD7CEA" w:rsidRDefault="00713397" w:rsidP="00E130A5">
            <w:pPr>
              <w:pStyle w:val="TableHeading"/>
              <w:rPr>
                <w:rFonts w:ascii="Tahoma" w:hAnsi="Tahoma" w:cs="Tahoma"/>
                <w:color w:val="000000"/>
                <w:sz w:val="18"/>
                <w:szCs w:val="18"/>
              </w:rPr>
            </w:pPr>
            <w:r w:rsidRPr="00BD7CEA">
              <w:rPr>
                <w:rFonts w:ascii="Tahoma" w:hAnsi="Tahoma" w:cs="Tahoma"/>
                <w:color w:val="000000"/>
                <w:sz w:val="18"/>
                <w:szCs w:val="18"/>
              </w:rPr>
              <w:t>CAL Aggiuntiva per l’Utilizzo Completo</w:t>
            </w:r>
          </w:p>
        </w:tc>
        <w:tc>
          <w:tcPr>
            <w:tcW w:w="1098" w:type="dxa"/>
            <w:tcBorders>
              <w:top w:val="single" w:sz="4" w:space="0" w:color="auto"/>
              <w:left w:val="single" w:sz="4" w:space="0" w:color="auto"/>
              <w:bottom w:val="single" w:sz="4" w:space="0" w:color="auto"/>
              <w:right w:val="single" w:sz="4" w:space="0" w:color="auto"/>
            </w:tcBorders>
            <w:shd w:val="clear" w:color="auto" w:fill="FABF8F"/>
          </w:tcPr>
          <w:p w:rsidR="00713397" w:rsidRPr="00BD7CEA" w:rsidRDefault="00713397" w:rsidP="00E130A5">
            <w:pPr>
              <w:pStyle w:val="TableHeading"/>
              <w:ind w:left="-4" w:right="0" w:firstLine="9"/>
              <w:rPr>
                <w:rFonts w:ascii="Tahoma" w:hAnsi="Tahoma" w:cs="Tahoma"/>
                <w:color w:val="000000"/>
                <w:sz w:val="18"/>
                <w:szCs w:val="18"/>
              </w:rPr>
            </w:pPr>
            <w:r w:rsidRPr="00BD7CEA">
              <w:rPr>
                <w:rFonts w:ascii="Tahoma" w:hAnsi="Tahoma" w:cs="Tahoma"/>
                <w:color w:val="000000"/>
                <w:sz w:val="18"/>
                <w:szCs w:val="18"/>
              </w:rPr>
              <w:t>External Connector</w:t>
            </w: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Gestione e pubblicazione di feed attività che interessano record delle persone giuridiche personalizzati utilizzando client Dynamics</w:t>
            </w:r>
            <w:r w:rsidR="0054515F" w:rsidRPr="00BD7CEA">
              <w:rPr>
                <w:rFonts w:ascii="Tahoma" w:eastAsia="Calibri" w:hAnsi="Tahoma" w:cs="Tahoma"/>
                <w:sz w:val="18"/>
                <w:szCs w:val="18"/>
              </w:rPr>
              <w:t> </w:t>
            </w:r>
            <w:r w:rsidRPr="00BD7CEA">
              <w:rPr>
                <w:rFonts w:ascii="Tahoma" w:eastAsia="Calibri" w:hAnsi="Tahoma" w:cs="Tahoma"/>
                <w:sz w:val="18"/>
                <w:szCs w:val="18"/>
              </w:rPr>
              <w:t>CRM</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Accesso in Lettura alla funzionalità completa Microsoft Dynamics CRM</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r w:rsidRPr="00BD7CEA">
              <w:rPr>
                <w:rFonts w:eastAsia="Calibri" w:cs="Segoe UI"/>
                <w:b/>
                <w:sz w:val="24"/>
                <w:szCs w:val="24"/>
                <w:vertAlign w:val="superscript"/>
              </w:rPr>
              <w:t>4</w:t>
            </w:r>
          </w:p>
        </w:tc>
      </w:tr>
      <w:tr w:rsidR="0033725C" w:rsidRPr="00BD7CEA" w:rsidTr="009F7F09">
        <w:tc>
          <w:tcPr>
            <w:tcW w:w="24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rPr>
                <w:rFonts w:ascii="Tahoma" w:eastAsia="Calibri" w:hAnsi="Tahoma" w:cs="Tahoma"/>
                <w:sz w:val="18"/>
                <w:szCs w:val="18"/>
              </w:rPr>
            </w:pPr>
            <w:r w:rsidRPr="00BD7CEA">
              <w:rPr>
                <w:rFonts w:ascii="Tahoma" w:eastAsia="Calibri" w:hAnsi="Tahoma" w:cs="Tahoma"/>
                <w:sz w:val="18"/>
                <w:szCs w:val="18"/>
              </w:rPr>
              <w:t>Accesso in Scrittura alla funzionalità completa Microsoft Dynamics CRM</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D7CEA" w:rsidRDefault="0033725C" w:rsidP="00A73DBD">
            <w:pPr>
              <w:pStyle w:val="TableText"/>
              <w:rPr>
                <w:rFonts w:eastAsia="Calibri" w:cs="Segoe UI"/>
                <w:b/>
                <w:sz w:val="24"/>
                <w:szCs w:val="24"/>
              </w:rPr>
            </w:pPr>
            <w:r w:rsidRPr="00BD7CEA">
              <w:rPr>
                <w:rFonts w:eastAsia="Calibri" w:cs="Segoe UI"/>
                <w:b/>
                <w:sz w:val="24"/>
                <w:szCs w:val="24"/>
              </w:rPr>
              <w:sym w:font="Wingdings" w:char="00FC"/>
            </w:r>
            <w:r w:rsidRPr="00BD7CEA">
              <w:rPr>
                <w:rFonts w:eastAsia="Calibri" w:cs="Segoe UI"/>
                <w:b/>
                <w:sz w:val="24"/>
                <w:szCs w:val="24"/>
                <w:vertAlign w:val="superscript"/>
              </w:rPr>
              <w:t>4</w:t>
            </w:r>
          </w:p>
        </w:tc>
      </w:tr>
      <w:tr w:rsidR="0033725C" w:rsidRPr="00BD7CEA" w:rsidTr="00CA14C9">
        <w:tc>
          <w:tcPr>
            <w:tcW w:w="8878" w:type="dxa"/>
            <w:gridSpan w:val="7"/>
            <w:tcBorders>
              <w:top w:val="single" w:sz="6" w:space="0" w:color="1F497D"/>
              <w:left w:val="single" w:sz="4" w:space="0" w:color="072B61"/>
              <w:bottom w:val="single" w:sz="6" w:space="0" w:color="1F497D"/>
              <w:right w:val="single" w:sz="6" w:space="0" w:color="1F497D"/>
            </w:tcBorders>
            <w:shd w:val="clear" w:color="auto" w:fill="FFFFFF"/>
          </w:tcPr>
          <w:p w:rsidR="0033725C" w:rsidRPr="00BD7CEA" w:rsidRDefault="0033725C" w:rsidP="00A73DBD">
            <w:pPr>
              <w:pStyle w:val="TableText"/>
              <w:jc w:val="left"/>
            </w:pPr>
            <w:r w:rsidRPr="00835398">
              <w:rPr>
                <w:rFonts w:ascii="Tahoma" w:eastAsia="Calibri" w:hAnsi="Tahoma" w:cs="Tahoma"/>
                <w:i/>
                <w:sz w:val="14"/>
                <w:szCs w:val="18"/>
                <w:vertAlign w:val="superscript"/>
              </w:rPr>
              <w:t>(1)</w:t>
            </w:r>
            <w:r w:rsidRPr="00BD7CEA">
              <w:rPr>
                <w:rFonts w:ascii="Tahoma" w:eastAsia="Calibri" w:hAnsi="Tahoma" w:cs="Tahoma"/>
                <w:i/>
                <w:sz w:val="14"/>
                <w:szCs w:val="18"/>
              </w:rPr>
              <w:t xml:space="preserve"> Client Web Microsoft Dynamics CRM, client Microsoft Dynamics CRM per Microsoft Outlook e Mobile Express per Microsoft Dynamics CRM.</w:t>
            </w:r>
          </w:p>
          <w:p w:rsidR="0033725C" w:rsidRPr="00BD7CEA" w:rsidRDefault="0033725C" w:rsidP="00A73DBD">
            <w:pPr>
              <w:pStyle w:val="TableText"/>
              <w:jc w:val="left"/>
            </w:pPr>
            <w:r w:rsidRPr="00835398">
              <w:rPr>
                <w:rFonts w:ascii="Tahoma" w:eastAsia="Calibri" w:hAnsi="Tahoma" w:cs="Tahoma"/>
                <w:i/>
                <w:sz w:val="14"/>
                <w:szCs w:val="18"/>
                <w:vertAlign w:val="superscript"/>
              </w:rPr>
              <w:t>(2)</w:t>
            </w:r>
            <w:r w:rsidRPr="00BD7CEA">
              <w:rPr>
                <w:rFonts w:ascii="Tahoma" w:eastAsia="Calibri" w:hAnsi="Tahoma" w:cs="Tahoma"/>
                <w:i/>
                <w:sz w:val="14"/>
                <w:szCs w:val="18"/>
              </w:rPr>
              <w:t xml:space="preserve"> Privilegi applicabili solo ai record creati dallo stesso utente.</w:t>
            </w:r>
          </w:p>
          <w:p w:rsidR="0033725C" w:rsidRPr="00BD7CEA" w:rsidRDefault="0033725C" w:rsidP="00A73DBD">
            <w:pPr>
              <w:pStyle w:val="TableText"/>
              <w:jc w:val="left"/>
            </w:pPr>
            <w:r w:rsidRPr="00835398">
              <w:rPr>
                <w:rFonts w:ascii="Tahoma" w:eastAsia="Calibri" w:hAnsi="Tahoma" w:cs="Tahoma"/>
                <w:i/>
                <w:sz w:val="14"/>
                <w:szCs w:val="18"/>
                <w:vertAlign w:val="superscript"/>
              </w:rPr>
              <w:t>(3)</w:t>
            </w:r>
            <w:r w:rsidRPr="00BD7CEA">
              <w:rPr>
                <w:rFonts w:ascii="Tahoma" w:eastAsia="Calibri" w:hAnsi="Tahoma" w:cs="Tahoma"/>
                <w:i/>
                <w:sz w:val="14"/>
                <w:szCs w:val="18"/>
              </w:rPr>
              <w:t xml:space="preserve"> Privilegi applicabili SOLO alle attività personalizzate.</w:t>
            </w:r>
          </w:p>
          <w:p w:rsidR="0033725C" w:rsidRPr="00835398" w:rsidRDefault="0033725C" w:rsidP="00A73DBD">
            <w:r w:rsidRPr="00835398">
              <w:rPr>
                <w:rFonts w:eastAsia="Calibri" w:cs="Segoe UI"/>
                <w:i/>
                <w:sz w:val="14"/>
                <w:szCs w:val="18"/>
                <w:vertAlign w:val="superscript"/>
              </w:rPr>
              <w:t>(4)</w:t>
            </w:r>
            <w:r w:rsidRPr="00835398">
              <w:rPr>
                <w:rFonts w:eastAsia="Calibri" w:cs="Segoe UI"/>
                <w:i/>
                <w:sz w:val="14"/>
                <w:szCs w:val="18"/>
              </w:rPr>
              <w:t xml:space="preserve"> Privilegi per creare record, </w:t>
            </w:r>
            <w:r w:rsidRPr="00835398">
              <w:rPr>
                <w:rFonts w:eastAsia="Calibri"/>
                <w:bCs/>
                <w:i/>
                <w:sz w:val="14"/>
                <w:szCs w:val="18"/>
              </w:rPr>
              <w:t>aggiungere, aggiungere a e aggiornare</w:t>
            </w:r>
            <w:r w:rsidRPr="00835398">
              <w:rPr>
                <w:rFonts w:eastAsia="Calibri"/>
                <w:i/>
                <w:sz w:val="14"/>
                <w:szCs w:val="18"/>
              </w:rPr>
              <w:t xml:space="preserve"> </w:t>
            </w:r>
            <w:r w:rsidRPr="00835398">
              <w:rPr>
                <w:rFonts w:eastAsia="Calibri"/>
                <w:bCs/>
                <w:i/>
                <w:sz w:val="14"/>
                <w:szCs w:val="18"/>
              </w:rPr>
              <w:t>record creati da utenti CRM. Nessun privilegio di dati</w:t>
            </w:r>
            <w:r w:rsidRPr="00835398">
              <w:rPr>
                <w:rFonts w:eastAsia="Calibri"/>
                <w:i/>
                <w:sz w:val="14"/>
                <w:szCs w:val="18"/>
              </w:rPr>
              <w:t xml:space="preserve"> per </w:t>
            </w:r>
            <w:r w:rsidRPr="00835398">
              <w:rPr>
                <w:rFonts w:eastAsia="Calibri"/>
                <w:bCs/>
                <w:i/>
                <w:sz w:val="14"/>
                <w:szCs w:val="18"/>
              </w:rPr>
              <w:t>cedere, condividere o eliminare</w:t>
            </w:r>
            <w:r w:rsidRPr="00835398">
              <w:rPr>
                <w:rFonts w:eastAsia="Calibri"/>
                <w:i/>
                <w:sz w:val="14"/>
                <w:szCs w:val="18"/>
              </w:rPr>
              <w:t xml:space="preserve"> record. </w:t>
            </w:r>
            <w:r w:rsidRPr="00835398">
              <w:rPr>
                <w:rFonts w:eastAsia="Calibri"/>
                <w:bCs/>
                <w:i/>
                <w:sz w:val="14"/>
                <w:szCs w:val="18"/>
              </w:rPr>
              <w:t>Solo accesso alle API.</w:t>
            </w:r>
          </w:p>
          <w:p w:rsidR="0033725C" w:rsidRPr="00BD7CEA" w:rsidRDefault="0033725C" w:rsidP="00A73DBD">
            <w:pPr>
              <w:rPr>
                <w:rFonts w:eastAsia="Calibri"/>
                <w:b/>
                <w:bCs/>
                <w:szCs w:val="18"/>
              </w:rPr>
            </w:pPr>
            <w:r w:rsidRPr="00835398">
              <w:rPr>
                <w:rFonts w:eastAsia="Calibri" w:cs="Segoe UI"/>
                <w:i/>
                <w:sz w:val="14"/>
                <w:szCs w:val="18"/>
                <w:vertAlign w:val="superscript"/>
              </w:rPr>
              <w:t>(5)</w:t>
            </w:r>
            <w:r w:rsidRPr="00BD7CEA">
              <w:rPr>
                <w:rFonts w:eastAsia="Calibri" w:cs="Segoe UI"/>
                <w:i/>
                <w:sz w:val="14"/>
                <w:szCs w:val="18"/>
              </w:rPr>
              <w:t xml:space="preserve"> </w:t>
            </w:r>
            <w:r w:rsidRPr="00BD7CEA">
              <w:rPr>
                <w:rFonts w:eastAsia="Calibri"/>
                <w:i/>
                <w:sz w:val="14"/>
              </w:rPr>
              <w:t>Solo Account, Contatti, Casi, Lead, Attività e Record delle persone giuridiche personalizzati.</w:t>
            </w:r>
            <w:r w:rsidRPr="00BD7CEA">
              <w:rPr>
                <w:rFonts w:eastAsia="Calibri" w:cs="Segoe UI"/>
                <w:b/>
                <w:sz w:val="14"/>
                <w:szCs w:val="18"/>
              </w:rPr>
              <w:t xml:space="preserve"> </w:t>
            </w:r>
          </w:p>
        </w:tc>
      </w:tr>
    </w:tbl>
    <w:p w:rsidR="0033725C" w:rsidRPr="00BD7CEA" w:rsidRDefault="0033725C" w:rsidP="00D47417">
      <w:pPr>
        <w:ind w:left="540"/>
      </w:pPr>
    </w:p>
    <w:p w:rsidR="00BF7FDE" w:rsidRPr="00BD7CEA" w:rsidRDefault="0033725C" w:rsidP="007B699C">
      <w:pPr>
        <w:ind w:left="720"/>
      </w:pPr>
      <w:r w:rsidRPr="00BD7CEA">
        <w:t>Fare riferimento alla guida sui prezzi e le licenze di Microsoft Dynamics CRM 2011 per ulteriori informazioni sulle licenze Microsoft Dynamics CRM.</w:t>
      </w:r>
      <w:bookmarkStart w:id="1374" w:name="_69_Office_365"/>
      <w:bookmarkStart w:id="1375" w:name="_69_68_Office"/>
      <w:bookmarkEnd w:id="1374"/>
      <w:bookmarkEnd w:id="1375"/>
    </w:p>
    <w:p w:rsidR="006E28CC" w:rsidRPr="00BD7CEA" w:rsidRDefault="006E28CC" w:rsidP="006D6A83">
      <w:bookmarkStart w:id="1376" w:name="_71_Office_365_1"/>
      <w:bookmarkStart w:id="1377" w:name="_Toc336338329"/>
      <w:bookmarkStart w:id="1378" w:name="Srv_70Office365PlanE1"/>
      <w:bookmarkEnd w:id="1376"/>
    </w:p>
    <w:p w:rsidR="006E28CC" w:rsidRPr="00BD7CEA" w:rsidRDefault="006E28CC" w:rsidP="006D6A83"/>
    <w:p w:rsidR="006E28CC" w:rsidRPr="00BD7CEA" w:rsidRDefault="00F66FB0" w:rsidP="009C5D30">
      <w:pPr>
        <w:pStyle w:val="Heading2"/>
        <w:ind w:left="0"/>
      </w:pPr>
      <w:bookmarkStart w:id="1379" w:name="_66_Microsoft_Dynamics"/>
      <w:bookmarkStart w:id="1380" w:name="_Toc353376106"/>
      <w:bookmarkEnd w:id="1379"/>
      <w:r w:rsidRPr="00BD7CEA">
        <w:rPr>
          <w:rFonts w:ascii="Tahoma" w:hAnsi="Tahoma" w:cs="Tahoma"/>
          <w:caps/>
          <w:color w:val="FF6600"/>
          <w:sz w:val="22"/>
          <w:szCs w:val="22"/>
          <w:vertAlign w:val="superscript"/>
        </w:rPr>
        <w:t xml:space="preserve">68 </w:t>
      </w:r>
      <w:r w:rsidRPr="00BD7CEA">
        <w:rPr>
          <w:rFonts w:ascii="Tahoma" w:hAnsi="Tahoma" w:cs="Tahoma"/>
          <w:color w:val="FF6600"/>
          <w:sz w:val="22"/>
          <w:szCs w:val="22"/>
        </w:rPr>
        <w:t>Microsoft Dynamics CRM 2011 Server</w:t>
      </w:r>
      <w:bookmarkEnd w:id="1380"/>
    </w:p>
    <w:p w:rsidR="006E28CC" w:rsidRPr="00BD7CEA" w:rsidRDefault="006E28CC" w:rsidP="006E28CC">
      <w:pPr>
        <w:tabs>
          <w:tab w:val="left" w:pos="1800"/>
        </w:tabs>
        <w:spacing w:after="60"/>
      </w:pPr>
    </w:p>
    <w:p w:rsidR="006E28CC" w:rsidRPr="00BD7CEA" w:rsidRDefault="006E28CC" w:rsidP="009C5D30">
      <w:pPr>
        <w:spacing w:after="60"/>
        <w:ind w:left="720"/>
      </w:pPr>
      <w:r w:rsidRPr="00BD7CEA">
        <w:rPr>
          <w:b/>
        </w:rPr>
        <w:t>Microsoft Dynamics CRM Server 2011</w:t>
      </w:r>
      <w:r w:rsidR="00FD7C0D">
        <w:rPr>
          <w:b/>
        </w:rPr>
        <w:t xml:space="preserve"> – </w:t>
      </w:r>
      <w:r w:rsidRPr="00BD7CEA">
        <w:rPr>
          <w:b/>
        </w:rPr>
        <w:t>Microsoft Dynamics Marketing Online Integration Grant</w:t>
      </w:r>
    </w:p>
    <w:p w:rsidR="00A04495" w:rsidRPr="00BD7CEA" w:rsidRDefault="006E28CC" w:rsidP="0004051B">
      <w:pPr>
        <w:ind w:left="720"/>
      </w:pPr>
      <w:r w:rsidRPr="00BD7CEA">
        <w:rPr>
          <w:rFonts w:eastAsia="Calibri" w:cs="Tahoma"/>
          <w:color w:val="000000"/>
          <w:szCs w:val="18"/>
        </w:rPr>
        <w:t>La rinuncia di licenza che segue si applica agli utenti in possesso della licenza per Microsoft Dynamics Marketing Online con l</w:t>
      </w:r>
      <w:r w:rsidR="007A1415" w:rsidRPr="00BD7CEA">
        <w:rPr>
          <w:rFonts w:eastAsia="Calibri" w:cs="Tahoma"/>
          <w:color w:val="000000"/>
          <w:szCs w:val="18"/>
        </w:rPr>
        <w:t>’</w:t>
      </w:r>
      <w:r w:rsidRPr="00BD7CEA">
        <w:rPr>
          <w:rFonts w:eastAsia="Calibri" w:cs="Tahoma"/>
          <w:color w:val="000000"/>
          <w:szCs w:val="18"/>
        </w:rPr>
        <w:t xml:space="preserve">opzione Maintenance Support and Upgrade attiva che accedono al servizio Microsoft Dynamics CRM Server 2011 direttamente o indirettamente tramite il Software </w:t>
      </w:r>
      <w:r w:rsidRPr="00BD7CEA">
        <w:rPr>
          <w:bCs/>
        </w:rPr>
        <w:t>MarketingPilot Connector per Microsoft Dynamics CRM</w:t>
      </w:r>
      <w:r w:rsidRPr="00BD7CEA">
        <w:rPr>
          <w:rFonts w:eastAsia="Calibri" w:cs="Tahoma"/>
          <w:color w:val="000000"/>
          <w:szCs w:val="18"/>
        </w:rPr>
        <w:t xml:space="preserve"> al solo scopo di sincronizzare i dati della società.</w:t>
      </w:r>
      <w:r w:rsidR="008D782D" w:rsidRPr="00BD7CEA">
        <w:rPr>
          <w:rFonts w:eastAsia="Calibri" w:cs="Tahoma"/>
          <w:color w:val="000000"/>
          <w:szCs w:val="18"/>
        </w:rPr>
        <w:t xml:space="preserve"> </w:t>
      </w:r>
      <w:r w:rsidRPr="00BD7CEA">
        <w:rPr>
          <w:rFonts w:eastAsia="Calibri" w:cs="Tahoma"/>
          <w:color w:val="000000"/>
          <w:szCs w:val="18"/>
        </w:rPr>
        <w:t>Tali utenti non richiedono una licenza CAL per Microsoft Dynamics CRM 2011. Tale rinuncia si applica fino al 30 giugno 2014. Dopo tale data Microsoft si riserva il diritto di richiedere le licenze CAL appropriate.</w:t>
      </w:r>
    </w:p>
    <w:p w:rsidR="00A04495" w:rsidRPr="00BD7CEA" w:rsidRDefault="00A04495" w:rsidP="007B1734"/>
    <w:p w:rsidR="00F1020A" w:rsidRPr="00BD7CEA" w:rsidRDefault="00F1020A" w:rsidP="007B1734"/>
    <w:p w:rsidR="00D70D2C" w:rsidRPr="00BD7CEA" w:rsidRDefault="00F66FB0" w:rsidP="00D70D2C">
      <w:pPr>
        <w:pStyle w:val="Heading2"/>
        <w:ind w:left="0"/>
      </w:pPr>
      <w:bookmarkStart w:id="1381" w:name="_70_68_Office"/>
      <w:bookmarkStart w:id="1382" w:name="_Toc353376107"/>
      <w:bookmarkEnd w:id="1381"/>
      <w:r w:rsidRPr="00BD7CEA">
        <w:rPr>
          <w:rFonts w:ascii="Tahoma" w:hAnsi="Tahoma" w:cs="Tahoma"/>
          <w:caps/>
          <w:color w:val="FF6600"/>
          <w:sz w:val="22"/>
          <w:szCs w:val="22"/>
          <w:vertAlign w:val="superscript"/>
        </w:rPr>
        <w:t>69</w:t>
      </w:r>
      <w:r w:rsidRPr="00BD7CEA">
        <w:rPr>
          <w:rFonts w:ascii="Tahoma" w:hAnsi="Tahoma" w:cs="Tahoma"/>
          <w:color w:val="FF6600"/>
        </w:rPr>
        <w:t xml:space="preserve"> </w:t>
      </w:r>
      <w:r w:rsidRPr="00BD7CEA">
        <w:rPr>
          <w:rFonts w:ascii="Tahoma" w:hAnsi="Tahoma" w:cs="Tahoma"/>
          <w:color w:val="FF6600"/>
          <w:sz w:val="22"/>
          <w:szCs w:val="22"/>
        </w:rPr>
        <w:t>Office 365 Enterprise E1</w:t>
      </w:r>
      <w:bookmarkEnd w:id="1377"/>
      <w:bookmarkEnd w:id="1382"/>
    </w:p>
    <w:bookmarkEnd w:id="1378"/>
    <w:p w:rsidR="00D70D2C" w:rsidRPr="00BD7CEA" w:rsidRDefault="00D70D2C" w:rsidP="006F0E0F">
      <w:pPr>
        <w:ind w:left="900"/>
      </w:pPr>
    </w:p>
    <w:p w:rsidR="00F754FE" w:rsidRPr="00BD7CEA" w:rsidRDefault="00F754FE" w:rsidP="00E62BC4">
      <w:pPr>
        <w:ind w:left="720"/>
      </w:pPr>
      <w:r w:rsidRPr="00BD7CEA">
        <w:rPr>
          <w:rFonts w:cs="Tahoma"/>
          <w:color w:val="000000"/>
          <w:szCs w:val="18"/>
        </w:rPr>
        <w:t>Office 365 Enterprise E1 era precedentemente noto come Business Productivity Online Standard Suite (BPOS Standard). Permette l</w:t>
      </w:r>
      <w:r w:rsidR="007A1415" w:rsidRPr="00BD7CEA">
        <w:rPr>
          <w:rFonts w:cs="Tahoma"/>
          <w:color w:val="000000"/>
          <w:szCs w:val="18"/>
        </w:rPr>
        <w:t>’</w:t>
      </w:r>
      <w:r w:rsidRPr="00BD7CEA">
        <w:rPr>
          <w:rFonts w:cs="Tahoma"/>
          <w:color w:val="000000"/>
          <w:szCs w:val="18"/>
        </w:rPr>
        <w:t>accesso a quanto segue: Exchange Online Piano 1, SharePoint Online Piano 1, Lync Online Piano 2 e Office Web Applications. Questa lista è soggetta a modifiche. Nell</w:t>
      </w:r>
      <w:r w:rsidR="007A1415" w:rsidRPr="00BD7CEA">
        <w:rPr>
          <w:rFonts w:cs="Tahoma"/>
          <w:color w:val="000000"/>
          <w:szCs w:val="18"/>
        </w:rPr>
        <w:t>’</w:t>
      </w:r>
      <w:r w:rsidRPr="00BD7CEA">
        <w:rPr>
          <w:rFonts w:cs="Tahoma"/>
          <w:color w:val="000000"/>
          <w:szCs w:val="18"/>
        </w:rPr>
        <w:t>eventualità di una discrepanza tra le condizioni di licenza per Office 365 Enterprise E1 e questa nota, i Diritti di Utilizzo del Prodotto correnti avranno prevalenza.</w:t>
      </w:r>
    </w:p>
    <w:p w:rsidR="00F754FE" w:rsidRPr="00BD7CEA" w:rsidRDefault="00F754FE" w:rsidP="00E62BC4">
      <w:pPr>
        <w:ind w:left="720"/>
      </w:pPr>
    </w:p>
    <w:p w:rsidR="00BE7AC3" w:rsidRPr="00BD7CEA" w:rsidRDefault="00F754FE" w:rsidP="00BA1490">
      <w:pPr>
        <w:ind w:left="720"/>
      </w:pPr>
      <w:r w:rsidRPr="00BD7CEA">
        <w:rPr>
          <w:rFonts w:cs="Tahoma"/>
          <w:color w:val="000000"/>
          <w:szCs w:val="18"/>
        </w:rPr>
        <w:t>Lync Online Piano 1 e Piano 2 richiedono l</w:t>
      </w:r>
      <w:r w:rsidR="007A1415" w:rsidRPr="00BD7CEA">
        <w:rPr>
          <w:rFonts w:cs="Tahoma"/>
          <w:color w:val="000000"/>
          <w:szCs w:val="18"/>
        </w:rPr>
        <w:t>’</w:t>
      </w:r>
      <w:r w:rsidRPr="00BD7CEA">
        <w:rPr>
          <w:rFonts w:cs="Tahoma"/>
          <w:color w:val="000000"/>
          <w:szCs w:val="18"/>
        </w:rPr>
        <w:t>acquisto e l</w:t>
      </w:r>
      <w:r w:rsidR="007A1415" w:rsidRPr="00BD7CEA">
        <w:rPr>
          <w:rFonts w:cs="Tahoma"/>
          <w:color w:val="000000"/>
          <w:szCs w:val="18"/>
        </w:rPr>
        <w:t>’</w:t>
      </w:r>
      <w:r w:rsidRPr="00BD7CEA">
        <w:rPr>
          <w:rFonts w:cs="Tahoma"/>
          <w:color w:val="000000"/>
          <w:szCs w:val="18"/>
        </w:rPr>
        <w:t>installazione separati di Microsoft Lync 2013 (o di Lync per Mac 2011) per accedere al set completo di funzionalità di Lync Online Piano 1 e Piano 2. Grazie a</w:t>
      </w:r>
      <w:r w:rsidR="008E124D" w:rsidRPr="00BD7CEA">
        <w:rPr>
          <w:rFonts w:cs="Tahoma"/>
          <w:color w:val="000000"/>
          <w:szCs w:val="18"/>
        </w:rPr>
        <w:t> </w:t>
      </w:r>
      <w:r w:rsidRPr="00BD7CEA">
        <w:rPr>
          <w:rFonts w:cs="Tahoma"/>
          <w:color w:val="000000"/>
          <w:szCs w:val="18"/>
        </w:rPr>
        <w:t>un</w:t>
      </w:r>
      <w:r w:rsidR="007A1415" w:rsidRPr="00BD7CEA">
        <w:rPr>
          <w:rFonts w:cs="Tahoma"/>
          <w:color w:val="000000"/>
          <w:szCs w:val="18"/>
        </w:rPr>
        <w:t>’</w:t>
      </w:r>
      <w:r w:rsidRPr="00BD7CEA">
        <w:rPr>
          <w:rFonts w:cs="Tahoma"/>
          <w:color w:val="000000"/>
          <w:szCs w:val="18"/>
        </w:rPr>
        <w:t>offerta di durata limitata, le società titolari di licenza per Lync Online riceveranno gratuitamente in licenza una copia di Lync per Mac 2011 per ciascuna licenza "subscription" acquistata o in versione di valutazione di Lync Online. Il software potrà essere utilizzato esclusivamente con Lync Online e tutti i diritti di utilizzo del software cesseranno alla scadenza della licenza “Subscription” sottostante oppure in occasione della migrazione alla successiva nuova versione principale di Lync Online, a seconda di quale evento si verificherà per primo.</w:t>
      </w:r>
      <w:r w:rsidR="008D782D" w:rsidRPr="00BD7CEA">
        <w:rPr>
          <w:rFonts w:cs="Tahoma"/>
          <w:color w:val="000000"/>
          <w:szCs w:val="18"/>
        </w:rPr>
        <w:t xml:space="preserve"> </w:t>
      </w:r>
      <w:r w:rsidRPr="00BD7CEA">
        <w:rPr>
          <w:rFonts w:cs="Tahoma"/>
          <w:color w:val="000000"/>
          <w:szCs w:val="18"/>
        </w:rPr>
        <w:t>Le società potranno utilizzare il client gratuito Lync Basic 2013 per i loro utenti finali in</w:t>
      </w:r>
      <w:r w:rsidR="008E124D" w:rsidRPr="00BD7CEA">
        <w:rPr>
          <w:rFonts w:cs="Tahoma"/>
          <w:color w:val="000000"/>
          <w:szCs w:val="18"/>
        </w:rPr>
        <w:t> </w:t>
      </w:r>
      <w:r w:rsidRPr="00BD7CEA">
        <w:rPr>
          <w:rFonts w:cs="Tahoma"/>
          <w:color w:val="000000"/>
          <w:szCs w:val="18"/>
        </w:rPr>
        <w:t xml:space="preserve">possesso di Windows. </w:t>
      </w:r>
      <w:bookmarkStart w:id="1383" w:name="_71_Office_365"/>
      <w:bookmarkEnd w:id="1383"/>
    </w:p>
    <w:p w:rsidR="00F1020A" w:rsidRDefault="00F1020A" w:rsidP="00BA1490">
      <w:pPr>
        <w:ind w:left="720"/>
      </w:pPr>
    </w:p>
    <w:p w:rsidR="00BE7AC3" w:rsidRPr="00BD7CEA" w:rsidRDefault="00F66FB0" w:rsidP="00BE7AC3">
      <w:pPr>
        <w:pStyle w:val="Heading2"/>
        <w:ind w:left="0"/>
      </w:pPr>
      <w:bookmarkStart w:id="1384" w:name="_69_Office_365_1"/>
      <w:bookmarkStart w:id="1385" w:name="_Toc353376108"/>
      <w:bookmarkEnd w:id="1384"/>
      <w:r w:rsidRPr="00BD7CEA">
        <w:rPr>
          <w:rFonts w:ascii="Tahoma" w:hAnsi="Tahoma" w:cs="Tahoma"/>
          <w:caps/>
          <w:color w:val="F66400"/>
          <w:sz w:val="22"/>
          <w:szCs w:val="20"/>
          <w:vertAlign w:val="superscript"/>
        </w:rPr>
        <w:lastRenderedPageBreak/>
        <w:t xml:space="preserve">70 </w:t>
      </w:r>
      <w:r w:rsidRPr="00BD7CEA">
        <w:rPr>
          <w:rFonts w:ascii="Tahoma" w:hAnsi="Tahoma" w:cs="Tahoma"/>
          <w:color w:val="FF6600"/>
          <w:sz w:val="22"/>
          <w:szCs w:val="22"/>
        </w:rPr>
        <w:t>Office 365 Enterprise K1 e K2 (SL per Utente)</w:t>
      </w:r>
      <w:bookmarkEnd w:id="1385"/>
    </w:p>
    <w:p w:rsidR="00BE7AC3" w:rsidRPr="00BD7CEA" w:rsidRDefault="00BE7AC3" w:rsidP="00BE7AC3">
      <w:pPr>
        <w:ind w:left="720"/>
      </w:pPr>
    </w:p>
    <w:p w:rsidR="00BE7AC3" w:rsidRPr="00BD7CEA" w:rsidRDefault="00BE7AC3" w:rsidP="00BE7AC3">
      <w:pPr>
        <w:ind w:left="720"/>
      </w:pPr>
      <w:r w:rsidRPr="00BD7CEA">
        <w:rPr>
          <w:rFonts w:cs="Tahoma"/>
          <w:color w:val="000000"/>
          <w:szCs w:val="18"/>
        </w:rPr>
        <w:t>Nonostante quanto diversamente stabilito nei contratti di licenza delle società, gli utenti qualificati non includono gli utenti titolari di licenza per Chiosco Exchange Online, Chiosco SharePoint Online o Office 365 Enterprise K1 o K2</w:t>
      </w:r>
    </w:p>
    <w:p w:rsidR="00BE7AC3" w:rsidRPr="00BD7CEA" w:rsidRDefault="00BE7AC3" w:rsidP="00BE7AC3">
      <w:pPr>
        <w:ind w:left="720"/>
      </w:pPr>
    </w:p>
    <w:p w:rsidR="00BE7AC3" w:rsidRPr="00BD7CEA" w:rsidRDefault="00BE7AC3" w:rsidP="00BE7AC3">
      <w:pPr>
        <w:ind w:left="720"/>
      </w:pPr>
      <w:r w:rsidRPr="00BD7CEA">
        <w:rPr>
          <w:rFonts w:cs="Tahoma"/>
          <w:color w:val="000000"/>
          <w:szCs w:val="18"/>
        </w:rPr>
        <w:t>Office 365 Enterprise K1 era precedentemente noto come Business Productivity Online Deskless Suite (BPOS</w:t>
      </w:r>
      <w:r w:rsidR="008E124D" w:rsidRPr="00BD7CEA">
        <w:rPr>
          <w:rFonts w:cs="Tahoma"/>
          <w:color w:val="000000"/>
          <w:szCs w:val="18"/>
        </w:rPr>
        <w:t> </w:t>
      </w:r>
      <w:r w:rsidRPr="00BD7CEA">
        <w:rPr>
          <w:rFonts w:cs="Tahoma"/>
          <w:color w:val="000000"/>
          <w:szCs w:val="18"/>
        </w:rPr>
        <w:t>Deskless).</w:t>
      </w:r>
      <w:r w:rsidR="008D782D" w:rsidRPr="00BD7CEA">
        <w:rPr>
          <w:rFonts w:cs="Tahoma"/>
          <w:color w:val="000000"/>
          <w:szCs w:val="18"/>
        </w:rPr>
        <w:t xml:space="preserve"> </w:t>
      </w:r>
      <w:r w:rsidRPr="00BD7CEA">
        <w:rPr>
          <w:rFonts w:cs="Tahoma"/>
          <w:color w:val="000000"/>
          <w:szCs w:val="18"/>
        </w:rPr>
        <w:t>Le società che, in Brasile o in Cile, acquisteranno Office 365 Enterprise K1 riceveranno BPOS Deskless.</w:t>
      </w:r>
      <w:r w:rsidR="008D782D" w:rsidRPr="00BD7CEA">
        <w:rPr>
          <w:rFonts w:cs="Tahoma"/>
          <w:color w:val="000000"/>
          <w:szCs w:val="18"/>
        </w:rPr>
        <w:t xml:space="preserve"> </w:t>
      </w:r>
      <w:r w:rsidRPr="00BD7CEA">
        <w:rPr>
          <w:rFonts w:cs="Tahoma"/>
          <w:color w:val="000000"/>
          <w:szCs w:val="18"/>
        </w:rPr>
        <w:t>Tali società potranno migrare a Office 365 Enterprise K1 in un secondo momento.</w:t>
      </w:r>
    </w:p>
    <w:p w:rsidR="00BE7AC3" w:rsidRPr="00BD7CEA" w:rsidRDefault="00BE7AC3" w:rsidP="00BE7AC3">
      <w:pPr>
        <w:spacing w:after="60"/>
        <w:ind w:left="720"/>
      </w:pPr>
      <w:r w:rsidRPr="00BD7CEA">
        <w:rPr>
          <w:rFonts w:eastAsia="Calibri" w:cs="Tahoma"/>
          <w:b/>
          <w:color w:val="000000"/>
          <w:szCs w:val="18"/>
        </w:rPr>
        <w:t>Community Cloud per Enti Pubblici (solo Stati Uniti)</w:t>
      </w:r>
    </w:p>
    <w:p w:rsidR="00BE7AC3" w:rsidRPr="00BD7CEA" w:rsidRDefault="00BE7AC3" w:rsidP="00BE7AC3">
      <w:pPr>
        <w:ind w:left="720"/>
      </w:pPr>
      <w:r w:rsidRPr="00BD7CEA">
        <w:rPr>
          <w:rFonts w:eastAsia="Calibri" w:cs="Tahoma"/>
          <w:color w:val="000000"/>
          <w:szCs w:val="18"/>
        </w:rPr>
        <w:t>Alcuni servizi online della famiglia di prodotti Office 365 (incluso Office 365 Enterprise K1 e K2) sono offerti come servizi di community cloud per enti pubblici e come servizi di community cloud per enti non pubblici.</w:t>
      </w:r>
      <w:r w:rsidR="008D782D" w:rsidRPr="00BD7CEA">
        <w:rPr>
          <w:rFonts w:eastAsia="Calibri" w:cs="Tahoma"/>
          <w:color w:val="000000"/>
          <w:szCs w:val="18"/>
        </w:rPr>
        <w:t xml:space="preserve"> </w:t>
      </w:r>
      <w:r w:rsidRPr="00BD7CEA">
        <w:rPr>
          <w:rFonts w:eastAsia="Calibri" w:cs="Tahoma"/>
          <w:color w:val="000000"/>
          <w:szCs w:val="18"/>
        </w:rPr>
        <w:t>Alle società potrà essere effettuato il provisioning come ente pubblico o non pubblico, ma non come una combinazione di entrambi.</w:t>
      </w:r>
      <w:r w:rsidR="008D782D" w:rsidRPr="00BD7CEA">
        <w:rPr>
          <w:rFonts w:eastAsia="Calibri" w:cs="Tahoma"/>
          <w:color w:val="000000"/>
          <w:szCs w:val="18"/>
        </w:rPr>
        <w:t xml:space="preserve"> </w:t>
      </w:r>
      <w:r w:rsidRPr="00BD7CEA">
        <w:rPr>
          <w:rFonts w:eastAsia="Calibri" w:cs="Tahoma"/>
          <w:color w:val="000000"/>
          <w:szCs w:val="18"/>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8D782D" w:rsidRPr="00BD7CEA">
        <w:rPr>
          <w:rFonts w:eastAsia="Calibri" w:cs="Tahoma"/>
          <w:color w:val="000000"/>
          <w:szCs w:val="18"/>
        </w:rPr>
        <w:t xml:space="preserve"> </w:t>
      </w:r>
    </w:p>
    <w:p w:rsidR="00BE7AC3" w:rsidRPr="00BD7CEA" w:rsidRDefault="00BE7AC3" w:rsidP="00BE7AC3">
      <w:pPr>
        <w:ind w:left="720"/>
      </w:pPr>
    </w:p>
    <w:p w:rsidR="00BE7AC3" w:rsidRPr="00BD7CEA" w:rsidRDefault="00BE7AC3" w:rsidP="00BE7AC3">
      <w:pPr>
        <w:ind w:left="720"/>
      </w:pPr>
      <w:r w:rsidRPr="00BD7CEA">
        <w:rPr>
          <w:rFonts w:eastAsia="Calibri" w:cs="Tahoma"/>
          <w:color w:val="000000"/>
          <w:szCs w:val="18"/>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7A1415" w:rsidRPr="00BD7CEA">
        <w:rPr>
          <w:rFonts w:eastAsia="Calibri" w:cs="Tahoma"/>
          <w:color w:val="000000"/>
          <w:szCs w:val="18"/>
        </w:rPr>
        <w:t>’</w:t>
      </w:r>
      <w:r w:rsidRPr="00BD7CEA">
        <w:rPr>
          <w:rFonts w:eastAsia="Calibri" w:cs="Tahoma"/>
          <w:color w:val="000000"/>
          <w:szCs w:val="18"/>
        </w:rPr>
        <w:t>Iscrizione Enterprise o Enterprise Subscription per Enti Pubblici Statunitensi per essere idonei all</w:t>
      </w:r>
      <w:r w:rsidR="007A1415" w:rsidRPr="00BD7CEA">
        <w:rPr>
          <w:rFonts w:eastAsia="Calibri" w:cs="Tahoma"/>
          <w:color w:val="000000"/>
          <w:szCs w:val="18"/>
        </w:rPr>
        <w:t>’</w:t>
      </w:r>
      <w:r w:rsidRPr="00BD7CEA">
        <w:rPr>
          <w:rFonts w:eastAsia="Calibri" w:cs="Tahoma"/>
          <w:color w:val="000000"/>
          <w:szCs w:val="18"/>
        </w:rPr>
        <w:t>acquisto di servizi online designati come community cloud per enti pubblici.</w:t>
      </w:r>
      <w:r w:rsidR="008D782D" w:rsidRPr="00BD7CEA">
        <w:rPr>
          <w:rFonts w:eastAsia="Calibri" w:cs="Tahoma"/>
          <w:color w:val="000000"/>
          <w:szCs w:val="18"/>
        </w:rPr>
        <w:t xml:space="preserve"> </w:t>
      </w:r>
      <w:r w:rsidRPr="00BD7CEA">
        <w:rPr>
          <w:rFonts w:eastAsia="Calibri" w:cs="Tahoma"/>
          <w:color w:val="000000"/>
          <w:szCs w:val="18"/>
        </w:rPr>
        <w:t>I Diritti sull</w:t>
      </w:r>
      <w:r w:rsidR="007A1415" w:rsidRPr="00BD7CEA">
        <w:rPr>
          <w:rFonts w:eastAsia="Calibri" w:cs="Tahoma"/>
          <w:color w:val="000000"/>
          <w:szCs w:val="18"/>
        </w:rPr>
        <w:t>’</w:t>
      </w:r>
      <w:r w:rsidRPr="00BD7CEA">
        <w:rPr>
          <w:rFonts w:eastAsia="Calibri" w:cs="Tahoma"/>
          <w:color w:val="000000"/>
          <w:szCs w:val="18"/>
        </w:rPr>
        <w:t>Utilizzo relativi ai servizi di community cloud per enti pubblici sono simili a quelli dei loro equivalenti multi-tenant standard.</w:t>
      </w:r>
    </w:p>
    <w:p w:rsidR="00BE7AC3" w:rsidRPr="00BD7CEA" w:rsidRDefault="00BE7AC3" w:rsidP="00BA1490">
      <w:pPr>
        <w:ind w:left="720"/>
      </w:pPr>
    </w:p>
    <w:p w:rsidR="00F1020A" w:rsidRPr="00BD7CEA" w:rsidRDefault="00F1020A" w:rsidP="00BA1490">
      <w:pPr>
        <w:ind w:left="720"/>
      </w:pPr>
    </w:p>
    <w:p w:rsidR="00A83600" w:rsidRPr="00BD7CEA" w:rsidRDefault="00F66FB0" w:rsidP="00A83600">
      <w:pPr>
        <w:pStyle w:val="Heading2"/>
        <w:ind w:left="0"/>
      </w:pPr>
      <w:bookmarkStart w:id="1386" w:name="_70_Office_365"/>
      <w:bookmarkStart w:id="1387" w:name="_Toc336338330"/>
      <w:bookmarkStart w:id="1388" w:name="_Toc353376109"/>
      <w:bookmarkStart w:id="1389" w:name="Srv_73Office365PlanG2toG4"/>
      <w:bookmarkEnd w:id="1386"/>
      <w:r w:rsidRPr="00BD7CEA">
        <w:rPr>
          <w:rFonts w:ascii="Tahoma" w:hAnsi="Tahoma" w:cs="Tahoma"/>
          <w:caps/>
          <w:color w:val="FF6600"/>
          <w:sz w:val="22"/>
          <w:szCs w:val="22"/>
          <w:vertAlign w:val="superscript"/>
        </w:rPr>
        <w:t>71</w:t>
      </w:r>
      <w:r w:rsidRPr="00BD7CEA">
        <w:rPr>
          <w:rFonts w:ascii="Tahoma" w:hAnsi="Tahoma" w:cs="Tahoma"/>
          <w:color w:val="FF6600"/>
        </w:rPr>
        <w:t xml:space="preserve"> </w:t>
      </w:r>
      <w:r w:rsidRPr="00BD7CEA">
        <w:rPr>
          <w:rFonts w:ascii="Tahoma" w:hAnsi="Tahoma" w:cs="Tahoma"/>
          <w:color w:val="FF6600"/>
          <w:sz w:val="22"/>
          <w:szCs w:val="22"/>
        </w:rPr>
        <w:t>Office 365 Government G1-G4</w:t>
      </w:r>
      <w:bookmarkEnd w:id="1387"/>
      <w:bookmarkEnd w:id="1388"/>
    </w:p>
    <w:p w:rsidR="00A83600" w:rsidRPr="00BD7CEA" w:rsidRDefault="00A83600" w:rsidP="00A83600"/>
    <w:bookmarkEnd w:id="1389"/>
    <w:p w:rsidR="00A83600" w:rsidRPr="00BD7CEA" w:rsidRDefault="00A83600" w:rsidP="00E62BC4">
      <w:pPr>
        <w:ind w:left="720"/>
      </w:pPr>
      <w:r w:rsidRPr="00BD7CEA">
        <w:rPr>
          <w:color w:val="000000"/>
        </w:rPr>
        <w:t>Office 365 Government G1-G4 permette l</w:t>
      </w:r>
      <w:r w:rsidR="007A1415" w:rsidRPr="00BD7CEA">
        <w:rPr>
          <w:color w:val="000000"/>
        </w:rPr>
        <w:t>’</w:t>
      </w:r>
      <w:r w:rsidRPr="00BD7CEA">
        <w:rPr>
          <w:color w:val="000000"/>
        </w:rPr>
        <w:t>accesso ai seguenti Servizi Online:</w:t>
      </w:r>
    </w:p>
    <w:p w:rsidR="00A83600" w:rsidRPr="00BD7CEA" w:rsidRDefault="00A83600" w:rsidP="00A83600"/>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47"/>
        <w:gridCol w:w="2134"/>
        <w:gridCol w:w="2221"/>
        <w:gridCol w:w="2070"/>
      </w:tblGrid>
      <w:tr w:rsidR="00A83600" w:rsidRPr="00BD7CEA" w:rsidTr="00CA14C9">
        <w:tc>
          <w:tcPr>
            <w:tcW w:w="2070" w:type="dxa"/>
            <w:shd w:val="clear" w:color="auto" w:fill="FABF8F"/>
          </w:tcPr>
          <w:p w:rsidR="00A83600" w:rsidRPr="00BD7CEA" w:rsidRDefault="00A83600" w:rsidP="0050116B">
            <w:pPr>
              <w:keepNext/>
              <w:keepLines/>
              <w:jc w:val="center"/>
              <w:rPr>
                <w:rFonts w:eastAsia="Calibri"/>
                <w:b/>
                <w:color w:val="000000"/>
                <w:sz w:val="20"/>
              </w:rPr>
            </w:pPr>
            <w:r w:rsidRPr="00BD7CEA">
              <w:rPr>
                <w:rFonts w:eastAsia="Calibri"/>
                <w:b/>
                <w:color w:val="000000"/>
                <w:sz w:val="20"/>
              </w:rPr>
              <w:t>Office 365 Government G1</w:t>
            </w:r>
          </w:p>
        </w:tc>
        <w:tc>
          <w:tcPr>
            <w:tcW w:w="2160" w:type="dxa"/>
            <w:shd w:val="clear" w:color="auto" w:fill="FABF8F"/>
          </w:tcPr>
          <w:p w:rsidR="00A83600" w:rsidRPr="00BD7CEA" w:rsidRDefault="00A83600" w:rsidP="0050116B">
            <w:pPr>
              <w:keepNext/>
              <w:keepLines/>
              <w:jc w:val="center"/>
              <w:rPr>
                <w:rFonts w:eastAsia="Calibri"/>
                <w:b/>
                <w:color w:val="000000"/>
                <w:sz w:val="20"/>
              </w:rPr>
            </w:pPr>
            <w:r w:rsidRPr="00BD7CEA">
              <w:rPr>
                <w:rFonts w:eastAsia="Calibri"/>
                <w:b/>
                <w:color w:val="000000"/>
                <w:sz w:val="20"/>
              </w:rPr>
              <w:t>Office 365 Government G2</w:t>
            </w:r>
          </w:p>
        </w:tc>
        <w:tc>
          <w:tcPr>
            <w:tcW w:w="2250" w:type="dxa"/>
            <w:shd w:val="clear" w:color="auto" w:fill="FABF8F"/>
          </w:tcPr>
          <w:p w:rsidR="00A83600" w:rsidRPr="00BD7CEA" w:rsidRDefault="00A83600" w:rsidP="0050116B">
            <w:pPr>
              <w:keepNext/>
              <w:keepLines/>
              <w:jc w:val="center"/>
              <w:rPr>
                <w:rFonts w:eastAsia="Calibri"/>
                <w:b/>
                <w:color w:val="000000"/>
                <w:sz w:val="20"/>
              </w:rPr>
            </w:pPr>
            <w:r w:rsidRPr="00BD7CEA">
              <w:rPr>
                <w:rFonts w:eastAsia="Calibri"/>
                <w:b/>
                <w:color w:val="000000"/>
                <w:sz w:val="20"/>
              </w:rPr>
              <w:t>Office 365 Government G3</w:t>
            </w:r>
          </w:p>
        </w:tc>
        <w:tc>
          <w:tcPr>
            <w:tcW w:w="2088" w:type="dxa"/>
            <w:shd w:val="clear" w:color="auto" w:fill="FABF8F"/>
          </w:tcPr>
          <w:p w:rsidR="00A83600" w:rsidRPr="00BD7CEA" w:rsidRDefault="00A83600" w:rsidP="0050116B">
            <w:pPr>
              <w:keepNext/>
              <w:keepLines/>
              <w:jc w:val="center"/>
              <w:rPr>
                <w:rFonts w:eastAsia="Calibri"/>
                <w:b/>
                <w:color w:val="000000"/>
                <w:sz w:val="20"/>
              </w:rPr>
            </w:pPr>
            <w:r w:rsidRPr="00BD7CEA">
              <w:rPr>
                <w:rFonts w:eastAsia="Calibri"/>
                <w:b/>
                <w:color w:val="000000"/>
                <w:sz w:val="20"/>
              </w:rPr>
              <w:t>Office 365 Government G4</w:t>
            </w:r>
          </w:p>
        </w:tc>
      </w:tr>
      <w:tr w:rsidR="00A83600" w:rsidRPr="00BD7CEA" w:rsidTr="00CA14C9">
        <w:tc>
          <w:tcPr>
            <w:tcW w:w="2070" w:type="dxa"/>
          </w:tcPr>
          <w:p w:rsidR="00A83600" w:rsidRPr="00BD7CEA" w:rsidRDefault="00A83600" w:rsidP="00C066F9">
            <w:pPr>
              <w:keepNext/>
              <w:keepLines/>
              <w:ind w:left="180" w:right="186"/>
              <w:rPr>
                <w:rFonts w:eastAsia="Calibri"/>
                <w:color w:val="000000"/>
              </w:rPr>
            </w:pPr>
            <w:r w:rsidRPr="00BD7CEA">
              <w:rPr>
                <w:rFonts w:eastAsia="Calibri"/>
                <w:color w:val="000000"/>
              </w:rPr>
              <w:t>Exchange Online Piano 1</w:t>
            </w:r>
          </w:p>
        </w:tc>
        <w:tc>
          <w:tcPr>
            <w:tcW w:w="2160" w:type="dxa"/>
            <w:shd w:val="clear" w:color="auto" w:fill="auto"/>
          </w:tcPr>
          <w:p w:rsidR="00A83600" w:rsidRPr="00BD7CEA" w:rsidRDefault="00A83600" w:rsidP="00C066F9">
            <w:pPr>
              <w:keepNext/>
              <w:keepLines/>
              <w:ind w:left="180" w:right="186"/>
              <w:rPr>
                <w:rFonts w:eastAsia="Calibri"/>
                <w:color w:val="000000"/>
              </w:rPr>
            </w:pPr>
            <w:r w:rsidRPr="00BD7CEA">
              <w:rPr>
                <w:rFonts w:eastAsia="Calibri"/>
                <w:color w:val="000000"/>
              </w:rPr>
              <w:t>Exchange Online Piano 1</w:t>
            </w:r>
          </w:p>
        </w:tc>
        <w:tc>
          <w:tcPr>
            <w:tcW w:w="2250" w:type="dxa"/>
            <w:shd w:val="clear" w:color="auto" w:fill="auto"/>
          </w:tcPr>
          <w:p w:rsidR="00A83600" w:rsidRPr="00BD7CEA" w:rsidRDefault="00A83600" w:rsidP="00C066F9">
            <w:pPr>
              <w:keepNext/>
              <w:keepLines/>
              <w:ind w:left="138" w:right="138"/>
              <w:rPr>
                <w:rFonts w:eastAsia="Calibri"/>
                <w:color w:val="000000"/>
              </w:rPr>
            </w:pPr>
            <w:r w:rsidRPr="00BD7CEA">
              <w:rPr>
                <w:rFonts w:eastAsia="Calibri"/>
                <w:color w:val="000000"/>
              </w:rPr>
              <w:t xml:space="preserve">Exchange Online Piano 2 </w:t>
            </w:r>
          </w:p>
        </w:tc>
        <w:tc>
          <w:tcPr>
            <w:tcW w:w="2088" w:type="dxa"/>
            <w:shd w:val="clear" w:color="auto" w:fill="auto"/>
          </w:tcPr>
          <w:p w:rsidR="00A83600" w:rsidRPr="00BD7CEA" w:rsidRDefault="00A83600" w:rsidP="00C066F9">
            <w:pPr>
              <w:keepNext/>
              <w:keepLines/>
              <w:ind w:left="186" w:right="180"/>
              <w:rPr>
                <w:rFonts w:eastAsia="Calibri"/>
                <w:color w:val="000000"/>
              </w:rPr>
            </w:pPr>
            <w:r w:rsidRPr="00BD7CEA">
              <w:rPr>
                <w:rFonts w:eastAsia="Calibri"/>
                <w:color w:val="000000"/>
              </w:rPr>
              <w:t>Exchange Online Piano 2</w:t>
            </w:r>
          </w:p>
        </w:tc>
      </w:tr>
      <w:tr w:rsidR="00A83600" w:rsidRPr="00BD7CEA" w:rsidTr="00CA14C9">
        <w:tc>
          <w:tcPr>
            <w:tcW w:w="2070" w:type="dxa"/>
          </w:tcPr>
          <w:p w:rsidR="00A83600" w:rsidRPr="00BD7CEA" w:rsidRDefault="00A83600" w:rsidP="00C066F9">
            <w:pPr>
              <w:keepNext/>
              <w:keepLines/>
              <w:ind w:left="180" w:right="186"/>
              <w:rPr>
                <w:rFonts w:eastAsia="Calibri"/>
                <w:color w:val="000000"/>
              </w:rPr>
            </w:pPr>
            <w:r w:rsidRPr="00BD7CEA">
              <w:rPr>
                <w:rFonts w:eastAsia="Calibri"/>
                <w:color w:val="000000"/>
              </w:rPr>
              <w:t>SharePoint Online Piano 1</w:t>
            </w:r>
          </w:p>
        </w:tc>
        <w:tc>
          <w:tcPr>
            <w:tcW w:w="2160" w:type="dxa"/>
            <w:shd w:val="clear" w:color="auto" w:fill="auto"/>
          </w:tcPr>
          <w:p w:rsidR="00A83600" w:rsidRPr="00BD7CEA" w:rsidRDefault="00A83600" w:rsidP="00C066F9">
            <w:pPr>
              <w:keepNext/>
              <w:keepLines/>
              <w:ind w:left="180" w:right="186"/>
              <w:rPr>
                <w:rFonts w:eastAsia="Calibri"/>
                <w:color w:val="000000"/>
              </w:rPr>
            </w:pPr>
            <w:r w:rsidRPr="00BD7CEA">
              <w:rPr>
                <w:rFonts w:eastAsia="Calibri"/>
                <w:color w:val="000000"/>
              </w:rPr>
              <w:t>SharePoint Online</w:t>
            </w:r>
            <w:r w:rsidR="008E124D" w:rsidRPr="00BD7CEA">
              <w:rPr>
                <w:rFonts w:eastAsia="Calibri"/>
                <w:color w:val="000000"/>
              </w:rPr>
              <w:t> </w:t>
            </w:r>
            <w:r w:rsidRPr="00BD7CEA">
              <w:rPr>
                <w:rFonts w:eastAsia="Calibri"/>
                <w:color w:val="000000"/>
              </w:rPr>
              <w:t>Piano 1</w:t>
            </w:r>
          </w:p>
        </w:tc>
        <w:tc>
          <w:tcPr>
            <w:tcW w:w="2250" w:type="dxa"/>
            <w:shd w:val="clear" w:color="auto" w:fill="auto"/>
          </w:tcPr>
          <w:p w:rsidR="00A83600" w:rsidRPr="00BD7CEA" w:rsidRDefault="00A83600" w:rsidP="00C066F9">
            <w:pPr>
              <w:keepNext/>
              <w:keepLines/>
              <w:ind w:left="138" w:right="138"/>
              <w:rPr>
                <w:rFonts w:eastAsia="Calibri"/>
                <w:color w:val="000000"/>
              </w:rPr>
            </w:pPr>
            <w:r w:rsidRPr="00BD7CEA">
              <w:rPr>
                <w:rFonts w:eastAsia="Calibri"/>
                <w:color w:val="000000"/>
              </w:rPr>
              <w:t>SharePoint Online Piano 2</w:t>
            </w:r>
          </w:p>
        </w:tc>
        <w:tc>
          <w:tcPr>
            <w:tcW w:w="2088" w:type="dxa"/>
            <w:shd w:val="clear" w:color="auto" w:fill="auto"/>
          </w:tcPr>
          <w:p w:rsidR="00A83600" w:rsidRPr="00BD7CEA" w:rsidRDefault="00A83600" w:rsidP="00C066F9">
            <w:pPr>
              <w:keepNext/>
              <w:keepLines/>
              <w:ind w:left="186" w:right="180"/>
              <w:rPr>
                <w:rFonts w:eastAsia="Calibri"/>
                <w:color w:val="000000"/>
              </w:rPr>
            </w:pPr>
            <w:r w:rsidRPr="00BD7CEA">
              <w:rPr>
                <w:rFonts w:eastAsia="Calibri"/>
                <w:color w:val="000000"/>
              </w:rPr>
              <w:t>SharePoint Online Piano 2</w:t>
            </w:r>
          </w:p>
        </w:tc>
      </w:tr>
      <w:tr w:rsidR="00A83600" w:rsidRPr="00BD7CEA" w:rsidTr="00CA14C9">
        <w:tc>
          <w:tcPr>
            <w:tcW w:w="2070" w:type="dxa"/>
          </w:tcPr>
          <w:p w:rsidR="00A83600" w:rsidRPr="00BD7CEA" w:rsidRDefault="00A83600" w:rsidP="00C066F9">
            <w:pPr>
              <w:keepNext/>
              <w:keepLines/>
              <w:ind w:left="180" w:right="186"/>
              <w:rPr>
                <w:rFonts w:eastAsia="Calibri"/>
                <w:color w:val="000000"/>
              </w:rPr>
            </w:pPr>
            <w:r w:rsidRPr="00BD7CEA">
              <w:rPr>
                <w:rFonts w:eastAsia="Calibri"/>
                <w:color w:val="000000"/>
              </w:rPr>
              <w:t>Lync Online Piano</w:t>
            </w:r>
            <w:r w:rsidR="008E124D" w:rsidRPr="00BD7CEA">
              <w:rPr>
                <w:rFonts w:eastAsia="Calibri"/>
                <w:color w:val="000000"/>
              </w:rPr>
              <w:t> </w:t>
            </w:r>
            <w:r w:rsidRPr="00BD7CEA">
              <w:rPr>
                <w:rFonts w:eastAsia="Calibri"/>
                <w:color w:val="000000"/>
              </w:rPr>
              <w:t>2</w:t>
            </w:r>
          </w:p>
        </w:tc>
        <w:tc>
          <w:tcPr>
            <w:tcW w:w="2160" w:type="dxa"/>
            <w:shd w:val="clear" w:color="auto" w:fill="auto"/>
          </w:tcPr>
          <w:p w:rsidR="00A83600" w:rsidRPr="00BD7CEA" w:rsidRDefault="00A83600" w:rsidP="00C066F9">
            <w:pPr>
              <w:keepNext/>
              <w:keepLines/>
              <w:ind w:left="180" w:right="186"/>
              <w:rPr>
                <w:rFonts w:eastAsia="Calibri"/>
                <w:color w:val="000000"/>
              </w:rPr>
            </w:pPr>
            <w:r w:rsidRPr="00BD7CEA">
              <w:rPr>
                <w:rFonts w:eastAsia="Calibri"/>
                <w:color w:val="000000"/>
              </w:rPr>
              <w:t>Lync Online Piano 2</w:t>
            </w:r>
          </w:p>
        </w:tc>
        <w:tc>
          <w:tcPr>
            <w:tcW w:w="2250" w:type="dxa"/>
            <w:shd w:val="clear" w:color="auto" w:fill="auto"/>
          </w:tcPr>
          <w:p w:rsidR="00A83600" w:rsidRPr="00BD7CEA" w:rsidRDefault="00A83600" w:rsidP="00C066F9">
            <w:pPr>
              <w:keepNext/>
              <w:keepLines/>
              <w:ind w:left="138" w:right="138"/>
              <w:rPr>
                <w:rFonts w:eastAsia="Calibri"/>
                <w:color w:val="000000"/>
              </w:rPr>
            </w:pPr>
            <w:r w:rsidRPr="00BD7CEA">
              <w:rPr>
                <w:rFonts w:eastAsia="Calibri"/>
                <w:color w:val="000000"/>
              </w:rPr>
              <w:t>Lync Online Piano 2</w:t>
            </w:r>
          </w:p>
        </w:tc>
        <w:tc>
          <w:tcPr>
            <w:tcW w:w="2088" w:type="dxa"/>
            <w:shd w:val="clear" w:color="auto" w:fill="auto"/>
          </w:tcPr>
          <w:p w:rsidR="00A83600" w:rsidRPr="00BD7CEA" w:rsidRDefault="00A83600" w:rsidP="008E124D">
            <w:pPr>
              <w:keepNext/>
              <w:keepLines/>
              <w:ind w:left="186" w:right="180"/>
              <w:rPr>
                <w:rFonts w:eastAsia="Calibri"/>
                <w:color w:val="000000"/>
              </w:rPr>
            </w:pPr>
            <w:r w:rsidRPr="00BD7CEA">
              <w:rPr>
                <w:rFonts w:eastAsia="Calibri"/>
                <w:color w:val="000000"/>
              </w:rPr>
              <w:t>Lync Online Piano</w:t>
            </w:r>
            <w:r w:rsidR="008E124D" w:rsidRPr="00BD7CEA">
              <w:rPr>
                <w:rFonts w:eastAsia="Calibri"/>
                <w:color w:val="000000"/>
              </w:rPr>
              <w:t> </w:t>
            </w:r>
            <w:r w:rsidRPr="00BD7CEA">
              <w:rPr>
                <w:rFonts w:eastAsia="Calibri"/>
                <w:color w:val="000000"/>
              </w:rPr>
              <w:t>2</w:t>
            </w:r>
          </w:p>
        </w:tc>
      </w:tr>
      <w:tr w:rsidR="00A83600" w:rsidRPr="00BD7CEA" w:rsidTr="00CA14C9">
        <w:tc>
          <w:tcPr>
            <w:tcW w:w="2070" w:type="dxa"/>
          </w:tcPr>
          <w:p w:rsidR="00A83600" w:rsidRPr="00BD7CEA" w:rsidRDefault="0050116B" w:rsidP="00C066F9">
            <w:pPr>
              <w:keepNext/>
              <w:keepLines/>
              <w:ind w:left="180" w:right="186"/>
              <w:rPr>
                <w:rFonts w:eastAsia="Calibri"/>
                <w:color w:val="000000"/>
              </w:rPr>
            </w:pPr>
            <w:r w:rsidRPr="00BD7CEA">
              <w:rPr>
                <w:rFonts w:eastAsia="Calibri"/>
                <w:color w:val="000000"/>
              </w:rPr>
              <w:t>Office Web Applications (Microsoft Hosted)</w:t>
            </w:r>
          </w:p>
        </w:tc>
        <w:tc>
          <w:tcPr>
            <w:tcW w:w="2160" w:type="dxa"/>
            <w:shd w:val="clear" w:color="auto" w:fill="auto"/>
          </w:tcPr>
          <w:p w:rsidR="00A83600" w:rsidRPr="00BD7CEA" w:rsidRDefault="00A83600" w:rsidP="00C066F9">
            <w:pPr>
              <w:keepNext/>
              <w:keepLines/>
              <w:ind w:left="180" w:right="186"/>
              <w:rPr>
                <w:rFonts w:eastAsia="Calibri"/>
                <w:color w:val="000000"/>
              </w:rPr>
            </w:pPr>
            <w:r w:rsidRPr="00BD7CEA">
              <w:rPr>
                <w:rFonts w:eastAsia="Calibri"/>
                <w:color w:val="000000"/>
              </w:rPr>
              <w:t>Office Web Applications (Microsoft Hosted)</w:t>
            </w:r>
          </w:p>
        </w:tc>
        <w:tc>
          <w:tcPr>
            <w:tcW w:w="2250" w:type="dxa"/>
            <w:shd w:val="clear" w:color="auto" w:fill="auto"/>
          </w:tcPr>
          <w:p w:rsidR="00A83600" w:rsidRPr="00BD7CEA" w:rsidRDefault="00A83600" w:rsidP="00C066F9">
            <w:pPr>
              <w:keepNext/>
              <w:keepLines/>
              <w:ind w:left="138" w:right="138"/>
              <w:rPr>
                <w:rFonts w:eastAsia="Calibri"/>
                <w:color w:val="000000"/>
              </w:rPr>
            </w:pPr>
            <w:r w:rsidRPr="00BD7CEA">
              <w:rPr>
                <w:rFonts w:eastAsia="Calibri"/>
                <w:color w:val="000000"/>
              </w:rPr>
              <w:t>Office Web Applications (Microsoft Hosted)</w:t>
            </w:r>
          </w:p>
        </w:tc>
        <w:tc>
          <w:tcPr>
            <w:tcW w:w="2088" w:type="dxa"/>
            <w:shd w:val="clear" w:color="auto" w:fill="auto"/>
          </w:tcPr>
          <w:p w:rsidR="00A83600" w:rsidRPr="00BD7CEA" w:rsidRDefault="00A83600" w:rsidP="00C066F9">
            <w:pPr>
              <w:keepNext/>
              <w:keepLines/>
              <w:ind w:left="186" w:right="180"/>
              <w:rPr>
                <w:rFonts w:eastAsia="Calibri"/>
                <w:color w:val="000000"/>
              </w:rPr>
            </w:pPr>
            <w:r w:rsidRPr="00BD7CEA">
              <w:rPr>
                <w:rFonts w:eastAsia="Calibri"/>
                <w:color w:val="000000"/>
              </w:rPr>
              <w:t>Office Web Applications (Microsoft Hosted)</w:t>
            </w:r>
          </w:p>
        </w:tc>
      </w:tr>
      <w:tr w:rsidR="00A83600" w:rsidRPr="00BD7CEA" w:rsidTr="00CA14C9">
        <w:tc>
          <w:tcPr>
            <w:tcW w:w="2070" w:type="dxa"/>
          </w:tcPr>
          <w:p w:rsidR="00A83600" w:rsidRPr="00BD7CEA" w:rsidRDefault="00A83600" w:rsidP="00C066F9">
            <w:pPr>
              <w:keepNext/>
              <w:keepLines/>
              <w:ind w:left="180" w:right="186"/>
              <w:rPr>
                <w:rFonts w:eastAsia="Calibri"/>
                <w:color w:val="000000"/>
              </w:rPr>
            </w:pPr>
          </w:p>
        </w:tc>
        <w:tc>
          <w:tcPr>
            <w:tcW w:w="2160" w:type="dxa"/>
            <w:shd w:val="clear" w:color="auto" w:fill="auto"/>
          </w:tcPr>
          <w:p w:rsidR="00A83600" w:rsidRPr="00BD7CEA" w:rsidRDefault="00A83600" w:rsidP="00C066F9">
            <w:pPr>
              <w:keepNext/>
              <w:keepLines/>
              <w:ind w:left="180" w:right="186"/>
              <w:rPr>
                <w:rFonts w:eastAsia="Calibri"/>
                <w:color w:val="000000"/>
              </w:rPr>
            </w:pPr>
          </w:p>
        </w:tc>
        <w:tc>
          <w:tcPr>
            <w:tcW w:w="2250" w:type="dxa"/>
            <w:shd w:val="clear" w:color="auto" w:fill="auto"/>
          </w:tcPr>
          <w:p w:rsidR="00A83600" w:rsidRPr="00BD7CEA" w:rsidRDefault="00A83600" w:rsidP="00C066F9">
            <w:pPr>
              <w:keepNext/>
              <w:keepLines/>
              <w:ind w:left="138" w:right="138"/>
              <w:rPr>
                <w:rFonts w:eastAsia="Calibri"/>
                <w:color w:val="000000"/>
              </w:rPr>
            </w:pPr>
            <w:r w:rsidRPr="00BD7CEA">
              <w:rPr>
                <w:rFonts w:eastAsia="Calibri"/>
                <w:color w:val="000000"/>
              </w:rPr>
              <w:t xml:space="preserve">Sottoscrizione di Office Professional Plus </w:t>
            </w:r>
          </w:p>
        </w:tc>
        <w:tc>
          <w:tcPr>
            <w:tcW w:w="2088" w:type="dxa"/>
            <w:shd w:val="clear" w:color="auto" w:fill="auto"/>
          </w:tcPr>
          <w:p w:rsidR="00A83600" w:rsidRPr="00BD7CEA" w:rsidRDefault="00A83600" w:rsidP="00C066F9">
            <w:pPr>
              <w:keepNext/>
              <w:keepLines/>
              <w:ind w:left="186" w:right="180"/>
              <w:rPr>
                <w:rFonts w:eastAsia="Calibri"/>
                <w:color w:val="000000"/>
              </w:rPr>
            </w:pPr>
            <w:r w:rsidRPr="00BD7CEA">
              <w:rPr>
                <w:rFonts w:eastAsia="Calibri"/>
                <w:color w:val="000000"/>
              </w:rPr>
              <w:t xml:space="preserve">Sottoscrizione di Office Professional Plus </w:t>
            </w:r>
          </w:p>
        </w:tc>
      </w:tr>
    </w:tbl>
    <w:p w:rsidR="00263B62" w:rsidRPr="00BD7CEA" w:rsidRDefault="00A83600" w:rsidP="00E62BC4">
      <w:pPr>
        <w:ind w:left="720"/>
      </w:pPr>
      <w:r w:rsidRPr="00BD7CEA">
        <w:rPr>
          <w:color w:val="000000"/>
        </w:rPr>
        <w:br/>
      </w:r>
    </w:p>
    <w:p w:rsidR="00A83600" w:rsidRPr="00BD7CEA" w:rsidRDefault="00A83600" w:rsidP="00E62BC4">
      <w:pPr>
        <w:ind w:left="720"/>
      </w:pPr>
      <w:r w:rsidRPr="00BD7CEA">
        <w:rPr>
          <w:color w:val="000000"/>
        </w:rPr>
        <w:t>Questa lista è soggetta a modifiche. Nell</w:t>
      </w:r>
      <w:r w:rsidR="007A1415" w:rsidRPr="00BD7CEA">
        <w:rPr>
          <w:color w:val="000000"/>
        </w:rPr>
        <w:t>’</w:t>
      </w:r>
      <w:r w:rsidRPr="00BD7CEA">
        <w:rPr>
          <w:color w:val="000000"/>
        </w:rPr>
        <w:t>eventualità di una discrepanza tra le condizioni di licenza per Office 365 Government G1</w:t>
      </w:r>
      <w:r w:rsidR="00FD7C0D">
        <w:rPr>
          <w:color w:val="000000"/>
        </w:rPr>
        <w:t xml:space="preserve"> – </w:t>
      </w:r>
      <w:r w:rsidRPr="00BD7CEA">
        <w:rPr>
          <w:color w:val="000000"/>
        </w:rPr>
        <w:t>G4 e questa nota, i Diritti di Utilizzo del Prodotto correnti avranno prevalenza. Gli eventuali diritti di accesso aggiuntivi per il software On-Premise concesso in licenza separatamente sono specificati nei Diritti di Utilizzo del Prodotto.</w:t>
      </w:r>
    </w:p>
    <w:p w:rsidR="00A83600" w:rsidRPr="00BD7CEA" w:rsidRDefault="00A83600" w:rsidP="00E62BC4">
      <w:pPr>
        <w:ind w:left="720"/>
      </w:pPr>
    </w:p>
    <w:p w:rsidR="008E124D" w:rsidRPr="00BD7CEA" w:rsidRDefault="008E124D" w:rsidP="00E62BC4">
      <w:pPr>
        <w:ind w:left="720"/>
      </w:pPr>
    </w:p>
    <w:p w:rsidR="008E124D" w:rsidRPr="00BD7CEA" w:rsidRDefault="008E124D" w:rsidP="00E62BC4">
      <w:pPr>
        <w:ind w:left="720"/>
      </w:pPr>
    </w:p>
    <w:p w:rsidR="008E124D" w:rsidRPr="00BD7CEA" w:rsidRDefault="008E124D" w:rsidP="00E62BC4">
      <w:pPr>
        <w:ind w:left="720"/>
      </w:pPr>
    </w:p>
    <w:p w:rsidR="008E124D" w:rsidRPr="00BD7CEA" w:rsidRDefault="008E124D" w:rsidP="00E62BC4">
      <w:pPr>
        <w:ind w:left="720"/>
      </w:pPr>
    </w:p>
    <w:p w:rsidR="008E124D" w:rsidRDefault="008E124D" w:rsidP="00E62BC4">
      <w:pPr>
        <w:ind w:left="720"/>
      </w:pPr>
    </w:p>
    <w:p w:rsidR="000E3B21" w:rsidRPr="00BD7CEA" w:rsidRDefault="000E3B21" w:rsidP="00E62BC4">
      <w:pPr>
        <w:ind w:left="720"/>
      </w:pPr>
    </w:p>
    <w:p w:rsidR="00A83600" w:rsidRPr="00BD7CEA" w:rsidRDefault="00A83600" w:rsidP="00E62BC4">
      <w:pPr>
        <w:ind w:left="720"/>
        <w:rPr>
          <w:spacing w:val="-2"/>
        </w:rPr>
      </w:pPr>
      <w:r w:rsidRPr="00BD7CEA">
        <w:rPr>
          <w:color w:val="000000"/>
          <w:spacing w:val="-2"/>
        </w:rPr>
        <w:lastRenderedPageBreak/>
        <w:t>Lync Online Piano 1 e Piano 2 richiedono l</w:t>
      </w:r>
      <w:r w:rsidR="007A1415" w:rsidRPr="00BD7CEA">
        <w:rPr>
          <w:color w:val="000000"/>
          <w:spacing w:val="-2"/>
        </w:rPr>
        <w:t>’</w:t>
      </w:r>
      <w:r w:rsidRPr="00BD7CEA">
        <w:rPr>
          <w:color w:val="000000"/>
          <w:spacing w:val="-2"/>
        </w:rPr>
        <w:t>acquisto e l</w:t>
      </w:r>
      <w:r w:rsidR="007A1415" w:rsidRPr="00BD7CEA">
        <w:rPr>
          <w:color w:val="000000"/>
          <w:spacing w:val="-2"/>
        </w:rPr>
        <w:t>’</w:t>
      </w:r>
      <w:r w:rsidRPr="00BD7CEA">
        <w:rPr>
          <w:color w:val="000000"/>
          <w:spacing w:val="-2"/>
        </w:rPr>
        <w:t>installazione separati di Microsoft Lync 2013 (o di Lync per Mac 2011) per accedere al set completo di funzionalità di Lync Online Piano 1 e Piano 2. Grazie a un</w:t>
      </w:r>
      <w:r w:rsidR="007A1415" w:rsidRPr="00BD7CEA">
        <w:rPr>
          <w:color w:val="000000"/>
          <w:spacing w:val="-2"/>
        </w:rPr>
        <w:t>’</w:t>
      </w:r>
      <w:r w:rsidRPr="00BD7CEA">
        <w:rPr>
          <w:color w:val="000000"/>
          <w:spacing w:val="-2"/>
        </w:rPr>
        <w:t>offerta di durata limitata, le società titolari di licenza per Lync Online riceveranno gratuitamente in licenza una copia di Lync per Mac 2011 per ciascuna licenza "subscription" acquistata o in versione di valutazione di Lync Online. Il</w:t>
      </w:r>
      <w:r w:rsidR="008E124D" w:rsidRPr="00BD7CEA">
        <w:rPr>
          <w:color w:val="000000"/>
          <w:spacing w:val="-2"/>
        </w:rPr>
        <w:t> </w:t>
      </w:r>
      <w:r w:rsidRPr="00BD7CEA">
        <w:rPr>
          <w:color w:val="000000"/>
          <w:spacing w:val="-2"/>
        </w:rPr>
        <w:t>software potrà essere utilizzato esclusivamente con Lync Online e tutti i diritti di utilizzo del software cesseranno alla scadenza della licenza “Subscription” sottostante oppure in occasione della migrazione alla successiva nuova versione principale di Lync Online, a seconda di quale evento si verificherà per primo.</w:t>
      </w:r>
      <w:r w:rsidR="008D782D" w:rsidRPr="00BD7CEA">
        <w:rPr>
          <w:color w:val="000000"/>
          <w:spacing w:val="-2"/>
        </w:rPr>
        <w:t xml:space="preserve"> </w:t>
      </w:r>
      <w:r w:rsidRPr="00BD7CEA">
        <w:rPr>
          <w:spacing w:val="-2"/>
        </w:rPr>
        <w:t>Le società potranno utilizzare il client gratuito Lync Basic 2013 per i loro utenti finali in possesso di Windows.</w:t>
      </w:r>
    </w:p>
    <w:p w:rsidR="00A83600" w:rsidRPr="00BD7CEA" w:rsidRDefault="00A83600" w:rsidP="00E62BC4">
      <w:pPr>
        <w:ind w:left="720"/>
      </w:pPr>
    </w:p>
    <w:p w:rsidR="00A83600" w:rsidRPr="00BD7CEA" w:rsidRDefault="00A83600" w:rsidP="00E62BC4">
      <w:pPr>
        <w:ind w:left="720"/>
      </w:pPr>
      <w:r w:rsidRPr="00BD7CEA">
        <w:rPr>
          <w:rFonts w:eastAsia="Calibri" w:cs="Tahoma"/>
          <w:color w:val="000000"/>
          <w:szCs w:val="18"/>
        </w:rPr>
        <w:t>G1-G4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p>
    <w:p w:rsidR="00A83600" w:rsidRPr="00BD7CEA" w:rsidRDefault="00A83600" w:rsidP="00E62BC4">
      <w:pPr>
        <w:ind w:left="720"/>
      </w:pPr>
    </w:p>
    <w:p w:rsidR="00A83600" w:rsidRPr="00BD7CEA" w:rsidRDefault="00A83600" w:rsidP="00E62BC4">
      <w:pPr>
        <w:ind w:left="720"/>
      </w:pPr>
      <w:r w:rsidRPr="00BD7CEA">
        <w:rPr>
          <w:rFonts w:eastAsia="Calibri" w:cs="Tahoma"/>
          <w:color w:val="000000"/>
          <w:szCs w:val="18"/>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7A1415" w:rsidRPr="00BD7CEA">
        <w:rPr>
          <w:rFonts w:eastAsia="Calibri" w:cs="Tahoma"/>
          <w:color w:val="000000"/>
          <w:szCs w:val="18"/>
        </w:rPr>
        <w:t>’</w:t>
      </w:r>
      <w:r w:rsidRPr="00BD7CEA">
        <w:rPr>
          <w:rFonts w:eastAsia="Calibri" w:cs="Tahoma"/>
          <w:color w:val="000000"/>
          <w:szCs w:val="18"/>
        </w:rPr>
        <w:t>Iscrizione Enterprise o Enterprise Subscription per Enti Pubblici Statunitensi per essere idonei all</w:t>
      </w:r>
      <w:r w:rsidR="007A1415" w:rsidRPr="00BD7CEA">
        <w:rPr>
          <w:rFonts w:eastAsia="Calibri" w:cs="Tahoma"/>
          <w:color w:val="000000"/>
          <w:szCs w:val="18"/>
        </w:rPr>
        <w:t>’</w:t>
      </w:r>
      <w:r w:rsidRPr="00BD7CEA">
        <w:rPr>
          <w:rFonts w:eastAsia="Calibri" w:cs="Tahoma"/>
          <w:color w:val="000000"/>
          <w:szCs w:val="18"/>
        </w:rPr>
        <w:t>acquisto di servizi online designati come community cloud per enti pubblici.</w:t>
      </w:r>
      <w:r w:rsidR="008D782D" w:rsidRPr="00BD7CEA">
        <w:rPr>
          <w:rFonts w:eastAsia="Calibri" w:cs="Tahoma"/>
          <w:color w:val="000000"/>
          <w:szCs w:val="18"/>
        </w:rPr>
        <w:t xml:space="preserve"> </w:t>
      </w:r>
      <w:r w:rsidRPr="00BD7CEA">
        <w:rPr>
          <w:rFonts w:eastAsia="Calibri" w:cs="Tahoma"/>
          <w:color w:val="000000"/>
          <w:szCs w:val="18"/>
        </w:rPr>
        <w:t>I Diritti sull</w:t>
      </w:r>
      <w:r w:rsidR="007A1415" w:rsidRPr="00BD7CEA">
        <w:rPr>
          <w:rFonts w:eastAsia="Calibri" w:cs="Tahoma"/>
          <w:color w:val="000000"/>
          <w:szCs w:val="18"/>
        </w:rPr>
        <w:t>’</w:t>
      </w:r>
      <w:r w:rsidRPr="00BD7CEA">
        <w:rPr>
          <w:rFonts w:eastAsia="Calibri" w:cs="Tahoma"/>
          <w:color w:val="000000"/>
          <w:szCs w:val="18"/>
        </w:rPr>
        <w:t>Utilizzo relativi ai servizi di community cloud per enti pubblici sono simili a quelli dei loro equivalenti multi-tenant standard, come indicato nella seguente tabella:</w:t>
      </w:r>
    </w:p>
    <w:p w:rsidR="00A83600" w:rsidRPr="00BD7CEA" w:rsidRDefault="00A83600" w:rsidP="00A83600">
      <w:pPr>
        <w:ind w:left="900"/>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4"/>
        <w:gridCol w:w="4318"/>
      </w:tblGrid>
      <w:tr w:rsidR="00A83600" w:rsidRPr="00BD7CEA" w:rsidTr="00CA14C9">
        <w:tc>
          <w:tcPr>
            <w:tcW w:w="4202" w:type="dxa"/>
            <w:shd w:val="clear" w:color="auto" w:fill="FABF8F"/>
          </w:tcPr>
          <w:p w:rsidR="00A83600" w:rsidRPr="00BD7CEA" w:rsidRDefault="00A83600" w:rsidP="00722522">
            <w:pPr>
              <w:rPr>
                <w:rFonts w:eastAsia="Calibri"/>
                <w:b/>
                <w:color w:val="000000"/>
                <w:sz w:val="20"/>
                <w:szCs w:val="20"/>
              </w:rPr>
            </w:pPr>
            <w:r w:rsidRPr="00BD7CEA">
              <w:rPr>
                <w:rFonts w:eastAsia="Calibri"/>
                <w:b/>
                <w:color w:val="000000"/>
                <w:sz w:val="20"/>
                <w:szCs w:val="20"/>
              </w:rPr>
              <w:t xml:space="preserve">Office 365 Enterprise E </w:t>
            </w:r>
          </w:p>
        </w:tc>
        <w:tc>
          <w:tcPr>
            <w:tcW w:w="4366" w:type="dxa"/>
            <w:shd w:val="clear" w:color="auto" w:fill="FABF8F"/>
          </w:tcPr>
          <w:p w:rsidR="00A83600" w:rsidRPr="00BD7CEA" w:rsidRDefault="00A83600" w:rsidP="00722522">
            <w:pPr>
              <w:rPr>
                <w:rFonts w:eastAsia="Calibri"/>
                <w:b/>
                <w:color w:val="000000"/>
                <w:sz w:val="20"/>
                <w:szCs w:val="20"/>
              </w:rPr>
            </w:pPr>
            <w:r w:rsidRPr="00BD7CEA">
              <w:rPr>
                <w:rFonts w:eastAsia="Calibri"/>
                <w:b/>
                <w:color w:val="000000"/>
                <w:sz w:val="20"/>
                <w:szCs w:val="20"/>
              </w:rPr>
              <w:t>Servizio per Office 365 Government G con Diritti sull</w:t>
            </w:r>
            <w:r w:rsidR="007A1415" w:rsidRPr="00BD7CEA">
              <w:rPr>
                <w:rFonts w:eastAsia="Calibri"/>
                <w:b/>
                <w:color w:val="000000"/>
                <w:sz w:val="20"/>
                <w:szCs w:val="20"/>
              </w:rPr>
              <w:t>’</w:t>
            </w:r>
            <w:r w:rsidRPr="00BD7CEA">
              <w:rPr>
                <w:rFonts w:eastAsia="Calibri"/>
                <w:b/>
                <w:color w:val="000000"/>
                <w:sz w:val="20"/>
                <w:szCs w:val="20"/>
              </w:rPr>
              <w:t>Utilizzo equivalenti</w:t>
            </w:r>
          </w:p>
        </w:tc>
      </w:tr>
      <w:tr w:rsidR="00A83600" w:rsidRPr="00BD7CEA" w:rsidTr="00CA14C9">
        <w:tc>
          <w:tcPr>
            <w:tcW w:w="4202" w:type="dxa"/>
            <w:shd w:val="clear" w:color="auto" w:fill="auto"/>
          </w:tcPr>
          <w:p w:rsidR="00A83600" w:rsidRPr="00BD7CEA" w:rsidRDefault="00A83600" w:rsidP="00722522">
            <w:pPr>
              <w:rPr>
                <w:rFonts w:eastAsia="Calibri"/>
                <w:color w:val="000000"/>
              </w:rPr>
            </w:pPr>
            <w:r w:rsidRPr="00BD7CEA">
              <w:rPr>
                <w:rFonts w:eastAsia="Calibri"/>
                <w:color w:val="000000"/>
              </w:rPr>
              <w:t>Office 365 Enterprise E1</w:t>
            </w:r>
          </w:p>
        </w:tc>
        <w:tc>
          <w:tcPr>
            <w:tcW w:w="4366" w:type="dxa"/>
            <w:shd w:val="clear" w:color="auto" w:fill="auto"/>
          </w:tcPr>
          <w:p w:rsidR="00A83600" w:rsidRPr="00BD7CEA" w:rsidRDefault="00A83600" w:rsidP="00722522">
            <w:pPr>
              <w:rPr>
                <w:rFonts w:eastAsia="Calibri"/>
                <w:color w:val="000000"/>
              </w:rPr>
            </w:pPr>
            <w:r w:rsidRPr="00BD7CEA">
              <w:rPr>
                <w:rFonts w:eastAsia="Calibri"/>
                <w:color w:val="000000"/>
              </w:rPr>
              <w:t>Office 365 Government G1</w:t>
            </w:r>
          </w:p>
        </w:tc>
      </w:tr>
      <w:tr w:rsidR="00A83600" w:rsidRPr="00BD7CEA" w:rsidTr="00CA14C9">
        <w:tc>
          <w:tcPr>
            <w:tcW w:w="4202" w:type="dxa"/>
            <w:shd w:val="clear" w:color="auto" w:fill="auto"/>
          </w:tcPr>
          <w:p w:rsidR="00A83600" w:rsidRPr="00BD7CEA" w:rsidRDefault="00A83600" w:rsidP="00722522">
            <w:pPr>
              <w:rPr>
                <w:rFonts w:eastAsia="Calibri"/>
                <w:color w:val="000000"/>
              </w:rPr>
            </w:pPr>
            <w:r w:rsidRPr="00BD7CEA">
              <w:rPr>
                <w:rFonts w:eastAsia="Calibri"/>
                <w:color w:val="000000"/>
              </w:rPr>
              <w:t>Office 365 Enterprise E2</w:t>
            </w:r>
          </w:p>
        </w:tc>
        <w:tc>
          <w:tcPr>
            <w:tcW w:w="4366" w:type="dxa"/>
            <w:shd w:val="clear" w:color="auto" w:fill="auto"/>
          </w:tcPr>
          <w:p w:rsidR="00A83600" w:rsidRPr="00BD7CEA" w:rsidRDefault="00A83600" w:rsidP="00722522">
            <w:pPr>
              <w:rPr>
                <w:rFonts w:eastAsia="Calibri"/>
                <w:color w:val="000000"/>
              </w:rPr>
            </w:pPr>
            <w:r w:rsidRPr="00BD7CEA">
              <w:rPr>
                <w:rFonts w:eastAsia="Calibri"/>
                <w:color w:val="000000"/>
              </w:rPr>
              <w:t>Office 365 Government G2</w:t>
            </w:r>
          </w:p>
        </w:tc>
      </w:tr>
      <w:tr w:rsidR="00A83600" w:rsidRPr="00BD7CEA" w:rsidTr="00CA14C9">
        <w:tc>
          <w:tcPr>
            <w:tcW w:w="4202" w:type="dxa"/>
            <w:shd w:val="clear" w:color="auto" w:fill="auto"/>
          </w:tcPr>
          <w:p w:rsidR="00A83600" w:rsidRPr="00BD7CEA" w:rsidRDefault="00A83600" w:rsidP="00722522">
            <w:pPr>
              <w:rPr>
                <w:rFonts w:eastAsia="Calibri"/>
                <w:color w:val="000000"/>
              </w:rPr>
            </w:pPr>
            <w:r w:rsidRPr="00BD7CEA">
              <w:rPr>
                <w:rFonts w:eastAsia="Calibri"/>
                <w:color w:val="000000"/>
              </w:rPr>
              <w:t>Office 365 Enterprise E3</w:t>
            </w:r>
          </w:p>
        </w:tc>
        <w:tc>
          <w:tcPr>
            <w:tcW w:w="4366" w:type="dxa"/>
            <w:shd w:val="clear" w:color="auto" w:fill="auto"/>
          </w:tcPr>
          <w:p w:rsidR="00A83600" w:rsidRPr="00BD7CEA" w:rsidRDefault="00A83600" w:rsidP="00722522">
            <w:pPr>
              <w:rPr>
                <w:rFonts w:eastAsia="Calibri"/>
                <w:color w:val="000000"/>
              </w:rPr>
            </w:pPr>
            <w:r w:rsidRPr="00BD7CEA">
              <w:rPr>
                <w:rFonts w:eastAsia="Calibri"/>
                <w:color w:val="000000"/>
              </w:rPr>
              <w:t>Office 365 Government G3</w:t>
            </w:r>
          </w:p>
        </w:tc>
      </w:tr>
      <w:tr w:rsidR="00A83600" w:rsidRPr="00BD7CEA" w:rsidTr="00CA14C9">
        <w:tc>
          <w:tcPr>
            <w:tcW w:w="4202" w:type="dxa"/>
            <w:shd w:val="clear" w:color="auto" w:fill="auto"/>
          </w:tcPr>
          <w:p w:rsidR="00A83600" w:rsidRPr="00BD7CEA" w:rsidRDefault="00A83600" w:rsidP="00722522">
            <w:pPr>
              <w:rPr>
                <w:rFonts w:eastAsia="Calibri"/>
                <w:color w:val="000000"/>
              </w:rPr>
            </w:pPr>
            <w:r w:rsidRPr="00BD7CEA">
              <w:rPr>
                <w:rFonts w:eastAsia="Calibri"/>
                <w:color w:val="000000"/>
              </w:rPr>
              <w:t>Office 365 Enterprise E4</w:t>
            </w:r>
          </w:p>
        </w:tc>
        <w:tc>
          <w:tcPr>
            <w:tcW w:w="4366" w:type="dxa"/>
            <w:shd w:val="clear" w:color="auto" w:fill="auto"/>
          </w:tcPr>
          <w:p w:rsidR="00A83600" w:rsidRPr="00BD7CEA" w:rsidRDefault="00A83600" w:rsidP="00722522">
            <w:pPr>
              <w:rPr>
                <w:rFonts w:eastAsia="Calibri"/>
                <w:color w:val="000000"/>
              </w:rPr>
            </w:pPr>
            <w:r w:rsidRPr="00BD7CEA">
              <w:rPr>
                <w:rFonts w:eastAsia="Calibri"/>
                <w:color w:val="000000"/>
              </w:rPr>
              <w:t>Office 365 Government G4</w:t>
            </w:r>
          </w:p>
        </w:tc>
      </w:tr>
    </w:tbl>
    <w:p w:rsidR="004574E9" w:rsidRPr="00BD7CEA" w:rsidRDefault="004574E9" w:rsidP="00194DAF"/>
    <w:p w:rsidR="00C737B6" w:rsidRPr="00BD7CEA" w:rsidRDefault="00C737B6" w:rsidP="007B699C">
      <w:pPr>
        <w:pStyle w:val="EndnoteText"/>
        <w:ind w:left="0"/>
      </w:pPr>
      <w:bookmarkStart w:id="1390" w:name="_59_Office_Communications"/>
      <w:bookmarkStart w:id="1391" w:name="_57_Office_Communications"/>
      <w:bookmarkStart w:id="1392" w:name="_59_Office_Groove"/>
      <w:bookmarkStart w:id="1393" w:name="Srv_62OfficePerfPointSvr07"/>
      <w:bookmarkEnd w:id="1365"/>
      <w:bookmarkEnd w:id="1390"/>
      <w:bookmarkEnd w:id="1391"/>
      <w:bookmarkEnd w:id="1392"/>
    </w:p>
    <w:p w:rsidR="00F42FD5" w:rsidRPr="00BD7CEA" w:rsidRDefault="00F66FB0" w:rsidP="00F42FD5">
      <w:pPr>
        <w:pStyle w:val="Heading2"/>
        <w:ind w:left="0"/>
      </w:pPr>
      <w:bookmarkStart w:id="1394" w:name="_68_SharePoint_Online"/>
      <w:bookmarkStart w:id="1395" w:name="_71_SharePoint_Online"/>
      <w:bookmarkStart w:id="1396" w:name="_72_SharePoint_Online"/>
      <w:bookmarkStart w:id="1397" w:name="_Toc336338334"/>
      <w:bookmarkStart w:id="1398" w:name="_Toc353376110"/>
      <w:bookmarkStart w:id="1399" w:name="Srv_73SharepointOnlinePlan1"/>
      <w:bookmarkStart w:id="1400" w:name="Srv_74SharepointOnlinePlan1"/>
      <w:bookmarkEnd w:id="1394"/>
      <w:bookmarkEnd w:id="1395"/>
      <w:bookmarkEnd w:id="1396"/>
      <w:r w:rsidRPr="00BD7CEA">
        <w:rPr>
          <w:rFonts w:ascii="Tahoma" w:hAnsi="Tahoma" w:cs="Tahoma"/>
          <w:caps/>
          <w:color w:val="FF6600"/>
          <w:sz w:val="22"/>
          <w:vertAlign w:val="superscript"/>
        </w:rPr>
        <w:t>72</w:t>
      </w:r>
      <w:r w:rsidRPr="00BD7CEA">
        <w:rPr>
          <w:rFonts w:ascii="Tahoma" w:hAnsi="Tahoma" w:cs="Tahoma"/>
          <w:color w:val="FF6600"/>
        </w:rPr>
        <w:t xml:space="preserve"> </w:t>
      </w:r>
      <w:r w:rsidRPr="00BD7CEA">
        <w:rPr>
          <w:rFonts w:ascii="Tahoma" w:hAnsi="Tahoma" w:cs="Tahoma"/>
          <w:color w:val="FF6600"/>
          <w:sz w:val="22"/>
          <w:szCs w:val="22"/>
        </w:rPr>
        <w:t>SharePoint Online Piani 1 e 2</w:t>
      </w:r>
      <w:bookmarkEnd w:id="1397"/>
      <w:bookmarkEnd w:id="1398"/>
    </w:p>
    <w:bookmarkEnd w:id="1399"/>
    <w:bookmarkEnd w:id="1400"/>
    <w:p w:rsidR="00F42FD5" w:rsidRPr="00BD7CEA" w:rsidRDefault="00F42FD5" w:rsidP="00F42FD5"/>
    <w:p w:rsidR="00F42FD5" w:rsidRPr="00BD7CEA" w:rsidRDefault="00F42FD5" w:rsidP="00AC0ED2">
      <w:pPr>
        <w:pStyle w:val="EndnoteText"/>
        <w:ind w:left="720"/>
      </w:pPr>
      <w:r w:rsidRPr="00BD7CEA">
        <w:rPr>
          <w:rFonts w:ascii="Tahoma" w:hAnsi="Tahoma" w:cs="Tahoma"/>
          <w:color w:val="000000"/>
          <w:sz w:val="18"/>
          <w:szCs w:val="18"/>
        </w:rPr>
        <w:t>SharePoint Online Piano 1 era precedentemente noto come SharePoint Online Standard.</w:t>
      </w:r>
    </w:p>
    <w:p w:rsidR="00F42FD5" w:rsidRPr="00BD7CEA" w:rsidRDefault="00F42FD5" w:rsidP="00AC0ED2">
      <w:pPr>
        <w:pStyle w:val="EndnoteText"/>
        <w:ind w:left="720"/>
      </w:pPr>
    </w:p>
    <w:p w:rsidR="00F42FD5" w:rsidRPr="00BD7CEA" w:rsidRDefault="00F42FD5" w:rsidP="00AC0ED2">
      <w:pPr>
        <w:pStyle w:val="EndnoteText"/>
        <w:ind w:left="720"/>
      </w:pPr>
      <w:r w:rsidRPr="00BD7CEA">
        <w:rPr>
          <w:rFonts w:ascii="Tahoma" w:hAnsi="Tahoma" w:cs="Tahoma"/>
          <w:color w:val="000000"/>
          <w:sz w:val="18"/>
          <w:szCs w:val="18"/>
        </w:rPr>
        <w:t>Le società che, in Brasile o in Cile, acquisteranno SharePoint Online Piano 1 riceveranno SharePoint Online Standard.</w:t>
      </w:r>
      <w:r w:rsidR="008D782D" w:rsidRPr="00BD7CEA">
        <w:rPr>
          <w:rFonts w:ascii="Tahoma" w:hAnsi="Tahoma" w:cs="Tahoma"/>
          <w:color w:val="000000"/>
          <w:sz w:val="18"/>
          <w:szCs w:val="18"/>
        </w:rPr>
        <w:t xml:space="preserve"> </w:t>
      </w:r>
      <w:r w:rsidRPr="00BD7CEA">
        <w:rPr>
          <w:rFonts w:ascii="Tahoma" w:hAnsi="Tahoma" w:cs="Tahoma"/>
          <w:color w:val="000000"/>
          <w:sz w:val="18"/>
          <w:szCs w:val="18"/>
        </w:rPr>
        <w:t>Tali società potranno migrare a SharePoint Online Piano 1 in un secondo momento.</w:t>
      </w:r>
    </w:p>
    <w:p w:rsidR="007316A1" w:rsidRPr="00BD7CEA" w:rsidRDefault="007316A1" w:rsidP="00AC0ED2">
      <w:pPr>
        <w:pStyle w:val="EndnoteText"/>
        <w:ind w:left="720"/>
      </w:pPr>
    </w:p>
    <w:p w:rsidR="00DB7BD1" w:rsidRPr="00BD7CEA" w:rsidRDefault="00DB7BD1" w:rsidP="007B699C">
      <w:pPr>
        <w:spacing w:after="60"/>
        <w:ind w:left="720"/>
      </w:pPr>
      <w:r w:rsidRPr="00BD7CEA">
        <w:rPr>
          <w:rFonts w:eastAsia="Calibri" w:cs="Tahoma"/>
          <w:b/>
          <w:color w:val="000000"/>
          <w:szCs w:val="18"/>
        </w:rPr>
        <w:t>Community Cloud per Enti Pubblici (solo Stati Uniti)</w:t>
      </w:r>
    </w:p>
    <w:p w:rsidR="00DB7BD1" w:rsidRPr="00BD7CEA" w:rsidRDefault="00DB7BD1" w:rsidP="00AC0ED2">
      <w:pPr>
        <w:ind w:left="720"/>
      </w:pPr>
      <w:r w:rsidRPr="00BD7CEA">
        <w:rPr>
          <w:rFonts w:eastAsia="Calibri" w:cs="Tahoma"/>
          <w:color w:val="000000"/>
          <w:szCs w:val="18"/>
        </w:rPr>
        <w:t>Alcuni servizi online della famiglia di prodotti Office 365 (incluso SharePoint Online Piano 1 e 2) sono offerti come servizi di community cloud per enti pubblici e come servizi di community cloud per enti non pubblici.</w:t>
      </w:r>
      <w:r w:rsidR="008D782D" w:rsidRPr="00BD7CEA">
        <w:rPr>
          <w:rFonts w:eastAsia="Calibri" w:cs="Tahoma"/>
          <w:color w:val="000000"/>
          <w:szCs w:val="18"/>
        </w:rPr>
        <w:t xml:space="preserve"> </w:t>
      </w:r>
      <w:r w:rsidRPr="00BD7CEA">
        <w:rPr>
          <w:rFonts w:eastAsia="Calibri" w:cs="Tahoma"/>
          <w:color w:val="000000"/>
          <w:szCs w:val="18"/>
        </w:rPr>
        <w:t>Alle società potrà essere effettuato il provisioning come ente pubblico o non pubblico, ma non come una combinazione di entrambi.</w:t>
      </w:r>
      <w:r w:rsidR="008D782D" w:rsidRPr="00BD7CEA">
        <w:rPr>
          <w:rFonts w:eastAsia="Calibri" w:cs="Tahoma"/>
          <w:color w:val="000000"/>
          <w:szCs w:val="18"/>
        </w:rPr>
        <w:t xml:space="preserve"> </w:t>
      </w:r>
      <w:r w:rsidRPr="00BD7CEA">
        <w:rPr>
          <w:rFonts w:eastAsia="Calibri" w:cs="Tahoma"/>
          <w:color w:val="000000"/>
          <w:szCs w:val="18"/>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8D782D" w:rsidRPr="00BD7CEA">
        <w:rPr>
          <w:rFonts w:eastAsia="Calibri" w:cs="Tahoma"/>
          <w:color w:val="000000"/>
          <w:szCs w:val="18"/>
        </w:rPr>
        <w:t xml:space="preserve"> </w:t>
      </w:r>
    </w:p>
    <w:p w:rsidR="00DB7BD1" w:rsidRPr="00BD7CEA" w:rsidRDefault="00DB7BD1" w:rsidP="00AC0ED2">
      <w:pPr>
        <w:ind w:left="720"/>
      </w:pPr>
    </w:p>
    <w:p w:rsidR="00DB7BD1" w:rsidRPr="00BD7CEA" w:rsidRDefault="00DB7BD1" w:rsidP="00AC0ED2">
      <w:pPr>
        <w:ind w:left="720"/>
      </w:pPr>
      <w:r w:rsidRPr="00BD7CEA">
        <w:rPr>
          <w:rFonts w:eastAsia="Calibri" w:cs="Tahoma"/>
          <w:color w:val="000000"/>
          <w:szCs w:val="18"/>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7A1415" w:rsidRPr="00BD7CEA">
        <w:rPr>
          <w:rFonts w:eastAsia="Calibri" w:cs="Tahoma"/>
          <w:color w:val="000000"/>
          <w:szCs w:val="18"/>
        </w:rPr>
        <w:t>’</w:t>
      </w:r>
      <w:r w:rsidRPr="00BD7CEA">
        <w:rPr>
          <w:rFonts w:eastAsia="Calibri" w:cs="Tahoma"/>
          <w:color w:val="000000"/>
          <w:szCs w:val="18"/>
        </w:rPr>
        <w:t>Iscrizione Enterprise o Enterprise Subscription per Enti Pubblici Statunitensi per essere idonei all</w:t>
      </w:r>
      <w:r w:rsidR="007A1415" w:rsidRPr="00BD7CEA">
        <w:rPr>
          <w:rFonts w:eastAsia="Calibri" w:cs="Tahoma"/>
          <w:color w:val="000000"/>
          <w:szCs w:val="18"/>
        </w:rPr>
        <w:t>’</w:t>
      </w:r>
      <w:r w:rsidRPr="00BD7CEA">
        <w:rPr>
          <w:rFonts w:eastAsia="Calibri" w:cs="Tahoma"/>
          <w:color w:val="000000"/>
          <w:szCs w:val="18"/>
        </w:rPr>
        <w:t>acquisto di servizi online designati come community cloud per enti pubblici.</w:t>
      </w:r>
      <w:r w:rsidR="008D782D" w:rsidRPr="00BD7CEA">
        <w:rPr>
          <w:rFonts w:eastAsia="Calibri" w:cs="Tahoma"/>
          <w:color w:val="000000"/>
          <w:szCs w:val="18"/>
        </w:rPr>
        <w:t xml:space="preserve"> </w:t>
      </w:r>
      <w:r w:rsidRPr="00BD7CEA">
        <w:rPr>
          <w:rFonts w:eastAsia="Calibri" w:cs="Tahoma"/>
          <w:color w:val="000000"/>
          <w:szCs w:val="18"/>
        </w:rPr>
        <w:t>I Diritti sull</w:t>
      </w:r>
      <w:r w:rsidR="007A1415" w:rsidRPr="00BD7CEA">
        <w:rPr>
          <w:rFonts w:eastAsia="Calibri" w:cs="Tahoma"/>
          <w:color w:val="000000"/>
          <w:szCs w:val="18"/>
        </w:rPr>
        <w:t>’</w:t>
      </w:r>
      <w:r w:rsidRPr="00BD7CEA">
        <w:rPr>
          <w:rFonts w:eastAsia="Calibri" w:cs="Tahoma"/>
          <w:color w:val="000000"/>
          <w:szCs w:val="18"/>
        </w:rPr>
        <w:t>Utilizzo relativi ai servizi di community cloud per enti pubblici sono simili a quelli dei loro equivalenti multi-tenant standard.</w:t>
      </w:r>
    </w:p>
    <w:p w:rsidR="00C737B6" w:rsidRPr="00BD7CEA" w:rsidRDefault="00C737B6" w:rsidP="00697E59">
      <w:pPr>
        <w:pStyle w:val="EndnoteText"/>
        <w:ind w:left="0"/>
      </w:pPr>
    </w:p>
    <w:p w:rsidR="007B699C" w:rsidRPr="00BD7CEA" w:rsidRDefault="007B699C" w:rsidP="00697E59">
      <w:pPr>
        <w:pStyle w:val="EndnoteText"/>
        <w:ind w:left="0"/>
      </w:pPr>
    </w:p>
    <w:p w:rsidR="008E124D" w:rsidRPr="00BD7CEA" w:rsidRDefault="008E124D" w:rsidP="00697E59">
      <w:pPr>
        <w:pStyle w:val="EndnoteText"/>
        <w:ind w:left="0"/>
      </w:pPr>
    </w:p>
    <w:p w:rsidR="008E124D" w:rsidRPr="00BD7CEA" w:rsidRDefault="008E124D" w:rsidP="00697E59">
      <w:pPr>
        <w:pStyle w:val="EndnoteText"/>
        <w:ind w:left="0"/>
      </w:pPr>
    </w:p>
    <w:p w:rsidR="008E124D" w:rsidRPr="00BD7CEA" w:rsidRDefault="008E124D" w:rsidP="00697E59">
      <w:pPr>
        <w:pStyle w:val="EndnoteText"/>
        <w:ind w:left="0"/>
      </w:pPr>
    </w:p>
    <w:p w:rsidR="008E124D" w:rsidRPr="00BD7CEA" w:rsidRDefault="008E124D" w:rsidP="00697E59">
      <w:pPr>
        <w:pStyle w:val="EndnoteText"/>
        <w:ind w:left="0"/>
      </w:pPr>
    </w:p>
    <w:p w:rsidR="008E124D" w:rsidRPr="00BD7CEA" w:rsidRDefault="008E124D" w:rsidP="00697E59">
      <w:pPr>
        <w:pStyle w:val="EndnoteText"/>
        <w:ind w:left="0"/>
      </w:pPr>
    </w:p>
    <w:p w:rsidR="002F7FB8" w:rsidRPr="00BD7CEA" w:rsidRDefault="00F66FB0" w:rsidP="002F7FB8">
      <w:pPr>
        <w:pStyle w:val="Heading2"/>
        <w:ind w:left="0"/>
      </w:pPr>
      <w:bookmarkStart w:id="1401" w:name="_69_SharePoint_Server"/>
      <w:bookmarkStart w:id="1402" w:name="_74_72_SharePoint"/>
      <w:bookmarkStart w:id="1403" w:name="_73_SharePoint_Server"/>
      <w:bookmarkStart w:id="1404" w:name="_Toc336338335"/>
      <w:bookmarkStart w:id="1405" w:name="_Toc353376111"/>
      <w:bookmarkStart w:id="1406" w:name="Srv_65ShareptSvr10"/>
      <w:bookmarkStart w:id="1407" w:name="Srv_64OfficeShareptSvr10"/>
      <w:bookmarkStart w:id="1408" w:name="Srv_63OfficeShareptSvr07"/>
      <w:bookmarkStart w:id="1409" w:name="Srv_62OfficeShareptSvr07"/>
      <w:bookmarkEnd w:id="1393"/>
      <w:bookmarkEnd w:id="1401"/>
      <w:bookmarkEnd w:id="1402"/>
      <w:bookmarkEnd w:id="1403"/>
      <w:r w:rsidRPr="00BD7CEA">
        <w:rPr>
          <w:rFonts w:ascii="Tahoma" w:hAnsi="Tahoma" w:cs="Tahoma"/>
          <w:caps/>
          <w:color w:val="FA6500"/>
          <w:sz w:val="22"/>
          <w:vertAlign w:val="superscript"/>
        </w:rPr>
        <w:lastRenderedPageBreak/>
        <w:t xml:space="preserve">73 </w:t>
      </w:r>
      <w:r w:rsidRPr="00BD7CEA">
        <w:rPr>
          <w:rFonts w:ascii="Tahoma" w:hAnsi="Tahoma" w:cs="Tahoma"/>
          <w:color w:val="FA6500"/>
          <w:sz w:val="22"/>
        </w:rPr>
        <w:t xml:space="preserve">SharePoint Server </w:t>
      </w:r>
      <w:bookmarkEnd w:id="1404"/>
      <w:r w:rsidRPr="00BD7CEA">
        <w:rPr>
          <w:rFonts w:ascii="Tahoma" w:hAnsi="Tahoma" w:cs="Tahoma"/>
          <w:color w:val="FA6500"/>
          <w:sz w:val="22"/>
        </w:rPr>
        <w:t>2013</w:t>
      </w:r>
      <w:bookmarkEnd w:id="1405"/>
      <w:r w:rsidRPr="00BD7CEA">
        <w:rPr>
          <w:rFonts w:ascii="Tahoma" w:hAnsi="Tahoma" w:cs="Tahoma"/>
          <w:color w:val="FA6500"/>
          <w:sz w:val="22"/>
        </w:rPr>
        <w:t xml:space="preserve"> </w:t>
      </w:r>
    </w:p>
    <w:bookmarkEnd w:id="1406"/>
    <w:bookmarkEnd w:id="1407"/>
    <w:bookmarkEnd w:id="1408"/>
    <w:bookmarkEnd w:id="1409"/>
    <w:p w:rsidR="002F7FB8" w:rsidRPr="00BD7CEA" w:rsidRDefault="002F7FB8" w:rsidP="002F7FB8">
      <w:pPr>
        <w:ind w:left="720"/>
      </w:pPr>
    </w:p>
    <w:p w:rsidR="002F7FB8" w:rsidRPr="00BD7CEA" w:rsidRDefault="002F7FB8" w:rsidP="002F7FB8">
      <w:pPr>
        <w:ind w:left="720"/>
      </w:pPr>
      <w:r w:rsidRPr="00BD7CEA">
        <w:rPr>
          <w:rFonts w:cs="Tahoma"/>
          <w:color w:val="000000"/>
          <w:szCs w:val="18"/>
        </w:rPr>
        <w:t>SharePoint Server 2013 è l</w:t>
      </w:r>
      <w:r w:rsidR="007A1415" w:rsidRPr="00BD7CEA">
        <w:rPr>
          <w:rFonts w:cs="Tahoma"/>
          <w:color w:val="000000"/>
          <w:szCs w:val="18"/>
        </w:rPr>
        <w:t>’</w:t>
      </w:r>
      <w:r w:rsidRPr="00BD7CEA">
        <w:rPr>
          <w:rFonts w:cs="Tahoma"/>
          <w:color w:val="000000"/>
          <w:szCs w:val="18"/>
        </w:rPr>
        <w:t>ultima versione di SharePoint Server.</w:t>
      </w:r>
    </w:p>
    <w:p w:rsidR="002F7FB8" w:rsidRPr="00BD7CEA" w:rsidRDefault="002F7FB8" w:rsidP="002F7FB8">
      <w:pPr>
        <w:ind w:left="720"/>
      </w:pPr>
    </w:p>
    <w:p w:rsidR="002F7FB8" w:rsidRPr="00BD7CEA" w:rsidRDefault="002F7FB8" w:rsidP="007B699C">
      <w:pPr>
        <w:spacing w:after="60"/>
        <w:ind w:left="720"/>
      </w:pPr>
      <w:r w:rsidRPr="00BD7CEA">
        <w:rPr>
          <w:rFonts w:cs="Tahoma"/>
          <w:b/>
          <w:color w:val="000000"/>
          <w:szCs w:val="18"/>
        </w:rPr>
        <w:t>Concessioni di Licenza per le Società Titolari di Licenze SharePoint Server 2010 for Internet Sites Enterprise, SharePoint Server 2010 for Internet Sites Standard, FAST Search Server 2010 for SharePoint Server, Search Server 2010</w:t>
      </w:r>
    </w:p>
    <w:p w:rsidR="002F7FB8" w:rsidRPr="00BD7CEA" w:rsidRDefault="00CD0D74" w:rsidP="002F7FB8">
      <w:pPr>
        <w:ind w:left="720"/>
      </w:pPr>
      <w:r w:rsidRPr="00BD7CEA">
        <w:rPr>
          <w:rFonts w:cs="Tahoma"/>
          <w:color w:val="000000"/>
          <w:szCs w:val="18"/>
        </w:rPr>
        <w:t>La versione 2010 delle licenze per SharePoint Server for Internet Sites Enterprise e SharePoint Server for Internet Sites Standard, FAST Search Server for SharePoint Server e Search Server è la versione finale di tali</w:t>
      </w:r>
      <w:r w:rsidR="008E124D" w:rsidRPr="00BD7CEA">
        <w:rPr>
          <w:rFonts w:cs="Tahoma"/>
          <w:color w:val="000000"/>
          <w:szCs w:val="18"/>
        </w:rPr>
        <w:t> </w:t>
      </w:r>
      <w:r w:rsidRPr="00BD7CEA">
        <w:rPr>
          <w:rFonts w:cs="Tahoma"/>
          <w:color w:val="000000"/>
          <w:szCs w:val="18"/>
        </w:rPr>
        <w:t>prodotti.</w:t>
      </w:r>
      <w:r w:rsidR="008D782D" w:rsidRPr="00BD7CEA">
        <w:rPr>
          <w:rFonts w:cs="Tahoma"/>
          <w:color w:val="000000"/>
          <w:szCs w:val="18"/>
        </w:rPr>
        <w:t xml:space="preserve"> </w:t>
      </w:r>
      <w:r w:rsidRPr="00BD7CEA">
        <w:rPr>
          <w:rFonts w:cs="Tahoma"/>
          <w:color w:val="000000"/>
          <w:szCs w:val="18"/>
        </w:rPr>
        <w:t>Alla luce di ciò, le società con licenze per SharePoint Server 2010 for Internet Sites Enterprise, SharePoint Server 2010 for Internet Sites Standard, FAST Search Server 2010 for SharePoint, Search Server 2010 con copertura Software Assurance attiva a partire dal 1 dicembre 2012 sono idonee alle concessioni di licenze che seguono.</w:t>
      </w:r>
    </w:p>
    <w:p w:rsidR="002F7FB8" w:rsidRPr="00BD7CEA" w:rsidRDefault="002F7FB8" w:rsidP="002F7FB8">
      <w:pPr>
        <w:ind w:left="90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F7FB8" w:rsidRPr="00BD7CEA" w:rsidTr="002C3AB1">
        <w:trPr>
          <w:trHeight w:val="332"/>
        </w:trPr>
        <w:tc>
          <w:tcPr>
            <w:tcW w:w="4500" w:type="dxa"/>
            <w:shd w:val="clear" w:color="auto" w:fill="FABF8F"/>
          </w:tcPr>
          <w:p w:rsidR="002F7FB8" w:rsidRPr="00BD7CEA" w:rsidRDefault="002F7FB8" w:rsidP="007E466C">
            <w:pPr>
              <w:keepNext/>
              <w:keepLines/>
              <w:spacing w:before="60" w:after="60"/>
              <w:rPr>
                <w:rFonts w:cs="Tahoma"/>
                <w:b/>
                <w:color w:val="000000"/>
                <w:szCs w:val="18"/>
              </w:rPr>
            </w:pPr>
            <w:r w:rsidRPr="00BD7CEA">
              <w:rPr>
                <w:rFonts w:cs="Tahoma"/>
                <w:b/>
                <w:color w:val="000000"/>
                <w:szCs w:val="18"/>
              </w:rPr>
              <w:t>Licenza Qualificante</w:t>
            </w:r>
          </w:p>
        </w:tc>
        <w:tc>
          <w:tcPr>
            <w:tcW w:w="3600" w:type="dxa"/>
            <w:shd w:val="clear" w:color="auto" w:fill="FABF8F"/>
          </w:tcPr>
          <w:p w:rsidR="002F7FB8" w:rsidRPr="00BD7CEA" w:rsidRDefault="002F7FB8" w:rsidP="007E466C">
            <w:pPr>
              <w:keepNext/>
              <w:keepLines/>
              <w:spacing w:before="60" w:after="60"/>
              <w:rPr>
                <w:rFonts w:cs="Tahoma"/>
                <w:b/>
                <w:color w:val="000000"/>
                <w:szCs w:val="18"/>
              </w:rPr>
            </w:pPr>
            <w:r w:rsidRPr="00BD7CEA">
              <w:rPr>
                <w:rFonts w:cs="Tahoma"/>
                <w:b/>
                <w:color w:val="000000"/>
                <w:szCs w:val="18"/>
              </w:rPr>
              <w:t>Licenza Gratuita e Vantaggi</w:t>
            </w:r>
          </w:p>
        </w:tc>
      </w:tr>
      <w:tr w:rsidR="00CD0D74" w:rsidRPr="00BD7CEA" w:rsidTr="002C3AB1">
        <w:trPr>
          <w:trHeight w:val="70"/>
        </w:trPr>
        <w:tc>
          <w:tcPr>
            <w:tcW w:w="4500" w:type="dxa"/>
            <w:shd w:val="clear" w:color="auto" w:fill="auto"/>
          </w:tcPr>
          <w:p w:rsidR="00CD0D74" w:rsidRPr="00BD7CEA" w:rsidRDefault="00CD0D74" w:rsidP="00C066F9">
            <w:pPr>
              <w:keepNext/>
              <w:keepLines/>
              <w:rPr>
                <w:rFonts w:cs="Tahoma"/>
                <w:color w:val="000000"/>
                <w:szCs w:val="18"/>
              </w:rPr>
            </w:pPr>
            <w:r w:rsidRPr="00BD7CEA">
              <w:rPr>
                <w:rFonts w:cs="Tahoma"/>
                <w:color w:val="000000"/>
                <w:szCs w:val="18"/>
              </w:rPr>
              <w:t>Licenza per SharePoint Server 2010 for Internet Sites Enterprise con Software Assurance attiva a partire dal 1 dicembre 2012</w:t>
            </w:r>
          </w:p>
        </w:tc>
        <w:tc>
          <w:tcPr>
            <w:tcW w:w="3600" w:type="dxa"/>
            <w:shd w:val="clear" w:color="auto" w:fill="auto"/>
          </w:tcPr>
          <w:p w:rsidR="00CD0D74" w:rsidRPr="00BD7CEA" w:rsidRDefault="00CD0D74" w:rsidP="00C066F9">
            <w:pPr>
              <w:keepNext/>
              <w:keepLines/>
              <w:rPr>
                <w:rFonts w:cs="Tahoma"/>
                <w:color w:val="000000"/>
                <w:szCs w:val="18"/>
              </w:rPr>
            </w:pPr>
            <w:r w:rsidRPr="00BD7CEA">
              <w:rPr>
                <w:rFonts w:cs="Tahoma"/>
                <w:color w:val="000000"/>
                <w:szCs w:val="18"/>
              </w:rPr>
              <w:t>Una licenza per SharePoint Server 2013</w:t>
            </w:r>
          </w:p>
        </w:tc>
      </w:tr>
      <w:tr w:rsidR="00CD0D74" w:rsidRPr="00BD7CEA" w:rsidTr="002C3AB1">
        <w:trPr>
          <w:trHeight w:val="152"/>
        </w:trPr>
        <w:tc>
          <w:tcPr>
            <w:tcW w:w="4500" w:type="dxa"/>
            <w:shd w:val="clear" w:color="auto" w:fill="auto"/>
          </w:tcPr>
          <w:p w:rsidR="00CD0D74" w:rsidRPr="00BD7CEA" w:rsidRDefault="00CD0D74" w:rsidP="00C066F9">
            <w:pPr>
              <w:keepNext/>
              <w:keepLines/>
              <w:rPr>
                <w:rFonts w:cs="Tahoma"/>
                <w:color w:val="000000"/>
                <w:szCs w:val="18"/>
              </w:rPr>
            </w:pPr>
            <w:r w:rsidRPr="00BD7CEA">
              <w:rPr>
                <w:rFonts w:cs="Tahoma"/>
                <w:color w:val="000000"/>
                <w:szCs w:val="18"/>
              </w:rPr>
              <w:t xml:space="preserve">Licenza per SharePoint Server 2010 for Internet Sites Standard con Software Assurance attiva a partire dal 1 dicembre 2012 </w:t>
            </w:r>
          </w:p>
        </w:tc>
        <w:tc>
          <w:tcPr>
            <w:tcW w:w="3600" w:type="dxa"/>
            <w:shd w:val="clear" w:color="auto" w:fill="auto"/>
          </w:tcPr>
          <w:p w:rsidR="00CD0D74" w:rsidRPr="00BD7CEA" w:rsidRDefault="00CD0D74" w:rsidP="00C066F9">
            <w:pPr>
              <w:keepNext/>
              <w:keepLines/>
              <w:rPr>
                <w:rFonts w:cs="Tahoma"/>
                <w:color w:val="000000"/>
                <w:szCs w:val="18"/>
              </w:rPr>
            </w:pPr>
            <w:r w:rsidRPr="00BD7CEA">
              <w:rPr>
                <w:rFonts w:cs="Tahoma"/>
                <w:color w:val="000000"/>
                <w:szCs w:val="18"/>
              </w:rPr>
              <w:t>Una licenza per SharePoint Server 2013</w:t>
            </w:r>
          </w:p>
        </w:tc>
      </w:tr>
      <w:tr w:rsidR="00CD0D74" w:rsidRPr="00BD7CEA" w:rsidTr="002C3AB1">
        <w:trPr>
          <w:trHeight w:val="152"/>
        </w:trPr>
        <w:tc>
          <w:tcPr>
            <w:tcW w:w="4500" w:type="dxa"/>
            <w:shd w:val="clear" w:color="auto" w:fill="auto"/>
          </w:tcPr>
          <w:p w:rsidR="00CD0D74" w:rsidRPr="00BD7CEA" w:rsidRDefault="00CD0D74" w:rsidP="008E124D">
            <w:pPr>
              <w:keepNext/>
              <w:keepLines/>
              <w:rPr>
                <w:rFonts w:cs="Tahoma"/>
                <w:color w:val="000000"/>
                <w:szCs w:val="18"/>
              </w:rPr>
            </w:pPr>
            <w:r w:rsidRPr="00BD7CEA">
              <w:rPr>
                <w:rFonts w:cs="Tahoma"/>
                <w:color w:val="000000"/>
                <w:szCs w:val="18"/>
              </w:rPr>
              <w:t>Licenza per FAST Search Server 2010 for SharePoint Server con Software Assurance attiva a partire dal 1</w:t>
            </w:r>
            <w:r w:rsidR="008E124D" w:rsidRPr="00BD7CEA">
              <w:rPr>
                <w:rFonts w:cs="Tahoma"/>
                <w:color w:val="000000"/>
                <w:szCs w:val="18"/>
              </w:rPr>
              <w:t> </w:t>
            </w:r>
            <w:r w:rsidRPr="00BD7CEA">
              <w:rPr>
                <w:rFonts w:cs="Tahoma"/>
                <w:color w:val="000000"/>
                <w:szCs w:val="18"/>
              </w:rPr>
              <w:t>dicembre 2012</w:t>
            </w:r>
          </w:p>
        </w:tc>
        <w:tc>
          <w:tcPr>
            <w:tcW w:w="3600" w:type="dxa"/>
            <w:shd w:val="clear" w:color="auto" w:fill="auto"/>
          </w:tcPr>
          <w:p w:rsidR="00CD0D74" w:rsidRPr="00BD7CEA" w:rsidRDefault="00CD0D74" w:rsidP="00C066F9">
            <w:pPr>
              <w:keepNext/>
              <w:keepLines/>
              <w:rPr>
                <w:rFonts w:cs="Tahoma"/>
                <w:color w:val="000000"/>
                <w:szCs w:val="18"/>
              </w:rPr>
            </w:pPr>
            <w:r w:rsidRPr="00BD7CEA">
              <w:rPr>
                <w:rFonts w:cs="Tahoma"/>
                <w:color w:val="000000"/>
                <w:szCs w:val="18"/>
              </w:rPr>
              <w:t>Una licenza per SharePoint Server 2013</w:t>
            </w:r>
          </w:p>
        </w:tc>
      </w:tr>
      <w:tr w:rsidR="00CD0D74" w:rsidRPr="00BD7CEA" w:rsidTr="002C3AB1">
        <w:trPr>
          <w:trHeight w:val="233"/>
        </w:trPr>
        <w:tc>
          <w:tcPr>
            <w:tcW w:w="4500" w:type="dxa"/>
            <w:shd w:val="clear" w:color="auto" w:fill="auto"/>
          </w:tcPr>
          <w:p w:rsidR="00CD0D74" w:rsidRPr="00BD7CEA" w:rsidRDefault="00CD0D74" w:rsidP="00C066F9">
            <w:pPr>
              <w:keepNext/>
              <w:keepLines/>
              <w:rPr>
                <w:rFonts w:cs="Tahoma"/>
                <w:color w:val="000000"/>
                <w:szCs w:val="18"/>
              </w:rPr>
            </w:pPr>
            <w:r w:rsidRPr="00BD7CEA">
              <w:rPr>
                <w:rFonts w:cs="Tahoma"/>
                <w:color w:val="000000"/>
                <w:szCs w:val="18"/>
              </w:rPr>
              <w:t>Licenza per Search Server 2010 con Software Assurance attiva a partire dal 1 dicembre 2012</w:t>
            </w:r>
          </w:p>
        </w:tc>
        <w:tc>
          <w:tcPr>
            <w:tcW w:w="3600" w:type="dxa"/>
            <w:shd w:val="clear" w:color="auto" w:fill="auto"/>
          </w:tcPr>
          <w:p w:rsidR="00CD0D74" w:rsidRPr="00BD7CEA" w:rsidRDefault="00CD0D74" w:rsidP="00C066F9">
            <w:pPr>
              <w:keepNext/>
              <w:keepLines/>
            </w:pPr>
            <w:r w:rsidRPr="00BD7CEA">
              <w:rPr>
                <w:rFonts w:cs="Tahoma"/>
                <w:color w:val="000000"/>
                <w:szCs w:val="18"/>
              </w:rPr>
              <w:t xml:space="preserve">Una licenza per SharePoint Server 2013 </w:t>
            </w:r>
            <w:r w:rsidRPr="00BD7CEA">
              <w:rPr>
                <w:rFonts w:cs="Tahoma"/>
                <w:b/>
                <w:color w:val="000000"/>
                <w:szCs w:val="18"/>
              </w:rPr>
              <w:t>e</w:t>
            </w:r>
          </w:p>
          <w:p w:rsidR="00CD0D74" w:rsidRPr="00BD7CEA" w:rsidRDefault="00CD0D74" w:rsidP="00C066F9">
            <w:pPr>
              <w:keepNext/>
              <w:keepLines/>
            </w:pPr>
          </w:p>
          <w:p w:rsidR="00CD0D74" w:rsidRPr="00BD7CEA" w:rsidRDefault="00CD0D74" w:rsidP="008E124D">
            <w:pPr>
              <w:keepNext/>
              <w:keepLines/>
              <w:rPr>
                <w:rFonts w:cs="Tahoma"/>
                <w:color w:val="000000"/>
                <w:szCs w:val="18"/>
              </w:rPr>
            </w:pPr>
            <w:r w:rsidRPr="00BD7CEA">
              <w:rPr>
                <w:rFonts w:cs="Tahoma"/>
                <w:color w:val="000000"/>
                <w:szCs w:val="18"/>
              </w:rPr>
              <w:t>100 Standard CAL per SharePoint Server</w:t>
            </w:r>
            <w:r w:rsidR="008E124D" w:rsidRPr="00BD7CEA">
              <w:rPr>
                <w:rFonts w:cs="Tahoma"/>
                <w:color w:val="000000"/>
                <w:szCs w:val="18"/>
              </w:rPr>
              <w:t> </w:t>
            </w:r>
            <w:r w:rsidRPr="00BD7CEA">
              <w:rPr>
                <w:rFonts w:cs="Tahoma"/>
                <w:color w:val="000000"/>
                <w:szCs w:val="18"/>
              </w:rPr>
              <w:t>2013</w:t>
            </w:r>
          </w:p>
        </w:tc>
      </w:tr>
    </w:tbl>
    <w:p w:rsidR="00586FCE" w:rsidRPr="00BD7CEA" w:rsidRDefault="00586FCE" w:rsidP="00586FCE"/>
    <w:p w:rsidR="002F7FB8" w:rsidRPr="00BD7CEA" w:rsidRDefault="002F7FB8" w:rsidP="002F7FB8">
      <w:pPr>
        <w:ind w:left="720"/>
      </w:pPr>
      <w:r w:rsidRPr="00BD7CEA">
        <w:rPr>
          <w:rFonts w:cs="Tahoma"/>
          <w:color w:val="000000"/>
          <w:szCs w:val="18"/>
        </w:rPr>
        <w:t>Le condizioni che seguono si applicano alle concessioni di licenze riportate sopra.</w:t>
      </w:r>
    </w:p>
    <w:p w:rsidR="002F7FB8" w:rsidRPr="00BD7CEA" w:rsidRDefault="002F7FB8" w:rsidP="002F7FB8">
      <w:pPr>
        <w:ind w:left="720"/>
      </w:pPr>
    </w:p>
    <w:p w:rsidR="002F7FB8" w:rsidRPr="00BD7CEA" w:rsidRDefault="002F7FB8" w:rsidP="007358C5">
      <w:pPr>
        <w:numPr>
          <w:ilvl w:val="0"/>
          <w:numId w:val="100"/>
        </w:numPr>
        <w:spacing w:after="60"/>
        <w:ind w:left="1440"/>
      </w:pPr>
      <w:r w:rsidRPr="00BD7CEA">
        <w:rPr>
          <w:rFonts w:cs="Tahoma"/>
          <w:bCs/>
          <w:color w:val="000000"/>
          <w:szCs w:val="18"/>
          <w:u w:val="single"/>
        </w:rPr>
        <w:t>Percorso di Migrazione</w:t>
      </w:r>
      <w:r w:rsidRPr="005D417D">
        <w:rPr>
          <w:rFonts w:cs="Tahoma"/>
          <w:color w:val="000000"/>
          <w:szCs w:val="18"/>
        </w:rPr>
        <w:t xml:space="preserve">: </w:t>
      </w:r>
      <w:r w:rsidRPr="00BD7CEA">
        <w:rPr>
          <w:rFonts w:cs="Tahoma"/>
          <w:color w:val="000000"/>
          <w:szCs w:val="18"/>
        </w:rPr>
        <w:t>le società con copertura Software Assurance attiva per una determinata licenza Qualificante al 1 dicembre 2012 e al rilascio della versione commerciale di SharePoint Server 2013 sono idonee a effettuare l</w:t>
      </w:r>
      <w:r w:rsidR="007A1415" w:rsidRPr="00BD7CEA">
        <w:rPr>
          <w:rFonts w:cs="Tahoma"/>
          <w:color w:val="000000"/>
          <w:szCs w:val="18"/>
        </w:rPr>
        <w:t>’</w:t>
      </w:r>
      <w:r w:rsidRPr="00BD7CEA">
        <w:rPr>
          <w:rFonts w:cs="Tahoma"/>
          <w:color w:val="000000"/>
          <w:szCs w:val="18"/>
        </w:rPr>
        <w:t>aggiornamento al software SharePoint 2013 e a utilizzarlo ai</w:t>
      </w:r>
      <w:r w:rsidR="008E124D" w:rsidRPr="00BD7CEA">
        <w:rPr>
          <w:rFonts w:cs="Tahoma"/>
          <w:color w:val="000000"/>
          <w:szCs w:val="18"/>
        </w:rPr>
        <w:t> </w:t>
      </w:r>
      <w:r w:rsidRPr="00BD7CEA">
        <w:rPr>
          <w:rFonts w:cs="Tahoma"/>
          <w:color w:val="000000"/>
          <w:szCs w:val="18"/>
        </w:rPr>
        <w:t>sensi della Licenza Gratuita al posto della corrispondente copia con licenza della versione 2010 del software.</w:t>
      </w:r>
      <w:r w:rsidR="008D782D" w:rsidRPr="00BD7CEA">
        <w:rPr>
          <w:rFonts w:cs="Tahoma"/>
          <w:color w:val="000000"/>
          <w:szCs w:val="18"/>
        </w:rPr>
        <w:t xml:space="preserve"> </w:t>
      </w:r>
    </w:p>
    <w:p w:rsidR="002F7FB8" w:rsidRPr="00BD7CEA" w:rsidRDefault="002F7FB8" w:rsidP="007358C5">
      <w:pPr>
        <w:numPr>
          <w:ilvl w:val="0"/>
          <w:numId w:val="100"/>
        </w:numPr>
        <w:spacing w:after="60"/>
        <w:ind w:left="1440"/>
      </w:pPr>
      <w:r w:rsidRPr="00BD7CEA">
        <w:rPr>
          <w:rFonts w:cs="Tahoma"/>
          <w:color w:val="000000"/>
          <w:szCs w:val="18"/>
          <w:u w:val="single"/>
        </w:rPr>
        <w:t>Diritti sull</w:t>
      </w:r>
      <w:r w:rsidR="007A1415" w:rsidRPr="00BD7CEA">
        <w:rPr>
          <w:rFonts w:cs="Tahoma"/>
          <w:color w:val="000000"/>
          <w:szCs w:val="18"/>
          <w:u w:val="single"/>
        </w:rPr>
        <w:t>’</w:t>
      </w:r>
      <w:r w:rsidRPr="00BD7CEA">
        <w:rPr>
          <w:rFonts w:cs="Tahoma"/>
          <w:color w:val="000000"/>
          <w:szCs w:val="18"/>
          <w:u w:val="single"/>
        </w:rPr>
        <w:t>utilizzo</w:t>
      </w:r>
      <w:r w:rsidRPr="00BD7CEA">
        <w:rPr>
          <w:rFonts w:cs="Tahoma"/>
          <w:color w:val="000000"/>
          <w:szCs w:val="18"/>
        </w:rPr>
        <w:t>: il diritto di utilizzo del software ai sensi della Licenza Gratuita della presente offerta scadrà alla scadenza del diritto di utilizzo del software ai sensi della Licenza Qualificante.</w:t>
      </w:r>
      <w:r w:rsidR="008D782D" w:rsidRPr="00BD7CEA">
        <w:rPr>
          <w:rFonts w:cs="Tahoma"/>
          <w:color w:val="000000"/>
          <w:szCs w:val="18"/>
        </w:rPr>
        <w:t xml:space="preserve"> </w:t>
      </w:r>
      <w:r w:rsidRPr="00BD7CEA">
        <w:rPr>
          <w:rFonts w:cs="Tahoma"/>
          <w:color w:val="000000"/>
          <w:szCs w:val="18"/>
        </w:rPr>
        <w:t>L</w:t>
      </w:r>
      <w:r w:rsidR="007A1415" w:rsidRPr="00BD7CEA">
        <w:rPr>
          <w:rFonts w:cs="Tahoma"/>
          <w:color w:val="000000"/>
          <w:szCs w:val="18"/>
        </w:rPr>
        <w:t>’</w:t>
      </w:r>
      <w:r w:rsidRPr="00BD7CEA">
        <w:rPr>
          <w:rFonts w:cs="Tahoma"/>
          <w:color w:val="000000"/>
          <w:szCs w:val="18"/>
        </w:rPr>
        <w:t>utilizzo di tale software è regolato dai diritti sull</w:t>
      </w:r>
      <w:r w:rsidR="007A1415" w:rsidRPr="00BD7CEA">
        <w:rPr>
          <w:rFonts w:cs="Tahoma"/>
          <w:color w:val="000000"/>
          <w:szCs w:val="18"/>
        </w:rPr>
        <w:t>’</w:t>
      </w:r>
      <w:r w:rsidRPr="00BD7CEA">
        <w:rPr>
          <w:rFonts w:cs="Tahoma"/>
          <w:color w:val="000000"/>
          <w:szCs w:val="18"/>
        </w:rPr>
        <w:t>utilizzo del software e dalle condizioni del contratto Volume License della società.</w:t>
      </w:r>
      <w:r w:rsidR="008D782D" w:rsidRPr="00BD7CEA">
        <w:rPr>
          <w:rFonts w:cs="Tahoma"/>
          <w:color w:val="000000"/>
          <w:szCs w:val="18"/>
        </w:rPr>
        <w:t xml:space="preserve"> </w:t>
      </w:r>
      <w:r w:rsidRPr="00BD7CEA">
        <w:rPr>
          <w:rFonts w:cs="Tahoma"/>
          <w:color w:val="000000"/>
          <w:szCs w:val="18"/>
        </w:rPr>
        <w:t xml:space="preserve">Questa nota relativa alle condizioni del prodotto e la prova da parte della società della corrispondente Licenza e Software Assurance (L&amp;SA) Qualificante costituiscono insieme la prova del diritto di utilizzo del software ai sensi della Licenza Gratuita della presente offerta. </w:t>
      </w:r>
    </w:p>
    <w:p w:rsidR="002F7FB8" w:rsidRPr="00BD7CEA" w:rsidRDefault="002F7FB8" w:rsidP="007B699C">
      <w:pPr>
        <w:numPr>
          <w:ilvl w:val="0"/>
          <w:numId w:val="8"/>
        </w:numPr>
        <w:spacing w:after="60"/>
        <w:ind w:left="1440"/>
      </w:pPr>
      <w:r w:rsidRPr="00BD7CEA">
        <w:rPr>
          <w:rFonts w:cs="Tahoma"/>
          <w:color w:val="000000"/>
          <w:szCs w:val="18"/>
          <w:u w:val="single"/>
        </w:rPr>
        <w:t>Licenza e Software Assurance (L&amp;SA)</w:t>
      </w:r>
      <w:r w:rsidRPr="00BD7CEA">
        <w:rPr>
          <w:rFonts w:cs="Tahoma"/>
          <w:color w:val="000000"/>
          <w:szCs w:val="18"/>
        </w:rPr>
        <w:t>: la Licenza Gratuita include la copertura Software Assurance.</w:t>
      </w:r>
      <w:r w:rsidR="008D782D" w:rsidRPr="00BD7CEA">
        <w:rPr>
          <w:rFonts w:cs="Tahoma"/>
          <w:color w:val="000000"/>
          <w:szCs w:val="18"/>
        </w:rPr>
        <w:t xml:space="preserve"> </w:t>
      </w:r>
      <w:r w:rsidRPr="00BD7CEA">
        <w:rPr>
          <w:rFonts w:cs="Tahoma"/>
          <w:color w:val="000000"/>
          <w:szCs w:val="18"/>
        </w:rPr>
        <w:t>La copertura Software Assurance per la Licenza Gratuita scadrà alla scadenza della copertura per la Licenza Qualificante.</w:t>
      </w:r>
      <w:r w:rsidR="008D782D" w:rsidRPr="00BD7CEA">
        <w:rPr>
          <w:rFonts w:cs="Tahoma"/>
          <w:color w:val="000000"/>
          <w:szCs w:val="18"/>
        </w:rPr>
        <w:t xml:space="preserve"> </w:t>
      </w:r>
      <w:r w:rsidRPr="00BD7CEA">
        <w:rPr>
          <w:rFonts w:cs="Tahoma"/>
          <w:color w:val="000000"/>
          <w:szCs w:val="18"/>
        </w:rPr>
        <w:t>Alla scadenza della copertura Software Assurance per la Licenza Qualificante, la società potrà rinnovare Software Assurance per la Licenza Gratuita senza dover acquistare una nuova licenza specifica.</w:t>
      </w:r>
    </w:p>
    <w:p w:rsidR="002F7FB8" w:rsidRPr="00BD7CEA" w:rsidRDefault="002F7FB8" w:rsidP="007358C5">
      <w:pPr>
        <w:numPr>
          <w:ilvl w:val="0"/>
          <w:numId w:val="101"/>
        </w:numPr>
        <w:spacing w:after="60"/>
        <w:ind w:left="1440"/>
      </w:pPr>
      <w:r w:rsidRPr="00BD7CEA">
        <w:rPr>
          <w:rFonts w:eastAsia="Calibri" w:cs="Tahoma"/>
          <w:color w:val="000000"/>
          <w:szCs w:val="18"/>
          <w:u w:val="single"/>
        </w:rPr>
        <w:t>True-up</w:t>
      </w:r>
      <w:r w:rsidRPr="00BD7CEA">
        <w:rPr>
          <w:rFonts w:eastAsia="Calibri" w:cs="Tahoma"/>
          <w:color w:val="000000"/>
          <w:szCs w:val="18"/>
        </w:rPr>
        <w:t>.</w:t>
      </w:r>
      <w:r w:rsidR="008D782D" w:rsidRPr="00BD7CEA">
        <w:rPr>
          <w:rFonts w:eastAsia="Calibri" w:cs="Tahoma"/>
          <w:color w:val="000000"/>
          <w:szCs w:val="18"/>
        </w:rPr>
        <w:t xml:space="preserve"> </w:t>
      </w:r>
      <w:r w:rsidRPr="00BD7CEA">
        <w:rPr>
          <w:rFonts w:eastAsia="Calibri" w:cs="Tahoma"/>
          <w:color w:val="000000"/>
          <w:szCs w:val="18"/>
        </w:rPr>
        <w:t>Per le società titolari di un Contratto Enterprise idonee a ricevere tali Licenze Gratuite e</w:t>
      </w:r>
      <w:r w:rsidR="008E124D" w:rsidRPr="00BD7CEA">
        <w:rPr>
          <w:rFonts w:eastAsia="Calibri" w:cs="Tahoma"/>
          <w:color w:val="000000"/>
          <w:szCs w:val="18"/>
        </w:rPr>
        <w:t> I </w:t>
      </w:r>
      <w:r w:rsidRPr="00BD7CEA">
        <w:rPr>
          <w:rFonts w:eastAsia="Calibri" w:cs="Tahoma"/>
          <w:color w:val="000000"/>
          <w:szCs w:val="18"/>
        </w:rPr>
        <w:t xml:space="preserve">diritti descritti in precedenza, le licenze SharePoint Server 2010 for Internet Sites Enterprise, SharePoint Server 2010 for Internet Sites Standard </w:t>
      </w:r>
      <w:r w:rsidRPr="00BD7CEA">
        <w:rPr>
          <w:rFonts w:cs="Tahoma"/>
          <w:color w:val="000000"/>
          <w:szCs w:val="20"/>
        </w:rPr>
        <w:t xml:space="preserve">e FAST Search Server 2010 for SharePoint Server </w:t>
      </w:r>
      <w:r w:rsidRPr="00BD7CEA">
        <w:rPr>
          <w:rFonts w:eastAsia="Calibri" w:cs="Tahoma"/>
          <w:color w:val="000000"/>
          <w:szCs w:val="18"/>
        </w:rPr>
        <w:t>acquistate nell</w:t>
      </w:r>
      <w:r w:rsidR="007A1415" w:rsidRPr="00BD7CEA">
        <w:rPr>
          <w:rFonts w:eastAsia="Calibri" w:cs="Tahoma"/>
          <w:color w:val="000000"/>
          <w:szCs w:val="18"/>
        </w:rPr>
        <w:t>’</w:t>
      </w:r>
      <w:r w:rsidRPr="00BD7CEA">
        <w:rPr>
          <w:rFonts w:eastAsia="Calibri" w:cs="Tahoma"/>
          <w:color w:val="000000"/>
          <w:szCs w:val="18"/>
        </w:rPr>
        <w:t xml:space="preserve">ambito di una procedura </w:t>
      </w:r>
      <w:r w:rsidRPr="00BD7CEA">
        <w:rPr>
          <w:rFonts w:cs="Tahoma"/>
          <w:color w:val="000000"/>
          <w:szCs w:val="18"/>
        </w:rPr>
        <w:t>annuale di true-up sono, anch</w:t>
      </w:r>
      <w:r w:rsidR="007A1415" w:rsidRPr="00BD7CEA">
        <w:rPr>
          <w:rFonts w:cs="Tahoma"/>
          <w:color w:val="000000"/>
          <w:szCs w:val="18"/>
        </w:rPr>
        <w:t>’</w:t>
      </w:r>
      <w:r w:rsidRPr="00BD7CEA">
        <w:rPr>
          <w:rFonts w:cs="Tahoma"/>
          <w:color w:val="000000"/>
          <w:szCs w:val="18"/>
        </w:rPr>
        <w:t xml:space="preserve">esse, licenze qualificanti. </w:t>
      </w:r>
    </w:p>
    <w:p w:rsidR="008E124D" w:rsidRPr="00BD7CEA" w:rsidRDefault="008E124D" w:rsidP="008E124D">
      <w:pPr>
        <w:spacing w:after="60"/>
        <w:ind w:left="1440"/>
        <w:rPr>
          <w:rFonts w:eastAsia="Calibri" w:cs="Tahoma"/>
          <w:color w:val="000000"/>
          <w:szCs w:val="18"/>
          <w:u w:val="single"/>
        </w:rPr>
      </w:pPr>
    </w:p>
    <w:p w:rsidR="008E124D" w:rsidRPr="00BD7CEA" w:rsidRDefault="008E124D" w:rsidP="008E124D">
      <w:pPr>
        <w:spacing w:after="60"/>
        <w:ind w:left="1440"/>
      </w:pPr>
    </w:p>
    <w:p w:rsidR="002F7FB8" w:rsidRPr="00BD7CEA" w:rsidRDefault="002F7FB8" w:rsidP="007358C5">
      <w:pPr>
        <w:numPr>
          <w:ilvl w:val="0"/>
          <w:numId w:val="101"/>
        </w:numPr>
        <w:spacing w:after="60"/>
        <w:ind w:left="1440"/>
      </w:pPr>
      <w:r w:rsidRPr="00BD7CEA">
        <w:rPr>
          <w:rFonts w:cs="Tahoma"/>
          <w:color w:val="000000"/>
          <w:szCs w:val="18"/>
          <w:u w:val="single"/>
        </w:rPr>
        <w:lastRenderedPageBreak/>
        <w:t>Contratti “Subscription”</w:t>
      </w:r>
      <w:r w:rsidRPr="00A75921">
        <w:rPr>
          <w:rFonts w:cs="Tahoma"/>
          <w:color w:val="000000"/>
          <w:szCs w:val="18"/>
        </w:rPr>
        <w:t>.</w:t>
      </w:r>
      <w:r w:rsidR="008D782D" w:rsidRPr="00BD7CEA">
        <w:rPr>
          <w:rFonts w:cs="Tahoma"/>
          <w:color w:val="000000"/>
          <w:szCs w:val="18"/>
        </w:rPr>
        <w:t xml:space="preserve"> </w:t>
      </w:r>
      <w:r w:rsidRPr="00BD7CEA">
        <w:rPr>
          <w:rFonts w:cs="Tahoma"/>
          <w:color w:val="000000"/>
          <w:szCs w:val="18"/>
        </w:rPr>
        <w:t xml:space="preserve">per quanto riguarda i Contratti Enterprise Subscription, </w:t>
      </w:r>
      <w:r w:rsidRPr="00BD7CEA">
        <w:rPr>
          <w:rFonts w:cs="Tahoma"/>
          <w:szCs w:val="18"/>
        </w:rPr>
        <w:t>Open Value Subscription, Campus e School, Enrollment for Education Solutions e Open Value Subscription-Education Solutions, gli stessi diritti verranno concessi temporaneamente, in base alle medesime condizioni,</w:t>
      </w:r>
      <w:r w:rsidRPr="00BD7CEA">
        <w:rPr>
          <w:rFonts w:cs="Tahoma"/>
          <w:color w:val="000000"/>
          <w:szCs w:val="18"/>
        </w:rPr>
        <w:t xml:space="preserve"> fino al termine del periodo di validità corrente dell</w:t>
      </w:r>
      <w:r w:rsidR="007A1415" w:rsidRPr="00BD7CEA">
        <w:rPr>
          <w:rFonts w:cs="Tahoma"/>
          <w:color w:val="000000"/>
          <w:szCs w:val="18"/>
        </w:rPr>
        <w:t>’</w:t>
      </w:r>
      <w:r w:rsidRPr="00BD7CEA">
        <w:rPr>
          <w:rFonts w:cs="Tahoma"/>
          <w:color w:val="000000"/>
          <w:szCs w:val="18"/>
        </w:rPr>
        <w:t>iscrizione (o del periodo di validità del contratto nel caso di Open Value).</w:t>
      </w:r>
      <w:r w:rsidR="008D782D" w:rsidRPr="00BD7CEA">
        <w:rPr>
          <w:rFonts w:cs="Tahoma"/>
          <w:color w:val="000000"/>
          <w:szCs w:val="18"/>
        </w:rPr>
        <w:t xml:space="preserve"> </w:t>
      </w:r>
      <w:r w:rsidRPr="00BD7CEA">
        <w:rPr>
          <w:rFonts w:cs="Tahoma"/>
          <w:color w:val="000000"/>
          <w:szCs w:val="18"/>
        </w:rPr>
        <w:t>La società dovrà mantenere la copertura dell</w:t>
      </w:r>
      <w:r w:rsidR="007A1415" w:rsidRPr="00BD7CEA">
        <w:rPr>
          <w:rFonts w:cs="Tahoma"/>
          <w:color w:val="000000"/>
          <w:szCs w:val="18"/>
        </w:rPr>
        <w:t>’</w:t>
      </w:r>
      <w:r w:rsidRPr="00BD7CEA">
        <w:rPr>
          <w:rFonts w:cs="Tahoma"/>
          <w:color w:val="000000"/>
          <w:szCs w:val="18"/>
        </w:rPr>
        <w:t>abbonamento in via continuativa.</w:t>
      </w:r>
      <w:r w:rsidR="008D782D" w:rsidRPr="00BD7CEA">
        <w:rPr>
          <w:rFonts w:cs="Tahoma"/>
          <w:color w:val="000000"/>
          <w:szCs w:val="18"/>
        </w:rPr>
        <w:t xml:space="preserve"> </w:t>
      </w:r>
      <w:r w:rsidRPr="00BD7CEA">
        <w:rPr>
          <w:rFonts w:cs="Tahoma"/>
          <w:color w:val="000000"/>
          <w:szCs w:val="18"/>
        </w:rPr>
        <w:t>Tali diritti diventeranno permanenti soltanto all</w:t>
      </w:r>
      <w:r w:rsidR="007A1415" w:rsidRPr="00BD7CEA">
        <w:rPr>
          <w:rFonts w:cs="Tahoma"/>
          <w:color w:val="000000"/>
          <w:szCs w:val="18"/>
        </w:rPr>
        <w:t>’</w:t>
      </w:r>
      <w:r w:rsidRPr="00BD7CEA">
        <w:rPr>
          <w:rFonts w:cs="Tahoma"/>
          <w:color w:val="000000"/>
          <w:szCs w:val="18"/>
        </w:rPr>
        <w:t>esercizio dell</w:t>
      </w:r>
      <w:r w:rsidR="007A1415" w:rsidRPr="00BD7CEA">
        <w:rPr>
          <w:rFonts w:cs="Tahoma"/>
          <w:color w:val="000000"/>
          <w:szCs w:val="18"/>
        </w:rPr>
        <w:t>’</w:t>
      </w:r>
      <w:r w:rsidRPr="00BD7CEA">
        <w:rPr>
          <w:rFonts w:cs="Tahoma"/>
          <w:color w:val="000000"/>
          <w:szCs w:val="18"/>
        </w:rPr>
        <w:t>opzione buy-out e resteranno soggetti a tutte le condizioni del contratto di licenza della società.</w:t>
      </w:r>
    </w:p>
    <w:p w:rsidR="002F7FB8" w:rsidRPr="00BD7CEA" w:rsidRDefault="002F7FB8" w:rsidP="007358C5">
      <w:pPr>
        <w:numPr>
          <w:ilvl w:val="0"/>
          <w:numId w:val="102"/>
        </w:numPr>
        <w:spacing w:after="60"/>
        <w:ind w:left="1440"/>
      </w:pPr>
      <w:r w:rsidRPr="00BD7CEA">
        <w:rPr>
          <w:rFonts w:cs="Tahoma"/>
          <w:szCs w:val="18"/>
          <w:u w:val="single"/>
        </w:rPr>
        <w:t>Transizioni ai Contratti Campus e School</w:t>
      </w:r>
      <w:r w:rsidRPr="00A75921">
        <w:rPr>
          <w:rFonts w:cs="Tahoma"/>
          <w:szCs w:val="18"/>
        </w:rPr>
        <w:t xml:space="preserve">. </w:t>
      </w:r>
      <w:r w:rsidRPr="00BD7CEA">
        <w:rPr>
          <w:rFonts w:cs="Tahoma"/>
          <w:szCs w:val="18"/>
        </w:rPr>
        <w:t>Per quanto riguarda le società che a metà del periodo di</w:t>
      </w:r>
      <w:r w:rsidR="008E124D" w:rsidRPr="00BD7CEA">
        <w:rPr>
          <w:rFonts w:cs="Tahoma"/>
          <w:szCs w:val="18"/>
        </w:rPr>
        <w:t> </w:t>
      </w:r>
      <w:r w:rsidRPr="00BD7CEA">
        <w:rPr>
          <w:rFonts w:cs="Tahoma"/>
          <w:szCs w:val="18"/>
        </w:rPr>
        <w:t>validità effettuano la transizione dai contratti Campus e School al contratto Enrollment for Education Solutions o Open Value Subscription-Education Solutions mantenendo la copertura della</w:t>
      </w:r>
      <w:r w:rsidR="008E124D" w:rsidRPr="00BD7CEA">
        <w:rPr>
          <w:rFonts w:cs="Tahoma"/>
          <w:szCs w:val="18"/>
        </w:rPr>
        <w:t> </w:t>
      </w:r>
      <w:r w:rsidRPr="00BD7CEA">
        <w:rPr>
          <w:rFonts w:cs="Tahoma"/>
          <w:szCs w:val="18"/>
        </w:rPr>
        <w:t>sottoscrizione in via continuativa:</w:t>
      </w:r>
    </w:p>
    <w:p w:rsidR="002F7FB8" w:rsidRPr="00BD7CEA" w:rsidRDefault="002F7FB8" w:rsidP="007358C5">
      <w:pPr>
        <w:pStyle w:val="ListParagraph"/>
        <w:numPr>
          <w:ilvl w:val="0"/>
          <w:numId w:val="86"/>
        </w:numPr>
        <w:spacing w:after="60"/>
        <w:ind w:left="1800"/>
      </w:pPr>
      <w:r w:rsidRPr="00BD7CEA">
        <w:rPr>
          <w:rFonts w:ascii="Tahoma" w:hAnsi="Tahoma" w:cs="Tahoma"/>
          <w:sz w:val="18"/>
          <w:szCs w:val="18"/>
        </w:rPr>
        <w:t>Vengono concessi gli stessi diritti su base temporanea, ai sensi delle medesime condizioni, fino</w:t>
      </w:r>
      <w:r w:rsidR="00713397">
        <w:rPr>
          <w:rFonts w:ascii="Tahoma" w:hAnsi="Tahoma" w:cs="Tahoma"/>
          <w:sz w:val="18"/>
          <w:szCs w:val="18"/>
        </w:rPr>
        <w:t> </w:t>
      </w:r>
      <w:r w:rsidRPr="00BD7CEA">
        <w:rPr>
          <w:rFonts w:ascii="Tahoma" w:hAnsi="Tahoma" w:cs="Tahoma"/>
          <w:sz w:val="18"/>
          <w:szCs w:val="18"/>
        </w:rPr>
        <w:t xml:space="preserve">al termine, rispettivamente, del loro contratto Enrollment for Education Solutions </w:t>
      </w:r>
      <w:r w:rsidR="00713397">
        <w:rPr>
          <w:rFonts w:ascii="Tahoma" w:hAnsi="Tahoma" w:cs="Tahoma"/>
          <w:sz w:val="18"/>
          <w:szCs w:val="18"/>
        </w:rPr>
        <w:br/>
      </w:r>
      <w:r w:rsidRPr="00BD7CEA">
        <w:rPr>
          <w:rFonts w:ascii="Tahoma" w:hAnsi="Tahoma" w:cs="Tahoma"/>
          <w:sz w:val="18"/>
          <w:szCs w:val="18"/>
        </w:rPr>
        <w:t xml:space="preserve">o Open Value Subscription-Education Solutions. </w:t>
      </w:r>
    </w:p>
    <w:p w:rsidR="002512D3" w:rsidRPr="00BD7CEA" w:rsidRDefault="002F7FB8" w:rsidP="007358C5">
      <w:pPr>
        <w:pStyle w:val="ListParagraph"/>
        <w:numPr>
          <w:ilvl w:val="0"/>
          <w:numId w:val="86"/>
        </w:numPr>
        <w:spacing w:after="60"/>
        <w:ind w:left="1800"/>
      </w:pPr>
      <w:r w:rsidRPr="00BD7CEA">
        <w:rPr>
          <w:rFonts w:ascii="Tahoma" w:hAnsi="Tahoma" w:cs="Tahoma"/>
          <w:sz w:val="18"/>
          <w:szCs w:val="18"/>
        </w:rPr>
        <w:t>Tali diritti diventeranno permanenti soltanto all</w:t>
      </w:r>
      <w:r w:rsidR="007A1415" w:rsidRPr="00BD7CEA">
        <w:rPr>
          <w:rFonts w:ascii="Tahoma" w:hAnsi="Tahoma" w:cs="Tahoma"/>
          <w:sz w:val="18"/>
          <w:szCs w:val="18"/>
        </w:rPr>
        <w:t>’</w:t>
      </w:r>
      <w:r w:rsidRPr="00BD7CEA">
        <w:rPr>
          <w:rFonts w:ascii="Tahoma" w:hAnsi="Tahoma" w:cs="Tahoma"/>
          <w:sz w:val="18"/>
          <w:szCs w:val="18"/>
        </w:rPr>
        <w:t>esercizio dell</w:t>
      </w:r>
      <w:r w:rsidR="007A1415" w:rsidRPr="00BD7CEA">
        <w:rPr>
          <w:rFonts w:ascii="Tahoma" w:hAnsi="Tahoma" w:cs="Tahoma"/>
          <w:sz w:val="18"/>
          <w:szCs w:val="18"/>
        </w:rPr>
        <w:t>’</w:t>
      </w:r>
      <w:r w:rsidRPr="00BD7CEA">
        <w:rPr>
          <w:rFonts w:ascii="Tahoma" w:hAnsi="Tahoma" w:cs="Tahoma"/>
          <w:sz w:val="18"/>
          <w:szCs w:val="18"/>
        </w:rPr>
        <w:t>opzione buy-out e resteranno soggetti a tutte le condizioni del contratto di licenza della società.</w:t>
      </w:r>
    </w:p>
    <w:p w:rsidR="0004051B" w:rsidRPr="00BD7CEA" w:rsidRDefault="0004051B" w:rsidP="0004051B">
      <w:pPr>
        <w:ind w:left="720"/>
        <w:rPr>
          <w:sz w:val="16"/>
          <w:szCs w:val="16"/>
        </w:rPr>
      </w:pPr>
    </w:p>
    <w:p w:rsidR="002F7FB8" w:rsidRPr="00BD7CEA" w:rsidRDefault="002F7FB8" w:rsidP="007B699C">
      <w:pPr>
        <w:spacing w:after="60"/>
        <w:ind w:left="720"/>
      </w:pPr>
      <w:r w:rsidRPr="00BD7CEA">
        <w:rPr>
          <w:rFonts w:cs="Tahoma"/>
          <w:b/>
          <w:color w:val="000000"/>
          <w:szCs w:val="18"/>
        </w:rPr>
        <w:t>Diritti di Downgrade Eccezionali per Office SharePoint Server 2013</w:t>
      </w:r>
    </w:p>
    <w:p w:rsidR="002F7FB8" w:rsidRPr="00BD7CEA" w:rsidRDefault="002F7FB8" w:rsidP="002F7FB8">
      <w:pPr>
        <w:ind w:left="720"/>
      </w:pPr>
      <w:r w:rsidRPr="00BD7CEA">
        <w:rPr>
          <w:rFonts w:cs="Tahoma"/>
          <w:szCs w:val="18"/>
        </w:rPr>
        <w:t>Le società titolari di una licenza per SharePoint Server 2013 potranno accedere a qualsiasi prodotto elencato nella tabella che segue e utilizzarlo al posto di SharePoint Server 2013 come descritto di seguito:</w:t>
      </w:r>
    </w:p>
    <w:p w:rsidR="002F7FB8" w:rsidRPr="00BD7CEA" w:rsidRDefault="002F7FB8" w:rsidP="002F7FB8">
      <w:pPr>
        <w:ind w:left="810"/>
        <w:rPr>
          <w:sz w:val="16"/>
          <w:szCs w:val="16"/>
        </w:rPr>
      </w:pPr>
      <w:r w:rsidRPr="00BD7CEA">
        <w:rPr>
          <w:rFonts w:cs="Tahoma"/>
          <w:color w:val="FF0000"/>
          <w:sz w:val="16"/>
          <w:szCs w:val="16"/>
        </w:rPr>
        <w:t xml:space="preserve"> </w:t>
      </w: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BD7CEA"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BD1A6A" w:rsidRPr="00BD7CEA" w:rsidRDefault="00BD1A6A" w:rsidP="007E466C">
            <w:pPr>
              <w:spacing w:before="60" w:after="60"/>
              <w:ind w:left="162"/>
              <w:rPr>
                <w:rFonts w:cs="Tahoma"/>
                <w:b/>
                <w:bCs/>
                <w:color w:val="000000"/>
                <w:szCs w:val="18"/>
              </w:rPr>
            </w:pPr>
            <w:r w:rsidRPr="00BD7CEA">
              <w:rPr>
                <w:rFonts w:cs="Tahoma"/>
                <w:b/>
                <w:bCs/>
                <w:color w:val="000000"/>
                <w:szCs w:val="18"/>
              </w:rPr>
              <w:t>Licenze per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rsidR="00BD1A6A" w:rsidRPr="00BD7CEA" w:rsidRDefault="00BD1A6A" w:rsidP="007E466C">
            <w:pPr>
              <w:spacing w:before="60" w:after="60"/>
              <w:ind w:left="180"/>
              <w:rPr>
                <w:rFonts w:cs="Tahoma"/>
                <w:b/>
                <w:bCs/>
                <w:color w:val="000000"/>
                <w:szCs w:val="18"/>
              </w:rPr>
            </w:pPr>
            <w:r w:rsidRPr="00BD7CEA">
              <w:rPr>
                <w:rFonts w:cs="Tahoma"/>
                <w:b/>
                <w:bCs/>
                <w:color w:val="000000"/>
                <w:szCs w:val="18"/>
              </w:rPr>
              <w:t>Downgrade a</w:t>
            </w:r>
          </w:p>
        </w:tc>
      </w:tr>
      <w:tr w:rsidR="00BD1A6A" w:rsidRPr="00BD7CEA"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BD1A6A" w:rsidRPr="00BD7CEA" w:rsidRDefault="00BD1A6A" w:rsidP="00722522">
            <w:pPr>
              <w:ind w:left="162"/>
              <w:rPr>
                <w:rFonts w:cs="Tahoma"/>
                <w:color w:val="000000"/>
                <w:szCs w:val="18"/>
              </w:rPr>
            </w:pPr>
            <w:r w:rsidRPr="00BD7CEA">
              <w:rPr>
                <w:rFonts w:cs="Tahoma"/>
                <w:color w:val="000000"/>
                <w:szCs w:val="18"/>
              </w:rPr>
              <w:t>Licenza per SharePoint Server 2013</w:t>
            </w:r>
          </w:p>
        </w:tc>
        <w:tc>
          <w:tcPr>
            <w:tcW w:w="4296" w:type="dxa"/>
            <w:tcBorders>
              <w:top w:val="nil"/>
              <w:left w:val="nil"/>
              <w:bottom w:val="single" w:sz="8" w:space="0" w:color="000000"/>
              <w:right w:val="single" w:sz="8" w:space="0" w:color="000000"/>
            </w:tcBorders>
          </w:tcPr>
          <w:p w:rsidR="00BD1A6A" w:rsidRPr="00BD7CEA" w:rsidRDefault="00BD1A6A" w:rsidP="00F249BF">
            <w:pPr>
              <w:ind w:left="162" w:right="180"/>
            </w:pPr>
            <w:r w:rsidRPr="00BD7CEA">
              <w:rPr>
                <w:rFonts w:cs="Tahoma"/>
                <w:color w:val="000000"/>
                <w:szCs w:val="18"/>
              </w:rPr>
              <w:t xml:space="preserve">SharePoint Server 2010, </w:t>
            </w:r>
            <w:r w:rsidRPr="00BD7CEA">
              <w:rPr>
                <w:rFonts w:cs="Tahoma"/>
                <w:b/>
                <w:color w:val="000000"/>
                <w:szCs w:val="18"/>
              </w:rPr>
              <w:t>o</w:t>
            </w:r>
          </w:p>
          <w:p w:rsidR="00BD1A6A" w:rsidRPr="00BD7CEA" w:rsidRDefault="00BD1A6A" w:rsidP="002C3AB1">
            <w:pPr>
              <w:ind w:left="162" w:right="180"/>
              <w:rPr>
                <w:rFonts w:cs="Tahoma"/>
                <w:color w:val="000000"/>
                <w:szCs w:val="18"/>
              </w:rPr>
            </w:pPr>
            <w:r w:rsidRPr="00BD7CEA">
              <w:rPr>
                <w:rFonts w:cs="Tahoma"/>
                <w:color w:val="000000"/>
                <w:szCs w:val="18"/>
              </w:rPr>
              <w:t xml:space="preserve">FAST Search Server 2010 for SharePoint Server </w:t>
            </w:r>
          </w:p>
        </w:tc>
      </w:tr>
    </w:tbl>
    <w:p w:rsidR="002F7FB8" w:rsidRPr="00BD7CEA" w:rsidRDefault="008D782D" w:rsidP="002F7FB8">
      <w:pPr>
        <w:ind w:left="810"/>
        <w:rPr>
          <w:sz w:val="16"/>
          <w:szCs w:val="16"/>
        </w:rPr>
      </w:pPr>
      <w:r w:rsidRPr="00BD7CEA">
        <w:rPr>
          <w:rFonts w:cs="Tahoma"/>
          <w:color w:val="000000"/>
          <w:sz w:val="16"/>
          <w:szCs w:val="16"/>
        </w:rPr>
        <w:t xml:space="preserve"> </w:t>
      </w:r>
    </w:p>
    <w:p w:rsidR="002F7FB8" w:rsidRPr="00BD7CEA" w:rsidRDefault="002F7FB8" w:rsidP="002F7FB8">
      <w:pPr>
        <w:ind w:left="720"/>
      </w:pPr>
      <w:r w:rsidRPr="00BD7CEA">
        <w:rPr>
          <w:rFonts w:cs="Tahoma"/>
          <w:color w:val="000000"/>
          <w:szCs w:val="18"/>
        </w:rPr>
        <w:t>Il diritto di accesso a, e di utilizzo di, copie di SharePoint Server 2010 o FAST Search Server 2010 for SharePoint Server da parte di una società al posto di copie con licenza di SharePoint Server 2013 ai sensi della presente offerta è soggetto alle condizioni di un contratto multilicenza, ai diritti di utilizzo del prodotto per SharePoint Server 2013 e a queste condizioni. Tale diritto cesserà alla scadenza o alla risoluzione delle licenze per SharePoint Server.</w:t>
      </w:r>
    </w:p>
    <w:p w:rsidR="002F7FB8" w:rsidRPr="00BD7CEA" w:rsidRDefault="002F7FB8" w:rsidP="002F7FB8">
      <w:pPr>
        <w:ind w:left="720"/>
      </w:pPr>
    </w:p>
    <w:p w:rsidR="002F7FB8" w:rsidRPr="00BD7CEA" w:rsidRDefault="002F7FB8" w:rsidP="00031ABF">
      <w:pPr>
        <w:spacing w:after="60"/>
        <w:ind w:left="720"/>
      </w:pPr>
      <w:r w:rsidRPr="00BD7CEA">
        <w:rPr>
          <w:rFonts w:cs="Tahoma"/>
          <w:b/>
          <w:color w:val="000000"/>
          <w:szCs w:val="18"/>
        </w:rPr>
        <w:t xml:space="preserve">Estensione dei diritti delle Applicazioni Self-Hosted con Software Assurance per le Società in possesso di SharePoint Server </w:t>
      </w:r>
      <w:bookmarkStart w:id="1410" w:name="Srv_65SharepointSvr10IntSites"/>
      <w:bookmarkStart w:id="1411" w:name="_Toc336338336"/>
      <w:bookmarkStart w:id="1412" w:name="Srv_66SharepointSvr10IntSites"/>
      <w:bookmarkStart w:id="1413" w:name="Srv_63SharepointSvr07IntSites"/>
      <w:bookmarkStart w:id="1414" w:name="Srv_64SharepointSvr07IntSites"/>
      <w:r w:rsidRPr="00BD7CEA">
        <w:rPr>
          <w:rFonts w:cs="Tahoma"/>
          <w:b/>
          <w:color w:val="000000"/>
          <w:szCs w:val="18"/>
        </w:rPr>
        <w:t>for Internet Sites Enterprise</w:t>
      </w:r>
      <w:bookmarkEnd w:id="1410"/>
      <w:bookmarkEnd w:id="1411"/>
      <w:bookmarkEnd w:id="1412"/>
      <w:bookmarkEnd w:id="1413"/>
    </w:p>
    <w:bookmarkEnd w:id="1414"/>
    <w:p w:rsidR="002F7FB8" w:rsidRPr="00BD7CEA" w:rsidRDefault="002F7FB8" w:rsidP="002F7FB8">
      <w:pPr>
        <w:ind w:left="720"/>
      </w:pPr>
      <w:r w:rsidRPr="00BD7CEA">
        <w:rPr>
          <w:rFonts w:cs="Tahoma"/>
          <w:color w:val="000000"/>
          <w:szCs w:val="18"/>
        </w:rPr>
        <w:t>Le società in possesso di SharePoint Server 2010 for Internet Sites Enterprise, alle quali sono concesse le licenze per SharePoint Server 2013 tramite la concessione di licenza delineata sopra, potranno effettuare l</w:t>
      </w:r>
      <w:r w:rsidR="007A1415" w:rsidRPr="00BD7CEA">
        <w:rPr>
          <w:rFonts w:cs="Tahoma"/>
          <w:color w:val="000000"/>
          <w:szCs w:val="18"/>
        </w:rPr>
        <w:t>’</w:t>
      </w:r>
      <w:r w:rsidRPr="00BD7CEA">
        <w:rPr>
          <w:rFonts w:cs="Tahoma"/>
          <w:color w:val="000000"/>
          <w:szCs w:val="18"/>
        </w:rPr>
        <w:t>aggiornamento a SharePoint Server 2013 (come stabilito nella suddetta concessione) e utilizzare SharePoint Server 2013 ai sensi dei diritti di utilizzo del prodotto relativi a SharePoint Server 2013 e le condizioni della sezione “Applicazioni Server</w:t>
      </w:r>
      <w:r w:rsidR="00FD7C0D">
        <w:rPr>
          <w:rFonts w:cs="Tahoma"/>
          <w:color w:val="000000"/>
          <w:szCs w:val="18"/>
        </w:rPr>
        <w:t xml:space="preserve"> – </w:t>
      </w:r>
      <w:r w:rsidRPr="00BD7CEA">
        <w:rPr>
          <w:rFonts w:cs="Tahoma"/>
          <w:color w:val="000000"/>
          <w:szCs w:val="18"/>
        </w:rPr>
        <w:t>Self-Hosted” dei Diritti di Utilizzo del Prodotto. Le società idonee mantengono la copertura Software Assurance per le licenze gratuite per SharePoint Server 2013, in</w:t>
      </w:r>
      <w:r w:rsidR="00713397">
        <w:rPr>
          <w:rFonts w:cs="Tahoma"/>
          <w:color w:val="000000"/>
          <w:szCs w:val="18"/>
        </w:rPr>
        <w:t> </w:t>
      </w:r>
      <w:r w:rsidRPr="00BD7CEA">
        <w:rPr>
          <w:rFonts w:cs="Tahoma"/>
          <w:color w:val="000000"/>
          <w:szCs w:val="18"/>
        </w:rPr>
        <w:t>questo modo il diritto di utilizzo di SharePoint Server 2013 si applicherà fino a quando non sarà disponibile la versione successiva di SharePoint Server 2013.</w:t>
      </w:r>
      <w:r w:rsidR="008D782D" w:rsidRPr="00BD7CEA">
        <w:rPr>
          <w:rFonts w:cs="Tahoma"/>
          <w:color w:val="000000"/>
          <w:szCs w:val="18"/>
        </w:rPr>
        <w:t xml:space="preserve"> </w:t>
      </w:r>
    </w:p>
    <w:p w:rsidR="000D76F0" w:rsidRPr="00BD7CEA" w:rsidRDefault="000D76F0" w:rsidP="00031ABF">
      <w:pPr>
        <w:rPr>
          <w:sz w:val="16"/>
          <w:szCs w:val="16"/>
        </w:rPr>
      </w:pPr>
    </w:p>
    <w:p w:rsidR="00023FE7" w:rsidRPr="00BD7CEA" w:rsidRDefault="00023FE7" w:rsidP="00697E59">
      <w:pPr>
        <w:pStyle w:val="EndnoteText"/>
        <w:ind w:left="0"/>
        <w:rPr>
          <w:sz w:val="16"/>
          <w:szCs w:val="16"/>
        </w:rPr>
      </w:pPr>
      <w:bookmarkStart w:id="1415" w:name="_78_SharePoint™_Server"/>
      <w:bookmarkStart w:id="1416" w:name="_Toc336338339"/>
      <w:bookmarkStart w:id="1417" w:name="Srv_81SQLSvr08R2DataCenter"/>
      <w:bookmarkEnd w:id="1415"/>
    </w:p>
    <w:p w:rsidR="00A81E83" w:rsidRPr="00BD7CEA" w:rsidRDefault="00F66FB0" w:rsidP="00A81E83">
      <w:pPr>
        <w:pStyle w:val="Heading3"/>
      </w:pPr>
      <w:bookmarkStart w:id="1418" w:name="_75_73_SQL"/>
      <w:bookmarkStart w:id="1419" w:name="_74_SQL_Server®"/>
      <w:bookmarkStart w:id="1420" w:name="_Toc353376112"/>
      <w:bookmarkStart w:id="1421" w:name="Srv_69SQLSvr08EntandEntProc"/>
      <w:bookmarkStart w:id="1422" w:name="Srv_70SQLSvr08EntandEntProc"/>
      <w:bookmarkStart w:id="1423" w:name="Srv_72SQLSvr08R2developer"/>
      <w:bookmarkStart w:id="1424" w:name="Srv_72SQLSvr08R2DataCenter"/>
      <w:bookmarkEnd w:id="1418"/>
      <w:bookmarkEnd w:id="1419"/>
      <w:r w:rsidRPr="00BD7CEA">
        <w:rPr>
          <w:rFonts w:ascii="Tahoma" w:hAnsi="Tahoma"/>
          <w:caps/>
          <w:color w:val="F66400"/>
          <w:sz w:val="22"/>
          <w:vertAlign w:val="superscript"/>
        </w:rPr>
        <w:t>74</w:t>
      </w:r>
      <w:r w:rsidRPr="00BD7CEA">
        <w:rPr>
          <w:rFonts w:ascii="Tahoma" w:hAnsi="Tahoma"/>
          <w:color w:val="F66400"/>
          <w:sz w:val="22"/>
        </w:rPr>
        <w:t xml:space="preserve"> SQL Server</w:t>
      </w:r>
      <w:r w:rsidR="00700C4B" w:rsidRPr="00BD7CEA">
        <w:rPr>
          <w:rFonts w:ascii="Tahoma" w:hAnsi="Tahoma"/>
          <w:color w:val="F66400"/>
          <w:sz w:val="22"/>
          <w:vertAlign w:val="superscript"/>
        </w:rPr>
        <w:t>®</w:t>
      </w:r>
      <w:r w:rsidRPr="00BD7CEA">
        <w:rPr>
          <w:rFonts w:ascii="Tahoma" w:hAnsi="Tahoma"/>
          <w:color w:val="F66400"/>
          <w:sz w:val="22"/>
        </w:rPr>
        <w:t xml:space="preserve"> 2008 R2 Datacenter</w:t>
      </w:r>
      <w:bookmarkEnd w:id="1416"/>
      <w:bookmarkEnd w:id="1420"/>
    </w:p>
    <w:bookmarkEnd w:id="1417"/>
    <w:p w:rsidR="00A81E83" w:rsidRPr="00BD7CEA" w:rsidRDefault="00A81E83" w:rsidP="00031ABF"/>
    <w:p w:rsidR="00031ABF" w:rsidRPr="00BD7CEA" w:rsidRDefault="00A81E83" w:rsidP="00031ABF">
      <w:pPr>
        <w:spacing w:after="60"/>
        <w:ind w:left="720"/>
      </w:pPr>
      <w:r w:rsidRPr="00BD7CEA">
        <w:rPr>
          <w:rFonts w:cs="Tahoma"/>
          <w:b/>
          <w:color w:val="000000"/>
          <w:szCs w:val="18"/>
        </w:rPr>
        <w:t>Concessioni di Licenza Associate alla Variazione del Modello di Licenza e della Fine del Ciclo d</w:t>
      </w:r>
      <w:r w:rsidR="007E508E">
        <w:rPr>
          <w:rFonts w:cs="Tahoma"/>
          <w:b/>
          <w:color w:val="000000"/>
          <w:szCs w:val="18"/>
        </w:rPr>
        <w:t xml:space="preserve"> </w:t>
      </w:r>
      <w:r w:rsidRPr="00BD7CEA">
        <w:rPr>
          <w:rFonts w:cs="Tahoma"/>
          <w:b/>
          <w:color w:val="000000"/>
          <w:szCs w:val="18"/>
        </w:rPr>
        <w:t>Vita di SQL Server Datacenter</w:t>
      </w:r>
    </w:p>
    <w:p w:rsidR="00A81E83" w:rsidRPr="00BD7CEA" w:rsidRDefault="00A81E83" w:rsidP="00031ABF">
      <w:pPr>
        <w:ind w:left="720"/>
      </w:pPr>
      <w:r w:rsidRPr="00BD7CEA">
        <w:rPr>
          <w:color w:val="000000"/>
        </w:rPr>
        <w:t>SQL Server 2008 R2 sarà l</w:t>
      </w:r>
      <w:r w:rsidR="007A1415" w:rsidRPr="00BD7CEA">
        <w:rPr>
          <w:color w:val="000000"/>
        </w:rPr>
        <w:t>’</w:t>
      </w:r>
      <w:r w:rsidRPr="00BD7CEA">
        <w:rPr>
          <w:color w:val="000000"/>
        </w:rPr>
        <w:t>ultima versione di SQL Server concessa in licenza ai sensi del modello di licenza per processore e l</w:t>
      </w:r>
      <w:r w:rsidR="007A1415" w:rsidRPr="00BD7CEA">
        <w:rPr>
          <w:color w:val="000000"/>
        </w:rPr>
        <w:t>’</w:t>
      </w:r>
      <w:r w:rsidRPr="00BD7CEA">
        <w:rPr>
          <w:color w:val="000000"/>
        </w:rPr>
        <w:t>ultima versione di SQL Server Datacenter.</w:t>
      </w:r>
      <w:r w:rsidR="008D782D" w:rsidRPr="00BD7CEA">
        <w:rPr>
          <w:color w:val="000000"/>
        </w:rPr>
        <w:t xml:space="preserve"> </w:t>
      </w:r>
      <w:r w:rsidRPr="00BD7CEA">
        <w:rPr>
          <w:color w:val="000000"/>
        </w:rPr>
        <w:t xml:space="preserve">In via eccezionale, alle società con contratti multilicenza e copertura Software Assurance attiva per le licenze per processore per SQL Server 2008 R2 Datacenter in data 1 aprile 2012 (“licenze qualificanti”) vengono offerte le opzioni che seguono. Le licenze per processore per SQL Server 2008 R2 Datacenter </w:t>
      </w:r>
      <w:r w:rsidRPr="00BD7CEA">
        <w:rPr>
          <w:rFonts w:cs="Tahoma"/>
          <w:bCs/>
          <w:color w:val="000000"/>
          <w:szCs w:val="18"/>
        </w:rPr>
        <w:t>acquistate successivamente nello stesso periodo di validità dell</w:t>
      </w:r>
      <w:r w:rsidR="007A1415" w:rsidRPr="00BD7CEA">
        <w:rPr>
          <w:rFonts w:cs="Tahoma"/>
          <w:bCs/>
          <w:color w:val="000000"/>
          <w:szCs w:val="18"/>
        </w:rPr>
        <w:t>’</w:t>
      </w:r>
      <w:r w:rsidRPr="00BD7CEA">
        <w:rPr>
          <w:rFonts w:cs="Tahoma"/>
          <w:bCs/>
          <w:color w:val="000000"/>
          <w:szCs w:val="18"/>
        </w:rPr>
        <w:t>iscrizione, ma prima del 1 aprile 2015 nell</w:t>
      </w:r>
      <w:r w:rsidR="007A1415" w:rsidRPr="00BD7CEA">
        <w:rPr>
          <w:rFonts w:cs="Tahoma"/>
          <w:bCs/>
          <w:color w:val="000000"/>
          <w:szCs w:val="18"/>
        </w:rPr>
        <w:t>’</w:t>
      </w:r>
      <w:r w:rsidRPr="00BD7CEA">
        <w:rPr>
          <w:rFonts w:cs="Tahoma"/>
          <w:bCs/>
          <w:color w:val="000000"/>
          <w:szCs w:val="18"/>
        </w:rPr>
        <w:t>ambito di una procedura pianificata di true-up della</w:t>
      </w:r>
      <w:r w:rsidR="004F3129" w:rsidRPr="00BD7CEA">
        <w:rPr>
          <w:rFonts w:cs="Tahoma"/>
          <w:bCs/>
          <w:color w:val="000000"/>
          <w:szCs w:val="18"/>
        </w:rPr>
        <w:t> </w:t>
      </w:r>
      <w:r w:rsidRPr="00BD7CEA">
        <w:rPr>
          <w:rFonts w:cs="Tahoma"/>
          <w:bCs/>
          <w:color w:val="000000"/>
          <w:szCs w:val="18"/>
        </w:rPr>
        <w:t>società Enterprise, Enterprise Subscription, Open Value Subscription o EES, sono anch</w:t>
      </w:r>
      <w:r w:rsidR="007A1415" w:rsidRPr="00BD7CEA">
        <w:rPr>
          <w:rFonts w:cs="Tahoma"/>
          <w:bCs/>
          <w:color w:val="000000"/>
          <w:szCs w:val="18"/>
        </w:rPr>
        <w:t>’</w:t>
      </w:r>
      <w:r w:rsidRPr="00BD7CEA">
        <w:rPr>
          <w:rFonts w:cs="Tahoma"/>
          <w:bCs/>
          <w:color w:val="000000"/>
          <w:szCs w:val="18"/>
        </w:rPr>
        <w:t>esse licenze qualificanti per gli scopi previsti da tali opzioni.</w:t>
      </w:r>
      <w:r w:rsidR="008D782D" w:rsidRPr="00BD7CEA">
        <w:rPr>
          <w:rFonts w:cs="Tahoma"/>
          <w:bCs/>
          <w:color w:val="000000"/>
          <w:szCs w:val="18"/>
        </w:rPr>
        <w:t xml:space="preserve"> </w:t>
      </w:r>
      <w:r w:rsidRPr="00BD7CEA">
        <w:rPr>
          <w:rFonts w:cs="Tahoma"/>
          <w:bCs/>
          <w:color w:val="000000"/>
          <w:szCs w:val="18"/>
        </w:rPr>
        <w:t>Le licenze acquistate dopo il 1 aprile 2015, o in un periodo di</w:t>
      </w:r>
      <w:r w:rsidR="0069700E">
        <w:rPr>
          <w:rFonts w:cs="Tahoma"/>
          <w:bCs/>
          <w:color w:val="000000"/>
          <w:szCs w:val="18"/>
        </w:rPr>
        <w:t> </w:t>
      </w:r>
      <w:r w:rsidRPr="00BD7CEA">
        <w:rPr>
          <w:rFonts w:cs="Tahoma"/>
          <w:bCs/>
          <w:color w:val="000000"/>
          <w:szCs w:val="18"/>
        </w:rPr>
        <w:t>validità dell</w:t>
      </w:r>
      <w:r w:rsidR="007A1415" w:rsidRPr="00BD7CEA">
        <w:rPr>
          <w:rFonts w:cs="Tahoma"/>
          <w:bCs/>
          <w:color w:val="000000"/>
          <w:szCs w:val="18"/>
        </w:rPr>
        <w:t>’</w:t>
      </w:r>
      <w:r w:rsidRPr="00BD7CEA">
        <w:rPr>
          <w:rFonts w:cs="Tahoma"/>
          <w:bCs/>
          <w:color w:val="000000"/>
          <w:szCs w:val="18"/>
        </w:rPr>
        <w:t>iscrizione successivo, ai sensi di un contratto distinto o di un</w:t>
      </w:r>
      <w:r w:rsidR="007A1415" w:rsidRPr="00BD7CEA">
        <w:rPr>
          <w:rFonts w:cs="Tahoma"/>
          <w:bCs/>
          <w:color w:val="000000"/>
          <w:szCs w:val="18"/>
        </w:rPr>
        <w:t>’</w:t>
      </w:r>
      <w:r w:rsidRPr="00BD7CEA">
        <w:rPr>
          <w:rFonts w:cs="Tahoma"/>
          <w:bCs/>
          <w:color w:val="000000"/>
          <w:szCs w:val="18"/>
        </w:rPr>
        <w:t>iscrizione con la data di entrata in</w:t>
      </w:r>
      <w:r w:rsidR="0069700E">
        <w:rPr>
          <w:rFonts w:cs="Tahoma"/>
          <w:bCs/>
          <w:color w:val="000000"/>
          <w:szCs w:val="18"/>
        </w:rPr>
        <w:t> </w:t>
      </w:r>
      <w:r w:rsidRPr="00BD7CEA">
        <w:rPr>
          <w:rFonts w:cs="Tahoma"/>
          <w:bCs/>
          <w:color w:val="000000"/>
          <w:szCs w:val="18"/>
        </w:rPr>
        <w:t>vigore posteriore al 1 aprile 2012, non sono licenze qualificanti.</w:t>
      </w:r>
    </w:p>
    <w:p w:rsidR="00031ABF" w:rsidRPr="00BD7CEA" w:rsidRDefault="00031ABF" w:rsidP="00031ABF">
      <w:pPr>
        <w:spacing w:after="60"/>
        <w:ind w:left="720"/>
      </w:pPr>
      <w:r w:rsidRPr="00BD7CEA">
        <w:rPr>
          <w:rFonts w:cs="Tahoma"/>
          <w:b/>
          <w:color w:val="000000"/>
          <w:szCs w:val="18"/>
        </w:rPr>
        <w:lastRenderedPageBreak/>
        <w:t>Periodo di Validità Corrente</w:t>
      </w:r>
    </w:p>
    <w:p w:rsidR="00A81E83" w:rsidRPr="00BD7CEA" w:rsidRDefault="00A81E83" w:rsidP="00031ABF">
      <w:pPr>
        <w:ind w:left="720"/>
        <w:contextualSpacing/>
      </w:pPr>
      <w:r w:rsidRPr="00BD7CEA">
        <w:rPr>
          <w:rFonts w:eastAsia="Calibri" w:cs="Tahoma"/>
          <w:szCs w:val="18"/>
        </w:rPr>
        <w:t>durante il periodo di validità corrente della copertura Software Assurance a partire dal 1 aprile 2012 le società (incluse le società titolari di contratti “subscription”) potranno, ai sensi di una licenza qualificante, effettuare l</w:t>
      </w:r>
      <w:r w:rsidR="007A1415" w:rsidRPr="00BD7CEA">
        <w:rPr>
          <w:rFonts w:eastAsia="Calibri" w:cs="Tahoma"/>
          <w:szCs w:val="18"/>
        </w:rPr>
        <w:t>’</w:t>
      </w:r>
      <w:r w:rsidRPr="00BD7CEA">
        <w:rPr>
          <w:rFonts w:eastAsia="Calibri" w:cs="Tahoma"/>
          <w:szCs w:val="18"/>
        </w:rPr>
        <w:t>aggiornamento al software SQL Server 2012 Enterprise Core e utilizzarlo al posto di SQL Server 2008 R2 Datacenter in conformità ai diritti di utilizzo del prodotto previsti dalla licenza per processore SQL Server 2008 R2 Enterprise (come indicato nei Diritti di Utilizzo del Prodotto del mese di gennaio 2012). Tali società dispongono anche dei diritti sull</w:t>
      </w:r>
      <w:r w:rsidR="007A1415" w:rsidRPr="00BD7CEA">
        <w:rPr>
          <w:rFonts w:eastAsia="Calibri" w:cs="Tahoma"/>
          <w:szCs w:val="18"/>
        </w:rPr>
        <w:t>’</w:t>
      </w:r>
      <w:r w:rsidRPr="00BD7CEA">
        <w:rPr>
          <w:rFonts w:eastAsia="Calibri" w:cs="Tahoma"/>
          <w:szCs w:val="18"/>
        </w:rPr>
        <w:t>utilizzo per la Virtualizzazione Illimitata come descritto nelle note del prodotto SQL Server 2012 Enterprise della presente Lista dei Prodotti.</w:t>
      </w:r>
    </w:p>
    <w:p w:rsidR="00031ABF" w:rsidRPr="00BD7CEA" w:rsidRDefault="00031ABF" w:rsidP="00031ABF">
      <w:pPr>
        <w:ind w:left="720"/>
        <w:contextualSpacing/>
      </w:pPr>
    </w:p>
    <w:p w:rsidR="00031ABF" w:rsidRPr="00BD7CEA" w:rsidRDefault="00A81E83" w:rsidP="00031ABF">
      <w:pPr>
        <w:spacing w:after="60"/>
        <w:ind w:left="720"/>
      </w:pPr>
      <w:r w:rsidRPr="00BD7CEA">
        <w:rPr>
          <w:rFonts w:cs="Tahoma"/>
          <w:b/>
          <w:color w:val="000000"/>
          <w:szCs w:val="18"/>
        </w:rPr>
        <w:t>Primo Periodo di Rinnovo (prima del 1 aprile 2015)</w:t>
      </w:r>
    </w:p>
    <w:p w:rsidR="00A81E83" w:rsidRPr="00BD7CEA" w:rsidRDefault="00A81E83" w:rsidP="00031ABF">
      <w:pPr>
        <w:tabs>
          <w:tab w:val="left" w:pos="720"/>
        </w:tabs>
        <w:ind w:left="720"/>
        <w:contextualSpacing/>
      </w:pPr>
      <w:r w:rsidRPr="00BD7CEA">
        <w:rPr>
          <w:rFonts w:eastAsia="Calibri" w:cs="Tahoma"/>
          <w:szCs w:val="18"/>
        </w:rPr>
        <w:t>in occasione del primo rinnovo di Software Assurance in data 1 aprile 2012 o successiva (ma prima del 1</w:t>
      </w:r>
      <w:r w:rsidR="00A13F76">
        <w:rPr>
          <w:rFonts w:eastAsia="Calibri" w:cs="Tahoma"/>
          <w:szCs w:val="18"/>
        </w:rPr>
        <w:t> </w:t>
      </w:r>
      <w:r w:rsidRPr="00BD7CEA">
        <w:rPr>
          <w:rFonts w:eastAsia="Calibri" w:cs="Tahoma"/>
          <w:szCs w:val="18"/>
        </w:rPr>
        <w:t>aprile 2015), per ogni server che una società ha ricevuto validamente in licenza in conformità ai diritti di</w:t>
      </w:r>
      <w:r w:rsidR="00A13F76">
        <w:rPr>
          <w:rFonts w:eastAsia="Calibri" w:cs="Tahoma"/>
          <w:szCs w:val="18"/>
        </w:rPr>
        <w:t> </w:t>
      </w:r>
      <w:r w:rsidRPr="00BD7CEA">
        <w:rPr>
          <w:rFonts w:eastAsia="Calibri" w:cs="Tahoma"/>
          <w:szCs w:val="18"/>
        </w:rPr>
        <w:t>utilizzo del prodotto previsti dalla licenza per processore SQL Server 2008 R2, la società potrà acquistare la</w:t>
      </w:r>
      <w:r w:rsidR="00D66333" w:rsidRPr="00BD7CEA">
        <w:rPr>
          <w:rFonts w:eastAsia="Calibri" w:cs="Tahoma"/>
          <w:szCs w:val="18"/>
        </w:rPr>
        <w:t> </w:t>
      </w:r>
      <w:r w:rsidRPr="00BD7CEA">
        <w:rPr>
          <w:rFonts w:eastAsia="Calibri" w:cs="Tahoma"/>
          <w:szCs w:val="18"/>
        </w:rPr>
        <w:t>copertura Software Assurance per le licenze core per SQL Server Enterprise senza dovere acquistare le</w:t>
      </w:r>
      <w:r w:rsidR="00A13F76">
        <w:rPr>
          <w:rFonts w:eastAsia="Calibri" w:cs="Tahoma"/>
          <w:szCs w:val="18"/>
        </w:rPr>
        <w:t> </w:t>
      </w:r>
      <w:r w:rsidRPr="00BD7CEA">
        <w:rPr>
          <w:rFonts w:eastAsia="Calibri" w:cs="Tahoma"/>
          <w:szCs w:val="18"/>
        </w:rPr>
        <w:t>licenze core sottostanti per un numero di licenze core pari alla somma di (a) e (b):</w:t>
      </w:r>
    </w:p>
    <w:p w:rsidR="00A81E83" w:rsidRPr="00BD7CEA" w:rsidRDefault="00D50B85" w:rsidP="00D50B85">
      <w:pPr>
        <w:tabs>
          <w:tab w:val="left" w:pos="1080"/>
          <w:tab w:val="left" w:pos="1440"/>
        </w:tabs>
        <w:ind w:left="1440" w:hanging="360"/>
        <w:contextualSpacing/>
      </w:pPr>
      <w:r>
        <w:rPr>
          <w:rFonts w:eastAsia="Calibri" w:cs="Tahoma"/>
          <w:szCs w:val="18"/>
        </w:rPr>
        <w:t>(a)</w:t>
      </w:r>
      <w:r>
        <w:rPr>
          <w:rFonts w:eastAsia="Calibri" w:cs="Tahoma"/>
          <w:szCs w:val="18"/>
        </w:rPr>
        <w:tab/>
      </w:r>
      <w:r w:rsidR="00A81E83" w:rsidRPr="00BD7CEA">
        <w:rPr>
          <w:rFonts w:eastAsia="Calibri" w:cs="Tahoma"/>
          <w:szCs w:val="18"/>
        </w:rPr>
        <w:t xml:space="preserve">un numero pari al numero minore delle licenze qualificanti cedute al server o al numero totale dei processori fisici sul server moltiplicato per il maggiore tra: </w:t>
      </w:r>
    </w:p>
    <w:p w:rsidR="00A81E83" w:rsidRPr="00BD7CEA" w:rsidRDefault="00A81E83" w:rsidP="007358C5">
      <w:pPr>
        <w:numPr>
          <w:ilvl w:val="2"/>
          <w:numId w:val="53"/>
        </w:numPr>
        <w:tabs>
          <w:tab w:val="left" w:pos="1800"/>
        </w:tabs>
        <w:ind w:left="1800" w:hanging="360"/>
        <w:contextualSpacing/>
      </w:pPr>
      <w:r w:rsidRPr="00BD7CEA">
        <w:rPr>
          <w:rFonts w:eastAsia="Calibri" w:cs="Tahoma"/>
          <w:szCs w:val="18"/>
        </w:rPr>
        <w:t>otto O</w:t>
      </w:r>
    </w:p>
    <w:p w:rsidR="00A81E83" w:rsidRPr="00BD7CEA" w:rsidRDefault="00A81E83" w:rsidP="007358C5">
      <w:pPr>
        <w:numPr>
          <w:ilvl w:val="2"/>
          <w:numId w:val="53"/>
        </w:numPr>
        <w:tabs>
          <w:tab w:val="left" w:pos="1800"/>
        </w:tabs>
        <w:ind w:left="1800" w:hanging="360"/>
        <w:contextualSpacing/>
      </w:pPr>
      <w:r w:rsidRPr="00BD7CEA">
        <w:rPr>
          <w:rFonts w:eastAsia="Calibri" w:cs="Tahoma"/>
          <w:szCs w:val="18"/>
        </w:rPr>
        <w:t>il numero effettivo di core per processore fisico moltiplicato per il fattore core appropriato.</w:t>
      </w:r>
      <w:r w:rsidR="008D782D" w:rsidRPr="00BD7CEA">
        <w:rPr>
          <w:rFonts w:eastAsia="Calibri" w:cs="Tahoma"/>
          <w:szCs w:val="18"/>
        </w:rPr>
        <w:t xml:space="preserve"> </w:t>
      </w:r>
      <w:r w:rsidRPr="00BD7CEA">
        <w:rPr>
          <w:rFonts w:eastAsia="Calibri" w:cs="Tahoma"/>
          <w:szCs w:val="18"/>
        </w:rPr>
        <w:t>(Nei</w:t>
      </w:r>
      <w:r w:rsidR="00D66333" w:rsidRPr="00BD7CEA">
        <w:rPr>
          <w:rFonts w:eastAsia="Calibri" w:cs="Tahoma"/>
          <w:szCs w:val="18"/>
        </w:rPr>
        <w:t> </w:t>
      </w:r>
      <w:r w:rsidRPr="00BD7CEA">
        <w:rPr>
          <w:rFonts w:eastAsia="Calibri" w:cs="Tahoma"/>
          <w:szCs w:val="18"/>
        </w:rPr>
        <w:t>casi in cui il numero effettivo di core per processore fisico superi otto, le società dovranno conservare un record della configurazione del software SQL Server in esecuzione sul server (istanze con licenza in esecuzione negli ambienti del sistema operativo sul server con licenza) e l</w:t>
      </w:r>
      <w:r w:rsidR="007A1415" w:rsidRPr="00BD7CEA">
        <w:rPr>
          <w:rFonts w:eastAsia="Calibri" w:cs="Tahoma"/>
          <w:szCs w:val="18"/>
        </w:rPr>
        <w:t>’</w:t>
      </w:r>
      <w:r w:rsidRPr="00BD7CEA">
        <w:rPr>
          <w:rFonts w:eastAsia="Calibri" w:cs="Tahoma"/>
          <w:szCs w:val="18"/>
        </w:rPr>
        <w:t xml:space="preserve">hardware fisico che supporta tale software appena prima del rinnovo di Software Assurance utilizzando lo strumento MAP di Microsoft o un software equivalente). </w:t>
      </w:r>
    </w:p>
    <w:p w:rsidR="00A81E83" w:rsidRPr="00BD7CEA" w:rsidRDefault="00D50B85" w:rsidP="00D50B85">
      <w:pPr>
        <w:tabs>
          <w:tab w:val="left" w:pos="1440"/>
          <w:tab w:val="left" w:pos="2970"/>
        </w:tabs>
        <w:ind w:left="1440" w:hanging="360"/>
        <w:contextualSpacing/>
      </w:pPr>
      <w:r>
        <w:rPr>
          <w:rFonts w:eastAsia="Calibri" w:cs="Tahoma"/>
          <w:szCs w:val="18"/>
        </w:rPr>
        <w:t>(b)</w:t>
      </w:r>
      <w:r>
        <w:rPr>
          <w:rFonts w:eastAsia="Calibri" w:cs="Tahoma"/>
          <w:szCs w:val="18"/>
        </w:rPr>
        <w:tab/>
      </w:r>
      <w:r w:rsidR="00A81E83" w:rsidRPr="00BD7CEA">
        <w:rPr>
          <w:rFonts w:eastAsia="Calibri" w:cs="Tahoma"/>
          <w:szCs w:val="18"/>
        </w:rPr>
        <w:t>un numero pari al numero di licenze qualificanti cedute al server oltre al numero effettivo di processori fisici sul server moltiplicato per otto.</w:t>
      </w:r>
    </w:p>
    <w:p w:rsidR="00031ABF" w:rsidRPr="00BD7CEA" w:rsidRDefault="00031ABF" w:rsidP="00031ABF">
      <w:pPr>
        <w:ind w:left="720"/>
        <w:contextualSpacing/>
      </w:pPr>
    </w:p>
    <w:p w:rsidR="00031ABF" w:rsidRPr="00BD7CEA" w:rsidRDefault="00A81E83" w:rsidP="00031ABF">
      <w:pPr>
        <w:spacing w:after="60"/>
        <w:ind w:left="720"/>
      </w:pPr>
      <w:r w:rsidRPr="00BD7CEA">
        <w:rPr>
          <w:rFonts w:eastAsia="Calibri" w:cs="Tahoma"/>
          <w:b/>
          <w:szCs w:val="18"/>
        </w:rPr>
        <w:t>Primo Periodo di Rinnovo (in data 1 aprile 2015 o successiva)</w:t>
      </w:r>
    </w:p>
    <w:p w:rsidR="00A81E83" w:rsidRPr="00BD7CEA" w:rsidRDefault="00A81E83" w:rsidP="00031ABF">
      <w:pPr>
        <w:ind w:left="720"/>
        <w:contextualSpacing/>
      </w:pPr>
      <w:r w:rsidRPr="00BD7CEA">
        <w:rPr>
          <w:rFonts w:eastAsia="Calibri" w:cs="Tahoma"/>
          <w:color w:val="000000"/>
          <w:szCs w:val="18"/>
        </w:rPr>
        <w:t>Le società che rinnovano per la prima volta la copertura in data 1 aprile 2015</w:t>
      </w:r>
      <w:r w:rsidRPr="00BD7CEA">
        <w:rPr>
          <w:rFonts w:eastAsia="Calibri" w:cs="Tahoma"/>
          <w:szCs w:val="18"/>
        </w:rPr>
        <w:t xml:space="preserve"> potranno, per ogni server ottenuto in licenza in conformità ai diritti di utilizzo del prodotto previsti dalla licenza per processore SQL</w:t>
      </w:r>
      <w:r w:rsidR="00D50B85">
        <w:rPr>
          <w:rFonts w:eastAsia="Calibri" w:cs="Tahoma"/>
          <w:szCs w:val="18"/>
        </w:rPr>
        <w:t> </w:t>
      </w:r>
      <w:r w:rsidRPr="00BD7CEA">
        <w:rPr>
          <w:rFonts w:eastAsia="Calibri" w:cs="Tahoma"/>
          <w:szCs w:val="18"/>
        </w:rPr>
        <w:t>Server 2008 R2, acquistare la copertura Software Assurance come di seguito indicato:</w:t>
      </w:r>
    </w:p>
    <w:p w:rsidR="00031ABF" w:rsidRPr="00BD7CEA" w:rsidRDefault="00031ABF" w:rsidP="00031ABF">
      <w:pPr>
        <w:ind w:left="720"/>
        <w:contextualSpacing/>
      </w:pPr>
    </w:p>
    <w:p w:rsidR="00A81E83" w:rsidRPr="004D4391" w:rsidRDefault="00A81E83" w:rsidP="007358C5">
      <w:pPr>
        <w:numPr>
          <w:ilvl w:val="0"/>
          <w:numId w:val="102"/>
        </w:numPr>
        <w:spacing w:after="60"/>
        <w:ind w:left="1440"/>
        <w:rPr>
          <w:rFonts w:eastAsia="Calibri" w:cs="Tahoma"/>
          <w:szCs w:val="18"/>
        </w:rPr>
      </w:pPr>
      <w:r w:rsidRPr="004D4391">
        <w:rPr>
          <w:rFonts w:eastAsia="Calibri" w:cs="Tahoma"/>
          <w:szCs w:val="18"/>
        </w:rPr>
        <w:t>come stabilito nel primo paragrafo di questa nota relativa al prodotto, le licenze acquistate prima del 1 aprile 2015 sono licenze qualificanti e le società potranno rinnovare la copertura Software Assurance in base alle condizioni riportate nel precedente Articolo “Primo Periodo di Rinnovo (prima</w:t>
      </w:r>
      <w:r w:rsidR="00D66333" w:rsidRPr="004D4391">
        <w:rPr>
          <w:rFonts w:eastAsia="Calibri" w:cs="Tahoma"/>
          <w:szCs w:val="18"/>
        </w:rPr>
        <w:t> </w:t>
      </w:r>
      <w:r w:rsidRPr="004D4391">
        <w:rPr>
          <w:rFonts w:eastAsia="Calibri" w:cs="Tahoma"/>
          <w:szCs w:val="18"/>
        </w:rPr>
        <w:t xml:space="preserve">del 1 aprile 2015)” e </w:t>
      </w:r>
    </w:p>
    <w:p w:rsidR="00A81E83" w:rsidRPr="00BD7CEA" w:rsidRDefault="00A81E83" w:rsidP="007358C5">
      <w:pPr>
        <w:numPr>
          <w:ilvl w:val="0"/>
          <w:numId w:val="102"/>
        </w:numPr>
        <w:spacing w:after="60"/>
        <w:ind w:left="1440"/>
      </w:pPr>
      <w:r w:rsidRPr="00BD7CEA">
        <w:rPr>
          <w:rFonts w:eastAsia="Calibri" w:cs="Tahoma"/>
          <w:szCs w:val="18"/>
        </w:rPr>
        <w:t>per le licenze acquistate dopo il 1 aprile 2015 le società potranno rinnovare la copertura Software Assurance per otto licenze core per SQL Server Enterprise senza dover acquistare le licenze core sottostanti per ogni licenza per processore per SQL Server 2008 R2 Datacenter. Per l</w:t>
      </w:r>
      <w:r w:rsidR="007A1415" w:rsidRPr="00BD7CEA">
        <w:rPr>
          <w:rFonts w:eastAsia="Calibri" w:cs="Tahoma"/>
          <w:szCs w:val="18"/>
        </w:rPr>
        <w:t>’</w:t>
      </w:r>
      <w:r w:rsidRPr="00BD7CEA">
        <w:rPr>
          <w:rFonts w:eastAsia="Calibri" w:cs="Tahoma"/>
          <w:szCs w:val="18"/>
        </w:rPr>
        <w:t>utilizzo continuativo di SQL Server 2012 su processori che richiedono più di otto licenze core per processore la società deve acquistare le licenze core aggiuntive.</w:t>
      </w:r>
    </w:p>
    <w:p w:rsidR="00031ABF" w:rsidRPr="00BD7CEA" w:rsidRDefault="00031ABF" w:rsidP="00031ABF">
      <w:pPr>
        <w:ind w:left="1440"/>
        <w:contextualSpacing/>
      </w:pPr>
    </w:p>
    <w:p w:rsidR="00A81E83" w:rsidRPr="00BD7CEA" w:rsidRDefault="00A81E83" w:rsidP="00031ABF">
      <w:pPr>
        <w:ind w:left="720"/>
        <w:contextualSpacing/>
      </w:pPr>
      <w:r w:rsidRPr="00BD7CEA">
        <w:rPr>
          <w:rFonts w:eastAsia="Calibri" w:cs="Tahoma"/>
          <w:szCs w:val="18"/>
        </w:rPr>
        <w:t>Le licenze per processore delle società non sono più valide se si acquista la copertura Software Assurance per licenze core ai sensi della presente offerta. L</w:t>
      </w:r>
      <w:r w:rsidR="007A1415" w:rsidRPr="00BD7CEA">
        <w:rPr>
          <w:rFonts w:eastAsia="Calibri" w:cs="Tahoma"/>
          <w:szCs w:val="18"/>
        </w:rPr>
        <w:t>’</w:t>
      </w:r>
      <w:r w:rsidRPr="00BD7CEA">
        <w:rPr>
          <w:rFonts w:eastAsia="Calibri" w:cs="Tahoma"/>
          <w:szCs w:val="18"/>
        </w:rPr>
        <w:t>opzione di acquistare Software Assurance per le licenze core per SQL Server non è applicabile al rinnovo della copertura ai sensi dei programmi di sottoscrizione.</w:t>
      </w:r>
    </w:p>
    <w:p w:rsidR="00031ABF" w:rsidRPr="00BD7CEA" w:rsidRDefault="00031ABF" w:rsidP="00031ABF">
      <w:pPr>
        <w:tabs>
          <w:tab w:val="left" w:pos="720"/>
        </w:tabs>
        <w:ind w:left="720"/>
        <w:contextualSpacing/>
      </w:pPr>
    </w:p>
    <w:p w:rsidR="00031ABF" w:rsidRPr="00BD7CEA" w:rsidRDefault="00A81E83" w:rsidP="00031ABF">
      <w:pPr>
        <w:tabs>
          <w:tab w:val="left" w:pos="720"/>
        </w:tabs>
        <w:spacing w:after="60"/>
        <w:ind w:left="720"/>
      </w:pPr>
      <w:r w:rsidRPr="00BD7CEA">
        <w:rPr>
          <w:rFonts w:eastAsia="Calibri" w:cs="Tahoma"/>
          <w:b/>
          <w:szCs w:val="18"/>
        </w:rPr>
        <w:t>Per le Società con copertura Software Assurance in scadenza prima del 1 aprile 2015 che scelgono di non effettuare il rinnovo</w:t>
      </w:r>
    </w:p>
    <w:p w:rsidR="00A81E83" w:rsidRPr="00BD7CEA" w:rsidRDefault="00A81E83" w:rsidP="00031ABF">
      <w:pPr>
        <w:tabs>
          <w:tab w:val="left" w:pos="720"/>
        </w:tabs>
        <w:ind w:left="720"/>
        <w:contextualSpacing/>
      </w:pPr>
      <w:r w:rsidRPr="00BD7CEA">
        <w:rPr>
          <w:rFonts w:eastAsia="Calibri" w:cs="Tahoma"/>
          <w:szCs w:val="18"/>
        </w:rPr>
        <w:t xml:space="preserve">Le società titolari di contratti Enterprise Subscription </w:t>
      </w:r>
      <w:r w:rsidRPr="00BD7CEA">
        <w:rPr>
          <w:rFonts w:cs="Tahoma"/>
          <w:bCs/>
          <w:color w:val="000000"/>
          <w:szCs w:val="18"/>
        </w:rPr>
        <w:t xml:space="preserve">e Open Value Subscription </w:t>
      </w:r>
      <w:r w:rsidRPr="00BD7CEA">
        <w:rPr>
          <w:rFonts w:eastAsia="Calibri" w:cs="Tahoma"/>
          <w:szCs w:val="18"/>
        </w:rPr>
        <w:t>con copertura in scadenza prima del 1 aprile 2015 che scelgono di effettuare il buy-out delle licenze per processore e altre società che acquistano licenze perpetue ai sensi del loro contratto e scelgono di non rinnovare Software Assurance potranno eseguire SQL Server 2008 R2 o SQL Server 2012 ai sensi di tali licenze come indicato sotto:</w:t>
      </w:r>
    </w:p>
    <w:p w:rsidR="00CA0E2D" w:rsidRPr="00BD7CEA" w:rsidRDefault="00CA0E2D" w:rsidP="00031ABF">
      <w:pPr>
        <w:tabs>
          <w:tab w:val="left" w:pos="720"/>
        </w:tabs>
        <w:ind w:left="720"/>
        <w:contextualSpacing/>
      </w:pPr>
    </w:p>
    <w:p w:rsidR="00A81E83" w:rsidRPr="00BD7CEA" w:rsidRDefault="00A81E83" w:rsidP="007358C5">
      <w:pPr>
        <w:numPr>
          <w:ilvl w:val="0"/>
          <w:numId w:val="50"/>
        </w:numPr>
        <w:tabs>
          <w:tab w:val="left" w:pos="1440"/>
        </w:tabs>
        <w:spacing w:after="60"/>
      </w:pPr>
      <w:r w:rsidRPr="00BD7CEA">
        <w:rPr>
          <w:rFonts w:eastAsia="Calibri" w:cs="Tahoma"/>
          <w:b/>
          <w:szCs w:val="18"/>
        </w:rPr>
        <w:t>SQL Server 2008 R2 Datacenter:</w:t>
      </w:r>
      <w:r w:rsidRPr="00BD7CEA">
        <w:rPr>
          <w:rFonts w:eastAsia="Calibri" w:cs="Tahoma"/>
          <w:szCs w:val="18"/>
        </w:rPr>
        <w:t xml:space="preserve"> l</w:t>
      </w:r>
      <w:r w:rsidR="007A1415" w:rsidRPr="00BD7CEA">
        <w:rPr>
          <w:rFonts w:eastAsia="Calibri" w:cs="Tahoma"/>
          <w:szCs w:val="18"/>
        </w:rPr>
        <w:t>’</w:t>
      </w:r>
      <w:r w:rsidRPr="00BD7CEA">
        <w:rPr>
          <w:rFonts w:eastAsia="Calibri" w:cs="Tahoma"/>
          <w:szCs w:val="18"/>
        </w:rPr>
        <w:t>utilizzo continuativo di tale versione del software è</w:t>
      </w:r>
      <w:r w:rsidR="00D66333" w:rsidRPr="00BD7CEA">
        <w:rPr>
          <w:rFonts w:eastAsia="Calibri" w:cs="Tahoma"/>
          <w:szCs w:val="18"/>
        </w:rPr>
        <w:t> </w:t>
      </w:r>
      <w:r w:rsidRPr="00BD7CEA">
        <w:rPr>
          <w:rFonts w:eastAsia="Calibri" w:cs="Tahoma"/>
          <w:szCs w:val="18"/>
        </w:rPr>
        <w:t>soggetto</w:t>
      </w:r>
      <w:r w:rsidR="00D66333" w:rsidRPr="00BD7CEA">
        <w:rPr>
          <w:rFonts w:eastAsia="Calibri" w:cs="Tahoma"/>
          <w:szCs w:val="18"/>
        </w:rPr>
        <w:t> </w:t>
      </w:r>
      <w:r w:rsidRPr="00BD7CEA">
        <w:rPr>
          <w:rFonts w:eastAsia="Calibri" w:cs="Tahoma"/>
          <w:szCs w:val="18"/>
        </w:rPr>
        <w:t xml:space="preserve">ai diritti di utilizzo del prodotto previsti dalla licenza per processore SQL Server 2008 R2 Datacenter. </w:t>
      </w:r>
    </w:p>
    <w:p w:rsidR="00A81E83" w:rsidRPr="00BD7CEA" w:rsidRDefault="00A81E83" w:rsidP="007358C5">
      <w:pPr>
        <w:numPr>
          <w:ilvl w:val="0"/>
          <w:numId w:val="50"/>
        </w:numPr>
        <w:tabs>
          <w:tab w:val="left" w:pos="1440"/>
          <w:tab w:val="left" w:pos="2970"/>
        </w:tabs>
        <w:spacing w:after="60"/>
      </w:pPr>
      <w:r w:rsidRPr="00BD7CEA">
        <w:rPr>
          <w:rFonts w:eastAsia="Calibri" w:cs="Tahoma"/>
          <w:b/>
          <w:szCs w:val="18"/>
        </w:rPr>
        <w:lastRenderedPageBreak/>
        <w:t xml:space="preserve">SQL Server 2012 Enterprise Core: </w:t>
      </w:r>
      <w:r w:rsidRPr="00BD7CEA">
        <w:rPr>
          <w:rFonts w:eastAsia="Calibri" w:cs="Tahoma"/>
          <w:szCs w:val="18"/>
        </w:rPr>
        <w:t>l</w:t>
      </w:r>
      <w:r w:rsidR="007A1415" w:rsidRPr="00BD7CEA">
        <w:rPr>
          <w:rFonts w:eastAsia="Calibri" w:cs="Tahoma"/>
          <w:szCs w:val="18"/>
        </w:rPr>
        <w:t>’</w:t>
      </w:r>
      <w:r w:rsidRPr="00BD7CEA">
        <w:rPr>
          <w:rFonts w:eastAsia="Calibri" w:cs="Tahoma"/>
          <w:szCs w:val="18"/>
        </w:rPr>
        <w:t xml:space="preserve">utilizzo di tale versione del software è soggetto ai diritti di utilizzo del prodotto previsti dalla licenza per processore SQL Server 2008 R2 Enterprise, tuttavia: </w:t>
      </w:r>
    </w:p>
    <w:p w:rsidR="00A81E83" w:rsidRPr="00BD7CEA" w:rsidRDefault="00A81E83" w:rsidP="007358C5">
      <w:pPr>
        <w:numPr>
          <w:ilvl w:val="1"/>
          <w:numId w:val="50"/>
        </w:numPr>
        <w:tabs>
          <w:tab w:val="left" w:pos="1800"/>
        </w:tabs>
        <w:spacing w:after="60"/>
        <w:ind w:left="1800"/>
      </w:pPr>
      <w:r w:rsidRPr="00BD7CEA">
        <w:rPr>
          <w:rFonts w:eastAsia="Calibri" w:cs="Tahoma"/>
          <w:szCs w:val="18"/>
        </w:rPr>
        <w:t>le società non disporranno più di diritti sull</w:t>
      </w:r>
      <w:r w:rsidR="007A1415" w:rsidRPr="00BD7CEA">
        <w:rPr>
          <w:rFonts w:eastAsia="Calibri" w:cs="Tahoma"/>
          <w:szCs w:val="18"/>
        </w:rPr>
        <w:t>’</w:t>
      </w:r>
      <w:r w:rsidRPr="00BD7CEA">
        <w:rPr>
          <w:rFonts w:eastAsia="Calibri" w:cs="Tahoma"/>
          <w:szCs w:val="18"/>
        </w:rPr>
        <w:t>utilizzo per la Virtualizzazione Illimitata, Mobilità delle Licenze all</w:t>
      </w:r>
      <w:r w:rsidR="007A1415" w:rsidRPr="00BD7CEA">
        <w:rPr>
          <w:rFonts w:eastAsia="Calibri" w:cs="Tahoma"/>
          <w:szCs w:val="18"/>
        </w:rPr>
        <w:t>’</w:t>
      </w:r>
      <w:r w:rsidRPr="00BD7CEA">
        <w:rPr>
          <w:rFonts w:eastAsia="Calibri" w:cs="Tahoma"/>
          <w:szCs w:val="18"/>
        </w:rPr>
        <w:t xml:space="preserve">interno di Server Farm o Mobilità delle Licenze tramite Software Assurance e </w:t>
      </w:r>
    </w:p>
    <w:p w:rsidR="00A81E83" w:rsidRPr="00BD7CEA" w:rsidRDefault="00A81E83" w:rsidP="007358C5">
      <w:pPr>
        <w:numPr>
          <w:ilvl w:val="1"/>
          <w:numId w:val="50"/>
        </w:numPr>
        <w:tabs>
          <w:tab w:val="left" w:pos="1800"/>
        </w:tabs>
        <w:spacing w:after="60"/>
        <w:ind w:left="1800"/>
      </w:pPr>
      <w:r w:rsidRPr="00BD7CEA">
        <w:rPr>
          <w:rFonts w:eastAsia="Calibri" w:cs="Tahoma"/>
          <w:szCs w:val="18"/>
        </w:rPr>
        <w:t>l</w:t>
      </w:r>
      <w:r w:rsidR="007A1415" w:rsidRPr="00BD7CEA">
        <w:rPr>
          <w:rFonts w:eastAsia="Calibri" w:cs="Tahoma"/>
          <w:szCs w:val="18"/>
        </w:rPr>
        <w:t>’</w:t>
      </w:r>
      <w:r w:rsidRPr="00BD7CEA">
        <w:rPr>
          <w:rFonts w:eastAsia="Calibri" w:cs="Tahoma"/>
          <w:szCs w:val="18"/>
        </w:rPr>
        <w:t>eventuale riassegnazione di licenze è soggetta ai limiti indicati nei paragrafi (i) e (ii) che seguono relativi alla loro “equivalenza di licenze core”. L</w:t>
      </w:r>
      <w:r w:rsidR="007A1415" w:rsidRPr="00BD7CEA">
        <w:rPr>
          <w:rFonts w:eastAsia="Calibri" w:cs="Tahoma"/>
          <w:szCs w:val="18"/>
        </w:rPr>
        <w:t>’</w:t>
      </w:r>
      <w:r w:rsidRPr="00BD7CEA">
        <w:rPr>
          <w:rFonts w:eastAsia="Calibri" w:cs="Tahoma"/>
          <w:szCs w:val="18"/>
        </w:rPr>
        <w:t xml:space="preserve">equivalenza di licenze core è determinata come di seguito riportato. </w:t>
      </w:r>
    </w:p>
    <w:p w:rsidR="00A81E83" w:rsidRPr="00BD7CEA" w:rsidRDefault="00A81E83" w:rsidP="007358C5">
      <w:pPr>
        <w:numPr>
          <w:ilvl w:val="2"/>
          <w:numId w:val="50"/>
        </w:numPr>
        <w:tabs>
          <w:tab w:val="left" w:pos="2160"/>
        </w:tabs>
        <w:spacing w:after="60"/>
        <w:ind w:left="2160" w:hanging="360"/>
      </w:pPr>
      <w:r w:rsidRPr="00BD7CEA">
        <w:rPr>
          <w:rFonts w:eastAsia="Calibri" w:cs="Tahoma"/>
          <w:szCs w:val="18"/>
        </w:rPr>
        <w:t>Per un numero di licenze pari al numero inferiore tra (x) il numero totale di licenze per processore cedute a un server con licenza appena prima della scadenza di Software Assurance o (y) il numero totale di processori fisici su tale server, l</w:t>
      </w:r>
      <w:r w:rsidR="007A1415" w:rsidRPr="00BD7CEA">
        <w:rPr>
          <w:rFonts w:eastAsia="Calibri" w:cs="Tahoma"/>
          <w:szCs w:val="18"/>
        </w:rPr>
        <w:t>’</w:t>
      </w:r>
      <w:r w:rsidRPr="00BD7CEA">
        <w:rPr>
          <w:rFonts w:eastAsia="Calibri" w:cs="Tahoma"/>
          <w:szCs w:val="18"/>
        </w:rPr>
        <w:t xml:space="preserve">equivalenza di licenze core è il numero maggiore tra: </w:t>
      </w:r>
    </w:p>
    <w:p w:rsidR="00A81E83" w:rsidRPr="00406FF6" w:rsidRDefault="00A81E83" w:rsidP="00406FF6">
      <w:pPr>
        <w:numPr>
          <w:ilvl w:val="0"/>
          <w:numId w:val="141"/>
        </w:numPr>
        <w:tabs>
          <w:tab w:val="left" w:pos="2520"/>
        </w:tabs>
        <w:spacing w:after="60"/>
        <w:ind w:left="2520"/>
        <w:rPr>
          <w:rFonts w:eastAsia="Calibri" w:cs="Tahoma"/>
          <w:szCs w:val="18"/>
        </w:rPr>
      </w:pPr>
      <w:r w:rsidRPr="00406FF6">
        <w:rPr>
          <w:rFonts w:eastAsia="Calibri" w:cs="Tahoma"/>
          <w:szCs w:val="18"/>
        </w:rPr>
        <w:t xml:space="preserve">otto core per licenza per processore O </w:t>
      </w:r>
    </w:p>
    <w:p w:rsidR="00A81E83" w:rsidRPr="00BD7CEA" w:rsidRDefault="00A81E83" w:rsidP="00406FF6">
      <w:pPr>
        <w:numPr>
          <w:ilvl w:val="0"/>
          <w:numId w:val="141"/>
        </w:numPr>
        <w:tabs>
          <w:tab w:val="left" w:pos="2520"/>
        </w:tabs>
        <w:spacing w:after="60"/>
        <w:ind w:left="2520"/>
      </w:pPr>
      <w:r w:rsidRPr="00BD7CEA">
        <w:rPr>
          <w:rFonts w:eastAsia="Calibri" w:cs="Tahoma"/>
          <w:szCs w:val="18"/>
        </w:rPr>
        <w:t>un numero di core per licenza per processore basato sul numero effettivo di core per processore fisico moltiplicato per il fattore core appropriato. (Nei casi in cui il numero effettivo di core per processore fisico superi otto, le società dovranno conservare un record della configurazione del software SQL Server in esecuzione sul server (istanze con licenza in esecuzione negli ambienti del sistema operativo sul server con licenza) e l</w:t>
      </w:r>
      <w:r w:rsidR="007A1415" w:rsidRPr="00BD7CEA">
        <w:rPr>
          <w:rFonts w:eastAsia="Calibri" w:cs="Tahoma"/>
          <w:szCs w:val="18"/>
        </w:rPr>
        <w:t>’</w:t>
      </w:r>
      <w:r w:rsidRPr="00BD7CEA">
        <w:rPr>
          <w:rFonts w:eastAsia="Calibri" w:cs="Tahoma"/>
          <w:szCs w:val="18"/>
        </w:rPr>
        <w:t xml:space="preserve">hardware fisico che supporta tale software appena prima della scadenza di Software Assurance utilizzando lo strumento MAP di Microsoft o un software equivalente). </w:t>
      </w:r>
    </w:p>
    <w:p w:rsidR="00A81E83" w:rsidRPr="00BD7CEA" w:rsidRDefault="00A81E83" w:rsidP="007358C5">
      <w:pPr>
        <w:numPr>
          <w:ilvl w:val="2"/>
          <w:numId w:val="50"/>
        </w:numPr>
        <w:tabs>
          <w:tab w:val="left" w:pos="2160"/>
        </w:tabs>
        <w:spacing w:after="60"/>
        <w:ind w:left="2160" w:hanging="360"/>
      </w:pPr>
      <w:r w:rsidRPr="00BD7CEA">
        <w:rPr>
          <w:rFonts w:eastAsia="Calibri" w:cs="Tahoma"/>
          <w:szCs w:val="18"/>
        </w:rPr>
        <w:t>Per qualsiasi licenza per processore con la copertura Software Assurance in scadenza ceduta allo stesso server con licenza che ecceda il numero effettivo di processori fisici sul</w:t>
      </w:r>
      <w:r w:rsidR="00D66333" w:rsidRPr="00BD7CEA">
        <w:rPr>
          <w:rFonts w:eastAsia="Calibri" w:cs="Tahoma"/>
          <w:szCs w:val="18"/>
        </w:rPr>
        <w:t> </w:t>
      </w:r>
      <w:r w:rsidRPr="00BD7CEA">
        <w:rPr>
          <w:rFonts w:eastAsia="Calibri" w:cs="Tahoma"/>
          <w:szCs w:val="18"/>
        </w:rPr>
        <w:t>server, l</w:t>
      </w:r>
      <w:r w:rsidR="007A1415" w:rsidRPr="00BD7CEA">
        <w:rPr>
          <w:rFonts w:eastAsia="Calibri" w:cs="Tahoma"/>
          <w:szCs w:val="18"/>
        </w:rPr>
        <w:t>’</w:t>
      </w:r>
      <w:r w:rsidRPr="00BD7CEA">
        <w:rPr>
          <w:rFonts w:eastAsia="Calibri" w:cs="Tahoma"/>
          <w:szCs w:val="18"/>
        </w:rPr>
        <w:t>equivalenza core è di otto core per licenza per processore.</w:t>
      </w:r>
    </w:p>
    <w:p w:rsidR="00A81E83" w:rsidRPr="00BD7CEA" w:rsidRDefault="00A81E83" w:rsidP="007358C5">
      <w:pPr>
        <w:numPr>
          <w:ilvl w:val="1"/>
          <w:numId w:val="50"/>
        </w:numPr>
        <w:tabs>
          <w:tab w:val="left" w:pos="1800"/>
          <w:tab w:val="left" w:pos="2970"/>
        </w:tabs>
        <w:spacing w:after="60"/>
        <w:ind w:left="1800"/>
      </w:pPr>
      <w:r w:rsidRPr="00BD7CEA">
        <w:rPr>
          <w:rFonts w:eastAsia="Calibri" w:cs="Tahoma"/>
          <w:szCs w:val="18"/>
        </w:rPr>
        <w:t>Le società potranno riassegnare le licenze a un altro server. Tuttavia, qualora la società riassegni una licenza a un altro server, dovrà attenersi ai diritti sull</w:t>
      </w:r>
      <w:r w:rsidR="007A1415" w:rsidRPr="00BD7CEA">
        <w:rPr>
          <w:rFonts w:eastAsia="Calibri" w:cs="Tahoma"/>
          <w:szCs w:val="18"/>
        </w:rPr>
        <w:t>’</w:t>
      </w:r>
      <w:r w:rsidRPr="00BD7CEA">
        <w:rPr>
          <w:rFonts w:eastAsia="Calibri" w:cs="Tahoma"/>
          <w:szCs w:val="18"/>
        </w:rPr>
        <w:t>utilizzo di SQL Server 2012. Quando cede licenze core a server ai sensi dei diritti sull</w:t>
      </w:r>
      <w:r w:rsidR="007A1415" w:rsidRPr="00BD7CEA">
        <w:rPr>
          <w:rFonts w:eastAsia="Calibri" w:cs="Tahoma"/>
          <w:szCs w:val="18"/>
        </w:rPr>
        <w:t>’</w:t>
      </w:r>
      <w:r w:rsidRPr="00BD7CEA">
        <w:rPr>
          <w:rFonts w:eastAsia="Calibri" w:cs="Tahoma"/>
          <w:szCs w:val="18"/>
        </w:rPr>
        <w:t>utilizzo per SQL 2012, la società potrà combinare l</w:t>
      </w:r>
      <w:r w:rsidR="007A1415" w:rsidRPr="00BD7CEA">
        <w:rPr>
          <w:rFonts w:eastAsia="Calibri" w:cs="Tahoma"/>
          <w:szCs w:val="18"/>
        </w:rPr>
        <w:t>’</w:t>
      </w:r>
      <w:r w:rsidRPr="00BD7CEA">
        <w:rPr>
          <w:rFonts w:eastAsia="Calibri" w:cs="Tahoma"/>
          <w:szCs w:val="18"/>
        </w:rPr>
        <w:t>equivalenza core delle licenze esistenti con le licenze core per SQL Server 2012 aggiuntive.</w:t>
      </w:r>
      <w:r w:rsidR="008D782D" w:rsidRPr="00BD7CEA">
        <w:rPr>
          <w:rFonts w:eastAsia="Calibri" w:cs="Tahoma"/>
          <w:szCs w:val="18"/>
        </w:rPr>
        <w:t xml:space="preserve"> </w:t>
      </w:r>
    </w:p>
    <w:p w:rsidR="00A81E83" w:rsidRPr="00BD7CEA" w:rsidRDefault="00A81E83" w:rsidP="007358C5">
      <w:pPr>
        <w:numPr>
          <w:ilvl w:val="1"/>
          <w:numId w:val="50"/>
        </w:numPr>
        <w:tabs>
          <w:tab w:val="left" w:pos="1800"/>
        </w:tabs>
        <w:spacing w:after="60"/>
        <w:ind w:left="1800"/>
      </w:pPr>
      <w:r w:rsidRPr="00BD7CEA">
        <w:rPr>
          <w:rFonts w:eastAsia="Calibri" w:cs="Tahoma"/>
          <w:szCs w:val="18"/>
        </w:rPr>
        <w:t>L</w:t>
      </w:r>
      <w:r w:rsidR="007A1415" w:rsidRPr="00BD7CEA">
        <w:rPr>
          <w:rFonts w:eastAsia="Calibri" w:cs="Tahoma"/>
          <w:szCs w:val="18"/>
        </w:rPr>
        <w:t>’</w:t>
      </w:r>
      <w:r w:rsidRPr="00BD7CEA">
        <w:rPr>
          <w:rFonts w:eastAsia="Calibri" w:cs="Tahoma"/>
          <w:szCs w:val="18"/>
        </w:rPr>
        <w:t>equivalenza di licenze core stimata delle società non implica che esse possano cedere una licenza singola per processore a core attraverso due o più processori.</w:t>
      </w:r>
    </w:p>
    <w:p w:rsidR="00CA0E2D" w:rsidRPr="00BD7CEA" w:rsidRDefault="00CA0E2D" w:rsidP="00CA0E2D">
      <w:pPr>
        <w:tabs>
          <w:tab w:val="left" w:pos="720"/>
        </w:tabs>
        <w:ind w:left="720"/>
        <w:contextualSpacing/>
      </w:pPr>
    </w:p>
    <w:p w:rsidR="00CA0E2D" w:rsidRPr="00BD7CEA" w:rsidRDefault="00A81E83" w:rsidP="00CA0E2D">
      <w:pPr>
        <w:tabs>
          <w:tab w:val="left" w:pos="720"/>
        </w:tabs>
        <w:spacing w:after="60"/>
        <w:ind w:left="720"/>
      </w:pPr>
      <w:r w:rsidRPr="00BD7CEA">
        <w:rPr>
          <w:rFonts w:eastAsia="Calibri" w:cs="Tahoma"/>
          <w:b/>
          <w:szCs w:val="18"/>
        </w:rPr>
        <w:t>Per le Società con copertura Software Assurance in scadenza in data 1 aprile 2015 o successiva che scelgono di non effettuare il rinnovo</w:t>
      </w:r>
    </w:p>
    <w:p w:rsidR="00A81E83" w:rsidRPr="00BD7CEA" w:rsidRDefault="00A81E83" w:rsidP="00CA0E2D">
      <w:pPr>
        <w:tabs>
          <w:tab w:val="left" w:pos="720"/>
        </w:tabs>
        <w:ind w:left="720"/>
        <w:contextualSpacing/>
      </w:pPr>
      <w:r w:rsidRPr="00BD7CEA">
        <w:rPr>
          <w:rFonts w:eastAsia="Calibri" w:cs="Tahoma"/>
          <w:color w:val="000000"/>
          <w:szCs w:val="18"/>
        </w:rPr>
        <w:t xml:space="preserve">Alle società titolari di contratti Enterprise Subscription </w:t>
      </w:r>
      <w:r w:rsidRPr="00BD7CEA">
        <w:rPr>
          <w:rFonts w:cs="Tahoma"/>
          <w:bCs/>
          <w:color w:val="000000"/>
          <w:szCs w:val="18"/>
        </w:rPr>
        <w:t xml:space="preserve">e Open Value Subscription </w:t>
      </w:r>
      <w:r w:rsidRPr="00BD7CEA">
        <w:rPr>
          <w:rFonts w:eastAsia="Calibri" w:cs="Tahoma"/>
          <w:color w:val="000000"/>
          <w:szCs w:val="18"/>
        </w:rPr>
        <w:t xml:space="preserve">con copertura in scadenza in data 1 aprile 2015 o successiva che scelgono di effettuare il buy-out delle licenze per processore e alle altre società che acquistano licenze perpetue ai sensi del loro contratto verranno offerte le seguenti opzioni: </w:t>
      </w:r>
    </w:p>
    <w:p w:rsidR="00CA0E2D" w:rsidRPr="00BD7CEA" w:rsidRDefault="00CA0E2D" w:rsidP="00CA0E2D">
      <w:pPr>
        <w:tabs>
          <w:tab w:val="left" w:pos="720"/>
        </w:tabs>
        <w:ind w:left="720"/>
        <w:contextualSpacing/>
      </w:pPr>
    </w:p>
    <w:p w:rsidR="00A81E83" w:rsidRPr="004D4391" w:rsidRDefault="00A81E83" w:rsidP="007358C5">
      <w:pPr>
        <w:numPr>
          <w:ilvl w:val="0"/>
          <w:numId w:val="131"/>
        </w:numPr>
        <w:tabs>
          <w:tab w:val="left" w:pos="1440"/>
        </w:tabs>
        <w:spacing w:after="60"/>
        <w:ind w:left="1440"/>
        <w:rPr>
          <w:rFonts w:eastAsia="Calibri" w:cs="Tahoma"/>
          <w:szCs w:val="18"/>
        </w:rPr>
      </w:pPr>
      <w:r w:rsidRPr="004D4391">
        <w:rPr>
          <w:rFonts w:eastAsia="Calibri" w:cs="Tahoma"/>
          <w:szCs w:val="18"/>
        </w:rPr>
        <w:t xml:space="preserve">come stabilito nel primo paragrafo di questa nota relativa al prodotto, le licenze acquistate prima del 1 aprile 2015 sono licenze qualificanti e le società potranno continuare a utilizzare SQL Server 2012 in base alle condizioni riportate nel precedente Articolo “Per le società con copertura Software Assurance in scadenza prima del 1 aprile 2015 che scelgono di non effettuare il rinnovo” e </w:t>
      </w:r>
    </w:p>
    <w:p w:rsidR="00A81E83" w:rsidRPr="00BD7CEA" w:rsidRDefault="00A81E83" w:rsidP="007358C5">
      <w:pPr>
        <w:numPr>
          <w:ilvl w:val="0"/>
          <w:numId w:val="131"/>
        </w:numPr>
        <w:tabs>
          <w:tab w:val="left" w:pos="1440"/>
        </w:tabs>
        <w:spacing w:after="60"/>
        <w:ind w:left="1440"/>
      </w:pPr>
      <w:r w:rsidRPr="00BD7CEA">
        <w:rPr>
          <w:rFonts w:eastAsia="Calibri" w:cs="Tahoma"/>
          <w:szCs w:val="18"/>
        </w:rPr>
        <w:t>per le licenze acquistate dopo il 1 aprile 2015 la licenza per processore delle società avrà un</w:t>
      </w:r>
      <w:r w:rsidR="007A1415" w:rsidRPr="00BD7CEA">
        <w:rPr>
          <w:rFonts w:eastAsia="Calibri" w:cs="Tahoma"/>
          <w:szCs w:val="18"/>
        </w:rPr>
        <w:t>’</w:t>
      </w:r>
      <w:r w:rsidRPr="00BD7CEA">
        <w:rPr>
          <w:rFonts w:eastAsia="Calibri" w:cs="Tahoma"/>
          <w:szCs w:val="18"/>
        </w:rPr>
        <w:t>equivalenza core di otto licenze core Enterprise per SQL Server 2012. Per l</w:t>
      </w:r>
      <w:r w:rsidR="007A1415" w:rsidRPr="00BD7CEA">
        <w:rPr>
          <w:rFonts w:eastAsia="Calibri" w:cs="Tahoma"/>
          <w:szCs w:val="18"/>
        </w:rPr>
        <w:t>’</w:t>
      </w:r>
      <w:r w:rsidRPr="00BD7CEA">
        <w:rPr>
          <w:rFonts w:eastAsia="Calibri" w:cs="Tahoma"/>
          <w:szCs w:val="18"/>
        </w:rPr>
        <w:t>utilizzo continuativo di SQL Server 2012 su processori che richiedono più di otto licenze core per processore la società deve acquistare le licenze core aggiuntive.</w:t>
      </w:r>
    </w:p>
    <w:p w:rsidR="00CA0E2D" w:rsidRPr="00BD7CEA" w:rsidRDefault="00CA0E2D" w:rsidP="00CA0E2D">
      <w:pPr>
        <w:tabs>
          <w:tab w:val="left" w:pos="1440"/>
        </w:tabs>
        <w:ind w:left="1440"/>
        <w:contextualSpacing/>
      </w:pPr>
    </w:p>
    <w:p w:rsidR="00CA0E2D" w:rsidRPr="00BD7CEA" w:rsidRDefault="00A81E83" w:rsidP="00CA0E2D">
      <w:pPr>
        <w:tabs>
          <w:tab w:val="left" w:pos="720"/>
        </w:tabs>
        <w:spacing w:after="60"/>
        <w:ind w:left="720"/>
      </w:pPr>
      <w:r w:rsidRPr="00BD7CEA">
        <w:rPr>
          <w:rFonts w:eastAsia="Calibri" w:cs="Tahoma"/>
          <w:b/>
          <w:szCs w:val="18"/>
        </w:rPr>
        <w:t>Per le società con sede nella Repubblica popolare cinese, dove acquistano licenze per processore e Software Assurance per SQL Server 2008 R2</w:t>
      </w:r>
    </w:p>
    <w:p w:rsidR="00A81E83" w:rsidRPr="00BD7CEA" w:rsidRDefault="00A81E83" w:rsidP="00CA0E2D">
      <w:pPr>
        <w:tabs>
          <w:tab w:val="left" w:pos="720"/>
        </w:tabs>
        <w:ind w:left="720"/>
        <w:contextualSpacing/>
      </w:pPr>
      <w:r w:rsidRPr="00BD7CEA">
        <w:t>Non si applicano i riferimenti al 1 aprile 2012 e al 1 aprile 2015 presenti in questa nota relativa alla lista dei prodotti. Le date applicabili per queste società sarebbero rispettivamente il 1 luglio 2012 e il 1 luglio 2015.</w:t>
      </w:r>
    </w:p>
    <w:p w:rsidR="00A81E83" w:rsidRPr="00BD7CEA" w:rsidRDefault="00A81E83" w:rsidP="00A5643F"/>
    <w:p w:rsidR="00A81E83" w:rsidRPr="00BD7CEA" w:rsidRDefault="00A81E83" w:rsidP="00A81E83">
      <w:pPr>
        <w:ind w:left="900"/>
      </w:pPr>
    </w:p>
    <w:p w:rsidR="00D66333" w:rsidRPr="00BD7CEA" w:rsidRDefault="00D66333" w:rsidP="00A81E83">
      <w:pPr>
        <w:ind w:left="900"/>
      </w:pPr>
    </w:p>
    <w:p w:rsidR="00D66333" w:rsidRPr="00BD7CEA" w:rsidRDefault="00D66333" w:rsidP="00A81E83">
      <w:pPr>
        <w:ind w:left="900"/>
      </w:pPr>
    </w:p>
    <w:p w:rsidR="00D66333" w:rsidRPr="00BD7CEA" w:rsidRDefault="00D66333" w:rsidP="00A81E83">
      <w:pPr>
        <w:ind w:left="900"/>
      </w:pPr>
    </w:p>
    <w:p w:rsidR="00A81E83" w:rsidRPr="00BD7CEA" w:rsidRDefault="00F66FB0" w:rsidP="00A81E83">
      <w:pPr>
        <w:pStyle w:val="Heading3"/>
      </w:pPr>
      <w:bookmarkStart w:id="1425" w:name="_76_74_SQL"/>
      <w:bookmarkStart w:id="1426" w:name="_75_SQL_Server®"/>
      <w:bookmarkStart w:id="1427" w:name="_Toc336338341"/>
      <w:bookmarkStart w:id="1428" w:name="_Toc353376113"/>
      <w:bookmarkStart w:id="1429" w:name="Srv_83SQL2008R2Smallbiz"/>
      <w:bookmarkEnd w:id="1425"/>
      <w:bookmarkEnd w:id="1426"/>
      <w:r w:rsidRPr="00BD7CEA">
        <w:rPr>
          <w:rFonts w:ascii="Tahoma" w:hAnsi="Tahoma" w:cs="Tahoma"/>
          <w:caps/>
          <w:color w:val="FE6700"/>
          <w:sz w:val="22"/>
          <w:vertAlign w:val="superscript"/>
        </w:rPr>
        <w:lastRenderedPageBreak/>
        <w:t xml:space="preserve">75 </w:t>
      </w:r>
      <w:r w:rsidRPr="00BD7CEA">
        <w:rPr>
          <w:rFonts w:ascii="Tahoma" w:hAnsi="Tahoma" w:cs="Tahoma"/>
          <w:color w:val="FE6700"/>
          <w:sz w:val="22"/>
        </w:rPr>
        <w:t>SQL Server</w:t>
      </w:r>
      <w:r w:rsidR="00700C4B" w:rsidRPr="00BD7CEA">
        <w:rPr>
          <w:rFonts w:ascii="Tahoma" w:hAnsi="Tahoma" w:cs="Tahoma"/>
          <w:color w:val="FE6700"/>
          <w:sz w:val="22"/>
          <w:vertAlign w:val="superscript"/>
        </w:rPr>
        <w:t>®</w:t>
      </w:r>
      <w:r w:rsidRPr="00BD7CEA">
        <w:rPr>
          <w:rFonts w:ascii="Tahoma" w:hAnsi="Tahoma" w:cs="Tahoma"/>
          <w:color w:val="FE6700"/>
          <w:sz w:val="22"/>
        </w:rPr>
        <w:t xml:space="preserve"> 2008 R2 Small Business</w:t>
      </w:r>
      <w:bookmarkEnd w:id="1427"/>
      <w:bookmarkEnd w:id="1428"/>
    </w:p>
    <w:bookmarkEnd w:id="1429"/>
    <w:p w:rsidR="00A81E83" w:rsidRPr="00BD7CEA" w:rsidRDefault="00A81E83" w:rsidP="00BD4B91"/>
    <w:p w:rsidR="00CA0E2D" w:rsidRPr="00BD7CEA" w:rsidRDefault="00A81E83" w:rsidP="00CA0E2D">
      <w:pPr>
        <w:spacing w:after="60" w:line="276" w:lineRule="auto"/>
        <w:ind w:left="720"/>
      </w:pPr>
      <w:r w:rsidRPr="00BD7CEA">
        <w:rPr>
          <w:rFonts w:eastAsia="Calibri" w:cs="Tahoma"/>
          <w:b/>
          <w:szCs w:val="18"/>
        </w:rPr>
        <w:t>Concessioni di Licenza Associate alla fine del ciclo di vita di SQL Server Small Business Edition</w:t>
      </w:r>
    </w:p>
    <w:p w:rsidR="00A81E83" w:rsidRPr="00BD7CEA" w:rsidRDefault="00A81E83" w:rsidP="00CA0E2D">
      <w:pPr>
        <w:spacing w:after="200"/>
        <w:ind w:left="720"/>
      </w:pPr>
      <w:r w:rsidRPr="00BD7CEA">
        <w:rPr>
          <w:rFonts w:eastAsia="Calibri" w:cs="Tahoma"/>
          <w:szCs w:val="18"/>
        </w:rPr>
        <w:t>SQL Server 2008 R2 per Small Business sarà l</w:t>
      </w:r>
      <w:r w:rsidR="007A1415" w:rsidRPr="00BD7CEA">
        <w:rPr>
          <w:rFonts w:eastAsia="Calibri" w:cs="Tahoma"/>
          <w:szCs w:val="18"/>
        </w:rPr>
        <w:t>’</w:t>
      </w:r>
      <w:r w:rsidRPr="00BD7CEA">
        <w:rPr>
          <w:rFonts w:eastAsia="Calibri" w:cs="Tahoma"/>
          <w:szCs w:val="18"/>
        </w:rPr>
        <w:t>ultima versione di SQL Server per Small Business Edition.</w:t>
      </w:r>
      <w:r w:rsidR="008D782D" w:rsidRPr="00BD7CEA">
        <w:rPr>
          <w:rFonts w:eastAsia="Calibri" w:cs="Tahoma"/>
          <w:szCs w:val="18"/>
        </w:rPr>
        <w:t xml:space="preserve"> </w:t>
      </w:r>
      <w:r w:rsidRPr="00BD7CEA">
        <w:rPr>
          <w:rFonts w:eastAsia="Calibri" w:cs="Tahoma"/>
          <w:szCs w:val="18"/>
        </w:rPr>
        <w:t>In</w:t>
      </w:r>
      <w:r w:rsidR="00713397">
        <w:rPr>
          <w:rFonts w:eastAsia="Calibri" w:cs="Tahoma"/>
          <w:szCs w:val="18"/>
        </w:rPr>
        <w:t> </w:t>
      </w:r>
      <w:r w:rsidRPr="00BD7CEA">
        <w:rPr>
          <w:rFonts w:eastAsia="Calibri" w:cs="Tahoma"/>
          <w:szCs w:val="18"/>
        </w:rPr>
        <w:t>via eccezionale, le società con contratti multilicenza e con copertura Software Assurance attiva per le licenze per SQL Server 2008 R2 per Small Business in data 1 aprile 2012 potranno effettuare l</w:t>
      </w:r>
      <w:r w:rsidR="007A1415" w:rsidRPr="00BD7CEA">
        <w:rPr>
          <w:rFonts w:eastAsia="Calibri" w:cs="Tahoma"/>
          <w:szCs w:val="18"/>
        </w:rPr>
        <w:t>’</w:t>
      </w:r>
      <w:r w:rsidRPr="00BD7CEA">
        <w:rPr>
          <w:rFonts w:eastAsia="Calibri" w:cs="Tahoma"/>
          <w:szCs w:val="18"/>
        </w:rPr>
        <w:t>aggiornamento a SQL Server 2012 Standard Server e utilizzarlo (o a qualsiasi versione successiva del prodotto resa disponibile durante la copertura) al posto di SQL Server Workgroup Edition e acquistare Software Assurance per SQL Server Standard alla scadenza della copertura in corso. Inoltre, le società con contratti multilicenza e con copertura Software Assurance attiva per le CAL per SQL Server 2008 R2 per Small Business in data 1 aprile 2012 potranno effettuare l</w:t>
      </w:r>
      <w:r w:rsidR="007A1415" w:rsidRPr="00BD7CEA">
        <w:rPr>
          <w:rFonts w:eastAsia="Calibri" w:cs="Tahoma"/>
          <w:szCs w:val="18"/>
        </w:rPr>
        <w:t>’</w:t>
      </w:r>
      <w:r w:rsidRPr="00BD7CEA">
        <w:rPr>
          <w:rFonts w:eastAsia="Calibri" w:cs="Tahoma"/>
          <w:szCs w:val="18"/>
        </w:rPr>
        <w:t>aggiornamento alle CAL per SQL Server 2012 (o a qualsiasi versione successiva della CAL resa disponibile durante la copertura) e utilizzarle al posto della CAL per SQL Server Small Business, e acquistare Software Assurance per la CAL per SQL Server alla scadenza della copertura in corso.</w:t>
      </w:r>
      <w:r w:rsidR="008D782D" w:rsidRPr="00BD7CEA">
        <w:rPr>
          <w:rFonts w:eastAsia="Calibri" w:cs="Tahoma"/>
          <w:szCs w:val="18"/>
        </w:rPr>
        <w:t xml:space="preserve"> </w:t>
      </w:r>
      <w:r w:rsidRPr="00BD7CEA">
        <w:rPr>
          <w:rFonts w:eastAsia="Calibri" w:cs="Tahoma"/>
          <w:szCs w:val="18"/>
        </w:rPr>
        <w:t>Le licenze per SQL Server Small Business delle società non sono più valide quando acquistano la copertura Software Assurance per SQL Server Standard ai sensi della presente offerta.</w:t>
      </w:r>
    </w:p>
    <w:p w:rsidR="00CA0E2D" w:rsidRPr="00BD7CEA" w:rsidRDefault="00A81E83" w:rsidP="00CA0E2D">
      <w:pPr>
        <w:spacing w:after="60" w:line="276" w:lineRule="auto"/>
        <w:ind w:left="720"/>
      </w:pPr>
      <w:r w:rsidRPr="00BD7CEA">
        <w:rPr>
          <w:b/>
        </w:rPr>
        <w:t>Per le società con sede nella Repubblica popolare</w:t>
      </w:r>
      <w:r w:rsidRPr="00BD7CEA">
        <w:t xml:space="preserve"> </w:t>
      </w:r>
      <w:r w:rsidRPr="00BD7CEA">
        <w:rPr>
          <w:b/>
        </w:rPr>
        <w:t>cinese, dove acquistano licenze e Software Assurance per SQL Server 2008 R2</w:t>
      </w:r>
    </w:p>
    <w:p w:rsidR="00CA0E2D" w:rsidRPr="00BD7CEA" w:rsidRDefault="00A81E83" w:rsidP="00CA0E2D">
      <w:pPr>
        <w:ind w:left="720"/>
      </w:pPr>
      <w:r w:rsidRPr="00BD7CEA">
        <w:t xml:space="preserve">Non si applicano i riferimenti al 1 aprile 2012 presenti in questa nota relativa alla lista dei prodotti. </w:t>
      </w:r>
      <w:r w:rsidR="00713397">
        <w:br/>
      </w:r>
      <w:r w:rsidRPr="00BD7CEA">
        <w:t>La data applicabile per queste società sarebbe il 1 luglio 2012.</w:t>
      </w:r>
    </w:p>
    <w:p w:rsidR="00CA0E2D" w:rsidRPr="00BD7CEA" w:rsidRDefault="00CA0E2D" w:rsidP="00CA0E2D">
      <w:pPr>
        <w:ind w:left="720"/>
      </w:pPr>
    </w:p>
    <w:p w:rsidR="002512D3" w:rsidRPr="00BD7CEA" w:rsidRDefault="002512D3">
      <w:bookmarkStart w:id="1430" w:name="_Toc336338342"/>
      <w:bookmarkStart w:id="1431" w:name="Srv_84SQL2008R2Webproc"/>
    </w:p>
    <w:p w:rsidR="00A81E83" w:rsidRPr="00BD7CEA" w:rsidRDefault="00F66FB0" w:rsidP="00A81E83">
      <w:pPr>
        <w:pStyle w:val="Heading3"/>
      </w:pPr>
      <w:bookmarkStart w:id="1432" w:name="_77_75_SQL"/>
      <w:bookmarkStart w:id="1433" w:name="_76_Processore_per"/>
      <w:bookmarkStart w:id="1434" w:name="_Toc353376114"/>
      <w:bookmarkEnd w:id="1432"/>
      <w:bookmarkEnd w:id="1433"/>
      <w:r w:rsidRPr="00BD7CEA">
        <w:rPr>
          <w:rFonts w:ascii="Tahoma" w:hAnsi="Tahoma" w:cs="Tahoma"/>
          <w:caps/>
          <w:color w:val="F66400"/>
          <w:sz w:val="22"/>
          <w:vertAlign w:val="superscript"/>
        </w:rPr>
        <w:t>76</w:t>
      </w:r>
      <w:r w:rsidRPr="00BD7CEA">
        <w:rPr>
          <w:rFonts w:ascii="Tahoma" w:hAnsi="Tahoma" w:cs="Tahoma"/>
          <w:color w:val="F66400"/>
          <w:sz w:val="22"/>
        </w:rPr>
        <w:t xml:space="preserve"> Processore per SQL Server</w:t>
      </w:r>
      <w:r w:rsidR="00700C4B" w:rsidRPr="00BD7CEA">
        <w:rPr>
          <w:rFonts w:ascii="Tahoma" w:hAnsi="Tahoma" w:cs="Tahoma"/>
          <w:color w:val="F66400"/>
          <w:sz w:val="22"/>
          <w:vertAlign w:val="superscript"/>
        </w:rPr>
        <w:t>®</w:t>
      </w:r>
      <w:r w:rsidRPr="00BD7CEA">
        <w:rPr>
          <w:rFonts w:ascii="Tahoma" w:hAnsi="Tahoma" w:cs="Tahoma"/>
          <w:color w:val="F66400"/>
          <w:sz w:val="22"/>
        </w:rPr>
        <w:t xml:space="preserve"> 2008 R2 Web</w:t>
      </w:r>
      <w:bookmarkEnd w:id="1430"/>
      <w:bookmarkEnd w:id="1434"/>
    </w:p>
    <w:bookmarkEnd w:id="1431"/>
    <w:p w:rsidR="00A81E83" w:rsidRPr="00BD7CEA" w:rsidRDefault="00A81E83" w:rsidP="008558DC"/>
    <w:p w:rsidR="008558DC" w:rsidRPr="00BD7CEA" w:rsidRDefault="00A81E83" w:rsidP="008558DC">
      <w:pPr>
        <w:spacing w:after="60"/>
        <w:ind w:left="720"/>
      </w:pPr>
      <w:r w:rsidRPr="00BD7CEA">
        <w:rPr>
          <w:rFonts w:eastAsia="Calibri" w:cs="Tahoma"/>
          <w:b/>
          <w:szCs w:val="18"/>
        </w:rPr>
        <w:t>Concessioni di Licenza Associate alla Variazione del Modello di Licenza</w:t>
      </w:r>
    </w:p>
    <w:p w:rsidR="00A81E83" w:rsidRPr="00BD7CEA" w:rsidRDefault="00A81E83" w:rsidP="008558DC">
      <w:pPr>
        <w:ind w:left="720"/>
      </w:pPr>
      <w:r w:rsidRPr="00BD7CEA">
        <w:rPr>
          <w:rFonts w:eastAsia="Calibri" w:cs="Tahoma"/>
          <w:szCs w:val="18"/>
        </w:rPr>
        <w:t>SQL Server 2008 R2 sarà l</w:t>
      </w:r>
      <w:r w:rsidR="007A1415" w:rsidRPr="00BD7CEA">
        <w:rPr>
          <w:rFonts w:eastAsia="Calibri" w:cs="Tahoma"/>
          <w:szCs w:val="18"/>
        </w:rPr>
        <w:t>’</w:t>
      </w:r>
      <w:r w:rsidRPr="00BD7CEA">
        <w:rPr>
          <w:rFonts w:eastAsia="Calibri" w:cs="Tahoma"/>
          <w:szCs w:val="18"/>
        </w:rPr>
        <w:t>ultima versione di SQL Server concessa in licenza ai sensi del modello di licenza</w:t>
      </w:r>
      <w:r w:rsidR="00D66333" w:rsidRPr="00BD7CEA">
        <w:rPr>
          <w:rFonts w:eastAsia="Calibri" w:cs="Tahoma"/>
          <w:szCs w:val="18"/>
        </w:rPr>
        <w:t> </w:t>
      </w:r>
      <w:r w:rsidRPr="00BD7CEA">
        <w:rPr>
          <w:rFonts w:eastAsia="Calibri" w:cs="Tahoma"/>
          <w:szCs w:val="18"/>
        </w:rPr>
        <w:t>per processore e l</w:t>
      </w:r>
      <w:r w:rsidR="007A1415" w:rsidRPr="00BD7CEA">
        <w:rPr>
          <w:rFonts w:eastAsia="Calibri" w:cs="Tahoma"/>
          <w:szCs w:val="18"/>
        </w:rPr>
        <w:t>’</w:t>
      </w:r>
      <w:r w:rsidRPr="00BD7CEA">
        <w:rPr>
          <w:rFonts w:eastAsia="Calibri" w:cs="Tahoma"/>
          <w:szCs w:val="18"/>
        </w:rPr>
        <w:t>ultima versione di SQL Server Web Edition ai sensi dei programmi per contratti multilicenza.</w:t>
      </w:r>
      <w:r w:rsidR="008D782D" w:rsidRPr="00BD7CEA">
        <w:rPr>
          <w:rFonts w:eastAsia="Calibri" w:cs="Tahoma"/>
          <w:szCs w:val="18"/>
        </w:rPr>
        <w:t xml:space="preserve"> </w:t>
      </w:r>
      <w:r w:rsidRPr="00BD7CEA">
        <w:rPr>
          <w:rFonts w:eastAsia="Calibri" w:cs="Tahoma"/>
          <w:szCs w:val="18"/>
        </w:rPr>
        <w:t xml:space="preserve">In via eccezionale, alle società con contratti multilicenza e copertura Software Assurance attiva per le licenze per processore per SQL Server 2008 R2 Web in data 1 aprile 2012 (“licenze qualificanti”) vengono offerte le opzioni che seguono. </w:t>
      </w:r>
      <w:r w:rsidRPr="00BD7CEA">
        <w:t>Le licenze per processore per SQL Server 2008 R2 Web</w:t>
      </w:r>
      <w:r w:rsidRPr="00BD7CEA">
        <w:rPr>
          <w:rFonts w:cs="Tahoma"/>
          <w:bCs/>
          <w:color w:val="000000"/>
          <w:szCs w:val="18"/>
        </w:rPr>
        <w:t xml:space="preserve"> acquistate successivamente nello stesso periodo di validità dell</w:t>
      </w:r>
      <w:r w:rsidR="007A1415" w:rsidRPr="00BD7CEA">
        <w:rPr>
          <w:rFonts w:cs="Tahoma"/>
          <w:bCs/>
          <w:color w:val="000000"/>
          <w:szCs w:val="18"/>
        </w:rPr>
        <w:t>’</w:t>
      </w:r>
      <w:r w:rsidRPr="00BD7CEA">
        <w:rPr>
          <w:rFonts w:cs="Tahoma"/>
          <w:bCs/>
          <w:color w:val="000000"/>
          <w:szCs w:val="18"/>
        </w:rPr>
        <w:t>iscrizione, ma prima del 1 aprile 2015 nell</w:t>
      </w:r>
      <w:r w:rsidR="007A1415" w:rsidRPr="00BD7CEA">
        <w:rPr>
          <w:rFonts w:cs="Tahoma"/>
          <w:bCs/>
          <w:color w:val="000000"/>
          <w:szCs w:val="18"/>
        </w:rPr>
        <w:t>’</w:t>
      </w:r>
      <w:r w:rsidRPr="00BD7CEA">
        <w:rPr>
          <w:rFonts w:cs="Tahoma"/>
          <w:bCs/>
          <w:color w:val="000000"/>
          <w:szCs w:val="18"/>
        </w:rPr>
        <w:t>ambito di una procedura pianificata di true-up della società Enterprise, Enterprise Subscription, Open Value Subscription o</w:t>
      </w:r>
      <w:r w:rsidR="002A3988">
        <w:rPr>
          <w:rFonts w:cs="Tahoma"/>
          <w:bCs/>
          <w:color w:val="000000"/>
          <w:szCs w:val="18"/>
        </w:rPr>
        <w:t> </w:t>
      </w:r>
      <w:r w:rsidRPr="00BD7CEA">
        <w:rPr>
          <w:rFonts w:cs="Tahoma"/>
          <w:bCs/>
          <w:color w:val="000000"/>
          <w:szCs w:val="18"/>
        </w:rPr>
        <w:t>EES, sono anch</w:t>
      </w:r>
      <w:r w:rsidR="007A1415" w:rsidRPr="00BD7CEA">
        <w:rPr>
          <w:rFonts w:cs="Tahoma"/>
          <w:bCs/>
          <w:color w:val="000000"/>
          <w:szCs w:val="18"/>
        </w:rPr>
        <w:t>’</w:t>
      </w:r>
      <w:r w:rsidRPr="00BD7CEA">
        <w:rPr>
          <w:rFonts w:cs="Tahoma"/>
          <w:bCs/>
          <w:color w:val="000000"/>
          <w:szCs w:val="18"/>
        </w:rPr>
        <w:t>esse licenze qualificanti per gli scopi previsti da tali opzioni.</w:t>
      </w:r>
      <w:r w:rsidR="008D782D" w:rsidRPr="00BD7CEA">
        <w:rPr>
          <w:rFonts w:cs="Tahoma"/>
          <w:bCs/>
          <w:color w:val="000000"/>
          <w:szCs w:val="18"/>
        </w:rPr>
        <w:t xml:space="preserve"> </w:t>
      </w:r>
      <w:r w:rsidRPr="00BD7CEA">
        <w:rPr>
          <w:rFonts w:cs="Tahoma"/>
          <w:bCs/>
          <w:color w:val="000000"/>
          <w:szCs w:val="18"/>
        </w:rPr>
        <w:t>Le licenze acquistate dopo il</w:t>
      </w:r>
      <w:r w:rsidR="002A3988">
        <w:rPr>
          <w:rFonts w:cs="Tahoma"/>
          <w:bCs/>
          <w:color w:val="000000"/>
          <w:szCs w:val="18"/>
        </w:rPr>
        <w:t> </w:t>
      </w:r>
      <w:r w:rsidRPr="00BD7CEA">
        <w:rPr>
          <w:rFonts w:cs="Tahoma"/>
          <w:bCs/>
          <w:color w:val="000000"/>
          <w:szCs w:val="18"/>
        </w:rPr>
        <w:t>1</w:t>
      </w:r>
      <w:r w:rsidR="002A3988">
        <w:rPr>
          <w:rFonts w:cs="Tahoma"/>
          <w:bCs/>
          <w:color w:val="000000"/>
          <w:szCs w:val="18"/>
        </w:rPr>
        <w:t> </w:t>
      </w:r>
      <w:r w:rsidRPr="00BD7CEA">
        <w:rPr>
          <w:rFonts w:cs="Tahoma"/>
          <w:bCs/>
          <w:color w:val="000000"/>
          <w:szCs w:val="18"/>
        </w:rPr>
        <w:t>aprile 2015, o in un periodo di validità dell</w:t>
      </w:r>
      <w:r w:rsidR="007A1415" w:rsidRPr="00BD7CEA">
        <w:rPr>
          <w:rFonts w:cs="Tahoma"/>
          <w:bCs/>
          <w:color w:val="000000"/>
          <w:szCs w:val="18"/>
        </w:rPr>
        <w:t>’</w:t>
      </w:r>
      <w:r w:rsidRPr="00BD7CEA">
        <w:rPr>
          <w:rFonts w:cs="Tahoma"/>
          <w:bCs/>
          <w:color w:val="000000"/>
          <w:szCs w:val="18"/>
        </w:rPr>
        <w:t>iscrizione successivo, ai sensi di un contratto distinto o di un</w:t>
      </w:r>
      <w:r w:rsidR="007A1415" w:rsidRPr="00BD7CEA">
        <w:rPr>
          <w:rFonts w:cs="Tahoma"/>
          <w:bCs/>
          <w:color w:val="000000"/>
          <w:szCs w:val="18"/>
        </w:rPr>
        <w:t>’</w:t>
      </w:r>
      <w:r w:rsidRPr="00BD7CEA">
        <w:rPr>
          <w:rFonts w:cs="Tahoma"/>
          <w:bCs/>
          <w:color w:val="000000"/>
          <w:szCs w:val="18"/>
        </w:rPr>
        <w:t>iscrizione con la data di entrata in vigore posteriore al 1 aprile 2012, non sono licenze qualificanti.</w:t>
      </w:r>
    </w:p>
    <w:p w:rsidR="008558DC" w:rsidRPr="00BD7CEA" w:rsidRDefault="008558DC" w:rsidP="008558DC">
      <w:pPr>
        <w:ind w:left="720"/>
      </w:pPr>
    </w:p>
    <w:p w:rsidR="008558DC" w:rsidRPr="00BD7CEA" w:rsidRDefault="008558DC" w:rsidP="008558DC">
      <w:pPr>
        <w:spacing w:after="60"/>
        <w:ind w:left="720"/>
      </w:pPr>
      <w:r w:rsidRPr="00BD7CEA">
        <w:rPr>
          <w:rFonts w:eastAsia="Calibri" w:cs="Tahoma"/>
          <w:b/>
          <w:szCs w:val="18"/>
        </w:rPr>
        <w:t>Periodo di Validità Corrente</w:t>
      </w:r>
    </w:p>
    <w:p w:rsidR="008558DC" w:rsidRPr="00BD7CEA" w:rsidRDefault="00A81E83" w:rsidP="008558DC">
      <w:pPr>
        <w:ind w:left="720"/>
      </w:pPr>
      <w:r w:rsidRPr="00BD7CEA">
        <w:rPr>
          <w:rFonts w:eastAsia="Calibri" w:cs="Tahoma"/>
          <w:szCs w:val="18"/>
        </w:rPr>
        <w:t>durante il periodo di validità corrente della copertura Software Assurance a partire dal 1 aprile 2012 le società (incluse le società titolari di contratti “subscription”) potranno, ai sensi di una licenza qualificante, effettuare l</w:t>
      </w:r>
      <w:r w:rsidR="007A1415" w:rsidRPr="00BD7CEA">
        <w:rPr>
          <w:rFonts w:eastAsia="Calibri" w:cs="Tahoma"/>
          <w:szCs w:val="18"/>
        </w:rPr>
        <w:t>’</w:t>
      </w:r>
      <w:r w:rsidRPr="00BD7CEA">
        <w:rPr>
          <w:rFonts w:eastAsia="Calibri" w:cs="Tahoma"/>
          <w:szCs w:val="18"/>
        </w:rPr>
        <w:t>aggiornamento al software SQL Server 2012 Standard Core e utilizzarlo al posto di SQL Server 2008 R2 Web in conformità ai diritti di utilizzo del prodotto previsti dalla licenza per processore SQL Server 2008 R2 Standard (come indicato nei Diritti di Utilizzo del Prodotto del mese di gennaio 2012). alle società vengono concessi diritti aggiuntivi ai sensi di Mobilità delle Licenze tramite Software Assurance e Mobilità delle Licenze all</w:t>
      </w:r>
      <w:r w:rsidR="007A1415" w:rsidRPr="00BD7CEA">
        <w:rPr>
          <w:rFonts w:eastAsia="Calibri" w:cs="Tahoma"/>
          <w:szCs w:val="18"/>
        </w:rPr>
        <w:t>’</w:t>
      </w:r>
      <w:r w:rsidRPr="00BD7CEA">
        <w:rPr>
          <w:rFonts w:eastAsia="Calibri" w:cs="Tahoma"/>
          <w:szCs w:val="18"/>
        </w:rPr>
        <w:t>interno di Server Farm.</w:t>
      </w:r>
      <w:r w:rsidR="008D782D" w:rsidRPr="00BD7CEA">
        <w:rPr>
          <w:rFonts w:eastAsia="Calibri" w:cs="Tahoma"/>
          <w:szCs w:val="18"/>
        </w:rPr>
        <w:t xml:space="preserve"> </w:t>
      </w:r>
      <w:r w:rsidRPr="00BD7CEA">
        <w:rPr>
          <w:rFonts w:eastAsia="Calibri" w:cs="Tahoma"/>
          <w:szCs w:val="18"/>
        </w:rPr>
        <w:t>Le società dovranno fare riferimento ai Diritti di Utilizzo del Prodotto per SQL Server 2012 Standard Core per quanto riguarda le condizioni di licenza per Mobilità delle Licenze.</w:t>
      </w:r>
    </w:p>
    <w:p w:rsidR="008558DC" w:rsidRPr="00BD7CEA" w:rsidRDefault="008558DC" w:rsidP="008558DC">
      <w:pPr>
        <w:ind w:left="720"/>
      </w:pPr>
    </w:p>
    <w:p w:rsidR="008558DC" w:rsidRPr="00BD7CEA" w:rsidRDefault="00A81E83" w:rsidP="008558DC">
      <w:pPr>
        <w:spacing w:after="60"/>
        <w:ind w:left="720"/>
      </w:pPr>
      <w:r w:rsidRPr="00BD7CEA">
        <w:rPr>
          <w:rFonts w:eastAsia="Calibri" w:cs="Tahoma"/>
          <w:b/>
          <w:szCs w:val="18"/>
        </w:rPr>
        <w:t>Primo Periodo di Rinnovo (prima del 1 aprile 2015)</w:t>
      </w:r>
    </w:p>
    <w:p w:rsidR="00A81E83" w:rsidRPr="00BD7CEA" w:rsidRDefault="00A81E83" w:rsidP="008558DC">
      <w:pPr>
        <w:ind w:left="720"/>
      </w:pPr>
      <w:r w:rsidRPr="00BD7CEA">
        <w:rPr>
          <w:rFonts w:eastAsia="Calibri" w:cs="Tahoma"/>
          <w:szCs w:val="18"/>
        </w:rPr>
        <w:t>in occasione del primo rinnovo di Software Assurance in data 1 aprile 2012 o successiva (ma prima del 1</w:t>
      </w:r>
      <w:r w:rsidR="002A3988">
        <w:rPr>
          <w:rFonts w:eastAsia="Calibri" w:cs="Tahoma"/>
          <w:szCs w:val="18"/>
        </w:rPr>
        <w:t> </w:t>
      </w:r>
      <w:r w:rsidRPr="00BD7CEA">
        <w:rPr>
          <w:rFonts w:eastAsia="Calibri" w:cs="Tahoma"/>
          <w:szCs w:val="18"/>
        </w:rPr>
        <w:t>aprile 2015), per ogni server che una società ha ricevuto validamente in licenza in conformità ai diritti di</w:t>
      </w:r>
      <w:r w:rsidR="002A3988">
        <w:rPr>
          <w:rFonts w:eastAsia="Calibri" w:cs="Tahoma"/>
          <w:szCs w:val="18"/>
        </w:rPr>
        <w:t> </w:t>
      </w:r>
      <w:r w:rsidRPr="00BD7CEA">
        <w:rPr>
          <w:rFonts w:eastAsia="Calibri" w:cs="Tahoma"/>
          <w:szCs w:val="18"/>
        </w:rPr>
        <w:t>utilizzo del prodotto previsti dalla licenza per processore SQL Server 2008 R2 Standard, la società potrà acquistare la copertura Software Assurance per le licenze core per SQL Server Standard senza dovere acquistare le licenze core sottostanti per un numero di licenze core pari alla somma di (a) e (b):</w:t>
      </w:r>
    </w:p>
    <w:p w:rsidR="00A81E83" w:rsidRPr="00BD7CEA" w:rsidRDefault="00A81E83" w:rsidP="007358C5">
      <w:pPr>
        <w:numPr>
          <w:ilvl w:val="0"/>
          <w:numId w:val="115"/>
        </w:numPr>
        <w:tabs>
          <w:tab w:val="left" w:pos="1800"/>
        </w:tabs>
        <w:spacing w:after="60"/>
      </w:pPr>
      <w:r w:rsidRPr="00BD7CEA">
        <w:rPr>
          <w:rFonts w:eastAsia="Calibri" w:cs="Tahoma"/>
          <w:szCs w:val="18"/>
        </w:rPr>
        <w:t xml:space="preserve">un numero pari al numero minore delle licenze qualificanti cedute al server o al numero totale dei processori fisici sul server moltiplicato per il maggiore tra: </w:t>
      </w:r>
    </w:p>
    <w:p w:rsidR="00A81E83" w:rsidRPr="00BD7CEA" w:rsidRDefault="00A81E83" w:rsidP="007358C5">
      <w:pPr>
        <w:numPr>
          <w:ilvl w:val="3"/>
          <w:numId w:val="54"/>
        </w:numPr>
        <w:spacing w:after="60"/>
        <w:ind w:left="2160"/>
      </w:pPr>
      <w:r w:rsidRPr="00BD7CEA">
        <w:rPr>
          <w:rFonts w:eastAsia="Calibri" w:cs="Tahoma"/>
          <w:szCs w:val="18"/>
        </w:rPr>
        <w:t>quattro O</w:t>
      </w:r>
    </w:p>
    <w:p w:rsidR="00A81E83" w:rsidRPr="00BD7CEA" w:rsidRDefault="00A81E83" w:rsidP="007358C5">
      <w:pPr>
        <w:numPr>
          <w:ilvl w:val="3"/>
          <w:numId w:val="54"/>
        </w:numPr>
        <w:spacing w:after="60"/>
        <w:ind w:left="2160"/>
      </w:pPr>
      <w:r w:rsidRPr="00BD7CEA">
        <w:rPr>
          <w:rFonts w:eastAsia="Calibri" w:cs="Tahoma"/>
          <w:szCs w:val="18"/>
        </w:rPr>
        <w:lastRenderedPageBreak/>
        <w:t>il numero effettivo di core per processore fisico moltiplicato per il fattore core appropriato.</w:t>
      </w:r>
      <w:r w:rsidR="008D782D" w:rsidRPr="00BD7CEA">
        <w:rPr>
          <w:rFonts w:eastAsia="Calibri" w:cs="Tahoma"/>
          <w:szCs w:val="18"/>
        </w:rPr>
        <w:t xml:space="preserve"> </w:t>
      </w:r>
      <w:r w:rsidRPr="00BD7CEA">
        <w:rPr>
          <w:rFonts w:eastAsia="Calibri" w:cs="Tahoma"/>
          <w:szCs w:val="18"/>
        </w:rPr>
        <w:t>(Nei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7A1415" w:rsidRPr="00BD7CEA">
        <w:rPr>
          <w:rFonts w:eastAsia="Calibri" w:cs="Tahoma"/>
          <w:szCs w:val="18"/>
        </w:rPr>
        <w:t>’</w:t>
      </w:r>
      <w:r w:rsidRPr="00BD7CEA">
        <w:rPr>
          <w:rFonts w:eastAsia="Calibri" w:cs="Tahoma"/>
          <w:szCs w:val="18"/>
        </w:rPr>
        <w:t xml:space="preserve">hardware fisico che supporta tale software appena prima del rinnovo di Software Assurance utilizzando lo strumento MAP di Microsoft o un software equivalente). </w:t>
      </w:r>
    </w:p>
    <w:p w:rsidR="008558DC" w:rsidRPr="00BD7CEA" w:rsidRDefault="00A81E83" w:rsidP="007358C5">
      <w:pPr>
        <w:numPr>
          <w:ilvl w:val="0"/>
          <w:numId w:val="115"/>
        </w:numPr>
        <w:tabs>
          <w:tab w:val="left" w:pos="1800"/>
        </w:tabs>
        <w:spacing w:after="60"/>
      </w:pPr>
      <w:r w:rsidRPr="00BD7CEA">
        <w:rPr>
          <w:rFonts w:eastAsia="Calibri" w:cs="Tahoma"/>
          <w:szCs w:val="18"/>
        </w:rPr>
        <w:t>un numero pari al numero di licenze qualificanti cedute al server oltre al numero effettivo di processori fisici sul server moltiplicato per quattro.</w:t>
      </w:r>
    </w:p>
    <w:p w:rsidR="00E5029B" w:rsidRPr="00BD7CEA" w:rsidRDefault="00E5029B"/>
    <w:p w:rsidR="008558DC" w:rsidRPr="00BD7CEA" w:rsidRDefault="00A81E83" w:rsidP="008558DC">
      <w:pPr>
        <w:spacing w:after="60"/>
        <w:ind w:left="720"/>
      </w:pPr>
      <w:r w:rsidRPr="00BD7CEA">
        <w:rPr>
          <w:rFonts w:eastAsia="Calibri" w:cs="Tahoma"/>
          <w:b/>
          <w:szCs w:val="18"/>
        </w:rPr>
        <w:t>Primo Periodo di Rinnovo (in data 1 aprile 2015 o successiva)</w:t>
      </w:r>
    </w:p>
    <w:p w:rsidR="00A81E83" w:rsidRPr="00BD7CEA" w:rsidRDefault="00A81E83" w:rsidP="008558DC">
      <w:pPr>
        <w:ind w:left="720"/>
        <w:contextualSpacing/>
      </w:pPr>
      <w:r w:rsidRPr="00BD7CEA">
        <w:rPr>
          <w:rFonts w:eastAsia="Calibri" w:cs="Tahoma"/>
          <w:color w:val="000000"/>
          <w:szCs w:val="18"/>
        </w:rPr>
        <w:t>Le società che rinnovano per la prima volta la copertura in data 1 aprile 2015</w:t>
      </w:r>
      <w:r w:rsidRPr="00BD7CEA">
        <w:rPr>
          <w:rFonts w:eastAsia="Calibri" w:cs="Tahoma"/>
          <w:szCs w:val="18"/>
        </w:rPr>
        <w:t xml:space="preserve"> potranno, per ogni server ottenuto in licenza in conformità ai diritti di utilizzo del prodotto previsti dalla licenza per processore SQL</w:t>
      </w:r>
      <w:r w:rsidR="00713397">
        <w:rPr>
          <w:rFonts w:eastAsia="Calibri" w:cs="Tahoma"/>
          <w:szCs w:val="18"/>
        </w:rPr>
        <w:t> </w:t>
      </w:r>
      <w:r w:rsidRPr="00BD7CEA">
        <w:rPr>
          <w:rFonts w:eastAsia="Calibri" w:cs="Tahoma"/>
          <w:szCs w:val="18"/>
        </w:rPr>
        <w:t>Server 2008 R2, acquistare la copertura Software Assurance come di seguito indicato:</w:t>
      </w:r>
    </w:p>
    <w:p w:rsidR="008558DC" w:rsidRPr="00BD7CEA" w:rsidRDefault="008558DC" w:rsidP="008558DC">
      <w:pPr>
        <w:ind w:left="720"/>
        <w:contextualSpacing/>
      </w:pPr>
    </w:p>
    <w:p w:rsidR="00A81E83" w:rsidRPr="00BD7CEA" w:rsidRDefault="00A81E83" w:rsidP="007358C5">
      <w:pPr>
        <w:numPr>
          <w:ilvl w:val="3"/>
          <w:numId w:val="88"/>
        </w:numPr>
        <w:spacing w:after="60"/>
        <w:ind w:left="1440"/>
      </w:pPr>
      <w:r w:rsidRPr="00BD7CEA">
        <w:rPr>
          <w:rFonts w:eastAsia="Calibri" w:cs="Tahoma"/>
          <w:szCs w:val="18"/>
        </w:rPr>
        <w:t>come stabilito nel primo paragrafo di questa nota relativa al prodotto, le licenze acquistate prima del 1 aprile 2015 sono licenze qualificanti e le società potranno rinnovare la copertura Software Assurance in base alle condizioni riportate nel precedente Articolo “Primo Periodo di Rinnovo (prima</w:t>
      </w:r>
      <w:r w:rsidR="00D66333" w:rsidRPr="00BD7CEA">
        <w:rPr>
          <w:rFonts w:eastAsia="Calibri" w:cs="Tahoma"/>
          <w:szCs w:val="18"/>
        </w:rPr>
        <w:t> </w:t>
      </w:r>
      <w:r w:rsidRPr="00BD7CEA">
        <w:rPr>
          <w:rFonts w:eastAsia="Calibri" w:cs="Tahoma"/>
          <w:szCs w:val="18"/>
        </w:rPr>
        <w:t xml:space="preserve">del 1 aprile 2015)” e </w:t>
      </w:r>
    </w:p>
    <w:p w:rsidR="00A81E83" w:rsidRPr="00BD7CEA" w:rsidRDefault="00A81E83" w:rsidP="007358C5">
      <w:pPr>
        <w:numPr>
          <w:ilvl w:val="3"/>
          <w:numId w:val="88"/>
        </w:numPr>
        <w:spacing w:after="60"/>
        <w:ind w:left="1440"/>
      </w:pPr>
      <w:r w:rsidRPr="00BD7CEA">
        <w:rPr>
          <w:rFonts w:eastAsia="Calibri" w:cs="Tahoma"/>
          <w:szCs w:val="18"/>
        </w:rPr>
        <w:t>per le licenze acquistate dopo il 1 aprile 2015 le società potranno rinnovare la copertura Software Assurance per quattro licenze core per SQL Server Standard senza dover acquistare le licenze core sottostanti per ogni licenza per processore per SQL Server 2008 R2 Web. Per l</w:t>
      </w:r>
      <w:r w:rsidR="007A1415" w:rsidRPr="00BD7CEA">
        <w:rPr>
          <w:rFonts w:eastAsia="Calibri" w:cs="Tahoma"/>
          <w:szCs w:val="18"/>
        </w:rPr>
        <w:t>’</w:t>
      </w:r>
      <w:r w:rsidRPr="00BD7CEA">
        <w:rPr>
          <w:rFonts w:eastAsia="Calibri" w:cs="Tahoma"/>
          <w:szCs w:val="18"/>
        </w:rPr>
        <w:t>utilizzo continuativo di SQL Server 2012 su processori che richiedono più di quattro licenze core per processore la società deve acquistare le licenze core aggiuntive.</w:t>
      </w:r>
    </w:p>
    <w:p w:rsidR="00A81E83" w:rsidRPr="00BD7CEA" w:rsidRDefault="00A81E83" w:rsidP="007358C5">
      <w:pPr>
        <w:numPr>
          <w:ilvl w:val="3"/>
          <w:numId w:val="88"/>
        </w:numPr>
        <w:spacing w:after="60"/>
        <w:ind w:left="1440"/>
      </w:pPr>
      <w:r w:rsidRPr="00BD7CEA">
        <w:rPr>
          <w:rFonts w:eastAsia="Calibri" w:cs="Tahoma"/>
          <w:szCs w:val="18"/>
        </w:rPr>
        <w:t>Le licenze per processore delle società non sono più valide se si acquista la copertura Software Assurance per licenze core ai sensi della presente offerta. L</w:t>
      </w:r>
      <w:r w:rsidR="007A1415" w:rsidRPr="00BD7CEA">
        <w:rPr>
          <w:rFonts w:eastAsia="Calibri" w:cs="Tahoma"/>
          <w:szCs w:val="18"/>
        </w:rPr>
        <w:t>’</w:t>
      </w:r>
      <w:r w:rsidRPr="00BD7CEA">
        <w:rPr>
          <w:rFonts w:eastAsia="Calibri" w:cs="Tahoma"/>
          <w:szCs w:val="18"/>
        </w:rPr>
        <w:t>opzione di acquistare Software Assurance per le licenze core per SQL Server non è applicabile al rinnovo della copertura ai</w:t>
      </w:r>
      <w:r w:rsidR="00D66333" w:rsidRPr="00BD7CEA">
        <w:rPr>
          <w:rFonts w:eastAsia="Calibri" w:cs="Tahoma"/>
          <w:szCs w:val="18"/>
        </w:rPr>
        <w:t> </w:t>
      </w:r>
      <w:r w:rsidRPr="00BD7CEA">
        <w:rPr>
          <w:rFonts w:eastAsia="Calibri" w:cs="Tahoma"/>
          <w:szCs w:val="18"/>
        </w:rPr>
        <w:t>sensi</w:t>
      </w:r>
      <w:r w:rsidR="00D66333" w:rsidRPr="00BD7CEA">
        <w:rPr>
          <w:rFonts w:eastAsia="Calibri" w:cs="Tahoma"/>
          <w:szCs w:val="18"/>
        </w:rPr>
        <w:t> </w:t>
      </w:r>
      <w:r w:rsidRPr="00BD7CEA">
        <w:rPr>
          <w:rFonts w:eastAsia="Calibri" w:cs="Tahoma"/>
          <w:szCs w:val="18"/>
        </w:rPr>
        <w:t>dei programmi di sottoscrizione.</w:t>
      </w:r>
    </w:p>
    <w:p w:rsidR="008558DC" w:rsidRPr="00BD7CEA" w:rsidRDefault="008558DC" w:rsidP="008558DC">
      <w:pPr>
        <w:ind w:left="720"/>
        <w:contextualSpacing/>
      </w:pPr>
    </w:p>
    <w:p w:rsidR="008558DC" w:rsidRPr="00BD7CEA" w:rsidRDefault="00A81E83" w:rsidP="008558DC">
      <w:pPr>
        <w:spacing w:after="60"/>
        <w:ind w:left="720"/>
      </w:pPr>
      <w:r w:rsidRPr="00BD7CEA">
        <w:rPr>
          <w:rFonts w:eastAsia="Calibri" w:cs="Tahoma"/>
          <w:b/>
          <w:szCs w:val="18"/>
        </w:rPr>
        <w:t>Per le Società con copertura Software Assurance in scadenza prima del 1 aprile 2015 che scelgono di non effettuare il rinnovo</w:t>
      </w:r>
    </w:p>
    <w:p w:rsidR="00A81E83" w:rsidRPr="00BD7CEA" w:rsidRDefault="00A81E83" w:rsidP="008558DC">
      <w:pPr>
        <w:ind w:left="720"/>
        <w:contextualSpacing/>
      </w:pPr>
      <w:r w:rsidRPr="00BD7CEA">
        <w:rPr>
          <w:rFonts w:eastAsia="Calibri" w:cs="Tahoma"/>
          <w:szCs w:val="18"/>
        </w:rPr>
        <w:t xml:space="preserve">Le società titolari di contratti Enterprise Subscription </w:t>
      </w:r>
      <w:r w:rsidRPr="00BD7CEA">
        <w:rPr>
          <w:rFonts w:cs="Tahoma"/>
          <w:bCs/>
          <w:color w:val="000000"/>
          <w:szCs w:val="18"/>
        </w:rPr>
        <w:t xml:space="preserve">e Open Value Subscription </w:t>
      </w:r>
      <w:r w:rsidRPr="00BD7CEA">
        <w:rPr>
          <w:rFonts w:eastAsia="Calibri" w:cs="Tahoma"/>
          <w:szCs w:val="18"/>
        </w:rPr>
        <w:t>con copertura in scadenza prima del 1 aprile 2015 che scelgono di effettuare il buy-out delle licenze per processore e altre società che acquistano licenze perpetue ai sensi del loro contratto e scelgono di non rinnovare Software Assurance potranno eseguire SQL Server 2008 R2 o SQL Server 2012 ai sensi di tali licenze come indicato sotto:</w:t>
      </w:r>
    </w:p>
    <w:p w:rsidR="00A81E83" w:rsidRPr="00BD7CEA" w:rsidRDefault="00A81E83" w:rsidP="007358C5">
      <w:pPr>
        <w:numPr>
          <w:ilvl w:val="0"/>
          <w:numId w:val="89"/>
        </w:numPr>
        <w:tabs>
          <w:tab w:val="left" w:pos="1800"/>
        </w:tabs>
        <w:spacing w:after="60"/>
        <w:ind w:left="1800"/>
      </w:pPr>
      <w:r w:rsidRPr="00BD7CEA">
        <w:rPr>
          <w:rFonts w:eastAsia="Calibri" w:cs="Tahoma"/>
          <w:b/>
          <w:szCs w:val="18"/>
        </w:rPr>
        <w:t>SQL Server Web 2008 R2 Web:</w:t>
      </w:r>
      <w:r w:rsidRPr="00BD7CEA">
        <w:rPr>
          <w:rFonts w:eastAsia="Calibri" w:cs="Tahoma"/>
          <w:szCs w:val="18"/>
        </w:rPr>
        <w:t xml:space="preserve"> l</w:t>
      </w:r>
      <w:r w:rsidR="007A1415" w:rsidRPr="00BD7CEA">
        <w:rPr>
          <w:rFonts w:eastAsia="Calibri" w:cs="Tahoma"/>
          <w:szCs w:val="18"/>
        </w:rPr>
        <w:t>’</w:t>
      </w:r>
      <w:r w:rsidRPr="00BD7CEA">
        <w:rPr>
          <w:rFonts w:eastAsia="Calibri" w:cs="Tahoma"/>
          <w:szCs w:val="18"/>
        </w:rPr>
        <w:t>utilizzo continuativo di tale versione del software è soggetto ai diritti di utilizzo del prodotto previsti dalla licenza per processore SQL Server 2008 R2 Web. Le società non disporranno più di diritti ai sensi della Mobilità delle Licenze all</w:t>
      </w:r>
      <w:r w:rsidR="007A1415" w:rsidRPr="00BD7CEA">
        <w:rPr>
          <w:rFonts w:eastAsia="Calibri" w:cs="Tahoma"/>
          <w:szCs w:val="18"/>
        </w:rPr>
        <w:t>’</w:t>
      </w:r>
      <w:r w:rsidRPr="00BD7CEA">
        <w:rPr>
          <w:rFonts w:eastAsia="Calibri" w:cs="Tahoma"/>
          <w:szCs w:val="18"/>
        </w:rPr>
        <w:t xml:space="preserve">interno di Server Farm o della Mobilità delle Licenze tramite Software Assurance. </w:t>
      </w:r>
    </w:p>
    <w:p w:rsidR="00A81E83" w:rsidRPr="00BD7CEA" w:rsidRDefault="00A81E83" w:rsidP="007358C5">
      <w:pPr>
        <w:numPr>
          <w:ilvl w:val="0"/>
          <w:numId w:val="89"/>
        </w:numPr>
        <w:tabs>
          <w:tab w:val="left" w:pos="1800"/>
        </w:tabs>
        <w:spacing w:after="60"/>
        <w:ind w:left="1800"/>
      </w:pPr>
      <w:r w:rsidRPr="00BD7CEA">
        <w:rPr>
          <w:rFonts w:eastAsia="Calibri" w:cs="Tahoma"/>
          <w:b/>
          <w:szCs w:val="18"/>
        </w:rPr>
        <w:t xml:space="preserve">SQL Server 2012 Standard Core: </w:t>
      </w:r>
      <w:r w:rsidRPr="00BD7CEA">
        <w:rPr>
          <w:rFonts w:eastAsia="Calibri" w:cs="Tahoma"/>
          <w:szCs w:val="18"/>
        </w:rPr>
        <w:t>l</w:t>
      </w:r>
      <w:r w:rsidR="007A1415" w:rsidRPr="00BD7CEA">
        <w:rPr>
          <w:rFonts w:eastAsia="Calibri" w:cs="Tahoma"/>
          <w:szCs w:val="18"/>
        </w:rPr>
        <w:t>’</w:t>
      </w:r>
      <w:r w:rsidRPr="00BD7CEA">
        <w:rPr>
          <w:rFonts w:eastAsia="Calibri" w:cs="Tahoma"/>
          <w:szCs w:val="18"/>
        </w:rPr>
        <w:t xml:space="preserve">utilizzo di tale versione del software è soggetto ai diritti di utilizzo del prodotto previsti dalla licenza per processore SQL Server 2008 R2 Standard, tuttavia: </w:t>
      </w:r>
    </w:p>
    <w:p w:rsidR="00A81E83" w:rsidRPr="00BD7CEA" w:rsidRDefault="00A81E83" w:rsidP="007358C5">
      <w:pPr>
        <w:numPr>
          <w:ilvl w:val="1"/>
          <w:numId w:val="51"/>
        </w:numPr>
        <w:tabs>
          <w:tab w:val="left" w:pos="2160"/>
        </w:tabs>
        <w:spacing w:after="60"/>
        <w:ind w:left="2160"/>
      </w:pPr>
      <w:r w:rsidRPr="00BD7CEA">
        <w:rPr>
          <w:rFonts w:eastAsia="Calibri" w:cs="Tahoma"/>
          <w:szCs w:val="18"/>
        </w:rPr>
        <w:t>le società non disporranno più di diritti ai sensi della Mobilità delle Licenze all</w:t>
      </w:r>
      <w:r w:rsidR="007A1415" w:rsidRPr="00BD7CEA">
        <w:rPr>
          <w:rFonts w:eastAsia="Calibri" w:cs="Tahoma"/>
          <w:szCs w:val="18"/>
        </w:rPr>
        <w:t>’</w:t>
      </w:r>
      <w:r w:rsidRPr="00BD7CEA">
        <w:rPr>
          <w:rFonts w:eastAsia="Calibri" w:cs="Tahoma"/>
          <w:szCs w:val="18"/>
        </w:rPr>
        <w:t xml:space="preserve">interno di Server Farm o della Mobilità delle Licenze tramite Software Assurance e </w:t>
      </w:r>
    </w:p>
    <w:p w:rsidR="00A81E83" w:rsidRPr="00BD7CEA" w:rsidRDefault="00A81E83" w:rsidP="007358C5">
      <w:pPr>
        <w:numPr>
          <w:ilvl w:val="1"/>
          <w:numId w:val="51"/>
        </w:numPr>
        <w:tabs>
          <w:tab w:val="left" w:pos="2160"/>
        </w:tabs>
        <w:spacing w:after="60"/>
        <w:ind w:left="2160"/>
      </w:pPr>
      <w:r w:rsidRPr="00BD7CEA">
        <w:rPr>
          <w:rFonts w:eastAsia="Calibri" w:cs="Tahoma"/>
          <w:szCs w:val="18"/>
        </w:rPr>
        <w:t>l</w:t>
      </w:r>
      <w:r w:rsidR="007A1415" w:rsidRPr="00BD7CEA">
        <w:rPr>
          <w:rFonts w:eastAsia="Calibri" w:cs="Tahoma"/>
          <w:szCs w:val="18"/>
        </w:rPr>
        <w:t>’</w:t>
      </w:r>
      <w:r w:rsidRPr="00BD7CEA">
        <w:rPr>
          <w:rFonts w:eastAsia="Calibri" w:cs="Tahoma"/>
          <w:szCs w:val="18"/>
        </w:rPr>
        <w:t>eventuale riassegnazione di licenze è soggetta ai limiti indicati nei paragrafi (i) e (ii) che seguono relativi alla loro “equivalenza di licenze core”. L</w:t>
      </w:r>
      <w:r w:rsidR="007A1415" w:rsidRPr="00BD7CEA">
        <w:rPr>
          <w:rFonts w:eastAsia="Calibri" w:cs="Tahoma"/>
          <w:szCs w:val="18"/>
        </w:rPr>
        <w:t>’</w:t>
      </w:r>
      <w:r w:rsidRPr="00BD7CEA">
        <w:rPr>
          <w:rFonts w:eastAsia="Calibri" w:cs="Tahoma"/>
          <w:szCs w:val="18"/>
        </w:rPr>
        <w:t>equivalenza di licenze core è</w:t>
      </w:r>
      <w:r w:rsidR="00D66333" w:rsidRPr="00BD7CEA">
        <w:rPr>
          <w:rFonts w:eastAsia="Calibri" w:cs="Tahoma"/>
          <w:szCs w:val="18"/>
        </w:rPr>
        <w:t> </w:t>
      </w:r>
      <w:r w:rsidRPr="00BD7CEA">
        <w:rPr>
          <w:rFonts w:eastAsia="Calibri" w:cs="Tahoma"/>
          <w:szCs w:val="18"/>
        </w:rPr>
        <w:t xml:space="preserve">determinata come di seguito riportato. </w:t>
      </w:r>
    </w:p>
    <w:p w:rsidR="00A81E83" w:rsidRPr="00BD7CEA" w:rsidRDefault="00A81E83" w:rsidP="007358C5">
      <w:pPr>
        <w:numPr>
          <w:ilvl w:val="2"/>
          <w:numId w:val="51"/>
        </w:numPr>
        <w:tabs>
          <w:tab w:val="left" w:pos="2520"/>
        </w:tabs>
        <w:spacing w:after="60"/>
        <w:ind w:left="2520"/>
      </w:pPr>
      <w:r w:rsidRPr="00BD7CEA">
        <w:rPr>
          <w:rFonts w:eastAsia="Calibri" w:cs="Tahoma"/>
          <w:szCs w:val="18"/>
        </w:rPr>
        <w:t>Per un numero di licenze pari al numero inferiore tra (x) il numero totale di licenze per processore cedute a un server con licenza appena prima della scadenza di Software Assurance o (y) il numero totale di processori fisici su tale server, l</w:t>
      </w:r>
      <w:r w:rsidR="007A1415" w:rsidRPr="00BD7CEA">
        <w:rPr>
          <w:rFonts w:eastAsia="Calibri" w:cs="Tahoma"/>
          <w:szCs w:val="18"/>
        </w:rPr>
        <w:t>’</w:t>
      </w:r>
      <w:r w:rsidRPr="00BD7CEA">
        <w:rPr>
          <w:rFonts w:eastAsia="Calibri" w:cs="Tahoma"/>
          <w:szCs w:val="18"/>
        </w:rPr>
        <w:t xml:space="preserve">equivalenza di licenze core è il numero maggiore tra: </w:t>
      </w:r>
    </w:p>
    <w:p w:rsidR="00A81E83" w:rsidRPr="00BD7CEA" w:rsidRDefault="00A81E83" w:rsidP="007358C5">
      <w:pPr>
        <w:numPr>
          <w:ilvl w:val="0"/>
          <w:numId w:val="132"/>
        </w:numPr>
        <w:tabs>
          <w:tab w:val="left" w:pos="2880"/>
        </w:tabs>
        <w:spacing w:after="60"/>
        <w:ind w:left="2880"/>
      </w:pPr>
      <w:r w:rsidRPr="004D4391">
        <w:rPr>
          <w:rFonts w:eastAsia="Calibri" w:cs="Tahoma"/>
          <w:szCs w:val="18"/>
        </w:rPr>
        <w:t xml:space="preserve">quattro core per licenza per processore O </w:t>
      </w:r>
    </w:p>
    <w:p w:rsidR="009C3B43" w:rsidRPr="00BD7CEA" w:rsidRDefault="009C3B43" w:rsidP="009C3B43">
      <w:pPr>
        <w:tabs>
          <w:tab w:val="left" w:pos="2880"/>
        </w:tabs>
        <w:spacing w:after="60"/>
        <w:ind w:left="2880"/>
        <w:rPr>
          <w:rFonts w:eastAsia="Calibri" w:cs="Tahoma"/>
          <w:szCs w:val="18"/>
        </w:rPr>
      </w:pPr>
    </w:p>
    <w:p w:rsidR="009C3B43" w:rsidRPr="00BD7CEA" w:rsidRDefault="009C3B43" w:rsidP="009C3B43">
      <w:pPr>
        <w:tabs>
          <w:tab w:val="left" w:pos="2880"/>
        </w:tabs>
        <w:spacing w:after="60"/>
        <w:ind w:left="2880"/>
      </w:pPr>
    </w:p>
    <w:p w:rsidR="00A81E83" w:rsidRPr="00BD7CEA" w:rsidRDefault="00A81E83" w:rsidP="007358C5">
      <w:pPr>
        <w:numPr>
          <w:ilvl w:val="0"/>
          <w:numId w:val="132"/>
        </w:numPr>
        <w:tabs>
          <w:tab w:val="left" w:pos="2880"/>
        </w:tabs>
        <w:spacing w:after="60"/>
        <w:ind w:left="2880"/>
      </w:pPr>
      <w:r w:rsidRPr="00BD7CEA">
        <w:rPr>
          <w:rFonts w:eastAsia="Calibri" w:cs="Tahoma"/>
          <w:szCs w:val="18"/>
        </w:rPr>
        <w:lastRenderedPageBreak/>
        <w:t>un numero di core per licenza per processore basato sul numero effettivo di core per processore fisico moltiplicato per il fattore core appropriato. (Nei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7A1415" w:rsidRPr="00BD7CEA">
        <w:rPr>
          <w:rFonts w:eastAsia="Calibri" w:cs="Tahoma"/>
          <w:szCs w:val="18"/>
        </w:rPr>
        <w:t>’</w:t>
      </w:r>
      <w:r w:rsidRPr="00BD7CEA">
        <w:rPr>
          <w:rFonts w:eastAsia="Calibri" w:cs="Tahoma"/>
          <w:szCs w:val="18"/>
        </w:rPr>
        <w:t xml:space="preserve">hardware fisico che supporta tale software appena prima della scadenza di Software Assurance utilizzando lo strumento MAP di Microsoft o un software equivalente). </w:t>
      </w:r>
    </w:p>
    <w:p w:rsidR="008558DC" w:rsidRPr="00BD7CEA" w:rsidRDefault="00A81E83" w:rsidP="007358C5">
      <w:pPr>
        <w:numPr>
          <w:ilvl w:val="2"/>
          <w:numId w:val="51"/>
        </w:numPr>
        <w:tabs>
          <w:tab w:val="left" w:pos="2520"/>
        </w:tabs>
        <w:spacing w:after="60"/>
        <w:ind w:left="2520"/>
      </w:pPr>
      <w:r w:rsidRPr="00BD7CEA">
        <w:rPr>
          <w:rFonts w:eastAsia="Calibri" w:cs="Tahoma"/>
          <w:szCs w:val="18"/>
        </w:rPr>
        <w:t>Per qualsiasi licenza per processore con la copertura Software Assurance in scadenza ceduta allo stesso server con licenza che ecceda il numero effettivo di processori fisici sul server, l</w:t>
      </w:r>
      <w:r w:rsidR="007A1415" w:rsidRPr="00BD7CEA">
        <w:rPr>
          <w:rFonts w:eastAsia="Calibri" w:cs="Tahoma"/>
          <w:szCs w:val="18"/>
        </w:rPr>
        <w:t>’</w:t>
      </w:r>
      <w:r w:rsidRPr="00BD7CEA">
        <w:rPr>
          <w:rFonts w:eastAsia="Calibri" w:cs="Tahoma"/>
          <w:szCs w:val="18"/>
        </w:rPr>
        <w:t>equivalenza core è di quattro core per licenza per processore.</w:t>
      </w:r>
    </w:p>
    <w:p w:rsidR="00A81E83" w:rsidRPr="00BD7CEA" w:rsidRDefault="00A81E83" w:rsidP="007358C5">
      <w:pPr>
        <w:numPr>
          <w:ilvl w:val="1"/>
          <w:numId w:val="51"/>
        </w:numPr>
        <w:tabs>
          <w:tab w:val="left" w:pos="2160"/>
        </w:tabs>
        <w:spacing w:after="60"/>
        <w:ind w:left="2160"/>
      </w:pPr>
      <w:r w:rsidRPr="00BD7CEA">
        <w:rPr>
          <w:rFonts w:eastAsia="Calibri" w:cs="Tahoma"/>
          <w:szCs w:val="18"/>
        </w:rPr>
        <w:t>Le società potranno riassegnare le licenze a un altro server. Tuttavia, qualora la società riassegni una licenza a un altro server, dovrà attenersi ai diritti sull</w:t>
      </w:r>
      <w:r w:rsidR="007A1415" w:rsidRPr="00BD7CEA">
        <w:rPr>
          <w:rFonts w:eastAsia="Calibri" w:cs="Tahoma"/>
          <w:szCs w:val="18"/>
        </w:rPr>
        <w:t>’</w:t>
      </w:r>
      <w:r w:rsidRPr="00BD7CEA">
        <w:rPr>
          <w:rFonts w:eastAsia="Calibri" w:cs="Tahoma"/>
          <w:szCs w:val="18"/>
        </w:rPr>
        <w:t>utilizzo di SQL Server 2012. Quando cede licenze core a server ai sensi dei diritti sull</w:t>
      </w:r>
      <w:r w:rsidR="007A1415" w:rsidRPr="00BD7CEA">
        <w:rPr>
          <w:rFonts w:eastAsia="Calibri" w:cs="Tahoma"/>
          <w:szCs w:val="18"/>
        </w:rPr>
        <w:t>’</w:t>
      </w:r>
      <w:r w:rsidRPr="00BD7CEA">
        <w:rPr>
          <w:rFonts w:eastAsia="Calibri" w:cs="Tahoma"/>
          <w:szCs w:val="18"/>
        </w:rPr>
        <w:t>utilizzo per SQL 2012, la società potrà combinare l</w:t>
      </w:r>
      <w:r w:rsidR="007A1415" w:rsidRPr="00BD7CEA">
        <w:rPr>
          <w:rFonts w:eastAsia="Calibri" w:cs="Tahoma"/>
          <w:szCs w:val="18"/>
        </w:rPr>
        <w:t>’</w:t>
      </w:r>
      <w:r w:rsidRPr="00BD7CEA">
        <w:rPr>
          <w:rFonts w:eastAsia="Calibri" w:cs="Tahoma"/>
          <w:szCs w:val="18"/>
        </w:rPr>
        <w:t>equivalenza core delle licenze esistenti con le licenze core per SQL Server 2012 aggiuntive.</w:t>
      </w:r>
    </w:p>
    <w:p w:rsidR="00A81E83" w:rsidRPr="00BD7CEA" w:rsidRDefault="00A81E83" w:rsidP="007358C5">
      <w:pPr>
        <w:numPr>
          <w:ilvl w:val="1"/>
          <w:numId w:val="51"/>
        </w:numPr>
        <w:tabs>
          <w:tab w:val="left" w:pos="2160"/>
        </w:tabs>
        <w:spacing w:after="60"/>
        <w:ind w:left="2160"/>
      </w:pPr>
      <w:r w:rsidRPr="00BD7CEA">
        <w:rPr>
          <w:rFonts w:eastAsia="Calibri" w:cs="Tahoma"/>
          <w:szCs w:val="18"/>
        </w:rPr>
        <w:t>L</w:t>
      </w:r>
      <w:r w:rsidR="007A1415" w:rsidRPr="00BD7CEA">
        <w:rPr>
          <w:rFonts w:eastAsia="Calibri" w:cs="Tahoma"/>
          <w:szCs w:val="18"/>
        </w:rPr>
        <w:t>’</w:t>
      </w:r>
      <w:r w:rsidRPr="00BD7CEA">
        <w:rPr>
          <w:rFonts w:eastAsia="Calibri" w:cs="Tahoma"/>
          <w:szCs w:val="18"/>
        </w:rPr>
        <w:t>equivalenza di licenze core stimata delle società non implica che esse possano cedere una licenza singola per processore a core attraverso due o più processori.</w:t>
      </w:r>
    </w:p>
    <w:p w:rsidR="00B06AAC" w:rsidRPr="00BD7CEA" w:rsidRDefault="00B06AAC" w:rsidP="00B06AAC">
      <w:pPr>
        <w:tabs>
          <w:tab w:val="left" w:pos="2160"/>
        </w:tabs>
        <w:spacing w:after="60"/>
      </w:pPr>
    </w:p>
    <w:p w:rsidR="00B06AAC" w:rsidRPr="00BD7CEA" w:rsidRDefault="00A81E83" w:rsidP="00B06AAC">
      <w:pPr>
        <w:tabs>
          <w:tab w:val="left" w:pos="720"/>
        </w:tabs>
        <w:spacing w:after="60"/>
        <w:ind w:left="720"/>
      </w:pPr>
      <w:r w:rsidRPr="00BD7CEA">
        <w:rPr>
          <w:rFonts w:eastAsia="Calibri" w:cs="Tahoma"/>
          <w:b/>
          <w:szCs w:val="18"/>
        </w:rPr>
        <w:t>Per le Società con copertura Software Assurance in scadenza in data 1 aprile 2015 o successiva che scelgono di non effettuare il rinnovo</w:t>
      </w:r>
    </w:p>
    <w:p w:rsidR="00A81E83" w:rsidRPr="00BD7CEA" w:rsidRDefault="00A81E83" w:rsidP="00B06AAC">
      <w:pPr>
        <w:tabs>
          <w:tab w:val="left" w:pos="720"/>
        </w:tabs>
        <w:ind w:left="720"/>
        <w:contextualSpacing/>
      </w:pPr>
      <w:r w:rsidRPr="00BD7CEA">
        <w:rPr>
          <w:rFonts w:eastAsia="Calibri" w:cs="Tahoma"/>
          <w:color w:val="000000"/>
          <w:szCs w:val="18"/>
        </w:rPr>
        <w:t xml:space="preserve">Alle società titolari di contratti Enterprise Subscription </w:t>
      </w:r>
      <w:r w:rsidRPr="00BD7CEA">
        <w:rPr>
          <w:rFonts w:cs="Tahoma"/>
          <w:bCs/>
          <w:color w:val="000000"/>
          <w:szCs w:val="18"/>
        </w:rPr>
        <w:t xml:space="preserve">e Open Value Subscription </w:t>
      </w:r>
      <w:r w:rsidRPr="00BD7CEA">
        <w:rPr>
          <w:rFonts w:eastAsia="Calibri" w:cs="Tahoma"/>
          <w:color w:val="000000"/>
          <w:szCs w:val="18"/>
        </w:rPr>
        <w:t xml:space="preserve">con copertura in scadenza in data 1 aprile 2015 o successiva che scelgono di effettuare il buy-out delle licenze per processore e alle altre società che acquistano licenze perpetue ai sensi del loro contratto verranno offerte le seguenti opzioni: </w:t>
      </w:r>
    </w:p>
    <w:p w:rsidR="00B06AAC" w:rsidRPr="00BD7CEA" w:rsidRDefault="00B06AAC" w:rsidP="00B06AAC">
      <w:pPr>
        <w:tabs>
          <w:tab w:val="left" w:pos="720"/>
        </w:tabs>
        <w:ind w:left="720"/>
        <w:contextualSpacing/>
      </w:pPr>
    </w:p>
    <w:p w:rsidR="00A81E83" w:rsidRPr="004D4391" w:rsidRDefault="00A81E83" w:rsidP="007358C5">
      <w:pPr>
        <w:numPr>
          <w:ilvl w:val="0"/>
          <w:numId w:val="133"/>
        </w:numPr>
        <w:spacing w:after="60"/>
        <w:ind w:left="1440"/>
        <w:rPr>
          <w:rFonts w:eastAsia="Calibri" w:cs="Tahoma"/>
          <w:szCs w:val="18"/>
        </w:rPr>
      </w:pPr>
      <w:r w:rsidRPr="004D4391">
        <w:rPr>
          <w:rFonts w:eastAsia="Calibri" w:cs="Tahoma"/>
          <w:szCs w:val="18"/>
        </w:rPr>
        <w:t xml:space="preserve">come stabilito nel primo paragrafo di questa nota relativa al prodotto, le licenze acquistate prima del 1 aprile 2015 sono licenze qualificanti e le società potranno continuare a utilizzare SQL Server 2012 in base alle condizioni riportate nel precedente Articolo “Per le società con copertura Software Assurance in scadenza prima del 1 aprile 2015 che scelgono di non effettuare il rinnovo” e </w:t>
      </w:r>
    </w:p>
    <w:p w:rsidR="00A81E83" w:rsidRPr="00BD7CEA" w:rsidRDefault="00A81E83" w:rsidP="007358C5">
      <w:pPr>
        <w:numPr>
          <w:ilvl w:val="0"/>
          <w:numId w:val="133"/>
        </w:numPr>
        <w:spacing w:after="60"/>
        <w:ind w:left="1440"/>
      </w:pPr>
      <w:r w:rsidRPr="00BD7CEA">
        <w:rPr>
          <w:rFonts w:eastAsia="Calibri" w:cs="Tahoma"/>
          <w:szCs w:val="18"/>
        </w:rPr>
        <w:t>per le licenze acquistate dopo il 1 aprile 2015 la licenza per processore delle società avrà un</w:t>
      </w:r>
      <w:r w:rsidR="007A1415" w:rsidRPr="00BD7CEA">
        <w:rPr>
          <w:rFonts w:eastAsia="Calibri" w:cs="Tahoma"/>
          <w:szCs w:val="18"/>
        </w:rPr>
        <w:t>’</w:t>
      </w:r>
      <w:r w:rsidRPr="00BD7CEA">
        <w:rPr>
          <w:rFonts w:eastAsia="Calibri" w:cs="Tahoma"/>
          <w:szCs w:val="18"/>
        </w:rPr>
        <w:t>equivalenza core di quattro licenze core Standard per SQL Server 2012. Per l</w:t>
      </w:r>
      <w:r w:rsidR="007A1415" w:rsidRPr="00BD7CEA">
        <w:rPr>
          <w:rFonts w:eastAsia="Calibri" w:cs="Tahoma"/>
          <w:szCs w:val="18"/>
        </w:rPr>
        <w:t>’</w:t>
      </w:r>
      <w:r w:rsidRPr="00BD7CEA">
        <w:rPr>
          <w:rFonts w:eastAsia="Calibri" w:cs="Tahoma"/>
          <w:szCs w:val="18"/>
        </w:rPr>
        <w:t>utilizzo continuativo di SQL Server 2012 su processori che richiedono più di quattro licenze core per</w:t>
      </w:r>
      <w:r w:rsidR="009C3B43" w:rsidRPr="00BD7CEA">
        <w:rPr>
          <w:rFonts w:eastAsia="Calibri" w:cs="Tahoma"/>
          <w:szCs w:val="18"/>
        </w:rPr>
        <w:t> </w:t>
      </w:r>
      <w:r w:rsidRPr="00BD7CEA">
        <w:rPr>
          <w:rFonts w:eastAsia="Calibri" w:cs="Tahoma"/>
          <w:szCs w:val="18"/>
        </w:rPr>
        <w:t>processore la società deve acquistare le licenze core aggiuntive.</w:t>
      </w:r>
    </w:p>
    <w:p w:rsidR="002512D3" w:rsidRPr="00BD7CEA" w:rsidRDefault="002512D3"/>
    <w:p w:rsidR="00B06AAC" w:rsidRPr="00BD7CEA" w:rsidRDefault="00A81E83" w:rsidP="00B06AAC">
      <w:pPr>
        <w:tabs>
          <w:tab w:val="left" w:pos="720"/>
        </w:tabs>
        <w:spacing w:after="60"/>
        <w:ind w:left="720"/>
      </w:pPr>
      <w:r w:rsidRPr="00BD7CEA">
        <w:rPr>
          <w:b/>
        </w:rPr>
        <w:t>Per le società con sede nella Repubblica popolare</w:t>
      </w:r>
      <w:r w:rsidRPr="00BD7CEA">
        <w:t xml:space="preserve"> </w:t>
      </w:r>
      <w:r w:rsidRPr="00BD7CEA">
        <w:rPr>
          <w:b/>
        </w:rPr>
        <w:t>cinese, dove acquistano licenze per processore e Software Assurance per SQL Server 2008 R2</w:t>
      </w:r>
    </w:p>
    <w:p w:rsidR="00A81E83" w:rsidRPr="00BD7CEA" w:rsidRDefault="00A81E83" w:rsidP="00B06AAC">
      <w:pPr>
        <w:tabs>
          <w:tab w:val="left" w:pos="720"/>
        </w:tabs>
        <w:ind w:left="720"/>
        <w:contextualSpacing/>
      </w:pPr>
      <w:r w:rsidRPr="00BD7CEA">
        <w:t>Non si applicano i riferimenti al 1 aprile 2012 e al 1 aprile 2015 presenti in questa nota relativa alla lista dei prodotti. Le date applicabili per queste società sarebbero rispettivamente il 1 luglio 2012 e il 1 luglio 2015.</w:t>
      </w:r>
    </w:p>
    <w:p w:rsidR="00A81E83" w:rsidRPr="00BD7CEA" w:rsidRDefault="00A81E83" w:rsidP="008558DC">
      <w:pPr>
        <w:ind w:left="900"/>
      </w:pPr>
    </w:p>
    <w:p w:rsidR="00A81E83" w:rsidRPr="00BD7CEA" w:rsidRDefault="00A81E83" w:rsidP="008558DC"/>
    <w:p w:rsidR="00A81E83" w:rsidRPr="00BD7CEA" w:rsidRDefault="00F66FB0" w:rsidP="00BD4B91">
      <w:pPr>
        <w:pStyle w:val="Heading3"/>
      </w:pPr>
      <w:bookmarkStart w:id="1435" w:name="_85_84_SQL"/>
      <w:bookmarkStart w:id="1436" w:name="_78_76_SQL"/>
      <w:bookmarkStart w:id="1437" w:name="_77_SQL_Server®"/>
      <w:bookmarkStart w:id="1438" w:name="Srv_85SQL2008R2Workgroup5ClientAddon"/>
      <w:bookmarkStart w:id="1439" w:name="_Toc336338343"/>
      <w:bookmarkStart w:id="1440" w:name="_Toc353376115"/>
      <w:bookmarkEnd w:id="1435"/>
      <w:bookmarkEnd w:id="1436"/>
      <w:bookmarkEnd w:id="1437"/>
      <w:r w:rsidRPr="00BD7CEA">
        <w:rPr>
          <w:rFonts w:ascii="Tahoma" w:hAnsi="Tahoma"/>
          <w:color w:val="F66400"/>
          <w:sz w:val="22"/>
          <w:vertAlign w:val="superscript"/>
        </w:rPr>
        <w:t>77</w:t>
      </w:r>
      <w:r w:rsidRPr="00BD7CEA">
        <w:rPr>
          <w:rFonts w:ascii="Tahoma" w:hAnsi="Tahoma"/>
          <w:color w:val="F66400"/>
          <w:sz w:val="22"/>
        </w:rPr>
        <w:t xml:space="preserve"> SQL Server</w:t>
      </w:r>
      <w:r w:rsidR="00700C4B" w:rsidRPr="00BD7CEA">
        <w:rPr>
          <w:rFonts w:ascii="Tahoma" w:hAnsi="Tahoma"/>
          <w:color w:val="F66400"/>
          <w:sz w:val="22"/>
          <w:vertAlign w:val="superscript"/>
        </w:rPr>
        <w:t>®</w:t>
      </w:r>
      <w:r w:rsidRPr="00BD7CEA">
        <w:rPr>
          <w:rFonts w:ascii="Tahoma" w:hAnsi="Tahoma"/>
          <w:color w:val="F66400"/>
          <w:sz w:val="22"/>
        </w:rPr>
        <w:t xml:space="preserve"> 2008 R2 Workgroup (5 Add On Client)</w:t>
      </w:r>
      <w:bookmarkEnd w:id="1438"/>
      <w:bookmarkEnd w:id="1439"/>
      <w:bookmarkEnd w:id="1440"/>
    </w:p>
    <w:p w:rsidR="00A81E83" w:rsidRPr="00BD7CEA" w:rsidRDefault="00A81E83" w:rsidP="00DA46D5">
      <w:pPr>
        <w:pStyle w:val="EndnoteText"/>
        <w:ind w:left="0"/>
      </w:pPr>
    </w:p>
    <w:p w:rsidR="00DA46D5" w:rsidRPr="00BD7CEA" w:rsidRDefault="00A81E83" w:rsidP="00DA46D5">
      <w:pPr>
        <w:spacing w:after="60"/>
        <w:ind w:left="720"/>
      </w:pPr>
      <w:r w:rsidRPr="00BD7CEA">
        <w:rPr>
          <w:b/>
        </w:rPr>
        <w:t>Concessioni di Licenza Associate alla fine del ciclo di vita di SQL Server Workgroup Edition</w:t>
      </w:r>
    </w:p>
    <w:p w:rsidR="00A81E83" w:rsidRPr="00BD7CEA" w:rsidRDefault="00A81E83" w:rsidP="00DA46D5">
      <w:pPr>
        <w:ind w:left="720"/>
      </w:pPr>
      <w:r w:rsidRPr="00BD7CEA">
        <w:rPr>
          <w:rFonts w:eastAsia="Calibri" w:cs="Tahoma"/>
          <w:szCs w:val="18"/>
        </w:rPr>
        <w:t>SQL Server 2008 R2 Workgroup sarà l</w:t>
      </w:r>
      <w:r w:rsidR="007A1415" w:rsidRPr="00BD7CEA">
        <w:rPr>
          <w:rFonts w:eastAsia="Calibri" w:cs="Tahoma"/>
          <w:szCs w:val="18"/>
        </w:rPr>
        <w:t>’</w:t>
      </w:r>
      <w:r w:rsidRPr="00BD7CEA">
        <w:rPr>
          <w:rFonts w:eastAsia="Calibri" w:cs="Tahoma"/>
          <w:szCs w:val="18"/>
        </w:rPr>
        <w:t>ultima versione di SQL Server Workgroup Edition.</w:t>
      </w:r>
      <w:r w:rsidR="008D782D" w:rsidRPr="00BD7CEA">
        <w:rPr>
          <w:rFonts w:eastAsia="Calibri" w:cs="Tahoma"/>
          <w:szCs w:val="18"/>
        </w:rPr>
        <w:t xml:space="preserve"> </w:t>
      </w:r>
      <w:r w:rsidRPr="00BD7CEA">
        <w:rPr>
          <w:rFonts w:eastAsia="Calibri" w:cs="Tahoma"/>
          <w:szCs w:val="18"/>
        </w:rPr>
        <w:t>In via eccezionale, le società con contratti multilicenza e con copertura Software Assurance attiva per le licenze per SQL Server 2008 R2 Workgroup Server in data 1 aprile 2012 potranno effettuare l</w:t>
      </w:r>
      <w:r w:rsidR="007A1415" w:rsidRPr="00BD7CEA">
        <w:rPr>
          <w:rFonts w:eastAsia="Calibri" w:cs="Tahoma"/>
          <w:szCs w:val="18"/>
        </w:rPr>
        <w:t>’</w:t>
      </w:r>
      <w:r w:rsidRPr="00BD7CEA">
        <w:rPr>
          <w:rFonts w:eastAsia="Calibri" w:cs="Tahoma"/>
          <w:szCs w:val="18"/>
        </w:rPr>
        <w:t>aggiornamento a SQL Server 2012 Standard Server e utilizzarlo (o a qualsiasi versione successiva del prodotto resa disponibile durante la copertura) al posto di SQL Server Workgroup Edition e acquistare Software Assurance per SQL Server Standard alla scadenza della copertura in corso. Inoltre, le società con contratti multilicenza e con copertura Software Assurance attiva per le CAL per SQL Server 2008 R2 Workgroup in data 1 aprile 2012 potranno effettuare l</w:t>
      </w:r>
      <w:r w:rsidR="007A1415" w:rsidRPr="00BD7CEA">
        <w:rPr>
          <w:rFonts w:eastAsia="Calibri" w:cs="Tahoma"/>
          <w:szCs w:val="18"/>
        </w:rPr>
        <w:t>’</w:t>
      </w:r>
      <w:r w:rsidRPr="00BD7CEA">
        <w:rPr>
          <w:rFonts w:eastAsia="Calibri" w:cs="Tahoma"/>
          <w:szCs w:val="18"/>
        </w:rPr>
        <w:t>aggiornamento alle CAL per SQL Server 2012 (o a qualsiasi versione successiva della CAL resa disponibile durante la copertura) e utilizzarle al posto delle loro CAL per SQL Server Workgroup, e acquistare Software Assurance per la CAL per SQL Server in occasione del loro prossimo rinnovo.</w:t>
      </w:r>
      <w:r w:rsidR="008D782D" w:rsidRPr="00BD7CEA">
        <w:rPr>
          <w:rFonts w:eastAsia="Calibri" w:cs="Tahoma"/>
          <w:szCs w:val="18"/>
        </w:rPr>
        <w:t xml:space="preserve"> </w:t>
      </w:r>
      <w:r w:rsidRPr="00BD7CEA">
        <w:rPr>
          <w:rFonts w:eastAsia="Calibri" w:cs="Tahoma"/>
          <w:szCs w:val="18"/>
        </w:rPr>
        <w:t>Le licenze per SQL Server Workgroup delle società non sono più valide quando acquistano la copertura Software Assurance per SQL Server Standard ai sensi della presente offerta.</w:t>
      </w:r>
    </w:p>
    <w:p w:rsidR="000D5F24" w:rsidRPr="00BD7CEA" w:rsidRDefault="000D5F24"/>
    <w:p w:rsidR="00DA46D5" w:rsidRPr="00BD7CEA" w:rsidRDefault="00A81E83" w:rsidP="00DA46D5">
      <w:pPr>
        <w:spacing w:after="60"/>
        <w:ind w:left="720"/>
      </w:pPr>
      <w:r w:rsidRPr="00BD7CEA">
        <w:rPr>
          <w:b/>
        </w:rPr>
        <w:lastRenderedPageBreak/>
        <w:t>Per le società con sede nella Repubblica popolare</w:t>
      </w:r>
      <w:r w:rsidRPr="00BD7CEA">
        <w:t xml:space="preserve"> </w:t>
      </w:r>
      <w:r w:rsidRPr="00BD7CEA">
        <w:rPr>
          <w:b/>
        </w:rPr>
        <w:t>cinese, dove acquistano licenze e Software Assurance per SQL Server 2008 R2</w:t>
      </w:r>
    </w:p>
    <w:p w:rsidR="00A81E83" w:rsidRPr="00BD7CEA" w:rsidRDefault="00A81E83" w:rsidP="00DA46D5">
      <w:pPr>
        <w:ind w:left="720"/>
      </w:pPr>
      <w:r w:rsidRPr="00BD7CEA">
        <w:t>Non si applicano i riferimenti al 1 aprile 2012 presenti in questa nota relativa alla lista dei prodotti. La data applicabile per queste società sarebbe il 1 luglio 2012.</w:t>
      </w:r>
    </w:p>
    <w:p w:rsidR="00DA46D5" w:rsidRPr="00BD7CEA" w:rsidRDefault="00DA46D5" w:rsidP="00DA46D5">
      <w:pPr>
        <w:ind w:left="720"/>
      </w:pPr>
    </w:p>
    <w:p w:rsidR="00586FCE" w:rsidRPr="00BD7CEA" w:rsidRDefault="00586FCE" w:rsidP="00DA46D5">
      <w:pPr>
        <w:ind w:left="720"/>
      </w:pPr>
    </w:p>
    <w:p w:rsidR="00A81E83" w:rsidRPr="00BD7CEA" w:rsidRDefault="00F66FB0" w:rsidP="00A81E83">
      <w:pPr>
        <w:pStyle w:val="Heading3"/>
        <w:ind w:left="720" w:hanging="720"/>
      </w:pPr>
      <w:bookmarkStart w:id="1441" w:name="_79_77_SQL"/>
      <w:bookmarkStart w:id="1442" w:name="_78_Processore_per"/>
      <w:bookmarkStart w:id="1443" w:name="_Toc336338344"/>
      <w:bookmarkStart w:id="1444" w:name="_Toc353376116"/>
      <w:bookmarkStart w:id="1445" w:name="Srv_72SQLSvr08R2WorkgroupProc"/>
      <w:bookmarkEnd w:id="1441"/>
      <w:bookmarkEnd w:id="1442"/>
      <w:r w:rsidRPr="00BD7CEA">
        <w:rPr>
          <w:rFonts w:ascii="Tahoma" w:hAnsi="Tahoma" w:cs="Tahoma"/>
          <w:color w:val="F66400"/>
          <w:sz w:val="22"/>
          <w:vertAlign w:val="superscript"/>
        </w:rPr>
        <w:t>78</w:t>
      </w:r>
      <w:r w:rsidRPr="00BD7CEA">
        <w:rPr>
          <w:rFonts w:ascii="Tahoma" w:hAnsi="Tahoma" w:cs="Tahoma"/>
          <w:color w:val="F66400"/>
          <w:sz w:val="22"/>
        </w:rPr>
        <w:t xml:space="preserve"> Processore per SQL Server</w:t>
      </w:r>
      <w:r w:rsidR="00700C4B" w:rsidRPr="00BD7CEA">
        <w:rPr>
          <w:rFonts w:ascii="Tahoma" w:hAnsi="Tahoma" w:cs="Tahoma"/>
          <w:color w:val="F66400"/>
          <w:sz w:val="22"/>
          <w:vertAlign w:val="superscript"/>
        </w:rPr>
        <w:t>®</w:t>
      </w:r>
      <w:r w:rsidRPr="00BD7CEA">
        <w:rPr>
          <w:rFonts w:ascii="Tahoma" w:hAnsi="Tahoma" w:cs="Tahoma"/>
          <w:color w:val="F66400"/>
          <w:sz w:val="22"/>
        </w:rPr>
        <w:t xml:space="preserve"> 2008 R2 Workgroup</w:t>
      </w:r>
      <w:bookmarkEnd w:id="1443"/>
      <w:bookmarkEnd w:id="1444"/>
    </w:p>
    <w:bookmarkEnd w:id="1445"/>
    <w:p w:rsidR="00A81E83" w:rsidRPr="00BD7CEA" w:rsidRDefault="00A81E83" w:rsidP="000C03F3">
      <w:pPr>
        <w:ind w:left="720"/>
      </w:pPr>
    </w:p>
    <w:p w:rsidR="000C03F3" w:rsidRPr="00BD7CEA" w:rsidRDefault="00A81E83" w:rsidP="000C03F3">
      <w:pPr>
        <w:spacing w:after="60"/>
        <w:ind w:left="720"/>
      </w:pPr>
      <w:r w:rsidRPr="00BD7CEA">
        <w:rPr>
          <w:rFonts w:eastAsia="Calibri" w:cs="Tahoma"/>
          <w:b/>
          <w:color w:val="000000"/>
          <w:szCs w:val="18"/>
        </w:rPr>
        <w:t>Concessioni di Licenza Associate alla Variazione del Modello di Licenza</w:t>
      </w:r>
    </w:p>
    <w:p w:rsidR="00A81E83" w:rsidRPr="00BD7CEA" w:rsidRDefault="00A81E83" w:rsidP="000C03F3">
      <w:pPr>
        <w:ind w:left="720"/>
      </w:pPr>
      <w:r w:rsidRPr="00BD7CEA">
        <w:rPr>
          <w:rFonts w:eastAsia="Calibri" w:cs="Tahoma"/>
          <w:color w:val="000000"/>
          <w:szCs w:val="18"/>
        </w:rPr>
        <w:t>SQL Server 2008 R2 sarà l</w:t>
      </w:r>
      <w:r w:rsidR="007A1415" w:rsidRPr="00BD7CEA">
        <w:rPr>
          <w:rFonts w:eastAsia="Calibri" w:cs="Tahoma"/>
          <w:color w:val="000000"/>
          <w:szCs w:val="18"/>
        </w:rPr>
        <w:t>’</w:t>
      </w:r>
      <w:r w:rsidRPr="00BD7CEA">
        <w:rPr>
          <w:rFonts w:eastAsia="Calibri" w:cs="Tahoma"/>
          <w:color w:val="000000"/>
          <w:szCs w:val="18"/>
        </w:rPr>
        <w:t>ultima versione di SQL Server concessa in licenza ai sensi del modello di licenza per processore e l</w:t>
      </w:r>
      <w:r w:rsidR="007A1415" w:rsidRPr="00BD7CEA">
        <w:rPr>
          <w:rFonts w:eastAsia="Calibri" w:cs="Tahoma"/>
          <w:color w:val="000000"/>
          <w:szCs w:val="18"/>
        </w:rPr>
        <w:t>’</w:t>
      </w:r>
      <w:r w:rsidRPr="00BD7CEA">
        <w:rPr>
          <w:rFonts w:eastAsia="Calibri" w:cs="Tahoma"/>
          <w:color w:val="000000"/>
          <w:szCs w:val="18"/>
        </w:rPr>
        <w:t>ultima versione di SQL Server Workgroup Edition.</w:t>
      </w:r>
      <w:r w:rsidR="008D782D" w:rsidRPr="00BD7CEA">
        <w:rPr>
          <w:rFonts w:eastAsia="Calibri" w:cs="Tahoma"/>
          <w:color w:val="000000"/>
          <w:szCs w:val="18"/>
        </w:rPr>
        <w:t xml:space="preserve"> </w:t>
      </w:r>
      <w:r w:rsidRPr="00BD7CEA">
        <w:rPr>
          <w:rFonts w:eastAsia="Calibri" w:cs="Tahoma"/>
          <w:color w:val="000000"/>
          <w:szCs w:val="18"/>
        </w:rPr>
        <w:t>In via eccezionale, alle società con contratti multilicenza e copertura Software Assurance attiva per le licenze per processore per SQL Server 2008 R2 Workgroup in data 1 aprile 2012 (“licenze qualificanti”) vengono offerte le opzioni che seguono. Le</w:t>
      </w:r>
      <w:r w:rsidR="00713397">
        <w:rPr>
          <w:rFonts w:eastAsia="Calibri" w:cs="Tahoma"/>
          <w:color w:val="000000"/>
          <w:szCs w:val="18"/>
        </w:rPr>
        <w:t> </w:t>
      </w:r>
      <w:r w:rsidRPr="00BD7CEA">
        <w:rPr>
          <w:rFonts w:eastAsia="Calibri" w:cs="Tahoma"/>
          <w:color w:val="000000"/>
          <w:szCs w:val="18"/>
        </w:rPr>
        <w:t xml:space="preserve">licenze per processore per SQL Server 2008 R2 Workgroup </w:t>
      </w:r>
      <w:r w:rsidRPr="00BD7CEA">
        <w:rPr>
          <w:rFonts w:cs="Tahoma"/>
          <w:bCs/>
          <w:color w:val="000000"/>
          <w:szCs w:val="18"/>
        </w:rPr>
        <w:t>acquistate successivamente nello stesso periodo di validità dell</w:t>
      </w:r>
      <w:r w:rsidR="007A1415" w:rsidRPr="00BD7CEA">
        <w:rPr>
          <w:rFonts w:cs="Tahoma"/>
          <w:bCs/>
          <w:color w:val="000000"/>
          <w:szCs w:val="18"/>
        </w:rPr>
        <w:t>’</w:t>
      </w:r>
      <w:r w:rsidRPr="00BD7CEA">
        <w:rPr>
          <w:rFonts w:cs="Tahoma"/>
          <w:bCs/>
          <w:color w:val="000000"/>
          <w:szCs w:val="18"/>
        </w:rPr>
        <w:t>iscrizione, ma prima del 1 aprile 2015 nell</w:t>
      </w:r>
      <w:r w:rsidR="007A1415" w:rsidRPr="00BD7CEA">
        <w:rPr>
          <w:rFonts w:cs="Tahoma"/>
          <w:bCs/>
          <w:color w:val="000000"/>
          <w:szCs w:val="18"/>
        </w:rPr>
        <w:t>’</w:t>
      </w:r>
      <w:r w:rsidRPr="00BD7CEA">
        <w:rPr>
          <w:rFonts w:cs="Tahoma"/>
          <w:bCs/>
          <w:color w:val="000000"/>
          <w:szCs w:val="18"/>
        </w:rPr>
        <w:t>ambito di una procedura pianificata di true-up della</w:t>
      </w:r>
      <w:r w:rsidR="009C3B43" w:rsidRPr="00BD7CEA">
        <w:rPr>
          <w:rFonts w:cs="Tahoma"/>
          <w:bCs/>
          <w:color w:val="000000"/>
          <w:szCs w:val="18"/>
        </w:rPr>
        <w:t> </w:t>
      </w:r>
      <w:r w:rsidRPr="00BD7CEA">
        <w:rPr>
          <w:rFonts w:cs="Tahoma"/>
          <w:bCs/>
          <w:color w:val="000000"/>
          <w:szCs w:val="18"/>
        </w:rPr>
        <w:t>società Enterprise, Enterprise Subscription, Open Value Subscription o EES, sono anch</w:t>
      </w:r>
      <w:r w:rsidR="007A1415" w:rsidRPr="00BD7CEA">
        <w:rPr>
          <w:rFonts w:cs="Tahoma"/>
          <w:bCs/>
          <w:color w:val="000000"/>
          <w:szCs w:val="18"/>
        </w:rPr>
        <w:t>’</w:t>
      </w:r>
      <w:r w:rsidRPr="00BD7CEA">
        <w:rPr>
          <w:rFonts w:cs="Tahoma"/>
          <w:bCs/>
          <w:color w:val="000000"/>
          <w:szCs w:val="18"/>
        </w:rPr>
        <w:t>esse licenze qualificanti per gli scopi previsti da tali opzioni.</w:t>
      </w:r>
      <w:r w:rsidR="008D782D" w:rsidRPr="00BD7CEA">
        <w:rPr>
          <w:rFonts w:cs="Tahoma"/>
          <w:bCs/>
          <w:color w:val="000000"/>
          <w:szCs w:val="18"/>
        </w:rPr>
        <w:t xml:space="preserve"> </w:t>
      </w:r>
      <w:r w:rsidRPr="00BD7CEA">
        <w:rPr>
          <w:rFonts w:cs="Tahoma"/>
          <w:bCs/>
          <w:color w:val="000000"/>
          <w:szCs w:val="18"/>
        </w:rPr>
        <w:t>Le licenze acquistate dopo il 1 aprile 2015, o in un periodo di validità dell</w:t>
      </w:r>
      <w:r w:rsidR="007A1415" w:rsidRPr="00BD7CEA">
        <w:rPr>
          <w:rFonts w:cs="Tahoma"/>
          <w:bCs/>
          <w:color w:val="000000"/>
          <w:szCs w:val="18"/>
        </w:rPr>
        <w:t>’</w:t>
      </w:r>
      <w:r w:rsidRPr="00BD7CEA">
        <w:rPr>
          <w:rFonts w:cs="Tahoma"/>
          <w:bCs/>
          <w:color w:val="000000"/>
          <w:szCs w:val="18"/>
        </w:rPr>
        <w:t>iscrizione successivo, ai sensi di un contratto distinto o di un</w:t>
      </w:r>
      <w:r w:rsidR="007A1415" w:rsidRPr="00BD7CEA">
        <w:rPr>
          <w:rFonts w:cs="Tahoma"/>
          <w:bCs/>
          <w:color w:val="000000"/>
          <w:szCs w:val="18"/>
        </w:rPr>
        <w:t>’</w:t>
      </w:r>
      <w:r w:rsidRPr="00BD7CEA">
        <w:rPr>
          <w:rFonts w:cs="Tahoma"/>
          <w:bCs/>
          <w:color w:val="000000"/>
          <w:szCs w:val="18"/>
        </w:rPr>
        <w:t>iscrizione con la data di entrata in vigore posteriore al 1 aprile 2012, non sono licenze qualificanti.</w:t>
      </w:r>
    </w:p>
    <w:p w:rsidR="000C03F3" w:rsidRPr="00BD7CEA" w:rsidRDefault="000C03F3" w:rsidP="000C03F3">
      <w:pPr>
        <w:ind w:left="720"/>
      </w:pPr>
    </w:p>
    <w:p w:rsidR="000C03F3" w:rsidRPr="00BD7CEA" w:rsidRDefault="000C03F3" w:rsidP="000C03F3">
      <w:pPr>
        <w:spacing w:after="60"/>
        <w:ind w:left="720"/>
      </w:pPr>
      <w:r w:rsidRPr="00BD7CEA">
        <w:rPr>
          <w:rFonts w:eastAsia="Calibri" w:cs="Tahoma"/>
          <w:b/>
          <w:color w:val="000000"/>
          <w:szCs w:val="18"/>
        </w:rPr>
        <w:t>Periodo di Validità Corrente</w:t>
      </w:r>
    </w:p>
    <w:p w:rsidR="00A81E83" w:rsidRPr="00BD7CEA" w:rsidRDefault="00A81E83" w:rsidP="000C03F3">
      <w:pPr>
        <w:tabs>
          <w:tab w:val="left" w:pos="720"/>
        </w:tabs>
        <w:ind w:left="720"/>
      </w:pPr>
      <w:r w:rsidRPr="00BD7CEA">
        <w:rPr>
          <w:rFonts w:eastAsia="Calibri" w:cs="Tahoma"/>
          <w:szCs w:val="18"/>
        </w:rPr>
        <w:t>durante il periodo di validità corrente della copertura Software Assurance a partire dal 1 aprile 2012 le società (incluse le società titolari di contratti “subscription”) potranno, ai sensi di una licenza qualificante, effettuare l</w:t>
      </w:r>
      <w:r w:rsidR="007A1415" w:rsidRPr="00BD7CEA">
        <w:rPr>
          <w:rFonts w:eastAsia="Calibri" w:cs="Tahoma"/>
          <w:szCs w:val="18"/>
        </w:rPr>
        <w:t>’</w:t>
      </w:r>
      <w:r w:rsidRPr="00BD7CEA">
        <w:rPr>
          <w:rFonts w:eastAsia="Calibri" w:cs="Tahoma"/>
          <w:szCs w:val="18"/>
        </w:rPr>
        <w:t>aggiornamento al software SQL Server 2012 Standard Core e utilizzarlo al posto di SQL Server</w:t>
      </w:r>
      <w:r w:rsidR="00713397">
        <w:rPr>
          <w:rFonts w:eastAsia="Calibri" w:cs="Tahoma"/>
          <w:szCs w:val="18"/>
        </w:rPr>
        <w:t> </w:t>
      </w:r>
      <w:r w:rsidRPr="00BD7CEA">
        <w:rPr>
          <w:rFonts w:eastAsia="Calibri" w:cs="Tahoma"/>
          <w:szCs w:val="18"/>
        </w:rPr>
        <w:t>2008 R2 Workgroup in conformità ai diritti di utilizzo del prodotto previsti dalla licenza per processore SQL Server 2008 R2 Standard (come indicato nei Diritti di Utilizzo del Prodotto del mese di gennaio 2012). alle società vengono concessi diritti aggiuntivi ai sensi di Mobilità delle Licenze tramite Software Assurance e</w:t>
      </w:r>
      <w:r w:rsidR="00713397">
        <w:rPr>
          <w:rFonts w:eastAsia="Calibri" w:cs="Tahoma"/>
          <w:szCs w:val="18"/>
        </w:rPr>
        <w:t> </w:t>
      </w:r>
      <w:r w:rsidRPr="00BD7CEA">
        <w:rPr>
          <w:rFonts w:eastAsia="Calibri" w:cs="Tahoma"/>
          <w:szCs w:val="18"/>
        </w:rPr>
        <w:t>Mobilità delle Licenze all</w:t>
      </w:r>
      <w:r w:rsidR="007A1415" w:rsidRPr="00BD7CEA">
        <w:rPr>
          <w:rFonts w:eastAsia="Calibri" w:cs="Tahoma"/>
          <w:szCs w:val="18"/>
        </w:rPr>
        <w:t>’</w:t>
      </w:r>
      <w:r w:rsidRPr="00BD7CEA">
        <w:rPr>
          <w:rFonts w:eastAsia="Calibri" w:cs="Tahoma"/>
          <w:szCs w:val="18"/>
        </w:rPr>
        <w:t>interno di Server Farm. Le società dovranno fare riferimento ai Diritti di Utilizzo del Prodotto per SQL Server 2012 Standard Core per quanto riguarda le condizioni di licenza per Mobilità delle Licenze.</w:t>
      </w:r>
    </w:p>
    <w:p w:rsidR="000C03F3" w:rsidRPr="00BD7CEA" w:rsidRDefault="000C03F3" w:rsidP="000C03F3">
      <w:pPr>
        <w:tabs>
          <w:tab w:val="left" w:pos="720"/>
        </w:tabs>
        <w:ind w:left="720"/>
      </w:pPr>
    </w:p>
    <w:p w:rsidR="000C03F3" w:rsidRPr="00BD7CEA" w:rsidRDefault="00A81E83" w:rsidP="000C03F3">
      <w:pPr>
        <w:spacing w:after="60"/>
        <w:ind w:left="720"/>
      </w:pPr>
      <w:r w:rsidRPr="00BD7CEA">
        <w:rPr>
          <w:rFonts w:eastAsia="Calibri" w:cs="Tahoma"/>
          <w:b/>
          <w:color w:val="000000"/>
          <w:szCs w:val="18"/>
        </w:rPr>
        <w:t>Primo Periodo di Rinnovo (prima del 1 aprile 2015)</w:t>
      </w:r>
    </w:p>
    <w:p w:rsidR="00A81E83" w:rsidRPr="00BD7CEA" w:rsidRDefault="00A81E83" w:rsidP="000C03F3">
      <w:pPr>
        <w:tabs>
          <w:tab w:val="left" w:pos="720"/>
        </w:tabs>
        <w:ind w:left="720"/>
      </w:pPr>
      <w:r w:rsidRPr="00BD7CEA">
        <w:rPr>
          <w:rFonts w:eastAsia="Calibri" w:cs="Tahoma"/>
          <w:szCs w:val="18"/>
        </w:rPr>
        <w:t>in occasione del primo rinnovo di Software Assurance in data 1 aprile 2012 o successiva (ma prima del 1</w:t>
      </w:r>
      <w:r w:rsidR="00B62325">
        <w:rPr>
          <w:rFonts w:eastAsia="Calibri" w:cs="Tahoma"/>
          <w:szCs w:val="18"/>
        </w:rPr>
        <w:t> </w:t>
      </w:r>
      <w:r w:rsidRPr="00BD7CEA">
        <w:rPr>
          <w:rFonts w:eastAsia="Calibri" w:cs="Tahoma"/>
          <w:szCs w:val="18"/>
        </w:rPr>
        <w:t>aprile 2015), per ogni server che una società ha ricevuto validamente in licenza in conformità ai diritti di</w:t>
      </w:r>
      <w:r w:rsidR="00B62325">
        <w:rPr>
          <w:rFonts w:eastAsia="Calibri" w:cs="Tahoma"/>
          <w:szCs w:val="18"/>
        </w:rPr>
        <w:t> </w:t>
      </w:r>
      <w:r w:rsidRPr="00BD7CEA">
        <w:rPr>
          <w:rFonts w:eastAsia="Calibri" w:cs="Tahoma"/>
          <w:szCs w:val="18"/>
        </w:rPr>
        <w:t>utilizzo del prodotto previsti dalla licenza per processore SQL Server 2008 R2 Standard, la società potrà acquistare la copertura Software Assurance per le licenze core per SQL Server Standard senza dovere acquistare le licenze core sottostanti per un numero di licenze core pari alla somma di (a) e (b):</w:t>
      </w:r>
    </w:p>
    <w:p w:rsidR="00A81E83" w:rsidRPr="00BD7CEA" w:rsidRDefault="00A81E83" w:rsidP="007358C5">
      <w:pPr>
        <w:numPr>
          <w:ilvl w:val="0"/>
          <w:numId w:val="116"/>
        </w:numPr>
        <w:tabs>
          <w:tab w:val="left" w:pos="1440"/>
        </w:tabs>
        <w:ind w:left="1440"/>
      </w:pPr>
      <w:r w:rsidRPr="00BD7CEA">
        <w:rPr>
          <w:rFonts w:eastAsia="Calibri" w:cs="Tahoma"/>
          <w:szCs w:val="18"/>
        </w:rPr>
        <w:t xml:space="preserve">un numero pari al numero minore delle licenze qualificanti cedute al server o al numero totale dei processori fisici sul server moltiplicato per il maggiore tra: </w:t>
      </w:r>
    </w:p>
    <w:p w:rsidR="00A81E83" w:rsidRPr="00BD7CEA" w:rsidRDefault="00A81E83" w:rsidP="007358C5">
      <w:pPr>
        <w:numPr>
          <w:ilvl w:val="0"/>
          <w:numId w:val="90"/>
        </w:numPr>
        <w:tabs>
          <w:tab w:val="left" w:pos="1800"/>
        </w:tabs>
        <w:ind w:left="1800"/>
      </w:pPr>
      <w:r w:rsidRPr="00BD7CEA">
        <w:rPr>
          <w:rFonts w:eastAsia="Calibri" w:cs="Tahoma"/>
          <w:szCs w:val="18"/>
        </w:rPr>
        <w:t>quattro O</w:t>
      </w:r>
    </w:p>
    <w:p w:rsidR="00A81E83" w:rsidRPr="00BD7CEA" w:rsidRDefault="00A81E83" w:rsidP="007358C5">
      <w:pPr>
        <w:numPr>
          <w:ilvl w:val="0"/>
          <w:numId w:val="90"/>
        </w:numPr>
        <w:tabs>
          <w:tab w:val="left" w:pos="1800"/>
        </w:tabs>
        <w:ind w:left="1800"/>
      </w:pPr>
      <w:r w:rsidRPr="00BD7CEA">
        <w:rPr>
          <w:rFonts w:eastAsia="Calibri" w:cs="Tahoma"/>
          <w:szCs w:val="18"/>
        </w:rPr>
        <w:t>il numero effettivo di core per processore fisico moltiplicato per il fattore core appropriato.</w:t>
      </w:r>
      <w:r w:rsidR="008D782D" w:rsidRPr="00BD7CEA">
        <w:rPr>
          <w:rFonts w:eastAsia="Calibri" w:cs="Tahoma"/>
          <w:szCs w:val="18"/>
        </w:rPr>
        <w:t xml:space="preserve"> </w:t>
      </w:r>
      <w:r w:rsidRPr="00BD7CEA">
        <w:rPr>
          <w:rFonts w:eastAsia="Calibri" w:cs="Tahoma"/>
          <w:szCs w:val="18"/>
        </w:rPr>
        <w:t>(Nei</w:t>
      </w:r>
      <w:r w:rsidR="00B62325">
        <w:rPr>
          <w:rFonts w:eastAsia="Calibri" w:cs="Tahoma"/>
          <w:szCs w:val="18"/>
        </w:rPr>
        <w:t> </w:t>
      </w:r>
      <w:r w:rsidRPr="00BD7CEA">
        <w:rPr>
          <w:rFonts w:eastAsia="Calibri" w:cs="Tahoma"/>
          <w:szCs w:val="18"/>
        </w:rPr>
        <w:t>casi in cui il numero effettivo di core per processore fisico superi quattro, le società dovranno conservare un record della configurazione del software SQL Server in esecuzione sul</w:t>
      </w:r>
      <w:r w:rsidR="00B62325">
        <w:rPr>
          <w:rFonts w:eastAsia="Calibri" w:cs="Tahoma"/>
          <w:szCs w:val="18"/>
        </w:rPr>
        <w:t> </w:t>
      </w:r>
      <w:r w:rsidRPr="00BD7CEA">
        <w:rPr>
          <w:rFonts w:eastAsia="Calibri" w:cs="Tahoma"/>
          <w:szCs w:val="18"/>
        </w:rPr>
        <w:t>server (istanze con licenza in esecuzione negli ambienti del sistema operativo sul server con licenza) e l</w:t>
      </w:r>
      <w:r w:rsidR="007A1415" w:rsidRPr="00BD7CEA">
        <w:rPr>
          <w:rFonts w:eastAsia="Calibri" w:cs="Tahoma"/>
          <w:szCs w:val="18"/>
        </w:rPr>
        <w:t>’</w:t>
      </w:r>
      <w:r w:rsidRPr="00BD7CEA">
        <w:rPr>
          <w:rFonts w:eastAsia="Calibri" w:cs="Tahoma"/>
          <w:szCs w:val="18"/>
        </w:rPr>
        <w:t xml:space="preserve">hardware fisico che supporta tale software appena prima del rinnovo di Software Assurance utilizzando lo strumento MAP di Microsoft o un software equivalente). </w:t>
      </w:r>
    </w:p>
    <w:p w:rsidR="00A81E83" w:rsidRPr="00BD7CEA" w:rsidRDefault="00A81E83" w:rsidP="007358C5">
      <w:pPr>
        <w:numPr>
          <w:ilvl w:val="0"/>
          <w:numId w:val="116"/>
        </w:numPr>
        <w:tabs>
          <w:tab w:val="left" w:pos="1440"/>
        </w:tabs>
        <w:ind w:left="1440"/>
      </w:pPr>
      <w:r w:rsidRPr="00BD7CEA">
        <w:rPr>
          <w:rFonts w:eastAsia="Calibri" w:cs="Tahoma"/>
          <w:szCs w:val="18"/>
        </w:rPr>
        <w:t>un numero pari al numero di licenze qualificanti cedute al server oltre al numero effettivo di</w:t>
      </w:r>
      <w:r w:rsidR="00B62325">
        <w:rPr>
          <w:rFonts w:eastAsia="Calibri" w:cs="Tahoma"/>
          <w:szCs w:val="18"/>
        </w:rPr>
        <w:t> </w:t>
      </w:r>
      <w:r w:rsidRPr="00BD7CEA">
        <w:rPr>
          <w:rFonts w:eastAsia="Calibri" w:cs="Tahoma"/>
          <w:szCs w:val="18"/>
        </w:rPr>
        <w:t>processori fisici sul server moltiplicato per quattro.</w:t>
      </w:r>
    </w:p>
    <w:p w:rsidR="000C03F3" w:rsidRPr="00BD7CEA" w:rsidRDefault="000C03F3" w:rsidP="000C03F3">
      <w:pPr>
        <w:tabs>
          <w:tab w:val="left" w:pos="1440"/>
        </w:tabs>
      </w:pPr>
    </w:p>
    <w:p w:rsidR="009C3B43" w:rsidRPr="00BD7CEA" w:rsidRDefault="009C3B43" w:rsidP="000C03F3">
      <w:pPr>
        <w:spacing w:after="60"/>
        <w:ind w:left="720"/>
        <w:rPr>
          <w:rFonts w:eastAsia="Calibri" w:cs="Tahoma"/>
          <w:b/>
          <w:szCs w:val="18"/>
        </w:rPr>
      </w:pPr>
    </w:p>
    <w:p w:rsidR="009C3B43" w:rsidRPr="00BD7CEA" w:rsidRDefault="009C3B43" w:rsidP="000C03F3">
      <w:pPr>
        <w:spacing w:after="60"/>
        <w:ind w:left="720"/>
        <w:rPr>
          <w:rFonts w:eastAsia="Calibri" w:cs="Tahoma"/>
          <w:b/>
          <w:szCs w:val="18"/>
        </w:rPr>
      </w:pPr>
    </w:p>
    <w:p w:rsidR="009C3B43" w:rsidRPr="00BD7CEA" w:rsidRDefault="009C3B43" w:rsidP="000C03F3">
      <w:pPr>
        <w:spacing w:after="60"/>
        <w:ind w:left="720"/>
        <w:rPr>
          <w:rFonts w:eastAsia="Calibri" w:cs="Tahoma"/>
          <w:b/>
          <w:szCs w:val="18"/>
        </w:rPr>
      </w:pPr>
    </w:p>
    <w:p w:rsidR="009C3B43" w:rsidRPr="00BD7CEA" w:rsidRDefault="009C3B43" w:rsidP="000C03F3">
      <w:pPr>
        <w:spacing w:after="60"/>
        <w:ind w:left="720"/>
        <w:rPr>
          <w:rFonts w:eastAsia="Calibri" w:cs="Tahoma"/>
          <w:b/>
          <w:szCs w:val="18"/>
        </w:rPr>
      </w:pPr>
    </w:p>
    <w:p w:rsidR="009C3B43" w:rsidRPr="00BD7CEA" w:rsidRDefault="009C3B43" w:rsidP="000C03F3">
      <w:pPr>
        <w:spacing w:after="60"/>
        <w:ind w:left="720"/>
        <w:rPr>
          <w:rFonts w:eastAsia="Calibri" w:cs="Tahoma"/>
          <w:b/>
          <w:szCs w:val="18"/>
        </w:rPr>
      </w:pPr>
    </w:p>
    <w:p w:rsidR="009C3B43" w:rsidRDefault="009C3B43" w:rsidP="000C03F3">
      <w:pPr>
        <w:spacing w:after="60"/>
        <w:ind w:left="720"/>
        <w:rPr>
          <w:rFonts w:eastAsia="Calibri" w:cs="Tahoma"/>
          <w:b/>
          <w:szCs w:val="18"/>
        </w:rPr>
      </w:pPr>
    </w:p>
    <w:p w:rsidR="00B0656E" w:rsidRPr="00BD7CEA" w:rsidRDefault="00B0656E" w:rsidP="000C03F3">
      <w:pPr>
        <w:spacing w:after="60"/>
        <w:ind w:left="720"/>
        <w:rPr>
          <w:rFonts w:eastAsia="Calibri" w:cs="Tahoma"/>
          <w:b/>
          <w:szCs w:val="18"/>
        </w:rPr>
      </w:pPr>
    </w:p>
    <w:p w:rsidR="000C03F3" w:rsidRPr="00BD7CEA" w:rsidRDefault="00A81E83" w:rsidP="000C03F3">
      <w:pPr>
        <w:spacing w:after="60"/>
        <w:ind w:left="720"/>
      </w:pPr>
      <w:r w:rsidRPr="00BD7CEA">
        <w:rPr>
          <w:rFonts w:eastAsia="Calibri" w:cs="Tahoma"/>
          <w:b/>
          <w:szCs w:val="18"/>
        </w:rPr>
        <w:lastRenderedPageBreak/>
        <w:t>Primo Periodo di Rinnovo (in data 1 aprile 2015 o successiva)</w:t>
      </w:r>
    </w:p>
    <w:p w:rsidR="00A81E83" w:rsidRPr="00BD7CEA" w:rsidRDefault="00A81E83" w:rsidP="000C03F3">
      <w:pPr>
        <w:ind w:left="720"/>
      </w:pPr>
      <w:r w:rsidRPr="00BD7CEA">
        <w:rPr>
          <w:rFonts w:eastAsia="Calibri" w:cs="Tahoma"/>
          <w:color w:val="000000"/>
          <w:szCs w:val="18"/>
        </w:rPr>
        <w:t>Le società che rinnovano per la prima volta la copertura in data 1 aprile 2015</w:t>
      </w:r>
      <w:r w:rsidRPr="00BD7CEA">
        <w:rPr>
          <w:rFonts w:eastAsia="Calibri" w:cs="Tahoma"/>
          <w:szCs w:val="18"/>
        </w:rPr>
        <w:t xml:space="preserve"> potranno, per ogni server ottenuto in licenza in conformità ai diritti di utilizzo del prodotto previsti dalla licenza per processore SQL</w:t>
      </w:r>
      <w:r w:rsidR="009C3B43" w:rsidRPr="00BD7CEA">
        <w:rPr>
          <w:rFonts w:eastAsia="Calibri" w:cs="Tahoma"/>
          <w:szCs w:val="18"/>
        </w:rPr>
        <w:t> </w:t>
      </w:r>
      <w:r w:rsidRPr="00BD7CEA">
        <w:rPr>
          <w:rFonts w:eastAsia="Calibri" w:cs="Tahoma"/>
          <w:szCs w:val="18"/>
        </w:rPr>
        <w:t>Server 2008 R2, acquistare la copertura Software Assurance come di seguito indicato:</w:t>
      </w:r>
    </w:p>
    <w:p w:rsidR="000C03F3" w:rsidRPr="00BD7CEA" w:rsidRDefault="000C03F3" w:rsidP="000C03F3">
      <w:pPr>
        <w:ind w:left="720"/>
      </w:pPr>
    </w:p>
    <w:p w:rsidR="00A81E83" w:rsidRPr="00BD7CEA" w:rsidRDefault="00A81E83" w:rsidP="007358C5">
      <w:pPr>
        <w:numPr>
          <w:ilvl w:val="3"/>
          <w:numId w:val="91"/>
        </w:numPr>
        <w:tabs>
          <w:tab w:val="left" w:pos="1170"/>
        </w:tabs>
        <w:spacing w:after="60"/>
        <w:ind w:left="1440" w:hanging="360"/>
      </w:pPr>
      <w:r w:rsidRPr="00BD7CEA">
        <w:rPr>
          <w:rFonts w:eastAsia="Calibri" w:cs="Tahoma"/>
          <w:szCs w:val="18"/>
        </w:rPr>
        <w:t>come stabilito nel primo paragrafo di questa nota relativa al prodotto, le licenze acquistate prima del 1 aprile 2015 sono licenze qualificanti e le società potranno rinnovare la copertura Software Assurance in base alle condizioni riportate nel precedente Articolo “Primo Periodo di Rinnovo (prima</w:t>
      </w:r>
      <w:r w:rsidR="009C3B43" w:rsidRPr="00BD7CEA">
        <w:rPr>
          <w:rFonts w:eastAsia="Calibri" w:cs="Tahoma"/>
          <w:szCs w:val="18"/>
        </w:rPr>
        <w:t> </w:t>
      </w:r>
      <w:r w:rsidRPr="00BD7CEA">
        <w:rPr>
          <w:rFonts w:eastAsia="Calibri" w:cs="Tahoma"/>
          <w:szCs w:val="18"/>
        </w:rPr>
        <w:t xml:space="preserve">del 1 aprile 2015)” e </w:t>
      </w:r>
    </w:p>
    <w:p w:rsidR="00A81E83" w:rsidRPr="00BD7CEA" w:rsidRDefault="00A81E83" w:rsidP="007358C5">
      <w:pPr>
        <w:numPr>
          <w:ilvl w:val="3"/>
          <w:numId w:val="91"/>
        </w:numPr>
        <w:tabs>
          <w:tab w:val="left" w:pos="1170"/>
        </w:tabs>
        <w:spacing w:after="60"/>
        <w:ind w:left="1440" w:hanging="360"/>
      </w:pPr>
      <w:r w:rsidRPr="00BD7CEA">
        <w:rPr>
          <w:rFonts w:eastAsia="Calibri" w:cs="Tahoma"/>
          <w:szCs w:val="18"/>
        </w:rPr>
        <w:t>per le licenze acquistate dopo il 1 aprile 2015 le società potranno rinnovare la copertura Software Assurance per quattro licenze core per SQL Server Standard senza dover acquistare le licenze core sottostanti per ogni licenza per processore per SQL Server 2008 R2 Workgroup. Per l</w:t>
      </w:r>
      <w:r w:rsidR="007A1415" w:rsidRPr="00BD7CEA">
        <w:rPr>
          <w:rFonts w:eastAsia="Calibri" w:cs="Tahoma"/>
          <w:szCs w:val="18"/>
        </w:rPr>
        <w:t>’</w:t>
      </w:r>
      <w:r w:rsidRPr="00BD7CEA">
        <w:rPr>
          <w:rFonts w:eastAsia="Calibri" w:cs="Tahoma"/>
          <w:szCs w:val="18"/>
        </w:rPr>
        <w:t>utilizzo continuativo di SQL Server 2012 su processori che richiedono più di quattro licenze core per processore la società deve acquistare le licenze core aggiuntive.</w:t>
      </w:r>
    </w:p>
    <w:p w:rsidR="00A81E83" w:rsidRPr="00BD7CEA" w:rsidRDefault="00A81E83" w:rsidP="007358C5">
      <w:pPr>
        <w:numPr>
          <w:ilvl w:val="3"/>
          <w:numId w:val="91"/>
        </w:numPr>
        <w:tabs>
          <w:tab w:val="left" w:pos="1170"/>
        </w:tabs>
        <w:spacing w:after="60"/>
        <w:ind w:left="1440" w:hanging="360"/>
      </w:pPr>
      <w:r w:rsidRPr="00BD7CEA">
        <w:rPr>
          <w:rFonts w:eastAsia="Calibri" w:cs="Tahoma"/>
          <w:szCs w:val="18"/>
        </w:rPr>
        <w:t>Le licenze per processore delle società non sono più valide se si acquista la copertura Software</w:t>
      </w:r>
      <w:r w:rsidR="00713397">
        <w:rPr>
          <w:rFonts w:eastAsia="Calibri" w:cs="Tahoma"/>
          <w:szCs w:val="18"/>
        </w:rPr>
        <w:t> </w:t>
      </w:r>
      <w:r w:rsidRPr="00BD7CEA">
        <w:rPr>
          <w:rFonts w:eastAsia="Calibri" w:cs="Tahoma"/>
          <w:szCs w:val="18"/>
        </w:rPr>
        <w:t>Assurance per licenze core ai sensi della presente offerta. L</w:t>
      </w:r>
      <w:r w:rsidR="007A1415" w:rsidRPr="00BD7CEA">
        <w:rPr>
          <w:rFonts w:eastAsia="Calibri" w:cs="Tahoma"/>
          <w:szCs w:val="18"/>
        </w:rPr>
        <w:t>’</w:t>
      </w:r>
      <w:r w:rsidRPr="00BD7CEA">
        <w:rPr>
          <w:rFonts w:eastAsia="Calibri" w:cs="Tahoma"/>
          <w:szCs w:val="18"/>
        </w:rPr>
        <w:t>opzione di acquistare Software Assurance per le licenze core per SQL Server non è applicabile al rinnovo della copertura</w:t>
      </w:r>
      <w:r w:rsidR="00713397">
        <w:rPr>
          <w:rFonts w:eastAsia="Calibri" w:cs="Tahoma"/>
          <w:szCs w:val="18"/>
        </w:rPr>
        <w:t> </w:t>
      </w:r>
      <w:r w:rsidRPr="00BD7CEA">
        <w:rPr>
          <w:rFonts w:eastAsia="Calibri" w:cs="Tahoma"/>
          <w:szCs w:val="18"/>
        </w:rPr>
        <w:t>ai sensi</w:t>
      </w:r>
      <w:r w:rsidR="009C3B43" w:rsidRPr="00BD7CEA">
        <w:rPr>
          <w:rFonts w:eastAsia="Calibri" w:cs="Tahoma"/>
          <w:szCs w:val="18"/>
        </w:rPr>
        <w:t> </w:t>
      </w:r>
      <w:r w:rsidRPr="00BD7CEA">
        <w:rPr>
          <w:rFonts w:eastAsia="Calibri" w:cs="Tahoma"/>
          <w:szCs w:val="18"/>
        </w:rPr>
        <w:t>dei programmi di sottoscrizione.</w:t>
      </w:r>
      <w:r w:rsidR="008D782D" w:rsidRPr="00BD7CEA">
        <w:rPr>
          <w:rFonts w:eastAsia="Calibri" w:cs="Tahoma"/>
          <w:szCs w:val="18"/>
        </w:rPr>
        <w:t xml:space="preserve"> </w:t>
      </w:r>
    </w:p>
    <w:p w:rsidR="000C03F3" w:rsidRPr="00BD7CEA" w:rsidRDefault="000C03F3" w:rsidP="000C03F3">
      <w:pPr>
        <w:tabs>
          <w:tab w:val="left" w:pos="720"/>
        </w:tabs>
        <w:ind w:left="720"/>
      </w:pPr>
    </w:p>
    <w:p w:rsidR="000C03F3" w:rsidRPr="00BD7CEA" w:rsidRDefault="00A81E83" w:rsidP="000C03F3">
      <w:pPr>
        <w:tabs>
          <w:tab w:val="left" w:pos="720"/>
          <w:tab w:val="left" w:pos="1800"/>
        </w:tabs>
        <w:spacing w:after="60"/>
        <w:ind w:left="720"/>
      </w:pPr>
      <w:r w:rsidRPr="00BD7CEA">
        <w:rPr>
          <w:rFonts w:eastAsia="Calibri" w:cs="Tahoma"/>
          <w:b/>
          <w:szCs w:val="18"/>
        </w:rPr>
        <w:t>Per le Società con copertura Software Assurance in scadenza prima del 1 aprile 2015 che scelgono di non effettuare il rinnovo</w:t>
      </w:r>
    </w:p>
    <w:p w:rsidR="00A81E83" w:rsidRPr="00BD7CEA" w:rsidRDefault="00A81E83" w:rsidP="000C03F3">
      <w:pPr>
        <w:tabs>
          <w:tab w:val="left" w:pos="720"/>
          <w:tab w:val="left" w:pos="1800"/>
        </w:tabs>
        <w:ind w:left="720"/>
      </w:pPr>
      <w:r w:rsidRPr="00BD7CEA">
        <w:rPr>
          <w:rFonts w:eastAsia="Calibri" w:cs="Tahoma"/>
          <w:szCs w:val="18"/>
        </w:rPr>
        <w:t xml:space="preserve">Le società titolari di contratti Enterprise Subscription </w:t>
      </w:r>
      <w:r w:rsidRPr="00BD7CEA">
        <w:rPr>
          <w:rFonts w:cs="Tahoma"/>
          <w:bCs/>
          <w:color w:val="000000"/>
          <w:szCs w:val="18"/>
        </w:rPr>
        <w:t xml:space="preserve">e Open Value Subscription </w:t>
      </w:r>
      <w:r w:rsidRPr="00BD7CEA">
        <w:rPr>
          <w:rFonts w:eastAsia="Calibri" w:cs="Tahoma"/>
          <w:szCs w:val="18"/>
        </w:rPr>
        <w:t>con copertura in scadenza prima del 1 aprile 2015 che scelgono di effettuare il buy-out delle licenze per processore e altre società che acquistano licenze perpetue ai sensi del loro contratto e scelgono di non rinnovare Software Assurance potranno eseguire SQL Server 2008 R2 o SQL Server 2012 ai sensi di tali licenze come indicato sotto:</w:t>
      </w:r>
    </w:p>
    <w:p w:rsidR="000C03F3" w:rsidRPr="00BD7CEA" w:rsidRDefault="000C03F3" w:rsidP="000C03F3">
      <w:pPr>
        <w:tabs>
          <w:tab w:val="left" w:pos="720"/>
          <w:tab w:val="left" w:pos="1800"/>
        </w:tabs>
        <w:ind w:left="720"/>
      </w:pPr>
    </w:p>
    <w:p w:rsidR="00A81E83" w:rsidRPr="00BD7CEA" w:rsidRDefault="00A81E83" w:rsidP="007358C5">
      <w:pPr>
        <w:numPr>
          <w:ilvl w:val="0"/>
          <w:numId w:val="57"/>
        </w:numPr>
        <w:tabs>
          <w:tab w:val="left" w:pos="1440"/>
        </w:tabs>
        <w:spacing w:after="60"/>
        <w:ind w:left="1440"/>
      </w:pPr>
      <w:r w:rsidRPr="00BD7CEA">
        <w:rPr>
          <w:rFonts w:eastAsia="Calibri" w:cs="Tahoma"/>
          <w:b/>
          <w:szCs w:val="18"/>
        </w:rPr>
        <w:t>SQL Server 2008 R2 Workgroup:</w:t>
      </w:r>
      <w:r w:rsidRPr="00BD7CEA">
        <w:rPr>
          <w:rFonts w:eastAsia="Calibri" w:cs="Tahoma"/>
          <w:szCs w:val="18"/>
        </w:rPr>
        <w:t xml:space="preserve"> l</w:t>
      </w:r>
      <w:r w:rsidR="007A1415" w:rsidRPr="00BD7CEA">
        <w:rPr>
          <w:rFonts w:eastAsia="Calibri" w:cs="Tahoma"/>
          <w:szCs w:val="18"/>
        </w:rPr>
        <w:t>’</w:t>
      </w:r>
      <w:r w:rsidRPr="00BD7CEA">
        <w:rPr>
          <w:rFonts w:eastAsia="Calibri" w:cs="Tahoma"/>
          <w:szCs w:val="18"/>
        </w:rPr>
        <w:t>utilizzo continuativo di tale versione del software è soggetto ai diritti di utilizzo del prodotto previsti dalla licenza per processore SQL Server 2008 R2 Workgroup. Le società non disporranno più di diritti ai sensi della Mobilità delle Licenze all</w:t>
      </w:r>
      <w:r w:rsidR="007A1415" w:rsidRPr="00BD7CEA">
        <w:rPr>
          <w:rFonts w:eastAsia="Calibri" w:cs="Tahoma"/>
          <w:szCs w:val="18"/>
        </w:rPr>
        <w:t>’</w:t>
      </w:r>
      <w:r w:rsidRPr="00BD7CEA">
        <w:rPr>
          <w:rFonts w:eastAsia="Calibri" w:cs="Tahoma"/>
          <w:szCs w:val="18"/>
        </w:rPr>
        <w:t>interno</w:t>
      </w:r>
      <w:r w:rsidR="009C3B43" w:rsidRPr="00BD7CEA">
        <w:rPr>
          <w:rFonts w:eastAsia="Calibri" w:cs="Tahoma"/>
          <w:szCs w:val="18"/>
        </w:rPr>
        <w:t> </w:t>
      </w:r>
      <w:r w:rsidRPr="00BD7CEA">
        <w:rPr>
          <w:rFonts w:eastAsia="Calibri" w:cs="Tahoma"/>
          <w:szCs w:val="18"/>
        </w:rPr>
        <w:t xml:space="preserve">di Server Farm o della Mobilità delle Licenze tramite Software Assurance. </w:t>
      </w:r>
    </w:p>
    <w:p w:rsidR="00A81E83" w:rsidRPr="00BD7CEA" w:rsidRDefault="00A81E83" w:rsidP="007358C5">
      <w:pPr>
        <w:numPr>
          <w:ilvl w:val="0"/>
          <w:numId w:val="57"/>
        </w:numPr>
        <w:tabs>
          <w:tab w:val="left" w:pos="1440"/>
        </w:tabs>
        <w:spacing w:after="60"/>
        <w:ind w:left="1440"/>
      </w:pPr>
      <w:r w:rsidRPr="00BD7CEA">
        <w:rPr>
          <w:rFonts w:eastAsia="Calibri" w:cs="Tahoma"/>
          <w:b/>
          <w:szCs w:val="18"/>
        </w:rPr>
        <w:t xml:space="preserve">SQL Server 2012 Standard Core: </w:t>
      </w:r>
      <w:r w:rsidRPr="00BD7CEA">
        <w:rPr>
          <w:rFonts w:eastAsia="Calibri" w:cs="Tahoma"/>
          <w:szCs w:val="18"/>
        </w:rPr>
        <w:t>l</w:t>
      </w:r>
      <w:r w:rsidR="007A1415" w:rsidRPr="00BD7CEA">
        <w:rPr>
          <w:rFonts w:eastAsia="Calibri" w:cs="Tahoma"/>
          <w:szCs w:val="18"/>
        </w:rPr>
        <w:t>’</w:t>
      </w:r>
      <w:r w:rsidRPr="00BD7CEA">
        <w:rPr>
          <w:rFonts w:eastAsia="Calibri" w:cs="Tahoma"/>
          <w:szCs w:val="18"/>
        </w:rPr>
        <w:t xml:space="preserve">utilizzo di tale versione del software è soggetto ai diritti di utilizzo del prodotto previsti dalla licenza per processore SQL Server 2008 R2 Standard, tuttavia: </w:t>
      </w:r>
    </w:p>
    <w:p w:rsidR="00A81E83" w:rsidRPr="00BD7CEA" w:rsidRDefault="00A81E83" w:rsidP="007358C5">
      <w:pPr>
        <w:numPr>
          <w:ilvl w:val="1"/>
          <w:numId w:val="57"/>
        </w:numPr>
        <w:tabs>
          <w:tab w:val="left" w:pos="1800"/>
        </w:tabs>
        <w:spacing w:after="60"/>
        <w:ind w:left="1800"/>
      </w:pPr>
      <w:r w:rsidRPr="00BD7CEA">
        <w:rPr>
          <w:rFonts w:eastAsia="Calibri" w:cs="Tahoma"/>
          <w:szCs w:val="18"/>
        </w:rPr>
        <w:t>le società non disporranno più di diritti ai sensi della Mobilità delle Licenze all</w:t>
      </w:r>
      <w:r w:rsidR="007A1415" w:rsidRPr="00BD7CEA">
        <w:rPr>
          <w:rFonts w:eastAsia="Calibri" w:cs="Tahoma"/>
          <w:szCs w:val="18"/>
        </w:rPr>
        <w:t>’</w:t>
      </w:r>
      <w:r w:rsidRPr="00BD7CEA">
        <w:rPr>
          <w:rFonts w:eastAsia="Calibri" w:cs="Tahoma"/>
          <w:szCs w:val="18"/>
        </w:rPr>
        <w:t xml:space="preserve">interno di Server Farm o della Mobilità delle Licenze tramite Software Assurance e </w:t>
      </w:r>
    </w:p>
    <w:p w:rsidR="00A81E83" w:rsidRPr="00BD7CEA" w:rsidRDefault="00A81E83" w:rsidP="007358C5">
      <w:pPr>
        <w:numPr>
          <w:ilvl w:val="1"/>
          <w:numId w:val="57"/>
        </w:numPr>
        <w:tabs>
          <w:tab w:val="left" w:pos="1800"/>
        </w:tabs>
        <w:spacing w:after="60"/>
        <w:ind w:left="1800"/>
      </w:pPr>
      <w:r w:rsidRPr="00BD7CEA">
        <w:rPr>
          <w:rFonts w:eastAsia="Calibri" w:cs="Tahoma"/>
          <w:szCs w:val="18"/>
        </w:rPr>
        <w:t>l</w:t>
      </w:r>
      <w:r w:rsidR="007A1415" w:rsidRPr="00BD7CEA">
        <w:rPr>
          <w:rFonts w:eastAsia="Calibri" w:cs="Tahoma"/>
          <w:szCs w:val="18"/>
        </w:rPr>
        <w:t>’</w:t>
      </w:r>
      <w:r w:rsidRPr="00BD7CEA">
        <w:rPr>
          <w:rFonts w:eastAsia="Calibri" w:cs="Tahoma"/>
          <w:szCs w:val="18"/>
        </w:rPr>
        <w:t>eventuale riassegnazione di licenze è soggetta ai limiti indicati nei paragrafi (i) e (ii) che seguono relativi alla loro “equivalenza di licenze core”. L</w:t>
      </w:r>
      <w:r w:rsidR="007A1415" w:rsidRPr="00BD7CEA">
        <w:rPr>
          <w:rFonts w:eastAsia="Calibri" w:cs="Tahoma"/>
          <w:szCs w:val="18"/>
        </w:rPr>
        <w:t>’</w:t>
      </w:r>
      <w:r w:rsidRPr="00BD7CEA">
        <w:rPr>
          <w:rFonts w:eastAsia="Calibri" w:cs="Tahoma"/>
          <w:szCs w:val="18"/>
        </w:rPr>
        <w:t xml:space="preserve">equivalenza di licenze core è determinata come di seguito riportato. </w:t>
      </w:r>
    </w:p>
    <w:p w:rsidR="00A81E83" w:rsidRPr="00BD7CEA" w:rsidRDefault="00A81E83" w:rsidP="007358C5">
      <w:pPr>
        <w:numPr>
          <w:ilvl w:val="2"/>
          <w:numId w:val="57"/>
        </w:numPr>
        <w:tabs>
          <w:tab w:val="left" w:pos="2160"/>
        </w:tabs>
        <w:spacing w:after="60"/>
      </w:pPr>
      <w:r w:rsidRPr="00BD7CEA">
        <w:rPr>
          <w:rFonts w:eastAsia="Calibri" w:cs="Tahoma"/>
          <w:szCs w:val="18"/>
        </w:rPr>
        <w:t>Per un numero di licenze pari al numero inferiore tra (x) il numero totale di licenze per</w:t>
      </w:r>
      <w:r w:rsidR="009C3B43" w:rsidRPr="00BD7CEA">
        <w:rPr>
          <w:rFonts w:eastAsia="Calibri" w:cs="Tahoma"/>
          <w:szCs w:val="18"/>
        </w:rPr>
        <w:t> </w:t>
      </w:r>
      <w:r w:rsidRPr="00BD7CEA">
        <w:rPr>
          <w:rFonts w:eastAsia="Calibri" w:cs="Tahoma"/>
          <w:szCs w:val="18"/>
        </w:rPr>
        <w:t>processore cedute a un server con licenza appena prima della scadenza di Software Assurance o (y) il numero totale di processori fisici su tale server, l</w:t>
      </w:r>
      <w:r w:rsidR="007A1415" w:rsidRPr="00BD7CEA">
        <w:rPr>
          <w:rFonts w:eastAsia="Calibri" w:cs="Tahoma"/>
          <w:szCs w:val="18"/>
        </w:rPr>
        <w:t>’</w:t>
      </w:r>
      <w:r w:rsidRPr="00BD7CEA">
        <w:rPr>
          <w:rFonts w:eastAsia="Calibri" w:cs="Tahoma"/>
          <w:szCs w:val="18"/>
        </w:rPr>
        <w:t xml:space="preserve">equivalenza di licenze core è il numero maggiore tra: </w:t>
      </w:r>
    </w:p>
    <w:p w:rsidR="00A81E83" w:rsidRPr="00BD7CEA" w:rsidRDefault="00A81E83" w:rsidP="007358C5">
      <w:pPr>
        <w:numPr>
          <w:ilvl w:val="0"/>
          <w:numId w:val="134"/>
        </w:numPr>
        <w:tabs>
          <w:tab w:val="left" w:pos="2520"/>
        </w:tabs>
        <w:spacing w:after="60"/>
        <w:ind w:left="2520"/>
      </w:pPr>
      <w:r w:rsidRPr="00B0656E">
        <w:rPr>
          <w:rFonts w:eastAsia="Calibri" w:cs="Tahoma"/>
          <w:szCs w:val="18"/>
        </w:rPr>
        <w:t xml:space="preserve">quattro core per licenza per processore O </w:t>
      </w:r>
    </w:p>
    <w:p w:rsidR="00A81E83" w:rsidRPr="00BD7CEA" w:rsidRDefault="00A81E83" w:rsidP="007358C5">
      <w:pPr>
        <w:numPr>
          <w:ilvl w:val="0"/>
          <w:numId w:val="134"/>
        </w:numPr>
        <w:tabs>
          <w:tab w:val="left" w:pos="2520"/>
        </w:tabs>
        <w:spacing w:after="60"/>
        <w:ind w:left="2520"/>
      </w:pPr>
      <w:r w:rsidRPr="00BD7CEA">
        <w:rPr>
          <w:rFonts w:eastAsia="Calibri" w:cs="Tahoma"/>
          <w:szCs w:val="18"/>
        </w:rPr>
        <w:t>un numero di core per licenza per processore basato sul numero effettivo di core per processore fisico moltiplicato per il fattore core appropriato. (Nei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7A1415" w:rsidRPr="00BD7CEA">
        <w:rPr>
          <w:rFonts w:eastAsia="Calibri" w:cs="Tahoma"/>
          <w:szCs w:val="18"/>
        </w:rPr>
        <w:t>’</w:t>
      </w:r>
      <w:r w:rsidRPr="00BD7CEA">
        <w:rPr>
          <w:rFonts w:eastAsia="Calibri" w:cs="Tahoma"/>
          <w:szCs w:val="18"/>
        </w:rPr>
        <w:t>hardware fisico che supporta tale software appena prima della scadenza di</w:t>
      </w:r>
      <w:r w:rsidR="009C3B43" w:rsidRPr="00BD7CEA">
        <w:rPr>
          <w:rFonts w:eastAsia="Calibri" w:cs="Tahoma"/>
          <w:szCs w:val="18"/>
        </w:rPr>
        <w:t> </w:t>
      </w:r>
      <w:r w:rsidRPr="00BD7CEA">
        <w:rPr>
          <w:rFonts w:eastAsia="Calibri" w:cs="Tahoma"/>
          <w:szCs w:val="18"/>
        </w:rPr>
        <w:t xml:space="preserve">Software Assurance utilizzando lo strumento MAP di Microsoft o un software equivalente). </w:t>
      </w:r>
    </w:p>
    <w:p w:rsidR="00A81E83" w:rsidRPr="00BD7CEA" w:rsidRDefault="00A81E83" w:rsidP="007358C5">
      <w:pPr>
        <w:numPr>
          <w:ilvl w:val="1"/>
          <w:numId w:val="57"/>
        </w:numPr>
        <w:tabs>
          <w:tab w:val="left" w:pos="1800"/>
        </w:tabs>
        <w:spacing w:after="60"/>
        <w:ind w:left="1800"/>
      </w:pPr>
      <w:r w:rsidRPr="00BD7CEA">
        <w:rPr>
          <w:rFonts w:eastAsia="Calibri" w:cs="Tahoma"/>
          <w:szCs w:val="18"/>
        </w:rPr>
        <w:t>Per qualsiasi licenza per processore con la copertura Software Assurance in scadenza ceduta allo stesso server con licenza che ecceda il numero effettivo di processori fisici sul server, l</w:t>
      </w:r>
      <w:r w:rsidR="007A1415" w:rsidRPr="00BD7CEA">
        <w:rPr>
          <w:rFonts w:eastAsia="Calibri" w:cs="Tahoma"/>
          <w:szCs w:val="18"/>
        </w:rPr>
        <w:t>’</w:t>
      </w:r>
      <w:r w:rsidRPr="00BD7CEA">
        <w:rPr>
          <w:rFonts w:eastAsia="Calibri" w:cs="Tahoma"/>
          <w:szCs w:val="18"/>
        </w:rPr>
        <w:t>equivalenza core è di quattro core per licenza per processore.</w:t>
      </w:r>
    </w:p>
    <w:p w:rsidR="009C3B43" w:rsidRPr="00BD7CEA" w:rsidRDefault="009C3B43" w:rsidP="009C3B43">
      <w:pPr>
        <w:tabs>
          <w:tab w:val="left" w:pos="1800"/>
        </w:tabs>
        <w:spacing w:after="60"/>
        <w:ind w:left="1800"/>
      </w:pPr>
    </w:p>
    <w:p w:rsidR="00A81E83" w:rsidRPr="00BD7CEA" w:rsidRDefault="00A81E83" w:rsidP="007358C5">
      <w:pPr>
        <w:numPr>
          <w:ilvl w:val="1"/>
          <w:numId w:val="57"/>
        </w:numPr>
        <w:tabs>
          <w:tab w:val="left" w:pos="1800"/>
        </w:tabs>
        <w:spacing w:after="60"/>
        <w:ind w:left="1800"/>
      </w:pPr>
      <w:r w:rsidRPr="00BD7CEA">
        <w:rPr>
          <w:rFonts w:eastAsia="Calibri" w:cs="Tahoma"/>
          <w:szCs w:val="18"/>
        </w:rPr>
        <w:lastRenderedPageBreak/>
        <w:t>Le società potranno riassegnare le licenze a un altro server. Tuttavia, qualora la società riassegni una licenza a un altro server, dovrà attenersi ai diritti sull</w:t>
      </w:r>
      <w:r w:rsidR="007A1415" w:rsidRPr="00BD7CEA">
        <w:rPr>
          <w:rFonts w:eastAsia="Calibri" w:cs="Tahoma"/>
          <w:szCs w:val="18"/>
        </w:rPr>
        <w:t>’</w:t>
      </w:r>
      <w:r w:rsidRPr="00BD7CEA">
        <w:rPr>
          <w:rFonts w:eastAsia="Calibri" w:cs="Tahoma"/>
          <w:szCs w:val="18"/>
        </w:rPr>
        <w:t>utilizzo di SQL Server 2012. Quando cede licenze core a server ai sensi dei diritti sull</w:t>
      </w:r>
      <w:r w:rsidR="007A1415" w:rsidRPr="00BD7CEA">
        <w:rPr>
          <w:rFonts w:eastAsia="Calibri" w:cs="Tahoma"/>
          <w:szCs w:val="18"/>
        </w:rPr>
        <w:t>’</w:t>
      </w:r>
      <w:r w:rsidRPr="00BD7CEA">
        <w:rPr>
          <w:rFonts w:eastAsia="Calibri" w:cs="Tahoma"/>
          <w:szCs w:val="18"/>
        </w:rPr>
        <w:t>utilizzo per SQL 2012, la società potrà combinare l</w:t>
      </w:r>
      <w:r w:rsidR="007A1415" w:rsidRPr="00BD7CEA">
        <w:rPr>
          <w:rFonts w:eastAsia="Calibri" w:cs="Tahoma"/>
          <w:szCs w:val="18"/>
        </w:rPr>
        <w:t>’</w:t>
      </w:r>
      <w:r w:rsidRPr="00BD7CEA">
        <w:rPr>
          <w:rFonts w:eastAsia="Calibri" w:cs="Tahoma"/>
          <w:szCs w:val="18"/>
        </w:rPr>
        <w:t>equivalenza core delle licenze esistenti con le licenze core per SQL Server 2012 aggiuntive.</w:t>
      </w:r>
    </w:p>
    <w:p w:rsidR="00A81E83" w:rsidRPr="00BD7CEA" w:rsidRDefault="00A81E83" w:rsidP="007358C5">
      <w:pPr>
        <w:numPr>
          <w:ilvl w:val="1"/>
          <w:numId w:val="57"/>
        </w:numPr>
        <w:tabs>
          <w:tab w:val="left" w:pos="1800"/>
        </w:tabs>
        <w:spacing w:after="60"/>
        <w:ind w:left="1800"/>
      </w:pPr>
      <w:r w:rsidRPr="00BD7CEA">
        <w:rPr>
          <w:rFonts w:eastAsia="Calibri" w:cs="Tahoma"/>
          <w:szCs w:val="18"/>
        </w:rPr>
        <w:t>L</w:t>
      </w:r>
      <w:r w:rsidR="007A1415" w:rsidRPr="00BD7CEA">
        <w:rPr>
          <w:rFonts w:eastAsia="Calibri" w:cs="Tahoma"/>
          <w:szCs w:val="18"/>
        </w:rPr>
        <w:t>’</w:t>
      </w:r>
      <w:r w:rsidRPr="00BD7CEA">
        <w:rPr>
          <w:rFonts w:eastAsia="Calibri" w:cs="Tahoma"/>
          <w:szCs w:val="18"/>
        </w:rPr>
        <w:t>equivalenza di licenze core stimata delle società non implica che esse possano cedere una licenza singola per processore a core attraverso due o più processori.</w:t>
      </w:r>
    </w:p>
    <w:p w:rsidR="000C03F3" w:rsidRPr="00BD7CEA" w:rsidRDefault="000C03F3" w:rsidP="000C03F3">
      <w:pPr>
        <w:tabs>
          <w:tab w:val="left" w:pos="1800"/>
        </w:tabs>
        <w:spacing w:after="60"/>
      </w:pPr>
    </w:p>
    <w:p w:rsidR="000C03F3" w:rsidRPr="00BD7CEA" w:rsidRDefault="00A81E83" w:rsidP="000C03F3">
      <w:pPr>
        <w:tabs>
          <w:tab w:val="left" w:pos="720"/>
        </w:tabs>
        <w:spacing w:after="60"/>
        <w:ind w:left="720"/>
      </w:pPr>
      <w:r w:rsidRPr="00BD7CEA">
        <w:rPr>
          <w:rFonts w:eastAsia="Calibri" w:cs="Tahoma"/>
          <w:b/>
          <w:color w:val="000000"/>
          <w:szCs w:val="18"/>
        </w:rPr>
        <w:t>Per le Società con copertura Software Assurance in scadenza in data 1 aprile 2015 o successiva che scelgono di non effettuare il rinnovo</w:t>
      </w:r>
    </w:p>
    <w:p w:rsidR="00A81E83" w:rsidRPr="00BD7CEA" w:rsidRDefault="00A81E83" w:rsidP="000C03F3">
      <w:pPr>
        <w:tabs>
          <w:tab w:val="left" w:pos="720"/>
        </w:tabs>
        <w:ind w:left="720"/>
      </w:pPr>
      <w:r w:rsidRPr="00BD7CEA">
        <w:rPr>
          <w:rFonts w:eastAsia="Calibri" w:cs="Tahoma"/>
          <w:color w:val="000000"/>
          <w:szCs w:val="18"/>
        </w:rPr>
        <w:t xml:space="preserve">Alle società titolari di contratti Enterprise Subscription </w:t>
      </w:r>
      <w:r w:rsidRPr="00BD7CEA">
        <w:rPr>
          <w:rFonts w:cs="Tahoma"/>
          <w:bCs/>
          <w:color w:val="000000"/>
          <w:szCs w:val="18"/>
        </w:rPr>
        <w:t xml:space="preserve">e Open Value Subscription </w:t>
      </w:r>
      <w:r w:rsidRPr="00BD7CEA">
        <w:rPr>
          <w:rFonts w:eastAsia="Calibri" w:cs="Tahoma"/>
          <w:color w:val="000000"/>
          <w:szCs w:val="18"/>
        </w:rPr>
        <w:t xml:space="preserve">con copertura in scadenza in data 1 aprile 2015 o successiva che scelgono di effettuare il buy-out delle licenze per processore e alle altre società che acquistano licenze perpetue ai sensi del loro contratto verranno offerte le seguenti opzioni: </w:t>
      </w:r>
    </w:p>
    <w:p w:rsidR="000C03F3" w:rsidRPr="00BD7CEA" w:rsidRDefault="000C03F3" w:rsidP="000C03F3">
      <w:pPr>
        <w:tabs>
          <w:tab w:val="left" w:pos="720"/>
        </w:tabs>
        <w:ind w:left="720"/>
      </w:pPr>
    </w:p>
    <w:p w:rsidR="00A81E83" w:rsidRPr="00BD7CEA" w:rsidRDefault="00A81E83" w:rsidP="007358C5">
      <w:pPr>
        <w:numPr>
          <w:ilvl w:val="0"/>
          <w:numId w:val="135"/>
        </w:numPr>
        <w:spacing w:after="60"/>
        <w:ind w:left="1440"/>
      </w:pPr>
      <w:r w:rsidRPr="006438CF">
        <w:rPr>
          <w:rFonts w:eastAsia="Calibri" w:cs="Tahoma"/>
          <w:szCs w:val="18"/>
        </w:rPr>
        <w:t xml:space="preserve">come stabilito nel primo paragrafo di questa nota relativa al prodotto, le licenze acquistate prima del 1 aprile 2015 sono licenze qualificanti e le società potranno continuare a utilizzare SQL Server 2012 in base alle condizioni riportate nel precedente Articolo “Per le società con copertura Software Assurance in scadenza prima del 1 aprile 2015 che scelgono di non effettuare il rinnovo” e </w:t>
      </w:r>
    </w:p>
    <w:p w:rsidR="00A81E83" w:rsidRPr="00BD7CEA" w:rsidRDefault="00A81E83" w:rsidP="007358C5">
      <w:pPr>
        <w:numPr>
          <w:ilvl w:val="0"/>
          <w:numId w:val="135"/>
        </w:numPr>
        <w:spacing w:after="60"/>
        <w:ind w:left="1440"/>
      </w:pPr>
      <w:r w:rsidRPr="00BD7CEA">
        <w:rPr>
          <w:rFonts w:eastAsia="Calibri" w:cs="Tahoma"/>
          <w:color w:val="000000"/>
          <w:szCs w:val="18"/>
        </w:rPr>
        <w:t>per le licenze acquistate dopo il 1 aprile 2015 la licenza per processore delle società avrà un</w:t>
      </w:r>
      <w:r w:rsidR="007A1415" w:rsidRPr="00BD7CEA">
        <w:rPr>
          <w:rFonts w:eastAsia="Calibri" w:cs="Tahoma"/>
          <w:color w:val="000000"/>
          <w:szCs w:val="18"/>
        </w:rPr>
        <w:t>’</w:t>
      </w:r>
      <w:r w:rsidRPr="00BD7CEA">
        <w:rPr>
          <w:rFonts w:eastAsia="Calibri" w:cs="Tahoma"/>
          <w:color w:val="000000"/>
          <w:szCs w:val="18"/>
        </w:rPr>
        <w:t>equivalenza core di quattro licenze core Standard per SQL Server 2012. Per l</w:t>
      </w:r>
      <w:r w:rsidR="007A1415" w:rsidRPr="00BD7CEA">
        <w:rPr>
          <w:rFonts w:eastAsia="Calibri" w:cs="Tahoma"/>
          <w:color w:val="000000"/>
          <w:szCs w:val="18"/>
        </w:rPr>
        <w:t>’</w:t>
      </w:r>
      <w:r w:rsidRPr="00BD7CEA">
        <w:rPr>
          <w:rFonts w:eastAsia="Calibri" w:cs="Tahoma"/>
          <w:color w:val="000000"/>
          <w:szCs w:val="18"/>
        </w:rPr>
        <w:t>utilizzo continuativo di SQL Server 2012 su processori che richiedono più di quattro licenze core per</w:t>
      </w:r>
      <w:r w:rsidR="009C3B43" w:rsidRPr="00BD7CEA">
        <w:rPr>
          <w:rFonts w:eastAsia="Calibri" w:cs="Tahoma"/>
          <w:color w:val="000000"/>
          <w:szCs w:val="18"/>
        </w:rPr>
        <w:t> </w:t>
      </w:r>
      <w:r w:rsidRPr="00BD7CEA">
        <w:rPr>
          <w:rFonts w:eastAsia="Calibri" w:cs="Tahoma"/>
          <w:color w:val="000000"/>
          <w:szCs w:val="18"/>
        </w:rPr>
        <w:t>processore la società deve acquistare le licenze core aggiuntive.</w:t>
      </w:r>
    </w:p>
    <w:p w:rsidR="000C03F3" w:rsidRPr="00BD7CEA" w:rsidRDefault="000C03F3" w:rsidP="000C03F3">
      <w:pPr>
        <w:rPr>
          <w:sz w:val="16"/>
          <w:szCs w:val="16"/>
        </w:rPr>
      </w:pPr>
    </w:p>
    <w:p w:rsidR="000C03F3" w:rsidRPr="00BD7CEA" w:rsidRDefault="00A81E83" w:rsidP="000C03F3">
      <w:pPr>
        <w:pStyle w:val="ListParagraph"/>
        <w:tabs>
          <w:tab w:val="left" w:pos="720"/>
        </w:tabs>
        <w:spacing w:after="60"/>
        <w:contextualSpacing w:val="0"/>
      </w:pPr>
      <w:r w:rsidRPr="00BD7CEA">
        <w:rPr>
          <w:rFonts w:ascii="Tahoma" w:hAnsi="Tahoma" w:cs="Tahoma"/>
          <w:b/>
          <w:color w:val="000000"/>
          <w:sz w:val="18"/>
          <w:szCs w:val="18"/>
        </w:rPr>
        <w:t>Per le società con sede nella Repubblica popolare</w:t>
      </w:r>
      <w:r w:rsidRPr="00BD7CEA">
        <w:rPr>
          <w:rFonts w:ascii="Tahoma" w:hAnsi="Tahoma" w:cs="Tahoma"/>
          <w:color w:val="000000"/>
          <w:sz w:val="18"/>
          <w:szCs w:val="18"/>
        </w:rPr>
        <w:t xml:space="preserve"> </w:t>
      </w:r>
      <w:r w:rsidRPr="00BD7CEA">
        <w:rPr>
          <w:rFonts w:ascii="Tahoma" w:hAnsi="Tahoma" w:cs="Tahoma"/>
          <w:b/>
          <w:color w:val="000000"/>
          <w:sz w:val="18"/>
          <w:szCs w:val="18"/>
        </w:rPr>
        <w:t>cinese, dove acquistano licenze per processore e Software Assurance per SQL Server 2008 R2</w:t>
      </w:r>
    </w:p>
    <w:p w:rsidR="00A81E83" w:rsidRPr="00BD7CEA" w:rsidRDefault="00A81E83" w:rsidP="000C03F3">
      <w:pPr>
        <w:pStyle w:val="ListParagraph"/>
        <w:tabs>
          <w:tab w:val="left" w:pos="720"/>
        </w:tabs>
        <w:contextualSpacing w:val="0"/>
      </w:pPr>
      <w:r w:rsidRPr="00BD7CEA">
        <w:rPr>
          <w:rFonts w:ascii="Tahoma" w:hAnsi="Tahoma" w:cs="Tahoma"/>
          <w:color w:val="000000"/>
          <w:sz w:val="18"/>
          <w:szCs w:val="18"/>
        </w:rPr>
        <w:t>Non si applicano i riferimenti al 1 aprile 2012 e al 1 aprile 2015 presenti in questa nota relativa alla lista dei prodotti. Le date applicabili per queste società sarebbero rispettivamente il 1 luglio 2012 e il 1 luglio 2015.</w:t>
      </w:r>
    </w:p>
    <w:p w:rsidR="00A81E83" w:rsidRPr="00BD7CEA" w:rsidRDefault="00A81E83" w:rsidP="000C03F3">
      <w:pPr>
        <w:tabs>
          <w:tab w:val="left" w:pos="1080"/>
          <w:tab w:val="left" w:pos="1800"/>
        </w:tabs>
        <w:rPr>
          <w:sz w:val="16"/>
          <w:szCs w:val="16"/>
        </w:rPr>
      </w:pPr>
      <w:bookmarkStart w:id="1446" w:name="Srv_87SQLServer2012Developer"/>
    </w:p>
    <w:p w:rsidR="00BE30E6" w:rsidRPr="00BD7CEA" w:rsidRDefault="00BE30E6" w:rsidP="000C03F3">
      <w:pPr>
        <w:tabs>
          <w:tab w:val="left" w:pos="1080"/>
          <w:tab w:val="left" w:pos="1800"/>
        </w:tabs>
        <w:rPr>
          <w:sz w:val="16"/>
          <w:szCs w:val="16"/>
        </w:rPr>
      </w:pPr>
    </w:p>
    <w:p w:rsidR="00A81E83" w:rsidRPr="00BD7CEA" w:rsidRDefault="00F66FB0" w:rsidP="00EF5637">
      <w:pPr>
        <w:pStyle w:val="Heading3"/>
      </w:pPr>
      <w:bookmarkStart w:id="1447" w:name="_80_78_SQL"/>
      <w:bookmarkStart w:id="1448" w:name="_79_SQL_Server®"/>
      <w:bookmarkStart w:id="1449" w:name="_Toc336338345"/>
      <w:bookmarkStart w:id="1450" w:name="_Toc353376117"/>
      <w:bookmarkEnd w:id="1447"/>
      <w:bookmarkEnd w:id="1448"/>
      <w:r w:rsidRPr="00BD7CEA">
        <w:rPr>
          <w:rFonts w:ascii="Tahoma" w:hAnsi="Tahoma"/>
          <w:color w:val="F66400"/>
          <w:sz w:val="22"/>
          <w:vertAlign w:val="superscript"/>
        </w:rPr>
        <w:t>79</w:t>
      </w:r>
      <w:r w:rsidRPr="00BD7CEA">
        <w:rPr>
          <w:rFonts w:ascii="Tahoma" w:hAnsi="Tahoma"/>
          <w:color w:val="F66400"/>
          <w:sz w:val="22"/>
        </w:rPr>
        <w:t xml:space="preserve"> SQL Server</w:t>
      </w:r>
      <w:r w:rsidR="00700C4B" w:rsidRPr="00BD7CEA">
        <w:rPr>
          <w:rFonts w:ascii="Tahoma" w:hAnsi="Tahoma"/>
          <w:color w:val="F66400"/>
          <w:sz w:val="22"/>
          <w:vertAlign w:val="superscript"/>
        </w:rPr>
        <w:t>®</w:t>
      </w:r>
      <w:r w:rsidRPr="00BD7CEA">
        <w:rPr>
          <w:rFonts w:ascii="Tahoma" w:hAnsi="Tahoma"/>
          <w:color w:val="F66400"/>
          <w:sz w:val="22"/>
        </w:rPr>
        <w:t xml:space="preserve"> 2012 Developer</w:t>
      </w:r>
      <w:bookmarkEnd w:id="1449"/>
      <w:bookmarkEnd w:id="1450"/>
    </w:p>
    <w:bookmarkEnd w:id="1446"/>
    <w:p w:rsidR="00A81E83" w:rsidRPr="00BD7CEA" w:rsidRDefault="00A81E83" w:rsidP="00EF5637"/>
    <w:p w:rsidR="000C03F3" w:rsidRPr="00BD7CEA" w:rsidRDefault="00A81E83" w:rsidP="000C03F3">
      <w:pPr>
        <w:spacing w:after="60"/>
        <w:ind w:left="720"/>
      </w:pPr>
      <w:r w:rsidRPr="00BD7CEA">
        <w:rPr>
          <w:b/>
          <w:color w:val="000000"/>
          <w:szCs w:val="18"/>
        </w:rPr>
        <w:t>Comunicazione Importante</w:t>
      </w:r>
    </w:p>
    <w:p w:rsidR="00A81E83" w:rsidRPr="00BD7CEA" w:rsidRDefault="00A81E83" w:rsidP="00EF5637">
      <w:pPr>
        <w:ind w:left="720"/>
        <w:rPr>
          <w:spacing w:val="-2"/>
        </w:rPr>
      </w:pPr>
      <w:r w:rsidRPr="00BD7CEA">
        <w:rPr>
          <w:color w:val="000000"/>
          <w:spacing w:val="-2"/>
          <w:szCs w:val="18"/>
        </w:rPr>
        <w:t>Aggiornamenti Automatici di SQL Server 2008, SQL Server 2005 e SQL Server 2000. Qualora questo software sia installato su server o dispositivi che eseguono una qualunque delle versioni di SQL Server 2008, SQL Server 2005 o SQL Server 2000 (o componenti di esse), il software aggiornerà e sostituirà automaticamente alcuni file o funzionalità presenti in tali versioni con file del software.</w:t>
      </w:r>
      <w:r w:rsidR="008D782D" w:rsidRPr="00BD7CEA">
        <w:rPr>
          <w:color w:val="000000"/>
          <w:spacing w:val="-2"/>
          <w:szCs w:val="18"/>
        </w:rPr>
        <w:t xml:space="preserve"> </w:t>
      </w:r>
      <w:r w:rsidRPr="00BD7CEA">
        <w:rPr>
          <w:color w:val="000000"/>
          <w:spacing w:val="-2"/>
          <w:szCs w:val="18"/>
        </w:rPr>
        <w:t>Questa funzionalità non può essere disattivata.</w:t>
      </w:r>
      <w:r w:rsidR="008D782D" w:rsidRPr="00BD7CEA">
        <w:rPr>
          <w:color w:val="000000"/>
          <w:spacing w:val="-2"/>
          <w:szCs w:val="18"/>
        </w:rPr>
        <w:t xml:space="preserve"> </w:t>
      </w:r>
      <w:r w:rsidRPr="00BD7CEA">
        <w:rPr>
          <w:color w:val="000000"/>
          <w:spacing w:val="-2"/>
          <w:szCs w:val="18"/>
        </w:rPr>
        <w:t>Non sarà possibile rimuovere i file aggiornati né recuperare i file originali.</w:t>
      </w:r>
      <w:r w:rsidR="008D782D" w:rsidRPr="00BD7CEA">
        <w:rPr>
          <w:color w:val="000000"/>
          <w:spacing w:val="-2"/>
          <w:szCs w:val="18"/>
        </w:rPr>
        <w:t xml:space="preserve"> </w:t>
      </w:r>
      <w:r w:rsidRPr="00BD7CEA">
        <w:rPr>
          <w:color w:val="000000"/>
          <w:spacing w:val="-2"/>
          <w:szCs w:val="18"/>
        </w:rPr>
        <w:t>L</w:t>
      </w:r>
      <w:r w:rsidR="007A1415" w:rsidRPr="00BD7CEA">
        <w:rPr>
          <w:color w:val="000000"/>
          <w:spacing w:val="-2"/>
          <w:szCs w:val="18"/>
        </w:rPr>
        <w:t>’</w:t>
      </w:r>
      <w:r w:rsidRPr="00BD7CEA">
        <w:rPr>
          <w:color w:val="000000"/>
          <w:spacing w:val="-2"/>
          <w:szCs w:val="18"/>
        </w:rPr>
        <w:t>installazione di questo software su un server o su un dispositivo che esegue una qualunque delle versioni di SQL Server 2008, SQL Server 2005 o SQL Server 2000 costituisce accettazione implicita di tali aggiornamenti per tutte le versioni e le copie di SQL</w:t>
      </w:r>
      <w:r w:rsidR="009C3B43" w:rsidRPr="00BD7CEA">
        <w:rPr>
          <w:color w:val="000000"/>
          <w:spacing w:val="-2"/>
          <w:szCs w:val="18"/>
        </w:rPr>
        <w:t> </w:t>
      </w:r>
      <w:r w:rsidRPr="00BD7CEA">
        <w:rPr>
          <w:color w:val="000000"/>
          <w:spacing w:val="-2"/>
          <w:szCs w:val="18"/>
        </w:rPr>
        <w:t>Server (inclusi componenti di esse) che sono eseguite su tale server o dispositivo.</w:t>
      </w:r>
      <w:r w:rsidR="008D782D" w:rsidRPr="00BD7CEA">
        <w:rPr>
          <w:color w:val="000000"/>
          <w:spacing w:val="-2"/>
          <w:szCs w:val="18"/>
        </w:rPr>
        <w:t xml:space="preserve"> </w:t>
      </w:r>
    </w:p>
    <w:p w:rsidR="00A81E83" w:rsidRPr="00BD7CEA" w:rsidRDefault="00A81E83" w:rsidP="00EF5637">
      <w:pPr>
        <w:ind w:left="720"/>
        <w:rPr>
          <w:sz w:val="16"/>
          <w:szCs w:val="16"/>
        </w:rPr>
      </w:pPr>
    </w:p>
    <w:p w:rsidR="00155B9B" w:rsidRPr="00BD7CEA" w:rsidRDefault="00155B9B" w:rsidP="00EF5637">
      <w:pPr>
        <w:ind w:left="720"/>
        <w:rPr>
          <w:sz w:val="16"/>
          <w:szCs w:val="16"/>
        </w:rPr>
      </w:pPr>
    </w:p>
    <w:p w:rsidR="00A81E83" w:rsidRPr="00BD7CEA" w:rsidRDefault="00F66FB0" w:rsidP="00EF5637">
      <w:pPr>
        <w:pStyle w:val="Heading3"/>
      </w:pPr>
      <w:bookmarkStart w:id="1451" w:name="_81_79_SQL"/>
      <w:bookmarkStart w:id="1452" w:name="_Toc336338346"/>
      <w:bookmarkStart w:id="1453" w:name="_Toc353376118"/>
      <w:bookmarkStart w:id="1454" w:name="Srv_88SQLServer2012Enterprise"/>
      <w:bookmarkEnd w:id="1451"/>
      <w:r w:rsidRPr="00BD7CEA">
        <w:rPr>
          <w:rFonts w:ascii="Tahoma" w:hAnsi="Tahoma"/>
          <w:color w:val="F66400"/>
          <w:sz w:val="22"/>
          <w:vertAlign w:val="superscript"/>
        </w:rPr>
        <w:t>80</w:t>
      </w:r>
      <w:r w:rsidRPr="00BD7CEA">
        <w:rPr>
          <w:rFonts w:ascii="Tahoma" w:hAnsi="Tahoma"/>
          <w:color w:val="F66400"/>
          <w:sz w:val="22"/>
        </w:rPr>
        <w:t xml:space="preserve"> SQL Server</w:t>
      </w:r>
      <w:r w:rsidR="00700C4B" w:rsidRPr="00BD7CEA">
        <w:rPr>
          <w:rFonts w:ascii="Tahoma" w:hAnsi="Tahoma"/>
          <w:color w:val="F66400"/>
          <w:sz w:val="22"/>
          <w:vertAlign w:val="superscript"/>
        </w:rPr>
        <w:t>®</w:t>
      </w:r>
      <w:r w:rsidRPr="00BD7CEA">
        <w:rPr>
          <w:rFonts w:ascii="Tahoma" w:hAnsi="Tahoma"/>
          <w:color w:val="F66400"/>
          <w:sz w:val="22"/>
        </w:rPr>
        <w:t xml:space="preserve"> 2012 Enterprise</w:t>
      </w:r>
      <w:bookmarkEnd w:id="1452"/>
      <w:bookmarkEnd w:id="1453"/>
    </w:p>
    <w:bookmarkEnd w:id="1454"/>
    <w:p w:rsidR="00A81E83" w:rsidRPr="00BD7CEA" w:rsidRDefault="00A81E83" w:rsidP="00C321B6">
      <w:pPr>
        <w:rPr>
          <w:sz w:val="16"/>
          <w:szCs w:val="16"/>
        </w:rPr>
      </w:pPr>
    </w:p>
    <w:p w:rsidR="00A81E83" w:rsidRPr="00BD7CEA" w:rsidRDefault="00A81E83" w:rsidP="00C321B6">
      <w:pPr>
        <w:ind w:left="720"/>
      </w:pPr>
      <w:r w:rsidRPr="00BD7CEA">
        <w:rPr>
          <w:rFonts w:eastAsia="Calibri" w:cs="Tahoma"/>
          <w:color w:val="000000"/>
          <w:szCs w:val="18"/>
        </w:rPr>
        <w:t>SQL Server 2012 Enterprise è la versione successiva di SQL Server Enterprise e la licenza CAL per SQL</w:t>
      </w:r>
      <w:r w:rsidR="00713397">
        <w:rPr>
          <w:rFonts w:eastAsia="Calibri" w:cs="Tahoma"/>
          <w:color w:val="000000"/>
          <w:szCs w:val="18"/>
        </w:rPr>
        <w:t> </w:t>
      </w:r>
      <w:r w:rsidRPr="00BD7CEA">
        <w:rPr>
          <w:rFonts w:eastAsia="Calibri" w:cs="Tahoma"/>
          <w:color w:val="000000"/>
          <w:szCs w:val="18"/>
        </w:rPr>
        <w:t>Server 2012 è la versione successiva della licenza CAL per SQL Server.</w:t>
      </w:r>
    </w:p>
    <w:p w:rsidR="00C321B6" w:rsidRPr="00BD7CEA" w:rsidRDefault="00C321B6" w:rsidP="00C321B6">
      <w:pPr>
        <w:ind w:left="720"/>
      </w:pPr>
    </w:p>
    <w:p w:rsidR="00C321B6" w:rsidRPr="00BD7CEA" w:rsidRDefault="00A81E83" w:rsidP="00C321B6">
      <w:pPr>
        <w:spacing w:after="60"/>
        <w:ind w:left="720"/>
      </w:pPr>
      <w:r w:rsidRPr="00BD7CEA">
        <w:rPr>
          <w:rFonts w:eastAsia="Calibri" w:cs="Tahoma"/>
          <w:b/>
          <w:color w:val="000000"/>
          <w:szCs w:val="18"/>
        </w:rPr>
        <w:t>Società Titolari di Licenze CAL/Server per SQL Server Enterprise</w:t>
      </w:r>
      <w:r w:rsidR="00FD7C0D">
        <w:rPr>
          <w:rFonts w:eastAsia="Calibri" w:cs="Tahoma"/>
          <w:b/>
          <w:color w:val="000000"/>
          <w:szCs w:val="18"/>
        </w:rPr>
        <w:t xml:space="preserve"> – </w:t>
      </w:r>
      <w:r w:rsidRPr="00BD7CEA">
        <w:rPr>
          <w:rFonts w:eastAsia="Calibri" w:cs="Tahoma"/>
          <w:b/>
          <w:color w:val="000000"/>
          <w:szCs w:val="18"/>
        </w:rPr>
        <w:t>Opzione Speciale di Rinnovo di Software Assurance</w:t>
      </w:r>
    </w:p>
    <w:p w:rsidR="00A81E83" w:rsidRPr="00BD7CEA" w:rsidRDefault="00A81E83" w:rsidP="00C321B6">
      <w:pPr>
        <w:ind w:left="720"/>
      </w:pPr>
      <w:r w:rsidRPr="00BD7CEA">
        <w:rPr>
          <w:rFonts w:eastAsia="Calibri" w:cs="Tahoma"/>
          <w:color w:val="000000"/>
          <w:szCs w:val="18"/>
        </w:rPr>
        <w:t>Le società con copertura Software Assurance attiva per le licenze CAL/Server per SQL Server Enterprise alla data del 1 aprile 2012 potranno, in alternativa al rinnovo della loro copertura per Enterprise, acquistare Software Assurance per un numero uguale di licenze per SQL Server 2012 Business Intelligence senza dovere acquistare le licenze sottostanti.</w:t>
      </w:r>
      <w:r w:rsidR="008D782D" w:rsidRPr="00BD7CEA">
        <w:rPr>
          <w:rFonts w:eastAsia="Calibri" w:cs="Tahoma"/>
          <w:color w:val="000000"/>
          <w:szCs w:val="18"/>
        </w:rPr>
        <w:t xml:space="preserve"> </w:t>
      </w:r>
      <w:r w:rsidRPr="00BD7CEA">
        <w:rPr>
          <w:rFonts w:eastAsia="Calibri" w:cs="Tahoma"/>
          <w:color w:val="000000"/>
          <w:szCs w:val="18"/>
        </w:rPr>
        <w:t>Acquistando Software Assurance per SQL Server 2012 Business Intelligence in base alla presente offerta, le società non potranno più utilizzare SQL Server Enterprise ai</w:t>
      </w:r>
      <w:r w:rsidR="009C3B43" w:rsidRPr="00BD7CEA">
        <w:rPr>
          <w:rFonts w:eastAsia="Calibri" w:cs="Tahoma"/>
          <w:color w:val="000000"/>
          <w:szCs w:val="18"/>
        </w:rPr>
        <w:t> </w:t>
      </w:r>
      <w:r w:rsidRPr="00BD7CEA">
        <w:rPr>
          <w:rFonts w:eastAsia="Calibri" w:cs="Tahoma"/>
          <w:color w:val="000000"/>
          <w:szCs w:val="18"/>
        </w:rPr>
        <w:t>sensi delle relative licenze qualificanti.</w:t>
      </w:r>
      <w:r w:rsidR="008D782D" w:rsidRPr="00BD7CEA">
        <w:rPr>
          <w:rFonts w:eastAsia="Calibri" w:cs="Tahoma"/>
          <w:color w:val="000000"/>
          <w:szCs w:val="18"/>
        </w:rPr>
        <w:t xml:space="preserve"> </w:t>
      </w:r>
      <w:r w:rsidRPr="00BD7CEA">
        <w:rPr>
          <w:rFonts w:eastAsia="Calibri" w:cs="Tahoma"/>
          <w:color w:val="000000"/>
          <w:szCs w:val="18"/>
        </w:rPr>
        <w:t>Le società che acquistano Software Assurance per SQL Server Business Intelligence in base alla presente offerta non avranno inoltre la possibilità di ritornare alla copertura SQL Server Enterprise per le loro licenze SQL Server Enterprise qualificanti.</w:t>
      </w:r>
    </w:p>
    <w:p w:rsidR="00C321B6" w:rsidRPr="00BD7CEA" w:rsidRDefault="00A81E83" w:rsidP="00C321B6">
      <w:pPr>
        <w:spacing w:after="60"/>
        <w:ind w:left="720"/>
      </w:pPr>
      <w:r w:rsidRPr="00BD7CEA">
        <w:rPr>
          <w:rFonts w:eastAsia="Calibri" w:cs="Tahoma"/>
          <w:b/>
          <w:color w:val="000000"/>
          <w:szCs w:val="18"/>
        </w:rPr>
        <w:lastRenderedPageBreak/>
        <w:t>Opzioni di Adempimento per SQL Server 2012</w:t>
      </w:r>
    </w:p>
    <w:p w:rsidR="00A81E83" w:rsidRPr="00BD7CEA" w:rsidRDefault="00A81E83" w:rsidP="00C321B6">
      <w:pPr>
        <w:ind w:left="720"/>
      </w:pPr>
      <w:r w:rsidRPr="00BD7CEA">
        <w:rPr>
          <w:rFonts w:eastAsia="Calibri" w:cs="Tahoma"/>
          <w:color w:val="000000"/>
          <w:szCs w:val="18"/>
        </w:rPr>
        <w:t>Le società potranno utilizzare solo il software che corrisponde al modello di licenza ai sensi del quale vengono acquistate le licenze per SQL Server.</w:t>
      </w:r>
      <w:r w:rsidR="008D782D" w:rsidRPr="00BD7CEA">
        <w:rPr>
          <w:rFonts w:eastAsia="Calibri" w:cs="Tahoma"/>
          <w:color w:val="000000"/>
          <w:szCs w:val="18"/>
        </w:rPr>
        <w:t xml:space="preserve"> </w:t>
      </w:r>
    </w:p>
    <w:p w:rsidR="00C321B6" w:rsidRPr="00BD7CEA" w:rsidRDefault="00C321B6" w:rsidP="00C321B6">
      <w:pPr>
        <w:ind w:left="720"/>
      </w:pPr>
    </w:p>
    <w:p w:rsidR="00C321B6" w:rsidRPr="00BD7CEA" w:rsidRDefault="00A81E83" w:rsidP="00C321B6">
      <w:pPr>
        <w:spacing w:after="60"/>
        <w:ind w:left="720"/>
      </w:pPr>
      <w:r w:rsidRPr="00BD7CEA">
        <w:rPr>
          <w:rFonts w:eastAsia="Calibri" w:cs="Tahoma"/>
          <w:b/>
          <w:color w:val="000000"/>
          <w:szCs w:val="18"/>
        </w:rPr>
        <w:t>Opzione Buy-out per SQL Server ai sensi di EAP</w:t>
      </w:r>
    </w:p>
    <w:p w:rsidR="00A81E83" w:rsidRPr="00BD7CEA" w:rsidRDefault="00A81E83" w:rsidP="00C321B6">
      <w:pPr>
        <w:ind w:left="720"/>
      </w:pPr>
      <w:r w:rsidRPr="00BD7CEA">
        <w:rPr>
          <w:rFonts w:eastAsia="Calibri" w:cs="Tahoma"/>
          <w:color w:val="000000"/>
          <w:szCs w:val="18"/>
        </w:rPr>
        <w:t>Le società avranno la possibilità di rinnovare Software Assurance per le licenze CAL/Server per SQL Server Enterprise dopo il 30 giugno 2012,</w:t>
      </w:r>
      <w:r w:rsidRPr="00BD7CEA">
        <w:rPr>
          <w:rFonts w:eastAsia="Calibri" w:cs="Tahoma"/>
          <w:b/>
          <w:bCs/>
          <w:color w:val="000000"/>
          <w:szCs w:val="18"/>
        </w:rPr>
        <w:t xml:space="preserve"> </w:t>
      </w:r>
      <w:r w:rsidRPr="00BD7CEA">
        <w:rPr>
          <w:rFonts w:eastAsia="Calibri" w:cs="Tahoma"/>
          <w:color w:val="000000"/>
          <w:szCs w:val="18"/>
        </w:rPr>
        <w:t>tuttavia la loro unica opzione buy-out al termine del periodo di validità dell</w:t>
      </w:r>
      <w:r w:rsidR="007A1415" w:rsidRPr="00BD7CEA">
        <w:rPr>
          <w:rFonts w:eastAsia="Calibri" w:cs="Tahoma"/>
          <w:color w:val="000000"/>
          <w:szCs w:val="18"/>
        </w:rPr>
        <w:t>’</w:t>
      </w:r>
      <w:r w:rsidRPr="00BD7CEA">
        <w:rPr>
          <w:rFonts w:eastAsia="Calibri" w:cs="Tahoma"/>
          <w:color w:val="000000"/>
          <w:szCs w:val="18"/>
        </w:rPr>
        <w:t>iscrizione sarà per le licenze core.</w:t>
      </w:r>
    </w:p>
    <w:p w:rsidR="00C321B6" w:rsidRPr="00BD7CEA" w:rsidRDefault="00C321B6" w:rsidP="00C321B6">
      <w:pPr>
        <w:ind w:left="720"/>
      </w:pPr>
    </w:p>
    <w:p w:rsidR="00C321B6" w:rsidRPr="00BD7CEA" w:rsidRDefault="00A81E83" w:rsidP="00C321B6">
      <w:pPr>
        <w:spacing w:after="60"/>
        <w:ind w:left="720"/>
      </w:pPr>
      <w:r w:rsidRPr="00BD7CEA">
        <w:rPr>
          <w:rFonts w:eastAsia="Calibri" w:cs="Tahoma"/>
          <w:b/>
          <w:color w:val="000000"/>
          <w:szCs w:val="18"/>
        </w:rPr>
        <w:t>Utilizzo Continuativo di SQL Server 2008 R2 Enterprise</w:t>
      </w:r>
    </w:p>
    <w:p w:rsidR="00A81E83" w:rsidRPr="00BD7CEA" w:rsidRDefault="00A81E83" w:rsidP="00C321B6">
      <w:pPr>
        <w:ind w:left="720"/>
      </w:pPr>
      <w:r w:rsidRPr="00BD7CEA">
        <w:rPr>
          <w:rFonts w:eastAsia="Calibri" w:cs="Tahoma"/>
          <w:color w:val="000000"/>
          <w:szCs w:val="18"/>
        </w:rPr>
        <w:t>Le società con Software Assurance</w:t>
      </w:r>
      <w:r w:rsidRPr="00BD7CEA">
        <w:rPr>
          <w:rFonts w:eastAsia="Calibri" w:cs="Tahoma"/>
          <w:b/>
          <w:bCs/>
          <w:color w:val="000000"/>
          <w:szCs w:val="18"/>
        </w:rPr>
        <w:t xml:space="preserve"> </w:t>
      </w:r>
      <w:r w:rsidRPr="00BD7CEA">
        <w:rPr>
          <w:rFonts w:eastAsia="Calibri" w:cs="Tahoma"/>
          <w:color w:val="000000"/>
          <w:szCs w:val="18"/>
        </w:rPr>
        <w:t>che continuano a utilizzare SQL Server 2008 R2 Enterprise ai sensi di licenze acquistate in base al contratto o all</w:t>
      </w:r>
      <w:r w:rsidR="007A1415" w:rsidRPr="00BD7CEA">
        <w:rPr>
          <w:rFonts w:eastAsia="Calibri" w:cs="Tahoma"/>
          <w:color w:val="000000"/>
          <w:szCs w:val="18"/>
        </w:rPr>
        <w:t>’</w:t>
      </w:r>
      <w:r w:rsidRPr="00BD7CEA">
        <w:rPr>
          <w:rFonts w:eastAsia="Calibri" w:cs="Tahoma"/>
          <w:color w:val="000000"/>
          <w:szCs w:val="18"/>
        </w:rPr>
        <w:t>iscrizione in vigore il 1 aprile 2012 potranno usare il software in conformità ai diritti sull</w:t>
      </w:r>
      <w:r w:rsidR="007A1415" w:rsidRPr="00BD7CEA">
        <w:rPr>
          <w:rFonts w:eastAsia="Calibri" w:cs="Tahoma"/>
          <w:color w:val="000000"/>
          <w:szCs w:val="18"/>
        </w:rPr>
        <w:t>’</w:t>
      </w:r>
      <w:r w:rsidRPr="00BD7CEA">
        <w:rPr>
          <w:rFonts w:eastAsia="Calibri" w:cs="Tahoma"/>
          <w:color w:val="000000"/>
          <w:szCs w:val="18"/>
        </w:rPr>
        <w:t>utilizzo di SQL Server 2008 R2 Enterprise durante il periodo di validità corrente ed eventuali periodi di rinnovo.</w:t>
      </w:r>
      <w:r w:rsidR="008D782D" w:rsidRPr="00BD7CEA">
        <w:rPr>
          <w:rFonts w:eastAsia="Calibri" w:cs="Tahoma"/>
          <w:color w:val="000000"/>
          <w:szCs w:val="18"/>
        </w:rPr>
        <w:t xml:space="preserve"> </w:t>
      </w:r>
      <w:r w:rsidRPr="00BD7CEA">
        <w:rPr>
          <w:rFonts w:eastAsia="Calibri" w:cs="Tahoma"/>
          <w:color w:val="000000"/>
          <w:szCs w:val="18"/>
        </w:rPr>
        <w:t>Le società che utilizzano SQL Server 2008 R2 Enterprise in conformità ai diritti di downgrade ai sensi di licenze acquistate dopo il rinnovo della copertura dovranno utilizzare il software in base ai diritti sull</w:t>
      </w:r>
      <w:r w:rsidR="007A1415" w:rsidRPr="00BD7CEA">
        <w:rPr>
          <w:rFonts w:eastAsia="Calibri" w:cs="Tahoma"/>
          <w:color w:val="000000"/>
          <w:szCs w:val="18"/>
        </w:rPr>
        <w:t>’</w:t>
      </w:r>
      <w:r w:rsidRPr="00BD7CEA">
        <w:rPr>
          <w:rFonts w:eastAsia="Calibri" w:cs="Tahoma"/>
          <w:color w:val="000000"/>
          <w:szCs w:val="18"/>
        </w:rPr>
        <w:t>utilizzo per la versione ottenuta in licenza.</w:t>
      </w:r>
    </w:p>
    <w:p w:rsidR="00C321B6" w:rsidRPr="00BD7CEA" w:rsidRDefault="00C321B6" w:rsidP="00C321B6">
      <w:pPr>
        <w:ind w:left="720"/>
      </w:pPr>
    </w:p>
    <w:p w:rsidR="00C321B6" w:rsidRPr="00BD7CEA" w:rsidRDefault="00A81E83" w:rsidP="00C321B6">
      <w:pPr>
        <w:spacing w:after="60"/>
        <w:ind w:left="720"/>
      </w:pPr>
      <w:r w:rsidRPr="00BD7CEA">
        <w:rPr>
          <w:rFonts w:eastAsia="Calibri" w:cs="Tahoma"/>
          <w:b/>
          <w:color w:val="000000"/>
          <w:szCs w:val="18"/>
        </w:rPr>
        <w:t>Per le società con sede nella Repubblica popolare cinese, dove acquistano licenze e Software Assurance per SQL Server 2008 R2</w:t>
      </w:r>
    </w:p>
    <w:p w:rsidR="00A81E83" w:rsidRPr="00BD7CEA" w:rsidRDefault="00A81E83" w:rsidP="00C321B6">
      <w:pPr>
        <w:ind w:left="720"/>
      </w:pPr>
      <w:r w:rsidRPr="00BD7CEA">
        <w:t xml:space="preserve">Non si applicano i riferimenti al 1 aprile 2012 presenti in questa nota relativa alla lista dei prodotti. </w:t>
      </w:r>
      <w:r w:rsidR="00713397">
        <w:br/>
      </w:r>
      <w:r w:rsidRPr="00BD7CEA">
        <w:t>La data applicabile per queste società sarebbe il 1 luglio 2012.</w:t>
      </w:r>
    </w:p>
    <w:p w:rsidR="00A81E83" w:rsidRPr="00BD7CEA" w:rsidRDefault="00A81E83" w:rsidP="00C321B6"/>
    <w:p w:rsidR="00A81E83" w:rsidRPr="00BD7CEA" w:rsidRDefault="00A81E83" w:rsidP="00C321B6"/>
    <w:p w:rsidR="00A81E83" w:rsidRPr="00BD7CEA" w:rsidRDefault="00F66FB0" w:rsidP="00EF5637">
      <w:pPr>
        <w:pStyle w:val="Heading3"/>
      </w:pPr>
      <w:bookmarkStart w:id="1455" w:name="_80_SQL_Server®"/>
      <w:bookmarkStart w:id="1456" w:name="_81_SQL_Server®"/>
      <w:bookmarkStart w:id="1457" w:name="_Toc336338347"/>
      <w:bookmarkStart w:id="1458" w:name="_Toc353376119"/>
      <w:bookmarkStart w:id="1459" w:name="Srv_89SQLServer2012EnterpriseCore"/>
      <w:bookmarkEnd w:id="1455"/>
      <w:bookmarkEnd w:id="1456"/>
      <w:r w:rsidRPr="00BD7CEA">
        <w:rPr>
          <w:rFonts w:ascii="Tahoma" w:hAnsi="Tahoma"/>
          <w:caps/>
          <w:color w:val="F66400"/>
          <w:sz w:val="22"/>
          <w:vertAlign w:val="superscript"/>
        </w:rPr>
        <w:t xml:space="preserve">81 </w:t>
      </w:r>
      <w:r w:rsidRPr="00BD7CEA">
        <w:rPr>
          <w:rFonts w:ascii="Tahoma" w:hAnsi="Tahoma"/>
          <w:color w:val="F66400"/>
          <w:sz w:val="22"/>
        </w:rPr>
        <w:t>SQL Server</w:t>
      </w:r>
      <w:r w:rsidR="00700C4B" w:rsidRPr="00BD7CEA">
        <w:rPr>
          <w:rFonts w:ascii="Tahoma" w:hAnsi="Tahoma"/>
          <w:color w:val="F66400"/>
          <w:sz w:val="22"/>
          <w:vertAlign w:val="superscript"/>
        </w:rPr>
        <w:t>®</w:t>
      </w:r>
      <w:r w:rsidRPr="00BD7CEA">
        <w:rPr>
          <w:rFonts w:ascii="Tahoma" w:hAnsi="Tahoma"/>
          <w:color w:val="F66400"/>
          <w:sz w:val="22"/>
        </w:rPr>
        <w:t xml:space="preserve"> 2012 Enterprise Core</w:t>
      </w:r>
      <w:bookmarkEnd w:id="1457"/>
      <w:bookmarkEnd w:id="1458"/>
    </w:p>
    <w:bookmarkEnd w:id="1459"/>
    <w:p w:rsidR="00A81E83" w:rsidRPr="00BD7CEA" w:rsidRDefault="00A81E83" w:rsidP="00C321B6">
      <w:pPr>
        <w:pStyle w:val="EndnoteText"/>
      </w:pPr>
    </w:p>
    <w:p w:rsidR="00C321B6" w:rsidRPr="00BD7CEA" w:rsidRDefault="00A81E83" w:rsidP="00C321B6">
      <w:pPr>
        <w:spacing w:after="60"/>
        <w:ind w:left="720"/>
      </w:pPr>
      <w:r w:rsidRPr="00BD7CEA">
        <w:rPr>
          <w:rFonts w:eastAsia="Calibri" w:cs="Tahoma"/>
          <w:b/>
          <w:color w:val="000000"/>
          <w:szCs w:val="18"/>
        </w:rPr>
        <w:t>Estensione dei Diritti sull</w:t>
      </w:r>
      <w:r w:rsidR="007A1415" w:rsidRPr="00BD7CEA">
        <w:rPr>
          <w:rFonts w:eastAsia="Calibri" w:cs="Tahoma"/>
          <w:b/>
          <w:color w:val="000000"/>
          <w:szCs w:val="18"/>
        </w:rPr>
        <w:t>’</w:t>
      </w:r>
      <w:r w:rsidRPr="00BD7CEA">
        <w:rPr>
          <w:rFonts w:eastAsia="Calibri" w:cs="Tahoma"/>
          <w:b/>
          <w:color w:val="000000"/>
          <w:szCs w:val="18"/>
        </w:rPr>
        <w:t>Utilizzo per la Virtualizzazione Illimitata per SQL Server 2008 R2 Enterprise (per processore)</w:t>
      </w:r>
    </w:p>
    <w:p w:rsidR="00A81E83" w:rsidRPr="00BD7CEA" w:rsidRDefault="00A81E83" w:rsidP="00C321B6">
      <w:pPr>
        <w:ind w:left="720"/>
      </w:pPr>
      <w:r w:rsidRPr="00BD7CEA">
        <w:rPr>
          <w:rFonts w:eastAsia="Calibri" w:cs="Tahoma"/>
          <w:color w:val="000000"/>
          <w:szCs w:val="18"/>
        </w:rPr>
        <w:t>Nonostante eventuali disposizioni contrarie previste nei Diritti di Utilizzo del Prodotto o nelle versioni precedenti della Lista dei Prodotti, qualora una società abbia ottenuto in licenza tutti i processori fisici su un</w:t>
      </w:r>
      <w:r w:rsidR="00A90117">
        <w:rPr>
          <w:rFonts w:eastAsia="Calibri" w:cs="Tahoma"/>
          <w:color w:val="000000"/>
          <w:szCs w:val="18"/>
        </w:rPr>
        <w:t> </w:t>
      </w:r>
      <w:r w:rsidRPr="00BD7CEA">
        <w:rPr>
          <w:rFonts w:eastAsia="Calibri" w:cs="Tahoma"/>
          <w:color w:val="000000"/>
          <w:szCs w:val="18"/>
        </w:rPr>
        <w:t>server con licenza e mantenga la copertura Software Assurance attiva su tali licenze, potrà continuare a</w:t>
      </w:r>
      <w:r w:rsidR="00A90117">
        <w:rPr>
          <w:rFonts w:eastAsia="Calibri" w:cs="Tahoma"/>
          <w:color w:val="000000"/>
          <w:szCs w:val="18"/>
        </w:rPr>
        <w:t> </w:t>
      </w:r>
      <w:r w:rsidRPr="00BD7CEA">
        <w:rPr>
          <w:rFonts w:eastAsia="Calibri" w:cs="Tahoma"/>
          <w:color w:val="000000"/>
          <w:szCs w:val="18"/>
        </w:rPr>
        <w:t xml:space="preserve">eseguire il software server in un numero illimitato di ambienti del sistema operativo su quel server. </w:t>
      </w:r>
    </w:p>
    <w:p w:rsidR="00C321B6" w:rsidRPr="00BD7CEA" w:rsidRDefault="00C321B6" w:rsidP="00C321B6">
      <w:pPr>
        <w:ind w:left="720"/>
      </w:pPr>
    </w:p>
    <w:p w:rsidR="00C321B6" w:rsidRPr="00BD7CEA" w:rsidRDefault="00A81E83" w:rsidP="00C321B6">
      <w:pPr>
        <w:spacing w:after="60"/>
        <w:ind w:left="720"/>
      </w:pPr>
      <w:r w:rsidRPr="00BD7CEA">
        <w:rPr>
          <w:rFonts w:eastAsia="Calibri" w:cs="Tahoma"/>
          <w:b/>
          <w:color w:val="000000"/>
          <w:szCs w:val="18"/>
        </w:rPr>
        <w:t>Concessioni di Licenza Associate alla Variazione del Modello di Licenza</w:t>
      </w:r>
    </w:p>
    <w:p w:rsidR="00A81E83" w:rsidRPr="00BD7CEA" w:rsidRDefault="00A81E83" w:rsidP="00C321B6">
      <w:pPr>
        <w:ind w:left="720"/>
      </w:pPr>
      <w:r w:rsidRPr="00BD7CEA">
        <w:rPr>
          <w:rFonts w:eastAsia="Calibri" w:cs="Tahoma"/>
          <w:color w:val="000000"/>
          <w:szCs w:val="18"/>
        </w:rPr>
        <w:t>SQL Server 2008 R2 sarà l</w:t>
      </w:r>
      <w:r w:rsidR="007A1415" w:rsidRPr="00BD7CEA">
        <w:rPr>
          <w:rFonts w:eastAsia="Calibri" w:cs="Tahoma"/>
          <w:color w:val="000000"/>
          <w:szCs w:val="18"/>
        </w:rPr>
        <w:t>’</w:t>
      </w:r>
      <w:r w:rsidRPr="00BD7CEA">
        <w:rPr>
          <w:rFonts w:eastAsia="Calibri" w:cs="Tahoma"/>
          <w:color w:val="000000"/>
          <w:szCs w:val="18"/>
        </w:rPr>
        <w:t>ultima versione di SQL Server concessa in licenza ai sensi del modello di licenza per processore.</w:t>
      </w:r>
      <w:r w:rsidR="008D782D" w:rsidRPr="00BD7CEA">
        <w:rPr>
          <w:rFonts w:eastAsia="Calibri" w:cs="Tahoma"/>
          <w:color w:val="000000"/>
          <w:szCs w:val="18"/>
        </w:rPr>
        <w:t xml:space="preserve"> </w:t>
      </w:r>
      <w:r w:rsidRPr="00BD7CEA">
        <w:rPr>
          <w:rFonts w:eastAsia="Calibri" w:cs="Tahoma"/>
          <w:color w:val="000000"/>
          <w:szCs w:val="18"/>
        </w:rPr>
        <w:t xml:space="preserve">In via eccezionale, alle società con contratti multilicenza e copertura Software Assurance attiva per le licenze per processore per SQL Server 2008 R2 Enterprise in data 1 aprile 2012 (“licenze qualificanti”) vengono offerte le opzioni che seguono. Le licenze per processore per SQL Server 2008 R2 Enterprise </w:t>
      </w:r>
      <w:r w:rsidRPr="00BD7CEA">
        <w:rPr>
          <w:rFonts w:cs="Tahoma"/>
          <w:bCs/>
          <w:color w:val="000000"/>
          <w:szCs w:val="18"/>
        </w:rPr>
        <w:t>acquistate successivamente nello stesso periodo di validità dell</w:t>
      </w:r>
      <w:r w:rsidR="007A1415" w:rsidRPr="00BD7CEA">
        <w:rPr>
          <w:rFonts w:cs="Tahoma"/>
          <w:bCs/>
          <w:color w:val="000000"/>
          <w:szCs w:val="18"/>
        </w:rPr>
        <w:t>’</w:t>
      </w:r>
      <w:r w:rsidRPr="00BD7CEA">
        <w:rPr>
          <w:rFonts w:cs="Tahoma"/>
          <w:bCs/>
          <w:color w:val="000000"/>
          <w:szCs w:val="18"/>
        </w:rPr>
        <w:t xml:space="preserve">iscrizione, ma prima del </w:t>
      </w:r>
      <w:r w:rsidR="00A90117">
        <w:rPr>
          <w:rFonts w:cs="Tahoma"/>
          <w:bCs/>
          <w:color w:val="000000"/>
          <w:szCs w:val="18"/>
        </w:rPr>
        <w:br/>
      </w:r>
      <w:r w:rsidRPr="00BD7CEA">
        <w:rPr>
          <w:rFonts w:cs="Tahoma"/>
          <w:bCs/>
          <w:color w:val="000000"/>
          <w:szCs w:val="18"/>
        </w:rPr>
        <w:t>1 aprile 2015 nell</w:t>
      </w:r>
      <w:r w:rsidR="007A1415" w:rsidRPr="00BD7CEA">
        <w:rPr>
          <w:rFonts w:cs="Tahoma"/>
          <w:bCs/>
          <w:color w:val="000000"/>
          <w:szCs w:val="18"/>
        </w:rPr>
        <w:t>’</w:t>
      </w:r>
      <w:r w:rsidRPr="00BD7CEA">
        <w:rPr>
          <w:rFonts w:cs="Tahoma"/>
          <w:bCs/>
          <w:color w:val="000000"/>
          <w:szCs w:val="18"/>
        </w:rPr>
        <w:t>ambito di una procedura pianificata di true-up della società Enterprise, Enterprise Subscription, Open Value Subscription o EES, sono anch</w:t>
      </w:r>
      <w:r w:rsidR="007A1415" w:rsidRPr="00BD7CEA">
        <w:rPr>
          <w:rFonts w:cs="Tahoma"/>
          <w:bCs/>
          <w:color w:val="000000"/>
          <w:szCs w:val="18"/>
        </w:rPr>
        <w:t>’</w:t>
      </w:r>
      <w:r w:rsidRPr="00BD7CEA">
        <w:rPr>
          <w:rFonts w:cs="Tahoma"/>
          <w:bCs/>
          <w:color w:val="000000"/>
          <w:szCs w:val="18"/>
        </w:rPr>
        <w:t>esse licenze qualificanti per gli scopi previsti da tali</w:t>
      </w:r>
      <w:r w:rsidR="00A90117">
        <w:rPr>
          <w:rFonts w:cs="Tahoma"/>
          <w:bCs/>
          <w:color w:val="000000"/>
          <w:szCs w:val="18"/>
        </w:rPr>
        <w:t> </w:t>
      </w:r>
      <w:r w:rsidRPr="00BD7CEA">
        <w:rPr>
          <w:rFonts w:cs="Tahoma"/>
          <w:bCs/>
          <w:color w:val="000000"/>
          <w:szCs w:val="18"/>
        </w:rPr>
        <w:t>opzioni.</w:t>
      </w:r>
      <w:r w:rsidR="008D782D" w:rsidRPr="00BD7CEA">
        <w:rPr>
          <w:rFonts w:cs="Tahoma"/>
          <w:bCs/>
          <w:color w:val="000000"/>
          <w:szCs w:val="18"/>
        </w:rPr>
        <w:t xml:space="preserve"> </w:t>
      </w:r>
      <w:r w:rsidRPr="00BD7CEA">
        <w:rPr>
          <w:rFonts w:cs="Tahoma"/>
          <w:bCs/>
          <w:color w:val="000000"/>
          <w:szCs w:val="18"/>
        </w:rPr>
        <w:t>Le licenze acquistate dopo il 1 aprile 2015, o in un periodo di validità dell</w:t>
      </w:r>
      <w:r w:rsidR="007A1415" w:rsidRPr="00BD7CEA">
        <w:rPr>
          <w:rFonts w:cs="Tahoma"/>
          <w:bCs/>
          <w:color w:val="000000"/>
          <w:szCs w:val="18"/>
        </w:rPr>
        <w:t>’</w:t>
      </w:r>
      <w:r w:rsidRPr="00BD7CEA">
        <w:rPr>
          <w:rFonts w:cs="Tahoma"/>
          <w:bCs/>
          <w:color w:val="000000"/>
          <w:szCs w:val="18"/>
        </w:rPr>
        <w:t>iscrizione successivo, ai sensi di un contratto distinto o di un</w:t>
      </w:r>
      <w:r w:rsidR="007A1415" w:rsidRPr="00BD7CEA">
        <w:rPr>
          <w:rFonts w:cs="Tahoma"/>
          <w:bCs/>
          <w:color w:val="000000"/>
          <w:szCs w:val="18"/>
        </w:rPr>
        <w:t>’</w:t>
      </w:r>
      <w:r w:rsidRPr="00BD7CEA">
        <w:rPr>
          <w:rFonts w:cs="Tahoma"/>
          <w:bCs/>
          <w:color w:val="000000"/>
          <w:szCs w:val="18"/>
        </w:rPr>
        <w:t>iscrizione con la data di entrata in vigore posteriore al 1 aprile 2012, non sono licenze qualificanti.</w:t>
      </w:r>
    </w:p>
    <w:p w:rsidR="00C321B6" w:rsidRPr="00BD7CEA" w:rsidRDefault="00C321B6" w:rsidP="00C321B6">
      <w:pPr>
        <w:ind w:left="720"/>
      </w:pPr>
    </w:p>
    <w:p w:rsidR="00F94F25" w:rsidRPr="00BD7CEA" w:rsidRDefault="00F94F25" w:rsidP="00F94F25">
      <w:pPr>
        <w:spacing w:after="60"/>
        <w:ind w:left="720"/>
      </w:pPr>
      <w:r w:rsidRPr="00BD7CEA">
        <w:rPr>
          <w:rFonts w:eastAsia="Calibri" w:cs="Tahoma"/>
          <w:b/>
          <w:color w:val="000000"/>
          <w:szCs w:val="18"/>
        </w:rPr>
        <w:t>Periodo di Validità Corrente</w:t>
      </w:r>
    </w:p>
    <w:p w:rsidR="00A81E83" w:rsidRPr="00BD7CEA" w:rsidRDefault="00A81E83" w:rsidP="00F94F25">
      <w:pPr>
        <w:ind w:left="720"/>
      </w:pPr>
      <w:r w:rsidRPr="00BD7CEA">
        <w:rPr>
          <w:rFonts w:eastAsia="Calibri" w:cs="Tahoma"/>
          <w:color w:val="000000"/>
          <w:szCs w:val="18"/>
        </w:rPr>
        <w:t>durante il periodo di validità corrente della copertura Software Assurance a partire dal 1 aprile 2012 le società (incluse le società titolari di contratti “subscription”) potranno, ai sensi di una licenza qualificante, effettuare l</w:t>
      </w:r>
      <w:r w:rsidR="007A1415" w:rsidRPr="00BD7CEA">
        <w:rPr>
          <w:rFonts w:eastAsia="Calibri" w:cs="Tahoma"/>
          <w:color w:val="000000"/>
          <w:szCs w:val="18"/>
        </w:rPr>
        <w:t>’</w:t>
      </w:r>
      <w:r w:rsidRPr="00BD7CEA">
        <w:rPr>
          <w:rFonts w:eastAsia="Calibri" w:cs="Tahoma"/>
          <w:color w:val="000000"/>
          <w:szCs w:val="18"/>
        </w:rPr>
        <w:t>aggiornamento al software SQL Server 2012 Enterprise Core e utilizzarlo al posto di SQL Server</w:t>
      </w:r>
      <w:r w:rsidR="00713397">
        <w:rPr>
          <w:rFonts w:eastAsia="Calibri" w:cs="Tahoma"/>
          <w:color w:val="000000"/>
          <w:szCs w:val="18"/>
        </w:rPr>
        <w:t> </w:t>
      </w:r>
      <w:r w:rsidRPr="00BD7CEA">
        <w:rPr>
          <w:rFonts w:eastAsia="Calibri" w:cs="Tahoma"/>
          <w:color w:val="000000"/>
          <w:szCs w:val="18"/>
        </w:rPr>
        <w:t xml:space="preserve">2008 R2 Enterprise in conformità ai diritti di utilizzo del prodotto previsti dalla licenza per processore SQL Server 2008 R2 Enterprise (come indicato nei Diritti di Utilizzo del Prodotto del mese di gennaio 2012). </w:t>
      </w:r>
    </w:p>
    <w:p w:rsidR="00F94F25" w:rsidRPr="00BD7CEA" w:rsidRDefault="00F94F25" w:rsidP="00F94F25">
      <w:pPr>
        <w:ind w:left="720"/>
      </w:pPr>
    </w:p>
    <w:p w:rsidR="009C3B43" w:rsidRPr="00BD7CEA" w:rsidRDefault="009C3B43" w:rsidP="00F94F25">
      <w:pPr>
        <w:ind w:left="720"/>
      </w:pPr>
    </w:p>
    <w:p w:rsidR="009C3B43" w:rsidRPr="00BD7CEA" w:rsidRDefault="009C3B43" w:rsidP="00F94F25">
      <w:pPr>
        <w:ind w:left="720"/>
      </w:pPr>
    </w:p>
    <w:p w:rsidR="009C3B43" w:rsidRPr="00BD7CEA" w:rsidRDefault="009C3B43" w:rsidP="00F94F25">
      <w:pPr>
        <w:ind w:left="720"/>
      </w:pPr>
    </w:p>
    <w:p w:rsidR="009C3B43" w:rsidRPr="00BD7CEA" w:rsidRDefault="009C3B43" w:rsidP="00F94F25">
      <w:pPr>
        <w:ind w:left="720"/>
      </w:pPr>
    </w:p>
    <w:p w:rsidR="009C3B43" w:rsidRPr="00BD7CEA" w:rsidRDefault="009C3B43" w:rsidP="00F94F25">
      <w:pPr>
        <w:ind w:left="720"/>
      </w:pPr>
    </w:p>
    <w:p w:rsidR="009C3B43" w:rsidRPr="00BD7CEA" w:rsidRDefault="009C3B43" w:rsidP="00F94F25">
      <w:pPr>
        <w:ind w:left="720"/>
      </w:pPr>
    </w:p>
    <w:p w:rsidR="00F94F25" w:rsidRPr="00BD7CEA" w:rsidRDefault="00A81E83" w:rsidP="00F94F25">
      <w:pPr>
        <w:spacing w:after="60"/>
        <w:ind w:left="720"/>
      </w:pPr>
      <w:r w:rsidRPr="00BD7CEA">
        <w:rPr>
          <w:rFonts w:eastAsia="Calibri" w:cs="Tahoma"/>
          <w:b/>
          <w:color w:val="000000"/>
          <w:szCs w:val="18"/>
        </w:rPr>
        <w:lastRenderedPageBreak/>
        <w:t>Primo Periodo di Rinnovo (prima del 1 aprile 2015)</w:t>
      </w:r>
    </w:p>
    <w:p w:rsidR="00A81E83" w:rsidRPr="00BD7CEA" w:rsidRDefault="00A81E83" w:rsidP="00F94F25">
      <w:pPr>
        <w:tabs>
          <w:tab w:val="left" w:pos="1440"/>
        </w:tabs>
        <w:ind w:left="720"/>
      </w:pPr>
      <w:r w:rsidRPr="00BD7CEA">
        <w:rPr>
          <w:rFonts w:eastAsia="Calibri" w:cs="Tahoma"/>
          <w:color w:val="000000"/>
          <w:szCs w:val="18"/>
        </w:rPr>
        <w:t>in occasione del primo rinnovo di Software Assurance in data 1 aprile 2012 o successiva (ma prima del 1</w:t>
      </w:r>
      <w:r w:rsidR="004F4DA9">
        <w:rPr>
          <w:rFonts w:eastAsia="Calibri" w:cs="Tahoma"/>
          <w:color w:val="000000"/>
          <w:szCs w:val="18"/>
        </w:rPr>
        <w:t> </w:t>
      </w:r>
      <w:r w:rsidRPr="00BD7CEA">
        <w:rPr>
          <w:rFonts w:eastAsia="Calibri" w:cs="Tahoma"/>
          <w:color w:val="000000"/>
          <w:szCs w:val="18"/>
        </w:rPr>
        <w:t>aprile 2015), per ogni server che una società ha ricevuto validamente in licenza in conformità ai diritti di</w:t>
      </w:r>
      <w:r w:rsidR="004F4DA9">
        <w:rPr>
          <w:rFonts w:eastAsia="Calibri" w:cs="Tahoma"/>
          <w:color w:val="000000"/>
          <w:szCs w:val="18"/>
        </w:rPr>
        <w:t> </w:t>
      </w:r>
      <w:r w:rsidRPr="00BD7CEA">
        <w:rPr>
          <w:rFonts w:eastAsia="Calibri" w:cs="Tahoma"/>
          <w:color w:val="000000"/>
          <w:szCs w:val="18"/>
        </w:rPr>
        <w:t>utilizzo del prodotto previsti dalla licenza per processore SQL Server 2008 R2, la società potrà acquistare la</w:t>
      </w:r>
      <w:r w:rsidR="009C3B43" w:rsidRPr="00BD7CEA">
        <w:rPr>
          <w:rFonts w:eastAsia="Calibri" w:cs="Tahoma"/>
          <w:color w:val="000000"/>
          <w:szCs w:val="18"/>
        </w:rPr>
        <w:t> </w:t>
      </w:r>
      <w:r w:rsidRPr="00BD7CEA">
        <w:rPr>
          <w:rFonts w:eastAsia="Calibri" w:cs="Tahoma"/>
          <w:color w:val="000000"/>
          <w:szCs w:val="18"/>
        </w:rPr>
        <w:t>copertura Software Assurance per le licenze core per SQL Server Enterprise senza dovere acquistare le</w:t>
      </w:r>
      <w:r w:rsidR="009C3B43" w:rsidRPr="00BD7CEA">
        <w:rPr>
          <w:rFonts w:eastAsia="Calibri" w:cs="Tahoma"/>
          <w:color w:val="000000"/>
          <w:szCs w:val="18"/>
        </w:rPr>
        <w:t> </w:t>
      </w:r>
      <w:r w:rsidRPr="00BD7CEA">
        <w:rPr>
          <w:rFonts w:eastAsia="Calibri" w:cs="Tahoma"/>
          <w:color w:val="000000"/>
          <w:szCs w:val="18"/>
        </w:rPr>
        <w:t>licenze core sottostanti per un numero di licenze core pari alla somma di (a) e (b):</w:t>
      </w:r>
    </w:p>
    <w:p w:rsidR="00A81E83" w:rsidRPr="00BD7CEA" w:rsidRDefault="00A81E83" w:rsidP="007358C5">
      <w:pPr>
        <w:numPr>
          <w:ilvl w:val="0"/>
          <w:numId w:val="117"/>
        </w:numPr>
        <w:tabs>
          <w:tab w:val="left" w:pos="1800"/>
        </w:tabs>
        <w:spacing w:after="60"/>
        <w:ind w:left="1440"/>
      </w:pPr>
      <w:r w:rsidRPr="00BD7CEA">
        <w:rPr>
          <w:rFonts w:eastAsia="Calibri" w:cs="Tahoma"/>
          <w:color w:val="000000"/>
          <w:szCs w:val="18"/>
        </w:rPr>
        <w:t xml:space="preserve">un numero pari al numero minore delle licenze qualificanti cedute al server o al numero totale dei processori fisici sul server moltiplicato per il maggiore tra: </w:t>
      </w:r>
    </w:p>
    <w:p w:rsidR="00A81E83" w:rsidRPr="00BD7CEA" w:rsidRDefault="00A81E83" w:rsidP="007358C5">
      <w:pPr>
        <w:numPr>
          <w:ilvl w:val="3"/>
          <w:numId w:val="92"/>
        </w:numPr>
        <w:tabs>
          <w:tab w:val="left" w:pos="2160"/>
        </w:tabs>
        <w:spacing w:after="60"/>
        <w:ind w:left="2160"/>
      </w:pPr>
      <w:r w:rsidRPr="00BD7CEA">
        <w:rPr>
          <w:rFonts w:eastAsia="Calibri" w:cs="Tahoma"/>
          <w:color w:val="000000"/>
          <w:szCs w:val="18"/>
        </w:rPr>
        <w:t>quattro O</w:t>
      </w:r>
    </w:p>
    <w:p w:rsidR="00A81E83" w:rsidRPr="00BD7CEA" w:rsidRDefault="00A81E83" w:rsidP="007358C5">
      <w:pPr>
        <w:numPr>
          <w:ilvl w:val="3"/>
          <w:numId w:val="92"/>
        </w:numPr>
        <w:tabs>
          <w:tab w:val="left" w:pos="2160"/>
        </w:tabs>
        <w:spacing w:after="60"/>
        <w:ind w:left="2160"/>
      </w:pPr>
      <w:r w:rsidRPr="00BD7CEA">
        <w:rPr>
          <w:rFonts w:eastAsia="Calibri" w:cs="Tahoma"/>
          <w:color w:val="000000"/>
          <w:szCs w:val="18"/>
        </w:rPr>
        <w:t>il numero effettivo di core per processore fisico moltiplicato per il fattore core appropriato.</w:t>
      </w:r>
      <w:r w:rsidR="008D782D" w:rsidRPr="00BD7CEA">
        <w:rPr>
          <w:rFonts w:eastAsia="Calibri" w:cs="Tahoma"/>
          <w:color w:val="000000"/>
          <w:szCs w:val="18"/>
        </w:rPr>
        <w:t xml:space="preserve"> </w:t>
      </w:r>
      <w:r w:rsidRPr="00BD7CEA">
        <w:rPr>
          <w:rFonts w:eastAsia="Calibri" w:cs="Tahoma"/>
          <w:color w:val="000000"/>
          <w:szCs w:val="18"/>
        </w:rPr>
        <w:t>(Nei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7A1415" w:rsidRPr="00BD7CEA">
        <w:rPr>
          <w:rFonts w:eastAsia="Calibri" w:cs="Tahoma"/>
          <w:color w:val="000000"/>
          <w:szCs w:val="18"/>
        </w:rPr>
        <w:t>’</w:t>
      </w:r>
      <w:r w:rsidRPr="00BD7CEA">
        <w:rPr>
          <w:rFonts w:eastAsia="Calibri" w:cs="Tahoma"/>
          <w:color w:val="000000"/>
          <w:szCs w:val="18"/>
        </w:rPr>
        <w:t xml:space="preserve">hardware fisico che supporta tale software appena prima del rinnovo di Software Assurance utilizzando lo strumento MAP di Microsoft o un software equivalente). </w:t>
      </w:r>
    </w:p>
    <w:p w:rsidR="00A81E83" w:rsidRPr="00BD7CEA" w:rsidRDefault="00A81E83" w:rsidP="007358C5">
      <w:pPr>
        <w:numPr>
          <w:ilvl w:val="0"/>
          <w:numId w:val="117"/>
        </w:numPr>
        <w:tabs>
          <w:tab w:val="left" w:pos="1800"/>
        </w:tabs>
        <w:spacing w:after="60"/>
        <w:ind w:left="1440"/>
      </w:pPr>
      <w:r w:rsidRPr="00BD7CEA">
        <w:rPr>
          <w:rFonts w:eastAsia="Calibri" w:cs="Tahoma"/>
          <w:color w:val="000000"/>
          <w:szCs w:val="18"/>
        </w:rPr>
        <w:t>un numero pari al numero di licenze qualificanti cedute al server oltre al numero effettivo di processori fisici sul server moltiplicato per quattro.</w:t>
      </w:r>
    </w:p>
    <w:p w:rsidR="00F94F25" w:rsidRPr="00BD7CEA" w:rsidRDefault="00F94F25" w:rsidP="00F94F25">
      <w:pPr>
        <w:tabs>
          <w:tab w:val="left" w:pos="1800"/>
        </w:tabs>
        <w:ind w:left="1080"/>
      </w:pPr>
    </w:p>
    <w:p w:rsidR="00F94F25" w:rsidRPr="00BD7CEA" w:rsidRDefault="007A34E3" w:rsidP="00F94F25">
      <w:pPr>
        <w:spacing w:after="60"/>
        <w:ind w:left="720"/>
      </w:pPr>
      <w:r w:rsidRPr="00BD7CEA">
        <w:rPr>
          <w:rFonts w:eastAsia="Calibri" w:cs="Tahoma"/>
          <w:b/>
          <w:color w:val="000000"/>
          <w:szCs w:val="18"/>
        </w:rPr>
        <w:t>Primo Periodo di Rinnovo in data 1 aprile 2015 o successiva</w:t>
      </w:r>
    </w:p>
    <w:p w:rsidR="00A81E83" w:rsidRPr="00BD7CEA" w:rsidRDefault="00A81E83" w:rsidP="00F94F25">
      <w:pPr>
        <w:ind w:left="720"/>
      </w:pPr>
      <w:r w:rsidRPr="00BD7CEA">
        <w:rPr>
          <w:rFonts w:eastAsia="Calibri" w:cs="Tahoma"/>
          <w:color w:val="000000"/>
          <w:szCs w:val="18"/>
        </w:rPr>
        <w:t>Le società che rinnovano per la prima volta la copertura in data 1 aprile 2015</w:t>
      </w:r>
      <w:r w:rsidRPr="00BD7CEA">
        <w:rPr>
          <w:rFonts w:eastAsia="Calibri" w:cs="Tahoma"/>
          <w:szCs w:val="18"/>
        </w:rPr>
        <w:t xml:space="preserve"> potranno, per ogni server ottenuto in licenza in conformità ai diritti di utilizzo del prodotto previsti dalla licenza per processore SQL</w:t>
      </w:r>
      <w:r w:rsidR="009C3B43" w:rsidRPr="00BD7CEA">
        <w:rPr>
          <w:rFonts w:eastAsia="Calibri" w:cs="Tahoma"/>
          <w:szCs w:val="18"/>
        </w:rPr>
        <w:t> </w:t>
      </w:r>
      <w:r w:rsidRPr="00BD7CEA">
        <w:rPr>
          <w:rFonts w:eastAsia="Calibri" w:cs="Tahoma"/>
          <w:szCs w:val="18"/>
        </w:rPr>
        <w:t>Server 2008 R2, acquistare la copertura Software Assurance come di seguito indicato:</w:t>
      </w:r>
    </w:p>
    <w:p w:rsidR="00F94F25" w:rsidRPr="00BD7CEA" w:rsidRDefault="00F94F25" w:rsidP="00F94F25">
      <w:pPr>
        <w:ind w:left="720"/>
      </w:pPr>
    </w:p>
    <w:p w:rsidR="00A81E83" w:rsidRPr="00BD7CEA" w:rsidRDefault="00A81E83" w:rsidP="007358C5">
      <w:pPr>
        <w:numPr>
          <w:ilvl w:val="3"/>
          <w:numId w:val="93"/>
        </w:numPr>
        <w:spacing w:after="60"/>
        <w:ind w:left="1440" w:hanging="360"/>
      </w:pPr>
      <w:r w:rsidRPr="00BD7CEA">
        <w:rPr>
          <w:rFonts w:eastAsia="Calibri" w:cs="Tahoma"/>
          <w:szCs w:val="18"/>
        </w:rPr>
        <w:t>come stabilito nel primo paragrafo di questa nota relativa al prodotto, le licenze acquistate prima del 1 aprile 2015 sono licenze qualificanti e le società potranno rinnovare la copertura Software Assurance in base alle condizioni riportate nel precedente Articolo “Primo Periodo di Rinnovo (prima</w:t>
      </w:r>
      <w:r w:rsidR="009C3B43" w:rsidRPr="00BD7CEA">
        <w:rPr>
          <w:rFonts w:eastAsia="Calibri" w:cs="Tahoma"/>
          <w:szCs w:val="18"/>
        </w:rPr>
        <w:t> </w:t>
      </w:r>
      <w:r w:rsidRPr="00BD7CEA">
        <w:rPr>
          <w:rFonts w:eastAsia="Calibri" w:cs="Tahoma"/>
          <w:szCs w:val="18"/>
        </w:rPr>
        <w:t xml:space="preserve">del 1 aprile 2015)” e </w:t>
      </w:r>
    </w:p>
    <w:p w:rsidR="00A81E83" w:rsidRPr="00BD7CEA" w:rsidRDefault="00A81E83" w:rsidP="007358C5">
      <w:pPr>
        <w:numPr>
          <w:ilvl w:val="3"/>
          <w:numId w:val="93"/>
        </w:numPr>
        <w:spacing w:after="60"/>
        <w:ind w:left="1440" w:hanging="360"/>
      </w:pPr>
      <w:r w:rsidRPr="00BD7CEA">
        <w:rPr>
          <w:rFonts w:eastAsia="Calibri" w:cs="Tahoma"/>
          <w:szCs w:val="18"/>
        </w:rPr>
        <w:t>per le licenze acquistate dopo il 1 aprile 2015 le società potranno rinnovare la copertura Software Assurance per quattro licenze core per SQL Server Enterprise senza dover acquistare le licenze core</w:t>
      </w:r>
      <w:r w:rsidR="00B751F4" w:rsidRPr="00BD7CEA">
        <w:rPr>
          <w:rFonts w:eastAsia="Calibri" w:cs="Tahoma"/>
          <w:szCs w:val="18"/>
        </w:rPr>
        <w:t> </w:t>
      </w:r>
      <w:r w:rsidRPr="00BD7CEA">
        <w:rPr>
          <w:rFonts w:eastAsia="Calibri" w:cs="Tahoma"/>
          <w:szCs w:val="18"/>
        </w:rPr>
        <w:t>sottostanti per ogni licenza per processore per SQL Server 2008 R2 Enterprise. Per l</w:t>
      </w:r>
      <w:r w:rsidR="007A1415" w:rsidRPr="00BD7CEA">
        <w:rPr>
          <w:rFonts w:eastAsia="Calibri" w:cs="Tahoma"/>
          <w:szCs w:val="18"/>
        </w:rPr>
        <w:t>’</w:t>
      </w:r>
      <w:r w:rsidRPr="00BD7CEA">
        <w:rPr>
          <w:rFonts w:eastAsia="Calibri" w:cs="Tahoma"/>
          <w:szCs w:val="18"/>
        </w:rPr>
        <w:t>utilizzo continuativo di SQL Server 2012 su processori che richiedono più di quattro licenze core per processore la società deve acquistare le licenze core aggiuntive.</w:t>
      </w:r>
    </w:p>
    <w:p w:rsidR="00A81E83" w:rsidRPr="00BD7CEA" w:rsidRDefault="00A81E83" w:rsidP="007358C5">
      <w:pPr>
        <w:numPr>
          <w:ilvl w:val="0"/>
          <w:numId w:val="136"/>
        </w:numPr>
        <w:spacing w:after="60"/>
        <w:ind w:left="1440"/>
      </w:pPr>
      <w:r w:rsidRPr="00333F2F">
        <w:rPr>
          <w:rFonts w:eastAsia="Calibri" w:cs="Tahoma"/>
          <w:color w:val="000000"/>
          <w:szCs w:val="18"/>
        </w:rPr>
        <w:t xml:space="preserve">Le licenze per processore delle società non sono più valide se si acquista la copertura Software Assurance per licenze core ai sensi della presente offerta. </w:t>
      </w:r>
      <w:r w:rsidRPr="00333F2F">
        <w:rPr>
          <w:rFonts w:eastAsia="Calibri" w:cs="Tahoma"/>
          <w:szCs w:val="18"/>
        </w:rPr>
        <w:t>L</w:t>
      </w:r>
      <w:r w:rsidR="007A1415" w:rsidRPr="00333F2F">
        <w:rPr>
          <w:rFonts w:eastAsia="Calibri" w:cs="Tahoma"/>
          <w:szCs w:val="18"/>
        </w:rPr>
        <w:t>’</w:t>
      </w:r>
      <w:r w:rsidRPr="00333F2F">
        <w:rPr>
          <w:rFonts w:eastAsia="Calibri" w:cs="Tahoma"/>
          <w:szCs w:val="18"/>
        </w:rPr>
        <w:t>opzione di acquistare Software Assurance per le licenze core per SQL Server non è applicabile al rinnovo della copertura ai</w:t>
      </w:r>
      <w:r w:rsidR="00B751F4" w:rsidRPr="00333F2F">
        <w:rPr>
          <w:rFonts w:eastAsia="Calibri" w:cs="Tahoma"/>
          <w:szCs w:val="18"/>
        </w:rPr>
        <w:t> </w:t>
      </w:r>
      <w:r w:rsidRPr="00333F2F">
        <w:rPr>
          <w:rFonts w:eastAsia="Calibri" w:cs="Tahoma"/>
          <w:szCs w:val="18"/>
        </w:rPr>
        <w:t>sensi</w:t>
      </w:r>
      <w:r w:rsidR="00B751F4" w:rsidRPr="00333F2F">
        <w:rPr>
          <w:rFonts w:eastAsia="Calibri" w:cs="Tahoma"/>
          <w:szCs w:val="18"/>
        </w:rPr>
        <w:t> </w:t>
      </w:r>
      <w:r w:rsidRPr="00333F2F">
        <w:rPr>
          <w:rFonts w:eastAsia="Calibri" w:cs="Tahoma"/>
          <w:szCs w:val="18"/>
        </w:rPr>
        <w:t>dei programmi di sottoscrizione.</w:t>
      </w:r>
      <w:r w:rsidR="008D782D" w:rsidRPr="00333F2F">
        <w:rPr>
          <w:rFonts w:eastAsia="Calibri" w:cs="Tahoma"/>
          <w:szCs w:val="18"/>
        </w:rPr>
        <w:t xml:space="preserve"> </w:t>
      </w:r>
    </w:p>
    <w:p w:rsidR="00F94F25" w:rsidRPr="00BD7CEA" w:rsidRDefault="00F94F25" w:rsidP="00F94F25">
      <w:pPr>
        <w:ind w:left="1440"/>
      </w:pPr>
    </w:p>
    <w:p w:rsidR="00204D6D" w:rsidRPr="00BD7CEA" w:rsidRDefault="00A81E83" w:rsidP="00204D6D">
      <w:pPr>
        <w:tabs>
          <w:tab w:val="left" w:pos="1440"/>
        </w:tabs>
        <w:spacing w:after="60"/>
        <w:ind w:left="720"/>
      </w:pPr>
      <w:r w:rsidRPr="00BD7CEA">
        <w:rPr>
          <w:rFonts w:eastAsia="Calibri" w:cs="Tahoma"/>
          <w:b/>
          <w:color w:val="000000"/>
          <w:szCs w:val="18"/>
        </w:rPr>
        <w:t>Per le Società con copertura Software Assurance in scadenza prima del 1 aprile 2015 che scelgono di non effettuare il rinnovo</w:t>
      </w:r>
    </w:p>
    <w:p w:rsidR="00A81E83" w:rsidRPr="00BD7CEA" w:rsidRDefault="00A81E83" w:rsidP="00204D6D">
      <w:pPr>
        <w:tabs>
          <w:tab w:val="left" w:pos="1440"/>
        </w:tabs>
        <w:ind w:left="720"/>
      </w:pPr>
      <w:r w:rsidRPr="00BD7CEA">
        <w:rPr>
          <w:rFonts w:eastAsia="Calibri" w:cs="Tahoma"/>
          <w:color w:val="000000"/>
          <w:szCs w:val="18"/>
        </w:rPr>
        <w:t xml:space="preserve">Le società titolari di contratti Enterprise Subscription </w:t>
      </w:r>
      <w:r w:rsidRPr="00BD7CEA">
        <w:rPr>
          <w:rFonts w:cs="Tahoma"/>
          <w:bCs/>
          <w:color w:val="000000"/>
          <w:szCs w:val="18"/>
        </w:rPr>
        <w:t xml:space="preserve">e Open Value Subscription </w:t>
      </w:r>
      <w:r w:rsidRPr="00BD7CEA">
        <w:rPr>
          <w:rFonts w:eastAsia="Calibri" w:cs="Tahoma"/>
          <w:color w:val="000000"/>
          <w:szCs w:val="18"/>
        </w:rPr>
        <w:t>con copertura in scadenza prima del 1 aprile 2015 che scelgono di effettuare il buy-out delle licenze per processore e altre società che acquistano licenze perpetue ai sensi del loro contratto e scelgono di non rinnovare Software Assurance potranno eseguire SQL Server 2008 R2 o SQL Server 2012 ai sensi di tali licenze come indicato sotto:</w:t>
      </w:r>
    </w:p>
    <w:p w:rsidR="00204D6D" w:rsidRPr="00BD7CEA" w:rsidRDefault="00204D6D" w:rsidP="00204D6D">
      <w:pPr>
        <w:tabs>
          <w:tab w:val="left" w:pos="1440"/>
        </w:tabs>
        <w:ind w:left="720"/>
      </w:pPr>
    </w:p>
    <w:p w:rsidR="00A81E83" w:rsidRPr="00BD7CEA" w:rsidRDefault="00A81E83" w:rsidP="007358C5">
      <w:pPr>
        <w:numPr>
          <w:ilvl w:val="0"/>
          <w:numId w:val="52"/>
        </w:numPr>
        <w:spacing w:after="60"/>
        <w:ind w:left="1440"/>
      </w:pPr>
      <w:r w:rsidRPr="00BD7CEA">
        <w:rPr>
          <w:rFonts w:eastAsia="Calibri" w:cs="Tahoma"/>
          <w:b/>
          <w:color w:val="000000"/>
          <w:szCs w:val="18"/>
        </w:rPr>
        <w:t>SQL Server 2008 R2 Enterprise:</w:t>
      </w:r>
      <w:r w:rsidRPr="00BD7CEA">
        <w:rPr>
          <w:rFonts w:eastAsia="Calibri" w:cs="Tahoma"/>
          <w:color w:val="000000"/>
          <w:szCs w:val="18"/>
        </w:rPr>
        <w:t xml:space="preserve"> l</w:t>
      </w:r>
      <w:r w:rsidR="007A1415" w:rsidRPr="00BD7CEA">
        <w:rPr>
          <w:rFonts w:eastAsia="Calibri" w:cs="Tahoma"/>
          <w:color w:val="000000"/>
          <w:szCs w:val="18"/>
        </w:rPr>
        <w:t>’</w:t>
      </w:r>
      <w:r w:rsidRPr="00BD7CEA">
        <w:rPr>
          <w:rFonts w:eastAsia="Calibri" w:cs="Tahoma"/>
          <w:color w:val="000000"/>
          <w:szCs w:val="18"/>
        </w:rPr>
        <w:t>utilizzo continuativo di questo software è soggetto ai diritti di</w:t>
      </w:r>
      <w:r w:rsidR="00B751F4" w:rsidRPr="00BD7CEA">
        <w:rPr>
          <w:rFonts w:eastAsia="Calibri" w:cs="Tahoma"/>
          <w:color w:val="000000"/>
          <w:szCs w:val="18"/>
        </w:rPr>
        <w:t> </w:t>
      </w:r>
      <w:r w:rsidRPr="00BD7CEA">
        <w:rPr>
          <w:rFonts w:eastAsia="Calibri" w:cs="Tahoma"/>
          <w:color w:val="000000"/>
          <w:szCs w:val="18"/>
        </w:rPr>
        <w:t>utilizzo del prodotto previsti dalla licenza per processore per SQL Server 2008 R2 Enterprise; tuttavia, le società non disporranno più di diritti sull</w:t>
      </w:r>
      <w:r w:rsidR="007A1415" w:rsidRPr="00BD7CEA">
        <w:rPr>
          <w:rFonts w:eastAsia="Calibri" w:cs="Tahoma"/>
          <w:color w:val="000000"/>
          <w:szCs w:val="18"/>
        </w:rPr>
        <w:t>’</w:t>
      </w:r>
      <w:r w:rsidRPr="00BD7CEA">
        <w:rPr>
          <w:rFonts w:eastAsia="Calibri" w:cs="Tahoma"/>
          <w:color w:val="000000"/>
          <w:szCs w:val="18"/>
        </w:rPr>
        <w:t xml:space="preserve">utilizzo per la Virtualizzazione Illimitata o di Mobilità delle Licenze tramite Software Assurance. </w:t>
      </w:r>
    </w:p>
    <w:p w:rsidR="00A81E83" w:rsidRPr="00BD7CEA" w:rsidRDefault="00A81E83" w:rsidP="007358C5">
      <w:pPr>
        <w:numPr>
          <w:ilvl w:val="0"/>
          <w:numId w:val="52"/>
        </w:numPr>
        <w:tabs>
          <w:tab w:val="left" w:pos="1800"/>
        </w:tabs>
        <w:spacing w:after="60"/>
        <w:ind w:left="1440"/>
      </w:pPr>
      <w:r w:rsidRPr="00BD7CEA">
        <w:rPr>
          <w:rFonts w:eastAsia="Calibri" w:cs="Tahoma"/>
          <w:b/>
          <w:color w:val="000000"/>
          <w:szCs w:val="18"/>
        </w:rPr>
        <w:t xml:space="preserve">SQL Server 2012 Enterprise Core: </w:t>
      </w:r>
      <w:r w:rsidRPr="00BD7CEA">
        <w:rPr>
          <w:rFonts w:eastAsia="Calibri" w:cs="Tahoma"/>
          <w:color w:val="000000"/>
          <w:szCs w:val="18"/>
        </w:rPr>
        <w:t>l</w:t>
      </w:r>
      <w:r w:rsidR="007A1415" w:rsidRPr="00BD7CEA">
        <w:rPr>
          <w:rFonts w:eastAsia="Calibri" w:cs="Tahoma"/>
          <w:color w:val="000000"/>
          <w:szCs w:val="18"/>
        </w:rPr>
        <w:t>’</w:t>
      </w:r>
      <w:r w:rsidRPr="00BD7CEA">
        <w:rPr>
          <w:rFonts w:eastAsia="Calibri" w:cs="Tahoma"/>
          <w:color w:val="000000"/>
          <w:szCs w:val="18"/>
        </w:rPr>
        <w:t xml:space="preserve">utilizzo di tale versione del software è soggetto ai diritti di utilizzo del prodotto previsti dalla licenza per processore SQL Server 2008 R2 Enterprise, tuttavia: </w:t>
      </w:r>
    </w:p>
    <w:p w:rsidR="00A81E83" w:rsidRPr="00BD7CEA" w:rsidRDefault="00A81E83" w:rsidP="007358C5">
      <w:pPr>
        <w:numPr>
          <w:ilvl w:val="1"/>
          <w:numId w:val="52"/>
        </w:numPr>
        <w:tabs>
          <w:tab w:val="left" w:pos="2160"/>
        </w:tabs>
        <w:spacing w:after="60"/>
        <w:ind w:left="2160"/>
      </w:pPr>
      <w:r w:rsidRPr="00BD7CEA">
        <w:rPr>
          <w:rFonts w:eastAsia="Calibri" w:cs="Tahoma"/>
          <w:color w:val="000000"/>
          <w:szCs w:val="18"/>
        </w:rPr>
        <w:t>le società non disporranno più di diritti sull</w:t>
      </w:r>
      <w:r w:rsidR="007A1415" w:rsidRPr="00BD7CEA">
        <w:rPr>
          <w:rFonts w:eastAsia="Calibri" w:cs="Tahoma"/>
          <w:color w:val="000000"/>
          <w:szCs w:val="18"/>
        </w:rPr>
        <w:t>’</w:t>
      </w:r>
      <w:r w:rsidRPr="00BD7CEA">
        <w:rPr>
          <w:rFonts w:eastAsia="Calibri" w:cs="Tahoma"/>
          <w:color w:val="000000"/>
          <w:szCs w:val="18"/>
        </w:rPr>
        <w:t>utilizzo per la Virtualizzazione Illimitata, Mobilità delle Licenze all</w:t>
      </w:r>
      <w:r w:rsidR="007A1415" w:rsidRPr="00BD7CEA">
        <w:rPr>
          <w:rFonts w:eastAsia="Calibri" w:cs="Tahoma"/>
          <w:color w:val="000000"/>
          <w:szCs w:val="18"/>
        </w:rPr>
        <w:t>’</w:t>
      </w:r>
      <w:r w:rsidRPr="00BD7CEA">
        <w:rPr>
          <w:rFonts w:eastAsia="Calibri" w:cs="Tahoma"/>
          <w:color w:val="000000"/>
          <w:szCs w:val="18"/>
        </w:rPr>
        <w:t>interno di Server Farm o Mobilità delle Licenze tramite Software</w:t>
      </w:r>
      <w:r w:rsidR="00713397">
        <w:rPr>
          <w:rFonts w:eastAsia="Calibri" w:cs="Tahoma"/>
          <w:color w:val="000000"/>
          <w:szCs w:val="18"/>
        </w:rPr>
        <w:t> </w:t>
      </w:r>
      <w:r w:rsidRPr="00BD7CEA">
        <w:rPr>
          <w:rFonts w:eastAsia="Calibri" w:cs="Tahoma"/>
          <w:color w:val="000000"/>
          <w:szCs w:val="18"/>
        </w:rPr>
        <w:t xml:space="preserve">Assurance e </w:t>
      </w:r>
    </w:p>
    <w:p w:rsidR="00A81E83" w:rsidRPr="00BD7CEA" w:rsidRDefault="00A81E83" w:rsidP="007358C5">
      <w:pPr>
        <w:numPr>
          <w:ilvl w:val="1"/>
          <w:numId w:val="52"/>
        </w:numPr>
        <w:tabs>
          <w:tab w:val="left" w:pos="2160"/>
          <w:tab w:val="left" w:pos="2970"/>
        </w:tabs>
        <w:spacing w:after="60"/>
        <w:ind w:left="2160"/>
      </w:pPr>
      <w:r w:rsidRPr="00BD7CEA">
        <w:rPr>
          <w:rFonts w:eastAsia="Calibri" w:cs="Tahoma"/>
          <w:color w:val="000000"/>
          <w:szCs w:val="18"/>
        </w:rPr>
        <w:lastRenderedPageBreak/>
        <w:t>l</w:t>
      </w:r>
      <w:r w:rsidR="007A1415" w:rsidRPr="00BD7CEA">
        <w:rPr>
          <w:rFonts w:eastAsia="Calibri" w:cs="Tahoma"/>
          <w:color w:val="000000"/>
          <w:szCs w:val="18"/>
        </w:rPr>
        <w:t>’</w:t>
      </w:r>
      <w:r w:rsidRPr="00BD7CEA">
        <w:rPr>
          <w:rFonts w:eastAsia="Calibri" w:cs="Tahoma"/>
          <w:color w:val="000000"/>
          <w:szCs w:val="18"/>
        </w:rPr>
        <w:t>eventuale riassegnazione di licenze è soggetta ai limiti indicati nei paragrafi (i) e (ii) che seguono relativi alla loro “equivalenza di licenze core”. L</w:t>
      </w:r>
      <w:r w:rsidR="007A1415" w:rsidRPr="00BD7CEA">
        <w:rPr>
          <w:rFonts w:eastAsia="Calibri" w:cs="Tahoma"/>
          <w:color w:val="000000"/>
          <w:szCs w:val="18"/>
        </w:rPr>
        <w:t>’</w:t>
      </w:r>
      <w:r w:rsidRPr="00BD7CEA">
        <w:rPr>
          <w:rFonts w:eastAsia="Calibri" w:cs="Tahoma"/>
          <w:color w:val="000000"/>
          <w:szCs w:val="18"/>
        </w:rPr>
        <w:t xml:space="preserve">equivalenza di licenze core è determinata come di seguito riportato. </w:t>
      </w:r>
    </w:p>
    <w:p w:rsidR="00A81E83" w:rsidRPr="00BD7CEA" w:rsidRDefault="00A81E83" w:rsidP="007358C5">
      <w:pPr>
        <w:numPr>
          <w:ilvl w:val="2"/>
          <w:numId w:val="52"/>
        </w:numPr>
        <w:tabs>
          <w:tab w:val="left" w:pos="2520"/>
        </w:tabs>
        <w:spacing w:after="60"/>
        <w:ind w:left="2520"/>
      </w:pPr>
      <w:r w:rsidRPr="00BD7CEA">
        <w:rPr>
          <w:rFonts w:eastAsia="Calibri" w:cs="Tahoma"/>
          <w:color w:val="000000"/>
          <w:szCs w:val="18"/>
        </w:rPr>
        <w:t>Per un numero di licenze pari al numero inferiore tra (x) il numero totale di licenze per processore cedute a un server con licenza appena prima della scadenza di Software Assurance o (y) il numero totale di processori fisici su tale server, l</w:t>
      </w:r>
      <w:r w:rsidR="007A1415" w:rsidRPr="00BD7CEA">
        <w:rPr>
          <w:rFonts w:eastAsia="Calibri" w:cs="Tahoma"/>
          <w:color w:val="000000"/>
          <w:szCs w:val="18"/>
        </w:rPr>
        <w:t>’</w:t>
      </w:r>
      <w:r w:rsidRPr="00BD7CEA">
        <w:rPr>
          <w:rFonts w:eastAsia="Calibri" w:cs="Tahoma"/>
          <w:color w:val="000000"/>
          <w:szCs w:val="18"/>
        </w:rPr>
        <w:t xml:space="preserve">equivalenza di licenze core è il numero maggiore tra: </w:t>
      </w:r>
    </w:p>
    <w:p w:rsidR="00A81E83" w:rsidRPr="00BD7CEA" w:rsidRDefault="00A81E83" w:rsidP="007358C5">
      <w:pPr>
        <w:numPr>
          <w:ilvl w:val="0"/>
          <w:numId w:val="137"/>
        </w:numPr>
        <w:tabs>
          <w:tab w:val="left" w:pos="2880"/>
        </w:tabs>
        <w:spacing w:after="60"/>
        <w:ind w:left="2880"/>
      </w:pPr>
      <w:r w:rsidRPr="00333F2F">
        <w:rPr>
          <w:rFonts w:eastAsia="Calibri" w:cs="Tahoma"/>
          <w:color w:val="000000"/>
          <w:szCs w:val="18"/>
        </w:rPr>
        <w:t xml:space="preserve">quattro core per licenza per processore O </w:t>
      </w:r>
    </w:p>
    <w:p w:rsidR="00A81E83" w:rsidRPr="00BD7CEA" w:rsidRDefault="00A81E83" w:rsidP="007358C5">
      <w:pPr>
        <w:numPr>
          <w:ilvl w:val="0"/>
          <w:numId w:val="137"/>
        </w:numPr>
        <w:tabs>
          <w:tab w:val="left" w:pos="2880"/>
        </w:tabs>
        <w:spacing w:after="60"/>
        <w:ind w:left="2880"/>
      </w:pPr>
      <w:r w:rsidRPr="00BD7CEA">
        <w:rPr>
          <w:rFonts w:eastAsia="Calibri" w:cs="Tahoma"/>
          <w:color w:val="000000"/>
          <w:szCs w:val="18"/>
        </w:rPr>
        <w:t>un numero di core per licenza per processore basato sul numero effettivo di core per processore fisico moltiplicato per il fattore core appropriato. (Nei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7A1415" w:rsidRPr="00BD7CEA">
        <w:rPr>
          <w:rFonts w:eastAsia="Calibri" w:cs="Tahoma"/>
          <w:color w:val="000000"/>
          <w:szCs w:val="18"/>
        </w:rPr>
        <w:t>’</w:t>
      </w:r>
      <w:r w:rsidRPr="00BD7CEA">
        <w:rPr>
          <w:rFonts w:eastAsia="Calibri" w:cs="Tahoma"/>
          <w:color w:val="000000"/>
          <w:szCs w:val="18"/>
        </w:rPr>
        <w:t xml:space="preserve">hardware fisico che supporta tale software appena prima della scadenza di Software Assurance utilizzando lo strumento MAP di Microsoft o un software equivalente). </w:t>
      </w:r>
    </w:p>
    <w:p w:rsidR="00A81E83" w:rsidRPr="00BD7CEA" w:rsidRDefault="00A81E83" w:rsidP="007358C5">
      <w:pPr>
        <w:numPr>
          <w:ilvl w:val="2"/>
          <w:numId w:val="52"/>
        </w:numPr>
        <w:tabs>
          <w:tab w:val="left" w:pos="2520"/>
        </w:tabs>
        <w:spacing w:after="60"/>
        <w:ind w:left="2520"/>
      </w:pPr>
      <w:r w:rsidRPr="00BD7CEA">
        <w:rPr>
          <w:rFonts w:eastAsia="Calibri" w:cs="Tahoma"/>
          <w:color w:val="000000"/>
          <w:szCs w:val="18"/>
        </w:rPr>
        <w:t>Per qualsiasi licenza per processore con la copertura Software Assurance in scadenza ceduta allo stesso server con licenza che ecceda il numero effettivo di processori fisici sul server, l</w:t>
      </w:r>
      <w:r w:rsidR="007A1415" w:rsidRPr="00BD7CEA">
        <w:rPr>
          <w:rFonts w:eastAsia="Calibri" w:cs="Tahoma"/>
          <w:color w:val="000000"/>
          <w:szCs w:val="18"/>
        </w:rPr>
        <w:t>’</w:t>
      </w:r>
      <w:r w:rsidRPr="00BD7CEA">
        <w:rPr>
          <w:rFonts w:eastAsia="Calibri" w:cs="Tahoma"/>
          <w:color w:val="000000"/>
          <w:szCs w:val="18"/>
        </w:rPr>
        <w:t>equivalenza core è di quattro core per licenza per processore.</w:t>
      </w:r>
    </w:p>
    <w:p w:rsidR="00A81E83" w:rsidRPr="00BD7CEA" w:rsidRDefault="00A81E83" w:rsidP="007358C5">
      <w:pPr>
        <w:numPr>
          <w:ilvl w:val="1"/>
          <w:numId w:val="52"/>
        </w:numPr>
        <w:tabs>
          <w:tab w:val="left" w:pos="1800"/>
        </w:tabs>
        <w:spacing w:after="60"/>
        <w:ind w:left="1800"/>
      </w:pPr>
      <w:r w:rsidRPr="00BD7CEA">
        <w:rPr>
          <w:rFonts w:eastAsia="Calibri" w:cs="Tahoma"/>
          <w:color w:val="000000"/>
          <w:szCs w:val="18"/>
        </w:rPr>
        <w:t xml:space="preserve">Le società </w:t>
      </w:r>
      <w:r w:rsidRPr="00BD7CEA">
        <w:rPr>
          <w:rFonts w:eastAsia="Calibri" w:cs="Tahoma"/>
          <w:szCs w:val="18"/>
        </w:rPr>
        <w:t>potranno riassegnare le licenze a un altro server. Tuttavia, qualora la società riassegni una licenza a un altro server, dovrà attenersi ai diritti sull</w:t>
      </w:r>
      <w:r w:rsidR="007A1415" w:rsidRPr="00BD7CEA">
        <w:rPr>
          <w:rFonts w:eastAsia="Calibri" w:cs="Tahoma"/>
          <w:szCs w:val="18"/>
        </w:rPr>
        <w:t>’</w:t>
      </w:r>
      <w:r w:rsidRPr="00BD7CEA">
        <w:rPr>
          <w:rFonts w:eastAsia="Calibri" w:cs="Tahoma"/>
          <w:szCs w:val="18"/>
        </w:rPr>
        <w:t>utilizzo di SQL Server 2012. Quando cede licenze core a server ai sensi dei diritti sull</w:t>
      </w:r>
      <w:r w:rsidR="007A1415" w:rsidRPr="00BD7CEA">
        <w:rPr>
          <w:rFonts w:eastAsia="Calibri" w:cs="Tahoma"/>
          <w:szCs w:val="18"/>
        </w:rPr>
        <w:t>’</w:t>
      </w:r>
      <w:r w:rsidRPr="00BD7CEA">
        <w:rPr>
          <w:rFonts w:eastAsia="Calibri" w:cs="Tahoma"/>
          <w:szCs w:val="18"/>
        </w:rPr>
        <w:t>utilizzo per SQL 2012, la società potrà combinare l</w:t>
      </w:r>
      <w:r w:rsidR="007A1415" w:rsidRPr="00BD7CEA">
        <w:rPr>
          <w:rFonts w:eastAsia="Calibri" w:cs="Tahoma"/>
          <w:szCs w:val="18"/>
        </w:rPr>
        <w:t>’</w:t>
      </w:r>
      <w:r w:rsidRPr="00BD7CEA">
        <w:rPr>
          <w:rFonts w:eastAsia="Calibri" w:cs="Tahoma"/>
          <w:szCs w:val="18"/>
        </w:rPr>
        <w:t>equivalenza core delle licenze esistenti con le licenze core per SQL Server 2012 aggiuntive.</w:t>
      </w:r>
    </w:p>
    <w:p w:rsidR="00A81E83" w:rsidRPr="00BD7CEA" w:rsidRDefault="00A81E83" w:rsidP="007358C5">
      <w:pPr>
        <w:numPr>
          <w:ilvl w:val="1"/>
          <w:numId w:val="52"/>
        </w:numPr>
        <w:tabs>
          <w:tab w:val="left" w:pos="1800"/>
          <w:tab w:val="left" w:pos="2970"/>
        </w:tabs>
        <w:spacing w:after="60"/>
        <w:ind w:left="1800"/>
      </w:pPr>
      <w:r w:rsidRPr="00BD7CEA">
        <w:rPr>
          <w:rFonts w:eastAsia="Calibri" w:cs="Tahoma"/>
          <w:color w:val="000000"/>
          <w:szCs w:val="18"/>
        </w:rPr>
        <w:t>L</w:t>
      </w:r>
      <w:r w:rsidR="007A1415" w:rsidRPr="00BD7CEA">
        <w:rPr>
          <w:rFonts w:eastAsia="Calibri" w:cs="Tahoma"/>
          <w:color w:val="000000"/>
          <w:szCs w:val="18"/>
        </w:rPr>
        <w:t>’</w:t>
      </w:r>
      <w:r w:rsidRPr="00BD7CEA">
        <w:rPr>
          <w:rFonts w:eastAsia="Calibri" w:cs="Tahoma"/>
          <w:color w:val="000000"/>
          <w:szCs w:val="18"/>
        </w:rPr>
        <w:t>equivalenza di licenze core stimata delle società non implica che esse possano cedere una licenza singola per processore a core attraverso due o più processori.</w:t>
      </w:r>
    </w:p>
    <w:p w:rsidR="00204D6D" w:rsidRPr="00BD7CEA" w:rsidRDefault="00204D6D" w:rsidP="00204D6D">
      <w:pPr>
        <w:tabs>
          <w:tab w:val="left" w:pos="1800"/>
          <w:tab w:val="left" w:pos="2970"/>
        </w:tabs>
      </w:pPr>
    </w:p>
    <w:p w:rsidR="00204D6D" w:rsidRPr="00BD7CEA" w:rsidRDefault="00A81E83" w:rsidP="00204D6D">
      <w:pPr>
        <w:tabs>
          <w:tab w:val="left" w:pos="720"/>
        </w:tabs>
        <w:spacing w:after="60"/>
        <w:ind w:left="720"/>
      </w:pPr>
      <w:r w:rsidRPr="00BD7CEA">
        <w:rPr>
          <w:rFonts w:eastAsia="Calibri" w:cs="Tahoma"/>
          <w:b/>
          <w:color w:val="000000"/>
          <w:szCs w:val="18"/>
        </w:rPr>
        <w:t>Per le Società con copertura Software Assurance in scadenza in data 1 aprile 2015 o successiva che scelgono di non effettuare il rinnovo</w:t>
      </w:r>
    </w:p>
    <w:p w:rsidR="00A81E83" w:rsidRPr="00BD7CEA" w:rsidRDefault="00A81E83" w:rsidP="00204D6D">
      <w:pPr>
        <w:tabs>
          <w:tab w:val="left" w:pos="720"/>
        </w:tabs>
        <w:ind w:left="720"/>
      </w:pPr>
      <w:r w:rsidRPr="00BD7CEA">
        <w:rPr>
          <w:rFonts w:eastAsia="Calibri" w:cs="Tahoma"/>
          <w:color w:val="000000"/>
          <w:szCs w:val="18"/>
        </w:rPr>
        <w:t xml:space="preserve">Alle società titolari di contratti Enterprise Subscription </w:t>
      </w:r>
      <w:r w:rsidRPr="00BD7CEA">
        <w:rPr>
          <w:rFonts w:cs="Tahoma"/>
          <w:bCs/>
          <w:color w:val="000000"/>
          <w:szCs w:val="18"/>
        </w:rPr>
        <w:t xml:space="preserve">e Open Value Subscription </w:t>
      </w:r>
      <w:r w:rsidRPr="00BD7CEA">
        <w:rPr>
          <w:rFonts w:eastAsia="Calibri" w:cs="Tahoma"/>
          <w:color w:val="000000"/>
          <w:szCs w:val="18"/>
        </w:rPr>
        <w:t xml:space="preserve">con copertura in scadenza in data 1 aprile 2015 o successiva che scelgono di effettuare il buy-out delle licenze per processore e alle altre società che acquistano licenze perpetue ai sensi del loro contratto verranno offerte le seguenti opzioni: </w:t>
      </w:r>
    </w:p>
    <w:p w:rsidR="00204D6D" w:rsidRPr="00BD7CEA" w:rsidRDefault="00204D6D" w:rsidP="00204D6D">
      <w:pPr>
        <w:tabs>
          <w:tab w:val="left" w:pos="720"/>
        </w:tabs>
        <w:ind w:left="720"/>
      </w:pPr>
    </w:p>
    <w:p w:rsidR="00A81E83" w:rsidRPr="00BD7CEA" w:rsidRDefault="00A81E83" w:rsidP="007358C5">
      <w:pPr>
        <w:numPr>
          <w:ilvl w:val="0"/>
          <w:numId w:val="138"/>
        </w:numPr>
        <w:spacing w:after="60"/>
        <w:ind w:left="1440"/>
      </w:pPr>
      <w:r w:rsidRPr="00333F2F">
        <w:rPr>
          <w:rFonts w:eastAsia="Calibri" w:cs="Tahoma"/>
          <w:szCs w:val="18"/>
        </w:rPr>
        <w:t xml:space="preserve">come stabilito nel primo paragrafo di questa nota relativa al prodotto, le licenze acquistate prima del 1 aprile 2015 sono licenze qualificanti e le società potranno continuare a utilizzare SQL Server 2012 in base alle condizioni riportate nel precedente Articolo “Per le società con copertura Software Assurance in scadenza prima del 1 aprile 2015 che scelgono di non effettuare il rinnovo” e </w:t>
      </w:r>
    </w:p>
    <w:p w:rsidR="00A81E83" w:rsidRPr="00BD7CEA" w:rsidRDefault="00A81E83" w:rsidP="007358C5">
      <w:pPr>
        <w:numPr>
          <w:ilvl w:val="0"/>
          <w:numId w:val="138"/>
        </w:numPr>
        <w:spacing w:after="60"/>
        <w:ind w:left="1440"/>
      </w:pPr>
      <w:r w:rsidRPr="00BD7CEA">
        <w:rPr>
          <w:rFonts w:eastAsia="Calibri" w:cs="Tahoma"/>
          <w:szCs w:val="18"/>
        </w:rPr>
        <w:t>per le licenze acquistate dopo il 1 aprile 2015 la licenza per processore delle società avrà un</w:t>
      </w:r>
      <w:r w:rsidR="007A1415" w:rsidRPr="00BD7CEA">
        <w:rPr>
          <w:rFonts w:eastAsia="Calibri" w:cs="Tahoma"/>
          <w:szCs w:val="18"/>
        </w:rPr>
        <w:t>’</w:t>
      </w:r>
      <w:r w:rsidRPr="00BD7CEA">
        <w:rPr>
          <w:rFonts w:eastAsia="Calibri" w:cs="Tahoma"/>
          <w:szCs w:val="18"/>
        </w:rPr>
        <w:t>equivalenza core di quattro licenze core Enterprise per SQL Server 2012. Per l</w:t>
      </w:r>
      <w:r w:rsidR="007A1415" w:rsidRPr="00BD7CEA">
        <w:rPr>
          <w:rFonts w:eastAsia="Calibri" w:cs="Tahoma"/>
          <w:szCs w:val="18"/>
        </w:rPr>
        <w:t>’</w:t>
      </w:r>
      <w:r w:rsidRPr="00BD7CEA">
        <w:rPr>
          <w:rFonts w:eastAsia="Calibri" w:cs="Tahoma"/>
          <w:szCs w:val="18"/>
        </w:rPr>
        <w:t>utilizzo continuativo di SQL Server 2012 su processori che richiedono più di quattro licenze core per</w:t>
      </w:r>
      <w:r w:rsidR="00B751F4" w:rsidRPr="00BD7CEA">
        <w:rPr>
          <w:rFonts w:eastAsia="Calibri" w:cs="Tahoma"/>
          <w:szCs w:val="18"/>
        </w:rPr>
        <w:t> </w:t>
      </w:r>
      <w:r w:rsidRPr="00BD7CEA">
        <w:rPr>
          <w:rFonts w:eastAsia="Calibri" w:cs="Tahoma"/>
          <w:szCs w:val="18"/>
        </w:rPr>
        <w:t>processore la società deve acquistare le licenze core aggiuntive.</w:t>
      </w:r>
    </w:p>
    <w:p w:rsidR="00204D6D" w:rsidRPr="00BD7CEA" w:rsidRDefault="00204D6D" w:rsidP="00204D6D">
      <w:pPr>
        <w:ind w:left="1440"/>
      </w:pPr>
    </w:p>
    <w:p w:rsidR="00204D6D" w:rsidRPr="00BD7CEA" w:rsidRDefault="00A81E83" w:rsidP="00204D6D">
      <w:pPr>
        <w:tabs>
          <w:tab w:val="left" w:pos="720"/>
        </w:tabs>
        <w:spacing w:after="60"/>
        <w:ind w:left="720"/>
      </w:pPr>
      <w:r w:rsidRPr="00BD7CEA">
        <w:rPr>
          <w:b/>
        </w:rPr>
        <w:t>Per le società con sede nella Repubblica popolare</w:t>
      </w:r>
      <w:r w:rsidRPr="00BD7CEA">
        <w:t xml:space="preserve"> </w:t>
      </w:r>
      <w:r w:rsidRPr="00BD7CEA">
        <w:rPr>
          <w:b/>
        </w:rPr>
        <w:t>cinese, dove acquistano licenze per processore e Software Assurance per SQL Server 2008 R2</w:t>
      </w:r>
    </w:p>
    <w:p w:rsidR="00A81E83" w:rsidRPr="00BD7CEA" w:rsidRDefault="00A81E83" w:rsidP="00204D6D">
      <w:pPr>
        <w:tabs>
          <w:tab w:val="left" w:pos="720"/>
        </w:tabs>
        <w:ind w:left="720"/>
      </w:pPr>
      <w:r w:rsidRPr="00BD7CEA">
        <w:t>Non si applicano i riferimenti al 1 aprile 2012 e al 1 aprile 2015 presenti in questa nota relativa alla lista dei prodotti. Le date applicabili per queste società sarebbero rispettivamente il 1 luglio 2012 e il 1 luglio 2015.</w:t>
      </w:r>
    </w:p>
    <w:p w:rsidR="006E28CC" w:rsidRPr="00BD7CEA" w:rsidRDefault="006E28CC" w:rsidP="00204D6D">
      <w:pPr>
        <w:tabs>
          <w:tab w:val="left" w:pos="720"/>
        </w:tabs>
        <w:ind w:left="720"/>
      </w:pPr>
    </w:p>
    <w:p w:rsidR="006E28CC" w:rsidRPr="00BD7CEA" w:rsidRDefault="006E28CC" w:rsidP="00204D6D">
      <w:pPr>
        <w:tabs>
          <w:tab w:val="left" w:pos="720"/>
        </w:tabs>
        <w:ind w:left="720"/>
      </w:pPr>
    </w:p>
    <w:p w:rsidR="00B751F4" w:rsidRPr="00BD7CEA" w:rsidRDefault="00B751F4" w:rsidP="00204D6D">
      <w:pPr>
        <w:tabs>
          <w:tab w:val="left" w:pos="720"/>
        </w:tabs>
        <w:ind w:left="720"/>
      </w:pPr>
    </w:p>
    <w:p w:rsidR="00B751F4" w:rsidRPr="00BD7CEA" w:rsidRDefault="00B751F4" w:rsidP="00204D6D">
      <w:pPr>
        <w:tabs>
          <w:tab w:val="left" w:pos="720"/>
        </w:tabs>
        <w:ind w:left="720"/>
      </w:pPr>
    </w:p>
    <w:p w:rsidR="00B751F4" w:rsidRPr="00BD7CEA" w:rsidRDefault="00B751F4" w:rsidP="00204D6D">
      <w:pPr>
        <w:tabs>
          <w:tab w:val="left" w:pos="720"/>
        </w:tabs>
        <w:ind w:left="720"/>
      </w:pPr>
    </w:p>
    <w:p w:rsidR="00B751F4" w:rsidRPr="00BD7CEA" w:rsidRDefault="00B751F4" w:rsidP="00204D6D">
      <w:pPr>
        <w:tabs>
          <w:tab w:val="left" w:pos="720"/>
        </w:tabs>
        <w:ind w:left="720"/>
      </w:pPr>
    </w:p>
    <w:p w:rsidR="00B751F4" w:rsidRPr="00BD7CEA" w:rsidRDefault="00B751F4" w:rsidP="00204D6D">
      <w:pPr>
        <w:tabs>
          <w:tab w:val="left" w:pos="720"/>
        </w:tabs>
        <w:ind w:left="720"/>
      </w:pPr>
    </w:p>
    <w:p w:rsidR="00B751F4" w:rsidRPr="00BD7CEA" w:rsidRDefault="00B751F4" w:rsidP="00204D6D">
      <w:pPr>
        <w:tabs>
          <w:tab w:val="left" w:pos="720"/>
        </w:tabs>
        <w:ind w:left="720"/>
      </w:pPr>
    </w:p>
    <w:p w:rsidR="00B751F4" w:rsidRPr="00BD7CEA" w:rsidRDefault="00B751F4" w:rsidP="00204D6D">
      <w:pPr>
        <w:tabs>
          <w:tab w:val="left" w:pos="720"/>
        </w:tabs>
        <w:ind w:left="720"/>
      </w:pPr>
    </w:p>
    <w:p w:rsidR="00B751F4" w:rsidRPr="00BD7CEA" w:rsidRDefault="00B751F4" w:rsidP="00204D6D">
      <w:pPr>
        <w:tabs>
          <w:tab w:val="left" w:pos="720"/>
        </w:tabs>
        <w:ind w:left="720"/>
      </w:pPr>
    </w:p>
    <w:p w:rsidR="006E28CC" w:rsidRPr="00BD7CEA" w:rsidRDefault="00F66FB0" w:rsidP="006E28CC">
      <w:pPr>
        <w:pStyle w:val="Heading3"/>
      </w:pPr>
      <w:bookmarkStart w:id="1460" w:name="_80_SQL_Server"/>
      <w:bookmarkStart w:id="1461" w:name="_81_SQL_Server"/>
      <w:bookmarkStart w:id="1462" w:name="_82_SQL_Server"/>
      <w:bookmarkStart w:id="1463" w:name="_Toc353376120"/>
      <w:bookmarkEnd w:id="1460"/>
      <w:bookmarkEnd w:id="1461"/>
      <w:bookmarkEnd w:id="1462"/>
      <w:r w:rsidRPr="00BD7CEA">
        <w:rPr>
          <w:rFonts w:ascii="Tahoma" w:hAnsi="Tahoma"/>
          <w:caps/>
          <w:color w:val="F66400"/>
          <w:sz w:val="22"/>
          <w:vertAlign w:val="superscript"/>
        </w:rPr>
        <w:lastRenderedPageBreak/>
        <w:t>82</w:t>
      </w:r>
      <w:r w:rsidRPr="00BD7CEA">
        <w:rPr>
          <w:rFonts w:ascii="Tahoma" w:hAnsi="Tahoma"/>
          <w:color w:val="F66400"/>
          <w:sz w:val="22"/>
        </w:rPr>
        <w:t xml:space="preserve"> SQL Server</w:t>
      </w:r>
      <w:r w:rsidR="00700C4B" w:rsidRPr="00BD7CEA">
        <w:rPr>
          <w:rFonts w:ascii="Tahoma" w:hAnsi="Tahoma"/>
          <w:color w:val="F66400"/>
          <w:sz w:val="22"/>
          <w:vertAlign w:val="superscript"/>
        </w:rPr>
        <w:t>®</w:t>
      </w:r>
      <w:r w:rsidRPr="00BD7CEA">
        <w:rPr>
          <w:rFonts w:ascii="Tahoma" w:hAnsi="Tahoma"/>
          <w:color w:val="F66400"/>
          <w:sz w:val="22"/>
        </w:rPr>
        <w:t xml:space="preserve"> 2012 Parallel Data Warehouse</w:t>
      </w:r>
      <w:bookmarkEnd w:id="1463"/>
    </w:p>
    <w:p w:rsidR="006E28CC" w:rsidRPr="002E5D67" w:rsidRDefault="006E28CC" w:rsidP="006E28CC">
      <w:pPr>
        <w:pStyle w:val="EndnoteText"/>
        <w:rPr>
          <w:rFonts w:ascii="Tahoma" w:hAnsi="Tahoma" w:cs="Tahoma"/>
          <w:sz w:val="18"/>
          <w:szCs w:val="18"/>
        </w:rPr>
      </w:pPr>
    </w:p>
    <w:p w:rsidR="000A30EE" w:rsidRPr="00BD7CEA" w:rsidRDefault="000A30EE" w:rsidP="000A30EE">
      <w:pPr>
        <w:spacing w:after="60"/>
        <w:ind w:left="720"/>
      </w:pPr>
      <w:r w:rsidRPr="00BD7CEA">
        <w:rPr>
          <w:rFonts w:eastAsia="Calibri" w:cs="Tahoma"/>
          <w:b/>
          <w:color w:val="000000"/>
          <w:szCs w:val="18"/>
        </w:rPr>
        <w:t>Concessioni di Licenza Associate alla Variazione del Modello di Licenza</w:t>
      </w:r>
    </w:p>
    <w:p w:rsidR="000A30EE" w:rsidRPr="00BD7CEA" w:rsidRDefault="000A30EE" w:rsidP="000A30EE">
      <w:pPr>
        <w:ind w:left="720"/>
      </w:pPr>
      <w:r w:rsidRPr="00BD7CEA">
        <w:rPr>
          <w:rFonts w:eastAsia="Calibri" w:cs="Tahoma"/>
          <w:color w:val="000000"/>
          <w:szCs w:val="18"/>
        </w:rPr>
        <w:t>SQL Server 2008 R2 sarà l</w:t>
      </w:r>
      <w:r w:rsidR="007A1415" w:rsidRPr="00BD7CEA">
        <w:rPr>
          <w:rFonts w:eastAsia="Calibri" w:cs="Tahoma"/>
          <w:color w:val="000000"/>
          <w:szCs w:val="18"/>
        </w:rPr>
        <w:t>’</w:t>
      </w:r>
      <w:r w:rsidRPr="00BD7CEA">
        <w:rPr>
          <w:rFonts w:eastAsia="Calibri" w:cs="Tahoma"/>
          <w:color w:val="000000"/>
          <w:szCs w:val="18"/>
        </w:rPr>
        <w:t>ultima versione di SQL Server Parallel Data Warehouse concessa in licenza ai</w:t>
      </w:r>
      <w:r w:rsidR="00B751F4" w:rsidRPr="00BD7CEA">
        <w:rPr>
          <w:rFonts w:eastAsia="Calibri" w:cs="Tahoma"/>
          <w:color w:val="000000"/>
          <w:szCs w:val="18"/>
        </w:rPr>
        <w:t> </w:t>
      </w:r>
      <w:r w:rsidRPr="00BD7CEA">
        <w:rPr>
          <w:rFonts w:eastAsia="Calibri" w:cs="Tahoma"/>
          <w:color w:val="000000"/>
          <w:szCs w:val="18"/>
        </w:rPr>
        <w:t>sensi del modello di licenza per processore.</w:t>
      </w:r>
      <w:r w:rsidR="008D782D" w:rsidRPr="00BD7CEA">
        <w:rPr>
          <w:rFonts w:eastAsia="Calibri" w:cs="Tahoma"/>
          <w:color w:val="000000"/>
          <w:szCs w:val="18"/>
        </w:rPr>
        <w:t xml:space="preserve"> </w:t>
      </w:r>
      <w:r w:rsidRPr="00BD7CEA">
        <w:rPr>
          <w:rFonts w:eastAsia="Calibri" w:cs="Tahoma"/>
          <w:color w:val="000000"/>
          <w:szCs w:val="18"/>
        </w:rPr>
        <w:t>In via eccezionale, alle società con contratti multilicenza e</w:t>
      </w:r>
      <w:r w:rsidR="00B751F4" w:rsidRPr="00BD7CEA">
        <w:rPr>
          <w:rFonts w:eastAsia="Calibri" w:cs="Tahoma"/>
          <w:color w:val="000000"/>
          <w:szCs w:val="18"/>
        </w:rPr>
        <w:t> </w:t>
      </w:r>
      <w:r w:rsidRPr="00BD7CEA">
        <w:rPr>
          <w:rFonts w:eastAsia="Calibri" w:cs="Tahoma"/>
          <w:color w:val="000000"/>
          <w:szCs w:val="18"/>
        </w:rPr>
        <w:t xml:space="preserve">copertura Software Assurance attiva per le licenze per SQL Server 2008 R2 Parallel Data Warehouse in data 1 marzo 2013 (“licenze qualificanti”) vengono offerte le opzioni che seguono. Le licenze per SQL Server 2008 R2 Parallel Data Warehouse </w:t>
      </w:r>
      <w:r w:rsidRPr="00BD7CEA">
        <w:rPr>
          <w:rFonts w:cs="Tahoma"/>
          <w:bCs/>
          <w:color w:val="000000"/>
          <w:szCs w:val="18"/>
        </w:rPr>
        <w:t>acquistate successivamente nello stesso periodo di validità dell</w:t>
      </w:r>
      <w:r w:rsidR="007A1415" w:rsidRPr="00BD7CEA">
        <w:rPr>
          <w:rFonts w:cs="Tahoma"/>
          <w:bCs/>
          <w:color w:val="000000"/>
          <w:szCs w:val="18"/>
        </w:rPr>
        <w:t>’</w:t>
      </w:r>
      <w:r w:rsidRPr="00BD7CEA">
        <w:rPr>
          <w:rFonts w:cs="Tahoma"/>
          <w:bCs/>
          <w:color w:val="000000"/>
          <w:szCs w:val="18"/>
        </w:rPr>
        <w:t>iscrizione nell</w:t>
      </w:r>
      <w:r w:rsidR="007A1415" w:rsidRPr="00BD7CEA">
        <w:rPr>
          <w:rFonts w:cs="Tahoma"/>
          <w:bCs/>
          <w:color w:val="000000"/>
          <w:szCs w:val="18"/>
        </w:rPr>
        <w:t>’</w:t>
      </w:r>
      <w:r w:rsidRPr="00BD7CEA">
        <w:rPr>
          <w:rFonts w:cs="Tahoma"/>
          <w:bCs/>
          <w:color w:val="000000"/>
          <w:szCs w:val="18"/>
        </w:rPr>
        <w:t>ambito di una procedura pianificata di true-up della società Enterprise o Enterprise Subscription sono anch</w:t>
      </w:r>
      <w:r w:rsidR="007A1415" w:rsidRPr="00BD7CEA">
        <w:rPr>
          <w:rFonts w:cs="Tahoma"/>
          <w:bCs/>
          <w:color w:val="000000"/>
          <w:szCs w:val="18"/>
        </w:rPr>
        <w:t>’</w:t>
      </w:r>
      <w:r w:rsidRPr="00BD7CEA">
        <w:rPr>
          <w:rFonts w:cs="Tahoma"/>
          <w:bCs/>
          <w:color w:val="000000"/>
          <w:szCs w:val="18"/>
        </w:rPr>
        <w:t>esse licenze qualificanti per gli scopi previsti da tali opzioni.</w:t>
      </w:r>
    </w:p>
    <w:p w:rsidR="000A30EE" w:rsidRPr="00BD7CEA" w:rsidRDefault="000A30EE" w:rsidP="000A30EE">
      <w:pPr>
        <w:ind w:left="720"/>
      </w:pPr>
    </w:p>
    <w:p w:rsidR="000A30EE" w:rsidRPr="00BD7CEA" w:rsidRDefault="000A30EE" w:rsidP="007358C5">
      <w:pPr>
        <w:numPr>
          <w:ilvl w:val="0"/>
          <w:numId w:val="52"/>
        </w:numPr>
        <w:spacing w:after="60"/>
        <w:ind w:left="1440"/>
      </w:pPr>
      <w:r w:rsidRPr="00BD7CEA">
        <w:rPr>
          <w:rFonts w:eastAsia="Calibri" w:cs="Tahoma"/>
          <w:color w:val="000000"/>
          <w:szCs w:val="18"/>
        </w:rPr>
        <w:t>Per ogni licenza qualificante in suo possesso, la società potrà eseguire l</w:t>
      </w:r>
      <w:r w:rsidR="007A1415" w:rsidRPr="00BD7CEA">
        <w:rPr>
          <w:rFonts w:eastAsia="Calibri" w:cs="Tahoma"/>
          <w:color w:val="000000"/>
          <w:szCs w:val="18"/>
        </w:rPr>
        <w:t>’</w:t>
      </w:r>
      <w:r w:rsidRPr="00BD7CEA">
        <w:rPr>
          <w:rFonts w:eastAsia="Calibri" w:cs="Tahoma"/>
          <w:color w:val="000000"/>
          <w:szCs w:val="18"/>
        </w:rPr>
        <w:t>aggiornamento a 8 licenze core per SQL Server 2012 Parallel Data Warehouse. Eseguendo l</w:t>
      </w:r>
      <w:r w:rsidR="007A1415" w:rsidRPr="00BD7CEA">
        <w:rPr>
          <w:rFonts w:eastAsia="Calibri" w:cs="Tahoma"/>
          <w:color w:val="000000"/>
          <w:szCs w:val="18"/>
        </w:rPr>
        <w:t>’</w:t>
      </w:r>
      <w:r w:rsidRPr="00BD7CEA">
        <w:rPr>
          <w:rFonts w:eastAsia="Calibri" w:cs="Tahoma"/>
          <w:color w:val="000000"/>
          <w:szCs w:val="18"/>
        </w:rPr>
        <w:t>aggiornamento a SQL Server 2012, le licenze per SQL Server 2008 R2 sottostanti delle società non saranno più valide.</w:t>
      </w:r>
    </w:p>
    <w:p w:rsidR="000A30EE" w:rsidRPr="00BD7CEA" w:rsidRDefault="000A30EE" w:rsidP="000A30EE"/>
    <w:p w:rsidR="000A30EE" w:rsidRPr="00BD7CEA" w:rsidRDefault="000A30EE" w:rsidP="000A30EE">
      <w:pPr>
        <w:spacing w:after="60"/>
        <w:ind w:left="720"/>
      </w:pPr>
      <w:r w:rsidRPr="00BD7CEA">
        <w:rPr>
          <w:rFonts w:eastAsia="Calibri" w:cs="Tahoma"/>
          <w:b/>
          <w:color w:val="000000"/>
          <w:szCs w:val="18"/>
        </w:rPr>
        <w:t>Concessione di Licenza Standard per System Center</w:t>
      </w:r>
    </w:p>
    <w:p w:rsidR="000A30EE" w:rsidRPr="00BD7CEA" w:rsidRDefault="000A30EE" w:rsidP="000A30EE">
      <w:pPr>
        <w:spacing w:after="60"/>
        <w:ind w:left="720"/>
      </w:pPr>
      <w:r w:rsidRPr="00BD7CEA">
        <w:rPr>
          <w:rFonts w:eastAsia="Calibri" w:cs="Tahoma"/>
          <w:color w:val="000000"/>
          <w:szCs w:val="18"/>
        </w:rPr>
        <w:t>Le società che eseguono l</w:t>
      </w:r>
      <w:r w:rsidR="007A1415" w:rsidRPr="00BD7CEA">
        <w:rPr>
          <w:rFonts w:eastAsia="Calibri" w:cs="Tahoma"/>
          <w:color w:val="000000"/>
          <w:szCs w:val="18"/>
        </w:rPr>
        <w:t>’</w:t>
      </w:r>
      <w:r w:rsidRPr="00BD7CEA">
        <w:rPr>
          <w:rFonts w:eastAsia="Calibri" w:cs="Tahoma"/>
          <w:color w:val="000000"/>
          <w:szCs w:val="18"/>
        </w:rPr>
        <w:t>aggiornamento a SQL Server 2012 Parallel Data Warehouse ai sensi delle licenze qualificanti saranno inoltre idonee alle seguenti concessioni di licenza per System Center:</w:t>
      </w:r>
    </w:p>
    <w:p w:rsidR="000A30EE" w:rsidRPr="00BD7CEA" w:rsidRDefault="000A30EE" w:rsidP="007358C5">
      <w:pPr>
        <w:numPr>
          <w:ilvl w:val="0"/>
          <w:numId w:val="52"/>
        </w:numPr>
        <w:spacing w:after="60"/>
        <w:ind w:left="1440"/>
      </w:pPr>
      <w:r w:rsidRPr="00BD7CEA">
        <w:rPr>
          <w:rFonts w:eastAsia="Calibri" w:cs="Tahoma"/>
          <w:color w:val="000000"/>
          <w:szCs w:val="18"/>
        </w:rPr>
        <w:t>una licenza Standard per System Center 2012 per server per ogni server su cui è in esecuzione il</w:t>
      </w:r>
      <w:r w:rsidR="00B751F4" w:rsidRPr="00BD7CEA">
        <w:rPr>
          <w:rFonts w:eastAsia="Calibri" w:cs="Tahoma"/>
          <w:color w:val="000000"/>
          <w:szCs w:val="18"/>
        </w:rPr>
        <w:t> </w:t>
      </w:r>
      <w:r w:rsidRPr="00BD7CEA">
        <w:rPr>
          <w:rFonts w:eastAsia="Calibri" w:cs="Tahoma"/>
          <w:color w:val="000000"/>
          <w:szCs w:val="18"/>
        </w:rPr>
        <w:t>software SQL Server 2012 Parallel Data Warehouse</w:t>
      </w:r>
    </w:p>
    <w:p w:rsidR="000A30EE" w:rsidRPr="00BD7CEA" w:rsidRDefault="000A30EE" w:rsidP="007358C5">
      <w:pPr>
        <w:numPr>
          <w:ilvl w:val="0"/>
          <w:numId w:val="52"/>
        </w:numPr>
        <w:spacing w:after="60"/>
        <w:ind w:left="1440"/>
      </w:pPr>
      <w:r w:rsidRPr="00BD7CEA">
        <w:rPr>
          <w:rFonts w:eastAsia="Calibri" w:cs="Tahoma"/>
          <w:color w:val="000000"/>
          <w:szCs w:val="18"/>
        </w:rPr>
        <w:t>due licenze Standard per System Center 2012 per server per tutti i server restanti dell</w:t>
      </w:r>
      <w:r w:rsidR="007A1415" w:rsidRPr="00BD7CEA">
        <w:rPr>
          <w:rFonts w:eastAsia="Calibri" w:cs="Tahoma"/>
          <w:color w:val="000000"/>
          <w:szCs w:val="18"/>
        </w:rPr>
        <w:t>’</w:t>
      </w:r>
      <w:r w:rsidRPr="00BD7CEA">
        <w:rPr>
          <w:rFonts w:eastAsia="Calibri" w:cs="Tahoma"/>
          <w:color w:val="000000"/>
          <w:szCs w:val="18"/>
        </w:rPr>
        <w:t>Applicazione SQL Server 2012 Parallel Data Warehouse.</w:t>
      </w:r>
    </w:p>
    <w:p w:rsidR="000A30EE" w:rsidRPr="00BD7CEA" w:rsidRDefault="000A30EE" w:rsidP="002E5D67">
      <w:pPr>
        <w:spacing w:after="60"/>
        <w:ind w:left="720"/>
      </w:pPr>
      <w:r w:rsidRPr="00BD7CEA">
        <w:rPr>
          <w:rFonts w:eastAsia="Calibri" w:cs="Tahoma"/>
          <w:color w:val="000000"/>
          <w:szCs w:val="18"/>
        </w:rPr>
        <w:t>Il software potrà essere utilizzato esclusivamente per supportare l</w:t>
      </w:r>
      <w:r w:rsidR="007A1415" w:rsidRPr="00BD7CEA">
        <w:rPr>
          <w:rFonts w:eastAsia="Calibri" w:cs="Tahoma"/>
          <w:color w:val="000000"/>
          <w:szCs w:val="18"/>
        </w:rPr>
        <w:t>’</w:t>
      </w:r>
      <w:r w:rsidRPr="00BD7CEA">
        <w:rPr>
          <w:rFonts w:eastAsia="Calibri" w:cs="Tahoma"/>
          <w:color w:val="000000"/>
          <w:szCs w:val="18"/>
        </w:rPr>
        <w:t>Applicazione SQL Server 2012 Parallel Data Warehouse.</w:t>
      </w:r>
    </w:p>
    <w:p w:rsidR="000A30EE" w:rsidRPr="00BD7CEA" w:rsidRDefault="000A30EE" w:rsidP="000A30EE">
      <w:pPr>
        <w:spacing w:after="60"/>
        <w:ind w:firstLine="720"/>
      </w:pPr>
    </w:p>
    <w:p w:rsidR="000A30EE" w:rsidRPr="00BD7CEA" w:rsidRDefault="000A30EE" w:rsidP="000A30EE">
      <w:pPr>
        <w:tabs>
          <w:tab w:val="left" w:pos="1440"/>
        </w:tabs>
        <w:spacing w:after="60"/>
        <w:ind w:left="720"/>
      </w:pPr>
      <w:r w:rsidRPr="00BD7CEA">
        <w:rPr>
          <w:rFonts w:eastAsia="Calibri" w:cs="Tahoma"/>
          <w:b/>
          <w:color w:val="000000"/>
          <w:szCs w:val="18"/>
        </w:rPr>
        <w:t>Per le Società con copertura Software Assurance che scelgono di non effettuare il rinnovo</w:t>
      </w:r>
    </w:p>
    <w:p w:rsidR="000A30EE" w:rsidRPr="00BD7CEA" w:rsidRDefault="000A30EE" w:rsidP="000A30EE">
      <w:pPr>
        <w:tabs>
          <w:tab w:val="left" w:pos="1440"/>
        </w:tabs>
        <w:ind w:left="720"/>
      </w:pPr>
      <w:r w:rsidRPr="00BD7CEA">
        <w:rPr>
          <w:rFonts w:eastAsia="Calibri" w:cs="Tahoma"/>
          <w:color w:val="000000"/>
          <w:szCs w:val="18"/>
        </w:rPr>
        <w:t>Le società titolari di contratti Enterprise Subscription con copertura a partire dal 1 marzo 2013 che scelgono di effettuare il buy-out delle licenze per processore e altre società che acquistano licenze perpetue qualificanti ai sensi del loro contratto e scelgono di non rinnovare Software Assurance potranno eseguire</w:t>
      </w:r>
      <w:r w:rsidR="00E63A2B" w:rsidRPr="00BD7CEA">
        <w:rPr>
          <w:rFonts w:eastAsia="Calibri" w:cs="Tahoma"/>
          <w:color w:val="000000"/>
          <w:szCs w:val="18"/>
        </w:rPr>
        <w:t> </w:t>
      </w:r>
      <w:r w:rsidRPr="00BD7CEA">
        <w:rPr>
          <w:rFonts w:eastAsia="Calibri" w:cs="Tahoma"/>
          <w:color w:val="000000"/>
          <w:szCs w:val="18"/>
        </w:rPr>
        <w:t>SQL Server 2008 R2 o SQL Server 2012 ai sensi di tali licenze come indicato sotto:</w:t>
      </w:r>
    </w:p>
    <w:p w:rsidR="000A30EE" w:rsidRPr="00BD7CEA" w:rsidRDefault="000A30EE" w:rsidP="000A30EE">
      <w:pPr>
        <w:tabs>
          <w:tab w:val="left" w:pos="1440"/>
        </w:tabs>
        <w:ind w:left="720"/>
      </w:pPr>
    </w:p>
    <w:p w:rsidR="000A30EE" w:rsidRPr="00BD7CEA" w:rsidRDefault="000A30EE" w:rsidP="007358C5">
      <w:pPr>
        <w:numPr>
          <w:ilvl w:val="0"/>
          <w:numId w:val="52"/>
        </w:numPr>
        <w:spacing w:after="60"/>
        <w:ind w:left="1440"/>
      </w:pPr>
      <w:r w:rsidRPr="00BD7CEA">
        <w:rPr>
          <w:rFonts w:eastAsia="Calibri" w:cs="Tahoma"/>
          <w:b/>
          <w:color w:val="000000"/>
          <w:szCs w:val="18"/>
        </w:rPr>
        <w:t>SQL Server 2008 R2 Parallel Data Warehouse:</w:t>
      </w:r>
      <w:r w:rsidRPr="00BD7CEA">
        <w:rPr>
          <w:rFonts w:eastAsia="Calibri" w:cs="Tahoma"/>
          <w:color w:val="000000"/>
          <w:szCs w:val="18"/>
        </w:rPr>
        <w:t xml:space="preserve"> l</w:t>
      </w:r>
      <w:r w:rsidR="007A1415" w:rsidRPr="00BD7CEA">
        <w:rPr>
          <w:rFonts w:eastAsia="Calibri" w:cs="Tahoma"/>
          <w:color w:val="000000"/>
          <w:szCs w:val="18"/>
        </w:rPr>
        <w:t>’</w:t>
      </w:r>
      <w:r w:rsidRPr="00BD7CEA">
        <w:rPr>
          <w:rFonts w:eastAsia="Calibri" w:cs="Tahoma"/>
          <w:color w:val="000000"/>
          <w:szCs w:val="18"/>
        </w:rPr>
        <w:t xml:space="preserve">utilizzo continuativo di tale versione del software è soggetto ai diritti di utilizzo del prodotto previsti dalla licenza per SQL Server 2008 R2. </w:t>
      </w:r>
    </w:p>
    <w:p w:rsidR="000A30EE" w:rsidRPr="00BD7CEA" w:rsidRDefault="000A30EE" w:rsidP="007358C5">
      <w:pPr>
        <w:numPr>
          <w:ilvl w:val="0"/>
          <w:numId w:val="52"/>
        </w:numPr>
        <w:tabs>
          <w:tab w:val="left" w:pos="1800"/>
        </w:tabs>
        <w:spacing w:after="60"/>
        <w:ind w:left="1440"/>
      </w:pPr>
      <w:r w:rsidRPr="00BD7CEA">
        <w:rPr>
          <w:rFonts w:eastAsia="Calibri" w:cs="Tahoma"/>
          <w:b/>
          <w:color w:val="000000"/>
          <w:szCs w:val="18"/>
        </w:rPr>
        <w:t xml:space="preserve">SQL Server 2012 Parallel Data Warehouse: </w:t>
      </w:r>
      <w:r w:rsidRPr="00BD7CEA">
        <w:rPr>
          <w:rFonts w:eastAsia="Calibri" w:cs="Tahoma"/>
          <w:color w:val="000000"/>
          <w:szCs w:val="18"/>
        </w:rPr>
        <w:t>l</w:t>
      </w:r>
      <w:r w:rsidR="007A1415" w:rsidRPr="00BD7CEA">
        <w:rPr>
          <w:rFonts w:eastAsia="Calibri" w:cs="Tahoma"/>
          <w:color w:val="000000"/>
          <w:szCs w:val="18"/>
        </w:rPr>
        <w:t>’</w:t>
      </w:r>
      <w:r w:rsidRPr="00BD7CEA">
        <w:rPr>
          <w:rFonts w:eastAsia="Calibri" w:cs="Tahoma"/>
          <w:color w:val="000000"/>
          <w:szCs w:val="18"/>
        </w:rPr>
        <w:t xml:space="preserve">utilizzo continuativo di tale versione del software è soggetto ai diritti di utilizzo del prodotto previsti dalla licenza per SQL Server 2012 Parallel Data Warehouse. </w:t>
      </w:r>
    </w:p>
    <w:p w:rsidR="000A30EE" w:rsidRPr="00BD7CEA" w:rsidRDefault="000A30EE" w:rsidP="000A30EE">
      <w:pPr>
        <w:spacing w:after="60"/>
      </w:pPr>
    </w:p>
    <w:p w:rsidR="000A30EE" w:rsidRPr="00BD7CEA" w:rsidRDefault="000A30EE" w:rsidP="000A30EE">
      <w:pPr>
        <w:ind w:left="720"/>
      </w:pPr>
      <w:r w:rsidRPr="00BD7CEA">
        <w:rPr>
          <w:rFonts w:cs="Tahoma"/>
          <w:color w:val="000000"/>
          <w:szCs w:val="24"/>
        </w:rPr>
        <w:t xml:space="preserve">Tutte le licenze per SQL Server Parallel Data Warehouse e System Center concesse ai sensi della presente offerta includeranno la copertura Software Assurance. Tale copertura cesserà alla scadenza della copertura Software Assurance qualificante corrispondente. Alla scadenza della copertura, le società potranno rinnovare Software Assurance sulle licenze concesse. </w:t>
      </w:r>
    </w:p>
    <w:p w:rsidR="000A30EE" w:rsidRPr="00BD7CEA" w:rsidRDefault="000A30EE" w:rsidP="000A30EE">
      <w:pPr>
        <w:ind w:left="720"/>
      </w:pPr>
    </w:p>
    <w:p w:rsidR="000A30EE" w:rsidRPr="00BD7CEA" w:rsidRDefault="000A30EE" w:rsidP="000A30EE">
      <w:pPr>
        <w:ind w:left="720"/>
      </w:pPr>
      <w:r w:rsidRPr="00BD7CEA">
        <w:rPr>
          <w:rFonts w:cs="Tahoma"/>
          <w:color w:val="000000"/>
          <w:szCs w:val="24"/>
        </w:rPr>
        <w:t>L</w:t>
      </w:r>
      <w:r w:rsidR="007A1415" w:rsidRPr="00BD7CEA">
        <w:rPr>
          <w:rFonts w:cs="Tahoma"/>
          <w:color w:val="000000"/>
          <w:szCs w:val="24"/>
        </w:rPr>
        <w:t>’</w:t>
      </w:r>
      <w:r w:rsidRPr="00BD7CEA">
        <w:rPr>
          <w:rFonts w:cs="Tahoma"/>
          <w:color w:val="000000"/>
          <w:szCs w:val="24"/>
        </w:rPr>
        <w:t>utilizzo di software da parte della società ai sensi della presente offerta sarà soggetto alle condizioni del relativo contratto di licenza e ai diritti di utilizzo del prodotto relativi al software. Il diritto di utilizzo del software cesserà alla scadenza del diritto di utilizzo del software ai sensi delle licenze qualificanti. Questa Nota relativa al Prodotto insieme alla prova delle licenze qualificanti attesteranno il diritto della società di utilizzare SQL Server 2012 Parallel Data Warehouse e System Center 2012 ai sensi delle condizioni della presente offerta. Le società non potranno trasferire le licenze concesse in virtù della presente offerta separatamente dalle licenze qualificanti corrispondenti.</w:t>
      </w:r>
    </w:p>
    <w:p w:rsidR="00A81E83" w:rsidRPr="00BD7CEA" w:rsidRDefault="00A81E83" w:rsidP="00C321B6">
      <w:pPr>
        <w:tabs>
          <w:tab w:val="left" w:pos="2970"/>
        </w:tabs>
        <w:ind w:left="1440"/>
      </w:pPr>
      <w:bookmarkStart w:id="1464" w:name="Srv_90SQLServer2012Standard"/>
    </w:p>
    <w:p w:rsidR="004815F3" w:rsidRPr="00BD7CEA" w:rsidRDefault="004815F3" w:rsidP="00C321B6">
      <w:pPr>
        <w:tabs>
          <w:tab w:val="left" w:pos="2970"/>
        </w:tabs>
        <w:ind w:left="1440"/>
      </w:pPr>
    </w:p>
    <w:p w:rsidR="00E63A2B" w:rsidRPr="00BD7CEA" w:rsidRDefault="00E63A2B" w:rsidP="00C321B6">
      <w:pPr>
        <w:tabs>
          <w:tab w:val="left" w:pos="2970"/>
        </w:tabs>
        <w:ind w:left="1440"/>
      </w:pPr>
    </w:p>
    <w:p w:rsidR="00E63A2B" w:rsidRPr="00BD7CEA" w:rsidRDefault="00E63A2B" w:rsidP="00C321B6">
      <w:pPr>
        <w:tabs>
          <w:tab w:val="left" w:pos="2970"/>
        </w:tabs>
        <w:ind w:left="1440"/>
      </w:pPr>
    </w:p>
    <w:p w:rsidR="00E63A2B" w:rsidRPr="00BD7CEA" w:rsidRDefault="00E63A2B" w:rsidP="00C321B6">
      <w:pPr>
        <w:tabs>
          <w:tab w:val="left" w:pos="2970"/>
        </w:tabs>
        <w:ind w:left="1440"/>
      </w:pPr>
    </w:p>
    <w:p w:rsidR="00E63A2B" w:rsidRPr="00BD7CEA" w:rsidRDefault="00E63A2B" w:rsidP="00C321B6">
      <w:pPr>
        <w:tabs>
          <w:tab w:val="left" w:pos="2970"/>
        </w:tabs>
        <w:ind w:left="1440"/>
      </w:pPr>
    </w:p>
    <w:p w:rsidR="00A81E83" w:rsidRPr="00BD7CEA" w:rsidRDefault="00F66FB0" w:rsidP="00EF5637">
      <w:pPr>
        <w:pStyle w:val="Heading3"/>
      </w:pPr>
      <w:bookmarkStart w:id="1465" w:name="_82_SQL_Server®"/>
      <w:bookmarkStart w:id="1466" w:name="_83_SQL_Server®"/>
      <w:bookmarkStart w:id="1467" w:name="_Toc336338348"/>
      <w:bookmarkStart w:id="1468" w:name="_Toc353376121"/>
      <w:bookmarkEnd w:id="1465"/>
      <w:bookmarkEnd w:id="1466"/>
      <w:r w:rsidRPr="00BD7CEA">
        <w:rPr>
          <w:rFonts w:ascii="Tahoma" w:hAnsi="Tahoma"/>
          <w:caps/>
          <w:color w:val="F66400"/>
          <w:sz w:val="22"/>
          <w:vertAlign w:val="superscript"/>
        </w:rPr>
        <w:lastRenderedPageBreak/>
        <w:t>83</w:t>
      </w:r>
      <w:r w:rsidRPr="00BD7CEA">
        <w:rPr>
          <w:rFonts w:ascii="Tahoma" w:hAnsi="Tahoma"/>
          <w:color w:val="F66400"/>
          <w:sz w:val="22"/>
        </w:rPr>
        <w:t xml:space="preserve"> SQL Server</w:t>
      </w:r>
      <w:r w:rsidR="00700C4B" w:rsidRPr="00BD7CEA">
        <w:rPr>
          <w:rFonts w:ascii="Tahoma" w:hAnsi="Tahoma"/>
          <w:color w:val="F66400"/>
          <w:sz w:val="22"/>
          <w:vertAlign w:val="superscript"/>
        </w:rPr>
        <w:t>®</w:t>
      </w:r>
      <w:r w:rsidRPr="00BD7CEA">
        <w:rPr>
          <w:rFonts w:ascii="Tahoma" w:hAnsi="Tahoma"/>
          <w:color w:val="F66400"/>
          <w:sz w:val="22"/>
        </w:rPr>
        <w:t xml:space="preserve"> 2012 Standard</w:t>
      </w:r>
      <w:bookmarkEnd w:id="1467"/>
      <w:bookmarkEnd w:id="1468"/>
      <w:r w:rsidRPr="00BD7CEA">
        <w:rPr>
          <w:rFonts w:ascii="Tahoma" w:hAnsi="Tahoma"/>
          <w:color w:val="F66400"/>
          <w:sz w:val="22"/>
        </w:rPr>
        <w:t xml:space="preserve"> </w:t>
      </w:r>
    </w:p>
    <w:bookmarkEnd w:id="1464"/>
    <w:p w:rsidR="00A81E83" w:rsidRPr="00BD7CEA" w:rsidRDefault="00A81E83" w:rsidP="00204D6D">
      <w:pPr>
        <w:pStyle w:val="EndnoteText"/>
        <w:ind w:left="0"/>
      </w:pPr>
    </w:p>
    <w:p w:rsidR="00A81E83" w:rsidRPr="00BD7CEA" w:rsidRDefault="00A81E83" w:rsidP="00204D6D">
      <w:pPr>
        <w:ind w:left="720"/>
      </w:pPr>
      <w:r w:rsidRPr="00BD7CEA">
        <w:rPr>
          <w:rFonts w:eastAsia="Calibri" w:cs="Tahoma"/>
          <w:szCs w:val="18"/>
        </w:rPr>
        <w:t xml:space="preserve">SQL Server 2012 Standard è la versione successiva di SQL Server Standard e la licenza CAL per </w:t>
      </w:r>
      <w:r w:rsidR="00713397">
        <w:rPr>
          <w:rFonts w:eastAsia="Calibri" w:cs="Tahoma"/>
          <w:szCs w:val="18"/>
        </w:rPr>
        <w:br/>
      </w:r>
      <w:r w:rsidRPr="00BD7CEA">
        <w:rPr>
          <w:rFonts w:eastAsia="Calibri" w:cs="Tahoma"/>
          <w:szCs w:val="18"/>
        </w:rPr>
        <w:t>SQL Server 2012 è la versione successiva della licenza CAL per SQL Server.</w:t>
      </w:r>
    </w:p>
    <w:p w:rsidR="00204D6D" w:rsidRPr="00BD7CEA" w:rsidRDefault="00204D6D" w:rsidP="00204D6D">
      <w:pPr>
        <w:ind w:left="720"/>
      </w:pPr>
    </w:p>
    <w:p w:rsidR="00204D6D" w:rsidRPr="00BD7CEA" w:rsidRDefault="00204D6D" w:rsidP="00204D6D">
      <w:pPr>
        <w:ind w:left="720"/>
      </w:pPr>
    </w:p>
    <w:p w:rsidR="00A81E83" w:rsidRPr="00BD7CEA" w:rsidRDefault="00F66FB0" w:rsidP="00EF5637">
      <w:pPr>
        <w:pStyle w:val="Heading3"/>
      </w:pPr>
      <w:bookmarkStart w:id="1469" w:name="_85_83_SQL"/>
      <w:bookmarkStart w:id="1470" w:name="_84_SQL_Server®"/>
      <w:bookmarkStart w:id="1471" w:name="_Toc336338349"/>
      <w:bookmarkStart w:id="1472" w:name="_Toc353376122"/>
      <w:bookmarkStart w:id="1473" w:name="Srv_91SQLServer2012StandardCore"/>
      <w:bookmarkEnd w:id="1469"/>
      <w:bookmarkEnd w:id="1470"/>
      <w:r w:rsidRPr="00BD7CEA">
        <w:rPr>
          <w:rFonts w:ascii="Tahoma" w:hAnsi="Tahoma" w:cs="Tahoma"/>
          <w:caps/>
          <w:color w:val="F66400"/>
          <w:sz w:val="22"/>
          <w:vertAlign w:val="superscript"/>
        </w:rPr>
        <w:t>84</w:t>
      </w:r>
      <w:r w:rsidRPr="00BD7CEA">
        <w:rPr>
          <w:rFonts w:ascii="Tahoma" w:hAnsi="Tahoma" w:cs="Tahoma"/>
          <w:color w:val="F66400"/>
          <w:sz w:val="22"/>
        </w:rPr>
        <w:t xml:space="preserve"> SQL Server</w:t>
      </w:r>
      <w:r w:rsidR="00700C4B" w:rsidRPr="00BD7CEA">
        <w:rPr>
          <w:rFonts w:ascii="Tahoma" w:hAnsi="Tahoma" w:cs="Tahoma"/>
          <w:color w:val="F66400"/>
          <w:sz w:val="22"/>
          <w:vertAlign w:val="superscript"/>
        </w:rPr>
        <w:t>®</w:t>
      </w:r>
      <w:r w:rsidRPr="00BD7CEA">
        <w:rPr>
          <w:rFonts w:ascii="Tahoma" w:hAnsi="Tahoma" w:cs="Tahoma"/>
          <w:color w:val="F66400"/>
          <w:sz w:val="22"/>
        </w:rPr>
        <w:t xml:space="preserve"> 2012 Standard</w:t>
      </w:r>
      <w:r w:rsidRPr="00BD7CEA">
        <w:rPr>
          <w:rFonts w:ascii="Tahoma" w:eastAsia="Calibri" w:hAnsi="Tahoma" w:cs="Tahoma"/>
          <w:color w:val="F66400"/>
          <w:sz w:val="22"/>
          <w:szCs w:val="18"/>
        </w:rPr>
        <w:t xml:space="preserve"> Core</w:t>
      </w:r>
      <w:bookmarkEnd w:id="1471"/>
      <w:bookmarkEnd w:id="1472"/>
    </w:p>
    <w:bookmarkEnd w:id="1473"/>
    <w:p w:rsidR="00A81E83" w:rsidRPr="00BD7CEA" w:rsidRDefault="00A81E83" w:rsidP="0026723A"/>
    <w:p w:rsidR="0026723A" w:rsidRPr="00BD7CEA" w:rsidRDefault="00A81E83" w:rsidP="0026723A">
      <w:pPr>
        <w:spacing w:after="60"/>
        <w:ind w:left="720"/>
      </w:pPr>
      <w:r w:rsidRPr="00BD7CEA">
        <w:rPr>
          <w:rFonts w:eastAsia="Calibri" w:cs="Tahoma"/>
          <w:b/>
          <w:szCs w:val="18"/>
        </w:rPr>
        <w:t>Concessioni di Licenza Associate alla Variazione del Modello di Licenza</w:t>
      </w:r>
    </w:p>
    <w:p w:rsidR="00A81E83" w:rsidRPr="00BD7CEA" w:rsidRDefault="00A81E83" w:rsidP="0026723A">
      <w:pPr>
        <w:ind w:left="720"/>
      </w:pPr>
      <w:r w:rsidRPr="00BD7CEA">
        <w:rPr>
          <w:rFonts w:eastAsia="Calibri" w:cs="Tahoma"/>
          <w:color w:val="000000"/>
          <w:szCs w:val="18"/>
        </w:rPr>
        <w:t>SQL Server 2008 R2 sarà l</w:t>
      </w:r>
      <w:r w:rsidR="007A1415" w:rsidRPr="00BD7CEA">
        <w:rPr>
          <w:rFonts w:eastAsia="Calibri" w:cs="Tahoma"/>
          <w:color w:val="000000"/>
          <w:szCs w:val="18"/>
        </w:rPr>
        <w:t>’</w:t>
      </w:r>
      <w:r w:rsidRPr="00BD7CEA">
        <w:rPr>
          <w:rFonts w:eastAsia="Calibri" w:cs="Tahoma"/>
          <w:color w:val="000000"/>
          <w:szCs w:val="18"/>
        </w:rPr>
        <w:t>ultima versione di SQL Server concessa in licenza ai sensi del modello di licenza per processore.</w:t>
      </w:r>
      <w:r w:rsidR="008D782D" w:rsidRPr="00BD7CEA">
        <w:rPr>
          <w:rFonts w:eastAsia="Calibri" w:cs="Tahoma"/>
          <w:color w:val="000000"/>
          <w:szCs w:val="18"/>
        </w:rPr>
        <w:t xml:space="preserve"> </w:t>
      </w:r>
      <w:r w:rsidRPr="00BD7CEA">
        <w:rPr>
          <w:rFonts w:eastAsia="Calibri" w:cs="Tahoma"/>
          <w:color w:val="000000"/>
          <w:szCs w:val="18"/>
        </w:rPr>
        <w:t xml:space="preserve">In via eccezionale, alle società con contratti multilicenza e copertura Software Assurance attiva per le licenze per processore per SQL Server 2008 R2 Standard in data 1 aprile 2012 (“licenze qualificanti”) vengono offerte le opzioni che seguono. Le licenze per processore per SQL Server 2008 R2 Standard </w:t>
      </w:r>
      <w:r w:rsidRPr="00BD7CEA">
        <w:rPr>
          <w:rFonts w:cs="Tahoma"/>
          <w:bCs/>
          <w:color w:val="000000"/>
          <w:szCs w:val="18"/>
        </w:rPr>
        <w:t>acquistate successivamente nello stesso periodo di validità dell</w:t>
      </w:r>
      <w:r w:rsidR="007A1415" w:rsidRPr="00BD7CEA">
        <w:rPr>
          <w:rFonts w:cs="Tahoma"/>
          <w:bCs/>
          <w:color w:val="000000"/>
          <w:szCs w:val="18"/>
        </w:rPr>
        <w:t>’</w:t>
      </w:r>
      <w:r w:rsidRPr="00BD7CEA">
        <w:rPr>
          <w:rFonts w:cs="Tahoma"/>
          <w:bCs/>
          <w:color w:val="000000"/>
          <w:szCs w:val="18"/>
        </w:rPr>
        <w:t>iscrizione, ma prima del 1 aprile 2015 nell</w:t>
      </w:r>
      <w:r w:rsidR="007A1415" w:rsidRPr="00BD7CEA">
        <w:rPr>
          <w:rFonts w:cs="Tahoma"/>
          <w:bCs/>
          <w:color w:val="000000"/>
          <w:szCs w:val="18"/>
        </w:rPr>
        <w:t>’</w:t>
      </w:r>
      <w:r w:rsidRPr="00BD7CEA">
        <w:rPr>
          <w:rFonts w:cs="Tahoma"/>
          <w:bCs/>
          <w:color w:val="000000"/>
          <w:szCs w:val="18"/>
        </w:rPr>
        <w:t>ambito di una procedura pianificata di true-up della società Enterprise, Enterprise Subscription, Open Value Subscription o EES, sono anch</w:t>
      </w:r>
      <w:r w:rsidR="007A1415" w:rsidRPr="00BD7CEA">
        <w:rPr>
          <w:rFonts w:cs="Tahoma"/>
          <w:bCs/>
          <w:color w:val="000000"/>
          <w:szCs w:val="18"/>
        </w:rPr>
        <w:t>’</w:t>
      </w:r>
      <w:r w:rsidRPr="00BD7CEA">
        <w:rPr>
          <w:rFonts w:cs="Tahoma"/>
          <w:bCs/>
          <w:color w:val="000000"/>
          <w:szCs w:val="18"/>
        </w:rPr>
        <w:t>esse licenze qualificanti per gli scopi previsti da tali opzioni.</w:t>
      </w:r>
      <w:r w:rsidR="008D782D" w:rsidRPr="00BD7CEA">
        <w:rPr>
          <w:rFonts w:cs="Tahoma"/>
          <w:bCs/>
          <w:color w:val="000000"/>
          <w:szCs w:val="18"/>
        </w:rPr>
        <w:t xml:space="preserve"> </w:t>
      </w:r>
      <w:r w:rsidRPr="00BD7CEA">
        <w:rPr>
          <w:rFonts w:cs="Tahoma"/>
          <w:bCs/>
          <w:color w:val="000000"/>
          <w:szCs w:val="18"/>
        </w:rPr>
        <w:t>Le licenze acquistate dopo il 1 aprile 2015, o in un periodo di validità dell</w:t>
      </w:r>
      <w:r w:rsidR="007A1415" w:rsidRPr="00BD7CEA">
        <w:rPr>
          <w:rFonts w:cs="Tahoma"/>
          <w:bCs/>
          <w:color w:val="000000"/>
          <w:szCs w:val="18"/>
        </w:rPr>
        <w:t>’</w:t>
      </w:r>
      <w:r w:rsidRPr="00BD7CEA">
        <w:rPr>
          <w:rFonts w:cs="Tahoma"/>
          <w:bCs/>
          <w:color w:val="000000"/>
          <w:szCs w:val="18"/>
        </w:rPr>
        <w:t>iscrizione successivo, ai sensi di un contratto distinto o di un</w:t>
      </w:r>
      <w:r w:rsidR="007A1415" w:rsidRPr="00BD7CEA">
        <w:rPr>
          <w:rFonts w:cs="Tahoma"/>
          <w:bCs/>
          <w:color w:val="000000"/>
          <w:szCs w:val="18"/>
        </w:rPr>
        <w:t>’</w:t>
      </w:r>
      <w:r w:rsidRPr="00BD7CEA">
        <w:rPr>
          <w:rFonts w:cs="Tahoma"/>
          <w:bCs/>
          <w:color w:val="000000"/>
          <w:szCs w:val="18"/>
        </w:rPr>
        <w:t>iscrizione con la data di entrata in vigore posteriore al 1 aprile 2012, non sono licenze qualificanti.</w:t>
      </w:r>
    </w:p>
    <w:p w:rsidR="0026723A" w:rsidRPr="00BD7CEA" w:rsidRDefault="0026723A" w:rsidP="0026723A">
      <w:pPr>
        <w:ind w:left="720"/>
      </w:pPr>
    </w:p>
    <w:p w:rsidR="0026723A" w:rsidRPr="00BD7CEA" w:rsidRDefault="0026723A" w:rsidP="0026723A">
      <w:pPr>
        <w:spacing w:after="60"/>
        <w:ind w:left="720"/>
      </w:pPr>
      <w:r w:rsidRPr="00BD7CEA">
        <w:rPr>
          <w:rFonts w:eastAsia="Calibri" w:cs="Tahoma"/>
          <w:b/>
          <w:szCs w:val="18"/>
        </w:rPr>
        <w:t>Periodo di Validità Corrente</w:t>
      </w:r>
    </w:p>
    <w:p w:rsidR="00A81E83" w:rsidRPr="00BD7CEA" w:rsidRDefault="00A81E83" w:rsidP="0026723A">
      <w:pPr>
        <w:ind w:left="720"/>
        <w:rPr>
          <w:spacing w:val="-2"/>
        </w:rPr>
      </w:pPr>
      <w:r w:rsidRPr="00BD7CEA">
        <w:rPr>
          <w:rFonts w:eastAsia="Calibri" w:cs="Tahoma"/>
          <w:spacing w:val="-2"/>
          <w:szCs w:val="18"/>
        </w:rPr>
        <w:t>durante il periodo di validità corrente della copertura Software Assurance a partire dal 1 aprile 2012 le società (incluse le società titolari di contratti “subscription”) potranno, ai sensi di una licenza qualificante, effettuare l</w:t>
      </w:r>
      <w:r w:rsidR="007A1415" w:rsidRPr="00BD7CEA">
        <w:rPr>
          <w:rFonts w:eastAsia="Calibri" w:cs="Tahoma"/>
          <w:spacing w:val="-2"/>
          <w:szCs w:val="18"/>
        </w:rPr>
        <w:t>’</w:t>
      </w:r>
      <w:r w:rsidRPr="00BD7CEA">
        <w:rPr>
          <w:rFonts w:eastAsia="Calibri" w:cs="Tahoma"/>
          <w:spacing w:val="-2"/>
          <w:szCs w:val="18"/>
        </w:rPr>
        <w:t>aggiornamento al software SQL Server 2012 Standard Core e utilizzarlo al posto di SQL Server 2008 R2 Standard in conformità ai diritti di utilizzo del prodotto previsti dalla licenza per processore SQL Server 2008 R2 Standard (come indicato nei Diritti di Utilizzo del Prodotto del mese di gennaio 2012). alle società vengono concessi diritti aggiuntivi ai sensi di Mobilità delle Licenze tramite Software Assurance e Mobilità delle Licenze all</w:t>
      </w:r>
      <w:r w:rsidR="007A1415" w:rsidRPr="00BD7CEA">
        <w:rPr>
          <w:rFonts w:eastAsia="Calibri" w:cs="Tahoma"/>
          <w:spacing w:val="-2"/>
          <w:szCs w:val="18"/>
        </w:rPr>
        <w:t>’</w:t>
      </w:r>
      <w:r w:rsidRPr="00BD7CEA">
        <w:rPr>
          <w:rFonts w:eastAsia="Calibri" w:cs="Tahoma"/>
          <w:spacing w:val="-2"/>
          <w:szCs w:val="18"/>
        </w:rPr>
        <w:t>interno di Server Farm.</w:t>
      </w:r>
      <w:r w:rsidR="008D782D" w:rsidRPr="00BD7CEA">
        <w:rPr>
          <w:rFonts w:eastAsia="Calibri" w:cs="Tahoma"/>
          <w:spacing w:val="-2"/>
          <w:szCs w:val="18"/>
        </w:rPr>
        <w:t xml:space="preserve"> </w:t>
      </w:r>
      <w:r w:rsidRPr="00BD7CEA">
        <w:rPr>
          <w:rFonts w:eastAsia="Calibri" w:cs="Tahoma"/>
          <w:spacing w:val="-2"/>
          <w:szCs w:val="18"/>
        </w:rPr>
        <w:t>Le società dovranno fare riferimento ai Diritti di Utilizzo del Prodotto per SQL Server 2012 Standard Core per quanto riguarda le condizioni di licenza per Mobilità delle Licenze.</w:t>
      </w:r>
    </w:p>
    <w:p w:rsidR="0026723A" w:rsidRPr="00BD7CEA" w:rsidRDefault="0026723A" w:rsidP="0026723A">
      <w:pPr>
        <w:ind w:left="720"/>
      </w:pPr>
    </w:p>
    <w:p w:rsidR="0026723A" w:rsidRPr="00BD7CEA" w:rsidRDefault="00A81E83" w:rsidP="0026723A">
      <w:pPr>
        <w:spacing w:after="60"/>
        <w:ind w:left="720"/>
      </w:pPr>
      <w:r w:rsidRPr="00BD7CEA">
        <w:rPr>
          <w:rFonts w:eastAsia="Calibri" w:cs="Tahoma"/>
          <w:b/>
          <w:szCs w:val="18"/>
        </w:rPr>
        <w:t>Primo Periodo di Rinnovo (prima del 1 aprile 2015)</w:t>
      </w:r>
    </w:p>
    <w:p w:rsidR="00A81E83" w:rsidRPr="00BD7CEA" w:rsidRDefault="00A81E83" w:rsidP="0026723A">
      <w:pPr>
        <w:ind w:left="720"/>
      </w:pPr>
      <w:r w:rsidRPr="00BD7CEA">
        <w:rPr>
          <w:rFonts w:eastAsia="Calibri" w:cs="Tahoma"/>
          <w:szCs w:val="18"/>
        </w:rPr>
        <w:t>in occasione del primo rinnovo di Software Assurance in data 1 aprile 2012 o successiva (ma prima del 1</w:t>
      </w:r>
      <w:r w:rsidR="004F4DA9">
        <w:rPr>
          <w:rFonts w:eastAsia="Calibri" w:cs="Tahoma"/>
          <w:szCs w:val="18"/>
        </w:rPr>
        <w:t> </w:t>
      </w:r>
      <w:r w:rsidRPr="00BD7CEA">
        <w:rPr>
          <w:rFonts w:eastAsia="Calibri" w:cs="Tahoma"/>
          <w:szCs w:val="18"/>
        </w:rPr>
        <w:t>aprile 2015), per ogni server che una società ha ricevuto validamente in licenza in conformità ai diritti di</w:t>
      </w:r>
      <w:r w:rsidR="004F4DA9">
        <w:rPr>
          <w:rFonts w:eastAsia="Calibri" w:cs="Tahoma"/>
          <w:szCs w:val="18"/>
        </w:rPr>
        <w:t> </w:t>
      </w:r>
      <w:r w:rsidRPr="00BD7CEA">
        <w:rPr>
          <w:rFonts w:eastAsia="Calibri" w:cs="Tahoma"/>
          <w:szCs w:val="18"/>
        </w:rPr>
        <w:t>utilizzo del prodotto previsti dalla licenza per processore SQL Server 2008 R2 Standard, la società potrà acquistare la copertura Software Assurance per le licenze core per SQL Server Standard senza dovere acquistare le licenze core sottostanti per un numero di licenze core pari alla somma di (a) e (b):</w:t>
      </w:r>
    </w:p>
    <w:p w:rsidR="0026723A" w:rsidRPr="00BD7CEA" w:rsidRDefault="0026723A" w:rsidP="0026723A">
      <w:pPr>
        <w:ind w:left="720"/>
      </w:pPr>
    </w:p>
    <w:p w:rsidR="0026723A" w:rsidRPr="00BD7CEA" w:rsidRDefault="00A81E83" w:rsidP="007358C5">
      <w:pPr>
        <w:numPr>
          <w:ilvl w:val="0"/>
          <w:numId w:val="118"/>
        </w:numPr>
        <w:tabs>
          <w:tab w:val="left" w:pos="1440"/>
        </w:tabs>
        <w:spacing w:after="60"/>
        <w:ind w:left="1440"/>
      </w:pPr>
      <w:r w:rsidRPr="00BD7CEA">
        <w:rPr>
          <w:rFonts w:eastAsia="Calibri" w:cs="Tahoma"/>
          <w:szCs w:val="18"/>
        </w:rPr>
        <w:t xml:space="preserve">un numero pari al numero minore delle licenze qualificanti cedute al server o al numero totale dei processori fisici sul server moltiplicato per il maggiore tra: </w:t>
      </w:r>
    </w:p>
    <w:p w:rsidR="00A81E83" w:rsidRPr="00BD7CEA" w:rsidRDefault="00A81E83" w:rsidP="007358C5">
      <w:pPr>
        <w:numPr>
          <w:ilvl w:val="3"/>
          <w:numId w:val="56"/>
        </w:numPr>
        <w:spacing w:after="60"/>
        <w:ind w:left="1800"/>
      </w:pPr>
      <w:r w:rsidRPr="00BD7CEA">
        <w:rPr>
          <w:rFonts w:eastAsia="Calibri" w:cs="Tahoma"/>
          <w:szCs w:val="18"/>
        </w:rPr>
        <w:t>quattro O</w:t>
      </w:r>
    </w:p>
    <w:p w:rsidR="00A81E83" w:rsidRPr="00BD7CEA" w:rsidRDefault="00A81E83" w:rsidP="007358C5">
      <w:pPr>
        <w:numPr>
          <w:ilvl w:val="3"/>
          <w:numId w:val="56"/>
        </w:numPr>
        <w:spacing w:after="60"/>
        <w:ind w:left="1800"/>
      </w:pPr>
      <w:r w:rsidRPr="00BD7CEA">
        <w:rPr>
          <w:rFonts w:eastAsia="Calibri" w:cs="Tahoma"/>
          <w:szCs w:val="18"/>
        </w:rPr>
        <w:t>il numero effettivo di core per processore fisico moltiplicato per il fattore core appropriato.</w:t>
      </w:r>
      <w:r w:rsidR="008D782D" w:rsidRPr="00BD7CEA">
        <w:rPr>
          <w:rFonts w:eastAsia="Calibri" w:cs="Tahoma"/>
          <w:szCs w:val="18"/>
        </w:rPr>
        <w:t xml:space="preserve"> </w:t>
      </w:r>
      <w:r w:rsidRPr="00BD7CEA">
        <w:rPr>
          <w:rFonts w:eastAsia="Calibri" w:cs="Tahoma"/>
          <w:szCs w:val="18"/>
        </w:rPr>
        <w:t>(Nei</w:t>
      </w:r>
      <w:r w:rsidR="00E63A2B" w:rsidRPr="00BD7CEA">
        <w:rPr>
          <w:rFonts w:eastAsia="Calibri" w:cs="Tahoma"/>
          <w:szCs w:val="18"/>
        </w:rPr>
        <w:t> </w:t>
      </w:r>
      <w:r w:rsidRPr="00BD7CEA">
        <w:rPr>
          <w:rFonts w:eastAsia="Calibri" w:cs="Tahoma"/>
          <w:szCs w:val="18"/>
        </w:rPr>
        <w:t>casi in cui il numero effettivo di core per processore fisico superi quattro, le società dovranno conservare un record della configurazione del software SQL Server in esecuzione sul</w:t>
      </w:r>
      <w:r w:rsidR="00E63A2B" w:rsidRPr="00BD7CEA">
        <w:rPr>
          <w:rFonts w:eastAsia="Calibri" w:cs="Tahoma"/>
          <w:szCs w:val="18"/>
        </w:rPr>
        <w:t> </w:t>
      </w:r>
      <w:r w:rsidRPr="00BD7CEA">
        <w:rPr>
          <w:rFonts w:eastAsia="Calibri" w:cs="Tahoma"/>
          <w:szCs w:val="18"/>
        </w:rPr>
        <w:t>server (istanze con licenza in esecuzione negli ambienti del sistema operativo sul server con licenza) e l</w:t>
      </w:r>
      <w:r w:rsidR="007A1415" w:rsidRPr="00BD7CEA">
        <w:rPr>
          <w:rFonts w:eastAsia="Calibri" w:cs="Tahoma"/>
          <w:szCs w:val="18"/>
        </w:rPr>
        <w:t>’</w:t>
      </w:r>
      <w:r w:rsidRPr="00BD7CEA">
        <w:rPr>
          <w:rFonts w:eastAsia="Calibri" w:cs="Tahoma"/>
          <w:szCs w:val="18"/>
        </w:rPr>
        <w:t xml:space="preserve">hardware fisico che supporta tale software appena prima del rinnovo di Software Assurance utilizzando lo strumento MAP di Microsoft o un software equivalente). </w:t>
      </w:r>
    </w:p>
    <w:p w:rsidR="00A81E83" w:rsidRPr="00BD7CEA" w:rsidRDefault="00A81E83" w:rsidP="007358C5">
      <w:pPr>
        <w:numPr>
          <w:ilvl w:val="0"/>
          <w:numId w:val="118"/>
        </w:numPr>
        <w:tabs>
          <w:tab w:val="left" w:pos="1440"/>
        </w:tabs>
        <w:spacing w:after="60"/>
        <w:ind w:left="1440"/>
      </w:pPr>
      <w:r w:rsidRPr="00BD7CEA">
        <w:rPr>
          <w:rFonts w:eastAsia="Calibri" w:cs="Tahoma"/>
          <w:szCs w:val="18"/>
        </w:rPr>
        <w:t>un numero pari al numero di licenze qualificanti cedute al server oltre al numero effettivo di processori fisici sul server moltiplicato per quattro.</w:t>
      </w:r>
    </w:p>
    <w:p w:rsidR="0026723A" w:rsidRPr="00BD7CEA" w:rsidRDefault="0026723A" w:rsidP="0026723A">
      <w:pPr>
        <w:tabs>
          <w:tab w:val="left" w:pos="1440"/>
        </w:tabs>
        <w:ind w:left="1080"/>
      </w:pPr>
    </w:p>
    <w:p w:rsidR="00E63A2B" w:rsidRPr="00BD7CEA" w:rsidRDefault="00E63A2B" w:rsidP="0026723A">
      <w:pPr>
        <w:tabs>
          <w:tab w:val="left" w:pos="1440"/>
        </w:tabs>
        <w:ind w:left="1080"/>
      </w:pPr>
    </w:p>
    <w:p w:rsidR="00E63A2B" w:rsidRPr="00BD7CEA" w:rsidRDefault="00E63A2B" w:rsidP="0026723A">
      <w:pPr>
        <w:tabs>
          <w:tab w:val="left" w:pos="1440"/>
        </w:tabs>
        <w:ind w:left="1080"/>
      </w:pPr>
    </w:p>
    <w:p w:rsidR="00E63A2B" w:rsidRPr="00BD7CEA" w:rsidRDefault="00E63A2B" w:rsidP="0026723A">
      <w:pPr>
        <w:tabs>
          <w:tab w:val="left" w:pos="1440"/>
        </w:tabs>
        <w:ind w:left="1080"/>
      </w:pPr>
    </w:p>
    <w:p w:rsidR="00E63A2B" w:rsidRPr="00BD7CEA" w:rsidRDefault="00E63A2B" w:rsidP="0026723A">
      <w:pPr>
        <w:tabs>
          <w:tab w:val="left" w:pos="1440"/>
        </w:tabs>
        <w:ind w:left="1080"/>
      </w:pPr>
    </w:p>
    <w:p w:rsidR="00E63A2B" w:rsidRPr="00BD7CEA" w:rsidRDefault="00E63A2B" w:rsidP="0026723A">
      <w:pPr>
        <w:tabs>
          <w:tab w:val="left" w:pos="1440"/>
        </w:tabs>
        <w:ind w:left="1080"/>
      </w:pPr>
    </w:p>
    <w:p w:rsidR="00E63A2B" w:rsidRPr="00BD7CEA" w:rsidRDefault="00E63A2B" w:rsidP="0026723A">
      <w:pPr>
        <w:tabs>
          <w:tab w:val="left" w:pos="1440"/>
        </w:tabs>
        <w:ind w:left="1080"/>
      </w:pPr>
    </w:p>
    <w:p w:rsidR="00E63A2B" w:rsidRPr="00BD7CEA" w:rsidRDefault="00E63A2B" w:rsidP="0026723A">
      <w:pPr>
        <w:tabs>
          <w:tab w:val="left" w:pos="1440"/>
        </w:tabs>
        <w:ind w:left="1080"/>
      </w:pPr>
    </w:p>
    <w:p w:rsidR="0026723A" w:rsidRPr="00BD7CEA" w:rsidRDefault="00A81E83" w:rsidP="0026723A">
      <w:pPr>
        <w:spacing w:after="60"/>
        <w:ind w:left="720"/>
      </w:pPr>
      <w:r w:rsidRPr="00BD7CEA">
        <w:rPr>
          <w:rFonts w:eastAsia="Calibri" w:cs="Tahoma"/>
          <w:b/>
          <w:szCs w:val="18"/>
        </w:rPr>
        <w:lastRenderedPageBreak/>
        <w:t>Primo Periodo di Rinnovo (in data 1 aprile 2015 o successiva)</w:t>
      </w:r>
    </w:p>
    <w:p w:rsidR="00A81E83" w:rsidRPr="00BD7CEA" w:rsidRDefault="00A81E83" w:rsidP="0026723A">
      <w:pPr>
        <w:ind w:left="720"/>
      </w:pPr>
      <w:r w:rsidRPr="00BD7CEA">
        <w:rPr>
          <w:rFonts w:eastAsia="Calibri" w:cs="Tahoma"/>
          <w:color w:val="000000"/>
          <w:szCs w:val="18"/>
        </w:rPr>
        <w:t>Le società che rinnovano per la prima volta la copertura in data 1 aprile 2015</w:t>
      </w:r>
      <w:r w:rsidRPr="00BD7CEA">
        <w:rPr>
          <w:rFonts w:eastAsia="Calibri" w:cs="Tahoma"/>
          <w:szCs w:val="18"/>
        </w:rPr>
        <w:t xml:space="preserve"> potranno, per ogni server ottenuto in licenza in conformità ai diritti di utilizzo del prodotto previsti dalla licenza per processore SQL</w:t>
      </w:r>
      <w:r w:rsidR="00E63A2B" w:rsidRPr="00BD7CEA">
        <w:rPr>
          <w:rFonts w:eastAsia="Calibri" w:cs="Tahoma"/>
          <w:szCs w:val="18"/>
        </w:rPr>
        <w:t> </w:t>
      </w:r>
      <w:r w:rsidRPr="00BD7CEA">
        <w:rPr>
          <w:rFonts w:eastAsia="Calibri" w:cs="Tahoma"/>
          <w:szCs w:val="18"/>
        </w:rPr>
        <w:t>Server 2008 R2, acquistare la copertura Software Assurance come di seguito indicato:</w:t>
      </w:r>
    </w:p>
    <w:p w:rsidR="0026723A" w:rsidRPr="00BD7CEA" w:rsidRDefault="0026723A" w:rsidP="0026723A">
      <w:pPr>
        <w:ind w:left="720"/>
      </w:pPr>
    </w:p>
    <w:p w:rsidR="00A81E83" w:rsidRPr="00BD7CEA" w:rsidRDefault="00A81E83" w:rsidP="007358C5">
      <w:pPr>
        <w:numPr>
          <w:ilvl w:val="3"/>
          <w:numId w:val="94"/>
        </w:numPr>
        <w:spacing w:after="60"/>
        <w:ind w:left="1440"/>
      </w:pPr>
      <w:r w:rsidRPr="00BD7CEA">
        <w:rPr>
          <w:rFonts w:eastAsia="Calibri" w:cs="Tahoma"/>
          <w:szCs w:val="18"/>
        </w:rPr>
        <w:t>come stabilito nel primo paragrafo di questa nota relativa al prodotto, le licenze acquistate prima del 1 aprile 2015 sono licenze qualificanti e le società potranno rinnovare la copertura Software Assurance in base alle condizioni riportate nel precedente Articolo “Primo Periodo di Rinnovo (prima</w:t>
      </w:r>
      <w:r w:rsidR="00E63A2B" w:rsidRPr="00BD7CEA">
        <w:rPr>
          <w:rFonts w:eastAsia="Calibri" w:cs="Tahoma"/>
          <w:szCs w:val="18"/>
        </w:rPr>
        <w:t> </w:t>
      </w:r>
      <w:r w:rsidRPr="00BD7CEA">
        <w:rPr>
          <w:rFonts w:eastAsia="Calibri" w:cs="Tahoma"/>
          <w:szCs w:val="18"/>
        </w:rPr>
        <w:t xml:space="preserve">del 1 aprile 2015)” e </w:t>
      </w:r>
    </w:p>
    <w:p w:rsidR="00A81E83" w:rsidRPr="00BD7CEA" w:rsidRDefault="00A81E83" w:rsidP="007358C5">
      <w:pPr>
        <w:numPr>
          <w:ilvl w:val="3"/>
          <w:numId w:val="94"/>
        </w:numPr>
        <w:spacing w:after="60"/>
        <w:ind w:left="1440"/>
      </w:pPr>
      <w:r w:rsidRPr="00BD7CEA">
        <w:rPr>
          <w:rFonts w:eastAsia="Calibri" w:cs="Tahoma"/>
          <w:szCs w:val="18"/>
        </w:rPr>
        <w:t>per le licenze acquistate dopo il 1 aprile 2015 le società potranno rinnovare la copertura Software Assurance per quattro licenze core per SQL Server Standard senza dover acquistare le licenze core</w:t>
      </w:r>
      <w:r w:rsidR="00E63A2B" w:rsidRPr="00BD7CEA">
        <w:rPr>
          <w:rFonts w:eastAsia="Calibri" w:cs="Tahoma"/>
          <w:szCs w:val="18"/>
        </w:rPr>
        <w:t> </w:t>
      </w:r>
      <w:r w:rsidRPr="00BD7CEA">
        <w:rPr>
          <w:rFonts w:eastAsia="Calibri" w:cs="Tahoma"/>
          <w:szCs w:val="18"/>
        </w:rPr>
        <w:t>sottostanti per ogni licenza per processore per SQL Server 2008 R2 Standard. Per l</w:t>
      </w:r>
      <w:r w:rsidR="007A1415" w:rsidRPr="00BD7CEA">
        <w:rPr>
          <w:rFonts w:eastAsia="Calibri" w:cs="Tahoma"/>
          <w:szCs w:val="18"/>
        </w:rPr>
        <w:t>’</w:t>
      </w:r>
      <w:r w:rsidRPr="00BD7CEA">
        <w:rPr>
          <w:rFonts w:eastAsia="Calibri" w:cs="Tahoma"/>
          <w:szCs w:val="18"/>
        </w:rPr>
        <w:t>utilizzo continuativo di SQL Server 2012 su processori che richiedono più di quattro licenze core per processore la società deve acquistare le licenze core aggiuntive.</w:t>
      </w:r>
    </w:p>
    <w:p w:rsidR="00A81E83" w:rsidRPr="00BD7CEA" w:rsidRDefault="00A81E83" w:rsidP="007358C5">
      <w:pPr>
        <w:numPr>
          <w:ilvl w:val="3"/>
          <w:numId w:val="94"/>
        </w:numPr>
        <w:spacing w:after="60"/>
        <w:ind w:left="1440"/>
      </w:pPr>
      <w:r w:rsidRPr="002E5D67">
        <w:rPr>
          <w:rFonts w:eastAsia="Calibri" w:cs="Tahoma"/>
          <w:szCs w:val="18"/>
        </w:rPr>
        <w:t>Le licenze per processore delle società non sono più valide se si acquista la copertura Software Assurance per licenze core ai sensi della presente offerta. L</w:t>
      </w:r>
      <w:r w:rsidR="007A1415" w:rsidRPr="002E5D67">
        <w:rPr>
          <w:rFonts w:eastAsia="Calibri" w:cs="Tahoma"/>
          <w:szCs w:val="18"/>
        </w:rPr>
        <w:t>’</w:t>
      </w:r>
      <w:r w:rsidRPr="002E5D67">
        <w:rPr>
          <w:rFonts w:eastAsia="Calibri" w:cs="Tahoma"/>
          <w:szCs w:val="18"/>
        </w:rPr>
        <w:t xml:space="preserve">opzione di acquistare Software Assurance per le licenze core per SQL Server non è applicabile al rinnovo della copertura </w:t>
      </w:r>
      <w:r w:rsidR="00C8557A">
        <w:rPr>
          <w:rFonts w:eastAsia="Calibri" w:cs="Tahoma"/>
          <w:szCs w:val="18"/>
        </w:rPr>
        <w:br/>
      </w:r>
      <w:r w:rsidRPr="002E5D67">
        <w:rPr>
          <w:rFonts w:eastAsia="Calibri" w:cs="Tahoma"/>
          <w:szCs w:val="18"/>
        </w:rPr>
        <w:t>ai sensi dei programmi di sottoscrizione.</w:t>
      </w:r>
      <w:r w:rsidR="008D782D" w:rsidRPr="002E5D67">
        <w:rPr>
          <w:rFonts w:eastAsia="Calibri" w:cs="Tahoma"/>
          <w:szCs w:val="18"/>
        </w:rPr>
        <w:t xml:space="preserve"> </w:t>
      </w:r>
    </w:p>
    <w:p w:rsidR="0026723A" w:rsidRPr="00BD7CEA" w:rsidRDefault="0026723A" w:rsidP="0026723A">
      <w:pPr>
        <w:tabs>
          <w:tab w:val="left" w:pos="1080"/>
        </w:tabs>
        <w:ind w:left="1080"/>
      </w:pPr>
    </w:p>
    <w:p w:rsidR="0026723A" w:rsidRPr="00BD7CEA" w:rsidRDefault="00A431D5" w:rsidP="0026723A">
      <w:pPr>
        <w:spacing w:after="60"/>
        <w:ind w:left="720"/>
      </w:pPr>
      <w:r w:rsidRPr="00BD7CEA">
        <w:rPr>
          <w:rFonts w:eastAsia="Calibri" w:cs="Tahoma"/>
          <w:b/>
          <w:szCs w:val="18"/>
        </w:rPr>
        <w:t>Per le società che desiderano eseguire lo step-up da SQL Server Standard a SQL Server Enterprise Core</w:t>
      </w:r>
    </w:p>
    <w:p w:rsidR="00A431D5" w:rsidRPr="00BD7CEA" w:rsidRDefault="00A431D5" w:rsidP="0026723A">
      <w:pPr>
        <w:ind w:left="720"/>
      </w:pPr>
      <w:r w:rsidRPr="00BD7CEA">
        <w:rPr>
          <w:rFonts w:eastAsia="Calibri" w:cs="Tahoma"/>
          <w:szCs w:val="18"/>
        </w:rPr>
        <w:t xml:space="preserve">Le società in possesso di licenze qualificanti per SQL Server 2008 R2 Standard possono eseguire lo step-up di tali licenze a SQL Server Enterprise (Per Core) in qualsiasi momento durante il periodo di validità corrente della copertura Software Assurance. Per ogni server ottenuto validamente in licenza in conformità ai diritti di utilizzo del prodotto previsti dalla licenza per processore SQL Server 2008 R2 Standard, la società potrà acquistare un numero di Licenze di Step-Up per SQL Server Enterprise Core pari al numero totale dei processori fisici sul server moltiplicato per il maggiore tra: </w:t>
      </w:r>
    </w:p>
    <w:p w:rsidR="0026723A" w:rsidRPr="00BD7CEA" w:rsidRDefault="0026723A" w:rsidP="0026723A">
      <w:pPr>
        <w:tabs>
          <w:tab w:val="left" w:pos="1080"/>
        </w:tabs>
        <w:ind w:left="1080"/>
      </w:pPr>
    </w:p>
    <w:p w:rsidR="00A431D5" w:rsidRPr="00BD7CEA" w:rsidRDefault="00A431D5" w:rsidP="007358C5">
      <w:pPr>
        <w:numPr>
          <w:ilvl w:val="3"/>
          <w:numId w:val="95"/>
        </w:numPr>
        <w:tabs>
          <w:tab w:val="left" w:pos="1440"/>
        </w:tabs>
        <w:spacing w:after="60"/>
        <w:ind w:left="1440"/>
      </w:pPr>
      <w:r w:rsidRPr="00BD7CEA">
        <w:rPr>
          <w:rFonts w:eastAsia="Calibri" w:cs="Tahoma"/>
          <w:szCs w:val="18"/>
        </w:rPr>
        <w:t>quattro O</w:t>
      </w:r>
    </w:p>
    <w:p w:rsidR="00A431D5" w:rsidRPr="00BD7CEA" w:rsidRDefault="00A431D5" w:rsidP="007358C5">
      <w:pPr>
        <w:numPr>
          <w:ilvl w:val="3"/>
          <w:numId w:val="95"/>
        </w:numPr>
        <w:tabs>
          <w:tab w:val="left" w:pos="1440"/>
        </w:tabs>
        <w:spacing w:after="60"/>
        <w:ind w:left="1440"/>
      </w:pPr>
      <w:r w:rsidRPr="00BD7CEA">
        <w:rPr>
          <w:rFonts w:eastAsia="Calibri" w:cs="Tahoma"/>
          <w:szCs w:val="18"/>
        </w:rPr>
        <w:t>il numero effettivo di core per processore fisico moltiplicato per il fattore core appropriato.</w:t>
      </w:r>
      <w:r w:rsidR="008D782D" w:rsidRPr="00BD7CEA">
        <w:rPr>
          <w:rFonts w:eastAsia="Calibri" w:cs="Tahoma"/>
          <w:szCs w:val="18"/>
        </w:rPr>
        <w:t xml:space="preserve"> </w:t>
      </w:r>
      <w:r w:rsidRPr="00BD7CEA">
        <w:rPr>
          <w:rFonts w:eastAsia="Calibri" w:cs="Tahoma"/>
          <w:szCs w:val="18"/>
        </w:rPr>
        <w:t>(Nei</w:t>
      </w:r>
      <w:r w:rsidR="00194AA4" w:rsidRPr="00BD7CEA">
        <w:rPr>
          <w:rFonts w:eastAsia="Calibri" w:cs="Tahoma"/>
          <w:szCs w:val="18"/>
        </w:rPr>
        <w:t> </w:t>
      </w:r>
      <w:r w:rsidRPr="00BD7CEA">
        <w:rPr>
          <w:rFonts w:eastAsia="Calibri" w:cs="Tahoma"/>
          <w:szCs w:val="18"/>
        </w:rPr>
        <w:t>casi</w:t>
      </w:r>
      <w:r w:rsidR="00E63A2B" w:rsidRPr="00BD7CEA">
        <w:rPr>
          <w:rFonts w:eastAsia="Calibri" w:cs="Tahoma"/>
          <w:szCs w:val="18"/>
        </w:rPr>
        <w:t> </w:t>
      </w:r>
      <w:r w:rsidRPr="00BD7CEA">
        <w:rPr>
          <w:rFonts w:eastAsia="Calibri" w:cs="Tahoma"/>
          <w:szCs w:val="18"/>
        </w:rPr>
        <w:t>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7A1415" w:rsidRPr="00BD7CEA">
        <w:rPr>
          <w:rFonts w:eastAsia="Calibri" w:cs="Tahoma"/>
          <w:szCs w:val="18"/>
        </w:rPr>
        <w:t>’</w:t>
      </w:r>
      <w:r w:rsidRPr="00BD7CEA">
        <w:rPr>
          <w:rFonts w:eastAsia="Calibri" w:cs="Tahoma"/>
          <w:szCs w:val="18"/>
        </w:rPr>
        <w:t>hardware fisico che supporta tale software appena prima dell</w:t>
      </w:r>
      <w:r w:rsidR="007A1415" w:rsidRPr="00BD7CEA">
        <w:rPr>
          <w:rFonts w:eastAsia="Calibri" w:cs="Tahoma"/>
          <w:szCs w:val="18"/>
        </w:rPr>
        <w:t>’</w:t>
      </w:r>
      <w:r w:rsidRPr="00BD7CEA">
        <w:rPr>
          <w:rFonts w:eastAsia="Calibri" w:cs="Tahoma"/>
          <w:szCs w:val="18"/>
        </w:rPr>
        <w:t xml:space="preserve">acquisto delle licenze di Step-Up utilizzando lo strumento MAP di Microsoft o un software equivalente). </w:t>
      </w:r>
    </w:p>
    <w:p w:rsidR="0026723A" w:rsidRPr="00BD7CEA" w:rsidRDefault="0026723A" w:rsidP="0026723A">
      <w:pPr>
        <w:tabs>
          <w:tab w:val="left" w:pos="1440"/>
        </w:tabs>
        <w:ind w:left="1440"/>
      </w:pPr>
    </w:p>
    <w:p w:rsidR="00A431D5" w:rsidRPr="00BD7CEA" w:rsidRDefault="00A431D5" w:rsidP="0026723A">
      <w:pPr>
        <w:ind w:left="720"/>
      </w:pPr>
      <w:r w:rsidRPr="00BD7CEA">
        <w:rPr>
          <w:rFonts w:eastAsia="Calibri" w:cs="Tahoma"/>
          <w:szCs w:val="18"/>
        </w:rPr>
        <w:t>All</w:t>
      </w:r>
      <w:r w:rsidR="007A1415" w:rsidRPr="00BD7CEA">
        <w:rPr>
          <w:rFonts w:eastAsia="Calibri" w:cs="Tahoma"/>
          <w:szCs w:val="18"/>
        </w:rPr>
        <w:t>’</w:t>
      </w:r>
      <w:r w:rsidRPr="00BD7CEA">
        <w:rPr>
          <w:rFonts w:eastAsia="Calibri" w:cs="Tahoma"/>
          <w:szCs w:val="18"/>
        </w:rPr>
        <w:t>acquisto nel numero appropriato di licenze di Step-Up per SQL Server Enterprise Core, la società potrà distribuire e utilizzare il software ai sensi dei diritti di utilizzo di SQL Server Enterprise Core.</w:t>
      </w:r>
      <w:r w:rsidR="008D782D" w:rsidRPr="00BD7CEA">
        <w:rPr>
          <w:rFonts w:eastAsia="Calibri" w:cs="Tahoma"/>
          <w:szCs w:val="18"/>
        </w:rPr>
        <w:t xml:space="preserve"> </w:t>
      </w:r>
      <w:r w:rsidRPr="00BD7CEA">
        <w:rPr>
          <w:rFonts w:eastAsia="Calibri" w:cs="Tahoma"/>
          <w:szCs w:val="18"/>
        </w:rPr>
        <w:t>Salvo per quanto previsto al presente Articolo “Per le società che desiderano eseguire lo step-up da SQL Server Standard a SQL Server Enterprise Core”</w:t>
      </w:r>
      <w:r w:rsidRPr="00BD7CEA">
        <w:rPr>
          <w:rFonts w:eastAsia="Calibri" w:cs="Tahoma"/>
          <w:b/>
          <w:szCs w:val="18"/>
        </w:rPr>
        <w:t xml:space="preserve">, </w:t>
      </w:r>
      <w:r w:rsidRPr="00BD7CEA">
        <w:rPr>
          <w:rFonts w:eastAsia="Calibri" w:cs="Tahoma"/>
          <w:szCs w:val="18"/>
        </w:rPr>
        <w:t>si applicano le condizioni relative all</w:t>
      </w:r>
      <w:r w:rsidR="007A1415" w:rsidRPr="00BD7CEA">
        <w:rPr>
          <w:rFonts w:eastAsia="Calibri" w:cs="Tahoma"/>
          <w:szCs w:val="18"/>
        </w:rPr>
        <w:t>’</w:t>
      </w:r>
      <w:r w:rsidRPr="00BD7CEA">
        <w:rPr>
          <w:rFonts w:eastAsia="Calibri" w:cs="Tahoma"/>
          <w:szCs w:val="18"/>
        </w:rPr>
        <w:t>acquisto di licenze di Step-Up, come descritte nell</w:t>
      </w:r>
      <w:r w:rsidR="007A1415" w:rsidRPr="00BD7CEA">
        <w:rPr>
          <w:rFonts w:eastAsia="Calibri" w:cs="Tahoma"/>
          <w:szCs w:val="18"/>
        </w:rPr>
        <w:t>’</w:t>
      </w:r>
      <w:r w:rsidRPr="00BD7CEA">
        <w:rPr>
          <w:rFonts w:eastAsia="Calibri" w:cs="Tahoma"/>
          <w:szCs w:val="18"/>
        </w:rPr>
        <w:t>Articolo relativo a Software Assurance in questa Lista dei Prodotti.</w:t>
      </w:r>
      <w:r w:rsidRPr="00BD7CEA">
        <w:rPr>
          <w:rFonts w:eastAsia="Calibri" w:cs="Tahoma"/>
          <w:b/>
          <w:szCs w:val="18"/>
        </w:rPr>
        <w:t xml:space="preserve"> </w:t>
      </w:r>
    </w:p>
    <w:p w:rsidR="0026723A" w:rsidRPr="00BD7CEA" w:rsidRDefault="0026723A" w:rsidP="0026723A">
      <w:pPr>
        <w:tabs>
          <w:tab w:val="left" w:pos="1080"/>
        </w:tabs>
        <w:ind w:left="1080"/>
      </w:pPr>
    </w:p>
    <w:p w:rsidR="0026723A" w:rsidRPr="00BD7CEA" w:rsidRDefault="00A81E83" w:rsidP="0026723A">
      <w:pPr>
        <w:spacing w:after="60"/>
        <w:ind w:left="720"/>
      </w:pPr>
      <w:r w:rsidRPr="00BD7CEA">
        <w:rPr>
          <w:rFonts w:eastAsia="Calibri" w:cs="Tahoma"/>
          <w:b/>
          <w:szCs w:val="18"/>
        </w:rPr>
        <w:t>Per le Società con copertura Software Assurance in scadenza prima del 1 aprile 2015 che scelgono di non effettuare il rinnovo</w:t>
      </w:r>
    </w:p>
    <w:p w:rsidR="00A81E83" w:rsidRPr="00BD7CEA" w:rsidRDefault="00A81E83" w:rsidP="0026723A">
      <w:pPr>
        <w:ind w:left="720"/>
      </w:pPr>
      <w:r w:rsidRPr="00BD7CEA">
        <w:rPr>
          <w:rFonts w:eastAsia="Calibri" w:cs="Tahoma"/>
          <w:szCs w:val="18"/>
        </w:rPr>
        <w:t>Le società titolari di contratti Enterprise Subscription e Open Value Subscription con copertura in scadenza prima del 1 aprile 2015 che scelgono di effettuare il buy-out delle licenze per processore e altre società che acquistano licenze perpetue ai sensi del loro contratto e scelgono di non rinnovare Software Assurance potranno eseguire SQL Server 2008 R2 o SQL Server 2012 ai sensi di tali licenze come indicato sotto:</w:t>
      </w:r>
    </w:p>
    <w:p w:rsidR="009C7505" w:rsidRPr="00BD7CEA" w:rsidRDefault="009C7505" w:rsidP="0026723A">
      <w:pPr>
        <w:ind w:left="720"/>
      </w:pPr>
    </w:p>
    <w:p w:rsidR="00A81E83" w:rsidRPr="00BD7CEA" w:rsidRDefault="00A81E83" w:rsidP="007358C5">
      <w:pPr>
        <w:numPr>
          <w:ilvl w:val="0"/>
          <w:numId w:val="96"/>
        </w:numPr>
        <w:tabs>
          <w:tab w:val="left" w:pos="1440"/>
        </w:tabs>
        <w:spacing w:after="60"/>
        <w:ind w:left="1440"/>
      </w:pPr>
      <w:r w:rsidRPr="00BD7CEA">
        <w:rPr>
          <w:rFonts w:eastAsia="Calibri" w:cs="Tahoma"/>
          <w:b/>
          <w:szCs w:val="18"/>
        </w:rPr>
        <w:t>SQL Server 2008 R2 Standard:</w:t>
      </w:r>
      <w:r w:rsidRPr="00BD7CEA">
        <w:rPr>
          <w:rFonts w:eastAsia="Calibri" w:cs="Tahoma"/>
          <w:szCs w:val="18"/>
        </w:rPr>
        <w:t xml:space="preserve"> l</w:t>
      </w:r>
      <w:r w:rsidR="007A1415" w:rsidRPr="00BD7CEA">
        <w:rPr>
          <w:rFonts w:eastAsia="Calibri" w:cs="Tahoma"/>
          <w:szCs w:val="18"/>
        </w:rPr>
        <w:t>’</w:t>
      </w:r>
      <w:r w:rsidRPr="00BD7CEA">
        <w:rPr>
          <w:rFonts w:eastAsia="Calibri" w:cs="Tahoma"/>
          <w:szCs w:val="18"/>
        </w:rPr>
        <w:t>utilizzo continuativo di tale versione del software è soggetto ai diritti di utilizzo del prodotto previsti dalla licenza per processore SQL Server 2008 R2 Standard. Le</w:t>
      </w:r>
      <w:r w:rsidR="00C8557A">
        <w:rPr>
          <w:rFonts w:eastAsia="Calibri" w:cs="Tahoma"/>
          <w:szCs w:val="18"/>
        </w:rPr>
        <w:t> </w:t>
      </w:r>
      <w:r w:rsidRPr="00BD7CEA">
        <w:rPr>
          <w:rFonts w:eastAsia="Calibri" w:cs="Tahoma"/>
          <w:szCs w:val="18"/>
        </w:rPr>
        <w:t>società non disporranno più di diritti ai sensi della Mobilità delle Licenze all</w:t>
      </w:r>
      <w:r w:rsidR="007A1415" w:rsidRPr="00BD7CEA">
        <w:rPr>
          <w:rFonts w:eastAsia="Calibri" w:cs="Tahoma"/>
          <w:szCs w:val="18"/>
        </w:rPr>
        <w:t>’</w:t>
      </w:r>
      <w:r w:rsidRPr="00BD7CEA">
        <w:rPr>
          <w:rFonts w:eastAsia="Calibri" w:cs="Tahoma"/>
          <w:szCs w:val="18"/>
        </w:rPr>
        <w:t>interno di Server Farm o</w:t>
      </w:r>
      <w:r w:rsidR="00194AA4" w:rsidRPr="00BD7CEA">
        <w:rPr>
          <w:rFonts w:eastAsia="Calibri" w:cs="Tahoma"/>
          <w:szCs w:val="18"/>
        </w:rPr>
        <w:t> </w:t>
      </w:r>
      <w:r w:rsidRPr="00BD7CEA">
        <w:rPr>
          <w:rFonts w:eastAsia="Calibri" w:cs="Tahoma"/>
          <w:szCs w:val="18"/>
        </w:rPr>
        <w:t xml:space="preserve">della Mobilità delle Licenze tramite Software Assurance. </w:t>
      </w:r>
    </w:p>
    <w:p w:rsidR="00194AA4" w:rsidRPr="00BD7CEA" w:rsidRDefault="00194AA4" w:rsidP="00194AA4">
      <w:pPr>
        <w:tabs>
          <w:tab w:val="left" w:pos="1440"/>
        </w:tabs>
        <w:spacing w:after="60"/>
        <w:ind w:left="1440"/>
        <w:rPr>
          <w:rFonts w:eastAsia="Calibri" w:cs="Tahoma"/>
          <w:b/>
          <w:szCs w:val="18"/>
        </w:rPr>
      </w:pPr>
    </w:p>
    <w:p w:rsidR="00194AA4" w:rsidRPr="00BD7CEA" w:rsidRDefault="00194AA4" w:rsidP="00194AA4">
      <w:pPr>
        <w:tabs>
          <w:tab w:val="left" w:pos="1440"/>
        </w:tabs>
        <w:spacing w:after="60"/>
        <w:ind w:left="1440"/>
      </w:pPr>
    </w:p>
    <w:p w:rsidR="00A81E83" w:rsidRPr="00BD7CEA" w:rsidRDefault="00A81E83" w:rsidP="007358C5">
      <w:pPr>
        <w:numPr>
          <w:ilvl w:val="0"/>
          <w:numId w:val="96"/>
        </w:numPr>
        <w:tabs>
          <w:tab w:val="left" w:pos="1440"/>
        </w:tabs>
        <w:spacing w:after="60"/>
        <w:ind w:left="1440"/>
      </w:pPr>
      <w:r w:rsidRPr="00BD7CEA">
        <w:rPr>
          <w:rFonts w:eastAsia="Calibri" w:cs="Tahoma"/>
          <w:b/>
          <w:szCs w:val="18"/>
        </w:rPr>
        <w:lastRenderedPageBreak/>
        <w:t xml:space="preserve">SQL Server 2012 Standard Core: </w:t>
      </w:r>
      <w:r w:rsidRPr="00BD7CEA">
        <w:rPr>
          <w:rFonts w:eastAsia="Calibri" w:cs="Tahoma"/>
          <w:szCs w:val="18"/>
        </w:rPr>
        <w:t>l</w:t>
      </w:r>
      <w:r w:rsidR="007A1415" w:rsidRPr="00BD7CEA">
        <w:rPr>
          <w:rFonts w:eastAsia="Calibri" w:cs="Tahoma"/>
          <w:szCs w:val="18"/>
        </w:rPr>
        <w:t>’</w:t>
      </w:r>
      <w:r w:rsidRPr="00BD7CEA">
        <w:rPr>
          <w:rFonts w:eastAsia="Calibri" w:cs="Tahoma"/>
          <w:szCs w:val="18"/>
        </w:rPr>
        <w:t xml:space="preserve">utilizzo di tale versione del software è soggetto ai diritti di utilizzo del prodotto previsti dalla licenza per processore SQL Server 2008 R2 Standard, tuttavia: </w:t>
      </w:r>
    </w:p>
    <w:p w:rsidR="00A81E83" w:rsidRPr="00BD7CEA" w:rsidRDefault="00A81E83" w:rsidP="007358C5">
      <w:pPr>
        <w:numPr>
          <w:ilvl w:val="1"/>
          <w:numId w:val="97"/>
        </w:numPr>
        <w:tabs>
          <w:tab w:val="left" w:pos="1800"/>
        </w:tabs>
        <w:spacing w:after="60"/>
        <w:ind w:left="1800"/>
      </w:pPr>
      <w:r w:rsidRPr="00BD7CEA">
        <w:rPr>
          <w:rFonts w:eastAsia="Calibri" w:cs="Tahoma"/>
          <w:szCs w:val="18"/>
        </w:rPr>
        <w:t>le società non disporranno più di diritti ai sensi della Mobilità delle Licenze all</w:t>
      </w:r>
      <w:r w:rsidR="007A1415" w:rsidRPr="00BD7CEA">
        <w:rPr>
          <w:rFonts w:eastAsia="Calibri" w:cs="Tahoma"/>
          <w:szCs w:val="18"/>
        </w:rPr>
        <w:t>’</w:t>
      </w:r>
      <w:r w:rsidRPr="00BD7CEA">
        <w:rPr>
          <w:rFonts w:eastAsia="Calibri" w:cs="Tahoma"/>
          <w:szCs w:val="18"/>
        </w:rPr>
        <w:t xml:space="preserve">interno di Server Farm o della Mobilità delle Licenze tramite Software Assurance e </w:t>
      </w:r>
    </w:p>
    <w:p w:rsidR="00A81E83" w:rsidRPr="00BD7CEA" w:rsidRDefault="00A81E83" w:rsidP="007358C5">
      <w:pPr>
        <w:numPr>
          <w:ilvl w:val="1"/>
          <w:numId w:val="97"/>
        </w:numPr>
        <w:tabs>
          <w:tab w:val="left" w:pos="1800"/>
        </w:tabs>
        <w:spacing w:after="60"/>
        <w:ind w:left="1800"/>
      </w:pPr>
      <w:r w:rsidRPr="00BD7CEA">
        <w:rPr>
          <w:rFonts w:eastAsia="Calibri" w:cs="Tahoma"/>
          <w:szCs w:val="18"/>
        </w:rPr>
        <w:t>l</w:t>
      </w:r>
      <w:r w:rsidR="007A1415" w:rsidRPr="00BD7CEA">
        <w:rPr>
          <w:rFonts w:eastAsia="Calibri" w:cs="Tahoma"/>
          <w:szCs w:val="18"/>
        </w:rPr>
        <w:t>’</w:t>
      </w:r>
      <w:r w:rsidRPr="00BD7CEA">
        <w:rPr>
          <w:rFonts w:eastAsia="Calibri" w:cs="Tahoma"/>
          <w:szCs w:val="18"/>
        </w:rPr>
        <w:t>eventuale riassegnazione di licenze è soggetta ai limiti indicati nei paragrafi (i) e (ii) che seguono relativi alla loro “equivalenza di licenze core”. L</w:t>
      </w:r>
      <w:r w:rsidR="007A1415" w:rsidRPr="00BD7CEA">
        <w:rPr>
          <w:rFonts w:eastAsia="Calibri" w:cs="Tahoma"/>
          <w:szCs w:val="18"/>
        </w:rPr>
        <w:t>’</w:t>
      </w:r>
      <w:r w:rsidRPr="00BD7CEA">
        <w:rPr>
          <w:rFonts w:eastAsia="Calibri" w:cs="Tahoma"/>
          <w:szCs w:val="18"/>
        </w:rPr>
        <w:t xml:space="preserve">equivalenza di licenze core è determinata come di seguito riportato. </w:t>
      </w:r>
    </w:p>
    <w:p w:rsidR="00A81E83" w:rsidRPr="00BD7CEA" w:rsidRDefault="00A81E83" w:rsidP="007358C5">
      <w:pPr>
        <w:numPr>
          <w:ilvl w:val="2"/>
          <w:numId w:val="96"/>
        </w:numPr>
        <w:tabs>
          <w:tab w:val="left" w:pos="2160"/>
        </w:tabs>
        <w:spacing w:after="60"/>
        <w:ind w:hanging="360"/>
      </w:pPr>
      <w:r w:rsidRPr="00BD7CEA">
        <w:rPr>
          <w:rFonts w:eastAsia="Calibri" w:cs="Tahoma"/>
          <w:szCs w:val="18"/>
        </w:rPr>
        <w:t>Per un numero di licenze pari al numero inferiore tra (x) il numero totale di licenze per</w:t>
      </w:r>
      <w:r w:rsidR="00194AA4" w:rsidRPr="00BD7CEA">
        <w:rPr>
          <w:rFonts w:eastAsia="Calibri" w:cs="Tahoma"/>
          <w:szCs w:val="18"/>
        </w:rPr>
        <w:t> </w:t>
      </w:r>
      <w:r w:rsidRPr="00BD7CEA">
        <w:rPr>
          <w:rFonts w:eastAsia="Calibri" w:cs="Tahoma"/>
          <w:szCs w:val="18"/>
        </w:rPr>
        <w:t>processore cedute a un server con licenza appena prima della scadenza di Software Assurance o (y) il numero totale di processori fisici su tale server, l</w:t>
      </w:r>
      <w:r w:rsidR="007A1415" w:rsidRPr="00BD7CEA">
        <w:rPr>
          <w:rFonts w:eastAsia="Calibri" w:cs="Tahoma"/>
          <w:szCs w:val="18"/>
        </w:rPr>
        <w:t>’</w:t>
      </w:r>
      <w:r w:rsidRPr="00BD7CEA">
        <w:rPr>
          <w:rFonts w:eastAsia="Calibri" w:cs="Tahoma"/>
          <w:szCs w:val="18"/>
        </w:rPr>
        <w:t xml:space="preserve">equivalenza di licenze core è il numero maggiore tra: </w:t>
      </w:r>
    </w:p>
    <w:p w:rsidR="00A81E83" w:rsidRPr="000F3F74" w:rsidRDefault="00A81E83" w:rsidP="007358C5">
      <w:pPr>
        <w:numPr>
          <w:ilvl w:val="0"/>
          <w:numId w:val="139"/>
        </w:numPr>
        <w:tabs>
          <w:tab w:val="left" w:pos="2520"/>
        </w:tabs>
        <w:spacing w:after="60"/>
        <w:ind w:left="2880"/>
        <w:rPr>
          <w:rFonts w:eastAsia="Calibri" w:cs="Tahoma"/>
          <w:szCs w:val="18"/>
        </w:rPr>
      </w:pPr>
      <w:r w:rsidRPr="000F3F74">
        <w:rPr>
          <w:rFonts w:eastAsia="Calibri" w:cs="Tahoma"/>
          <w:szCs w:val="18"/>
        </w:rPr>
        <w:t xml:space="preserve">quattro core per licenza per processore O </w:t>
      </w:r>
    </w:p>
    <w:p w:rsidR="00A81E83" w:rsidRPr="00BD7CEA" w:rsidRDefault="00A81E83" w:rsidP="007358C5">
      <w:pPr>
        <w:numPr>
          <w:ilvl w:val="0"/>
          <w:numId w:val="139"/>
        </w:numPr>
        <w:tabs>
          <w:tab w:val="left" w:pos="2520"/>
        </w:tabs>
        <w:spacing w:after="60"/>
        <w:ind w:left="2880"/>
      </w:pPr>
      <w:r w:rsidRPr="00BD7CEA">
        <w:rPr>
          <w:rFonts w:eastAsia="Calibri" w:cs="Tahoma"/>
          <w:szCs w:val="18"/>
        </w:rPr>
        <w:t>un numero di core per licenza per processore basato sul numero effettivo di core per processore fisico moltiplicato per il fattore core appropriato. (Nei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7A1415" w:rsidRPr="00BD7CEA">
        <w:rPr>
          <w:rFonts w:eastAsia="Calibri" w:cs="Tahoma"/>
          <w:szCs w:val="18"/>
        </w:rPr>
        <w:t>’</w:t>
      </w:r>
      <w:r w:rsidRPr="00BD7CEA">
        <w:rPr>
          <w:rFonts w:eastAsia="Calibri" w:cs="Tahoma"/>
          <w:szCs w:val="18"/>
        </w:rPr>
        <w:t>hardware fisico che supporta tale software appena prima della scadenza di Software Assurance utilizzando lo strumento MAP di Microsoft o un software equivalente).</w:t>
      </w:r>
    </w:p>
    <w:p w:rsidR="00A81E83" w:rsidRPr="00BD7CEA" w:rsidRDefault="00A81E83" w:rsidP="007358C5">
      <w:pPr>
        <w:numPr>
          <w:ilvl w:val="2"/>
          <w:numId w:val="96"/>
        </w:numPr>
        <w:tabs>
          <w:tab w:val="left" w:pos="2160"/>
        </w:tabs>
        <w:spacing w:after="60"/>
        <w:ind w:hanging="360"/>
      </w:pPr>
      <w:r w:rsidRPr="00BD7CEA">
        <w:rPr>
          <w:rFonts w:eastAsia="Calibri" w:cs="Tahoma"/>
          <w:szCs w:val="18"/>
        </w:rPr>
        <w:t>Per qualsiasi licenza per processore con la copertura Software Assurance in scadenza ceduta allo stesso server con licenza che ecceda il numero effettivo di processori fisici sul server, l</w:t>
      </w:r>
      <w:r w:rsidR="007A1415" w:rsidRPr="00BD7CEA">
        <w:rPr>
          <w:rFonts w:eastAsia="Calibri" w:cs="Tahoma"/>
          <w:szCs w:val="18"/>
        </w:rPr>
        <w:t>’</w:t>
      </w:r>
      <w:r w:rsidRPr="00BD7CEA">
        <w:rPr>
          <w:rFonts w:eastAsia="Calibri" w:cs="Tahoma"/>
          <w:szCs w:val="18"/>
        </w:rPr>
        <w:t>equivalenza core è di quattro core per licenza per processore.</w:t>
      </w:r>
    </w:p>
    <w:p w:rsidR="00A81E83" w:rsidRPr="00BD7CEA" w:rsidRDefault="00A81E83" w:rsidP="007358C5">
      <w:pPr>
        <w:numPr>
          <w:ilvl w:val="0"/>
          <w:numId w:val="52"/>
        </w:numPr>
        <w:tabs>
          <w:tab w:val="left" w:pos="1440"/>
        </w:tabs>
        <w:spacing w:after="60"/>
        <w:ind w:left="1440"/>
      </w:pPr>
      <w:r w:rsidRPr="00BD7CEA">
        <w:rPr>
          <w:rFonts w:eastAsia="Calibri" w:cs="Tahoma"/>
          <w:szCs w:val="18"/>
        </w:rPr>
        <w:t>Le società potranno riassegnare le licenze a un altro server. Tuttavia, qualora la società riassegni una licenza a un altro server, dovrà attenersi ai diritti sull</w:t>
      </w:r>
      <w:r w:rsidR="007A1415" w:rsidRPr="00BD7CEA">
        <w:rPr>
          <w:rFonts w:eastAsia="Calibri" w:cs="Tahoma"/>
          <w:szCs w:val="18"/>
        </w:rPr>
        <w:t>’</w:t>
      </w:r>
      <w:r w:rsidRPr="00BD7CEA">
        <w:rPr>
          <w:rFonts w:eastAsia="Calibri" w:cs="Tahoma"/>
          <w:szCs w:val="18"/>
        </w:rPr>
        <w:t>utilizzo di SQL Server 2012. Quando cede licenze core a server ai sensi dei diritti sull</w:t>
      </w:r>
      <w:r w:rsidR="007A1415" w:rsidRPr="00BD7CEA">
        <w:rPr>
          <w:rFonts w:eastAsia="Calibri" w:cs="Tahoma"/>
          <w:szCs w:val="18"/>
        </w:rPr>
        <w:t>’</w:t>
      </w:r>
      <w:r w:rsidRPr="00BD7CEA">
        <w:rPr>
          <w:rFonts w:eastAsia="Calibri" w:cs="Tahoma"/>
          <w:szCs w:val="18"/>
        </w:rPr>
        <w:t>utilizzo per SQL 2012, la società potrà combinare l</w:t>
      </w:r>
      <w:r w:rsidR="007A1415" w:rsidRPr="00BD7CEA">
        <w:rPr>
          <w:rFonts w:eastAsia="Calibri" w:cs="Tahoma"/>
          <w:szCs w:val="18"/>
        </w:rPr>
        <w:t>’</w:t>
      </w:r>
      <w:r w:rsidRPr="00BD7CEA">
        <w:rPr>
          <w:rFonts w:eastAsia="Calibri" w:cs="Tahoma"/>
          <w:szCs w:val="18"/>
        </w:rPr>
        <w:t>equivalenza core delle licenze esistenti con le licenze core per SQL Server 2012 aggiuntive.</w:t>
      </w:r>
    </w:p>
    <w:p w:rsidR="00A81E83" w:rsidRPr="00BD7CEA" w:rsidRDefault="00A81E83" w:rsidP="007358C5">
      <w:pPr>
        <w:numPr>
          <w:ilvl w:val="0"/>
          <w:numId w:val="52"/>
        </w:numPr>
        <w:tabs>
          <w:tab w:val="left" w:pos="1440"/>
        </w:tabs>
        <w:spacing w:after="60"/>
        <w:ind w:left="1440"/>
      </w:pPr>
      <w:r w:rsidRPr="00BD7CEA">
        <w:rPr>
          <w:rFonts w:eastAsia="Calibri" w:cs="Tahoma"/>
          <w:szCs w:val="18"/>
        </w:rPr>
        <w:t>L</w:t>
      </w:r>
      <w:r w:rsidR="007A1415" w:rsidRPr="00BD7CEA">
        <w:rPr>
          <w:rFonts w:eastAsia="Calibri" w:cs="Tahoma"/>
          <w:szCs w:val="18"/>
        </w:rPr>
        <w:t>’</w:t>
      </w:r>
      <w:r w:rsidRPr="00BD7CEA">
        <w:rPr>
          <w:rFonts w:eastAsia="Calibri" w:cs="Tahoma"/>
          <w:szCs w:val="18"/>
        </w:rPr>
        <w:t>equivalenza di licenze core stimata delle società non implica che esse possano cedere una licenza singola per processore a core attraverso due o più processori.</w:t>
      </w:r>
    </w:p>
    <w:p w:rsidR="009C7505" w:rsidRPr="00BD7CEA" w:rsidRDefault="009C7505" w:rsidP="009C7505">
      <w:pPr>
        <w:tabs>
          <w:tab w:val="left" w:pos="1440"/>
        </w:tabs>
        <w:ind w:left="1080"/>
      </w:pPr>
    </w:p>
    <w:p w:rsidR="009C7505" w:rsidRPr="00BD7CEA" w:rsidRDefault="00A81E83" w:rsidP="009C7505">
      <w:pPr>
        <w:tabs>
          <w:tab w:val="left" w:pos="720"/>
        </w:tabs>
        <w:spacing w:after="60"/>
        <w:ind w:left="720"/>
      </w:pPr>
      <w:r w:rsidRPr="00BD7CEA">
        <w:rPr>
          <w:rFonts w:eastAsia="Calibri" w:cs="Tahoma"/>
          <w:b/>
          <w:szCs w:val="18"/>
        </w:rPr>
        <w:t>Per le Società con copertura Software Assurance in scadenza in data 1 aprile 2015 o successiva che scelgono di non effettuare il rinnovo</w:t>
      </w:r>
    </w:p>
    <w:p w:rsidR="00A81E83" w:rsidRPr="00BD7CEA" w:rsidRDefault="00A81E83" w:rsidP="009C7505">
      <w:pPr>
        <w:tabs>
          <w:tab w:val="left" w:pos="720"/>
        </w:tabs>
        <w:ind w:left="720"/>
      </w:pPr>
      <w:r w:rsidRPr="00BD7CEA">
        <w:rPr>
          <w:rFonts w:eastAsia="Calibri" w:cs="Tahoma"/>
          <w:color w:val="000000"/>
          <w:szCs w:val="18"/>
        </w:rPr>
        <w:t xml:space="preserve">Alle società titolari di contratti Enterprise Subscription </w:t>
      </w:r>
      <w:r w:rsidRPr="00BD7CEA">
        <w:rPr>
          <w:rFonts w:eastAsia="Calibri" w:cs="Tahoma"/>
          <w:szCs w:val="18"/>
        </w:rPr>
        <w:t xml:space="preserve">e Open Value Subscription </w:t>
      </w:r>
      <w:r w:rsidRPr="00BD7CEA">
        <w:rPr>
          <w:rFonts w:eastAsia="Calibri" w:cs="Tahoma"/>
          <w:color w:val="000000"/>
          <w:szCs w:val="18"/>
        </w:rPr>
        <w:t xml:space="preserve">con copertura in scadenza in data 1 aprile 2015 o successiva che scelgono di effettuare il buy-out delle licenze per processore e alle altre società che acquistano licenze perpetue ai sensi del loro contratto verranno offerte le seguenti opzioni: </w:t>
      </w:r>
    </w:p>
    <w:p w:rsidR="009C7505" w:rsidRPr="00BD7CEA" w:rsidRDefault="009C7505" w:rsidP="009C7505">
      <w:pPr>
        <w:tabs>
          <w:tab w:val="left" w:pos="720"/>
        </w:tabs>
        <w:ind w:left="720"/>
      </w:pPr>
    </w:p>
    <w:p w:rsidR="00A81E83" w:rsidRPr="00BD7CEA" w:rsidRDefault="00A81E83" w:rsidP="007358C5">
      <w:pPr>
        <w:numPr>
          <w:ilvl w:val="0"/>
          <w:numId w:val="140"/>
        </w:numPr>
        <w:spacing w:after="60"/>
        <w:ind w:left="1440"/>
      </w:pPr>
      <w:r w:rsidRPr="00C306C5">
        <w:rPr>
          <w:rFonts w:eastAsia="Calibri" w:cs="Tahoma"/>
          <w:szCs w:val="18"/>
        </w:rPr>
        <w:t xml:space="preserve">come stabilito nel primo paragrafo di questa nota relativa al prodotto, le licenze acquistate prima del 1 aprile 2015 sono licenze qualificanti e le società potranno continuare a utilizzare SQL Server 2012 in base alle condizioni riportate nel precedente Articolo “Per le società con copertura Software Assurance in scadenza prima del 1 aprile 2015 che scelgono di non effettuare il rinnovo” e </w:t>
      </w:r>
    </w:p>
    <w:p w:rsidR="00A81E83" w:rsidRPr="00BD7CEA" w:rsidRDefault="00A81E83" w:rsidP="007358C5">
      <w:pPr>
        <w:numPr>
          <w:ilvl w:val="0"/>
          <w:numId w:val="140"/>
        </w:numPr>
        <w:spacing w:after="60"/>
        <w:ind w:left="1440"/>
      </w:pPr>
      <w:r w:rsidRPr="00BD7CEA">
        <w:rPr>
          <w:rFonts w:eastAsia="Calibri" w:cs="Tahoma"/>
          <w:szCs w:val="18"/>
        </w:rPr>
        <w:t>per le licenze acquistate dopo il 1 aprile 2015 la licenza per processore delle società avrà un</w:t>
      </w:r>
      <w:r w:rsidR="007A1415" w:rsidRPr="00BD7CEA">
        <w:rPr>
          <w:rFonts w:eastAsia="Calibri" w:cs="Tahoma"/>
          <w:szCs w:val="18"/>
        </w:rPr>
        <w:t>’</w:t>
      </w:r>
      <w:r w:rsidRPr="00BD7CEA">
        <w:rPr>
          <w:rFonts w:eastAsia="Calibri" w:cs="Tahoma"/>
          <w:szCs w:val="18"/>
        </w:rPr>
        <w:t>equivalenza core di quattro licenze core Standard per SQL Server 2012. Per l</w:t>
      </w:r>
      <w:r w:rsidR="007A1415" w:rsidRPr="00BD7CEA">
        <w:rPr>
          <w:rFonts w:eastAsia="Calibri" w:cs="Tahoma"/>
          <w:szCs w:val="18"/>
        </w:rPr>
        <w:t>’</w:t>
      </w:r>
      <w:r w:rsidRPr="00BD7CEA">
        <w:rPr>
          <w:rFonts w:eastAsia="Calibri" w:cs="Tahoma"/>
          <w:szCs w:val="18"/>
        </w:rPr>
        <w:t>utilizzo continuativo di SQL Server 2012 su processori che richiedono più di quattro licenze core per</w:t>
      </w:r>
      <w:r w:rsidR="00194AA4" w:rsidRPr="00BD7CEA">
        <w:rPr>
          <w:rFonts w:eastAsia="Calibri" w:cs="Tahoma"/>
          <w:szCs w:val="18"/>
        </w:rPr>
        <w:t> </w:t>
      </w:r>
      <w:r w:rsidRPr="00BD7CEA">
        <w:rPr>
          <w:rFonts w:eastAsia="Calibri" w:cs="Tahoma"/>
          <w:szCs w:val="18"/>
        </w:rPr>
        <w:t>processore la società deve acquistare le licenze core aggiuntive.</w:t>
      </w:r>
    </w:p>
    <w:p w:rsidR="009C7505" w:rsidRPr="00BD7CEA" w:rsidRDefault="009C7505" w:rsidP="009C7505">
      <w:pPr>
        <w:ind w:left="1440"/>
      </w:pPr>
    </w:p>
    <w:p w:rsidR="009C7505" w:rsidRPr="00BD7CEA" w:rsidRDefault="00A81E83" w:rsidP="009C7505">
      <w:pPr>
        <w:spacing w:after="60"/>
        <w:ind w:left="720"/>
      </w:pPr>
      <w:r w:rsidRPr="00BD7CEA">
        <w:rPr>
          <w:b/>
        </w:rPr>
        <w:t>Per le società con sede nella Repubblica popolare</w:t>
      </w:r>
      <w:r w:rsidRPr="00BD7CEA">
        <w:t xml:space="preserve"> </w:t>
      </w:r>
      <w:r w:rsidRPr="00BD7CEA">
        <w:rPr>
          <w:b/>
        </w:rPr>
        <w:t>cinese, dove acquistano licenze per processore e Software Assurance per SQL Server 2008 R2</w:t>
      </w:r>
    </w:p>
    <w:p w:rsidR="001D7A2C" w:rsidRPr="00BD7CEA" w:rsidRDefault="00A81E83" w:rsidP="009C7505">
      <w:pPr>
        <w:ind w:left="720"/>
      </w:pPr>
      <w:r w:rsidRPr="00BD7CEA">
        <w:t>Non si applicano i riferimenti al 1 aprile 2012 e al 1 aprile 2015 presenti in questa nota relativa alla lista dei prodotti. Le date applicabili per queste società sarebbero rispettivamente il 1 luglio 2012 e il 1 luglio 2015.</w:t>
      </w:r>
      <w:bookmarkStart w:id="1474" w:name="_821_SQL_Server®"/>
      <w:bookmarkEnd w:id="1421"/>
      <w:bookmarkEnd w:id="1422"/>
      <w:bookmarkEnd w:id="1423"/>
      <w:bookmarkEnd w:id="1424"/>
      <w:bookmarkEnd w:id="1474"/>
    </w:p>
    <w:p w:rsidR="009C7505" w:rsidRPr="00BD7CEA" w:rsidRDefault="009C7505" w:rsidP="009C7505"/>
    <w:p w:rsidR="00602EF4" w:rsidRPr="00BD7CEA" w:rsidRDefault="00602EF4" w:rsidP="00602EF4">
      <w:bookmarkStart w:id="1475" w:name="Srv_82SysCtrDataProMgr07StdSvrMgmtML"/>
      <w:bookmarkStart w:id="1476" w:name="Srv_78SysCtrDataProMgr07StdSvrMgmtML"/>
      <w:bookmarkStart w:id="1477" w:name="Srv_79SysCtrDataProMgr07StdSvrMgmtML"/>
    </w:p>
    <w:p w:rsidR="00194AA4" w:rsidRPr="00BD7CEA" w:rsidRDefault="00194AA4" w:rsidP="00602EF4"/>
    <w:p w:rsidR="00194AA4" w:rsidRPr="00BD7CEA" w:rsidRDefault="00194AA4" w:rsidP="00602EF4"/>
    <w:p w:rsidR="00194AA4" w:rsidRPr="00BD7CEA" w:rsidRDefault="00194AA4" w:rsidP="00602EF4"/>
    <w:p w:rsidR="00194AA4" w:rsidRPr="00BD7CEA" w:rsidRDefault="00194AA4" w:rsidP="00602EF4"/>
    <w:p w:rsidR="00023FE7" w:rsidRPr="00BD7CEA" w:rsidRDefault="00F66FB0" w:rsidP="0037081F">
      <w:pPr>
        <w:pStyle w:val="Heading3"/>
      </w:pPr>
      <w:bookmarkStart w:id="1478" w:name="_79_System_Center"/>
      <w:bookmarkStart w:id="1479" w:name="_86_84_System"/>
      <w:bookmarkStart w:id="1480" w:name="_Toc336338351"/>
      <w:bookmarkStart w:id="1481" w:name="_Toc353376123"/>
      <w:bookmarkStart w:id="1482" w:name="Srv_79SystemCenterEssentials07"/>
      <w:bookmarkStart w:id="1483" w:name="Srv_80SystemCenterEssentials07"/>
      <w:bookmarkStart w:id="1484" w:name="Srv_83SystemCenterEssentials07"/>
      <w:bookmarkEnd w:id="1475"/>
      <w:bookmarkEnd w:id="1476"/>
      <w:bookmarkEnd w:id="1477"/>
      <w:bookmarkEnd w:id="1478"/>
      <w:bookmarkEnd w:id="1479"/>
      <w:r w:rsidRPr="00BD7CEA">
        <w:rPr>
          <w:rFonts w:ascii="Tahoma" w:hAnsi="Tahoma"/>
          <w:caps/>
          <w:color w:val="F66400"/>
          <w:sz w:val="22"/>
          <w:vertAlign w:val="superscript"/>
        </w:rPr>
        <w:lastRenderedPageBreak/>
        <w:t>85</w:t>
      </w:r>
      <w:r w:rsidRPr="00BD7CEA">
        <w:rPr>
          <w:rFonts w:ascii="Tahoma" w:hAnsi="Tahoma"/>
          <w:color w:val="F66400"/>
          <w:sz w:val="22"/>
        </w:rPr>
        <w:t xml:space="preserve"> System Center Essentials 2010</w:t>
      </w:r>
      <w:bookmarkEnd w:id="1480"/>
      <w:bookmarkEnd w:id="1481"/>
    </w:p>
    <w:bookmarkEnd w:id="1482"/>
    <w:bookmarkEnd w:id="1483"/>
    <w:bookmarkEnd w:id="1484"/>
    <w:p w:rsidR="00A30254" w:rsidRPr="00BD7CEA" w:rsidRDefault="00A30254" w:rsidP="00194AA4">
      <w:pPr>
        <w:spacing w:after="40"/>
        <w:ind w:left="720"/>
        <w:rPr>
          <w:sz w:val="14"/>
          <w:szCs w:val="14"/>
        </w:rPr>
      </w:pPr>
    </w:p>
    <w:p w:rsidR="00A30254" w:rsidRPr="00BD7CEA" w:rsidRDefault="00A30254" w:rsidP="00A30254">
      <w:pPr>
        <w:spacing w:after="60"/>
        <w:ind w:left="720"/>
      </w:pPr>
      <w:r w:rsidRPr="00BD7CEA">
        <w:rPr>
          <w:rFonts w:cs="Tahoma"/>
          <w:b/>
          <w:color w:val="000000"/>
          <w:szCs w:val="20"/>
        </w:rPr>
        <w:t>Concessione di Licenza per le Società in possesso di Software Assurance per System Center Essentials 2010</w:t>
      </w:r>
    </w:p>
    <w:p w:rsidR="00A30254" w:rsidRPr="00BD7CEA" w:rsidRDefault="00A30254" w:rsidP="00A30254">
      <w:pPr>
        <w:pStyle w:val="EndnoteText"/>
        <w:ind w:left="720"/>
      </w:pPr>
      <w:r w:rsidRPr="00BD7CEA">
        <w:rPr>
          <w:rFonts w:ascii="Tahoma" w:hAnsi="Tahoma" w:cs="Tahoma"/>
          <w:sz w:val="18"/>
        </w:rPr>
        <w:t>La versione 2010 di System Center Essentials (SCE) sarà l</w:t>
      </w:r>
      <w:r w:rsidR="007A1415" w:rsidRPr="00BD7CEA">
        <w:rPr>
          <w:rFonts w:ascii="Tahoma" w:hAnsi="Tahoma" w:cs="Tahoma"/>
          <w:sz w:val="18"/>
        </w:rPr>
        <w:t>’</w:t>
      </w:r>
      <w:r w:rsidRPr="00BD7CEA">
        <w:rPr>
          <w:rFonts w:ascii="Tahoma" w:hAnsi="Tahoma" w:cs="Tahoma"/>
          <w:sz w:val="18"/>
        </w:rPr>
        <w:t>ultima versione del prodotto.</w:t>
      </w:r>
      <w:r w:rsidR="008D782D" w:rsidRPr="00BD7CEA">
        <w:rPr>
          <w:rFonts w:ascii="Tahoma" w:hAnsi="Tahoma" w:cs="Tahoma"/>
          <w:sz w:val="18"/>
        </w:rPr>
        <w:t xml:space="preserve"> </w:t>
      </w:r>
      <w:r w:rsidRPr="00BD7CEA">
        <w:rPr>
          <w:rFonts w:ascii="Tahoma" w:hAnsi="Tahoma" w:cs="Tahoma"/>
          <w:sz w:val="18"/>
        </w:rPr>
        <w:t>Alle società in possesso della copertura Software Assurance per SCE in data 1 marzo 2013 verranno concesse le licenze per System Center 2012 senza alcuna spesa aggiuntiva che non siano i costi (eventuali) dei supporti di memorizzazione.</w:t>
      </w:r>
      <w:r w:rsidR="008D782D" w:rsidRPr="00BD7CEA">
        <w:rPr>
          <w:rFonts w:ascii="Tahoma" w:hAnsi="Tahoma" w:cs="Tahoma"/>
          <w:sz w:val="18"/>
        </w:rPr>
        <w:t xml:space="preserve"> </w:t>
      </w:r>
      <w:r w:rsidRPr="00BD7CEA">
        <w:rPr>
          <w:rFonts w:ascii="Tahoma" w:hAnsi="Tahoma" w:cs="Tahoma"/>
          <w:sz w:val="18"/>
        </w:rPr>
        <w:t>Il numero di licenze per System Center 2012, di cui sarà idonea una società ai sensi della presente offerta, varia sulla base del numero e del tipo di licenze per SCE dotate di copertura Software Assurance che la società ha acquistato.</w:t>
      </w:r>
      <w:r w:rsidR="008D782D" w:rsidRPr="00BD7CEA">
        <w:rPr>
          <w:rFonts w:ascii="Tahoma" w:hAnsi="Tahoma" w:cs="Tahoma"/>
          <w:sz w:val="18"/>
        </w:rPr>
        <w:t xml:space="preserve"> </w:t>
      </w:r>
      <w:r w:rsidRPr="00BD7CEA">
        <w:rPr>
          <w:rFonts w:ascii="Tahoma" w:hAnsi="Tahoma" w:cs="Tahoma"/>
          <w:sz w:val="18"/>
        </w:rPr>
        <w:t>Per informazioni, vedere la tabella che segue.</w:t>
      </w:r>
    </w:p>
    <w:p w:rsidR="00A30254" w:rsidRPr="00BD7CEA" w:rsidRDefault="00A30254" w:rsidP="00A30254">
      <w:pPr>
        <w:pStyle w:val="EndnoteText"/>
        <w:rPr>
          <w:sz w:val="16"/>
          <w:szCs w:val="16"/>
        </w:rPr>
      </w:pPr>
    </w:p>
    <w:tbl>
      <w:tblPr>
        <w:tblStyle w:val="TableGrid1"/>
        <w:tblW w:w="8553" w:type="dxa"/>
        <w:tblInd w:w="824" w:type="dxa"/>
        <w:tblLook w:val="04A0" w:firstRow="1" w:lastRow="0" w:firstColumn="1" w:lastColumn="0" w:noHBand="0" w:noVBand="1"/>
      </w:tblPr>
      <w:tblGrid>
        <w:gridCol w:w="3960"/>
        <w:gridCol w:w="4593"/>
      </w:tblGrid>
      <w:tr w:rsidR="00A30254" w:rsidRPr="00BD7CEA" w:rsidTr="00CE334A">
        <w:tc>
          <w:tcPr>
            <w:tcW w:w="3960" w:type="dxa"/>
            <w:shd w:val="clear" w:color="auto" w:fill="FABF8F"/>
            <w:hideMark/>
          </w:tcPr>
          <w:p w:rsidR="00A30254" w:rsidRPr="00BD7CEA" w:rsidRDefault="00A30254" w:rsidP="00CE334A">
            <w:pPr>
              <w:ind w:left="162"/>
              <w:jc w:val="center"/>
              <w:rPr>
                <w:rFonts w:cs="Tahoma"/>
                <w:b/>
                <w:bCs/>
                <w:color w:val="000000"/>
                <w:szCs w:val="18"/>
              </w:rPr>
            </w:pPr>
            <w:r w:rsidRPr="00BD7CEA">
              <w:rPr>
                <w:rFonts w:cs="Tahoma"/>
                <w:b/>
                <w:bCs/>
                <w:color w:val="000000"/>
                <w:szCs w:val="18"/>
              </w:rPr>
              <w:t>Licenze Qualificanti con Software Assurance</w:t>
            </w:r>
          </w:p>
        </w:tc>
        <w:tc>
          <w:tcPr>
            <w:tcW w:w="4593" w:type="dxa"/>
            <w:shd w:val="clear" w:color="auto" w:fill="FABF8F"/>
            <w:hideMark/>
          </w:tcPr>
          <w:p w:rsidR="00A30254" w:rsidRPr="00BD7CEA" w:rsidRDefault="00A30254" w:rsidP="00CE334A">
            <w:pPr>
              <w:ind w:left="162"/>
              <w:jc w:val="center"/>
              <w:rPr>
                <w:rFonts w:cs="Tahoma"/>
                <w:b/>
                <w:bCs/>
                <w:color w:val="000000"/>
                <w:szCs w:val="18"/>
              </w:rPr>
            </w:pPr>
            <w:r w:rsidRPr="00BD7CEA">
              <w:rPr>
                <w:rFonts w:cs="Tahoma"/>
                <w:b/>
                <w:bCs/>
                <w:color w:val="000000"/>
                <w:szCs w:val="18"/>
              </w:rPr>
              <w:t xml:space="preserve">Concessione di Licenza per </w:t>
            </w:r>
            <w:r w:rsidR="00194AA4" w:rsidRPr="00BD7CEA">
              <w:rPr>
                <w:rFonts w:cs="Tahoma"/>
                <w:b/>
                <w:bCs/>
                <w:color w:val="000000"/>
                <w:szCs w:val="18"/>
              </w:rPr>
              <w:br/>
            </w:r>
            <w:r w:rsidRPr="00BD7CEA">
              <w:rPr>
                <w:rFonts w:cs="Tahoma"/>
                <w:b/>
                <w:bCs/>
                <w:color w:val="000000"/>
                <w:szCs w:val="18"/>
              </w:rPr>
              <w:t>System Center 2012</w:t>
            </w:r>
          </w:p>
        </w:tc>
      </w:tr>
      <w:tr w:rsidR="00A30254" w:rsidRPr="00BD7CEA" w:rsidTr="00CE334A">
        <w:tc>
          <w:tcPr>
            <w:tcW w:w="3960" w:type="dxa"/>
            <w:hideMark/>
          </w:tcPr>
          <w:p w:rsidR="00A30254" w:rsidRPr="00BD7CEA" w:rsidRDefault="00A30254" w:rsidP="00CE334A">
            <w:pPr>
              <w:ind w:left="162"/>
              <w:rPr>
                <w:rFonts w:cs="Tahoma"/>
                <w:bCs/>
                <w:color w:val="000000"/>
                <w:szCs w:val="18"/>
              </w:rPr>
            </w:pPr>
            <w:r w:rsidRPr="00BD7CEA">
              <w:rPr>
                <w:rFonts w:cs="Tahoma"/>
                <w:bCs/>
                <w:color w:val="000000"/>
                <w:szCs w:val="18"/>
              </w:rPr>
              <w:t>System Center Essentials 2010</w:t>
            </w:r>
          </w:p>
        </w:tc>
        <w:tc>
          <w:tcPr>
            <w:tcW w:w="4593" w:type="dxa"/>
            <w:hideMark/>
          </w:tcPr>
          <w:p w:rsidR="00A30254" w:rsidRPr="00BD7CEA" w:rsidRDefault="00A30254" w:rsidP="00CE334A">
            <w:pPr>
              <w:ind w:left="162"/>
              <w:rPr>
                <w:rFonts w:cs="Tahoma"/>
                <w:bCs/>
                <w:color w:val="000000"/>
                <w:szCs w:val="18"/>
              </w:rPr>
            </w:pPr>
            <w:r w:rsidRPr="00BD7CEA">
              <w:rPr>
                <w:rFonts w:cs="Tahoma"/>
                <w:bCs/>
                <w:color w:val="000000"/>
                <w:szCs w:val="18"/>
              </w:rPr>
              <w:t>una Licenza di Gestione Server per System Center 2012 Standard per ogni otto* licenze qualificanti</w:t>
            </w:r>
          </w:p>
        </w:tc>
      </w:tr>
      <w:tr w:rsidR="00A30254" w:rsidRPr="00BD7CEA" w:rsidTr="00CE334A">
        <w:tc>
          <w:tcPr>
            <w:tcW w:w="3960" w:type="dxa"/>
            <w:hideMark/>
          </w:tcPr>
          <w:p w:rsidR="00A30254" w:rsidRPr="00BD7CEA" w:rsidRDefault="00A30254" w:rsidP="00CE334A">
            <w:pPr>
              <w:ind w:left="162"/>
              <w:rPr>
                <w:rFonts w:cs="Tahoma"/>
                <w:bCs/>
                <w:color w:val="000000"/>
                <w:szCs w:val="18"/>
              </w:rPr>
            </w:pPr>
            <w:r w:rsidRPr="00BD7CEA">
              <w:rPr>
                <w:rFonts w:cs="Tahoma"/>
                <w:bCs/>
                <w:color w:val="000000"/>
                <w:szCs w:val="18"/>
              </w:rPr>
              <w:t>System Center Essentials 2010 con SQL</w:t>
            </w:r>
          </w:p>
        </w:tc>
        <w:tc>
          <w:tcPr>
            <w:tcW w:w="4593" w:type="dxa"/>
            <w:hideMark/>
          </w:tcPr>
          <w:p w:rsidR="00A30254" w:rsidRPr="00BD7CEA" w:rsidRDefault="00A30254" w:rsidP="00CE334A">
            <w:pPr>
              <w:ind w:left="162"/>
              <w:rPr>
                <w:rFonts w:cs="Tahoma"/>
                <w:bCs/>
                <w:color w:val="000000"/>
                <w:szCs w:val="18"/>
              </w:rPr>
            </w:pPr>
            <w:r w:rsidRPr="00BD7CEA">
              <w:rPr>
                <w:rFonts w:cs="Tahoma"/>
                <w:bCs/>
                <w:color w:val="000000"/>
                <w:szCs w:val="18"/>
              </w:rPr>
              <w:t>una Licenza di Gestione Server per System Center</w:t>
            </w:r>
            <w:r w:rsidR="00194AA4" w:rsidRPr="00BD7CEA">
              <w:rPr>
                <w:rFonts w:cs="Tahoma"/>
                <w:bCs/>
                <w:color w:val="000000"/>
                <w:szCs w:val="18"/>
              </w:rPr>
              <w:t> </w:t>
            </w:r>
            <w:r w:rsidRPr="00BD7CEA">
              <w:rPr>
                <w:rFonts w:cs="Tahoma"/>
                <w:bCs/>
                <w:color w:val="000000"/>
                <w:szCs w:val="18"/>
              </w:rPr>
              <w:t>2012 Standard per ogni licenza qualificante</w:t>
            </w:r>
          </w:p>
        </w:tc>
      </w:tr>
      <w:tr w:rsidR="00A30254" w:rsidRPr="00BD7CEA" w:rsidTr="00CE334A">
        <w:tc>
          <w:tcPr>
            <w:tcW w:w="3960" w:type="dxa"/>
            <w:hideMark/>
          </w:tcPr>
          <w:p w:rsidR="00A30254" w:rsidRPr="00BD7CEA" w:rsidRDefault="00A30254" w:rsidP="00CE334A">
            <w:pPr>
              <w:ind w:left="162"/>
              <w:rPr>
                <w:rFonts w:cs="Tahoma"/>
                <w:bCs/>
                <w:color w:val="000000"/>
                <w:szCs w:val="18"/>
              </w:rPr>
            </w:pPr>
            <w:r w:rsidRPr="00BD7CEA">
              <w:rPr>
                <w:rFonts w:cs="Tahoma"/>
                <w:bCs/>
                <w:color w:val="000000"/>
                <w:szCs w:val="18"/>
              </w:rPr>
              <w:t>Licenza di Gestione Server per System Center Essentials 2010</w:t>
            </w:r>
          </w:p>
        </w:tc>
        <w:tc>
          <w:tcPr>
            <w:tcW w:w="4593" w:type="dxa"/>
            <w:hideMark/>
          </w:tcPr>
          <w:p w:rsidR="00A30254" w:rsidRPr="00BD7CEA" w:rsidRDefault="00A30254" w:rsidP="00CE334A">
            <w:pPr>
              <w:ind w:left="162"/>
              <w:rPr>
                <w:rFonts w:cs="Tahoma"/>
                <w:bCs/>
                <w:color w:val="000000"/>
                <w:szCs w:val="18"/>
              </w:rPr>
            </w:pPr>
            <w:r w:rsidRPr="00BD7CEA">
              <w:rPr>
                <w:rFonts w:cs="Tahoma"/>
                <w:bCs/>
                <w:color w:val="000000"/>
                <w:szCs w:val="18"/>
              </w:rPr>
              <w:t>una Licenza di Gestione Server per System Center 2012 Standard per ogni otto* licenze qualificanti</w:t>
            </w:r>
          </w:p>
        </w:tc>
      </w:tr>
      <w:tr w:rsidR="00A30254" w:rsidRPr="00BD7CEA" w:rsidTr="00CE334A">
        <w:tc>
          <w:tcPr>
            <w:tcW w:w="3960" w:type="dxa"/>
            <w:hideMark/>
          </w:tcPr>
          <w:p w:rsidR="00A30254" w:rsidRPr="00BD7CEA" w:rsidRDefault="00A30254" w:rsidP="00CE334A">
            <w:pPr>
              <w:ind w:left="162"/>
            </w:pPr>
            <w:r w:rsidRPr="00BD7CEA">
              <w:rPr>
                <w:rFonts w:cs="Tahoma"/>
                <w:bCs/>
                <w:color w:val="000000"/>
                <w:szCs w:val="18"/>
              </w:rPr>
              <w:t>System Center Essentials 2010 Plus</w:t>
            </w:r>
          </w:p>
          <w:p w:rsidR="00A30254" w:rsidRPr="00BD7CEA" w:rsidRDefault="00A30254" w:rsidP="00CE334A">
            <w:pPr>
              <w:ind w:left="162"/>
              <w:rPr>
                <w:rFonts w:cs="Tahoma"/>
                <w:bCs/>
                <w:color w:val="000000"/>
                <w:szCs w:val="18"/>
              </w:rPr>
            </w:pPr>
            <w:r w:rsidRPr="00BD7CEA">
              <w:rPr>
                <w:rFonts w:cs="Tahoma"/>
                <w:bCs/>
                <w:color w:val="000000"/>
                <w:szCs w:val="18"/>
              </w:rPr>
              <w:t>Suite di Licenze di Gestione Server</w:t>
            </w:r>
          </w:p>
        </w:tc>
        <w:tc>
          <w:tcPr>
            <w:tcW w:w="4593" w:type="dxa"/>
            <w:hideMark/>
          </w:tcPr>
          <w:p w:rsidR="00A30254" w:rsidRPr="00BD7CEA" w:rsidRDefault="00A30254" w:rsidP="00CE334A">
            <w:pPr>
              <w:ind w:left="162"/>
              <w:rPr>
                <w:rFonts w:cs="Tahoma"/>
                <w:bCs/>
                <w:color w:val="000000"/>
                <w:szCs w:val="18"/>
              </w:rPr>
            </w:pPr>
            <w:r w:rsidRPr="00BD7CEA">
              <w:rPr>
                <w:rFonts w:cs="Tahoma"/>
                <w:bCs/>
                <w:color w:val="000000"/>
                <w:szCs w:val="18"/>
              </w:rPr>
              <w:t>una Licenza di Gestione Server per System Center 2012 Standard per ogni due** licenze qualificanti</w:t>
            </w:r>
          </w:p>
        </w:tc>
      </w:tr>
      <w:tr w:rsidR="00A30254" w:rsidRPr="00BD7CEA" w:rsidTr="00CE334A">
        <w:tc>
          <w:tcPr>
            <w:tcW w:w="3960" w:type="dxa"/>
            <w:hideMark/>
          </w:tcPr>
          <w:p w:rsidR="00A30254" w:rsidRPr="00BD7CEA" w:rsidRDefault="00A30254" w:rsidP="00CE334A">
            <w:pPr>
              <w:ind w:left="162"/>
              <w:rPr>
                <w:rFonts w:cs="Tahoma"/>
                <w:bCs/>
                <w:color w:val="000000"/>
                <w:szCs w:val="18"/>
              </w:rPr>
            </w:pPr>
            <w:r w:rsidRPr="00BD7CEA">
              <w:rPr>
                <w:rFonts w:cs="Tahoma"/>
                <w:bCs/>
                <w:color w:val="000000"/>
                <w:szCs w:val="18"/>
              </w:rPr>
              <w:t>Licenza di Gestione Client per System Center Essentials 2010</w:t>
            </w:r>
          </w:p>
        </w:tc>
        <w:tc>
          <w:tcPr>
            <w:tcW w:w="4593" w:type="dxa"/>
            <w:hideMark/>
          </w:tcPr>
          <w:p w:rsidR="00A30254" w:rsidRPr="00BD7CEA" w:rsidRDefault="00A30254" w:rsidP="00CE334A">
            <w:pPr>
              <w:ind w:left="162"/>
              <w:rPr>
                <w:rFonts w:cs="Tahoma"/>
                <w:bCs/>
                <w:color w:val="000000"/>
                <w:szCs w:val="18"/>
              </w:rPr>
            </w:pPr>
            <w:r w:rsidRPr="00BD7CEA">
              <w:rPr>
                <w:rFonts w:cs="Tahoma"/>
                <w:bCs/>
                <w:color w:val="000000"/>
                <w:szCs w:val="18"/>
              </w:rPr>
              <w:t>una Licenza di Gestione Client per System Center</w:t>
            </w:r>
            <w:r w:rsidR="00194AA4" w:rsidRPr="00BD7CEA">
              <w:rPr>
                <w:rFonts w:cs="Tahoma"/>
                <w:bCs/>
                <w:color w:val="000000"/>
                <w:szCs w:val="18"/>
              </w:rPr>
              <w:t> </w:t>
            </w:r>
            <w:r w:rsidRPr="00BD7CEA">
              <w:rPr>
                <w:rFonts w:cs="Tahoma"/>
                <w:bCs/>
                <w:color w:val="000000"/>
                <w:szCs w:val="18"/>
              </w:rPr>
              <w:t>2012 Configuration Manager per ogni licenza qualificante</w:t>
            </w:r>
          </w:p>
        </w:tc>
      </w:tr>
      <w:tr w:rsidR="00A30254" w:rsidRPr="00BD7CEA" w:rsidTr="00CE334A">
        <w:tc>
          <w:tcPr>
            <w:tcW w:w="3960" w:type="dxa"/>
            <w:hideMark/>
          </w:tcPr>
          <w:p w:rsidR="00A30254" w:rsidRPr="00BD7CEA" w:rsidRDefault="00A30254" w:rsidP="00CE334A">
            <w:pPr>
              <w:ind w:left="162"/>
              <w:rPr>
                <w:rFonts w:cs="Tahoma"/>
                <w:bCs/>
                <w:color w:val="000000"/>
                <w:szCs w:val="18"/>
              </w:rPr>
            </w:pPr>
            <w:r w:rsidRPr="00BD7CEA">
              <w:rPr>
                <w:rFonts w:cs="Tahoma"/>
                <w:bCs/>
                <w:color w:val="000000"/>
                <w:szCs w:val="18"/>
              </w:rPr>
              <w:t>Licenza di Gestione Client per System Center Essentials 2010 Plus</w:t>
            </w:r>
          </w:p>
        </w:tc>
        <w:tc>
          <w:tcPr>
            <w:tcW w:w="4593" w:type="dxa"/>
            <w:hideMark/>
          </w:tcPr>
          <w:p w:rsidR="00A30254" w:rsidRPr="00BD7CEA" w:rsidRDefault="00A30254" w:rsidP="00194AA4">
            <w:pPr>
              <w:ind w:left="162"/>
              <w:rPr>
                <w:rFonts w:cs="Tahoma"/>
                <w:bCs/>
                <w:color w:val="000000"/>
                <w:szCs w:val="18"/>
              </w:rPr>
            </w:pPr>
            <w:r w:rsidRPr="00BD7CEA">
              <w:rPr>
                <w:rFonts w:cs="Tahoma"/>
                <w:bCs/>
                <w:color w:val="000000"/>
                <w:szCs w:val="18"/>
              </w:rPr>
              <w:t>una Licenza di Gestione Client per System Center</w:t>
            </w:r>
            <w:r w:rsidR="00194AA4" w:rsidRPr="00BD7CEA">
              <w:rPr>
                <w:rFonts w:cs="Tahoma"/>
                <w:bCs/>
                <w:color w:val="000000"/>
                <w:szCs w:val="18"/>
              </w:rPr>
              <w:t> </w:t>
            </w:r>
            <w:r w:rsidRPr="00BD7CEA">
              <w:rPr>
                <w:rFonts w:cs="Tahoma"/>
                <w:bCs/>
                <w:color w:val="000000"/>
                <w:szCs w:val="18"/>
              </w:rPr>
              <w:t>2012 Configuration Manager per ogni licenza qualificante</w:t>
            </w:r>
          </w:p>
        </w:tc>
      </w:tr>
      <w:tr w:rsidR="00A30254" w:rsidRPr="00BD7CEA" w:rsidTr="00CE334A">
        <w:tc>
          <w:tcPr>
            <w:tcW w:w="3960" w:type="dxa"/>
            <w:hideMark/>
          </w:tcPr>
          <w:p w:rsidR="00A30254" w:rsidRPr="00BD7CEA" w:rsidRDefault="00A30254" w:rsidP="00CE334A">
            <w:pPr>
              <w:ind w:left="162"/>
              <w:rPr>
                <w:rFonts w:cs="Tahoma"/>
                <w:bCs/>
                <w:color w:val="000000"/>
                <w:szCs w:val="18"/>
              </w:rPr>
            </w:pPr>
            <w:r w:rsidRPr="00BD7CEA">
              <w:rPr>
                <w:rFonts w:cs="Tahoma"/>
                <w:bCs/>
                <w:color w:val="000000"/>
                <w:szCs w:val="18"/>
              </w:rPr>
              <w:t>Licenza Server per Virtual Machine Manager Workgroup Edition</w:t>
            </w:r>
          </w:p>
        </w:tc>
        <w:tc>
          <w:tcPr>
            <w:tcW w:w="4593" w:type="dxa"/>
            <w:hideMark/>
          </w:tcPr>
          <w:p w:rsidR="00A30254" w:rsidRPr="00BD7CEA" w:rsidRDefault="00A30254" w:rsidP="00CE334A">
            <w:pPr>
              <w:ind w:left="162"/>
              <w:rPr>
                <w:rFonts w:cs="Tahoma"/>
                <w:bCs/>
                <w:color w:val="000000"/>
                <w:szCs w:val="18"/>
              </w:rPr>
            </w:pPr>
            <w:r w:rsidRPr="00BD7CEA">
              <w:rPr>
                <w:rFonts w:cs="Tahoma"/>
                <w:bCs/>
                <w:color w:val="000000"/>
                <w:szCs w:val="18"/>
              </w:rPr>
              <w:t>una Licenza di Gestione Server per System Center 2012 Standard per ogni due** licenze qualificanti</w:t>
            </w:r>
          </w:p>
        </w:tc>
      </w:tr>
    </w:tbl>
    <w:p w:rsidR="00A30254" w:rsidRPr="00BD7CEA" w:rsidRDefault="00A30254" w:rsidP="00A30254">
      <w:pPr>
        <w:pStyle w:val="EndnoteText"/>
        <w:rPr>
          <w:sz w:val="16"/>
          <w:szCs w:val="16"/>
        </w:rPr>
      </w:pPr>
      <w:r w:rsidRPr="00BD7CEA">
        <w:rPr>
          <w:rFonts w:ascii="Tahoma" w:hAnsi="Tahoma" w:cs="Tahoma"/>
          <w:i/>
          <w:sz w:val="16"/>
          <w:szCs w:val="16"/>
        </w:rPr>
        <w:t>*Il numero di licenze per le società con meno di otto licenze qualificanti verrà arrotondato a otto ai fini di determinare la loro concessione di licenza ai sensi della presente offerta.</w:t>
      </w:r>
      <w:r w:rsidR="008D782D" w:rsidRPr="00BD7CEA">
        <w:rPr>
          <w:rFonts w:ascii="Tahoma" w:hAnsi="Tahoma" w:cs="Tahoma"/>
          <w:i/>
          <w:sz w:val="16"/>
          <w:szCs w:val="16"/>
        </w:rPr>
        <w:t xml:space="preserve"> </w:t>
      </w:r>
      <w:r w:rsidRPr="00BD7CEA">
        <w:rPr>
          <w:rFonts w:ascii="Tahoma" w:hAnsi="Tahoma" w:cs="Tahoma"/>
          <w:i/>
          <w:sz w:val="16"/>
          <w:szCs w:val="16"/>
        </w:rPr>
        <w:t>Analogamente, il numero di licenze per le società con una quantità di licenze superiori a otto verrà arrotondato al multiplo di otto più vicino ai fini di determinare la loro concessione di licenza ai sensi della presente offerta.</w:t>
      </w:r>
    </w:p>
    <w:p w:rsidR="00A30254" w:rsidRPr="00BD7CEA" w:rsidRDefault="00A30254" w:rsidP="00A30254">
      <w:pPr>
        <w:pStyle w:val="EndnoteText"/>
        <w:rPr>
          <w:sz w:val="16"/>
          <w:szCs w:val="16"/>
        </w:rPr>
      </w:pPr>
    </w:p>
    <w:p w:rsidR="00A30254" w:rsidRPr="00BD7CEA" w:rsidRDefault="00A30254" w:rsidP="00A30254">
      <w:pPr>
        <w:pStyle w:val="EndnoteText"/>
        <w:rPr>
          <w:sz w:val="16"/>
          <w:szCs w:val="16"/>
        </w:rPr>
      </w:pPr>
      <w:r w:rsidRPr="00BD7CEA">
        <w:rPr>
          <w:rFonts w:ascii="Tahoma" w:hAnsi="Tahoma" w:cs="Tahoma"/>
          <w:i/>
          <w:sz w:val="16"/>
          <w:szCs w:val="16"/>
        </w:rPr>
        <w:t>**Il numero di licenze per le società con meno di due licenze qualificanti verrà arrotondato a due ai fini di determinare la loro concessione di licenza ai sensi della presente offerta.</w:t>
      </w:r>
      <w:r w:rsidR="008D782D" w:rsidRPr="00BD7CEA">
        <w:rPr>
          <w:rFonts w:ascii="Tahoma" w:hAnsi="Tahoma" w:cs="Tahoma"/>
          <w:i/>
          <w:sz w:val="16"/>
          <w:szCs w:val="16"/>
        </w:rPr>
        <w:t xml:space="preserve"> </w:t>
      </w:r>
      <w:r w:rsidRPr="00BD7CEA">
        <w:rPr>
          <w:rFonts w:ascii="Tahoma" w:hAnsi="Tahoma" w:cs="Tahoma"/>
          <w:i/>
          <w:sz w:val="16"/>
          <w:szCs w:val="16"/>
        </w:rPr>
        <w:t>Analogamente, il numero di licenze per le società con una quantità di licenze superiori a due verrà arrotondato al multiplo di due più vicino ai fini di determinare la loro concessione di licenza ai sensi della presente offerta.</w:t>
      </w:r>
    </w:p>
    <w:p w:rsidR="00A30254" w:rsidRPr="00BD7CEA" w:rsidRDefault="00A30254" w:rsidP="00CE334A">
      <w:pPr>
        <w:spacing w:line="276" w:lineRule="auto"/>
        <w:rPr>
          <w:sz w:val="16"/>
          <w:szCs w:val="16"/>
        </w:rPr>
      </w:pPr>
    </w:p>
    <w:p w:rsidR="00A30254" w:rsidRPr="00BD7CEA" w:rsidRDefault="00A30254" w:rsidP="00CE334A">
      <w:pPr>
        <w:pStyle w:val="EndnoteText"/>
        <w:ind w:left="720"/>
      </w:pPr>
      <w:r w:rsidRPr="00BD7CEA">
        <w:rPr>
          <w:rFonts w:ascii="Tahoma" w:hAnsi="Tahoma" w:cs="Tahoma"/>
          <w:sz w:val="18"/>
          <w:szCs w:val="18"/>
        </w:rPr>
        <w:t>Tutte le licenze concesse ai sensi della presente offerta includeranno la copertura Software Assurance. Tale</w:t>
      </w:r>
      <w:r w:rsidR="00194AA4" w:rsidRPr="00BD7CEA">
        <w:rPr>
          <w:rFonts w:ascii="Tahoma" w:hAnsi="Tahoma" w:cs="Tahoma"/>
          <w:sz w:val="18"/>
          <w:szCs w:val="18"/>
        </w:rPr>
        <w:t> </w:t>
      </w:r>
      <w:r w:rsidRPr="00BD7CEA">
        <w:rPr>
          <w:rFonts w:ascii="Tahoma" w:hAnsi="Tahoma" w:cs="Tahoma"/>
          <w:sz w:val="18"/>
          <w:szCs w:val="18"/>
        </w:rPr>
        <w:t xml:space="preserve">copertura cesserà alla scadenza della copertura per le licenze per SCE qualificanti. Alla scadenza della copertura, le società potranno rinnovare Software Assurance per le licenze per System Center 2012. </w:t>
      </w:r>
    </w:p>
    <w:p w:rsidR="00A30254" w:rsidRPr="00BD7CEA" w:rsidRDefault="00A30254" w:rsidP="00CE334A">
      <w:pPr>
        <w:spacing w:line="276" w:lineRule="auto"/>
        <w:rPr>
          <w:sz w:val="16"/>
          <w:szCs w:val="16"/>
        </w:rPr>
      </w:pPr>
    </w:p>
    <w:p w:rsidR="00A30254" w:rsidRPr="00BD7CEA" w:rsidRDefault="00A30254" w:rsidP="00CE334A">
      <w:pPr>
        <w:pStyle w:val="EndnoteText"/>
        <w:ind w:left="720"/>
      </w:pPr>
      <w:r w:rsidRPr="00BD7CEA">
        <w:rPr>
          <w:rFonts w:ascii="Tahoma" w:hAnsi="Tahoma" w:cs="Tahoma"/>
          <w:sz w:val="18"/>
          <w:szCs w:val="18"/>
        </w:rPr>
        <w:t>L</w:t>
      </w:r>
      <w:r w:rsidR="007A1415" w:rsidRPr="00BD7CEA">
        <w:rPr>
          <w:rFonts w:ascii="Tahoma" w:hAnsi="Tahoma" w:cs="Tahoma"/>
          <w:sz w:val="18"/>
          <w:szCs w:val="18"/>
        </w:rPr>
        <w:t>’</w:t>
      </w:r>
      <w:r w:rsidRPr="00BD7CEA">
        <w:rPr>
          <w:rFonts w:ascii="Tahoma" w:hAnsi="Tahoma" w:cs="Tahoma"/>
          <w:sz w:val="18"/>
          <w:szCs w:val="18"/>
        </w:rPr>
        <w:t>utilizzo del software da parte della società ai sensi della presente offerta sarà soggetto alle condizioni del relativo contratto di licenza e ai diritti di utilizzo del prodotto relativi al software. Il diritto di utilizzo del software in concessione cesserà alla scadenza del diritto di utilizzo della licenza per SCE qualificante. Le</w:t>
      </w:r>
      <w:r w:rsidR="00194AA4" w:rsidRPr="00BD7CEA">
        <w:rPr>
          <w:rFonts w:ascii="Tahoma" w:hAnsi="Tahoma" w:cs="Tahoma"/>
          <w:sz w:val="18"/>
          <w:szCs w:val="18"/>
        </w:rPr>
        <w:t> </w:t>
      </w:r>
      <w:r w:rsidRPr="00BD7CEA">
        <w:rPr>
          <w:rFonts w:ascii="Tahoma" w:hAnsi="Tahoma" w:cs="Tahoma"/>
          <w:sz w:val="18"/>
          <w:szCs w:val="18"/>
        </w:rPr>
        <w:t>società non potranno trasferire le licenze concesse ai sensi della presente offerta separatamente dalle</w:t>
      </w:r>
      <w:r w:rsidR="00194AA4" w:rsidRPr="00BD7CEA">
        <w:rPr>
          <w:rFonts w:ascii="Tahoma" w:hAnsi="Tahoma" w:cs="Tahoma"/>
          <w:sz w:val="18"/>
          <w:szCs w:val="18"/>
        </w:rPr>
        <w:t> </w:t>
      </w:r>
      <w:r w:rsidRPr="00BD7CEA">
        <w:rPr>
          <w:rFonts w:ascii="Tahoma" w:hAnsi="Tahoma" w:cs="Tahoma"/>
          <w:sz w:val="18"/>
          <w:szCs w:val="18"/>
        </w:rPr>
        <w:t>licenze per SCE qualificanti corrispondenti.</w:t>
      </w:r>
    </w:p>
    <w:p w:rsidR="00A30254" w:rsidRPr="00BD7CEA" w:rsidRDefault="00A30254" w:rsidP="00CE334A">
      <w:pPr>
        <w:pStyle w:val="EndnoteText"/>
        <w:ind w:left="720"/>
        <w:rPr>
          <w:sz w:val="16"/>
          <w:szCs w:val="16"/>
        </w:rPr>
      </w:pPr>
    </w:p>
    <w:p w:rsidR="00A30254" w:rsidRPr="00BD7CEA" w:rsidRDefault="00A30254" w:rsidP="00CE334A">
      <w:pPr>
        <w:ind w:left="720"/>
      </w:pPr>
      <w:r w:rsidRPr="00BD7CEA">
        <w:rPr>
          <w:rFonts w:eastAsia="Calibri" w:cs="Tahoma"/>
          <w:color w:val="000000"/>
          <w:szCs w:val="18"/>
        </w:rPr>
        <w:t>Le licenze per SCE,</w:t>
      </w:r>
      <w:r w:rsidRPr="00BD7CEA">
        <w:rPr>
          <w:rFonts w:cs="Tahoma"/>
          <w:bCs/>
          <w:szCs w:val="18"/>
        </w:rPr>
        <w:t xml:space="preserve"> acquistate dopo il 1 marzo 2013 nell</w:t>
      </w:r>
      <w:r w:rsidR="007A1415" w:rsidRPr="00BD7CEA">
        <w:rPr>
          <w:rFonts w:cs="Tahoma"/>
          <w:bCs/>
          <w:szCs w:val="18"/>
        </w:rPr>
        <w:t>’</w:t>
      </w:r>
      <w:r w:rsidRPr="00BD7CEA">
        <w:rPr>
          <w:rFonts w:cs="Tahoma"/>
          <w:bCs/>
          <w:szCs w:val="18"/>
        </w:rPr>
        <w:t xml:space="preserve">ambito di una procedura annuale di true-up della società per le Iscrizioni Enterprise o Enrollment for Education Solutions ai sensi delle quali le licenze per </w:t>
      </w:r>
      <w:r w:rsidRPr="00BD7CEA">
        <w:rPr>
          <w:rFonts w:eastAsia="Calibri" w:cs="Tahoma"/>
          <w:color w:val="000000"/>
          <w:szCs w:val="18"/>
        </w:rPr>
        <w:t>SCE</w:t>
      </w:r>
      <w:r w:rsidRPr="00BD7CEA">
        <w:rPr>
          <w:rFonts w:cs="Tahoma"/>
          <w:bCs/>
          <w:szCs w:val="18"/>
        </w:rPr>
        <w:t xml:space="preserve"> sono state inizialmente acquistate prima del 1 marzo 2013, sono anch</w:t>
      </w:r>
      <w:r w:rsidR="007A1415" w:rsidRPr="00BD7CEA">
        <w:rPr>
          <w:rFonts w:cs="Tahoma"/>
          <w:bCs/>
          <w:szCs w:val="18"/>
        </w:rPr>
        <w:t>’</w:t>
      </w:r>
      <w:r w:rsidRPr="00BD7CEA">
        <w:rPr>
          <w:rFonts w:cs="Tahoma"/>
          <w:bCs/>
          <w:szCs w:val="18"/>
        </w:rPr>
        <w:t>esse licenze per SCE qualificanti ai fini della presente concessione.</w:t>
      </w:r>
    </w:p>
    <w:p w:rsidR="00A30254" w:rsidRPr="00BD7CEA" w:rsidRDefault="00A30254" w:rsidP="00CE334A">
      <w:pPr>
        <w:ind w:left="720"/>
        <w:rPr>
          <w:sz w:val="16"/>
          <w:szCs w:val="16"/>
        </w:rPr>
      </w:pPr>
    </w:p>
    <w:p w:rsidR="00A30254" w:rsidRPr="00BD7CEA" w:rsidRDefault="00A30254" w:rsidP="00CE334A">
      <w:pPr>
        <w:ind w:left="720"/>
      </w:pPr>
      <w:r w:rsidRPr="00BD7CEA">
        <w:rPr>
          <w:rFonts w:cs="Tahoma"/>
          <w:bCs/>
          <w:szCs w:val="18"/>
        </w:rPr>
        <w:t>Per le società titolari di Contratti Enrollment for Education Solutions, Enterprise Subscription, Campus e School e Open Value Subscription, gli stessi diritti verranno concessi temporaneamente fino al termine del periodo di validità dell</w:t>
      </w:r>
      <w:r w:rsidR="007A1415" w:rsidRPr="00BD7CEA">
        <w:rPr>
          <w:rFonts w:cs="Tahoma"/>
          <w:bCs/>
          <w:szCs w:val="18"/>
        </w:rPr>
        <w:t>’</w:t>
      </w:r>
      <w:r w:rsidRPr="00BD7CEA">
        <w:rPr>
          <w:rFonts w:cs="Tahoma"/>
          <w:bCs/>
          <w:szCs w:val="18"/>
        </w:rPr>
        <w:t>iscrizione della licenza, purché le Licenze e la copertura Software Assurance siano valide durante il periodo di concessione e la società mantenga la copertura della sottoscrizione in via continuativa.</w:t>
      </w:r>
      <w:r w:rsidR="008D782D" w:rsidRPr="00BD7CEA">
        <w:rPr>
          <w:rFonts w:cs="Tahoma"/>
          <w:bCs/>
          <w:szCs w:val="18"/>
        </w:rPr>
        <w:t xml:space="preserve"> </w:t>
      </w:r>
      <w:r w:rsidRPr="00BD7CEA">
        <w:rPr>
          <w:rFonts w:cs="Tahoma"/>
          <w:bCs/>
          <w:szCs w:val="18"/>
        </w:rPr>
        <w:t>Tali diritti diventeranno permanenti soltanto all</w:t>
      </w:r>
      <w:r w:rsidR="007A1415" w:rsidRPr="00BD7CEA">
        <w:rPr>
          <w:rFonts w:cs="Tahoma"/>
          <w:bCs/>
          <w:szCs w:val="18"/>
        </w:rPr>
        <w:t>’</w:t>
      </w:r>
      <w:r w:rsidRPr="00BD7CEA">
        <w:rPr>
          <w:rFonts w:cs="Tahoma"/>
          <w:bCs/>
          <w:szCs w:val="18"/>
        </w:rPr>
        <w:t>esercizio dell</w:t>
      </w:r>
      <w:r w:rsidR="007A1415" w:rsidRPr="00BD7CEA">
        <w:rPr>
          <w:rFonts w:cs="Tahoma"/>
          <w:bCs/>
          <w:szCs w:val="18"/>
        </w:rPr>
        <w:t>’</w:t>
      </w:r>
      <w:r w:rsidRPr="00BD7CEA">
        <w:rPr>
          <w:rFonts w:cs="Tahoma"/>
          <w:bCs/>
          <w:szCs w:val="18"/>
        </w:rPr>
        <w:t>opzione buy-out e resteranno soggetti a tutte le condizioni del contratto di licenza della società.</w:t>
      </w:r>
    </w:p>
    <w:p w:rsidR="00CE2BD2" w:rsidRPr="00BD7CEA" w:rsidRDefault="00CE2BD2" w:rsidP="006D6A83">
      <w:pPr>
        <w:spacing w:after="60"/>
        <w:ind w:left="720"/>
      </w:pPr>
      <w:r w:rsidRPr="00BD7CEA">
        <w:rPr>
          <w:rFonts w:cs="Tahoma"/>
          <w:b/>
          <w:color w:val="000000"/>
          <w:szCs w:val="20"/>
        </w:rPr>
        <w:lastRenderedPageBreak/>
        <w:t>Percorso di Migrazione da System Center Essentials 2007 (SCE 2007) a System Center Essentials 2010 (SCE 2010)</w:t>
      </w:r>
    </w:p>
    <w:p w:rsidR="00A30254" w:rsidRPr="00BD7CEA" w:rsidRDefault="00A30254" w:rsidP="00A30254">
      <w:pPr>
        <w:ind w:left="720"/>
      </w:pPr>
      <w:r w:rsidRPr="00BD7CEA">
        <w:rPr>
          <w:rFonts w:cs="Tahoma"/>
          <w:color w:val="000000"/>
          <w:szCs w:val="20"/>
        </w:rPr>
        <w:t>Per le condizioni che disciplinano il diritto delle società di eseguire l</w:t>
      </w:r>
      <w:r w:rsidR="007A1415" w:rsidRPr="00BD7CEA">
        <w:rPr>
          <w:rFonts w:cs="Tahoma"/>
          <w:color w:val="000000"/>
          <w:szCs w:val="20"/>
        </w:rPr>
        <w:t>’</w:t>
      </w:r>
      <w:r w:rsidRPr="00BD7CEA">
        <w:rPr>
          <w:rFonts w:cs="Tahoma"/>
          <w:color w:val="000000"/>
          <w:szCs w:val="20"/>
        </w:rPr>
        <w:t>aggiornamento a SCE 2010 da SCE 2007 ai sensi della copertura Software Assurance, vedere la Lista dei Prodotti del mese di febbraio 2013.</w:t>
      </w:r>
    </w:p>
    <w:p w:rsidR="00CE2BD2" w:rsidRPr="00BD7CEA" w:rsidRDefault="00CE2BD2" w:rsidP="00CE2BD2">
      <w:pPr>
        <w:ind w:left="720"/>
      </w:pPr>
    </w:p>
    <w:p w:rsidR="00ED5504" w:rsidRPr="00BD7CEA" w:rsidRDefault="00F66FB0" w:rsidP="00ED5504">
      <w:pPr>
        <w:pStyle w:val="Heading3"/>
      </w:pPr>
      <w:bookmarkStart w:id="1485" w:name="_80_System_Center"/>
      <w:bookmarkStart w:id="1486" w:name="_95_System_Center"/>
      <w:bookmarkStart w:id="1487" w:name="_81_System_Center"/>
      <w:bookmarkStart w:id="1488" w:name="_82_System_Center"/>
      <w:bookmarkStart w:id="1489" w:name="_83_System_Center"/>
      <w:bookmarkStart w:id="1490" w:name="_84__System"/>
      <w:bookmarkStart w:id="1491" w:name="_87_85_System"/>
      <w:bookmarkStart w:id="1492" w:name="_Toc336338353"/>
      <w:bookmarkStart w:id="1493" w:name="_Toc353376124"/>
      <w:bookmarkStart w:id="1494" w:name="Srv_88SystemCtrReportMgr2006"/>
      <w:bookmarkStart w:id="1495" w:name="Srv_89SysCtrSvrMgmtSuiteEnterprise"/>
      <w:bookmarkEnd w:id="1485"/>
      <w:bookmarkEnd w:id="1486"/>
      <w:bookmarkEnd w:id="1487"/>
      <w:bookmarkEnd w:id="1488"/>
      <w:bookmarkEnd w:id="1489"/>
      <w:bookmarkEnd w:id="1490"/>
      <w:bookmarkEnd w:id="1491"/>
      <w:r w:rsidRPr="00BD7CEA">
        <w:rPr>
          <w:rFonts w:ascii="Tahoma" w:hAnsi="Tahoma"/>
          <w:caps/>
          <w:color w:val="F66400"/>
          <w:sz w:val="22"/>
          <w:vertAlign w:val="superscript"/>
        </w:rPr>
        <w:t>86</w:t>
      </w:r>
      <w:r w:rsidRPr="00BD7CEA">
        <w:rPr>
          <w:rFonts w:ascii="Tahoma" w:hAnsi="Tahoma"/>
          <w:color w:val="F66400"/>
          <w:sz w:val="22"/>
        </w:rPr>
        <w:t xml:space="preserve"> System Center Reporting Manager 2006</w:t>
      </w:r>
      <w:bookmarkEnd w:id="1492"/>
      <w:bookmarkEnd w:id="1493"/>
    </w:p>
    <w:bookmarkEnd w:id="1494"/>
    <w:p w:rsidR="00ED5504" w:rsidRPr="00BD7CEA" w:rsidRDefault="00ED5504" w:rsidP="00D511CC">
      <w:pPr>
        <w:pStyle w:val="EndnoteText"/>
        <w:ind w:left="0"/>
      </w:pPr>
    </w:p>
    <w:p w:rsidR="00ED5504" w:rsidRPr="00BD7CEA" w:rsidRDefault="00ED5504" w:rsidP="00D511CC">
      <w:pPr>
        <w:pStyle w:val="EndnoteText"/>
        <w:ind w:left="720"/>
      </w:pPr>
      <w:r w:rsidRPr="00BD7CEA">
        <w:rPr>
          <w:rFonts w:ascii="Tahoma" w:hAnsi="Tahoma" w:cs="Tahoma"/>
          <w:sz w:val="18"/>
        </w:rPr>
        <w:t>Prodotto End-Of-Life (EOL) che non verrà più offerto.</w:t>
      </w:r>
    </w:p>
    <w:p w:rsidR="00ED5504" w:rsidRPr="00BD7CEA" w:rsidRDefault="00ED5504" w:rsidP="00D511CC">
      <w:pPr>
        <w:pStyle w:val="EndnoteText"/>
        <w:ind w:left="720"/>
      </w:pPr>
    </w:p>
    <w:p w:rsidR="00ED5504" w:rsidRPr="00BD7CEA" w:rsidRDefault="00ED5504" w:rsidP="00D511CC">
      <w:pPr>
        <w:pStyle w:val="EndnoteText"/>
        <w:spacing w:after="60"/>
        <w:ind w:left="720"/>
      </w:pPr>
      <w:r w:rsidRPr="00BD7CEA">
        <w:rPr>
          <w:rFonts w:ascii="Tahoma" w:hAnsi="Tahoma" w:cs="Tahoma"/>
          <w:b/>
          <w:sz w:val="18"/>
        </w:rPr>
        <w:t>Concessione di una Licenza Una Tantum ai Titolari di Licenza per System Center Reporting Manager 2006</w:t>
      </w:r>
    </w:p>
    <w:p w:rsidR="00ED5504" w:rsidRPr="00BD7CEA" w:rsidRDefault="00ED5504" w:rsidP="00D511CC">
      <w:pPr>
        <w:pStyle w:val="EndnoteText"/>
        <w:ind w:left="720"/>
      </w:pPr>
      <w:r w:rsidRPr="00BD7CEA">
        <w:rPr>
          <w:rFonts w:ascii="Tahoma" w:hAnsi="Tahoma" w:cs="Tahoma"/>
          <w:sz w:val="18"/>
        </w:rPr>
        <w:t>Come eccezione una tantum legata all</w:t>
      </w:r>
      <w:r w:rsidR="007A1415" w:rsidRPr="00BD7CEA">
        <w:rPr>
          <w:rFonts w:ascii="Tahoma" w:hAnsi="Tahoma" w:cs="Tahoma"/>
          <w:sz w:val="18"/>
        </w:rPr>
        <w:t>’</w:t>
      </w:r>
      <w:r w:rsidRPr="00BD7CEA">
        <w:rPr>
          <w:rFonts w:ascii="Tahoma" w:hAnsi="Tahoma" w:cs="Tahoma"/>
          <w:sz w:val="18"/>
        </w:rPr>
        <w:t>interruzione di System Center Reporting Manager 2006, Microsoft concederà alle società in possesso di contratti Select, Enterprise, Open License, Open Value e Campus e School e con copertura Software Assurance attiva per ogni licenza di System Center Reporting Manager 2006 al 31 maggio 2010, le seguenti licenze senza alcuna spesa aggiuntiva che non siano i costi (eventuali) dei supporti di memorizzazione</w:t>
      </w:r>
      <w:r w:rsidRPr="00BD7CEA">
        <w:rPr>
          <w:rFonts w:ascii="Tahoma" w:hAnsi="Tahoma" w:cs="Tahoma"/>
          <w:color w:val="000000"/>
          <w:sz w:val="18"/>
          <w:szCs w:val="20"/>
        </w:rPr>
        <w:t>:</w:t>
      </w:r>
    </w:p>
    <w:p w:rsidR="00ED5504" w:rsidRPr="00BD7CEA" w:rsidRDefault="00ED5504" w:rsidP="00D511CC">
      <w:pPr>
        <w:pStyle w:val="EndnoteText"/>
      </w:pPr>
    </w:p>
    <w:p w:rsidR="00ED5504" w:rsidRPr="00BD7CEA" w:rsidRDefault="00ED5504" w:rsidP="00D511CC">
      <w:pPr>
        <w:pStyle w:val="EndnoteText"/>
        <w:numPr>
          <w:ilvl w:val="0"/>
          <w:numId w:val="7"/>
        </w:numPr>
        <w:tabs>
          <w:tab w:val="left" w:pos="1440"/>
        </w:tabs>
        <w:spacing w:after="60"/>
        <w:ind w:left="1440"/>
      </w:pPr>
      <w:r w:rsidRPr="00BD7CEA">
        <w:rPr>
          <w:rFonts w:ascii="Tahoma" w:hAnsi="Tahoma" w:cs="Tahoma"/>
          <w:sz w:val="18"/>
        </w:rPr>
        <w:t>Una licenza di Gestione Server per System Center Service Manager 2010 (senza Tecnologia SQL)</w:t>
      </w:r>
    </w:p>
    <w:p w:rsidR="00ED5504" w:rsidRPr="00BD7CEA" w:rsidRDefault="00ED5504" w:rsidP="00D511CC">
      <w:pPr>
        <w:pStyle w:val="EndnoteText"/>
        <w:numPr>
          <w:ilvl w:val="0"/>
          <w:numId w:val="7"/>
        </w:numPr>
        <w:spacing w:after="60"/>
        <w:ind w:left="1440"/>
      </w:pPr>
      <w:r w:rsidRPr="00BD7CEA">
        <w:rPr>
          <w:rFonts w:ascii="Tahoma" w:hAnsi="Tahoma" w:cs="Tahoma"/>
          <w:sz w:val="18"/>
        </w:rPr>
        <w:t>Cinque licenze di Gestione Server per System Center Service Manager 2010</w:t>
      </w:r>
    </w:p>
    <w:p w:rsidR="00ED5504" w:rsidRPr="00BD7CEA" w:rsidRDefault="00ED5504" w:rsidP="00D511CC">
      <w:pPr>
        <w:pStyle w:val="EndnoteText"/>
        <w:numPr>
          <w:ilvl w:val="0"/>
          <w:numId w:val="7"/>
        </w:numPr>
        <w:spacing w:after="60"/>
        <w:ind w:left="1440"/>
      </w:pPr>
      <w:r w:rsidRPr="00BD7CEA">
        <w:rPr>
          <w:rFonts w:ascii="Tahoma" w:hAnsi="Tahoma" w:cs="Tahoma"/>
          <w:sz w:val="18"/>
        </w:rPr>
        <w:t>Trenta licenze di Gestione Client per System Center Service Manager 2010</w:t>
      </w:r>
    </w:p>
    <w:p w:rsidR="00ED5504" w:rsidRPr="00BD7CEA" w:rsidRDefault="00ED5504" w:rsidP="00D511CC">
      <w:pPr>
        <w:pStyle w:val="EndnoteText"/>
        <w:ind w:left="0"/>
      </w:pPr>
    </w:p>
    <w:p w:rsidR="00ED5504" w:rsidRPr="00BD7CEA" w:rsidRDefault="00ED5504" w:rsidP="00D511CC">
      <w:pPr>
        <w:pStyle w:val="EndnoteText"/>
        <w:ind w:left="720"/>
      </w:pPr>
      <w:r w:rsidRPr="00BD7CEA">
        <w:rPr>
          <w:rFonts w:ascii="Tahoma" w:hAnsi="Tahoma" w:cs="Tahoma"/>
          <w:sz w:val="18"/>
        </w:rPr>
        <w:t xml:space="preserve">Tutte le licenze concesse ai sensi della presente offerta includeranno la copertura Software Assurance. Tale copertura cesserà alla scadenza della copertura System Center Reporting Manager 2006 corrispondente. Alla scadenza della copertura, le società potranno rinnovare Software Assurance sulle licenze concesse. </w:t>
      </w:r>
    </w:p>
    <w:p w:rsidR="00ED5504" w:rsidRPr="00BD7CEA" w:rsidRDefault="00ED5504" w:rsidP="00D511CC">
      <w:pPr>
        <w:pStyle w:val="EndnoteText"/>
        <w:ind w:left="720"/>
      </w:pPr>
    </w:p>
    <w:p w:rsidR="00ED5504" w:rsidRPr="00BD7CEA" w:rsidRDefault="00ED5504" w:rsidP="00D511CC">
      <w:pPr>
        <w:pStyle w:val="EndnoteText"/>
        <w:ind w:left="720"/>
      </w:pPr>
      <w:r w:rsidRPr="00BD7CEA">
        <w:rPr>
          <w:rFonts w:ascii="Tahoma" w:hAnsi="Tahoma" w:cs="Tahoma"/>
          <w:sz w:val="18"/>
        </w:rPr>
        <w:t>L</w:t>
      </w:r>
      <w:r w:rsidR="007A1415" w:rsidRPr="00BD7CEA">
        <w:rPr>
          <w:rFonts w:ascii="Tahoma" w:hAnsi="Tahoma" w:cs="Tahoma"/>
          <w:sz w:val="18"/>
        </w:rPr>
        <w:t>’</w:t>
      </w:r>
      <w:r w:rsidRPr="00BD7CEA">
        <w:rPr>
          <w:rFonts w:ascii="Tahoma" w:hAnsi="Tahoma" w:cs="Tahoma"/>
          <w:sz w:val="18"/>
        </w:rPr>
        <w:t>utilizzo del software da parte della società ai sensi della presente offerta sarà soggetto alle condizioni del relativo contratto di licenza e ai diritti di utilizzo del prodotto relativi al software. Il diritto di utilizzo del software concesso scadrà alla scadenza del diritto di utilizzo della licenza per System Center Reporting Manager 2006 qualificante. Le società non potranno trasferire le licenze concesse in virtù della presente offerta separatamente dalle licenze qualificanti corrispondenti.</w:t>
      </w:r>
    </w:p>
    <w:p w:rsidR="00ED5504" w:rsidRPr="00BD7CEA" w:rsidRDefault="00ED5504" w:rsidP="00D511CC">
      <w:pPr>
        <w:pStyle w:val="EndnoteText"/>
        <w:ind w:left="720"/>
      </w:pPr>
    </w:p>
    <w:p w:rsidR="00ED5504" w:rsidRPr="00BD7CEA" w:rsidRDefault="00ED5504" w:rsidP="00D511CC">
      <w:pPr>
        <w:ind w:left="720"/>
      </w:pPr>
      <w:r w:rsidRPr="00BD7CEA">
        <w:rPr>
          <w:rFonts w:eastAsia="Calibri" w:cs="Tahoma"/>
          <w:color w:val="000000"/>
          <w:szCs w:val="18"/>
        </w:rPr>
        <w:t>Le licenze per System Center Reporting Manager 2006,</w:t>
      </w:r>
      <w:r w:rsidRPr="00BD7CEA">
        <w:rPr>
          <w:rFonts w:cs="Tahoma"/>
          <w:bCs/>
          <w:szCs w:val="18"/>
        </w:rPr>
        <w:t xml:space="preserve"> acquistate dopo il 31 maggio 2010 nell</w:t>
      </w:r>
      <w:r w:rsidR="007A1415" w:rsidRPr="00BD7CEA">
        <w:rPr>
          <w:rFonts w:cs="Tahoma"/>
          <w:bCs/>
          <w:szCs w:val="18"/>
        </w:rPr>
        <w:t>’</w:t>
      </w:r>
      <w:r w:rsidRPr="00BD7CEA">
        <w:rPr>
          <w:rFonts w:cs="Tahoma"/>
          <w:bCs/>
          <w:szCs w:val="18"/>
        </w:rPr>
        <w:t xml:space="preserve">ambito del processo annuale di true-up per le Iscrizioni Enterprise ai sensi delle quali le licenze per </w:t>
      </w:r>
      <w:r w:rsidRPr="00BD7CEA">
        <w:rPr>
          <w:rFonts w:eastAsia="Calibri" w:cs="Tahoma"/>
          <w:color w:val="000000"/>
          <w:szCs w:val="18"/>
        </w:rPr>
        <w:t>System Center Reporting Manager 2006</w:t>
      </w:r>
      <w:r w:rsidRPr="00BD7CEA">
        <w:rPr>
          <w:rFonts w:cs="Tahoma"/>
          <w:bCs/>
          <w:szCs w:val="18"/>
        </w:rPr>
        <w:t xml:space="preserve"> sono state inizialmente acquistate prima del 31 maggio 2010, sono anch</w:t>
      </w:r>
      <w:r w:rsidR="007A1415" w:rsidRPr="00BD7CEA">
        <w:rPr>
          <w:rFonts w:cs="Tahoma"/>
          <w:bCs/>
          <w:szCs w:val="18"/>
        </w:rPr>
        <w:t>’</w:t>
      </w:r>
      <w:r w:rsidRPr="00BD7CEA">
        <w:rPr>
          <w:rFonts w:cs="Tahoma"/>
          <w:bCs/>
          <w:szCs w:val="18"/>
        </w:rPr>
        <w:t>esse idonee a ricevere le licenze Server di Gestione per System Center Service Manager 2010 e le licenze di Gestione Client/Server in base alla presente offerta.</w:t>
      </w:r>
    </w:p>
    <w:p w:rsidR="00ED5504" w:rsidRPr="00BD7CEA" w:rsidRDefault="00ED5504" w:rsidP="00D511CC">
      <w:pPr>
        <w:ind w:left="720"/>
      </w:pPr>
    </w:p>
    <w:p w:rsidR="00ED5504" w:rsidRPr="00BD7CEA" w:rsidRDefault="00ED5504" w:rsidP="00D511CC">
      <w:pPr>
        <w:pStyle w:val="EndnoteText"/>
        <w:ind w:left="720"/>
        <w:rPr>
          <w:spacing w:val="-2"/>
        </w:rPr>
      </w:pPr>
      <w:r w:rsidRPr="00BD7CEA">
        <w:rPr>
          <w:rFonts w:ascii="Tahoma" w:hAnsi="Tahoma" w:cs="Tahoma"/>
          <w:bCs/>
          <w:spacing w:val="-2"/>
          <w:sz w:val="18"/>
          <w:szCs w:val="18"/>
        </w:rPr>
        <w:t>Per Contratti Enterprise Subscription, Campus e School e Open Value Subscription, gli stessi diritti verranno concessi temporaneamente fino al termine del periodo di validità dell</w:t>
      </w:r>
      <w:r w:rsidR="007A1415" w:rsidRPr="00BD7CEA">
        <w:rPr>
          <w:rFonts w:ascii="Tahoma" w:hAnsi="Tahoma" w:cs="Tahoma"/>
          <w:bCs/>
          <w:spacing w:val="-2"/>
          <w:sz w:val="18"/>
          <w:szCs w:val="18"/>
        </w:rPr>
        <w:t>’</w:t>
      </w:r>
      <w:r w:rsidRPr="00BD7CEA">
        <w:rPr>
          <w:rFonts w:ascii="Tahoma" w:hAnsi="Tahoma" w:cs="Tahoma"/>
          <w:bCs/>
          <w:spacing w:val="-2"/>
          <w:sz w:val="18"/>
          <w:szCs w:val="18"/>
        </w:rPr>
        <w:t>iscrizione della licenza, qualora le Licenze e la copertura Software Assurance siano valide durante il periodo di concessione e la società mantenga la copertura dell</w:t>
      </w:r>
      <w:r w:rsidR="007A1415" w:rsidRPr="00BD7CEA">
        <w:rPr>
          <w:rFonts w:ascii="Tahoma" w:hAnsi="Tahoma" w:cs="Tahoma"/>
          <w:bCs/>
          <w:spacing w:val="-2"/>
          <w:sz w:val="18"/>
          <w:szCs w:val="18"/>
        </w:rPr>
        <w:t>’</w:t>
      </w:r>
      <w:r w:rsidRPr="00BD7CEA">
        <w:rPr>
          <w:rFonts w:ascii="Tahoma" w:hAnsi="Tahoma" w:cs="Tahoma"/>
          <w:bCs/>
          <w:spacing w:val="-2"/>
          <w:sz w:val="18"/>
          <w:szCs w:val="18"/>
        </w:rPr>
        <w:t>abbonamento in via continuativa.</w:t>
      </w:r>
      <w:r w:rsidR="008D782D" w:rsidRPr="00BD7CEA">
        <w:rPr>
          <w:rFonts w:ascii="Tahoma" w:hAnsi="Tahoma" w:cs="Tahoma"/>
          <w:bCs/>
          <w:spacing w:val="-2"/>
          <w:sz w:val="18"/>
          <w:szCs w:val="18"/>
        </w:rPr>
        <w:t xml:space="preserve"> </w:t>
      </w:r>
      <w:r w:rsidRPr="00BD7CEA">
        <w:rPr>
          <w:rFonts w:ascii="Tahoma" w:hAnsi="Tahoma" w:cs="Tahoma"/>
          <w:bCs/>
          <w:spacing w:val="-2"/>
          <w:sz w:val="18"/>
          <w:szCs w:val="18"/>
        </w:rPr>
        <w:t>Tali diritti diventeranno permanenti soltanto all</w:t>
      </w:r>
      <w:r w:rsidR="007A1415" w:rsidRPr="00BD7CEA">
        <w:rPr>
          <w:rFonts w:ascii="Tahoma" w:hAnsi="Tahoma" w:cs="Tahoma"/>
          <w:bCs/>
          <w:spacing w:val="-2"/>
          <w:sz w:val="18"/>
          <w:szCs w:val="18"/>
        </w:rPr>
        <w:t>’</w:t>
      </w:r>
      <w:r w:rsidRPr="00BD7CEA">
        <w:rPr>
          <w:rFonts w:ascii="Tahoma" w:hAnsi="Tahoma" w:cs="Tahoma"/>
          <w:bCs/>
          <w:spacing w:val="-2"/>
          <w:sz w:val="18"/>
          <w:szCs w:val="18"/>
        </w:rPr>
        <w:t>esercizio dell</w:t>
      </w:r>
      <w:r w:rsidR="007A1415" w:rsidRPr="00BD7CEA">
        <w:rPr>
          <w:rFonts w:ascii="Tahoma" w:hAnsi="Tahoma" w:cs="Tahoma"/>
          <w:bCs/>
          <w:spacing w:val="-2"/>
          <w:sz w:val="18"/>
          <w:szCs w:val="18"/>
        </w:rPr>
        <w:t>’</w:t>
      </w:r>
      <w:r w:rsidRPr="00BD7CEA">
        <w:rPr>
          <w:rFonts w:ascii="Tahoma" w:hAnsi="Tahoma" w:cs="Tahoma"/>
          <w:bCs/>
          <w:spacing w:val="-2"/>
          <w:sz w:val="18"/>
          <w:szCs w:val="18"/>
        </w:rPr>
        <w:t>opzione buy-out e resteranno soggetti a tutte le condizioni del contratto di licenza della società.</w:t>
      </w:r>
    </w:p>
    <w:p w:rsidR="00023FE7" w:rsidRPr="00BD7CEA" w:rsidRDefault="00023FE7" w:rsidP="00D511CC">
      <w:pPr>
        <w:pStyle w:val="EndnoteText"/>
      </w:pPr>
    </w:p>
    <w:p w:rsidR="00ED5504" w:rsidRPr="00BD7CEA" w:rsidRDefault="00ED5504">
      <w:pPr>
        <w:pStyle w:val="EndnoteText"/>
      </w:pPr>
    </w:p>
    <w:p w:rsidR="00023FE7" w:rsidRPr="00BD7CEA" w:rsidRDefault="00F66FB0">
      <w:pPr>
        <w:pStyle w:val="Heading3"/>
      </w:pPr>
      <w:bookmarkStart w:id="1496" w:name="Srv_85SysCtrSvrMgmtSuiteEnterprise"/>
      <w:bookmarkStart w:id="1497" w:name="_85_System_Center"/>
      <w:bookmarkStart w:id="1498" w:name="_98_System_Center"/>
      <w:bookmarkStart w:id="1499" w:name="_Toc336338354"/>
      <w:bookmarkStart w:id="1500" w:name="_Toc353376125"/>
      <w:bookmarkEnd w:id="1496"/>
      <w:bookmarkEnd w:id="1497"/>
      <w:bookmarkEnd w:id="1498"/>
      <w:r w:rsidRPr="00BD7CEA">
        <w:rPr>
          <w:rFonts w:ascii="Tahoma" w:hAnsi="Tahoma"/>
          <w:caps/>
          <w:color w:val="F66400"/>
          <w:sz w:val="22"/>
          <w:vertAlign w:val="superscript"/>
        </w:rPr>
        <w:t xml:space="preserve">87 </w:t>
      </w:r>
      <w:r w:rsidRPr="00BD7CEA">
        <w:rPr>
          <w:rFonts w:ascii="Tahoma" w:hAnsi="Tahoma"/>
          <w:color w:val="F66400"/>
          <w:sz w:val="22"/>
        </w:rPr>
        <w:t>System Center Server Management Suite Enterprise</w:t>
      </w:r>
      <w:bookmarkEnd w:id="1499"/>
      <w:bookmarkEnd w:id="1500"/>
    </w:p>
    <w:bookmarkEnd w:id="1495"/>
    <w:p w:rsidR="00023FE7" w:rsidRPr="00BD7CEA" w:rsidRDefault="00023FE7" w:rsidP="00D511CC">
      <w:pPr>
        <w:pStyle w:val="EndnoteText"/>
        <w:ind w:left="720"/>
      </w:pPr>
    </w:p>
    <w:p w:rsidR="00FF4CAB" w:rsidRPr="00BD7CEA" w:rsidRDefault="00FF4CAB" w:rsidP="00D511CC">
      <w:pPr>
        <w:pStyle w:val="EndnoteText"/>
        <w:ind w:left="720"/>
      </w:pPr>
      <w:r w:rsidRPr="00BD7CEA">
        <w:rPr>
          <w:rFonts w:ascii="Tahoma" w:hAnsi="Tahoma" w:cs="Tahoma"/>
          <w:color w:val="000000"/>
          <w:sz w:val="18"/>
        </w:rPr>
        <w:t>Prodotto End-Of-Life (EOL) che non verrà più offerto.</w:t>
      </w:r>
    </w:p>
    <w:p w:rsidR="00D511CC" w:rsidRPr="00BD7CEA" w:rsidRDefault="00D511CC" w:rsidP="00D511CC">
      <w:pPr>
        <w:pStyle w:val="EndnoteText"/>
        <w:ind w:left="720"/>
      </w:pPr>
    </w:p>
    <w:p w:rsidR="00FF4CAB" w:rsidRPr="00BD7CEA" w:rsidRDefault="00FF4CAB" w:rsidP="00D511CC">
      <w:pPr>
        <w:pStyle w:val="FootnoteBulletLevel1"/>
        <w:tabs>
          <w:tab w:val="clear" w:pos="900"/>
        </w:tabs>
        <w:spacing w:before="0" w:after="60"/>
        <w:ind w:left="720" w:firstLine="0"/>
        <w:rPr>
          <w:spacing w:val="-2"/>
        </w:rPr>
      </w:pPr>
      <w:r w:rsidRPr="00BD7CEA">
        <w:rPr>
          <w:rFonts w:ascii="Tahoma" w:hAnsi="Tahoma" w:cs="Tahoma"/>
          <w:b/>
          <w:spacing w:val="-2"/>
          <w:sz w:val="18"/>
        </w:rPr>
        <w:t>Dettagli relativi alla Concessione di una Licenza Transitoria Una Tantum per System Center 2012</w:t>
      </w:r>
    </w:p>
    <w:p w:rsidR="00FF4CAB" w:rsidRPr="00BD7CEA" w:rsidRDefault="00FF4CAB" w:rsidP="00D511CC">
      <w:pPr>
        <w:ind w:left="720"/>
      </w:pPr>
      <w:r w:rsidRPr="00BD7CEA">
        <w:t>Per dettagli sulle concessioni di licenze transitorie, fare riferimento alla nota relativa al prodotto presente nelle offerte di System Center 2012.</w:t>
      </w:r>
    </w:p>
    <w:p w:rsidR="00FF4CAB" w:rsidRPr="00BD7CEA" w:rsidRDefault="00FF4CAB" w:rsidP="00D511CC">
      <w:pPr>
        <w:ind w:left="720"/>
      </w:pPr>
    </w:p>
    <w:p w:rsidR="00023FE7" w:rsidRPr="00BD7CEA" w:rsidRDefault="00023FE7" w:rsidP="00D511CC">
      <w:pPr>
        <w:ind w:left="720"/>
      </w:pPr>
      <w:r w:rsidRPr="00BD7CEA">
        <w:rPr>
          <w:rFonts w:cs="Tahoma"/>
          <w:szCs w:val="20"/>
        </w:rPr>
        <w:t xml:space="preserve">System Center Server Management Suite Enterprise </w:t>
      </w:r>
      <w:r w:rsidRPr="00BD7CEA">
        <w:rPr>
          <w:rFonts w:cs="Tahoma"/>
          <w:color w:val="000000"/>
          <w:szCs w:val="20"/>
        </w:rPr>
        <w:t>non dispone di versioni e i diritti di utilizzo del prodotto sono determinati dallo stato della copertura Software Assurance per System Center Server Management Suite Enterprise. Qualora la copertura sia scaduta, i diritti di accesso attribuiti da licenze perpetue sono determinati sulla base dei diritti di utilizzo del prodotto in vigore prima della scadenza della copertura.</w:t>
      </w:r>
      <w:r w:rsidR="008D782D" w:rsidRPr="00BD7CEA">
        <w:rPr>
          <w:rFonts w:cs="Tahoma"/>
          <w:color w:val="000000"/>
          <w:szCs w:val="20"/>
        </w:rPr>
        <w:t xml:space="preserve"> </w:t>
      </w:r>
    </w:p>
    <w:p w:rsidR="005C164D" w:rsidRPr="00BD7CEA" w:rsidRDefault="005C164D" w:rsidP="00D511CC">
      <w:pPr>
        <w:ind w:left="720"/>
        <w:jc w:val="both"/>
      </w:pPr>
      <w:r w:rsidRPr="00BD7CEA">
        <w:rPr>
          <w:rFonts w:cs="Tahoma"/>
          <w:color w:val="000000"/>
          <w:szCs w:val="18"/>
        </w:rPr>
        <w:lastRenderedPageBreak/>
        <w:t>Al 1 novembre 2010 una licenza per System Center Server Management Suite Enterprise con copertura Software Assurance attiva fornisce i diritti di gestione server per le licenze di gestione server per System Center Enterprise relativamente a Operations Manager 2007 R2, Configuration Manager 2007 R3, Data Protection Manager 2010, Service Manager 2010 e Virtual Machine Manager 2008 R2. Inoltre, è inclusa anche la licenza server per Virtual Machine Manager 2008 R2 e Data Protection Manager 2010. La società dovrà riesaminare il documento PUR per verificare i diritti sull</w:t>
      </w:r>
      <w:r w:rsidR="007A1415" w:rsidRPr="00BD7CEA">
        <w:rPr>
          <w:rFonts w:cs="Tahoma"/>
          <w:color w:val="000000"/>
          <w:szCs w:val="18"/>
        </w:rPr>
        <w:t>’</w:t>
      </w:r>
      <w:r w:rsidRPr="00BD7CEA">
        <w:rPr>
          <w:rFonts w:cs="Tahoma"/>
          <w:color w:val="000000"/>
          <w:szCs w:val="18"/>
        </w:rPr>
        <w:t>utilizzo.</w:t>
      </w:r>
    </w:p>
    <w:p w:rsidR="00023FE7" w:rsidRPr="00BD7CEA" w:rsidRDefault="00023FE7" w:rsidP="00D511CC">
      <w:pPr>
        <w:ind w:left="720"/>
      </w:pPr>
    </w:p>
    <w:p w:rsidR="004323B9" w:rsidRPr="00BD7CEA" w:rsidRDefault="00D511CC" w:rsidP="00D511CC">
      <w:pPr>
        <w:spacing w:after="60"/>
        <w:ind w:left="720"/>
      </w:pPr>
      <w:r w:rsidRPr="00BD7CEA">
        <w:rPr>
          <w:rFonts w:cs="Tahoma"/>
          <w:b/>
          <w:szCs w:val="20"/>
        </w:rPr>
        <w:t>Concessione di Licenza</w:t>
      </w:r>
    </w:p>
    <w:p w:rsidR="004323B9" w:rsidRPr="00BD7CEA" w:rsidRDefault="004323B9" w:rsidP="00D511CC">
      <w:pPr>
        <w:pStyle w:val="FootnoteBulletLevel1"/>
        <w:tabs>
          <w:tab w:val="left" w:pos="900"/>
        </w:tabs>
        <w:spacing w:before="0" w:after="0"/>
        <w:ind w:left="720" w:firstLine="0"/>
      </w:pPr>
      <w:r w:rsidRPr="00BD7CEA">
        <w:rPr>
          <w:rFonts w:ascii="Tahoma" w:hAnsi="Tahoma" w:cs="Tahoma"/>
          <w:sz w:val="18"/>
        </w:rPr>
        <w:t>Concessione di una Licenza Una Tantum per System Center Server Management Suite Datacenter (SMSD) ai</w:t>
      </w:r>
      <w:r w:rsidR="00194AA4" w:rsidRPr="00BD7CEA">
        <w:rPr>
          <w:rFonts w:ascii="Tahoma" w:hAnsi="Tahoma" w:cs="Tahoma"/>
          <w:sz w:val="18"/>
        </w:rPr>
        <w:t> </w:t>
      </w:r>
      <w:r w:rsidRPr="00BD7CEA">
        <w:rPr>
          <w:rFonts w:ascii="Tahoma" w:hAnsi="Tahoma" w:cs="Tahoma"/>
          <w:sz w:val="18"/>
        </w:rPr>
        <w:t>Titolari di Licenza per System Center Server Management Suite Enterprise (SMSE).</w:t>
      </w:r>
    </w:p>
    <w:p w:rsidR="000A18AA" w:rsidRPr="00BD7CEA" w:rsidRDefault="000A18AA" w:rsidP="00D511CC">
      <w:pPr>
        <w:pStyle w:val="FootnoteBulletLevel1"/>
        <w:tabs>
          <w:tab w:val="left" w:pos="900"/>
        </w:tabs>
        <w:spacing w:before="0" w:after="0"/>
        <w:ind w:left="720" w:firstLine="0"/>
      </w:pPr>
    </w:p>
    <w:p w:rsidR="004323B9" w:rsidRPr="00BD7CEA" w:rsidRDefault="004323B9" w:rsidP="00D511CC">
      <w:pPr>
        <w:pStyle w:val="FootnoteBulletLevel1"/>
        <w:tabs>
          <w:tab w:val="clear" w:pos="900"/>
          <w:tab w:val="left" w:pos="720"/>
        </w:tabs>
        <w:spacing w:before="0" w:after="0"/>
        <w:ind w:left="720" w:firstLine="0"/>
      </w:pPr>
      <w:r w:rsidRPr="00BD7CEA">
        <w:rPr>
          <w:rFonts w:ascii="Tahoma" w:hAnsi="Tahoma" w:cs="Tahoma"/>
          <w:sz w:val="18"/>
        </w:rPr>
        <w:t>Come eccezione una tantum legata alla transizione di SMSE* da una suite che consente la gestione di qualunque numero di OSE su un dispositivo con licenza a un suite che consente la gestione di un massimo di quattro OSE su un dispositivo con licenza, Microsoft concede alle società che hanno concluso contratti Select, Enterprise, Open License, Open Value e Campus e School e che dispongono di una copertura Software Assurance attiva su SMSE in data 1 luglio 2009 le seguenti licenze</w:t>
      </w:r>
      <w:r w:rsidRPr="00BD7CEA">
        <w:rPr>
          <w:rFonts w:ascii="Tahoma" w:hAnsi="Tahoma" w:cs="Tahoma"/>
          <w:color w:val="000000"/>
          <w:sz w:val="18"/>
        </w:rPr>
        <w:t>:</w:t>
      </w:r>
    </w:p>
    <w:p w:rsidR="000A18AA" w:rsidRPr="00BD7CEA" w:rsidRDefault="000A18AA" w:rsidP="00D511CC">
      <w:pPr>
        <w:pStyle w:val="FootnoteBulletLevel1"/>
        <w:tabs>
          <w:tab w:val="clear" w:pos="900"/>
          <w:tab w:val="left" w:pos="720"/>
        </w:tabs>
        <w:spacing w:before="0" w:after="0"/>
        <w:ind w:left="720" w:firstLine="0"/>
      </w:pPr>
    </w:p>
    <w:p w:rsidR="004323B9" w:rsidRPr="00BD7CEA" w:rsidRDefault="004323B9" w:rsidP="00D511CC">
      <w:pPr>
        <w:numPr>
          <w:ilvl w:val="0"/>
          <w:numId w:val="3"/>
        </w:numPr>
        <w:ind w:left="1440"/>
      </w:pPr>
      <w:r w:rsidRPr="00BD7CEA">
        <w:rPr>
          <w:rFonts w:cs="Tahoma"/>
          <w:color w:val="000000"/>
          <w:szCs w:val="20"/>
        </w:rPr>
        <w:t>Quattro licenze gratuite SMSD per ogni licenza SMSE qualificante con copertura Software Assurance attiva di cui la società sia titolare al 1 luglio 2009. Ogni gruppo di quattro licenze SMSD concesse deve essere assegnato a un unico dispositivo e non può essere separato per un utilizzo su due o più dispostivi.</w:t>
      </w:r>
    </w:p>
    <w:p w:rsidR="000A18AA" w:rsidRPr="00BD7CEA" w:rsidRDefault="000A18AA" w:rsidP="000A18AA"/>
    <w:p w:rsidR="004323B9" w:rsidRPr="00BD7CEA" w:rsidRDefault="004323B9" w:rsidP="00D511CC">
      <w:pPr>
        <w:pStyle w:val="FootnoteBulletLevel1"/>
        <w:tabs>
          <w:tab w:val="clear" w:pos="900"/>
        </w:tabs>
        <w:spacing w:before="0" w:after="0"/>
        <w:ind w:left="720" w:firstLine="0"/>
      </w:pPr>
      <w:r w:rsidRPr="00BD7CEA">
        <w:rPr>
          <w:rFonts w:ascii="Tahoma" w:hAnsi="Tahoma" w:cs="Tahoma"/>
          <w:sz w:val="18"/>
        </w:rPr>
        <w:t>I diritti di gestione associati alle licenze gratuite SMSD sono concessi al posto dei diritti di gestione associati alla licenza SMSE qualificante.</w:t>
      </w:r>
      <w:r w:rsidR="008D782D" w:rsidRPr="00BD7CEA">
        <w:rPr>
          <w:rFonts w:ascii="Tahoma" w:hAnsi="Tahoma" w:cs="Tahoma"/>
          <w:sz w:val="18"/>
        </w:rPr>
        <w:t xml:space="preserve"> </w:t>
      </w:r>
      <w:r w:rsidRPr="00BD7CEA">
        <w:rPr>
          <w:rFonts w:ascii="Tahoma" w:hAnsi="Tahoma" w:cs="Tahoma"/>
          <w:sz w:val="18"/>
        </w:rPr>
        <w:t>All</w:t>
      </w:r>
      <w:r w:rsidR="007A1415" w:rsidRPr="00BD7CEA">
        <w:rPr>
          <w:rFonts w:ascii="Tahoma" w:hAnsi="Tahoma" w:cs="Tahoma"/>
          <w:sz w:val="18"/>
        </w:rPr>
        <w:t>’</w:t>
      </w:r>
      <w:r w:rsidRPr="00BD7CEA">
        <w:rPr>
          <w:rFonts w:ascii="Tahoma" w:hAnsi="Tahoma" w:cs="Tahoma"/>
          <w:sz w:val="18"/>
        </w:rPr>
        <w:t>assegnazione delle licenze SMSD concesse, la società perderà i diritti di</w:t>
      </w:r>
      <w:r w:rsidR="00194AA4" w:rsidRPr="00BD7CEA">
        <w:rPr>
          <w:rFonts w:ascii="Tahoma" w:hAnsi="Tahoma" w:cs="Tahoma"/>
          <w:sz w:val="18"/>
        </w:rPr>
        <w:t> </w:t>
      </w:r>
      <w:r w:rsidRPr="00BD7CEA">
        <w:rPr>
          <w:rFonts w:ascii="Tahoma" w:hAnsi="Tahoma" w:cs="Tahoma"/>
          <w:sz w:val="18"/>
        </w:rPr>
        <w:t>gestione ai sensi della corrispondente licenza SMSE.</w:t>
      </w:r>
    </w:p>
    <w:p w:rsidR="004323B9" w:rsidRPr="00BD7CEA" w:rsidRDefault="004323B9" w:rsidP="00D511CC">
      <w:pPr>
        <w:pStyle w:val="FootnoteBulletLevel1"/>
        <w:tabs>
          <w:tab w:val="clear" w:pos="900"/>
        </w:tabs>
        <w:spacing w:before="0" w:after="0"/>
        <w:ind w:left="720" w:firstLine="0"/>
      </w:pPr>
      <w:r w:rsidRPr="00BD7CEA">
        <w:rPr>
          <w:rFonts w:ascii="Tahoma" w:hAnsi="Tahoma" w:cs="Tahoma"/>
          <w:sz w:val="18"/>
        </w:rPr>
        <w:t>Tutte le licenze concesse ai sensi della presente offerta sono soggette alla seguente limitazione:</w:t>
      </w:r>
      <w:r w:rsidRPr="00BD7CEA">
        <w:rPr>
          <w:rFonts w:ascii="Tahoma" w:hAnsi="Tahoma" w:cs="Tahoma"/>
          <w:color w:val="000000"/>
          <w:sz w:val="18"/>
        </w:rPr>
        <w:t xml:space="preserve"> Ogni gruppo di licenze per SMSD concesse dovrà essere ceduto a un unico dispositivo</w:t>
      </w:r>
      <w:r w:rsidRPr="00BD7CEA">
        <w:rPr>
          <w:rFonts w:ascii="Tahoma" w:hAnsi="Tahoma" w:cs="Tahoma"/>
          <w:sz w:val="18"/>
        </w:rPr>
        <w:t>.</w:t>
      </w:r>
    </w:p>
    <w:p w:rsidR="000A18AA" w:rsidRPr="00BD7CEA" w:rsidRDefault="000A18AA" w:rsidP="00D511CC">
      <w:pPr>
        <w:pStyle w:val="FootnoteBulletLevel1"/>
        <w:tabs>
          <w:tab w:val="clear" w:pos="900"/>
        </w:tabs>
        <w:spacing w:before="0" w:after="0"/>
        <w:ind w:left="720" w:firstLine="0"/>
      </w:pPr>
    </w:p>
    <w:p w:rsidR="00CF7343" w:rsidRPr="00BD7CEA" w:rsidRDefault="004323B9" w:rsidP="000A18AA">
      <w:pPr>
        <w:pStyle w:val="FootnoteBulletLevel1"/>
        <w:tabs>
          <w:tab w:val="clear" w:pos="900"/>
        </w:tabs>
        <w:spacing w:before="0" w:after="60"/>
        <w:ind w:left="720" w:firstLine="0"/>
      </w:pPr>
      <w:r w:rsidRPr="00BD7CEA">
        <w:rPr>
          <w:rFonts w:ascii="Tahoma" w:hAnsi="Tahoma" w:cs="Tahoma"/>
          <w:b/>
          <w:color w:val="000000"/>
          <w:sz w:val="18"/>
        </w:rPr>
        <w:t>Opzioni di Rinnovo di Software Assurance</w:t>
      </w:r>
      <w:r w:rsidR="008D782D" w:rsidRPr="00BD7CEA">
        <w:rPr>
          <w:rFonts w:ascii="Tahoma" w:hAnsi="Tahoma" w:cs="Tahoma"/>
          <w:b/>
          <w:color w:val="000000"/>
          <w:sz w:val="18"/>
        </w:rPr>
        <w:t xml:space="preserve"> </w:t>
      </w:r>
    </w:p>
    <w:p w:rsidR="004323B9" w:rsidRPr="00BD7CEA" w:rsidRDefault="004323B9" w:rsidP="00D511CC">
      <w:pPr>
        <w:pStyle w:val="FootnoteBulletLevel1"/>
        <w:tabs>
          <w:tab w:val="clear" w:pos="900"/>
        </w:tabs>
        <w:spacing w:before="0" w:after="0"/>
        <w:ind w:left="720" w:firstLine="0"/>
      </w:pPr>
      <w:r w:rsidRPr="00BD7CEA">
        <w:rPr>
          <w:rFonts w:ascii="Tahoma" w:hAnsi="Tahoma" w:cs="Tahoma"/>
          <w:color w:val="000000"/>
          <w:sz w:val="18"/>
        </w:rPr>
        <w:t xml:space="preserve">Le licenze concesse ai sensi della presente offerta includono la Copertura Software Assurance, che cesserà alla scadenza della copertura sulle corrispondenti licenze qualificanti. </w:t>
      </w:r>
      <w:r w:rsidRPr="00BD7CEA">
        <w:rPr>
          <w:rFonts w:ascii="Tahoma" w:hAnsi="Tahoma" w:cs="Tahoma"/>
          <w:sz w:val="18"/>
        </w:rPr>
        <w:t>Alla scadenza della copertura Software Assurance, le società potranno rinnovarla scegliendo tra le seguenti opzioni:</w:t>
      </w:r>
    </w:p>
    <w:p w:rsidR="000A18AA" w:rsidRPr="00BD7CEA" w:rsidRDefault="000A18AA" w:rsidP="00D511CC">
      <w:pPr>
        <w:pStyle w:val="FootnoteBulletLevel1"/>
        <w:tabs>
          <w:tab w:val="clear" w:pos="900"/>
        </w:tabs>
        <w:spacing w:before="0" w:after="0"/>
        <w:ind w:left="720" w:firstLine="0"/>
      </w:pPr>
    </w:p>
    <w:p w:rsidR="004323B9" w:rsidRPr="00BD7CEA" w:rsidRDefault="004323B9" w:rsidP="000A18AA">
      <w:pPr>
        <w:pStyle w:val="FootnoteBulletLevel1"/>
        <w:numPr>
          <w:ilvl w:val="0"/>
          <w:numId w:val="13"/>
        </w:numPr>
        <w:tabs>
          <w:tab w:val="left" w:pos="720"/>
        </w:tabs>
        <w:spacing w:before="0" w:after="60"/>
        <w:ind w:left="1440"/>
      </w:pPr>
      <w:r w:rsidRPr="00BD7CEA">
        <w:rPr>
          <w:rFonts w:ascii="Tahoma" w:hAnsi="Tahoma" w:cs="Tahoma"/>
          <w:sz w:val="18"/>
        </w:rPr>
        <w:t>Le società potranno rinnovare la copertura sulla licenza SMSE originale. I diritti di gestione ai sensi</w:t>
      </w:r>
      <w:r w:rsidR="00194AA4" w:rsidRPr="00BD7CEA">
        <w:rPr>
          <w:rFonts w:ascii="Tahoma" w:hAnsi="Tahoma" w:cs="Tahoma"/>
          <w:sz w:val="18"/>
        </w:rPr>
        <w:t> </w:t>
      </w:r>
      <w:r w:rsidRPr="00BD7CEA">
        <w:rPr>
          <w:rFonts w:ascii="Tahoma" w:hAnsi="Tahoma" w:cs="Tahoma"/>
          <w:sz w:val="18"/>
        </w:rPr>
        <w:t>della copertura Software Assurance sulla licenza SMSE saranno determinati in base ai diritti applicabili alla licenza SMSE all</w:t>
      </w:r>
      <w:r w:rsidR="007A1415" w:rsidRPr="00BD7CEA">
        <w:rPr>
          <w:rFonts w:ascii="Tahoma" w:hAnsi="Tahoma" w:cs="Tahoma"/>
          <w:sz w:val="18"/>
        </w:rPr>
        <w:t>’</w:t>
      </w:r>
      <w:r w:rsidRPr="00BD7CEA">
        <w:rPr>
          <w:rFonts w:ascii="Tahoma" w:hAnsi="Tahoma" w:cs="Tahoma"/>
          <w:sz w:val="18"/>
        </w:rPr>
        <w:t>epoca del rinnovo. Rinnovando la licenza SMSE originale, la società perderà i diritti relativi alle quattro licenze SMSD gratuite.</w:t>
      </w:r>
    </w:p>
    <w:p w:rsidR="004323B9" w:rsidRPr="00BD7CEA" w:rsidRDefault="004323B9" w:rsidP="000A18AA">
      <w:pPr>
        <w:pStyle w:val="FootnoteBulletLevel1"/>
        <w:numPr>
          <w:ilvl w:val="0"/>
          <w:numId w:val="14"/>
        </w:numPr>
        <w:tabs>
          <w:tab w:val="left" w:pos="720"/>
        </w:tabs>
        <w:spacing w:before="0" w:after="60"/>
        <w:ind w:left="1440"/>
      </w:pPr>
      <w:r w:rsidRPr="00BD7CEA">
        <w:rPr>
          <w:rFonts w:ascii="Tahoma" w:hAnsi="Tahoma" w:cs="Tahoma"/>
          <w:sz w:val="18"/>
        </w:rPr>
        <w:t>Le società potranno rinnovare la copertura sulle licenze SMSD gratuite.</w:t>
      </w:r>
    </w:p>
    <w:p w:rsidR="004323B9" w:rsidRPr="00BD7CEA" w:rsidRDefault="004323B9" w:rsidP="000A18AA">
      <w:pPr>
        <w:pStyle w:val="FootnoteBulletLevel1"/>
        <w:numPr>
          <w:ilvl w:val="2"/>
          <w:numId w:val="15"/>
        </w:numPr>
        <w:tabs>
          <w:tab w:val="left" w:pos="720"/>
        </w:tabs>
        <w:spacing w:before="0" w:after="60"/>
        <w:ind w:left="1980"/>
      </w:pPr>
      <w:r w:rsidRPr="00BD7CEA">
        <w:rPr>
          <w:rFonts w:ascii="Tahoma" w:hAnsi="Tahoma" w:cs="Tahoma"/>
          <w:sz w:val="18"/>
        </w:rPr>
        <w:t>Le società potranno rinnovare la copertura per tutte le licenze SMSD del gruppo di quattro licenze SMSD gratuite concesse in virtù dell</w:t>
      </w:r>
      <w:r w:rsidR="007A1415" w:rsidRPr="00BD7CEA">
        <w:rPr>
          <w:rFonts w:ascii="Tahoma" w:hAnsi="Tahoma" w:cs="Tahoma"/>
          <w:sz w:val="18"/>
        </w:rPr>
        <w:t>’</w:t>
      </w:r>
      <w:r w:rsidRPr="00BD7CEA">
        <w:rPr>
          <w:rFonts w:ascii="Tahoma" w:hAnsi="Tahoma" w:cs="Tahoma"/>
          <w:sz w:val="18"/>
        </w:rPr>
        <w:t>offerta. Qualora si scelta questa opzione, il</w:t>
      </w:r>
      <w:r w:rsidR="00194AA4" w:rsidRPr="00BD7CEA">
        <w:rPr>
          <w:rFonts w:ascii="Tahoma" w:hAnsi="Tahoma" w:cs="Tahoma"/>
          <w:sz w:val="18"/>
        </w:rPr>
        <w:t> </w:t>
      </w:r>
      <w:r w:rsidRPr="00BD7CEA">
        <w:rPr>
          <w:rFonts w:ascii="Tahoma" w:hAnsi="Tahoma" w:cs="Tahoma"/>
          <w:sz w:val="18"/>
        </w:rPr>
        <w:t>requisito dell</w:t>
      </w:r>
      <w:r w:rsidR="007A1415" w:rsidRPr="00BD7CEA">
        <w:rPr>
          <w:rFonts w:ascii="Tahoma" w:hAnsi="Tahoma" w:cs="Tahoma"/>
          <w:sz w:val="18"/>
        </w:rPr>
        <w:t>’</w:t>
      </w:r>
      <w:r w:rsidRPr="00BD7CEA">
        <w:rPr>
          <w:rFonts w:ascii="Tahoma" w:hAnsi="Tahoma" w:cs="Tahoma"/>
          <w:sz w:val="18"/>
        </w:rPr>
        <w:t>assegnazione del gruppo di quattro licenze a un unico dispositivo non ha</w:t>
      </w:r>
      <w:r w:rsidR="00194AA4" w:rsidRPr="00BD7CEA">
        <w:rPr>
          <w:rFonts w:ascii="Tahoma" w:hAnsi="Tahoma" w:cs="Tahoma"/>
          <w:sz w:val="18"/>
        </w:rPr>
        <w:t> </w:t>
      </w:r>
      <w:r w:rsidRPr="00BD7CEA">
        <w:rPr>
          <w:rFonts w:ascii="Tahoma" w:hAnsi="Tahoma" w:cs="Tahoma"/>
          <w:sz w:val="18"/>
        </w:rPr>
        <w:t>più</w:t>
      </w:r>
      <w:r w:rsidR="00194AA4" w:rsidRPr="00BD7CEA">
        <w:rPr>
          <w:rFonts w:ascii="Tahoma" w:hAnsi="Tahoma" w:cs="Tahoma"/>
          <w:sz w:val="18"/>
        </w:rPr>
        <w:t> </w:t>
      </w:r>
      <w:r w:rsidRPr="00BD7CEA">
        <w:rPr>
          <w:rFonts w:ascii="Tahoma" w:hAnsi="Tahoma" w:cs="Tahoma"/>
          <w:sz w:val="18"/>
        </w:rPr>
        <w:t>validità.</w:t>
      </w:r>
    </w:p>
    <w:p w:rsidR="004323B9" w:rsidRPr="00BD7CEA" w:rsidRDefault="004323B9" w:rsidP="000A18AA">
      <w:pPr>
        <w:pStyle w:val="FootnoteBulletLevel1"/>
        <w:numPr>
          <w:ilvl w:val="2"/>
          <w:numId w:val="15"/>
        </w:numPr>
        <w:tabs>
          <w:tab w:val="left" w:pos="720"/>
        </w:tabs>
        <w:spacing w:before="0" w:after="60"/>
        <w:ind w:left="1980"/>
      </w:pPr>
      <w:r w:rsidRPr="00BD7CEA">
        <w:rPr>
          <w:rFonts w:ascii="Tahoma" w:hAnsi="Tahoma" w:cs="Tahoma"/>
          <w:sz w:val="18"/>
        </w:rPr>
        <w:t>Le società che rinnoveranno Software Assurance prima del 1 luglio 2011 potranno rinnovare la copertura per due licenze del gruppo di quattro licenze per SMSD gratuite concesse ai sensi della presente offerta. In questo caso, rinnoveranno automaticamente la copertura per le quattro licenze SMSD dello stesso gruppo.</w:t>
      </w:r>
      <w:r w:rsidR="008D782D" w:rsidRPr="00BD7CEA">
        <w:rPr>
          <w:rFonts w:ascii="Tahoma" w:hAnsi="Tahoma" w:cs="Tahoma"/>
          <w:sz w:val="18"/>
        </w:rPr>
        <w:t xml:space="preserve"> </w:t>
      </w:r>
      <w:r w:rsidRPr="00BD7CEA">
        <w:rPr>
          <w:rFonts w:ascii="Tahoma" w:hAnsi="Tahoma" w:cs="Tahoma"/>
          <w:sz w:val="18"/>
        </w:rPr>
        <w:t>Qualora si scelga questa opzione, il requisito dell</w:t>
      </w:r>
      <w:r w:rsidR="007A1415" w:rsidRPr="00BD7CEA">
        <w:rPr>
          <w:rFonts w:ascii="Tahoma" w:hAnsi="Tahoma" w:cs="Tahoma"/>
          <w:sz w:val="18"/>
        </w:rPr>
        <w:t>’</w:t>
      </w:r>
      <w:r w:rsidRPr="00BD7CEA">
        <w:rPr>
          <w:rFonts w:ascii="Tahoma" w:hAnsi="Tahoma" w:cs="Tahoma"/>
          <w:sz w:val="18"/>
        </w:rPr>
        <w:t>assegnazione del gruppo di quattro licenze a un unico dispositivo resterà valido anche dopo il rinnovo.</w:t>
      </w:r>
      <w:r w:rsidR="008D782D" w:rsidRPr="00BD7CEA">
        <w:rPr>
          <w:rFonts w:ascii="Tahoma" w:hAnsi="Tahoma" w:cs="Tahoma"/>
          <w:sz w:val="18"/>
        </w:rPr>
        <w:t xml:space="preserve"> </w:t>
      </w:r>
      <w:r w:rsidRPr="00BD7CEA">
        <w:rPr>
          <w:rFonts w:ascii="Tahoma" w:hAnsi="Tahoma" w:cs="Tahoma"/>
          <w:sz w:val="18"/>
        </w:rPr>
        <w:t>In occasione del successivo rinnovo di Software Assurance, le società potranno rinnovare la copertura sulle licenze SMSD gratuite di ciascun gruppo di quattro licenze che occorreranno loro. In tale rinnovo successivo, diverso dal primo rinnovo, la copertura Software Assurance si estinguerà per qualsiasi licenza SMSD la cui copertura non sia stata rinnovata. Il requisito di assegnare un gruppo di quattro licenze SMSD gratuite a un unico dispositivo non si applicherà più in occasione del successivo rinnovo soltanto se verrà rinnovata la copertura per tutte e quattro le licenze SMSD.</w:t>
      </w:r>
    </w:p>
    <w:p w:rsidR="00D63733" w:rsidRPr="00BD7CEA" w:rsidRDefault="00D63733" w:rsidP="00D511CC">
      <w:pPr>
        <w:pStyle w:val="FootnoteBulletLevel1"/>
        <w:tabs>
          <w:tab w:val="clear" w:pos="900"/>
          <w:tab w:val="left" w:pos="720"/>
        </w:tabs>
        <w:spacing w:before="0" w:after="0"/>
        <w:ind w:firstLine="0"/>
      </w:pPr>
    </w:p>
    <w:p w:rsidR="00194AA4" w:rsidRPr="00BD7CEA" w:rsidRDefault="00194AA4" w:rsidP="00D511CC">
      <w:pPr>
        <w:pStyle w:val="FootnoteBulletLevel1"/>
        <w:tabs>
          <w:tab w:val="clear" w:pos="900"/>
          <w:tab w:val="left" w:pos="720"/>
        </w:tabs>
        <w:spacing w:before="0" w:after="0"/>
        <w:ind w:firstLine="0"/>
      </w:pPr>
    </w:p>
    <w:p w:rsidR="00CF7343" w:rsidRPr="00BD7CEA" w:rsidRDefault="004323B9" w:rsidP="000A18AA">
      <w:pPr>
        <w:pStyle w:val="FootnoteBulletLevel1"/>
        <w:tabs>
          <w:tab w:val="clear" w:pos="900"/>
          <w:tab w:val="left" w:pos="720"/>
        </w:tabs>
        <w:spacing w:before="0" w:after="60"/>
        <w:ind w:left="720" w:firstLine="0"/>
      </w:pPr>
      <w:r w:rsidRPr="00BD7CEA">
        <w:rPr>
          <w:rFonts w:ascii="Tahoma" w:hAnsi="Tahoma" w:cs="Tahoma"/>
          <w:b/>
          <w:sz w:val="18"/>
        </w:rPr>
        <w:lastRenderedPageBreak/>
        <w:t xml:space="preserve">Eliminazione del vincolo di </w:t>
      </w:r>
      <w:r w:rsidRPr="00BD7CEA">
        <w:rPr>
          <w:rFonts w:ascii="Tahoma" w:hAnsi="Tahoma" w:cs="Tahoma"/>
          <w:b/>
          <w:color w:val="000000"/>
          <w:sz w:val="18"/>
        </w:rPr>
        <w:t>dover cedere a un unico dispositivo ogni gruppo di licenze per SMSD</w:t>
      </w:r>
      <w:r w:rsidR="00C8557A">
        <w:rPr>
          <w:rFonts w:ascii="Tahoma" w:hAnsi="Tahoma" w:cs="Tahoma"/>
          <w:b/>
          <w:color w:val="000000"/>
          <w:sz w:val="18"/>
        </w:rPr>
        <w:t> </w:t>
      </w:r>
      <w:r w:rsidRPr="00BD7CEA">
        <w:rPr>
          <w:rFonts w:ascii="Tahoma" w:hAnsi="Tahoma" w:cs="Tahoma"/>
          <w:b/>
          <w:color w:val="000000"/>
          <w:sz w:val="18"/>
        </w:rPr>
        <w:t>concesse</w:t>
      </w:r>
    </w:p>
    <w:p w:rsidR="004323B9" w:rsidRPr="00BD7CEA" w:rsidRDefault="004323B9" w:rsidP="00D511CC">
      <w:pPr>
        <w:pStyle w:val="FootnoteBulletLevel1"/>
        <w:tabs>
          <w:tab w:val="clear" w:pos="900"/>
          <w:tab w:val="left" w:pos="720"/>
        </w:tabs>
        <w:spacing w:before="0" w:after="0"/>
        <w:ind w:left="720" w:firstLine="0"/>
      </w:pPr>
      <w:r w:rsidRPr="00BD7CEA">
        <w:rPr>
          <w:rFonts w:ascii="Tahoma" w:hAnsi="Tahoma" w:cs="Tahoma"/>
          <w:sz w:val="18"/>
        </w:rPr>
        <w:t>In qualunque momento precedente al primo rinnovo di Software Assurance dopo la presente concessione le</w:t>
      </w:r>
      <w:r w:rsidR="00C8557A">
        <w:rPr>
          <w:rFonts w:ascii="Tahoma" w:hAnsi="Tahoma" w:cs="Tahoma"/>
          <w:sz w:val="18"/>
        </w:rPr>
        <w:t> </w:t>
      </w:r>
      <w:r w:rsidRPr="00BD7CEA">
        <w:rPr>
          <w:rFonts w:ascii="Tahoma" w:hAnsi="Tahoma" w:cs="Tahoma"/>
          <w:sz w:val="18"/>
        </w:rPr>
        <w:t xml:space="preserve">società potranno eliminare il vincolo </w:t>
      </w:r>
      <w:r w:rsidRPr="00BD7CEA">
        <w:rPr>
          <w:rFonts w:ascii="Tahoma" w:hAnsi="Tahoma" w:cs="Tahoma"/>
          <w:color w:val="000000"/>
          <w:sz w:val="18"/>
        </w:rPr>
        <w:t>della cessione a un unico dispositivo di ogni gruppo di licenze per SMSD concesse. A tale scopo</w:t>
      </w:r>
      <w:r w:rsidRPr="00BD7CEA">
        <w:rPr>
          <w:rFonts w:ascii="Tahoma" w:hAnsi="Tahoma" w:cs="Tahoma"/>
          <w:sz w:val="18"/>
        </w:rPr>
        <w:t xml:space="preserve"> potranno acquistare la copertura Software Assurance per due licenze per SMSD appartenenti a un dato gruppo di quattro licenze per SMSD gratuite.</w:t>
      </w:r>
      <w:r w:rsidR="008D782D" w:rsidRPr="00BD7CEA">
        <w:rPr>
          <w:rFonts w:ascii="Tahoma" w:hAnsi="Tahoma" w:cs="Tahoma"/>
          <w:sz w:val="18"/>
        </w:rPr>
        <w:t xml:space="preserve"> </w:t>
      </w:r>
    </w:p>
    <w:p w:rsidR="000A18AA" w:rsidRPr="00BD7CEA" w:rsidRDefault="000A18AA" w:rsidP="00D511CC">
      <w:pPr>
        <w:pStyle w:val="FootnoteBulletLevel1"/>
        <w:tabs>
          <w:tab w:val="clear" w:pos="900"/>
          <w:tab w:val="left" w:pos="720"/>
        </w:tabs>
        <w:spacing w:before="0" w:after="0"/>
        <w:ind w:left="720" w:firstLine="0"/>
      </w:pPr>
    </w:p>
    <w:p w:rsidR="004323B9" w:rsidRPr="00BD7CEA" w:rsidRDefault="004323B9" w:rsidP="00D511CC">
      <w:pPr>
        <w:pStyle w:val="FootnoteBulletLevel1"/>
        <w:tabs>
          <w:tab w:val="clear" w:pos="900"/>
          <w:tab w:val="left" w:pos="720"/>
        </w:tabs>
        <w:spacing w:before="0" w:after="0"/>
        <w:ind w:left="720" w:firstLine="0"/>
      </w:pPr>
      <w:r w:rsidRPr="00BD7CEA">
        <w:rPr>
          <w:rFonts w:ascii="Tahoma" w:hAnsi="Tahoma" w:cs="Tahoma"/>
          <w:sz w:val="18"/>
        </w:rPr>
        <w:t>Il diritto di utilizzo del software da parte della società ai sensi delle licenze SMSD gratuite è attestato dalla presente nota relativa alle condizioni del prodotto e dalla prova delle licenze qualificanti corrispondenti.</w:t>
      </w:r>
      <w:r w:rsidR="008D782D" w:rsidRPr="00BD7CEA">
        <w:rPr>
          <w:rFonts w:ascii="Tahoma" w:hAnsi="Tahoma" w:cs="Tahoma"/>
          <w:sz w:val="18"/>
        </w:rPr>
        <w:t xml:space="preserve"> </w:t>
      </w:r>
      <w:r w:rsidRPr="00BD7CEA">
        <w:rPr>
          <w:rFonts w:ascii="Tahoma" w:hAnsi="Tahoma" w:cs="Tahoma"/>
          <w:sz w:val="18"/>
        </w:rPr>
        <w:t>L</w:t>
      </w:r>
      <w:r w:rsidR="007A1415" w:rsidRPr="00BD7CEA">
        <w:rPr>
          <w:rFonts w:ascii="Tahoma" w:hAnsi="Tahoma" w:cs="Tahoma"/>
          <w:sz w:val="18"/>
        </w:rPr>
        <w:t>’</w:t>
      </w:r>
      <w:r w:rsidRPr="00BD7CEA">
        <w:rPr>
          <w:rFonts w:ascii="Tahoma" w:hAnsi="Tahoma" w:cs="Tahoma"/>
          <w:sz w:val="18"/>
        </w:rPr>
        <w:t>utilizzo del software da parte della società ai sensi della presente offerta sarà soggetto alle condizioni del</w:t>
      </w:r>
      <w:r w:rsidR="00194AA4" w:rsidRPr="00BD7CEA">
        <w:rPr>
          <w:rFonts w:ascii="Tahoma" w:hAnsi="Tahoma" w:cs="Tahoma"/>
          <w:sz w:val="18"/>
        </w:rPr>
        <w:t> </w:t>
      </w:r>
      <w:r w:rsidRPr="00BD7CEA">
        <w:rPr>
          <w:rFonts w:ascii="Tahoma" w:hAnsi="Tahoma" w:cs="Tahoma"/>
          <w:sz w:val="18"/>
        </w:rPr>
        <w:t>relativo contratto di licenza e ai diritti di utilizzo del prodotto relativi al software. Il diritto di utilizzo del software ai sensi delle licenze gratuite scadrà alla scadenza del diritto di utilizzo del software ai sensi delle licenze qualificanti. Le società non potranno trasferire le licenze concesse in virtù della presente offerta separatamente dalle licenze qualificanti corrispondenti.</w:t>
      </w:r>
    </w:p>
    <w:p w:rsidR="000A18AA" w:rsidRPr="00BD7CEA" w:rsidRDefault="000A18AA" w:rsidP="00D511CC">
      <w:pPr>
        <w:pStyle w:val="FootnoteBulletLevel1"/>
        <w:tabs>
          <w:tab w:val="clear" w:pos="900"/>
          <w:tab w:val="left" w:pos="720"/>
        </w:tabs>
        <w:spacing w:before="0" w:after="0"/>
        <w:ind w:left="720" w:firstLine="0"/>
      </w:pPr>
    </w:p>
    <w:p w:rsidR="00F23A1B" w:rsidRPr="00BD7CEA" w:rsidRDefault="004323B9" w:rsidP="000A18AA">
      <w:pPr>
        <w:pStyle w:val="FootnoteBulletLevel1"/>
        <w:tabs>
          <w:tab w:val="clear" w:pos="900"/>
          <w:tab w:val="left" w:pos="720"/>
        </w:tabs>
        <w:spacing w:before="0" w:after="0"/>
        <w:ind w:left="720" w:firstLine="0"/>
      </w:pPr>
      <w:r w:rsidRPr="00BD7CEA">
        <w:rPr>
          <w:rFonts w:ascii="Tahoma" w:hAnsi="Tahoma" w:cs="Tahoma"/>
          <w:sz w:val="18"/>
        </w:rPr>
        <w:t>* Le modifiche alla concessione delle licenze SMSE si applicheranno a System Center Operations Manager 2007 R2 e alle nuove versioni degli altri prodotti inclusi in System Center Server Management Suite Enterprise (ad esempio System Center Virtual Machine Manager 2008 R2).</w:t>
      </w:r>
    </w:p>
    <w:p w:rsidR="000A18AA" w:rsidRPr="00BD7CEA" w:rsidRDefault="000A18AA" w:rsidP="000A18AA">
      <w:pPr>
        <w:pStyle w:val="FootnoteBulletLevel1"/>
        <w:tabs>
          <w:tab w:val="clear" w:pos="900"/>
          <w:tab w:val="left" w:pos="720"/>
        </w:tabs>
        <w:spacing w:before="0" w:after="0"/>
      </w:pPr>
    </w:p>
    <w:p w:rsidR="000A18AA" w:rsidRPr="00BD7CEA" w:rsidRDefault="000A18AA" w:rsidP="000A18AA">
      <w:pPr>
        <w:pStyle w:val="FootnoteBulletLevel1"/>
        <w:tabs>
          <w:tab w:val="clear" w:pos="900"/>
          <w:tab w:val="left" w:pos="720"/>
        </w:tabs>
        <w:spacing w:before="0" w:after="0"/>
      </w:pPr>
    </w:p>
    <w:p w:rsidR="00F411FE" w:rsidRPr="00BD7CEA" w:rsidRDefault="00F66FB0" w:rsidP="0097015A">
      <w:pPr>
        <w:pStyle w:val="Heading3"/>
      </w:pPr>
      <w:bookmarkStart w:id="1501" w:name="_86_System_Center"/>
      <w:bookmarkStart w:id="1502" w:name="_88_System_Center"/>
      <w:bookmarkStart w:id="1503" w:name="_Toc336338355"/>
      <w:bookmarkStart w:id="1504" w:name="_Toc353376126"/>
      <w:bookmarkStart w:id="1505" w:name="Srv_90SysCtrSvrMgmtSuiteDatacenter"/>
      <w:bookmarkEnd w:id="1501"/>
      <w:bookmarkEnd w:id="1502"/>
      <w:r w:rsidRPr="00BD7CEA">
        <w:rPr>
          <w:rFonts w:ascii="Tahoma" w:hAnsi="Tahoma" w:cs="Tahoma"/>
          <w:caps/>
          <w:color w:val="FF7415"/>
          <w:sz w:val="22"/>
          <w:szCs w:val="22"/>
          <w:vertAlign w:val="superscript"/>
        </w:rPr>
        <w:t xml:space="preserve">88 </w:t>
      </w:r>
      <w:r w:rsidRPr="00BD7CEA">
        <w:rPr>
          <w:rFonts w:ascii="Tahoma" w:hAnsi="Tahoma" w:cs="Tahoma"/>
          <w:color w:val="FF7415"/>
          <w:sz w:val="22"/>
          <w:szCs w:val="22"/>
        </w:rPr>
        <w:t>System Center Server Management Suite Datacenter</w:t>
      </w:r>
      <w:bookmarkEnd w:id="1503"/>
      <w:bookmarkEnd w:id="1504"/>
    </w:p>
    <w:bookmarkEnd w:id="1505"/>
    <w:p w:rsidR="00F411FE" w:rsidRPr="00BD7CEA" w:rsidRDefault="00F411FE" w:rsidP="00F411FE">
      <w:pPr>
        <w:ind w:left="360"/>
      </w:pPr>
    </w:p>
    <w:p w:rsidR="00FF4CAB" w:rsidRPr="00BD7CEA" w:rsidRDefault="00FF4CAB" w:rsidP="000A18AA">
      <w:pPr>
        <w:pStyle w:val="EndnoteText"/>
        <w:ind w:left="720"/>
      </w:pPr>
      <w:r w:rsidRPr="00BD7CEA">
        <w:rPr>
          <w:rFonts w:ascii="Tahoma" w:hAnsi="Tahoma" w:cs="Tahoma"/>
          <w:color w:val="000000"/>
          <w:sz w:val="18"/>
        </w:rPr>
        <w:t xml:space="preserve">Prodotto End-Of-Life (EOL) che non verrà più offerto. </w:t>
      </w:r>
    </w:p>
    <w:p w:rsidR="004F0CAE" w:rsidRPr="00BD7CEA" w:rsidRDefault="004F0CAE" w:rsidP="000A18AA">
      <w:pPr>
        <w:pStyle w:val="EndnoteText"/>
        <w:ind w:left="720"/>
      </w:pPr>
    </w:p>
    <w:p w:rsidR="00FF4CAB" w:rsidRPr="00BD7CEA" w:rsidRDefault="00FF4CAB" w:rsidP="004F0CAE">
      <w:pPr>
        <w:pStyle w:val="FootnoteBulletLevel1"/>
        <w:tabs>
          <w:tab w:val="clear" w:pos="900"/>
        </w:tabs>
        <w:spacing w:before="0" w:after="60"/>
        <w:ind w:left="720" w:firstLine="0"/>
        <w:rPr>
          <w:spacing w:val="-2"/>
        </w:rPr>
      </w:pPr>
      <w:r w:rsidRPr="00BD7CEA">
        <w:rPr>
          <w:rFonts w:ascii="Tahoma" w:hAnsi="Tahoma" w:cs="Tahoma"/>
          <w:b/>
          <w:spacing w:val="-2"/>
          <w:sz w:val="18"/>
        </w:rPr>
        <w:t>Dettagli relativi alla Concessione di una Licenza Transitoria Una Tantum per System Center 2012</w:t>
      </w:r>
    </w:p>
    <w:p w:rsidR="00FF4CAB" w:rsidRPr="00BD7CEA" w:rsidRDefault="00FF4CAB" w:rsidP="000A18AA">
      <w:pPr>
        <w:ind w:left="720"/>
      </w:pPr>
      <w:r w:rsidRPr="00BD7CEA">
        <w:t>Per dettagli sulle concessioni di licenze transitorie, fare riferimento alla nota relativa al prodotto presente nelle offerte di System Center 2012.</w:t>
      </w:r>
    </w:p>
    <w:p w:rsidR="00FF4CAB" w:rsidRPr="00BD7CEA" w:rsidRDefault="00FF4CAB" w:rsidP="000A18AA">
      <w:pPr>
        <w:ind w:left="720"/>
      </w:pPr>
    </w:p>
    <w:p w:rsidR="00F411FE" w:rsidRPr="00BD7CEA" w:rsidRDefault="00F411FE" w:rsidP="000A18AA">
      <w:pPr>
        <w:ind w:left="720"/>
      </w:pPr>
      <w:r w:rsidRPr="00BD7CEA">
        <w:rPr>
          <w:rFonts w:cs="Tahoma"/>
          <w:szCs w:val="20"/>
        </w:rPr>
        <w:t>System Center Server Management Suite Datacenter non dispone di versioni e i diritti di utilizzo del prodotto sono determinati dallo stato della copertura Software Assurance per System Center Server Management Suite Datacenter. Qualora la copertura sia scaduta, i diritti di accesso attribuiti da licenze perpetue sono determinati sulla base dei diritti di utilizzo del prodotto in vigore prima della scadenza della copertura.</w:t>
      </w:r>
      <w:r w:rsidR="008D782D" w:rsidRPr="00BD7CEA">
        <w:rPr>
          <w:rFonts w:cs="Tahoma"/>
          <w:szCs w:val="20"/>
        </w:rPr>
        <w:t xml:space="preserve"> </w:t>
      </w:r>
    </w:p>
    <w:p w:rsidR="00E72B93" w:rsidRPr="00BD7CEA" w:rsidRDefault="00E72B93" w:rsidP="000A18AA">
      <w:pPr>
        <w:ind w:left="720"/>
      </w:pPr>
    </w:p>
    <w:p w:rsidR="00143CF6" w:rsidRPr="00BD7CEA" w:rsidRDefault="005C164D" w:rsidP="003165D6">
      <w:pPr>
        <w:ind w:left="720"/>
      </w:pPr>
      <w:r w:rsidRPr="00BD7CEA">
        <w:rPr>
          <w:rFonts w:cs="Tahoma"/>
          <w:color w:val="000000"/>
          <w:szCs w:val="18"/>
        </w:rPr>
        <w:t>Al 1 novembre 2010 una licenza per System Center Server Management Suite Datacenter con copertura Software Assurance attiva fornisce i diritti di gestione server per le licenze di gestione server per System Center Enterprise relativamente a Operations Manager 2007 R2, Configuration Manager 2007 R3, Data Protection Manager 2010, Service Manager 2010 e Virtual Machine Manager 2008 R2. Inoltre, è inclusa anche la licenza server per Virtual Machine Manager 2008 R2 e Data Protection Manager 2010. La società dovrà riesaminare il documento PUR per verificare i diritti sull</w:t>
      </w:r>
      <w:r w:rsidR="007A1415" w:rsidRPr="00BD7CEA">
        <w:rPr>
          <w:rFonts w:cs="Tahoma"/>
          <w:color w:val="000000"/>
          <w:szCs w:val="18"/>
        </w:rPr>
        <w:t>’</w:t>
      </w:r>
      <w:r w:rsidRPr="00BD7CEA">
        <w:rPr>
          <w:rFonts w:cs="Tahoma"/>
          <w:color w:val="000000"/>
          <w:szCs w:val="18"/>
        </w:rPr>
        <w:t>utilizzo.</w:t>
      </w:r>
      <w:bookmarkStart w:id="1506" w:name="_90_System_Center"/>
      <w:bookmarkEnd w:id="1506"/>
    </w:p>
    <w:p w:rsidR="00FF4CAB" w:rsidRPr="00BD7CEA" w:rsidRDefault="00FF4CAB" w:rsidP="004F0CAE">
      <w:bookmarkStart w:id="1507" w:name="Srv_92TechNetPlusSingleUser"/>
    </w:p>
    <w:p w:rsidR="00FF4CAB" w:rsidRPr="00BD7CEA" w:rsidRDefault="00FF4CAB" w:rsidP="004F0CAE"/>
    <w:p w:rsidR="00FF4CAB" w:rsidRPr="00BD7CEA" w:rsidRDefault="00F66FB0" w:rsidP="00C306C5">
      <w:pPr>
        <w:pStyle w:val="Heading3"/>
        <w:ind w:left="230" w:hanging="230"/>
      </w:pPr>
      <w:bookmarkStart w:id="1508" w:name="_87_System_Center"/>
      <w:bookmarkStart w:id="1509" w:name="_89_System_Center"/>
      <w:bookmarkStart w:id="1510" w:name="_Toc336338357"/>
      <w:bookmarkStart w:id="1511" w:name="_Toc353376127"/>
      <w:bookmarkStart w:id="1512" w:name="Srv_100SysCenterVMM2008R2"/>
      <w:bookmarkEnd w:id="1508"/>
      <w:bookmarkEnd w:id="1509"/>
      <w:r w:rsidRPr="00BD7CEA">
        <w:rPr>
          <w:rFonts w:ascii="Tahoma" w:hAnsi="Tahoma" w:cs="Tahoma"/>
          <w:caps/>
          <w:color w:val="FF6F0D"/>
          <w:sz w:val="22"/>
          <w:szCs w:val="22"/>
          <w:vertAlign w:val="superscript"/>
        </w:rPr>
        <w:t>89</w:t>
      </w:r>
      <w:r w:rsidRPr="00BD7CEA">
        <w:rPr>
          <w:rFonts w:ascii="Tahoma" w:hAnsi="Tahoma" w:cs="Tahoma"/>
          <w:color w:val="FF6F0D"/>
          <w:sz w:val="22"/>
          <w:szCs w:val="22"/>
        </w:rPr>
        <w:t xml:space="preserve"> System Center Virtual Machine Manager 2008 R2</w:t>
      </w:r>
      <w:r w:rsidR="00FD7C0D">
        <w:rPr>
          <w:rFonts w:ascii="Tahoma" w:hAnsi="Tahoma" w:cs="Tahoma"/>
          <w:color w:val="FF6F0D"/>
          <w:sz w:val="22"/>
          <w:szCs w:val="22"/>
        </w:rPr>
        <w:t xml:space="preserve"> – </w:t>
      </w:r>
      <w:r w:rsidRPr="00BD7CEA">
        <w:rPr>
          <w:rFonts w:ascii="Tahoma" w:hAnsi="Tahoma" w:cs="Tahoma"/>
          <w:color w:val="FF6F0D"/>
          <w:sz w:val="22"/>
          <w:szCs w:val="22"/>
        </w:rPr>
        <w:t>Licenze di Gestione Client e</w:t>
      </w:r>
      <w:r w:rsidR="00194AA4" w:rsidRPr="00BD7CEA">
        <w:rPr>
          <w:rFonts w:ascii="Tahoma" w:hAnsi="Tahoma" w:cs="Tahoma"/>
          <w:color w:val="FF6F0D"/>
          <w:sz w:val="22"/>
          <w:szCs w:val="22"/>
        </w:rPr>
        <w:t> </w:t>
      </w:r>
      <w:r w:rsidRPr="00BD7CEA">
        <w:rPr>
          <w:rFonts w:ascii="Tahoma" w:hAnsi="Tahoma" w:cs="Tahoma"/>
          <w:color w:val="FF6F0D"/>
          <w:sz w:val="22"/>
          <w:szCs w:val="22"/>
        </w:rPr>
        <w:t>Server</w:t>
      </w:r>
      <w:bookmarkEnd w:id="1510"/>
      <w:bookmarkEnd w:id="1511"/>
    </w:p>
    <w:bookmarkEnd w:id="1512"/>
    <w:p w:rsidR="00FF4CAB" w:rsidRPr="00BD7CEA" w:rsidRDefault="00FF4CAB" w:rsidP="004F0CAE"/>
    <w:p w:rsidR="00FF4CAB" w:rsidRPr="00BD7CEA" w:rsidRDefault="00FF4CAB" w:rsidP="004F0CAE">
      <w:pPr>
        <w:ind w:left="720"/>
      </w:pPr>
      <w:r w:rsidRPr="00BD7CEA">
        <w:t>Prodotti End-Of-Life (EOL) che non verranno più offerti.</w:t>
      </w:r>
    </w:p>
    <w:p w:rsidR="004F0CAE" w:rsidRPr="00BD7CEA" w:rsidRDefault="004F0CAE" w:rsidP="004F0CAE">
      <w:pPr>
        <w:ind w:left="720"/>
      </w:pPr>
    </w:p>
    <w:p w:rsidR="00FF4CAB" w:rsidRPr="00BD7CEA" w:rsidRDefault="00FF4CAB" w:rsidP="004F0CAE">
      <w:pPr>
        <w:adjustRightInd w:val="0"/>
        <w:spacing w:after="60"/>
        <w:ind w:left="720"/>
        <w:textAlignment w:val="baseline"/>
        <w:rPr>
          <w:spacing w:val="-2"/>
        </w:rPr>
      </w:pPr>
      <w:r w:rsidRPr="00BD7CEA">
        <w:rPr>
          <w:rFonts w:cs="Tahoma"/>
          <w:b/>
          <w:spacing w:val="-2"/>
          <w:szCs w:val="20"/>
        </w:rPr>
        <w:t>Dettagli relativi alla Concessione di una Licenza Transitoria Una Tantum per System Center 2012</w:t>
      </w:r>
    </w:p>
    <w:p w:rsidR="00586FCE" w:rsidRPr="00BD7CEA" w:rsidRDefault="00FF4CAB" w:rsidP="004F0CAE">
      <w:pPr>
        <w:ind w:left="720"/>
      </w:pPr>
      <w:r w:rsidRPr="00BD7CEA">
        <w:t>Per dettagli sulle concessioni di licenze transitorie, fare riferimento alla nota relativa al prodotto presente nelle offerte di System Center 2012</w:t>
      </w:r>
      <w:bookmarkStart w:id="1513" w:name="_Toc336338358"/>
      <w:bookmarkStart w:id="1514" w:name="Srv_101SystemCenter2012"/>
      <w:r w:rsidRPr="00BD7CEA">
        <w:t>.</w:t>
      </w:r>
    </w:p>
    <w:p w:rsidR="004F0CAE" w:rsidRPr="00BD7CEA" w:rsidRDefault="004F0CAE" w:rsidP="004F0CAE"/>
    <w:p w:rsidR="004F0CAE" w:rsidRPr="00BD7CEA" w:rsidRDefault="004F0CAE" w:rsidP="004F0CAE"/>
    <w:p w:rsidR="00194AA4" w:rsidRPr="00BD7CEA" w:rsidRDefault="00194AA4" w:rsidP="004F0CAE"/>
    <w:p w:rsidR="00194AA4" w:rsidRPr="00BD7CEA" w:rsidRDefault="00194AA4" w:rsidP="004F0CAE"/>
    <w:p w:rsidR="00194AA4" w:rsidRPr="00BD7CEA" w:rsidRDefault="00194AA4" w:rsidP="004F0CAE"/>
    <w:p w:rsidR="00194AA4" w:rsidRPr="00BD7CEA" w:rsidRDefault="00194AA4" w:rsidP="004F0CAE"/>
    <w:p w:rsidR="00194AA4" w:rsidRPr="00BD7CEA" w:rsidRDefault="00194AA4" w:rsidP="004F0CAE"/>
    <w:p w:rsidR="00194AA4" w:rsidRPr="00BD7CEA" w:rsidRDefault="00194AA4" w:rsidP="004F0CAE"/>
    <w:p w:rsidR="00FF4CAB" w:rsidRPr="00BD7CEA" w:rsidRDefault="00F66FB0" w:rsidP="00FF4CAB">
      <w:pPr>
        <w:pStyle w:val="Heading3"/>
      </w:pPr>
      <w:bookmarkStart w:id="1515" w:name="_91_89_System"/>
      <w:bookmarkStart w:id="1516" w:name="_Toc353376128"/>
      <w:bookmarkEnd w:id="1515"/>
      <w:r w:rsidRPr="00BD7CEA">
        <w:rPr>
          <w:rFonts w:ascii="Tahoma" w:hAnsi="Tahoma" w:cs="Tahoma"/>
          <w:caps/>
          <w:color w:val="FF6F0D"/>
          <w:sz w:val="22"/>
          <w:szCs w:val="22"/>
          <w:vertAlign w:val="superscript"/>
        </w:rPr>
        <w:lastRenderedPageBreak/>
        <w:t>90</w:t>
      </w:r>
      <w:r w:rsidRPr="00BD7CEA">
        <w:rPr>
          <w:rFonts w:ascii="Tahoma" w:hAnsi="Tahoma" w:cs="Tahoma"/>
          <w:color w:val="FF6F0D"/>
          <w:sz w:val="22"/>
          <w:szCs w:val="22"/>
        </w:rPr>
        <w:t xml:space="preserve"> System Center 2012</w:t>
      </w:r>
      <w:bookmarkEnd w:id="1513"/>
      <w:bookmarkEnd w:id="1516"/>
    </w:p>
    <w:bookmarkEnd w:id="1514"/>
    <w:p w:rsidR="00FF4CAB" w:rsidRPr="00BD7CEA" w:rsidRDefault="00FF4CAB" w:rsidP="004F0CAE"/>
    <w:p w:rsidR="00FF4CAB" w:rsidRPr="00BD7CEA" w:rsidRDefault="00FF4CAB" w:rsidP="004F0CAE">
      <w:pPr>
        <w:ind w:left="720"/>
      </w:pPr>
      <w:r w:rsidRPr="00BD7CEA">
        <w:rPr>
          <w:rFonts w:cs="Tahoma"/>
          <w:color w:val="000000"/>
          <w:szCs w:val="24"/>
        </w:rPr>
        <w:t>Le ultime versioni di System Center Data Protection Manager 2010, System Center Operations Manager 2008 R2, System Center Service Manager 2010 e System Center Virtual Machine Manager 2008 R2 non saranno disponibili.</w:t>
      </w:r>
      <w:r w:rsidR="008D782D" w:rsidRPr="00BD7CEA">
        <w:rPr>
          <w:rFonts w:cs="Tahoma"/>
          <w:color w:val="000000"/>
          <w:szCs w:val="24"/>
        </w:rPr>
        <w:t xml:space="preserve"> </w:t>
      </w:r>
      <w:r w:rsidRPr="00BD7CEA">
        <w:rPr>
          <w:rFonts w:cs="Tahoma"/>
          <w:color w:val="000000"/>
          <w:szCs w:val="24"/>
        </w:rPr>
        <w:t>Analogamente, le ultime versioni di System Center Configuration Manager 2007 R3 non</w:t>
      </w:r>
      <w:r w:rsidR="00C8557A">
        <w:rPr>
          <w:rFonts w:cs="Tahoma"/>
          <w:color w:val="000000"/>
          <w:szCs w:val="24"/>
        </w:rPr>
        <w:t> </w:t>
      </w:r>
      <w:r w:rsidRPr="00BD7CEA">
        <w:rPr>
          <w:rFonts w:cs="Tahoma"/>
          <w:color w:val="000000"/>
          <w:szCs w:val="24"/>
        </w:rPr>
        <w:t>saranno disponibili ai sensi di licenze per il software separate né di licenze di gestione server. In via eccezionale, in caso di disponibilità di System Center 2012 alle società con Software Assurance attiva che sono stati titolari di una copertura sul software e di licenze di gestione per questi prodotti in data 1 aprile 2012 verranno fornite le licenze per effettuare l</w:t>
      </w:r>
      <w:r w:rsidR="007A1415" w:rsidRPr="00BD7CEA">
        <w:rPr>
          <w:rFonts w:cs="Tahoma"/>
          <w:color w:val="000000"/>
          <w:szCs w:val="24"/>
        </w:rPr>
        <w:t>’</w:t>
      </w:r>
      <w:r w:rsidRPr="00BD7CEA">
        <w:rPr>
          <w:rFonts w:cs="Tahoma"/>
          <w:color w:val="000000"/>
          <w:szCs w:val="24"/>
        </w:rPr>
        <w:t>aggiornamento al software Systems Center 2012 e per utilizzarlo al posto dei prodotti che seguono.</w:t>
      </w:r>
    </w:p>
    <w:p w:rsidR="00FF4CAB" w:rsidRPr="00BD7CEA" w:rsidRDefault="00FF4CAB" w:rsidP="004F0CAE">
      <w:pPr>
        <w:ind w:left="900"/>
      </w:pPr>
      <w:r w:rsidRPr="00BD7CEA">
        <w:rPr>
          <w:rFonts w:cs="Tahoma"/>
          <w:color w:val="000000"/>
          <w:szCs w:val="24"/>
        </w:rPr>
        <w:t xml:space="preserve"> </w:t>
      </w:r>
    </w:p>
    <w:p w:rsidR="00FF4CAB" w:rsidRPr="00BD7CEA" w:rsidRDefault="00FF4CAB" w:rsidP="004F0CAE">
      <w:pPr>
        <w:ind w:left="900"/>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FF4CAB" w:rsidRPr="00BD7CEA" w:rsidTr="00194AA4">
        <w:trPr>
          <w:tblHeader/>
        </w:trPr>
        <w:tc>
          <w:tcPr>
            <w:tcW w:w="3960" w:type="dxa"/>
            <w:tcBorders>
              <w:top w:val="single" w:sz="4" w:space="0" w:color="000000"/>
              <w:bottom w:val="single" w:sz="6" w:space="0" w:color="000000"/>
            </w:tcBorders>
            <w:shd w:val="clear" w:color="auto" w:fill="FABF8F"/>
          </w:tcPr>
          <w:p w:rsidR="00FF4CAB" w:rsidRPr="00BD7CEA" w:rsidRDefault="00FF4CAB" w:rsidP="00FF4CAB">
            <w:pPr>
              <w:jc w:val="center"/>
              <w:rPr>
                <w:rFonts w:cs="Tahoma"/>
                <w:b/>
                <w:color w:val="000000"/>
                <w:szCs w:val="20"/>
              </w:rPr>
            </w:pPr>
            <w:r w:rsidRPr="00BD7CEA">
              <w:rPr>
                <w:rFonts w:cs="Tahoma"/>
                <w:b/>
                <w:color w:val="000000"/>
                <w:szCs w:val="20"/>
              </w:rPr>
              <w:t>Licenze Qualificanti</w:t>
            </w:r>
          </w:p>
        </w:tc>
        <w:tc>
          <w:tcPr>
            <w:tcW w:w="4050" w:type="dxa"/>
            <w:tcBorders>
              <w:top w:val="single" w:sz="4" w:space="0" w:color="000000"/>
              <w:bottom w:val="single" w:sz="6" w:space="0" w:color="000000"/>
            </w:tcBorders>
            <w:shd w:val="clear" w:color="auto" w:fill="FABF8F"/>
          </w:tcPr>
          <w:p w:rsidR="00FF4CAB" w:rsidRPr="00BD7CEA" w:rsidRDefault="00FF4CAB" w:rsidP="00FF4CAB">
            <w:pPr>
              <w:jc w:val="center"/>
              <w:rPr>
                <w:rFonts w:cs="Tahoma"/>
                <w:b/>
                <w:color w:val="000000"/>
                <w:szCs w:val="20"/>
              </w:rPr>
            </w:pPr>
            <w:r w:rsidRPr="00BD7CEA">
              <w:rPr>
                <w:rFonts w:cs="Tahoma"/>
                <w:b/>
                <w:color w:val="000000"/>
                <w:szCs w:val="20"/>
              </w:rPr>
              <w:t>Licenze per System Center 2012:</w:t>
            </w:r>
          </w:p>
        </w:tc>
      </w:tr>
      <w:tr w:rsidR="00FF4CAB" w:rsidRPr="00BD7CEA" w:rsidTr="00CA14C9">
        <w:tc>
          <w:tcPr>
            <w:tcW w:w="3960" w:type="dxa"/>
            <w:tcBorders>
              <w:top w:val="single" w:sz="6" w:space="0" w:color="000000"/>
            </w:tcBorders>
            <w:shd w:val="clear" w:color="auto" w:fill="FFFFFF"/>
          </w:tcPr>
          <w:p w:rsidR="00FF4CAB" w:rsidRPr="00BD7CEA" w:rsidRDefault="00FF4CAB" w:rsidP="00FF4CAB">
            <w:pPr>
              <w:rPr>
                <w:rFonts w:cs="Tahoma"/>
                <w:color w:val="000000"/>
                <w:szCs w:val="20"/>
              </w:rPr>
            </w:pPr>
            <w:r w:rsidRPr="00BD7CEA">
              <w:rPr>
                <w:rFonts w:cs="Tahoma"/>
                <w:color w:val="000000"/>
                <w:szCs w:val="20"/>
              </w:rPr>
              <w:t>System Center Client Management Suite (Client ML) per OSE</w:t>
            </w:r>
          </w:p>
        </w:tc>
        <w:tc>
          <w:tcPr>
            <w:tcW w:w="4050" w:type="dxa"/>
            <w:tcBorders>
              <w:top w:val="single" w:sz="6" w:space="0" w:color="000000"/>
            </w:tcBorders>
            <w:shd w:val="clear" w:color="auto" w:fill="FFFFFF"/>
          </w:tcPr>
          <w:p w:rsidR="00FF4CAB" w:rsidRPr="00BD7CEA" w:rsidRDefault="00FF4CAB" w:rsidP="00FF4CAB">
            <w:pPr>
              <w:rPr>
                <w:rFonts w:cs="Tahoma"/>
                <w:color w:val="000000"/>
                <w:szCs w:val="20"/>
              </w:rPr>
            </w:pPr>
            <w:r w:rsidRPr="00BD7CEA">
              <w:rPr>
                <w:rFonts w:cs="Tahoma"/>
                <w:color w:val="000000"/>
                <w:szCs w:val="20"/>
              </w:rPr>
              <w:t>1 System Center 2012 Client Management Suite (Client ML) per OSE</w:t>
            </w:r>
          </w:p>
        </w:tc>
      </w:tr>
      <w:tr w:rsidR="00FF4CAB" w:rsidRPr="00BD7CEA" w:rsidTr="00CA14C9">
        <w:tc>
          <w:tcPr>
            <w:tcW w:w="3960" w:type="dxa"/>
            <w:shd w:val="clear" w:color="auto" w:fill="FFFFFF"/>
          </w:tcPr>
          <w:p w:rsidR="00FF4CAB" w:rsidRPr="00BD7CEA" w:rsidRDefault="00FF4CAB" w:rsidP="00FF4CAB">
            <w:pPr>
              <w:rPr>
                <w:rFonts w:cs="Tahoma"/>
                <w:color w:val="000000"/>
                <w:szCs w:val="20"/>
              </w:rPr>
            </w:pPr>
            <w:r w:rsidRPr="00BD7CEA">
              <w:rPr>
                <w:rFonts w:cs="Tahoma"/>
                <w:color w:val="000000"/>
                <w:szCs w:val="20"/>
              </w:rPr>
              <w:t>System Center Client Management Suite (Client ML) per Utente</w:t>
            </w:r>
          </w:p>
        </w:tc>
        <w:tc>
          <w:tcPr>
            <w:tcW w:w="4050" w:type="dxa"/>
            <w:shd w:val="clear" w:color="auto" w:fill="FFFFFF"/>
          </w:tcPr>
          <w:p w:rsidR="00FF4CAB" w:rsidRPr="00BD7CEA" w:rsidRDefault="00FF4CAB" w:rsidP="00FF4CAB">
            <w:pPr>
              <w:rPr>
                <w:rFonts w:cs="Tahoma"/>
                <w:color w:val="000000"/>
                <w:szCs w:val="20"/>
              </w:rPr>
            </w:pPr>
            <w:r w:rsidRPr="00BD7CEA">
              <w:rPr>
                <w:rFonts w:cs="Tahoma"/>
                <w:color w:val="000000"/>
                <w:szCs w:val="20"/>
              </w:rPr>
              <w:t>1 System Center 2012 Client Management Suite (Client ML) per Utente</w:t>
            </w:r>
          </w:p>
        </w:tc>
      </w:tr>
      <w:tr w:rsidR="00FF4CAB" w:rsidRPr="00BD7CEA" w:rsidTr="00CA14C9">
        <w:tc>
          <w:tcPr>
            <w:tcW w:w="3960" w:type="dxa"/>
            <w:shd w:val="clear" w:color="auto" w:fill="FFFFFF"/>
          </w:tcPr>
          <w:p w:rsidR="00FF4CAB" w:rsidRPr="00BD7CEA" w:rsidRDefault="00FF4CAB" w:rsidP="00FF4CAB">
            <w:pPr>
              <w:rPr>
                <w:rFonts w:cs="Tahoma"/>
                <w:color w:val="000000"/>
                <w:szCs w:val="20"/>
              </w:rPr>
            </w:pPr>
            <w:r w:rsidRPr="00BD7CEA">
              <w:rPr>
                <w:rFonts w:cs="Tahoma"/>
                <w:color w:val="000000"/>
                <w:szCs w:val="20"/>
              </w:rPr>
              <w:t>System Center Configuration Manager 2007 R3</w:t>
            </w:r>
          </w:p>
        </w:tc>
        <w:tc>
          <w:tcPr>
            <w:tcW w:w="4050" w:type="dxa"/>
            <w:shd w:val="clear" w:color="auto" w:fill="FFFFFF"/>
          </w:tcPr>
          <w:p w:rsidR="00FF4CAB" w:rsidRPr="00BD7CEA" w:rsidRDefault="00FF4CAB" w:rsidP="00194AA4">
            <w:pPr>
              <w:rPr>
                <w:rFonts w:cs="Tahoma"/>
                <w:color w:val="000000"/>
                <w:szCs w:val="20"/>
              </w:rPr>
            </w:pPr>
            <w:r w:rsidRPr="00BD7CEA">
              <w:rPr>
                <w:rFonts w:cs="Tahoma"/>
                <w:color w:val="000000"/>
                <w:szCs w:val="20"/>
              </w:rPr>
              <w:t>1 Licenza di Gestione Server (Server ML) per</w:t>
            </w:r>
            <w:r w:rsidR="00194AA4" w:rsidRPr="00BD7CEA">
              <w:rPr>
                <w:rFonts w:cs="Tahoma"/>
                <w:color w:val="000000"/>
                <w:szCs w:val="20"/>
              </w:rPr>
              <w:t> </w:t>
            </w:r>
            <w:r w:rsidRPr="00BD7CEA">
              <w:rPr>
                <w:rFonts w:cs="Tahoma"/>
                <w:color w:val="000000"/>
                <w:szCs w:val="20"/>
              </w:rPr>
              <w:t>System Center 2012 Standard</w:t>
            </w:r>
          </w:p>
        </w:tc>
      </w:tr>
      <w:tr w:rsidR="00FF4CAB" w:rsidRPr="00BD7CEA" w:rsidTr="00CA14C9">
        <w:tc>
          <w:tcPr>
            <w:tcW w:w="3960" w:type="dxa"/>
            <w:shd w:val="clear" w:color="auto" w:fill="FFFFFF"/>
          </w:tcPr>
          <w:p w:rsidR="00FF4CAB" w:rsidRPr="00BD7CEA" w:rsidRDefault="00FF4CAB" w:rsidP="00194AA4">
            <w:pPr>
              <w:rPr>
                <w:rFonts w:cs="Tahoma"/>
                <w:color w:val="000000"/>
                <w:szCs w:val="20"/>
              </w:rPr>
            </w:pPr>
            <w:r w:rsidRPr="00BD7CEA">
              <w:rPr>
                <w:rFonts w:cs="Tahoma"/>
                <w:color w:val="000000"/>
                <w:szCs w:val="20"/>
              </w:rPr>
              <w:t>Licenza di Gestione Client (Client ML) per OSE per System Center Configuration Manager</w:t>
            </w:r>
            <w:r w:rsidR="00194AA4" w:rsidRPr="00BD7CEA">
              <w:rPr>
                <w:rFonts w:cs="Tahoma"/>
                <w:color w:val="000000"/>
                <w:szCs w:val="20"/>
              </w:rPr>
              <w:t> </w:t>
            </w:r>
            <w:r w:rsidRPr="00BD7CEA">
              <w:rPr>
                <w:rFonts w:cs="Tahoma"/>
                <w:color w:val="000000"/>
                <w:szCs w:val="20"/>
              </w:rPr>
              <w:t>2007 R3</w:t>
            </w:r>
          </w:p>
        </w:tc>
        <w:tc>
          <w:tcPr>
            <w:tcW w:w="4050" w:type="dxa"/>
            <w:shd w:val="clear" w:color="auto" w:fill="FFFFFF"/>
          </w:tcPr>
          <w:p w:rsidR="00FF4CAB" w:rsidRPr="00BD7CEA" w:rsidRDefault="00FF4CAB" w:rsidP="00FF4CAB">
            <w:pPr>
              <w:rPr>
                <w:rFonts w:cs="Tahoma"/>
                <w:color w:val="000000"/>
                <w:szCs w:val="20"/>
              </w:rPr>
            </w:pPr>
            <w:r w:rsidRPr="00BD7CEA">
              <w:rPr>
                <w:rFonts w:cs="Tahoma"/>
                <w:szCs w:val="20"/>
              </w:rPr>
              <w:t>1 Licenza di Gestione Client (Client ML) per OSE per System Center 2012 Configuration Manager</w:t>
            </w:r>
          </w:p>
        </w:tc>
      </w:tr>
      <w:tr w:rsidR="00FF4CAB" w:rsidRPr="00BD7CEA" w:rsidTr="00CA14C9">
        <w:tc>
          <w:tcPr>
            <w:tcW w:w="3960" w:type="dxa"/>
            <w:shd w:val="clear" w:color="auto" w:fill="FFFFFF"/>
          </w:tcPr>
          <w:p w:rsidR="00FF4CAB" w:rsidRPr="00BD7CEA" w:rsidRDefault="00FF4CAB" w:rsidP="00FF4CAB">
            <w:pPr>
              <w:rPr>
                <w:rFonts w:cs="Tahoma"/>
                <w:color w:val="000000"/>
                <w:szCs w:val="20"/>
              </w:rPr>
            </w:pPr>
            <w:r w:rsidRPr="00BD7CEA">
              <w:rPr>
                <w:rFonts w:cs="Tahoma"/>
                <w:color w:val="000000"/>
                <w:szCs w:val="20"/>
              </w:rPr>
              <w:t>Licenza di Gestione Client (Client ML) per Utente per System Center Configuration Manager 2007 R3</w:t>
            </w:r>
          </w:p>
        </w:tc>
        <w:tc>
          <w:tcPr>
            <w:tcW w:w="4050" w:type="dxa"/>
            <w:shd w:val="clear" w:color="auto" w:fill="FFFFFF"/>
          </w:tcPr>
          <w:p w:rsidR="00FF4CAB" w:rsidRPr="00BD7CEA" w:rsidRDefault="00FF4CAB" w:rsidP="00FF4CAB">
            <w:pPr>
              <w:rPr>
                <w:rFonts w:cs="Tahoma"/>
                <w:color w:val="000000"/>
                <w:szCs w:val="20"/>
              </w:rPr>
            </w:pPr>
            <w:r w:rsidRPr="00BD7CEA">
              <w:rPr>
                <w:rFonts w:cs="Tahoma"/>
                <w:szCs w:val="20"/>
              </w:rPr>
              <w:t>1 Licenza di Gestione Client (Client ML) per Utente per System Center 2012 Configuration Manager</w:t>
            </w:r>
          </w:p>
        </w:tc>
      </w:tr>
      <w:tr w:rsidR="00FF4CAB" w:rsidRPr="00BD7CEA" w:rsidTr="00CA14C9">
        <w:tc>
          <w:tcPr>
            <w:tcW w:w="3960" w:type="dxa"/>
            <w:shd w:val="clear" w:color="auto" w:fill="FFFFFF"/>
          </w:tcPr>
          <w:p w:rsidR="00FF4CAB" w:rsidRPr="00BD7CEA" w:rsidRDefault="00FF4CAB" w:rsidP="00FF4CAB">
            <w:pPr>
              <w:rPr>
                <w:rFonts w:cs="Tahoma"/>
                <w:color w:val="000000"/>
                <w:szCs w:val="20"/>
              </w:rPr>
            </w:pPr>
            <w:r w:rsidRPr="00BD7CEA">
              <w:rPr>
                <w:rFonts w:cs="Tahoma"/>
                <w:color w:val="000000"/>
                <w:szCs w:val="20"/>
              </w:rPr>
              <w:t>Licenza di Gestione Client (Client ML) per System Center Configuration Manager 2007 R3 (Solo Studenti)</w:t>
            </w:r>
            <w:r w:rsidRPr="00BD7CEA">
              <w:rPr>
                <w:rFonts w:cs="Tahoma"/>
                <w:color w:val="000000"/>
                <w:szCs w:val="20"/>
                <w:vertAlign w:val="superscript"/>
              </w:rPr>
              <w:t>*</w:t>
            </w:r>
          </w:p>
        </w:tc>
        <w:tc>
          <w:tcPr>
            <w:tcW w:w="4050" w:type="dxa"/>
            <w:shd w:val="clear" w:color="auto" w:fill="FFFFFF"/>
          </w:tcPr>
          <w:p w:rsidR="00FF4CAB" w:rsidRPr="00BD7CEA" w:rsidRDefault="00FF4CAB" w:rsidP="00FF4CAB">
            <w:pPr>
              <w:rPr>
                <w:rFonts w:cs="Tahoma"/>
                <w:color w:val="000000"/>
                <w:szCs w:val="20"/>
              </w:rPr>
            </w:pPr>
            <w:r w:rsidRPr="00BD7CEA">
              <w:rPr>
                <w:rFonts w:cs="Tahoma"/>
                <w:szCs w:val="20"/>
              </w:rPr>
              <w:t>1 Licenza di Gestione Client (Client ML) per System Center 2012 Configuration Manager (Solo Studenti)</w:t>
            </w:r>
            <w:r w:rsidRPr="00BD7CEA">
              <w:rPr>
                <w:rFonts w:cs="Tahoma"/>
                <w:szCs w:val="20"/>
                <w:vertAlign w:val="superscript"/>
              </w:rPr>
              <w:t>*</w:t>
            </w:r>
          </w:p>
        </w:tc>
      </w:tr>
      <w:tr w:rsidR="00FF4CAB" w:rsidRPr="00BD7CEA" w:rsidTr="00CA14C9">
        <w:tc>
          <w:tcPr>
            <w:tcW w:w="3960" w:type="dxa"/>
            <w:shd w:val="clear" w:color="auto" w:fill="FFFFFF"/>
          </w:tcPr>
          <w:p w:rsidR="00FF4CAB" w:rsidRPr="00BD7CEA" w:rsidRDefault="00FF4CAB" w:rsidP="00FF4CAB">
            <w:pPr>
              <w:rPr>
                <w:rFonts w:cs="Tahoma"/>
                <w:color w:val="000000"/>
                <w:szCs w:val="20"/>
              </w:rPr>
            </w:pPr>
            <w:r w:rsidRPr="00BD7CEA">
              <w:rPr>
                <w:rFonts w:cs="Tahoma"/>
                <w:color w:val="000000"/>
                <w:szCs w:val="20"/>
              </w:rPr>
              <w:t>Licenza di Gestione Server Enterprise per System Center Configuration Manager 2007 R3</w:t>
            </w:r>
          </w:p>
        </w:tc>
        <w:tc>
          <w:tcPr>
            <w:tcW w:w="4050" w:type="dxa"/>
            <w:shd w:val="clear" w:color="auto" w:fill="FFFFFF"/>
          </w:tcPr>
          <w:p w:rsidR="00FF4CAB" w:rsidRPr="00BD7CEA" w:rsidRDefault="00FF4CAB" w:rsidP="00FF4CAB">
            <w:pPr>
              <w:rPr>
                <w:rFonts w:cs="Tahoma"/>
                <w:color w:val="000000"/>
                <w:szCs w:val="20"/>
              </w:rPr>
            </w:pPr>
            <w:r w:rsidRPr="00BD7CEA">
              <w:rPr>
                <w:rFonts w:cs="Tahoma"/>
                <w:color w:val="000000"/>
                <w:szCs w:val="20"/>
              </w:rPr>
              <w:t>1 Licenza di Gestione Server (Server ML) per System Center 2012 Standard</w:t>
            </w:r>
          </w:p>
        </w:tc>
      </w:tr>
      <w:tr w:rsidR="00FF4CAB" w:rsidRPr="00BD7CEA" w:rsidTr="00CA14C9">
        <w:tc>
          <w:tcPr>
            <w:tcW w:w="3960" w:type="dxa"/>
            <w:shd w:val="clear" w:color="auto" w:fill="FFFFFF"/>
          </w:tcPr>
          <w:p w:rsidR="00FF4CAB" w:rsidRPr="00BD7CEA" w:rsidRDefault="00FF4CAB" w:rsidP="00FF4CAB">
            <w:pPr>
              <w:rPr>
                <w:rFonts w:cs="Tahoma"/>
                <w:color w:val="000000"/>
                <w:szCs w:val="20"/>
              </w:rPr>
            </w:pPr>
            <w:r w:rsidRPr="00BD7CEA">
              <w:rPr>
                <w:rFonts w:cs="Tahoma"/>
                <w:color w:val="000000"/>
                <w:szCs w:val="20"/>
              </w:rPr>
              <w:t xml:space="preserve">Licenza di Gestione Server Standard per System Center Configuration Manager 2007 R3 </w:t>
            </w:r>
          </w:p>
        </w:tc>
        <w:tc>
          <w:tcPr>
            <w:tcW w:w="4050" w:type="dxa"/>
            <w:shd w:val="clear" w:color="auto" w:fill="FFFFFF"/>
          </w:tcPr>
          <w:p w:rsidR="00FF4CAB" w:rsidRPr="00BD7CEA" w:rsidRDefault="00FF4CAB" w:rsidP="00FF4CAB">
            <w:pPr>
              <w:rPr>
                <w:rFonts w:cs="Tahoma"/>
                <w:color w:val="000000"/>
                <w:szCs w:val="20"/>
              </w:rPr>
            </w:pPr>
            <w:r w:rsidRPr="00BD7CEA">
              <w:rPr>
                <w:rFonts w:cs="Tahoma"/>
                <w:color w:val="000000"/>
                <w:szCs w:val="20"/>
              </w:rPr>
              <w:t>1 Licenza di Gestione Server (Server ML) per System Center 2012 Standard</w:t>
            </w:r>
          </w:p>
        </w:tc>
      </w:tr>
      <w:tr w:rsidR="00FF4CAB" w:rsidRPr="00BD7CEA" w:rsidTr="00CA14C9">
        <w:tc>
          <w:tcPr>
            <w:tcW w:w="3960" w:type="dxa"/>
            <w:shd w:val="clear" w:color="auto" w:fill="FFFFFF"/>
          </w:tcPr>
          <w:p w:rsidR="00FF4CAB" w:rsidRPr="00BD7CEA" w:rsidRDefault="00FF4CAB" w:rsidP="00FF4CAB">
            <w:pPr>
              <w:rPr>
                <w:rFonts w:cs="Tahoma"/>
                <w:color w:val="000000"/>
                <w:szCs w:val="20"/>
              </w:rPr>
            </w:pPr>
            <w:r w:rsidRPr="00BD7CEA">
              <w:rPr>
                <w:rFonts w:cs="Tahoma"/>
                <w:color w:val="000000"/>
                <w:szCs w:val="20"/>
              </w:rPr>
              <w:t>System Center Configuration Manager 2007 R3 con Tecnologia SQL Server 2008</w:t>
            </w:r>
          </w:p>
        </w:tc>
        <w:tc>
          <w:tcPr>
            <w:tcW w:w="4050" w:type="dxa"/>
            <w:shd w:val="clear" w:color="auto" w:fill="FFFFFF"/>
          </w:tcPr>
          <w:p w:rsidR="00FF4CAB" w:rsidRPr="00BD7CEA" w:rsidRDefault="00FF4CAB" w:rsidP="00FF4CAB">
            <w:pPr>
              <w:rPr>
                <w:rFonts w:cs="Tahoma"/>
                <w:color w:val="000000"/>
                <w:szCs w:val="20"/>
              </w:rPr>
            </w:pPr>
            <w:r w:rsidRPr="00BD7CEA">
              <w:rPr>
                <w:rFonts w:cs="Tahoma"/>
                <w:color w:val="000000"/>
                <w:szCs w:val="20"/>
              </w:rPr>
              <w:t>1 Licenza di Gestione Server (Server ML) per System Center 2012 Standard</w:t>
            </w:r>
          </w:p>
        </w:tc>
      </w:tr>
      <w:tr w:rsidR="00FF4CAB" w:rsidRPr="00BD7CEA" w:rsidTr="00CA14C9">
        <w:tc>
          <w:tcPr>
            <w:tcW w:w="3960" w:type="dxa"/>
            <w:shd w:val="clear" w:color="auto" w:fill="FFFFFF"/>
          </w:tcPr>
          <w:p w:rsidR="00FF4CAB" w:rsidRPr="00BD7CEA" w:rsidRDefault="00FF4CAB" w:rsidP="00FF4CAB">
            <w:pPr>
              <w:rPr>
                <w:rFonts w:cs="Tahoma"/>
                <w:color w:val="000000"/>
                <w:szCs w:val="20"/>
              </w:rPr>
            </w:pPr>
            <w:r w:rsidRPr="00BD7CEA">
              <w:rPr>
                <w:rFonts w:cs="Tahoma"/>
                <w:color w:val="000000"/>
                <w:szCs w:val="20"/>
              </w:rPr>
              <w:t>Licenza di Gestione Client per Utente per System Center Data Protection Manager 2010</w:t>
            </w:r>
          </w:p>
        </w:tc>
        <w:tc>
          <w:tcPr>
            <w:tcW w:w="4050" w:type="dxa"/>
            <w:shd w:val="clear" w:color="auto" w:fill="FFFFFF"/>
          </w:tcPr>
          <w:p w:rsidR="00FF4CAB" w:rsidRPr="00BD7CEA" w:rsidRDefault="00FF4CAB" w:rsidP="00FF4CAB">
            <w:pPr>
              <w:rPr>
                <w:rFonts w:cs="Tahoma"/>
                <w:color w:val="000000"/>
                <w:szCs w:val="20"/>
              </w:rPr>
            </w:pPr>
            <w:r w:rsidRPr="00BD7CEA">
              <w:rPr>
                <w:rFonts w:cs="Tahoma"/>
                <w:color w:val="000000"/>
                <w:szCs w:val="20"/>
              </w:rPr>
              <w:t>1 System Center 2012 Client Management Suite (Client ML) per Utente</w:t>
            </w:r>
          </w:p>
        </w:tc>
      </w:tr>
      <w:tr w:rsidR="00FF4CAB" w:rsidRPr="00BD7CEA" w:rsidTr="00CA14C9">
        <w:tc>
          <w:tcPr>
            <w:tcW w:w="3960" w:type="dxa"/>
            <w:shd w:val="clear" w:color="auto" w:fill="FFFFFF"/>
          </w:tcPr>
          <w:p w:rsidR="00FF4CAB" w:rsidRPr="00BD7CEA" w:rsidRDefault="00FF4CAB" w:rsidP="00FF4CAB">
            <w:pPr>
              <w:rPr>
                <w:rFonts w:cs="Tahoma"/>
                <w:color w:val="000000"/>
                <w:szCs w:val="20"/>
              </w:rPr>
            </w:pPr>
            <w:r w:rsidRPr="00BD7CEA">
              <w:rPr>
                <w:rFonts w:cs="Tahoma"/>
                <w:color w:val="000000"/>
                <w:szCs w:val="20"/>
              </w:rPr>
              <w:t>Licenza di Gestione Client per OSE per System Center Data Protection Manager 2010</w:t>
            </w:r>
          </w:p>
        </w:tc>
        <w:tc>
          <w:tcPr>
            <w:tcW w:w="4050" w:type="dxa"/>
            <w:shd w:val="clear" w:color="auto" w:fill="FFFFFF"/>
          </w:tcPr>
          <w:p w:rsidR="00FF4CAB" w:rsidRPr="00BD7CEA" w:rsidRDefault="00FF4CAB" w:rsidP="00FF4CAB">
            <w:pPr>
              <w:rPr>
                <w:rFonts w:cs="Tahoma"/>
                <w:color w:val="000000"/>
                <w:szCs w:val="20"/>
              </w:rPr>
            </w:pPr>
            <w:r w:rsidRPr="00BD7CEA">
              <w:rPr>
                <w:rFonts w:cs="Tahoma"/>
                <w:color w:val="000000"/>
                <w:szCs w:val="20"/>
              </w:rPr>
              <w:t>1 System Center 2012 Client Management Suite (Client ML) per OSE</w:t>
            </w:r>
          </w:p>
        </w:tc>
      </w:tr>
      <w:tr w:rsidR="00FF4CAB" w:rsidRPr="00BD7CEA" w:rsidTr="00CA14C9">
        <w:tc>
          <w:tcPr>
            <w:tcW w:w="3960" w:type="dxa"/>
            <w:shd w:val="clear" w:color="auto" w:fill="FFFFFF"/>
          </w:tcPr>
          <w:p w:rsidR="00FF4CAB" w:rsidRPr="00BD7CEA" w:rsidRDefault="00FF4CAB" w:rsidP="00FF4CAB">
            <w:pPr>
              <w:rPr>
                <w:rFonts w:cs="Tahoma"/>
                <w:color w:val="000000"/>
                <w:szCs w:val="20"/>
              </w:rPr>
            </w:pPr>
            <w:r w:rsidRPr="00BD7CEA">
              <w:rPr>
                <w:rFonts w:cs="Tahoma"/>
                <w:color w:val="000000"/>
                <w:szCs w:val="20"/>
              </w:rPr>
              <w:t>Licenza di Gestione Server Enterprise per System Center Data Protection Manager 2010</w:t>
            </w:r>
          </w:p>
        </w:tc>
        <w:tc>
          <w:tcPr>
            <w:tcW w:w="4050" w:type="dxa"/>
            <w:shd w:val="clear" w:color="auto" w:fill="FFFFFF"/>
          </w:tcPr>
          <w:p w:rsidR="00FF4CAB" w:rsidRPr="00BD7CEA" w:rsidRDefault="00FF4CAB" w:rsidP="00FF4CAB">
            <w:pPr>
              <w:rPr>
                <w:rFonts w:cs="Tahoma"/>
                <w:color w:val="000000"/>
                <w:szCs w:val="20"/>
              </w:rPr>
            </w:pPr>
            <w:r w:rsidRPr="00BD7CEA">
              <w:rPr>
                <w:rFonts w:cs="Tahoma"/>
                <w:color w:val="000000"/>
                <w:szCs w:val="20"/>
              </w:rPr>
              <w:t>1 Licenza di Gestione Server (Server ML) per System Center 2012 Standard</w:t>
            </w:r>
          </w:p>
        </w:tc>
      </w:tr>
      <w:tr w:rsidR="00FF4CAB" w:rsidRPr="00BD7CEA" w:rsidTr="00CA14C9">
        <w:tc>
          <w:tcPr>
            <w:tcW w:w="3960" w:type="dxa"/>
            <w:shd w:val="clear" w:color="auto" w:fill="FFFFFF"/>
          </w:tcPr>
          <w:p w:rsidR="00FF4CAB" w:rsidRPr="00BD7CEA" w:rsidRDefault="00FF4CAB" w:rsidP="00FF4CAB">
            <w:pPr>
              <w:rPr>
                <w:rFonts w:cs="Tahoma"/>
                <w:color w:val="000000"/>
                <w:szCs w:val="20"/>
              </w:rPr>
            </w:pPr>
            <w:r w:rsidRPr="00BD7CEA">
              <w:rPr>
                <w:rFonts w:cs="Tahoma"/>
                <w:color w:val="000000"/>
                <w:szCs w:val="20"/>
              </w:rPr>
              <w:t>Licenza di Gestione Server Standard per System Center Data Protection Manager 2010</w:t>
            </w:r>
          </w:p>
        </w:tc>
        <w:tc>
          <w:tcPr>
            <w:tcW w:w="4050" w:type="dxa"/>
            <w:shd w:val="clear" w:color="auto" w:fill="FFFFFF"/>
          </w:tcPr>
          <w:p w:rsidR="00FF4CAB" w:rsidRPr="00BD7CEA" w:rsidRDefault="00FF4CAB" w:rsidP="00FF4CAB">
            <w:pPr>
              <w:rPr>
                <w:rFonts w:cs="Tahoma"/>
                <w:color w:val="000000"/>
                <w:szCs w:val="20"/>
              </w:rPr>
            </w:pPr>
            <w:r w:rsidRPr="00BD7CEA">
              <w:rPr>
                <w:rFonts w:cs="Tahoma"/>
                <w:color w:val="000000"/>
                <w:szCs w:val="20"/>
              </w:rPr>
              <w:t>1 Licenza di Gestione Server (Server ML) per System Center 2012 Standard</w:t>
            </w:r>
          </w:p>
        </w:tc>
      </w:tr>
      <w:tr w:rsidR="00FF4CAB" w:rsidRPr="00BD7CEA" w:rsidTr="00CA14C9">
        <w:tc>
          <w:tcPr>
            <w:tcW w:w="3960" w:type="dxa"/>
            <w:shd w:val="clear" w:color="auto" w:fill="FFFFFF"/>
          </w:tcPr>
          <w:p w:rsidR="00FF4CAB" w:rsidRPr="00BD7CEA" w:rsidRDefault="00FF4CAB" w:rsidP="00FF4CAB">
            <w:pPr>
              <w:rPr>
                <w:rFonts w:cs="Tahoma"/>
                <w:color w:val="000000"/>
                <w:szCs w:val="20"/>
              </w:rPr>
            </w:pPr>
            <w:r w:rsidRPr="00BD7CEA">
              <w:rPr>
                <w:rFonts w:cs="Tahoma"/>
                <w:color w:val="000000"/>
                <w:szCs w:val="20"/>
              </w:rPr>
              <w:t>System Center Operations Manager 2007 R2</w:t>
            </w:r>
          </w:p>
        </w:tc>
        <w:tc>
          <w:tcPr>
            <w:tcW w:w="4050" w:type="dxa"/>
            <w:shd w:val="clear" w:color="auto" w:fill="FFFFFF"/>
          </w:tcPr>
          <w:p w:rsidR="00FF4CAB" w:rsidRPr="00BD7CEA" w:rsidRDefault="00FF4CAB" w:rsidP="00FF4CAB">
            <w:pPr>
              <w:rPr>
                <w:rFonts w:cs="Tahoma"/>
                <w:color w:val="000000"/>
                <w:szCs w:val="20"/>
              </w:rPr>
            </w:pPr>
            <w:r w:rsidRPr="00BD7CEA">
              <w:rPr>
                <w:rFonts w:cs="Tahoma"/>
                <w:color w:val="000000"/>
                <w:szCs w:val="20"/>
              </w:rPr>
              <w:t>1 Licenza di Gestione Server (Server ML) per System Center 2012 Standard</w:t>
            </w:r>
          </w:p>
        </w:tc>
      </w:tr>
      <w:tr w:rsidR="00FF4CAB" w:rsidRPr="00BD7CEA" w:rsidTr="00CA14C9">
        <w:tc>
          <w:tcPr>
            <w:tcW w:w="3960" w:type="dxa"/>
            <w:shd w:val="clear" w:color="auto" w:fill="FFFFFF"/>
          </w:tcPr>
          <w:p w:rsidR="00FF4CAB" w:rsidRPr="00BD7CEA" w:rsidRDefault="00FF4CAB" w:rsidP="00FF4CAB">
            <w:pPr>
              <w:rPr>
                <w:rFonts w:cs="Tahoma"/>
                <w:color w:val="000000"/>
                <w:szCs w:val="20"/>
              </w:rPr>
            </w:pPr>
            <w:r w:rsidRPr="00BD7CEA">
              <w:rPr>
                <w:rFonts w:cs="Tahoma"/>
                <w:color w:val="000000"/>
                <w:szCs w:val="20"/>
              </w:rPr>
              <w:t>System Center Operations Manager 2007 R2 con Tecnologia SQL Server 2008</w:t>
            </w:r>
          </w:p>
        </w:tc>
        <w:tc>
          <w:tcPr>
            <w:tcW w:w="4050" w:type="dxa"/>
            <w:shd w:val="clear" w:color="auto" w:fill="FFFFFF"/>
          </w:tcPr>
          <w:p w:rsidR="00FF4CAB" w:rsidRPr="00BD7CEA" w:rsidRDefault="00FF4CAB" w:rsidP="00FF4CAB">
            <w:pPr>
              <w:rPr>
                <w:rFonts w:cs="Tahoma"/>
                <w:color w:val="000000"/>
                <w:szCs w:val="20"/>
              </w:rPr>
            </w:pPr>
            <w:r w:rsidRPr="00BD7CEA">
              <w:rPr>
                <w:rFonts w:cs="Tahoma"/>
                <w:color w:val="000000"/>
                <w:szCs w:val="20"/>
              </w:rPr>
              <w:t>1 Licenza di Gestione Server (Server ML) per System Center 2012 Standard</w:t>
            </w:r>
          </w:p>
        </w:tc>
      </w:tr>
      <w:tr w:rsidR="00FF4CAB" w:rsidRPr="00BD7CEA" w:rsidTr="00CA14C9">
        <w:tc>
          <w:tcPr>
            <w:tcW w:w="3960" w:type="dxa"/>
            <w:shd w:val="clear" w:color="auto" w:fill="FFFFFF"/>
          </w:tcPr>
          <w:p w:rsidR="00FF4CAB" w:rsidRPr="00BD7CEA" w:rsidRDefault="00FF4CAB" w:rsidP="00FF4CAB">
            <w:pPr>
              <w:rPr>
                <w:rFonts w:cs="Tahoma"/>
                <w:color w:val="000000"/>
                <w:szCs w:val="20"/>
              </w:rPr>
            </w:pPr>
            <w:r w:rsidRPr="00BD7CEA">
              <w:rPr>
                <w:rFonts w:cs="Tahoma"/>
                <w:color w:val="000000"/>
                <w:szCs w:val="20"/>
              </w:rPr>
              <w:t>Licenza di Gestione Server Standard per System Center Operations Manager 2007 R2</w:t>
            </w:r>
          </w:p>
        </w:tc>
        <w:tc>
          <w:tcPr>
            <w:tcW w:w="4050" w:type="dxa"/>
            <w:shd w:val="clear" w:color="auto" w:fill="FFFFFF"/>
          </w:tcPr>
          <w:p w:rsidR="00FF4CAB" w:rsidRPr="00BD7CEA" w:rsidRDefault="00FF4CAB" w:rsidP="00FF4CAB">
            <w:pPr>
              <w:rPr>
                <w:rFonts w:cs="Tahoma"/>
                <w:color w:val="000000"/>
                <w:szCs w:val="20"/>
              </w:rPr>
            </w:pPr>
            <w:r w:rsidRPr="00BD7CEA">
              <w:rPr>
                <w:rFonts w:cs="Tahoma"/>
                <w:color w:val="000000"/>
                <w:szCs w:val="20"/>
              </w:rPr>
              <w:t>1 Licenza di Gestione Server (Server ML) per System Center 2012 Standard</w:t>
            </w:r>
          </w:p>
        </w:tc>
      </w:tr>
      <w:tr w:rsidR="00FF4CAB" w:rsidRPr="00BD7CEA" w:rsidTr="00CA14C9">
        <w:tc>
          <w:tcPr>
            <w:tcW w:w="3960" w:type="dxa"/>
            <w:shd w:val="clear" w:color="auto" w:fill="FFFFFF"/>
          </w:tcPr>
          <w:p w:rsidR="00FF4CAB" w:rsidRPr="00BD7CEA" w:rsidRDefault="00FF4CAB" w:rsidP="00FF4CAB">
            <w:pPr>
              <w:rPr>
                <w:rFonts w:cs="Tahoma"/>
                <w:color w:val="000000"/>
                <w:szCs w:val="20"/>
              </w:rPr>
            </w:pPr>
            <w:r w:rsidRPr="00BD7CEA">
              <w:rPr>
                <w:rFonts w:cs="Tahoma"/>
                <w:color w:val="000000"/>
                <w:szCs w:val="20"/>
              </w:rPr>
              <w:t>Licenza di Gestione Server Enterprise per System Center Operations Manager 2007 R2</w:t>
            </w:r>
          </w:p>
        </w:tc>
        <w:tc>
          <w:tcPr>
            <w:tcW w:w="4050" w:type="dxa"/>
            <w:shd w:val="clear" w:color="auto" w:fill="FFFFFF"/>
          </w:tcPr>
          <w:p w:rsidR="00FF4CAB" w:rsidRPr="00BD7CEA" w:rsidRDefault="00FF4CAB" w:rsidP="00FF4CAB">
            <w:pPr>
              <w:rPr>
                <w:rFonts w:cs="Tahoma"/>
                <w:color w:val="000000"/>
                <w:szCs w:val="20"/>
              </w:rPr>
            </w:pPr>
            <w:r w:rsidRPr="00BD7CEA">
              <w:rPr>
                <w:rFonts w:cs="Tahoma"/>
                <w:color w:val="000000"/>
                <w:szCs w:val="20"/>
              </w:rPr>
              <w:t>1 Licenza di Gestione Server (Server ML) per System Center 2012 Standard</w:t>
            </w:r>
          </w:p>
        </w:tc>
      </w:tr>
      <w:tr w:rsidR="00FF4CAB" w:rsidRPr="00BD7CEA" w:rsidTr="00CA14C9">
        <w:tc>
          <w:tcPr>
            <w:tcW w:w="3960" w:type="dxa"/>
            <w:shd w:val="clear" w:color="auto" w:fill="FFFFFF"/>
          </w:tcPr>
          <w:p w:rsidR="00FF4CAB" w:rsidRPr="00BD7CEA" w:rsidRDefault="00FF4CAB" w:rsidP="00FF4CAB">
            <w:pPr>
              <w:rPr>
                <w:rFonts w:cs="Tahoma"/>
                <w:color w:val="000000"/>
                <w:szCs w:val="20"/>
              </w:rPr>
            </w:pPr>
            <w:r w:rsidRPr="00BD7CEA">
              <w:rPr>
                <w:rFonts w:cs="Tahoma"/>
                <w:color w:val="000000"/>
                <w:szCs w:val="20"/>
              </w:rPr>
              <w:t>Licenza di Gestione Client per OSE per System Center Operations Manager 2007 R2</w:t>
            </w:r>
          </w:p>
        </w:tc>
        <w:tc>
          <w:tcPr>
            <w:tcW w:w="4050" w:type="dxa"/>
            <w:shd w:val="clear" w:color="auto" w:fill="FFFFFF"/>
          </w:tcPr>
          <w:p w:rsidR="00FF4CAB" w:rsidRPr="00BD7CEA" w:rsidRDefault="00FF4CAB" w:rsidP="00FF4CAB">
            <w:pPr>
              <w:rPr>
                <w:rFonts w:cs="Tahoma"/>
                <w:color w:val="000000"/>
                <w:szCs w:val="20"/>
              </w:rPr>
            </w:pPr>
            <w:r w:rsidRPr="00BD7CEA">
              <w:rPr>
                <w:rFonts w:cs="Tahoma"/>
                <w:color w:val="000000"/>
                <w:szCs w:val="20"/>
              </w:rPr>
              <w:t>1 System Center 2012 Client Management Suite (Client ML) per OSE</w:t>
            </w:r>
          </w:p>
        </w:tc>
      </w:tr>
      <w:tr w:rsidR="00FF4CAB" w:rsidRPr="00BD7CEA" w:rsidTr="00CA14C9">
        <w:tc>
          <w:tcPr>
            <w:tcW w:w="3960" w:type="dxa"/>
            <w:shd w:val="clear" w:color="auto" w:fill="FFFFFF"/>
          </w:tcPr>
          <w:p w:rsidR="00FF4CAB" w:rsidRPr="00BD7CEA" w:rsidRDefault="00FF4CAB" w:rsidP="00FF4CAB">
            <w:pPr>
              <w:rPr>
                <w:rFonts w:cs="Tahoma"/>
                <w:color w:val="000000"/>
                <w:szCs w:val="20"/>
              </w:rPr>
            </w:pPr>
            <w:r w:rsidRPr="00BD7CEA">
              <w:rPr>
                <w:rFonts w:cs="Tahoma"/>
                <w:color w:val="000000"/>
                <w:szCs w:val="20"/>
              </w:rPr>
              <w:t>Licenza di Gestione Client per Utente per System Center Operations Manager 2007 R2</w:t>
            </w:r>
          </w:p>
        </w:tc>
        <w:tc>
          <w:tcPr>
            <w:tcW w:w="4050" w:type="dxa"/>
            <w:shd w:val="clear" w:color="auto" w:fill="FFFFFF"/>
          </w:tcPr>
          <w:p w:rsidR="00FF4CAB" w:rsidRPr="00BD7CEA" w:rsidRDefault="00FF4CAB" w:rsidP="00FF4CAB">
            <w:pPr>
              <w:rPr>
                <w:rFonts w:cs="Tahoma"/>
                <w:color w:val="000000"/>
                <w:szCs w:val="20"/>
              </w:rPr>
            </w:pPr>
            <w:r w:rsidRPr="00BD7CEA">
              <w:rPr>
                <w:rFonts w:cs="Tahoma"/>
                <w:color w:val="000000"/>
                <w:szCs w:val="20"/>
              </w:rPr>
              <w:t>1 System Center 2012 Client Management Suite (Client ML) per Utente</w:t>
            </w:r>
          </w:p>
        </w:tc>
      </w:tr>
      <w:tr w:rsidR="00FF4CAB" w:rsidRPr="00BD7CEA" w:rsidTr="00CA14C9">
        <w:tc>
          <w:tcPr>
            <w:tcW w:w="3960" w:type="dxa"/>
            <w:shd w:val="clear" w:color="auto" w:fill="FFFFFF"/>
          </w:tcPr>
          <w:p w:rsidR="00FF4CAB" w:rsidRPr="00BD7CEA" w:rsidRDefault="00FF4CAB" w:rsidP="00FF4CAB">
            <w:pPr>
              <w:rPr>
                <w:rFonts w:cs="Tahoma"/>
                <w:color w:val="000000"/>
                <w:szCs w:val="20"/>
              </w:rPr>
            </w:pPr>
            <w:r w:rsidRPr="00BD7CEA">
              <w:rPr>
                <w:rFonts w:cs="Tahoma"/>
                <w:color w:val="000000"/>
                <w:szCs w:val="20"/>
              </w:rPr>
              <w:t>System Center Server Management Suite Enterprise</w:t>
            </w:r>
          </w:p>
        </w:tc>
        <w:tc>
          <w:tcPr>
            <w:tcW w:w="4050" w:type="dxa"/>
            <w:shd w:val="clear" w:color="auto" w:fill="FFFFFF"/>
          </w:tcPr>
          <w:p w:rsidR="00FF4CAB" w:rsidRPr="00BD7CEA" w:rsidRDefault="00FF4CAB" w:rsidP="00FF4CAB">
            <w:pPr>
              <w:rPr>
                <w:rFonts w:cs="Tahoma"/>
                <w:color w:val="000000"/>
                <w:szCs w:val="20"/>
              </w:rPr>
            </w:pPr>
            <w:r w:rsidRPr="00BD7CEA">
              <w:rPr>
                <w:rFonts w:cs="Tahoma"/>
                <w:color w:val="000000"/>
                <w:szCs w:val="20"/>
              </w:rPr>
              <w:t>2 Licenze di Gestione Server (Server ML) per System Center 2012</w:t>
            </w:r>
          </w:p>
        </w:tc>
      </w:tr>
      <w:tr w:rsidR="00FF4CAB" w:rsidRPr="00BD7CEA" w:rsidTr="00194AA4">
        <w:trPr>
          <w:cantSplit/>
        </w:trPr>
        <w:tc>
          <w:tcPr>
            <w:tcW w:w="3960" w:type="dxa"/>
            <w:shd w:val="clear" w:color="auto" w:fill="FFFFFF"/>
          </w:tcPr>
          <w:p w:rsidR="00FF4CAB" w:rsidRPr="00BD7CEA" w:rsidRDefault="00FF4CAB" w:rsidP="00FF4CAB">
            <w:pPr>
              <w:rPr>
                <w:rFonts w:cs="Tahoma"/>
                <w:color w:val="000000"/>
                <w:szCs w:val="20"/>
              </w:rPr>
            </w:pPr>
            <w:r w:rsidRPr="00BD7CEA">
              <w:rPr>
                <w:rFonts w:cs="Tahoma"/>
                <w:color w:val="000000"/>
                <w:szCs w:val="20"/>
              </w:rPr>
              <w:lastRenderedPageBreak/>
              <w:t>System Center Server Management Suite Datacenter</w:t>
            </w:r>
          </w:p>
        </w:tc>
        <w:tc>
          <w:tcPr>
            <w:tcW w:w="4050" w:type="dxa"/>
            <w:shd w:val="clear" w:color="auto" w:fill="FFFFFF"/>
          </w:tcPr>
          <w:p w:rsidR="00FF4CAB" w:rsidRPr="00BD7CEA" w:rsidRDefault="00FF4CAB" w:rsidP="00FF4CAB">
            <w:pPr>
              <w:rPr>
                <w:rFonts w:cs="Tahoma"/>
                <w:color w:val="000000"/>
                <w:szCs w:val="20"/>
              </w:rPr>
            </w:pPr>
            <w:r w:rsidRPr="00BD7CEA">
              <w:rPr>
                <w:rFonts w:cs="Tahoma"/>
                <w:color w:val="000000"/>
                <w:szCs w:val="20"/>
              </w:rPr>
              <w:t>1 Licenza di Gestione Server (Server ML) per System Center 2012 Datacenter per ogni 2 licenze qualificanti per System Center Server Management Suite Datacenter</w:t>
            </w:r>
          </w:p>
        </w:tc>
      </w:tr>
      <w:tr w:rsidR="00FF4CAB" w:rsidRPr="00BD7CEA" w:rsidTr="00CA14C9">
        <w:tc>
          <w:tcPr>
            <w:tcW w:w="3960" w:type="dxa"/>
            <w:shd w:val="clear" w:color="auto" w:fill="FFFFFF"/>
          </w:tcPr>
          <w:p w:rsidR="00FF4CAB" w:rsidRPr="00BD7CEA" w:rsidRDefault="00FF4CAB" w:rsidP="00FF4CAB">
            <w:pPr>
              <w:rPr>
                <w:rFonts w:cs="Tahoma"/>
                <w:color w:val="000000"/>
                <w:szCs w:val="20"/>
              </w:rPr>
            </w:pPr>
            <w:r w:rsidRPr="00BD7CEA">
              <w:rPr>
                <w:rFonts w:cs="Tahoma"/>
                <w:color w:val="000000"/>
                <w:szCs w:val="20"/>
              </w:rPr>
              <w:t>System Center Service Manager 2010</w:t>
            </w:r>
          </w:p>
        </w:tc>
        <w:tc>
          <w:tcPr>
            <w:tcW w:w="4050" w:type="dxa"/>
            <w:shd w:val="clear" w:color="auto" w:fill="FFFFFF"/>
          </w:tcPr>
          <w:p w:rsidR="00FF4CAB" w:rsidRPr="00BD7CEA" w:rsidRDefault="00FF4CAB" w:rsidP="00194AA4">
            <w:pPr>
              <w:rPr>
                <w:rFonts w:cs="Tahoma"/>
                <w:color w:val="000000"/>
                <w:szCs w:val="20"/>
              </w:rPr>
            </w:pPr>
            <w:r w:rsidRPr="00BD7CEA">
              <w:rPr>
                <w:rFonts w:cs="Tahoma"/>
                <w:color w:val="000000"/>
                <w:szCs w:val="20"/>
              </w:rPr>
              <w:t>1 Licenza di Gestione Server (Server ML) per</w:t>
            </w:r>
            <w:r w:rsidR="00194AA4" w:rsidRPr="00BD7CEA">
              <w:rPr>
                <w:rFonts w:cs="Tahoma"/>
                <w:color w:val="000000"/>
                <w:szCs w:val="20"/>
              </w:rPr>
              <w:t> </w:t>
            </w:r>
            <w:r w:rsidRPr="00BD7CEA">
              <w:rPr>
                <w:rFonts w:cs="Tahoma"/>
                <w:color w:val="000000"/>
                <w:szCs w:val="20"/>
              </w:rPr>
              <w:t>System Center 2012 Standard</w:t>
            </w:r>
          </w:p>
        </w:tc>
      </w:tr>
      <w:tr w:rsidR="00FF4CAB" w:rsidRPr="00BD7CEA" w:rsidTr="00CA14C9">
        <w:tc>
          <w:tcPr>
            <w:tcW w:w="3960" w:type="dxa"/>
            <w:shd w:val="clear" w:color="auto" w:fill="FFFFFF"/>
          </w:tcPr>
          <w:p w:rsidR="00FF4CAB" w:rsidRPr="00BD7CEA" w:rsidRDefault="00FF4CAB" w:rsidP="00FF4CAB">
            <w:pPr>
              <w:rPr>
                <w:rFonts w:cs="Tahoma"/>
                <w:color w:val="000000"/>
                <w:szCs w:val="20"/>
              </w:rPr>
            </w:pPr>
            <w:r w:rsidRPr="00BD7CEA">
              <w:rPr>
                <w:rFonts w:cs="Tahoma"/>
                <w:color w:val="000000"/>
                <w:szCs w:val="20"/>
              </w:rPr>
              <w:t>System Center Service Manager 2010 con Tecnologia SQL Server 2008</w:t>
            </w:r>
          </w:p>
        </w:tc>
        <w:tc>
          <w:tcPr>
            <w:tcW w:w="4050" w:type="dxa"/>
            <w:shd w:val="clear" w:color="auto" w:fill="FFFFFF"/>
          </w:tcPr>
          <w:p w:rsidR="00FF4CAB" w:rsidRPr="00BD7CEA" w:rsidRDefault="00FF4CAB" w:rsidP="00FF4CAB">
            <w:pPr>
              <w:rPr>
                <w:rFonts w:cs="Tahoma"/>
                <w:color w:val="000000"/>
                <w:szCs w:val="20"/>
              </w:rPr>
            </w:pPr>
            <w:r w:rsidRPr="00BD7CEA">
              <w:rPr>
                <w:rFonts w:cs="Tahoma"/>
                <w:color w:val="000000"/>
                <w:szCs w:val="20"/>
              </w:rPr>
              <w:t>1 Licenza di Gestione Server (Server ML) per System Center 2012 Standard</w:t>
            </w:r>
          </w:p>
        </w:tc>
      </w:tr>
      <w:tr w:rsidR="00FF4CAB" w:rsidRPr="00BD7CEA" w:rsidTr="00CA14C9">
        <w:tc>
          <w:tcPr>
            <w:tcW w:w="3960" w:type="dxa"/>
            <w:shd w:val="clear" w:color="auto" w:fill="FFFFFF"/>
          </w:tcPr>
          <w:p w:rsidR="00FF4CAB" w:rsidRPr="00BD7CEA" w:rsidRDefault="00FF4CAB" w:rsidP="00FF4CAB">
            <w:pPr>
              <w:rPr>
                <w:rFonts w:cs="Tahoma"/>
                <w:color w:val="000000"/>
                <w:szCs w:val="20"/>
              </w:rPr>
            </w:pPr>
            <w:r w:rsidRPr="00BD7CEA">
              <w:rPr>
                <w:rFonts w:cs="Tahoma"/>
                <w:color w:val="000000"/>
                <w:szCs w:val="20"/>
              </w:rPr>
              <w:t>Licenza di Gestione Client (Client ML) per OSE per System Center Service Manager 2010</w:t>
            </w:r>
          </w:p>
        </w:tc>
        <w:tc>
          <w:tcPr>
            <w:tcW w:w="4050" w:type="dxa"/>
            <w:shd w:val="clear" w:color="auto" w:fill="FFFFFF"/>
          </w:tcPr>
          <w:p w:rsidR="00FF4CAB" w:rsidRPr="00BD7CEA" w:rsidRDefault="00FF4CAB" w:rsidP="00FF4CAB">
            <w:pPr>
              <w:rPr>
                <w:rFonts w:cs="Tahoma"/>
                <w:color w:val="000000"/>
                <w:szCs w:val="20"/>
              </w:rPr>
            </w:pPr>
            <w:r w:rsidRPr="00BD7CEA">
              <w:rPr>
                <w:rFonts w:cs="Tahoma"/>
                <w:color w:val="000000"/>
                <w:szCs w:val="20"/>
              </w:rPr>
              <w:t>1 System Center 2012 Client Management Suite (Client ML) per OSE</w:t>
            </w:r>
          </w:p>
        </w:tc>
      </w:tr>
      <w:tr w:rsidR="00FF4CAB" w:rsidRPr="00BD7CEA" w:rsidTr="00CA14C9">
        <w:tc>
          <w:tcPr>
            <w:tcW w:w="3960" w:type="dxa"/>
            <w:shd w:val="clear" w:color="auto" w:fill="FFFFFF"/>
          </w:tcPr>
          <w:p w:rsidR="00FF4CAB" w:rsidRPr="00BD7CEA" w:rsidRDefault="00FF4CAB" w:rsidP="00194AA4">
            <w:pPr>
              <w:rPr>
                <w:rFonts w:cs="Tahoma"/>
                <w:color w:val="000000"/>
                <w:szCs w:val="20"/>
              </w:rPr>
            </w:pPr>
            <w:r w:rsidRPr="00BD7CEA">
              <w:rPr>
                <w:rFonts w:cs="Tahoma"/>
                <w:color w:val="000000"/>
                <w:szCs w:val="20"/>
              </w:rPr>
              <w:t>Licenza di Gestione Client (Client ML) per Utente per System Center Service Manager</w:t>
            </w:r>
            <w:r w:rsidR="00194AA4" w:rsidRPr="00BD7CEA">
              <w:rPr>
                <w:rFonts w:cs="Tahoma"/>
                <w:color w:val="000000"/>
                <w:szCs w:val="20"/>
              </w:rPr>
              <w:t> </w:t>
            </w:r>
            <w:r w:rsidRPr="00BD7CEA">
              <w:rPr>
                <w:rFonts w:cs="Tahoma"/>
                <w:color w:val="000000"/>
                <w:szCs w:val="20"/>
              </w:rPr>
              <w:t>2010</w:t>
            </w:r>
          </w:p>
        </w:tc>
        <w:tc>
          <w:tcPr>
            <w:tcW w:w="4050" w:type="dxa"/>
            <w:shd w:val="clear" w:color="auto" w:fill="FFFFFF"/>
          </w:tcPr>
          <w:p w:rsidR="00FF4CAB" w:rsidRPr="00BD7CEA" w:rsidRDefault="00FF4CAB" w:rsidP="00FF4CAB">
            <w:pPr>
              <w:rPr>
                <w:rFonts w:cs="Tahoma"/>
                <w:color w:val="000000"/>
                <w:szCs w:val="20"/>
              </w:rPr>
            </w:pPr>
            <w:r w:rsidRPr="00BD7CEA">
              <w:rPr>
                <w:rFonts w:cs="Tahoma"/>
                <w:color w:val="000000"/>
                <w:szCs w:val="20"/>
              </w:rPr>
              <w:t>1 System Center 2012 Client Management Suite (Client ML) per Utente</w:t>
            </w:r>
          </w:p>
        </w:tc>
      </w:tr>
      <w:tr w:rsidR="00FF4CAB" w:rsidRPr="00BD7CEA" w:rsidTr="00CA14C9">
        <w:tc>
          <w:tcPr>
            <w:tcW w:w="3960" w:type="dxa"/>
            <w:shd w:val="clear" w:color="auto" w:fill="FFFFFF"/>
          </w:tcPr>
          <w:p w:rsidR="00FF4CAB" w:rsidRPr="00BD7CEA" w:rsidRDefault="00FF4CAB" w:rsidP="00FF4CAB">
            <w:pPr>
              <w:rPr>
                <w:rFonts w:cs="Tahoma"/>
                <w:color w:val="000000"/>
                <w:szCs w:val="20"/>
              </w:rPr>
            </w:pPr>
            <w:r w:rsidRPr="00BD7CEA">
              <w:rPr>
                <w:rFonts w:cs="Tahoma"/>
                <w:color w:val="000000"/>
                <w:szCs w:val="20"/>
              </w:rPr>
              <w:t xml:space="preserve">Licenza di Gestione Server (Server ML) per System Center Service Manager 2010 </w:t>
            </w:r>
          </w:p>
        </w:tc>
        <w:tc>
          <w:tcPr>
            <w:tcW w:w="4050" w:type="dxa"/>
            <w:shd w:val="clear" w:color="auto" w:fill="FFFFFF"/>
          </w:tcPr>
          <w:p w:rsidR="00FF4CAB" w:rsidRPr="00BD7CEA" w:rsidRDefault="00FF4CAB" w:rsidP="00FF4CAB">
            <w:pPr>
              <w:rPr>
                <w:rFonts w:cs="Tahoma"/>
                <w:color w:val="000000"/>
                <w:szCs w:val="20"/>
              </w:rPr>
            </w:pPr>
            <w:r w:rsidRPr="00BD7CEA">
              <w:rPr>
                <w:rFonts w:cs="Tahoma"/>
                <w:color w:val="000000"/>
                <w:szCs w:val="20"/>
              </w:rPr>
              <w:t>1 Licenza di Gestione Server (Server ML) per System Center 2012 Standard</w:t>
            </w:r>
          </w:p>
        </w:tc>
      </w:tr>
      <w:tr w:rsidR="00FF4CAB" w:rsidRPr="00BD7CEA" w:rsidTr="00CA14C9">
        <w:tc>
          <w:tcPr>
            <w:tcW w:w="3960" w:type="dxa"/>
            <w:shd w:val="clear" w:color="auto" w:fill="FFFFFF"/>
          </w:tcPr>
          <w:p w:rsidR="00FF4CAB" w:rsidRPr="00BD7CEA" w:rsidRDefault="00FF4CAB" w:rsidP="00FF4CAB">
            <w:pPr>
              <w:rPr>
                <w:rFonts w:cs="Tahoma"/>
                <w:color w:val="000000"/>
                <w:szCs w:val="20"/>
              </w:rPr>
            </w:pPr>
            <w:r w:rsidRPr="00BD7CEA">
              <w:rPr>
                <w:rFonts w:cs="Tahoma"/>
                <w:color w:val="000000"/>
                <w:szCs w:val="20"/>
              </w:rPr>
              <w:t>Licenza di Gestione Client per OSE per System Center Virtual Machine Manager 2008 R2</w:t>
            </w:r>
          </w:p>
        </w:tc>
        <w:tc>
          <w:tcPr>
            <w:tcW w:w="4050" w:type="dxa"/>
            <w:shd w:val="clear" w:color="auto" w:fill="FFFFFF"/>
          </w:tcPr>
          <w:p w:rsidR="00FF4CAB" w:rsidRPr="00BD7CEA" w:rsidRDefault="00FF4CAB" w:rsidP="00FF4CAB">
            <w:pPr>
              <w:rPr>
                <w:rFonts w:cs="Tahoma"/>
                <w:color w:val="000000"/>
                <w:szCs w:val="20"/>
              </w:rPr>
            </w:pPr>
            <w:r w:rsidRPr="00BD7CEA">
              <w:rPr>
                <w:rFonts w:cs="Tahoma"/>
                <w:color w:val="000000"/>
                <w:szCs w:val="20"/>
              </w:rPr>
              <w:t>1 Licenza di Gestione Client (Client ML) per OSE per System Center Configuration Manager</w:t>
            </w:r>
          </w:p>
        </w:tc>
      </w:tr>
      <w:tr w:rsidR="00FF4CAB" w:rsidRPr="00BD7CEA" w:rsidTr="00CA14C9">
        <w:tc>
          <w:tcPr>
            <w:tcW w:w="3960" w:type="dxa"/>
            <w:shd w:val="clear" w:color="auto" w:fill="FFFFFF"/>
          </w:tcPr>
          <w:p w:rsidR="00FF4CAB" w:rsidRPr="00BD7CEA" w:rsidRDefault="00FF4CAB" w:rsidP="00FF4CAB">
            <w:pPr>
              <w:rPr>
                <w:rFonts w:cs="Tahoma"/>
                <w:color w:val="000000"/>
                <w:szCs w:val="20"/>
              </w:rPr>
            </w:pPr>
            <w:r w:rsidRPr="00BD7CEA">
              <w:rPr>
                <w:rFonts w:cs="Tahoma"/>
                <w:color w:val="000000"/>
                <w:szCs w:val="20"/>
              </w:rPr>
              <w:t xml:space="preserve">Licenza di Gestione Client per Utente per System Center Virtual Machine </w:t>
            </w:r>
            <w:r w:rsidR="00194AA4" w:rsidRPr="00BD7CEA">
              <w:rPr>
                <w:rFonts w:cs="Tahoma"/>
                <w:color w:val="000000"/>
                <w:szCs w:val="20"/>
              </w:rPr>
              <w:br/>
            </w:r>
            <w:r w:rsidRPr="00BD7CEA">
              <w:rPr>
                <w:rFonts w:cs="Tahoma"/>
                <w:color w:val="000000"/>
                <w:szCs w:val="20"/>
              </w:rPr>
              <w:t>Manager 2008 R2</w:t>
            </w:r>
          </w:p>
        </w:tc>
        <w:tc>
          <w:tcPr>
            <w:tcW w:w="4050" w:type="dxa"/>
            <w:shd w:val="clear" w:color="auto" w:fill="FFFFFF"/>
          </w:tcPr>
          <w:p w:rsidR="00FF4CAB" w:rsidRPr="00BD7CEA" w:rsidRDefault="00FF4CAB" w:rsidP="00FF4CAB">
            <w:pPr>
              <w:rPr>
                <w:rFonts w:cs="Tahoma"/>
                <w:color w:val="000000"/>
                <w:szCs w:val="20"/>
              </w:rPr>
            </w:pPr>
            <w:r w:rsidRPr="00BD7CEA">
              <w:rPr>
                <w:rFonts w:cs="Tahoma"/>
                <w:color w:val="000000"/>
                <w:szCs w:val="20"/>
              </w:rPr>
              <w:t>1 Licenza di Gestione Client (Client ML) per Utente per System Center Configuration Manager</w:t>
            </w:r>
          </w:p>
        </w:tc>
      </w:tr>
      <w:tr w:rsidR="00FF4CAB" w:rsidRPr="00BD7CEA" w:rsidTr="00CA14C9">
        <w:tc>
          <w:tcPr>
            <w:tcW w:w="3960" w:type="dxa"/>
            <w:shd w:val="clear" w:color="auto" w:fill="FFFFFF"/>
          </w:tcPr>
          <w:p w:rsidR="00FF4CAB" w:rsidRPr="00BD7CEA" w:rsidRDefault="00FF4CAB" w:rsidP="00FF4CAB">
            <w:pPr>
              <w:rPr>
                <w:rFonts w:cs="Tahoma"/>
                <w:color w:val="000000"/>
                <w:szCs w:val="20"/>
              </w:rPr>
            </w:pPr>
            <w:r w:rsidRPr="00BD7CEA">
              <w:rPr>
                <w:rFonts w:cs="Tahoma"/>
                <w:color w:val="000000"/>
                <w:szCs w:val="20"/>
              </w:rPr>
              <w:t>Licenza di Gestione Server per System Center Virtual Machine Manager 2008 R2 Enterprise</w:t>
            </w:r>
          </w:p>
        </w:tc>
        <w:tc>
          <w:tcPr>
            <w:tcW w:w="4050" w:type="dxa"/>
            <w:shd w:val="clear" w:color="auto" w:fill="FFFFFF"/>
          </w:tcPr>
          <w:p w:rsidR="00FF4CAB" w:rsidRPr="00BD7CEA" w:rsidRDefault="00FF4CAB" w:rsidP="00FF4CAB">
            <w:pPr>
              <w:rPr>
                <w:rFonts w:cs="Tahoma"/>
                <w:color w:val="000000"/>
                <w:szCs w:val="20"/>
              </w:rPr>
            </w:pPr>
            <w:r w:rsidRPr="00BD7CEA">
              <w:rPr>
                <w:rFonts w:cs="Tahoma"/>
                <w:color w:val="000000"/>
                <w:szCs w:val="20"/>
              </w:rPr>
              <w:t>1 Licenza di Gestione Server (Server ML) per System Center 2012 Datacenter</w:t>
            </w:r>
          </w:p>
        </w:tc>
      </w:tr>
    </w:tbl>
    <w:p w:rsidR="00FF4CAB" w:rsidRPr="00BD7CEA" w:rsidRDefault="00FF4CAB" w:rsidP="00376D4B">
      <w:pPr>
        <w:ind w:left="720"/>
      </w:pPr>
      <w:r w:rsidRPr="00BD7CEA">
        <w:rPr>
          <w:rFonts w:cs="Tahoma"/>
          <w:i/>
          <w:color w:val="000000"/>
          <w:sz w:val="16"/>
          <w:szCs w:val="24"/>
          <w:vertAlign w:val="superscript"/>
        </w:rPr>
        <w:t>*</w:t>
      </w:r>
      <w:r w:rsidRPr="00BD7CEA">
        <w:rPr>
          <w:rFonts w:ascii="Trebuchet MS" w:hAnsi="Trebuchet MS" w:cs="Tahoma"/>
          <w:i/>
          <w:szCs w:val="20"/>
        </w:rPr>
        <w:t xml:space="preserve"> </w:t>
      </w:r>
      <w:r w:rsidRPr="00BD7CEA">
        <w:rPr>
          <w:rFonts w:cs="Tahoma"/>
          <w:i/>
          <w:color w:val="000000"/>
          <w:sz w:val="16"/>
          <w:szCs w:val="24"/>
        </w:rPr>
        <w:t>Le Client ML Solo per Studenti sono disponibili per i PC di proprietà dello studente titolare della licenza o per i PC di proprietà dell</w:t>
      </w:r>
      <w:r w:rsidR="007A1415" w:rsidRPr="00BD7CEA">
        <w:rPr>
          <w:rFonts w:cs="Tahoma"/>
          <w:i/>
          <w:color w:val="000000"/>
          <w:sz w:val="16"/>
          <w:szCs w:val="24"/>
        </w:rPr>
        <w:t>’</w:t>
      </w:r>
      <w:r w:rsidRPr="00BD7CEA">
        <w:rPr>
          <w:rFonts w:cs="Tahoma"/>
          <w:i/>
          <w:color w:val="000000"/>
          <w:sz w:val="16"/>
          <w:szCs w:val="24"/>
        </w:rPr>
        <w:t>istituto che siano assegnati solo a un singolo studente e non siano utilizzati nei laboratori o in classe</w:t>
      </w:r>
    </w:p>
    <w:p w:rsidR="00FF4CAB" w:rsidRPr="00BD7CEA" w:rsidRDefault="00FF4CAB" w:rsidP="00376D4B">
      <w:pPr>
        <w:ind w:left="720"/>
      </w:pPr>
    </w:p>
    <w:p w:rsidR="00FF4CAB" w:rsidRPr="00BD7CEA" w:rsidRDefault="00FF4CAB" w:rsidP="00376D4B">
      <w:pPr>
        <w:ind w:left="720"/>
      </w:pPr>
      <w:r w:rsidRPr="00BD7CEA">
        <w:rPr>
          <w:rFonts w:cs="Tahoma"/>
          <w:color w:val="000000"/>
          <w:szCs w:val="24"/>
        </w:rPr>
        <w:t>Tutte le licenze concesse ai sensi della presente offerta includeranno la copertura Software Assurance. Tale</w:t>
      </w:r>
      <w:r w:rsidR="00194AA4" w:rsidRPr="00BD7CEA">
        <w:rPr>
          <w:rFonts w:cs="Tahoma"/>
          <w:color w:val="000000"/>
          <w:szCs w:val="24"/>
        </w:rPr>
        <w:t> </w:t>
      </w:r>
      <w:r w:rsidRPr="00BD7CEA">
        <w:rPr>
          <w:rFonts w:cs="Tahoma"/>
          <w:color w:val="000000"/>
          <w:szCs w:val="24"/>
        </w:rPr>
        <w:t xml:space="preserve">copertura cesserà alla scadenza della copertura Software Assurance qualificante corrispondente. </w:t>
      </w:r>
      <w:r w:rsidR="00C8557A">
        <w:rPr>
          <w:rFonts w:cs="Tahoma"/>
          <w:color w:val="000000"/>
          <w:szCs w:val="24"/>
        </w:rPr>
        <w:br/>
      </w:r>
      <w:r w:rsidRPr="00BD7CEA">
        <w:rPr>
          <w:rFonts w:cs="Tahoma"/>
          <w:color w:val="000000"/>
          <w:szCs w:val="24"/>
        </w:rPr>
        <w:t xml:space="preserve">Alla scadenza della copertura, le società potranno rinnovare Software Assurance sulle licenze concesse. </w:t>
      </w:r>
    </w:p>
    <w:p w:rsidR="00FF4CAB" w:rsidRPr="00BD7CEA" w:rsidRDefault="00FF4CAB" w:rsidP="00376D4B">
      <w:pPr>
        <w:ind w:left="720"/>
      </w:pPr>
    </w:p>
    <w:p w:rsidR="00FF4CAB" w:rsidRPr="00BD7CEA" w:rsidRDefault="00FF4CAB" w:rsidP="00376D4B">
      <w:pPr>
        <w:ind w:left="720"/>
      </w:pPr>
      <w:r w:rsidRPr="00BD7CEA">
        <w:rPr>
          <w:rFonts w:cs="Tahoma"/>
          <w:color w:val="000000"/>
          <w:szCs w:val="24"/>
        </w:rPr>
        <w:t>L</w:t>
      </w:r>
      <w:r w:rsidR="007A1415" w:rsidRPr="00BD7CEA">
        <w:rPr>
          <w:rFonts w:cs="Tahoma"/>
          <w:color w:val="000000"/>
          <w:szCs w:val="24"/>
        </w:rPr>
        <w:t>’</w:t>
      </w:r>
      <w:r w:rsidRPr="00BD7CEA">
        <w:rPr>
          <w:rFonts w:cs="Tahoma"/>
          <w:color w:val="000000"/>
          <w:szCs w:val="24"/>
        </w:rPr>
        <w:t>utilizzo del software da parte della società ai sensi della presente offerta sarà soggetto alle condizioni del relativo contratto di licenza e ai diritti di utilizzo del prodotto relativi al software. Il diritto di utilizzo del software cesserà alla scadenza del diritto di utilizzo del software ai sensi delle licenze qualificanti. Questa Nota relativa al Prodotto insieme alla prova delle licenze qualificanti attesteranno il diritto della società di utilizzare System Center 2012 ai sensi delle condizioni della presente offerta. La società non avrà più il diritto di utilizzo del software ai sensi di licenze qualificanti cedute al server al momento dell</w:t>
      </w:r>
      <w:r w:rsidR="007A1415" w:rsidRPr="00BD7CEA">
        <w:rPr>
          <w:rFonts w:cs="Tahoma"/>
          <w:color w:val="000000"/>
          <w:szCs w:val="24"/>
        </w:rPr>
        <w:t>’</w:t>
      </w:r>
      <w:r w:rsidRPr="00BD7CEA">
        <w:rPr>
          <w:rFonts w:cs="Tahoma"/>
          <w:color w:val="000000"/>
          <w:szCs w:val="24"/>
        </w:rPr>
        <w:t>aggiornamento a System Center 2012. Le società non potranno trasferire le licenze ottenute in base alla presente offerta separatamente dalle licenze qualificanti corrispondenti.</w:t>
      </w:r>
    </w:p>
    <w:p w:rsidR="00FF4CAB" w:rsidRPr="00BD7CEA" w:rsidRDefault="00FF4CAB" w:rsidP="00376D4B">
      <w:pPr>
        <w:ind w:left="720"/>
      </w:pPr>
    </w:p>
    <w:p w:rsidR="00924690" w:rsidRPr="00BD7CEA" w:rsidRDefault="00924690" w:rsidP="00924690">
      <w:pPr>
        <w:spacing w:after="60"/>
        <w:ind w:left="720"/>
      </w:pPr>
      <w:r w:rsidRPr="00BD7CEA">
        <w:rPr>
          <w:rFonts w:eastAsia="Calibri" w:cs="Tahoma"/>
          <w:b/>
          <w:color w:val="000000"/>
          <w:szCs w:val="18"/>
        </w:rPr>
        <w:t>Per le Società con Contratti Enterprise</w:t>
      </w:r>
    </w:p>
    <w:p w:rsidR="00A3706D" w:rsidRPr="00BD7CEA" w:rsidRDefault="00A3706D" w:rsidP="00376D4B">
      <w:pPr>
        <w:ind w:left="720"/>
        <w:rPr>
          <w:spacing w:val="-2"/>
        </w:rPr>
      </w:pPr>
      <w:r w:rsidRPr="00BD7CEA">
        <w:rPr>
          <w:rFonts w:eastAsia="Calibri" w:cs="Tahoma"/>
          <w:color w:val="000000"/>
          <w:spacing w:val="-2"/>
          <w:szCs w:val="18"/>
        </w:rPr>
        <w:t>Le licenze</w:t>
      </w:r>
      <w:r w:rsidRPr="00BD7CEA">
        <w:rPr>
          <w:rFonts w:eastAsia="Calibri" w:cs="Tahoma"/>
          <w:b/>
          <w:bCs/>
          <w:color w:val="000000"/>
          <w:spacing w:val="-2"/>
          <w:szCs w:val="18"/>
          <w:vertAlign w:val="superscript"/>
        </w:rPr>
        <w:t xml:space="preserve">* </w:t>
      </w:r>
      <w:r w:rsidRPr="00BD7CEA">
        <w:rPr>
          <w:rFonts w:eastAsia="Calibri" w:cs="Tahoma"/>
          <w:color w:val="000000"/>
          <w:spacing w:val="-2"/>
          <w:szCs w:val="18"/>
        </w:rPr>
        <w:t>acquistate il giorno stesso o in un giorno precedente la prima ricorrenza della data di entrata in vigore dell</w:t>
      </w:r>
      <w:r w:rsidR="007A1415" w:rsidRPr="00BD7CEA">
        <w:rPr>
          <w:rFonts w:eastAsia="Calibri" w:cs="Tahoma"/>
          <w:color w:val="000000"/>
          <w:spacing w:val="-2"/>
          <w:szCs w:val="18"/>
        </w:rPr>
        <w:t>’</w:t>
      </w:r>
      <w:r w:rsidRPr="00BD7CEA">
        <w:rPr>
          <w:rFonts w:eastAsia="Calibri" w:cs="Tahoma"/>
          <w:color w:val="000000"/>
          <w:spacing w:val="-2"/>
          <w:szCs w:val="18"/>
        </w:rPr>
        <w:t>iscrizione di una società dopo il 17 gennaio 2012 nell</w:t>
      </w:r>
      <w:r w:rsidR="007A1415" w:rsidRPr="00BD7CEA">
        <w:rPr>
          <w:rFonts w:eastAsia="Calibri" w:cs="Tahoma"/>
          <w:color w:val="000000"/>
          <w:spacing w:val="-2"/>
          <w:szCs w:val="18"/>
        </w:rPr>
        <w:t>’</w:t>
      </w:r>
      <w:r w:rsidRPr="00BD7CEA">
        <w:rPr>
          <w:rFonts w:eastAsia="Calibri" w:cs="Tahoma"/>
          <w:color w:val="000000"/>
          <w:spacing w:val="-2"/>
          <w:szCs w:val="18"/>
        </w:rPr>
        <w:t xml:space="preserve">ambito della procedura annuale di true-up di una società si qualificano per la concessione di licenze descritta sopra. Le licenze acquistate dopo tale data non si qualificheranno per alcuna concessione di licenze per System Center 2012 ai sensi della presente offerta. </w:t>
      </w:r>
    </w:p>
    <w:p w:rsidR="00924690" w:rsidRPr="00BD7CEA" w:rsidRDefault="00924690" w:rsidP="00376D4B">
      <w:pPr>
        <w:ind w:left="720"/>
      </w:pPr>
    </w:p>
    <w:p w:rsidR="00A3706D" w:rsidRPr="00BD7CEA" w:rsidRDefault="00A3706D" w:rsidP="00376D4B">
      <w:pPr>
        <w:ind w:left="720"/>
      </w:pPr>
      <w:r w:rsidRPr="00BD7CEA">
        <w:rPr>
          <w:rFonts w:eastAsia="Calibri" w:cs="Tahoma"/>
          <w:b/>
          <w:bCs/>
          <w:color w:val="000000"/>
          <w:szCs w:val="18"/>
          <w:vertAlign w:val="superscript"/>
        </w:rPr>
        <w:t>*</w:t>
      </w:r>
      <w:r w:rsidRPr="00BD7CEA">
        <w:rPr>
          <w:rFonts w:eastAsia="Calibri" w:cs="Tahoma"/>
          <w:color w:val="000000"/>
          <w:szCs w:val="18"/>
        </w:rPr>
        <w:t>Per quanto riguarda System Center Server Management Suite Enterprise, System Center Server Management Suite Datacenter, System Center Client Management Suite e System Center Configuration Manager Client Management License, tutte le licenze acquistate fino alla scadenza del contratto si qualificano per la concessione.</w:t>
      </w:r>
    </w:p>
    <w:p w:rsidR="00FF4CAB" w:rsidRPr="00BD7CEA" w:rsidRDefault="00FF4CAB" w:rsidP="00376D4B">
      <w:pPr>
        <w:ind w:left="720"/>
      </w:pPr>
    </w:p>
    <w:p w:rsidR="00924690" w:rsidRPr="00BD7CEA" w:rsidRDefault="00FF4CAB" w:rsidP="00924690">
      <w:pPr>
        <w:spacing w:after="60"/>
        <w:ind w:left="720"/>
      </w:pPr>
      <w:r w:rsidRPr="00BD7CEA">
        <w:rPr>
          <w:rFonts w:eastAsia="Calibri" w:cs="Tahoma"/>
          <w:b/>
          <w:color w:val="000000"/>
          <w:szCs w:val="18"/>
        </w:rPr>
        <w:t>Per le Società con Contratti Enterprise Subscription, Campus e School (tra cui Enrollment for Education Solutions) e Open Value Subscription</w:t>
      </w:r>
    </w:p>
    <w:p w:rsidR="00FF4CAB" w:rsidRPr="00BD7CEA" w:rsidRDefault="00FF4CAB" w:rsidP="00376D4B">
      <w:pPr>
        <w:ind w:left="720"/>
      </w:pPr>
      <w:r w:rsidRPr="00BD7CEA">
        <w:rPr>
          <w:rFonts w:cs="Tahoma"/>
          <w:bCs/>
          <w:color w:val="000000"/>
          <w:szCs w:val="18"/>
        </w:rPr>
        <w:t>Le licenze sono concesse ai sensi delle medesime condizioni, ma temporaneamente, fino al termine del periodo di validità dell</w:t>
      </w:r>
      <w:r w:rsidR="007A1415" w:rsidRPr="00BD7CEA">
        <w:rPr>
          <w:rFonts w:cs="Tahoma"/>
          <w:bCs/>
          <w:color w:val="000000"/>
          <w:szCs w:val="18"/>
        </w:rPr>
        <w:t>’</w:t>
      </w:r>
      <w:r w:rsidRPr="00BD7CEA">
        <w:rPr>
          <w:rFonts w:cs="Tahoma"/>
          <w:bCs/>
          <w:color w:val="000000"/>
          <w:szCs w:val="18"/>
        </w:rPr>
        <w:t>iscrizione Enterprise Subscription, del contratto Campus, School o Open Value Subscription oppure di Enrollment for Education Solutions, a condizione che la società mantenga la copertura della sottoscrizione in via continuativa.</w:t>
      </w:r>
      <w:r w:rsidR="008D782D" w:rsidRPr="00BD7CEA">
        <w:rPr>
          <w:rFonts w:cs="Tahoma"/>
          <w:bCs/>
          <w:color w:val="000000"/>
          <w:szCs w:val="18"/>
        </w:rPr>
        <w:t xml:space="preserve"> </w:t>
      </w:r>
      <w:r w:rsidRPr="00BD7CEA">
        <w:rPr>
          <w:rFonts w:cs="Tahoma"/>
          <w:bCs/>
          <w:color w:val="000000"/>
          <w:szCs w:val="18"/>
        </w:rPr>
        <w:t>Le società che scelgono di eseguire il buy-out delle licenze</w:t>
      </w:r>
      <w:r w:rsidR="00194AA4" w:rsidRPr="00BD7CEA">
        <w:rPr>
          <w:rFonts w:cs="Tahoma"/>
          <w:bCs/>
          <w:color w:val="000000"/>
          <w:szCs w:val="18"/>
        </w:rPr>
        <w:t> </w:t>
      </w:r>
      <w:r w:rsidRPr="00BD7CEA">
        <w:rPr>
          <w:rFonts w:cs="Tahoma"/>
          <w:bCs/>
          <w:color w:val="000000"/>
          <w:szCs w:val="18"/>
        </w:rPr>
        <w:t>hanno due opzioni.</w:t>
      </w:r>
      <w:r w:rsidR="008D782D" w:rsidRPr="00BD7CEA">
        <w:rPr>
          <w:rFonts w:cs="Tahoma"/>
          <w:bCs/>
          <w:color w:val="000000"/>
          <w:szCs w:val="18"/>
        </w:rPr>
        <w:t xml:space="preserve"> </w:t>
      </w:r>
    </w:p>
    <w:p w:rsidR="00FF4CAB" w:rsidRPr="00BD7CEA" w:rsidRDefault="00FF4CAB" w:rsidP="00376D4B">
      <w:pPr>
        <w:ind w:left="720"/>
      </w:pPr>
    </w:p>
    <w:p w:rsidR="00FF4CAB" w:rsidRPr="00BD7CEA" w:rsidRDefault="00FF4CAB" w:rsidP="00376D4B">
      <w:pPr>
        <w:ind w:left="720"/>
      </w:pPr>
      <w:r w:rsidRPr="00BD7CEA">
        <w:rPr>
          <w:rFonts w:cs="Tahoma"/>
          <w:bCs/>
          <w:color w:val="000000"/>
          <w:szCs w:val="18"/>
        </w:rPr>
        <w:lastRenderedPageBreak/>
        <w:t>Opzione 1: acquistare licenze per i prodotti System Center corrispondenti alle licenze qualificanti della società. In base a questa opzione la società non sarà idonea ad aggiungere Software Assurance alla licenza o a utilizzare System Center 2012 o qualsiasi altra versione successiva del software System Center.</w:t>
      </w:r>
    </w:p>
    <w:p w:rsidR="00FF4CAB" w:rsidRPr="00BD7CEA" w:rsidRDefault="00FF4CAB" w:rsidP="00376D4B">
      <w:pPr>
        <w:ind w:left="720"/>
      </w:pPr>
    </w:p>
    <w:p w:rsidR="00FF4CAB" w:rsidRPr="00BD7CEA" w:rsidRDefault="00FF4CAB" w:rsidP="00376D4B">
      <w:pPr>
        <w:ind w:left="720"/>
      </w:pPr>
      <w:r w:rsidRPr="00BD7CEA">
        <w:rPr>
          <w:rFonts w:cs="Tahoma"/>
          <w:bCs/>
          <w:color w:val="000000"/>
          <w:szCs w:val="18"/>
        </w:rPr>
        <w:t>Opzione 2: acquistare licenze per System Center 2012 corrispondenti alle licenze qualificanti della società.</w:t>
      </w:r>
      <w:r w:rsidR="008D782D" w:rsidRPr="00BD7CEA">
        <w:rPr>
          <w:rFonts w:cs="Tahoma"/>
          <w:bCs/>
          <w:color w:val="000000"/>
          <w:szCs w:val="18"/>
        </w:rPr>
        <w:t xml:space="preserve"> </w:t>
      </w:r>
      <w:r w:rsidRPr="00BD7CEA">
        <w:rPr>
          <w:rFonts w:cs="Tahoma"/>
          <w:bCs/>
          <w:color w:val="000000"/>
          <w:szCs w:val="18"/>
        </w:rPr>
        <w:t>In</w:t>
      </w:r>
      <w:r w:rsidR="00011954" w:rsidRPr="00BD7CEA">
        <w:rPr>
          <w:rFonts w:cs="Tahoma"/>
          <w:bCs/>
          <w:color w:val="000000"/>
          <w:szCs w:val="18"/>
        </w:rPr>
        <w:t> </w:t>
      </w:r>
      <w:r w:rsidRPr="00BD7CEA">
        <w:rPr>
          <w:rFonts w:cs="Tahoma"/>
          <w:bCs/>
          <w:color w:val="000000"/>
          <w:szCs w:val="18"/>
        </w:rPr>
        <w:t>base a questa opzione la società sarà idonea ad aggiungere Software Assurance.</w:t>
      </w:r>
    </w:p>
    <w:p w:rsidR="00FF4CAB" w:rsidRPr="00BD7CEA" w:rsidRDefault="00FF4CAB" w:rsidP="00376D4B">
      <w:pPr>
        <w:ind w:left="720"/>
      </w:pPr>
    </w:p>
    <w:p w:rsidR="00924690" w:rsidRPr="00BD7CEA" w:rsidRDefault="00FF4CAB" w:rsidP="00924690">
      <w:pPr>
        <w:spacing w:after="60"/>
        <w:ind w:left="720"/>
      </w:pPr>
      <w:r w:rsidRPr="00BD7CEA">
        <w:rPr>
          <w:rFonts w:eastAsia="Calibri" w:cs="Tahoma"/>
          <w:b/>
          <w:color w:val="000000"/>
          <w:szCs w:val="18"/>
        </w:rPr>
        <w:t>Concessione di Licenza Alternativa per System Center 2012 Standard per le Società in possesso di Server con Più di Due Processori</w:t>
      </w:r>
    </w:p>
    <w:p w:rsidR="00FF4CAB" w:rsidRPr="00BD7CEA" w:rsidRDefault="00FF4CAB" w:rsidP="00376D4B">
      <w:pPr>
        <w:ind w:left="720"/>
      </w:pPr>
      <w:r w:rsidRPr="00BD7CEA">
        <w:rPr>
          <w:rFonts w:cs="Tahoma"/>
          <w:szCs w:val="18"/>
        </w:rPr>
        <w:t>Ciascuna Server ML per System Center 2012 Standard copre fino a due processori di un server fisico.</w:t>
      </w:r>
      <w:r w:rsidR="008D782D" w:rsidRPr="00BD7CEA">
        <w:rPr>
          <w:rFonts w:cs="Tahoma"/>
          <w:szCs w:val="18"/>
        </w:rPr>
        <w:t xml:space="preserve"> </w:t>
      </w:r>
      <w:r w:rsidRPr="00BD7CEA">
        <w:rPr>
          <w:rFonts w:cs="Tahoma"/>
          <w:szCs w:val="18"/>
        </w:rPr>
        <w:t>Le società titolari di licenze qualificanti cedute a server con più di due processori in data 1 aprile 2012 o alla prima ricorrenza annuale della società dopo il 17 gennaio 2012, a seconda di quale delle due date si verificherà per ultima, potranno scegliere una concessione alternativa di un numero di Server ML per System Center 2012 Standard pari al numero di processori fisici sul server gestito diviso per due.</w:t>
      </w:r>
      <w:r w:rsidR="008D782D" w:rsidRPr="00BD7CEA">
        <w:rPr>
          <w:rFonts w:cs="Tahoma"/>
          <w:szCs w:val="18"/>
        </w:rPr>
        <w:t xml:space="preserve"> </w:t>
      </w:r>
      <w:r w:rsidRPr="00BD7CEA">
        <w:rPr>
          <w:rFonts w:cs="Tahoma"/>
          <w:szCs w:val="18"/>
        </w:rPr>
        <w:t>Il server dovrà disporre di una licenza completa per consentire la gestione degli ambienti del sistema operativo sul quel server ai sensi delle condizioni delle licenze qualificanti al momento della concessione.</w:t>
      </w:r>
      <w:r w:rsidR="008D782D" w:rsidRPr="00BD7CEA">
        <w:rPr>
          <w:rFonts w:cs="Tahoma"/>
          <w:szCs w:val="18"/>
        </w:rPr>
        <w:t xml:space="preserve"> </w:t>
      </w:r>
      <w:r w:rsidRPr="00BD7CEA">
        <w:rPr>
          <w:rFonts w:cs="Tahoma"/>
          <w:szCs w:val="18"/>
        </w:rPr>
        <w:t>La concessione alternativa garantisce che i server della società continuino a disporre di una licenza completa per tutto il periodo della transizione. La società dovrà documentare il numero di processori fisici presenti nel server gestito utilizzando lo strumento Microsoft MAP o un software equivalente.</w:t>
      </w:r>
      <w:r w:rsidR="008D782D" w:rsidRPr="00BD7CEA">
        <w:rPr>
          <w:rFonts w:cs="Tahoma"/>
          <w:szCs w:val="18"/>
        </w:rPr>
        <w:t xml:space="preserve"> </w:t>
      </w:r>
      <w:r w:rsidRPr="00BD7CEA">
        <w:rPr>
          <w:rFonts w:cs="Tahoma"/>
          <w:szCs w:val="18"/>
        </w:rPr>
        <w:t>Questa documentazione insieme alla prova delle licenze qualificanti e alla presente Nota relativa al Prodotto attesteranno il diritto della società di utilizzare System Center 2012 ai sensi delle condizioni della presente offerta. La società non avrà</w:t>
      </w:r>
      <w:r w:rsidR="00011954" w:rsidRPr="00BD7CEA">
        <w:rPr>
          <w:rFonts w:cs="Tahoma"/>
          <w:szCs w:val="18"/>
        </w:rPr>
        <w:t> </w:t>
      </w:r>
      <w:r w:rsidRPr="00BD7CEA">
        <w:rPr>
          <w:rFonts w:cs="Tahoma"/>
          <w:szCs w:val="18"/>
        </w:rPr>
        <w:t>più il diritto di utilizzo del software ai sensi di licenze qualificanti cedute al server al momento dell</w:t>
      </w:r>
      <w:r w:rsidR="007A1415" w:rsidRPr="00BD7CEA">
        <w:rPr>
          <w:rFonts w:cs="Tahoma"/>
          <w:szCs w:val="18"/>
        </w:rPr>
        <w:t>’</w:t>
      </w:r>
      <w:r w:rsidRPr="00BD7CEA">
        <w:rPr>
          <w:rFonts w:cs="Tahoma"/>
          <w:szCs w:val="18"/>
        </w:rPr>
        <w:t>aggiornamento a System Center 2012.</w:t>
      </w:r>
      <w:r w:rsidRPr="00BD7CEA">
        <w:rPr>
          <w:rFonts w:cs="Tahoma"/>
          <w:color w:val="000000"/>
        </w:rPr>
        <w:t xml:space="preserve"> Le società non potranno trasferire le licenze ottenute in base</w:t>
      </w:r>
      <w:r w:rsidR="00011954" w:rsidRPr="00BD7CEA">
        <w:rPr>
          <w:rFonts w:cs="Tahoma"/>
          <w:color w:val="000000"/>
        </w:rPr>
        <w:t> </w:t>
      </w:r>
      <w:r w:rsidRPr="00BD7CEA">
        <w:rPr>
          <w:rFonts w:cs="Tahoma"/>
          <w:color w:val="000000"/>
        </w:rPr>
        <w:t>alla</w:t>
      </w:r>
      <w:r w:rsidR="00011954" w:rsidRPr="00BD7CEA">
        <w:rPr>
          <w:rFonts w:cs="Tahoma"/>
          <w:color w:val="000000"/>
        </w:rPr>
        <w:t> </w:t>
      </w:r>
      <w:r w:rsidRPr="00BD7CEA">
        <w:rPr>
          <w:rFonts w:cs="Tahoma"/>
          <w:color w:val="000000"/>
        </w:rPr>
        <w:t>presente offerta separatamente dalle licenze qualificanti corrispondenti.</w:t>
      </w:r>
    </w:p>
    <w:p w:rsidR="00FF4CAB" w:rsidRPr="00BD7CEA" w:rsidRDefault="00FF4CAB" w:rsidP="00376D4B">
      <w:pPr>
        <w:tabs>
          <w:tab w:val="left" w:pos="2970"/>
        </w:tabs>
        <w:ind w:left="720"/>
        <w:contextualSpacing/>
      </w:pPr>
    </w:p>
    <w:p w:rsidR="00924690" w:rsidRPr="00BD7CEA" w:rsidRDefault="00FF4CAB" w:rsidP="00924690">
      <w:pPr>
        <w:spacing w:after="60"/>
        <w:ind w:left="720"/>
      </w:pPr>
      <w:r w:rsidRPr="00BD7CEA">
        <w:rPr>
          <w:rFonts w:eastAsia="Calibri" w:cs="Tahoma"/>
          <w:b/>
          <w:color w:val="000000"/>
          <w:szCs w:val="18"/>
        </w:rPr>
        <w:t>Concessione di Licenza Alternativa per System Center 2012 Datacenter per le Società in possesso di licenze qualificanti per Virtual Machine Manager (Enterprise Server ML per VMM)</w:t>
      </w:r>
    </w:p>
    <w:p w:rsidR="00FF4CAB" w:rsidRPr="00BD7CEA" w:rsidRDefault="00FF4CAB" w:rsidP="00376D4B">
      <w:pPr>
        <w:tabs>
          <w:tab w:val="left" w:pos="2970"/>
        </w:tabs>
        <w:ind w:left="720"/>
        <w:contextualSpacing/>
      </w:pPr>
      <w:r w:rsidRPr="00BD7CEA">
        <w:rPr>
          <w:rFonts w:cs="Tahoma"/>
          <w:szCs w:val="18"/>
        </w:rPr>
        <w:t>Le società titolari di Enterprise Server ML qualificanti per VMM cedute a server con più di due processori in data 1 aprile 2012 o alla prima ricorrenza annuale della società dopo il 17 gennaio 2012, a seconda di quale delle due date si verificherà per ultima, potranno scegliere una concessione alternativa di un numero di Server ML per System Center 2012 Datacenter pari al numero di processori fisici sul server gestito diviso per due.</w:t>
      </w:r>
      <w:r w:rsidR="008D782D" w:rsidRPr="00BD7CEA">
        <w:rPr>
          <w:rFonts w:cs="Tahoma"/>
          <w:szCs w:val="18"/>
        </w:rPr>
        <w:t xml:space="preserve"> </w:t>
      </w:r>
      <w:r w:rsidRPr="00BD7CEA">
        <w:rPr>
          <w:rFonts w:cs="Tahoma"/>
          <w:szCs w:val="18"/>
        </w:rPr>
        <w:t>La concessione alternativa garantisce che i server della società continuino a disporre di una licenza completa per tutto il periodo della transizione. La società dovrà documentare il numero di processori fisici presenti nel server gestito utilizzando lo strumento Microsoft MAP o un software equivalente.</w:t>
      </w:r>
      <w:r w:rsidR="008D782D" w:rsidRPr="00BD7CEA">
        <w:rPr>
          <w:rFonts w:cs="Tahoma"/>
          <w:szCs w:val="18"/>
        </w:rPr>
        <w:t xml:space="preserve"> </w:t>
      </w:r>
      <w:r w:rsidRPr="00BD7CEA">
        <w:rPr>
          <w:rFonts w:cs="Tahoma"/>
          <w:szCs w:val="18"/>
        </w:rPr>
        <w:t>Questa documentazione insieme alla prova delle licenze qualificanti e alla presente Nota relativa al Prodotto attesteranno il diritto della società di utilizzare System Center 2012 ai sensi delle condizioni della presente offerta. La società non avrà più il diritto di utilizzo del software ai sensi di licenze qualificanti cedute al server al momento dell</w:t>
      </w:r>
      <w:r w:rsidR="007A1415" w:rsidRPr="00BD7CEA">
        <w:rPr>
          <w:rFonts w:cs="Tahoma"/>
          <w:szCs w:val="18"/>
        </w:rPr>
        <w:t>’</w:t>
      </w:r>
      <w:r w:rsidRPr="00BD7CEA">
        <w:rPr>
          <w:rFonts w:cs="Tahoma"/>
          <w:szCs w:val="18"/>
        </w:rPr>
        <w:t>aggiornamento a System Center 2012.</w:t>
      </w:r>
      <w:r w:rsidRPr="00BD7CEA">
        <w:rPr>
          <w:rFonts w:cs="Tahoma"/>
          <w:color w:val="000000"/>
          <w:szCs w:val="24"/>
        </w:rPr>
        <w:t xml:space="preserve"> Le società non potranno trasferire le licenze ottenute in base alla presente offerta separatamente dalle licenze qualificanti corrispondenti.</w:t>
      </w:r>
    </w:p>
    <w:p w:rsidR="00FF4CAB" w:rsidRPr="00BD7CEA" w:rsidRDefault="00FF4CAB" w:rsidP="00376D4B">
      <w:pPr>
        <w:ind w:left="720"/>
      </w:pPr>
    </w:p>
    <w:p w:rsidR="009B12B7" w:rsidRPr="00BD7CEA" w:rsidRDefault="00FF4CAB" w:rsidP="00924690">
      <w:pPr>
        <w:spacing w:after="60"/>
        <w:ind w:left="720"/>
      </w:pPr>
      <w:r w:rsidRPr="00BD7CEA">
        <w:rPr>
          <w:rFonts w:eastAsia="Calibri" w:cs="Tahoma"/>
          <w:b/>
          <w:color w:val="000000"/>
          <w:szCs w:val="18"/>
        </w:rPr>
        <w:t>Società che Rinnovano Software Assurance Prima del 1 Ottobre 2012</w:t>
      </w:r>
    </w:p>
    <w:p w:rsidR="009B12B7" w:rsidRPr="00BD7CEA" w:rsidRDefault="00DC4FEC" w:rsidP="00376D4B">
      <w:pPr>
        <w:ind w:left="720"/>
        <w:rPr>
          <w:spacing w:val="-2"/>
        </w:rPr>
      </w:pPr>
      <w:r w:rsidRPr="00BD7CEA">
        <w:rPr>
          <w:rFonts w:cs="Tahoma"/>
          <w:color w:val="000000"/>
          <w:spacing w:val="-2"/>
          <w:szCs w:val="18"/>
        </w:rPr>
        <w:t xml:space="preserve">Le società titolari di contratti Academic, Open e Open Value </w:t>
      </w:r>
      <w:r w:rsidRPr="00BD7CEA">
        <w:rPr>
          <w:rFonts w:cs="Tahoma"/>
          <w:spacing w:val="-2"/>
          <w:szCs w:val="18"/>
        </w:rPr>
        <w:t>che rinnovano Software Assurance per System Center 2012 prima del 1 ottobre 2012 saranno idonee a rinnovare la copertura</w:t>
      </w:r>
      <w:r w:rsidRPr="00BD7CEA">
        <w:rPr>
          <w:rFonts w:cs="Tahoma"/>
          <w:color w:val="000000"/>
          <w:spacing w:val="-2"/>
          <w:szCs w:val="18"/>
        </w:rPr>
        <w:t xml:space="preserve"> per le licenze che li qualificano per la concessione di licenza per System Center 2012 (ciascuna, una “licenza qualificante”).</w:t>
      </w:r>
      <w:r w:rsidR="008D782D" w:rsidRPr="00BD7CEA">
        <w:rPr>
          <w:rFonts w:cs="Tahoma"/>
          <w:color w:val="000000"/>
          <w:spacing w:val="-2"/>
          <w:szCs w:val="18"/>
        </w:rPr>
        <w:t xml:space="preserve"> </w:t>
      </w:r>
      <w:r w:rsidRPr="00BD7CEA">
        <w:rPr>
          <w:rFonts w:cs="Tahoma"/>
          <w:color w:val="000000"/>
          <w:spacing w:val="-2"/>
          <w:szCs w:val="18"/>
        </w:rPr>
        <w:t>Rinnovando la copertura per una licenza qualificante, una società rinnoverà automaticamente la copertura per la licenza o le licenze per System Center 2012 corrispondenti fornite attraverso la concessione.</w:t>
      </w:r>
      <w:r w:rsidR="008D782D" w:rsidRPr="00BD7CEA">
        <w:rPr>
          <w:rFonts w:cs="Tahoma"/>
          <w:color w:val="000000"/>
          <w:spacing w:val="-2"/>
          <w:szCs w:val="18"/>
        </w:rPr>
        <w:t xml:space="preserve"> </w:t>
      </w:r>
      <w:r w:rsidRPr="00BD7CEA">
        <w:rPr>
          <w:rFonts w:cs="Tahoma"/>
          <w:color w:val="000000"/>
          <w:spacing w:val="-2"/>
          <w:szCs w:val="18"/>
        </w:rPr>
        <w:t>Di conseguenza, la società sarà idonea per qualsiasi versione successiva di System Center 2012 resa disponibile durante il periodo di validità rinnovato della copertura Software Assurance e sarà altresì idonea a rinnovare la copertura per System Center 2012 sulla base dei prezzi per il rinnovo di System Center 2012 in vigore in quel momento, alla scadenza della copertura ordinata ai sensi della presente offerta. Nonostante il rinnovo di Software Assurance per le licenze qualificanti, le condizioni della concessione di licenza per System Center 2012 rimangono pienamente vincolanti ed efficaci.</w:t>
      </w:r>
      <w:r w:rsidR="008D782D" w:rsidRPr="00BD7CEA">
        <w:rPr>
          <w:rFonts w:cs="Tahoma"/>
          <w:color w:val="000000"/>
          <w:spacing w:val="-2"/>
          <w:szCs w:val="18"/>
        </w:rPr>
        <w:t xml:space="preserve"> </w:t>
      </w:r>
      <w:r w:rsidRPr="00BD7CEA">
        <w:rPr>
          <w:rFonts w:cs="Tahoma"/>
          <w:color w:val="000000"/>
          <w:spacing w:val="-2"/>
          <w:szCs w:val="18"/>
        </w:rPr>
        <w:t>Di conseguenza, le società non potranno utilizzare contemporaneamente software ai sensi sia di una licenza qualificante che delle licenze corrispondenti per System Center 2012.</w:t>
      </w:r>
      <w:r w:rsidR="008D782D" w:rsidRPr="00BD7CEA">
        <w:rPr>
          <w:rFonts w:cs="Tahoma"/>
          <w:color w:val="000000"/>
          <w:spacing w:val="-2"/>
          <w:szCs w:val="18"/>
        </w:rPr>
        <w:t xml:space="preserve"> </w:t>
      </w:r>
      <w:r w:rsidRPr="00BD7CEA">
        <w:rPr>
          <w:rFonts w:cs="Tahoma"/>
          <w:color w:val="000000"/>
          <w:spacing w:val="-2"/>
          <w:szCs w:val="18"/>
        </w:rPr>
        <w:t>Licenza e Software Assurance (L&amp;SA) per le nuove licenze acquistate in occasione del rinnovo dovrà essere ordinata sulla base dei prezzi per System Center 2012. </w:t>
      </w:r>
    </w:p>
    <w:p w:rsidR="009B12B7" w:rsidRPr="00BD7CEA" w:rsidRDefault="009B12B7" w:rsidP="00376D4B">
      <w:pPr>
        <w:ind w:left="720"/>
      </w:pPr>
    </w:p>
    <w:p w:rsidR="00011954" w:rsidRPr="00BD7CEA" w:rsidRDefault="00011954" w:rsidP="00376D4B">
      <w:pPr>
        <w:ind w:left="720"/>
      </w:pPr>
    </w:p>
    <w:p w:rsidR="00FF4CAB" w:rsidRPr="00BD7CEA" w:rsidRDefault="009B12B7" w:rsidP="00376D4B">
      <w:pPr>
        <w:ind w:left="720"/>
      </w:pPr>
      <w:r w:rsidRPr="00BD7CEA">
        <w:rPr>
          <w:rFonts w:cs="Tahoma"/>
          <w:szCs w:val="18"/>
        </w:rPr>
        <w:lastRenderedPageBreak/>
        <w:t>Analogamente qualsiasi altra società che rinnovi Software Assurance prima del 1 ottobre 2012 per le licenze</w:t>
      </w:r>
      <w:r w:rsidR="00011954" w:rsidRPr="00BD7CEA">
        <w:rPr>
          <w:rFonts w:cs="Tahoma"/>
          <w:szCs w:val="18"/>
        </w:rPr>
        <w:t> </w:t>
      </w:r>
      <w:r w:rsidRPr="00BD7CEA">
        <w:rPr>
          <w:rFonts w:cs="Tahoma"/>
          <w:szCs w:val="18"/>
        </w:rPr>
        <w:t>per System Center 2012 concesse ai sensi della presente offerta potrà essere idonea a rinnovare la copertura, sulla base dei prezzi per Software Assurance, per le licenze che li qualificano per la concessione.</w:t>
      </w:r>
      <w:r w:rsidR="008D782D" w:rsidRPr="00BD7CEA">
        <w:rPr>
          <w:rFonts w:cs="Tahoma"/>
          <w:szCs w:val="18"/>
        </w:rPr>
        <w:t xml:space="preserve"> </w:t>
      </w:r>
      <w:r w:rsidRPr="00BD7CEA">
        <w:rPr>
          <w:rFonts w:cs="Tahoma"/>
          <w:szCs w:val="18"/>
        </w:rPr>
        <w:t>Per dettagli, le società dovranno contattare il proprio rivenditore o l</w:t>
      </w:r>
      <w:r w:rsidR="007A1415" w:rsidRPr="00BD7CEA">
        <w:rPr>
          <w:rFonts w:cs="Tahoma"/>
          <w:szCs w:val="18"/>
        </w:rPr>
        <w:t>’</w:t>
      </w:r>
      <w:r w:rsidRPr="00BD7CEA">
        <w:rPr>
          <w:rFonts w:cs="Tahoma"/>
          <w:szCs w:val="18"/>
        </w:rPr>
        <w:t>account manager designato da Microsoft.</w:t>
      </w:r>
      <w:r w:rsidR="008D782D" w:rsidRPr="00BD7CEA">
        <w:rPr>
          <w:rFonts w:cs="Tahoma"/>
          <w:szCs w:val="18"/>
        </w:rPr>
        <w:t xml:space="preserve"> </w:t>
      </w:r>
      <w:r w:rsidRPr="00BD7CEA">
        <w:rPr>
          <w:rFonts w:cs="Tahoma"/>
          <w:szCs w:val="18"/>
        </w:rPr>
        <w:t>Tale offerta non si applica al rinnovo di Software Assurance per le licenze di gestione client per</w:t>
      </w:r>
      <w:r w:rsidR="00011954" w:rsidRPr="00BD7CEA">
        <w:rPr>
          <w:rFonts w:cs="Tahoma"/>
          <w:szCs w:val="18"/>
        </w:rPr>
        <w:t> </w:t>
      </w:r>
      <w:r w:rsidRPr="00BD7CEA">
        <w:rPr>
          <w:rFonts w:cs="Tahoma"/>
          <w:szCs w:val="18"/>
        </w:rPr>
        <w:t>System Center Client Management Suite e System Center Configuration Manager.</w:t>
      </w:r>
    </w:p>
    <w:p w:rsidR="00FF4CAB" w:rsidRPr="00BD7CEA" w:rsidRDefault="00FF4CAB" w:rsidP="00924690"/>
    <w:p w:rsidR="00FF4CAB" w:rsidRPr="00BD7CEA" w:rsidRDefault="00FF4CAB" w:rsidP="00FF4CAB"/>
    <w:p w:rsidR="00916E81" w:rsidRPr="00BD7CEA" w:rsidRDefault="00F66FB0" w:rsidP="002D35ED">
      <w:pPr>
        <w:pStyle w:val="Heading3"/>
      </w:pPr>
      <w:bookmarkStart w:id="1517" w:name="_103_System_Center"/>
      <w:bookmarkStart w:id="1518" w:name="_91_System_Center"/>
      <w:bookmarkStart w:id="1519" w:name="Srv_102SysCtr2012EndpointProt"/>
      <w:bookmarkStart w:id="1520" w:name="_Toc336338359"/>
      <w:bookmarkStart w:id="1521" w:name="_Toc353376129"/>
      <w:bookmarkEnd w:id="1517"/>
      <w:bookmarkEnd w:id="1518"/>
      <w:r w:rsidRPr="00BD7CEA">
        <w:rPr>
          <w:rFonts w:ascii="Tahoma" w:hAnsi="Tahoma" w:cs="Tahoma"/>
          <w:caps/>
          <w:color w:val="F66400"/>
          <w:sz w:val="22"/>
          <w:szCs w:val="22"/>
          <w:vertAlign w:val="superscript"/>
        </w:rPr>
        <w:t>91</w:t>
      </w:r>
      <w:r w:rsidRPr="00BD7CEA">
        <w:rPr>
          <w:rFonts w:ascii="Tahoma" w:hAnsi="Tahoma" w:cs="Tahoma"/>
          <w:color w:val="F66400"/>
          <w:sz w:val="22"/>
          <w:szCs w:val="22"/>
        </w:rPr>
        <w:t xml:space="preserve"> System Center 2012 Endpoint Protection</w:t>
      </w:r>
      <w:bookmarkEnd w:id="1519"/>
      <w:bookmarkEnd w:id="1520"/>
      <w:bookmarkEnd w:id="1521"/>
    </w:p>
    <w:p w:rsidR="00916E81" w:rsidRPr="00BD7CEA" w:rsidRDefault="00916E81" w:rsidP="00C21BCF">
      <w:pPr>
        <w:ind w:left="720"/>
      </w:pPr>
    </w:p>
    <w:p w:rsidR="00C21BCF" w:rsidRPr="00BD7CEA" w:rsidRDefault="00A0581B" w:rsidP="00A0581B">
      <w:pPr>
        <w:spacing w:after="60"/>
        <w:ind w:left="720"/>
      </w:pPr>
      <w:r w:rsidRPr="00BD7CEA">
        <w:rPr>
          <w:rFonts w:eastAsia="Calibri" w:cs="Tahoma"/>
          <w:b/>
          <w:szCs w:val="18"/>
        </w:rPr>
        <w:t>Aggiornamenti/Downgrade</w:t>
      </w:r>
    </w:p>
    <w:p w:rsidR="00C21BCF" w:rsidRPr="00BD7CEA" w:rsidRDefault="00C21BCF" w:rsidP="00C21BCF">
      <w:pPr>
        <w:ind w:left="720"/>
      </w:pPr>
      <w:r w:rsidRPr="00BD7CEA">
        <w:rPr>
          <w:rFonts w:eastAsia="Calibri" w:cs="Tahoma"/>
          <w:szCs w:val="18"/>
        </w:rPr>
        <w:t>A partire dal 1 aprile 2012 l</w:t>
      </w:r>
      <w:r w:rsidR="007A1415" w:rsidRPr="00BD7CEA">
        <w:rPr>
          <w:rFonts w:eastAsia="Calibri" w:cs="Tahoma"/>
          <w:szCs w:val="18"/>
        </w:rPr>
        <w:t>’</w:t>
      </w:r>
      <w:r w:rsidRPr="00BD7CEA">
        <w:rPr>
          <w:rFonts w:eastAsia="Calibri" w:cs="Tahoma"/>
          <w:szCs w:val="18"/>
        </w:rPr>
        <w:t>applicazione Forefront Endpoint Protection è diventata System Center 2012 Endpoint Protection. System Center 2012 Endpoint Protection, trattandosi di un</w:t>
      </w:r>
      <w:r w:rsidR="007A1415" w:rsidRPr="00BD7CEA">
        <w:rPr>
          <w:rFonts w:eastAsia="Calibri" w:cs="Tahoma"/>
          <w:szCs w:val="18"/>
        </w:rPr>
        <w:t>’</w:t>
      </w:r>
      <w:r w:rsidRPr="00BD7CEA">
        <w:rPr>
          <w:rFonts w:eastAsia="Calibri" w:cs="Tahoma"/>
          <w:szCs w:val="18"/>
        </w:rPr>
        <w:t>offerta standalone, conferisce diritti sull</w:t>
      </w:r>
      <w:r w:rsidR="007A1415" w:rsidRPr="00BD7CEA">
        <w:rPr>
          <w:rFonts w:eastAsia="Calibri" w:cs="Tahoma"/>
          <w:szCs w:val="18"/>
        </w:rPr>
        <w:t>’</w:t>
      </w:r>
      <w:r w:rsidRPr="00BD7CEA">
        <w:rPr>
          <w:rFonts w:eastAsia="Calibri" w:cs="Tahoma"/>
          <w:szCs w:val="18"/>
        </w:rPr>
        <w:t>utilizzo solo per proteggere i dispositivi client. I diritti sull</w:t>
      </w:r>
      <w:r w:rsidR="007A1415" w:rsidRPr="00BD7CEA">
        <w:rPr>
          <w:rFonts w:eastAsia="Calibri" w:cs="Tahoma"/>
          <w:szCs w:val="18"/>
        </w:rPr>
        <w:t>’</w:t>
      </w:r>
      <w:r w:rsidRPr="00BD7CEA">
        <w:rPr>
          <w:rFonts w:eastAsia="Calibri" w:cs="Tahoma"/>
          <w:szCs w:val="18"/>
        </w:rPr>
        <w:t>utilizzo per la protezione dei dispositivi server possono essere acquistati solo tramite l</w:t>
      </w:r>
      <w:r w:rsidR="007A1415" w:rsidRPr="00BD7CEA">
        <w:rPr>
          <w:rFonts w:eastAsia="Calibri" w:cs="Tahoma"/>
          <w:szCs w:val="18"/>
        </w:rPr>
        <w:t>’</w:t>
      </w:r>
      <w:r w:rsidRPr="00BD7CEA">
        <w:rPr>
          <w:rFonts w:eastAsia="Calibri" w:cs="Tahoma"/>
          <w:szCs w:val="18"/>
        </w:rPr>
        <w:t>acquisto di licenze di gestione server per System Center 2012 Standard o Datacenter.</w:t>
      </w:r>
    </w:p>
    <w:p w:rsidR="00C21BCF" w:rsidRPr="00BD7CEA" w:rsidRDefault="00C21BCF" w:rsidP="00C21BCF">
      <w:pPr>
        <w:ind w:left="720"/>
      </w:pPr>
    </w:p>
    <w:p w:rsidR="00C21BCF" w:rsidRPr="00BD7CEA" w:rsidRDefault="00C21BCF" w:rsidP="00C21BCF">
      <w:pPr>
        <w:ind w:left="720"/>
      </w:pPr>
      <w:r w:rsidRPr="00BD7CEA">
        <w:rPr>
          <w:rFonts w:eastAsia="Calibri" w:cs="Tahoma"/>
          <w:szCs w:val="18"/>
        </w:rPr>
        <w:t>Gli utenti con sottoscrizioni di Forefront Endpoint Protection attive che utilizzano il servizio per proteggere i dispositivi client possono effettuare l</w:t>
      </w:r>
      <w:r w:rsidR="007A1415" w:rsidRPr="00BD7CEA">
        <w:rPr>
          <w:rFonts w:eastAsia="Calibri" w:cs="Tahoma"/>
          <w:szCs w:val="18"/>
        </w:rPr>
        <w:t>’</w:t>
      </w:r>
      <w:r w:rsidRPr="00BD7CEA">
        <w:rPr>
          <w:rFonts w:eastAsia="Calibri" w:cs="Tahoma"/>
          <w:szCs w:val="18"/>
        </w:rPr>
        <w:t>aggiornamento a System Center 2012 Endpoint Protection e utilizzare l</w:t>
      </w:r>
      <w:r w:rsidR="007A1415" w:rsidRPr="00BD7CEA">
        <w:rPr>
          <w:rFonts w:eastAsia="Calibri" w:cs="Tahoma"/>
          <w:szCs w:val="18"/>
        </w:rPr>
        <w:t>’</w:t>
      </w:r>
      <w:r w:rsidRPr="00BD7CEA">
        <w:rPr>
          <w:rFonts w:eastAsia="Calibri" w:cs="Tahoma"/>
          <w:szCs w:val="18"/>
        </w:rPr>
        <w:t>applicazione per lo stesso scopo. Le società in possesso di sottoscrizioni di System Center 2012 Endpoint Protection potranno anche effettuare il downgrade a Forefront Endpoint Protection.</w:t>
      </w:r>
    </w:p>
    <w:p w:rsidR="00C21BCF" w:rsidRPr="00BD7CEA" w:rsidRDefault="00C21BCF" w:rsidP="00C21BCF">
      <w:pPr>
        <w:ind w:left="720"/>
      </w:pPr>
    </w:p>
    <w:p w:rsidR="00C21BCF" w:rsidRPr="00BD7CEA" w:rsidRDefault="00C21BCF" w:rsidP="00C21BCF">
      <w:pPr>
        <w:ind w:left="720"/>
      </w:pPr>
      <w:r w:rsidRPr="00BD7CEA">
        <w:rPr>
          <w:rFonts w:eastAsia="Calibri" w:cs="Tahoma"/>
          <w:szCs w:val="18"/>
        </w:rPr>
        <w:t>System Center 2012 Configuration Manager è la console di gestione di System Center 2012 Endpoint Protection. Le società dovranno avere la licenza per System Center 2012 Configuration Manager per fornire funzionalità di gestione a System Center 2012 Endpoint Protection. In alternativa, System Center 2012 Endpoint Protection può essere utilizzato senza funzionalità di gestione e senza dovere acquistare la licenza per System Center 2012 Configuration Manager.</w:t>
      </w:r>
      <w:r w:rsidR="008D782D" w:rsidRPr="00BD7CEA">
        <w:rPr>
          <w:rFonts w:eastAsia="Calibri" w:cs="Tahoma"/>
          <w:szCs w:val="18"/>
        </w:rPr>
        <w:t xml:space="preserve"> </w:t>
      </w:r>
    </w:p>
    <w:p w:rsidR="00C21BCF" w:rsidRPr="00BD7CEA" w:rsidRDefault="00C21BCF" w:rsidP="00C21BCF">
      <w:pPr>
        <w:ind w:left="720"/>
      </w:pPr>
    </w:p>
    <w:p w:rsidR="00C21BCF" w:rsidRPr="00BD7CEA" w:rsidRDefault="00A0581B" w:rsidP="00A0581B">
      <w:pPr>
        <w:spacing w:after="60"/>
        <w:ind w:left="720"/>
      </w:pPr>
      <w:r w:rsidRPr="00BD7CEA">
        <w:rPr>
          <w:rFonts w:eastAsia="Calibri" w:cs="Tahoma"/>
          <w:b/>
          <w:szCs w:val="18"/>
        </w:rPr>
        <w:t>Home Use Program</w:t>
      </w:r>
    </w:p>
    <w:p w:rsidR="00FF4CAB" w:rsidRPr="00BD7CEA" w:rsidRDefault="00C21BCF" w:rsidP="00A0581B">
      <w:pPr>
        <w:ind w:left="720"/>
      </w:pPr>
      <w:r w:rsidRPr="00BD7CEA">
        <w:rPr>
          <w:rFonts w:eastAsia="Calibri" w:cs="Tahoma"/>
          <w:szCs w:val="18"/>
        </w:rPr>
        <w:t>Le società in possesso di Licenze “Subscription” per Utente attive per System Center 2012 Endpoint Protection si qualificano per il programma Home Use Program.</w:t>
      </w:r>
    </w:p>
    <w:p w:rsidR="00A0581B" w:rsidRPr="00BD7CEA" w:rsidRDefault="00A0581B" w:rsidP="00A0581B"/>
    <w:p w:rsidR="00A0581B" w:rsidRPr="00BD7CEA" w:rsidRDefault="00A0581B" w:rsidP="00A0581B"/>
    <w:p w:rsidR="00023FE7" w:rsidRPr="00BD7CEA" w:rsidRDefault="00F66FB0">
      <w:pPr>
        <w:pStyle w:val="Heading3"/>
      </w:pPr>
      <w:bookmarkStart w:id="1522" w:name="_91_TechNet_Plus"/>
      <w:bookmarkStart w:id="1523" w:name="_92_TechNet_Plus"/>
      <w:bookmarkStart w:id="1524" w:name="Srv_103TechNetPlusSingleUser"/>
      <w:bookmarkStart w:id="1525" w:name="_Toc336338360"/>
      <w:bookmarkStart w:id="1526" w:name="_Toc353376130"/>
      <w:bookmarkEnd w:id="1522"/>
      <w:bookmarkEnd w:id="1523"/>
      <w:r w:rsidRPr="00BD7CEA">
        <w:rPr>
          <w:rFonts w:ascii="Tahoma" w:hAnsi="Tahoma"/>
          <w:caps/>
          <w:color w:val="F66400"/>
          <w:sz w:val="22"/>
          <w:vertAlign w:val="superscript"/>
        </w:rPr>
        <w:t>92</w:t>
      </w:r>
      <w:r w:rsidRPr="00BD7CEA">
        <w:rPr>
          <w:rFonts w:ascii="Tahoma" w:hAnsi="Tahoma"/>
          <w:color w:val="F66400"/>
          <w:sz w:val="22"/>
        </w:rPr>
        <w:t xml:space="preserve"> TechNet Plus Single User</w:t>
      </w:r>
      <w:bookmarkEnd w:id="1507"/>
      <w:bookmarkEnd w:id="1524"/>
      <w:bookmarkEnd w:id="1525"/>
      <w:bookmarkEnd w:id="1526"/>
    </w:p>
    <w:p w:rsidR="00023FE7" w:rsidRPr="00BD7CEA" w:rsidRDefault="00023FE7" w:rsidP="001704C2">
      <w:pPr>
        <w:tabs>
          <w:tab w:val="left" w:pos="2690"/>
        </w:tabs>
      </w:pPr>
    </w:p>
    <w:p w:rsidR="00023FE7" w:rsidRPr="00BD7CEA" w:rsidRDefault="00023FE7" w:rsidP="001704C2">
      <w:pPr>
        <w:pStyle w:val="FootnoteBulletLevel1"/>
        <w:tabs>
          <w:tab w:val="clear" w:pos="900"/>
        </w:tabs>
        <w:spacing w:before="0" w:after="60"/>
        <w:ind w:left="720" w:firstLine="0"/>
      </w:pPr>
      <w:r w:rsidRPr="00BD7CEA">
        <w:rPr>
          <w:rFonts w:ascii="Tahoma" w:hAnsi="Tahoma" w:cs="Tahoma"/>
          <w:b/>
          <w:sz w:val="18"/>
        </w:rPr>
        <w:t>Percorso di Migrazione per società con TechNet Plus Single Server iscritte a Software Assurance</w:t>
      </w:r>
    </w:p>
    <w:p w:rsidR="00023FE7" w:rsidRPr="00BD7CEA" w:rsidRDefault="00023FE7" w:rsidP="001704C2">
      <w:pPr>
        <w:pStyle w:val="FootnoteBulletLevel1"/>
        <w:tabs>
          <w:tab w:val="clear" w:pos="900"/>
        </w:tabs>
        <w:spacing w:before="0" w:after="0"/>
        <w:ind w:left="720" w:firstLine="0"/>
      </w:pPr>
      <w:r w:rsidRPr="00BD7CEA">
        <w:rPr>
          <w:rFonts w:ascii="Tahoma" w:hAnsi="Tahoma" w:cs="Tahoma"/>
          <w:sz w:val="18"/>
        </w:rPr>
        <w:t>Le società con copertura Software Assurance in scadenza per TechNet Plus Single Server che intendono rinnovare tale copertura possono acquistare Software Assurance per TechNet Plus Single User o TechNet Plus Direct.</w:t>
      </w:r>
      <w:r w:rsidR="008D782D" w:rsidRPr="00BD7CEA">
        <w:rPr>
          <w:rFonts w:ascii="Tahoma" w:hAnsi="Tahoma" w:cs="Tahoma"/>
          <w:sz w:val="18"/>
        </w:rPr>
        <w:t xml:space="preserve"> </w:t>
      </w:r>
    </w:p>
    <w:p w:rsidR="006B1BAF" w:rsidRPr="00BD7CEA" w:rsidRDefault="006B1BAF" w:rsidP="001704C2"/>
    <w:p w:rsidR="001704C2" w:rsidRPr="00BD7CEA" w:rsidRDefault="001704C2" w:rsidP="001704C2"/>
    <w:p w:rsidR="00FF4CAB" w:rsidRPr="00BD7CEA" w:rsidRDefault="00F66FB0" w:rsidP="00FF4CAB">
      <w:pPr>
        <w:pStyle w:val="Heading3"/>
      </w:pPr>
      <w:bookmarkStart w:id="1527" w:name="_92_Visual_Studio"/>
      <w:bookmarkStart w:id="1528" w:name="_90_VDI_Standard"/>
      <w:bookmarkStart w:id="1529" w:name="_93_VDI_Standard"/>
      <w:bookmarkStart w:id="1530" w:name="_Toc336338361"/>
      <w:bookmarkStart w:id="1531" w:name="_Toc353376131"/>
      <w:bookmarkStart w:id="1532" w:name="Srv_105VDIStandardandPremiumSuites"/>
      <w:bookmarkStart w:id="1533" w:name="Srv_94VSLoadTestVirtualUserPack10"/>
      <w:bookmarkEnd w:id="1527"/>
      <w:bookmarkEnd w:id="1528"/>
      <w:bookmarkEnd w:id="1529"/>
      <w:r w:rsidRPr="00BD7CEA">
        <w:rPr>
          <w:rFonts w:ascii="Tahoma" w:hAnsi="Tahoma" w:cs="Tahoma"/>
          <w:caps/>
          <w:color w:val="FF7415"/>
          <w:sz w:val="22"/>
          <w:szCs w:val="22"/>
          <w:vertAlign w:val="superscript"/>
        </w:rPr>
        <w:t xml:space="preserve">93 </w:t>
      </w:r>
      <w:r w:rsidRPr="00BD7CEA">
        <w:rPr>
          <w:rFonts w:ascii="Tahoma" w:hAnsi="Tahoma" w:cs="Tahoma"/>
          <w:color w:val="FF7415"/>
          <w:sz w:val="22"/>
          <w:szCs w:val="22"/>
        </w:rPr>
        <w:t>VDI Standard e Premium Suite</w:t>
      </w:r>
      <w:bookmarkEnd w:id="1530"/>
      <w:bookmarkEnd w:id="1531"/>
    </w:p>
    <w:bookmarkEnd w:id="1532"/>
    <w:p w:rsidR="00FF4CAB" w:rsidRPr="00BD7CEA" w:rsidRDefault="00FF4CAB" w:rsidP="00B76943"/>
    <w:p w:rsidR="00FF4CAB" w:rsidRPr="00BD7CEA" w:rsidRDefault="00FF4CAB" w:rsidP="00B76943">
      <w:pPr>
        <w:pStyle w:val="EndnoteText"/>
        <w:ind w:left="720"/>
      </w:pPr>
      <w:r w:rsidRPr="00BD7CEA">
        <w:rPr>
          <w:rFonts w:ascii="Tahoma" w:hAnsi="Tahoma" w:cs="Tahoma"/>
          <w:color w:val="000000"/>
          <w:sz w:val="18"/>
        </w:rPr>
        <w:t>Prodotti End-Of-Life (EOL) che non verranno più offerti. Le società con Contratto Enterprise possono fare riferimento alle versioni precedenti dei Diritti di Utilizzo del Prodotto per informazioni sui diritti sull</w:t>
      </w:r>
      <w:r w:rsidR="007A1415" w:rsidRPr="00BD7CEA">
        <w:rPr>
          <w:rFonts w:ascii="Tahoma" w:hAnsi="Tahoma" w:cs="Tahoma"/>
          <w:color w:val="000000"/>
          <w:sz w:val="18"/>
        </w:rPr>
        <w:t>’</w:t>
      </w:r>
      <w:r w:rsidRPr="00BD7CEA">
        <w:rPr>
          <w:rFonts w:ascii="Tahoma" w:hAnsi="Tahoma" w:cs="Tahoma"/>
          <w:color w:val="000000"/>
          <w:sz w:val="18"/>
        </w:rPr>
        <w:t>utilizzo.</w:t>
      </w:r>
    </w:p>
    <w:p w:rsidR="00BA1490" w:rsidRPr="00BD7CEA" w:rsidRDefault="00BA1490" w:rsidP="00B76943">
      <w:pPr>
        <w:pStyle w:val="EndnoteText"/>
        <w:ind w:left="0"/>
      </w:pPr>
    </w:p>
    <w:p w:rsidR="00EA31A6" w:rsidRPr="00BD7CEA" w:rsidRDefault="00EA31A6" w:rsidP="00B76943">
      <w:pPr>
        <w:pStyle w:val="EndnoteText"/>
        <w:ind w:left="0"/>
      </w:pPr>
    </w:p>
    <w:p w:rsidR="00EA31A6" w:rsidRPr="00BD7CEA" w:rsidRDefault="00F66FB0" w:rsidP="00EA31A6">
      <w:pPr>
        <w:pStyle w:val="Heading3"/>
      </w:pPr>
      <w:bookmarkStart w:id="1534" w:name="_91_Vexcel_Server,"/>
      <w:bookmarkStart w:id="1535" w:name="_94_Vexcel_Server"/>
      <w:bookmarkStart w:id="1536" w:name="_Toc353376132"/>
      <w:bookmarkEnd w:id="1534"/>
      <w:bookmarkEnd w:id="1535"/>
      <w:r w:rsidRPr="00BD7CEA">
        <w:rPr>
          <w:rFonts w:ascii="Tahoma" w:hAnsi="Tahoma" w:cs="Tahoma"/>
          <w:caps/>
          <w:color w:val="EE6000"/>
          <w:sz w:val="22"/>
          <w:szCs w:val="18"/>
          <w:vertAlign w:val="superscript"/>
        </w:rPr>
        <w:t xml:space="preserve">94 </w:t>
      </w:r>
      <w:r w:rsidRPr="00BD7CEA">
        <w:rPr>
          <w:rFonts w:ascii="Tahoma" w:hAnsi="Tahoma"/>
          <w:color w:val="F66400"/>
          <w:sz w:val="22"/>
        </w:rPr>
        <w:t>Vexcel Server e Vexcel Server con Enhanced Content Pack</w:t>
      </w:r>
      <w:bookmarkEnd w:id="1536"/>
    </w:p>
    <w:p w:rsidR="00EA31A6" w:rsidRPr="00BD7CEA" w:rsidRDefault="00EA31A6" w:rsidP="00EA31A6">
      <w:pPr>
        <w:ind w:left="720"/>
      </w:pPr>
    </w:p>
    <w:p w:rsidR="00EA31A6" w:rsidRPr="00BD7CEA" w:rsidRDefault="00EA31A6" w:rsidP="00EA31A6">
      <w:pPr>
        <w:ind w:left="720"/>
      </w:pPr>
      <w:r w:rsidRPr="00BD7CEA">
        <w:rPr>
          <w:rFonts w:cs="Tahoma"/>
          <w:szCs w:val="20"/>
          <w:u w:val="single"/>
        </w:rPr>
        <w:t>Servizi di Compilazione Necessari</w:t>
      </w:r>
      <w:r w:rsidRPr="004F4DA9">
        <w:rPr>
          <w:rFonts w:cs="Tahoma"/>
          <w:szCs w:val="20"/>
        </w:rPr>
        <w:t xml:space="preserve">. </w:t>
      </w:r>
      <w:r w:rsidRPr="00BD7CEA">
        <w:rPr>
          <w:rFonts w:cs="Tahoma"/>
          <w:szCs w:val="20"/>
        </w:rPr>
        <w:t>Vexcel Server e Vexcel Server con Enhanced Content Pack richiedono abbonamenti annuali al software Server/CAL e i servizi di compilazione del sistema di Vexcel, filiale geospaziale di Microsoft.</w:t>
      </w:r>
      <w:r w:rsidR="008D782D" w:rsidRPr="00BD7CEA">
        <w:rPr>
          <w:rFonts w:cs="Tahoma"/>
          <w:szCs w:val="20"/>
        </w:rPr>
        <w:t xml:space="preserve"> </w:t>
      </w:r>
      <w:r w:rsidRPr="00BD7CEA">
        <w:rPr>
          <w:rFonts w:cs="Tahoma"/>
          <w:szCs w:val="20"/>
        </w:rPr>
        <w:t>Servizi aggiuntivi di formazione, supporto e manutenzione sono disponibili, ma</w:t>
      </w:r>
      <w:r w:rsidR="00011954" w:rsidRPr="00BD7CEA">
        <w:rPr>
          <w:rFonts w:cs="Tahoma"/>
          <w:szCs w:val="20"/>
        </w:rPr>
        <w:t> </w:t>
      </w:r>
      <w:r w:rsidRPr="00BD7CEA">
        <w:rPr>
          <w:rFonts w:cs="Tahoma"/>
          <w:szCs w:val="20"/>
        </w:rPr>
        <w:t>non</w:t>
      </w:r>
      <w:r w:rsidR="00011954" w:rsidRPr="00BD7CEA">
        <w:rPr>
          <w:rFonts w:cs="Tahoma"/>
          <w:szCs w:val="20"/>
        </w:rPr>
        <w:t> </w:t>
      </w:r>
      <w:r w:rsidRPr="00BD7CEA">
        <w:rPr>
          <w:rFonts w:cs="Tahoma"/>
          <w:szCs w:val="20"/>
        </w:rPr>
        <w:t xml:space="preserve">necessari. Per ulteriori informazioni, visitare il sito </w:t>
      </w:r>
      <w:hyperlink r:id="rId56" w:history="1">
        <w:r w:rsidRPr="00BD7CEA">
          <w:rPr>
            <w:rStyle w:val="Hyperlink"/>
          </w:rPr>
          <w:t>http://www.vexcel.com/geospatial/bingmapsserver/index.asp</w:t>
        </w:r>
      </w:hyperlink>
    </w:p>
    <w:p w:rsidR="00B54C21" w:rsidRPr="00BD7CEA" w:rsidRDefault="00B54C21" w:rsidP="00B76943">
      <w:pPr>
        <w:pStyle w:val="EndnoteText"/>
        <w:ind w:left="0"/>
      </w:pPr>
    </w:p>
    <w:p w:rsidR="00EA31A6" w:rsidRPr="00BD7CEA" w:rsidRDefault="00EA31A6" w:rsidP="00B76943">
      <w:pPr>
        <w:pStyle w:val="EndnoteText"/>
        <w:ind w:left="0"/>
      </w:pPr>
    </w:p>
    <w:p w:rsidR="00E8145C" w:rsidRPr="00BD7CEA" w:rsidRDefault="00F66FB0" w:rsidP="00E8145C">
      <w:pPr>
        <w:pStyle w:val="Heading2"/>
        <w:ind w:left="0"/>
      </w:pPr>
      <w:bookmarkStart w:id="1537" w:name="_105_Windows_Azure"/>
      <w:bookmarkStart w:id="1538" w:name="_95_Servizi_Windows"/>
      <w:bookmarkStart w:id="1539" w:name="_Toc336338362"/>
      <w:bookmarkStart w:id="1540" w:name="_Toc353376133"/>
      <w:bookmarkEnd w:id="1537"/>
      <w:bookmarkEnd w:id="1538"/>
      <w:r w:rsidRPr="00BD7CEA">
        <w:rPr>
          <w:rFonts w:ascii="Tahoma" w:hAnsi="Tahoma" w:cs="Tahoma"/>
          <w:caps/>
          <w:color w:val="EE6000"/>
          <w:sz w:val="22"/>
          <w:szCs w:val="18"/>
          <w:vertAlign w:val="superscript"/>
        </w:rPr>
        <w:lastRenderedPageBreak/>
        <w:t xml:space="preserve">95 </w:t>
      </w:r>
      <w:r w:rsidRPr="00BD7CEA">
        <w:rPr>
          <w:rFonts w:ascii="Tahoma" w:hAnsi="Tahoma" w:cs="Tahoma"/>
          <w:color w:val="F8701C"/>
          <w:sz w:val="22"/>
          <w:szCs w:val="22"/>
        </w:rPr>
        <w:t>Servizi Windows Azure</w:t>
      </w:r>
      <w:bookmarkEnd w:id="1539"/>
      <w:bookmarkEnd w:id="1540"/>
    </w:p>
    <w:p w:rsidR="00E8145C" w:rsidRPr="00BD7CEA" w:rsidRDefault="00E8145C" w:rsidP="00B76943">
      <w:pPr>
        <w:widowControl w:val="0"/>
        <w:jc w:val="both"/>
      </w:pPr>
    </w:p>
    <w:p w:rsidR="00B76943" w:rsidRPr="00BD7CEA" w:rsidRDefault="00E8145C" w:rsidP="00B76943">
      <w:pPr>
        <w:widowControl w:val="0"/>
        <w:spacing w:after="60"/>
        <w:ind w:left="720"/>
        <w:jc w:val="both"/>
      </w:pPr>
      <w:r w:rsidRPr="00BD7CEA">
        <w:rPr>
          <w:b/>
          <w:color w:val="000000"/>
        </w:rPr>
        <w:t>Impegno in termini di Risorse di Calcolo per Windows Azure</w:t>
      </w:r>
    </w:p>
    <w:p w:rsidR="00E8145C" w:rsidRPr="00BD7CEA" w:rsidRDefault="00E8145C" w:rsidP="00B76943">
      <w:pPr>
        <w:widowControl w:val="0"/>
        <w:ind w:left="720"/>
        <w:jc w:val="both"/>
      </w:pPr>
      <w:r w:rsidRPr="00BD7CEA">
        <w:t>Per il servizio Calcolo di Windows Azure, Microsoft accetta di fornire alla società un Impegno in termini di Risorse di Calcolo. L</w:t>
      </w:r>
      <w:r w:rsidR="007A1415" w:rsidRPr="00BD7CEA">
        <w:t>’</w:t>
      </w:r>
      <w:r w:rsidRPr="00BD7CEA">
        <w:t xml:space="preserve">Impegno in termini di Risorse di Calcolo sarà pari al maggiore tra (1) </w:t>
      </w:r>
      <w:r w:rsidRPr="00BD7CEA">
        <w:rPr>
          <w:rFonts w:eastAsia="Times New Roman"/>
          <w:color w:val="000000"/>
        </w:rPr>
        <w:t xml:space="preserve">50 istanze di calcolo di piccole dimensioni concorrenti al mese oppure (2) </w:t>
      </w:r>
      <w:r w:rsidRPr="00BD7CEA">
        <w:t>il 125% dell</w:t>
      </w:r>
      <w:r w:rsidR="007A1415" w:rsidRPr="00BD7CEA">
        <w:t>’</w:t>
      </w:r>
      <w:r w:rsidRPr="00BD7CEA">
        <w:t xml:space="preserve">Utilizzo Stimato del Calcolo della società (come indicato di seguito). </w:t>
      </w:r>
    </w:p>
    <w:p w:rsidR="00B76943" w:rsidRPr="00BD7CEA" w:rsidRDefault="00B76943" w:rsidP="00B76943">
      <w:pPr>
        <w:widowControl w:val="0"/>
        <w:ind w:left="720"/>
        <w:jc w:val="both"/>
      </w:pPr>
    </w:p>
    <w:p w:rsidR="00E8145C" w:rsidRPr="00BD7CEA" w:rsidRDefault="00E8145C" w:rsidP="00B76943">
      <w:pPr>
        <w:widowControl w:val="0"/>
        <w:ind w:left="720"/>
        <w:jc w:val="both"/>
      </w:pPr>
      <w:r w:rsidRPr="00BD7CEA">
        <w:t>L</w:t>
      </w:r>
      <w:r w:rsidR="007A1415" w:rsidRPr="00BD7CEA">
        <w:t>’</w:t>
      </w:r>
      <w:r w:rsidRPr="00BD7CEA">
        <w:t>“Utilizzo Stimato del Calcolo” viene calcolato dividendo l</w:t>
      </w:r>
      <w:r w:rsidR="007A1415" w:rsidRPr="00BD7CEA">
        <w:t>’</w:t>
      </w:r>
      <w:r w:rsidRPr="00BD7CEA">
        <w:t>Impegno Monetario della società per il numero di mesi coperti da tale Impegno Monetario (12 mesi oppure il numero di mesi residui dell</w:t>
      </w:r>
      <w:r w:rsidR="007A1415" w:rsidRPr="00BD7CEA">
        <w:t>’</w:t>
      </w:r>
      <w:r w:rsidRPr="00BD7CEA">
        <w:t>Iscrizione della società, a seconda che la società scelga l</w:t>
      </w:r>
      <w:r w:rsidR="007A1415" w:rsidRPr="00BD7CEA">
        <w:t>’</w:t>
      </w:r>
      <w:r w:rsidRPr="00BD7CEA">
        <w:t>Opzione “Subscription” annuale o l</w:t>
      </w:r>
      <w:r w:rsidR="007A1415" w:rsidRPr="00BD7CEA">
        <w:t>’</w:t>
      </w:r>
      <w:r w:rsidRPr="00BD7CEA">
        <w:t xml:space="preserve">opzione “Subscription” </w:t>
      </w:r>
      <w:r w:rsidRPr="00BD7CEA">
        <w:rPr>
          <w:rFonts w:cs="Tahoma"/>
          <w:szCs w:val="18"/>
        </w:rPr>
        <w:t>con scadenza identica</w:t>
      </w:r>
      <w:r w:rsidRPr="00BD7CEA">
        <w:t>) e dividendo la cifra risultante per la Tariffa di Impegno relativa al Calcolo di Windows Azure. Qualora, nel corso del periodo di validità dell</w:t>
      </w:r>
      <w:r w:rsidR="007A1415" w:rsidRPr="00BD7CEA">
        <w:t>’</w:t>
      </w:r>
      <w:r w:rsidRPr="00BD7CEA">
        <w:t>iscrizione, la società aggiunga fondi al proprio Impegno Monetario, l</w:t>
      </w:r>
      <w:r w:rsidR="007A1415" w:rsidRPr="00BD7CEA">
        <w:t>’</w:t>
      </w:r>
      <w:r w:rsidRPr="00BD7CEA">
        <w:t>Utilizzo Stimato del Calcolo verrà ricalcolato di conseguenza. Qualora l</w:t>
      </w:r>
      <w:r w:rsidR="007A1415" w:rsidRPr="00BD7CEA">
        <w:t>’</w:t>
      </w:r>
      <w:r w:rsidRPr="00BD7CEA">
        <w:t>Impegno Monetario residuo della società scenda al di sotto del valore monetario dell</w:t>
      </w:r>
      <w:r w:rsidR="007A1415" w:rsidRPr="00BD7CEA">
        <w:t>’</w:t>
      </w:r>
      <w:r w:rsidRPr="00BD7CEA">
        <w:t>Utilizzo Stimato del Calcolo, l</w:t>
      </w:r>
      <w:r w:rsidR="007A1415" w:rsidRPr="00BD7CEA">
        <w:t>’</w:t>
      </w:r>
      <w:r w:rsidRPr="00BD7CEA">
        <w:t>Utilizzo Stimato del Calcolo verrà ridotto proporzionalmente in modo che l</w:t>
      </w:r>
      <w:r w:rsidR="007A1415" w:rsidRPr="00BD7CEA">
        <w:t>’</w:t>
      </w:r>
      <w:r w:rsidRPr="00BD7CEA">
        <w:t>Impegno Monetario residuo sia pari al valore monetario dell</w:t>
      </w:r>
      <w:r w:rsidR="007A1415" w:rsidRPr="00BD7CEA">
        <w:t>’</w:t>
      </w:r>
      <w:r w:rsidRPr="00BD7CEA">
        <w:t>Utilizzo Stimato del Calcolo.</w:t>
      </w:r>
    </w:p>
    <w:p w:rsidR="00B76943" w:rsidRPr="00BD7CEA" w:rsidRDefault="00B76943" w:rsidP="00B76943">
      <w:pPr>
        <w:widowControl w:val="0"/>
        <w:ind w:left="720"/>
        <w:jc w:val="both"/>
      </w:pPr>
    </w:p>
    <w:p w:rsidR="00E8145C" w:rsidRPr="00BD7CEA" w:rsidRDefault="00E8145C" w:rsidP="00B76943">
      <w:pPr>
        <w:widowControl w:val="0"/>
        <w:ind w:left="720"/>
        <w:jc w:val="both"/>
      </w:pPr>
      <w:r w:rsidRPr="00BD7CEA">
        <w:t>Qualora Microsoft non faccia fronte all</w:t>
      </w:r>
      <w:r w:rsidR="007A1415" w:rsidRPr="00BD7CEA">
        <w:t>’</w:t>
      </w:r>
      <w:r w:rsidRPr="00BD7CEA">
        <w:t>Impegno in termini di Risorse di Calcolo, la società riceverà un credito pari al 25% del valore monetario del servizio Calcolo di Windows Azure in questione, alla Tariffa di Impegno. Tale credito non potrà superare il valore monetario totale dell</w:t>
      </w:r>
      <w:r w:rsidR="007A1415" w:rsidRPr="00BD7CEA">
        <w:t>’</w:t>
      </w:r>
      <w:r w:rsidRPr="00BD7CEA">
        <w:t>Impegno Monetario residuo della società. Qualora tale indisponibilità qualifichi la società anche per un Credito di Servizio ai sensi del Contratto di Servizio (vedere il precedente l</w:t>
      </w:r>
      <w:r w:rsidR="007A1415" w:rsidRPr="00BD7CEA">
        <w:t>’</w:t>
      </w:r>
      <w:r w:rsidRPr="00BD7CEA">
        <w:t>Articolo 2.c), la società riceverà esclusivamente il rimedio con il valore monetario più elevato.</w:t>
      </w:r>
    </w:p>
    <w:p w:rsidR="00E8145C" w:rsidRPr="00BD7CEA" w:rsidRDefault="00E8145C" w:rsidP="00B76943">
      <w:pPr>
        <w:widowControl w:val="0"/>
        <w:ind w:left="720"/>
        <w:jc w:val="both"/>
      </w:pPr>
      <w:r w:rsidRPr="00BD7CEA">
        <w:t>L</w:t>
      </w:r>
      <w:r w:rsidR="007A1415" w:rsidRPr="00BD7CEA">
        <w:t>’</w:t>
      </w:r>
      <w:r w:rsidRPr="00BD7CEA">
        <w:t>utilizzo globale del Calcolo di Windows Azure al di sopra dell</w:t>
      </w:r>
      <w:r w:rsidR="007A1415" w:rsidRPr="00BD7CEA">
        <w:t>’</w:t>
      </w:r>
      <w:r w:rsidRPr="00BD7CEA">
        <w:t>Impegno in termini di Risorse di Calcolo avverrà in base alla disponibilità. L</w:t>
      </w:r>
      <w:r w:rsidR="007A1415" w:rsidRPr="00BD7CEA">
        <w:t>’</w:t>
      </w:r>
      <w:r w:rsidRPr="00BD7CEA">
        <w:t xml:space="preserve">utilizzo globale di qualsiasi Servizio di Windows Azure diverso dal Calcolo di Windows Azure avverrà in base alla disponibilità. </w:t>
      </w:r>
    </w:p>
    <w:p w:rsidR="00152361" w:rsidRPr="00BD7CEA" w:rsidRDefault="00152361" w:rsidP="00B76943">
      <w:pPr>
        <w:pStyle w:val="EndnoteText"/>
        <w:ind w:left="720"/>
      </w:pPr>
    </w:p>
    <w:p w:rsidR="00FF4CAB" w:rsidRPr="00BD7CEA" w:rsidRDefault="00FF4CAB" w:rsidP="00376D4B">
      <w:pPr>
        <w:pStyle w:val="EndnoteText"/>
        <w:ind w:left="720"/>
      </w:pPr>
    </w:p>
    <w:p w:rsidR="00ED12C0" w:rsidRPr="00BD7CEA" w:rsidRDefault="00F66FB0" w:rsidP="00ED12C0">
      <w:pPr>
        <w:pStyle w:val="Heading2"/>
        <w:ind w:left="0"/>
      </w:pPr>
      <w:bookmarkStart w:id="1541" w:name="_96_Licenza_di"/>
      <w:bookmarkStart w:id="1542" w:name="Srv_107WindowsEmbeddedDeviceMgr2011"/>
      <w:bookmarkStart w:id="1543" w:name="_Toc336338363"/>
      <w:bookmarkStart w:id="1544" w:name="_Toc353376134"/>
      <w:bookmarkStart w:id="1545" w:name="Srv_93SBS2008PremiumEdition"/>
      <w:bookmarkEnd w:id="1533"/>
      <w:bookmarkEnd w:id="1541"/>
      <w:r w:rsidRPr="00BD7CEA">
        <w:rPr>
          <w:rFonts w:ascii="Tahoma" w:hAnsi="Tahoma" w:cs="Tahoma"/>
          <w:caps/>
          <w:color w:val="FF6600"/>
          <w:sz w:val="22"/>
          <w:vertAlign w:val="superscript"/>
        </w:rPr>
        <w:t>96</w:t>
      </w:r>
      <w:r w:rsidRPr="00BD7CEA">
        <w:rPr>
          <w:rFonts w:ascii="Tahoma" w:hAnsi="Tahoma" w:cs="Tahoma"/>
          <w:color w:val="FF6600"/>
        </w:rPr>
        <w:t xml:space="preserve"> </w:t>
      </w:r>
      <w:r w:rsidRPr="00BD7CEA">
        <w:rPr>
          <w:rFonts w:ascii="Tahoma" w:hAnsi="Tahoma" w:cs="Tahoma"/>
          <w:color w:val="FF6600"/>
          <w:sz w:val="22"/>
        </w:rPr>
        <w:t>Licenza di Server di Gestione per Windows Embedded Device Manager 2011</w:t>
      </w:r>
      <w:bookmarkEnd w:id="1542"/>
      <w:bookmarkEnd w:id="1543"/>
      <w:bookmarkEnd w:id="1544"/>
    </w:p>
    <w:p w:rsidR="00ED12C0" w:rsidRPr="00BD7CEA" w:rsidRDefault="00ED12C0" w:rsidP="00B76943"/>
    <w:p w:rsidR="00ED12C0" w:rsidRPr="00BD7CEA" w:rsidRDefault="00ED12C0" w:rsidP="00B76943">
      <w:pPr>
        <w:pStyle w:val="EndnoteText"/>
        <w:ind w:left="720"/>
      </w:pPr>
      <w:r w:rsidRPr="00BD7CEA">
        <w:rPr>
          <w:rFonts w:ascii="Tahoma" w:hAnsi="Tahoma" w:cs="Tahoma"/>
          <w:color w:val="000000"/>
          <w:sz w:val="18"/>
        </w:rPr>
        <w:t>Prodotto End-Of-Life (EOL) che non verrà più offerto.</w:t>
      </w:r>
    </w:p>
    <w:p w:rsidR="00ED12C0" w:rsidRPr="00BD7CEA" w:rsidRDefault="00ED12C0" w:rsidP="00B76943">
      <w:pPr>
        <w:pStyle w:val="EndnoteText"/>
        <w:ind w:left="720"/>
      </w:pPr>
    </w:p>
    <w:p w:rsidR="00ED12C0" w:rsidRPr="00BD7CEA" w:rsidRDefault="00ED12C0" w:rsidP="00B76943">
      <w:pPr>
        <w:pStyle w:val="EndnoteText"/>
        <w:spacing w:after="60"/>
        <w:ind w:left="720"/>
      </w:pPr>
      <w:r w:rsidRPr="00BD7CEA">
        <w:rPr>
          <w:rFonts w:ascii="Tahoma" w:hAnsi="Tahoma" w:cs="Tahoma"/>
          <w:b/>
          <w:color w:val="000000"/>
          <w:sz w:val="18"/>
        </w:rPr>
        <w:t>Concessione di una Licenza Una Tantum ai Titolari di Licenza per Windows Embedded Device Manager 2011 con Software Assurance Attiva</w:t>
      </w:r>
    </w:p>
    <w:p w:rsidR="002512D3" w:rsidRPr="00BD7CEA" w:rsidRDefault="00ED12C0" w:rsidP="003165D6">
      <w:pPr>
        <w:pStyle w:val="EndnoteText"/>
        <w:ind w:left="720"/>
      </w:pPr>
      <w:r w:rsidRPr="00BD7CEA">
        <w:rPr>
          <w:rFonts w:ascii="Tahoma" w:hAnsi="Tahoma" w:cs="Tahoma"/>
          <w:color w:val="000000"/>
          <w:sz w:val="18"/>
        </w:rPr>
        <w:t>In via di eccezione una tantum legata all</w:t>
      </w:r>
      <w:r w:rsidR="007A1415" w:rsidRPr="00BD7CEA">
        <w:rPr>
          <w:rFonts w:ascii="Tahoma" w:hAnsi="Tahoma" w:cs="Tahoma"/>
          <w:color w:val="000000"/>
          <w:sz w:val="18"/>
        </w:rPr>
        <w:t>’</w:t>
      </w:r>
      <w:r w:rsidRPr="00BD7CEA">
        <w:rPr>
          <w:rFonts w:ascii="Tahoma" w:hAnsi="Tahoma" w:cs="Tahoma"/>
          <w:color w:val="000000"/>
          <w:sz w:val="18"/>
        </w:rPr>
        <w:t>interruzione di licenze di server di gestione per Windows Embedded Device Manager 2011, alle società in possesso di Software Assurance con copertura attiva al 1 aprile 2012 verranno fornite le licenze di gestione client come di seguito indicato</w:t>
      </w:r>
      <w:r w:rsidRPr="00BD7CEA">
        <w:rPr>
          <w:rFonts w:ascii="Tahoma" w:hAnsi="Tahoma" w:cs="Tahoma"/>
          <w:color w:val="000000"/>
          <w:sz w:val="18"/>
          <w:szCs w:val="20"/>
        </w:rPr>
        <w:t>:</w:t>
      </w:r>
    </w:p>
    <w:p w:rsidR="00ED12C0" w:rsidRPr="00BD7CEA" w:rsidRDefault="00ED12C0" w:rsidP="00B76943">
      <w:pPr>
        <w:pStyle w:val="EndnoteText"/>
        <w:ind w:left="720"/>
      </w:pPr>
    </w:p>
    <w:p w:rsidR="00ED12C0" w:rsidRPr="00BD7CEA" w:rsidRDefault="00ED12C0" w:rsidP="00B76943">
      <w:pPr>
        <w:pStyle w:val="EndnoteText"/>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BD7CEA" w:rsidTr="00CA14C9">
        <w:tc>
          <w:tcPr>
            <w:tcW w:w="3960" w:type="dxa"/>
            <w:tcBorders>
              <w:top w:val="single" w:sz="4" w:space="0" w:color="000000"/>
              <w:bottom w:val="single" w:sz="6" w:space="0" w:color="000000"/>
            </w:tcBorders>
            <w:shd w:val="clear" w:color="auto" w:fill="FABF8F"/>
          </w:tcPr>
          <w:p w:rsidR="00ED12C0" w:rsidRPr="00BD7CEA" w:rsidRDefault="00ED12C0" w:rsidP="004342E4">
            <w:pPr>
              <w:jc w:val="center"/>
              <w:rPr>
                <w:rFonts w:cs="Tahoma"/>
                <w:b/>
                <w:color w:val="000000"/>
                <w:szCs w:val="20"/>
              </w:rPr>
            </w:pPr>
            <w:r w:rsidRPr="00BD7CEA">
              <w:rPr>
                <w:rFonts w:cs="Tahoma"/>
                <w:b/>
                <w:color w:val="000000"/>
                <w:szCs w:val="20"/>
              </w:rPr>
              <w:t>Licenze Qualificanti</w:t>
            </w:r>
          </w:p>
        </w:tc>
        <w:tc>
          <w:tcPr>
            <w:tcW w:w="4050" w:type="dxa"/>
            <w:tcBorders>
              <w:top w:val="single" w:sz="4" w:space="0" w:color="000000"/>
              <w:bottom w:val="single" w:sz="6" w:space="0" w:color="000000"/>
            </w:tcBorders>
            <w:shd w:val="clear" w:color="auto" w:fill="FABF8F"/>
          </w:tcPr>
          <w:p w:rsidR="00ED12C0" w:rsidRPr="00BD7CEA" w:rsidRDefault="00ED12C0" w:rsidP="004342E4">
            <w:pPr>
              <w:jc w:val="center"/>
              <w:rPr>
                <w:rFonts w:cs="Tahoma"/>
                <w:b/>
                <w:color w:val="000000"/>
                <w:szCs w:val="20"/>
              </w:rPr>
            </w:pPr>
            <w:r w:rsidRPr="00BD7CEA">
              <w:rPr>
                <w:rFonts w:cs="Tahoma"/>
                <w:color w:val="000000"/>
              </w:rPr>
              <w:t>Licenze di Gestione Client per Windows Embedded Device Manager 2011</w:t>
            </w:r>
          </w:p>
        </w:tc>
      </w:tr>
      <w:tr w:rsidR="00ED12C0" w:rsidRPr="00BD7CEA" w:rsidTr="00CA14C9">
        <w:tc>
          <w:tcPr>
            <w:tcW w:w="3960" w:type="dxa"/>
            <w:tcBorders>
              <w:top w:val="single" w:sz="6" w:space="0" w:color="000000"/>
            </w:tcBorders>
            <w:shd w:val="clear" w:color="auto" w:fill="FFFFFF"/>
          </w:tcPr>
          <w:p w:rsidR="00ED12C0" w:rsidRPr="00BD7CEA" w:rsidRDefault="00ED12C0" w:rsidP="004342E4">
            <w:pPr>
              <w:rPr>
                <w:rFonts w:cs="Tahoma"/>
                <w:color w:val="000000"/>
                <w:szCs w:val="20"/>
              </w:rPr>
            </w:pPr>
            <w:r w:rsidRPr="00BD7CEA">
              <w:rPr>
                <w:rFonts w:cs="Tahoma"/>
                <w:color w:val="000000"/>
                <w:szCs w:val="20"/>
              </w:rPr>
              <w:t>Licenza per Windows Embedded Device Manager 2011 Server</w:t>
            </w:r>
          </w:p>
        </w:tc>
        <w:tc>
          <w:tcPr>
            <w:tcW w:w="4050" w:type="dxa"/>
            <w:tcBorders>
              <w:top w:val="single" w:sz="6" w:space="0" w:color="000000"/>
            </w:tcBorders>
            <w:shd w:val="clear" w:color="auto" w:fill="FFFFFF"/>
          </w:tcPr>
          <w:p w:rsidR="00ED12C0" w:rsidRPr="00BD7CEA" w:rsidRDefault="00ED12C0" w:rsidP="004342E4">
            <w:pPr>
              <w:rPr>
                <w:rFonts w:cs="Tahoma"/>
                <w:color w:val="000000"/>
                <w:szCs w:val="20"/>
              </w:rPr>
            </w:pPr>
            <w:r w:rsidRPr="00BD7CEA">
              <w:rPr>
                <w:rFonts w:cs="Tahoma"/>
                <w:color w:val="000000"/>
                <w:szCs w:val="20"/>
              </w:rPr>
              <w:t>13 Licenze di Gestione Client per Windows Embedded Device Manager 2011</w:t>
            </w:r>
          </w:p>
        </w:tc>
      </w:tr>
      <w:tr w:rsidR="00ED12C0" w:rsidRPr="00BD7CEA" w:rsidTr="00CA14C9">
        <w:tc>
          <w:tcPr>
            <w:tcW w:w="3960" w:type="dxa"/>
            <w:shd w:val="clear" w:color="auto" w:fill="FFFFFF"/>
          </w:tcPr>
          <w:p w:rsidR="00ED12C0" w:rsidRPr="00BD7CEA" w:rsidRDefault="00ED12C0" w:rsidP="00011954">
            <w:pPr>
              <w:rPr>
                <w:rFonts w:cs="Tahoma"/>
                <w:color w:val="000000"/>
                <w:szCs w:val="20"/>
              </w:rPr>
            </w:pPr>
            <w:r w:rsidRPr="00BD7CEA">
              <w:rPr>
                <w:rFonts w:cs="Tahoma"/>
                <w:color w:val="000000"/>
                <w:szCs w:val="20"/>
              </w:rPr>
              <w:t>Licenza per Windows Embedded Device Manager 2011 Server con Tecnologia SQL</w:t>
            </w:r>
            <w:r w:rsidR="00011954" w:rsidRPr="00BD7CEA">
              <w:rPr>
                <w:rFonts w:cs="Tahoma"/>
                <w:color w:val="000000"/>
                <w:szCs w:val="20"/>
              </w:rPr>
              <w:t> </w:t>
            </w:r>
            <w:r w:rsidRPr="00BD7CEA">
              <w:rPr>
                <w:rFonts w:cs="Tahoma"/>
                <w:color w:val="000000"/>
                <w:szCs w:val="20"/>
              </w:rPr>
              <w:t>Server 2008</w:t>
            </w:r>
          </w:p>
        </w:tc>
        <w:tc>
          <w:tcPr>
            <w:tcW w:w="4050" w:type="dxa"/>
            <w:shd w:val="clear" w:color="auto" w:fill="FFFFFF"/>
          </w:tcPr>
          <w:p w:rsidR="00ED12C0" w:rsidRPr="00BD7CEA" w:rsidRDefault="00ED12C0" w:rsidP="004342E4">
            <w:pPr>
              <w:rPr>
                <w:rFonts w:cs="Tahoma"/>
                <w:color w:val="000000"/>
                <w:szCs w:val="20"/>
              </w:rPr>
            </w:pPr>
            <w:r w:rsidRPr="00BD7CEA">
              <w:rPr>
                <w:rFonts w:cs="Tahoma"/>
                <w:color w:val="000000"/>
                <w:szCs w:val="20"/>
              </w:rPr>
              <w:t>30 Licenze di Gestione Client per Windows Embedded Device Manager 2011</w:t>
            </w:r>
          </w:p>
        </w:tc>
      </w:tr>
    </w:tbl>
    <w:p w:rsidR="00ED12C0" w:rsidRPr="00BD7CEA" w:rsidRDefault="00ED12C0" w:rsidP="00ED12C0">
      <w:pPr>
        <w:pStyle w:val="EndnoteText"/>
        <w:ind w:left="0"/>
      </w:pPr>
    </w:p>
    <w:p w:rsidR="00ED12C0" w:rsidRPr="00BD7CEA" w:rsidRDefault="00ED12C0" w:rsidP="00376D4B">
      <w:pPr>
        <w:pStyle w:val="EndnoteText"/>
        <w:ind w:left="720"/>
      </w:pPr>
      <w:r w:rsidRPr="00BD7CEA">
        <w:rPr>
          <w:rFonts w:ascii="Tahoma" w:hAnsi="Tahoma" w:cs="Tahoma"/>
          <w:color w:val="000000"/>
          <w:sz w:val="18"/>
        </w:rPr>
        <w:t>Tutte le licenze concesse ai sensi della presente offerta includeranno la copertura Software Assurance. Tale</w:t>
      </w:r>
      <w:r w:rsidR="00C8557A">
        <w:rPr>
          <w:rFonts w:ascii="Tahoma" w:hAnsi="Tahoma" w:cs="Tahoma"/>
          <w:color w:val="000000"/>
          <w:sz w:val="18"/>
        </w:rPr>
        <w:t> </w:t>
      </w:r>
      <w:r w:rsidRPr="00BD7CEA">
        <w:rPr>
          <w:rFonts w:ascii="Tahoma" w:hAnsi="Tahoma" w:cs="Tahoma"/>
          <w:color w:val="000000"/>
          <w:sz w:val="18"/>
        </w:rPr>
        <w:t xml:space="preserve">copertura cesserà alla scadenza della copertura per le licenze qualificanti. Alla scadenza della copertura, le società potranno rinnovare Software Assurance sulle licenze concesse. </w:t>
      </w:r>
    </w:p>
    <w:p w:rsidR="00ED12C0" w:rsidRPr="00BD7CEA" w:rsidRDefault="00ED12C0" w:rsidP="00376D4B">
      <w:pPr>
        <w:pStyle w:val="EndnoteText"/>
        <w:ind w:left="720"/>
      </w:pPr>
    </w:p>
    <w:p w:rsidR="00011954" w:rsidRPr="00BD7CEA" w:rsidRDefault="00011954" w:rsidP="00376D4B">
      <w:pPr>
        <w:pStyle w:val="EndnoteText"/>
        <w:ind w:left="720"/>
      </w:pPr>
    </w:p>
    <w:p w:rsidR="00011954" w:rsidRPr="00BD7CEA" w:rsidRDefault="00011954" w:rsidP="00376D4B">
      <w:pPr>
        <w:pStyle w:val="EndnoteText"/>
        <w:ind w:left="720"/>
      </w:pPr>
    </w:p>
    <w:p w:rsidR="00011954" w:rsidRPr="00BD7CEA" w:rsidRDefault="00011954" w:rsidP="00376D4B">
      <w:pPr>
        <w:pStyle w:val="EndnoteText"/>
        <w:ind w:left="720"/>
      </w:pPr>
    </w:p>
    <w:p w:rsidR="00011954" w:rsidRPr="00BD7CEA" w:rsidRDefault="00011954" w:rsidP="00376D4B">
      <w:pPr>
        <w:pStyle w:val="EndnoteText"/>
        <w:ind w:left="720"/>
      </w:pPr>
    </w:p>
    <w:p w:rsidR="00ED12C0" w:rsidRPr="00BD7CEA" w:rsidRDefault="00ED12C0" w:rsidP="00376D4B">
      <w:pPr>
        <w:pStyle w:val="EndnoteText"/>
        <w:ind w:left="720"/>
      </w:pPr>
      <w:r w:rsidRPr="00BD7CEA">
        <w:rPr>
          <w:rFonts w:ascii="Tahoma" w:hAnsi="Tahoma" w:cs="Tahoma"/>
          <w:color w:val="000000"/>
          <w:sz w:val="18"/>
        </w:rPr>
        <w:lastRenderedPageBreak/>
        <w:t>L</w:t>
      </w:r>
      <w:r w:rsidR="007A1415" w:rsidRPr="00BD7CEA">
        <w:rPr>
          <w:rFonts w:ascii="Tahoma" w:hAnsi="Tahoma" w:cs="Tahoma"/>
          <w:color w:val="000000"/>
          <w:sz w:val="18"/>
        </w:rPr>
        <w:t>’</w:t>
      </w:r>
      <w:r w:rsidRPr="00BD7CEA">
        <w:rPr>
          <w:rFonts w:ascii="Tahoma" w:hAnsi="Tahoma" w:cs="Tahoma"/>
          <w:color w:val="000000"/>
          <w:sz w:val="18"/>
        </w:rPr>
        <w:t>utilizzo del software da parte della società ai sensi della presente offerta sarà soggetto alle condizioni del</w:t>
      </w:r>
      <w:r w:rsidR="00011954" w:rsidRPr="00BD7CEA">
        <w:rPr>
          <w:rFonts w:ascii="Tahoma" w:hAnsi="Tahoma" w:cs="Tahoma"/>
          <w:color w:val="000000"/>
          <w:sz w:val="18"/>
        </w:rPr>
        <w:t> </w:t>
      </w:r>
      <w:r w:rsidRPr="00BD7CEA">
        <w:rPr>
          <w:rFonts w:ascii="Tahoma" w:hAnsi="Tahoma" w:cs="Tahoma"/>
          <w:color w:val="000000"/>
          <w:sz w:val="18"/>
        </w:rPr>
        <w:t>relativo contratto di licenza e ai diritti di utilizzo del prodotto relativi al software. Il diritto di utilizzo del</w:t>
      </w:r>
      <w:r w:rsidR="00011954" w:rsidRPr="00BD7CEA">
        <w:rPr>
          <w:rFonts w:ascii="Tahoma" w:hAnsi="Tahoma" w:cs="Tahoma"/>
          <w:color w:val="000000"/>
          <w:sz w:val="18"/>
        </w:rPr>
        <w:t> </w:t>
      </w:r>
      <w:r w:rsidRPr="00BD7CEA">
        <w:rPr>
          <w:rFonts w:ascii="Tahoma" w:hAnsi="Tahoma" w:cs="Tahoma"/>
          <w:color w:val="000000"/>
          <w:sz w:val="18"/>
        </w:rPr>
        <w:t>software in concessione scadrà alla scadenza del diritto di utilizzo del software ai sensi della licenza qualificante per Windows Embedded Device Manager 2011. Questa Nota relativa al Prodotto insieme alla prova delle licenze qualificanti attesteranno il diritto della società di utilizzare Windows Embedded Device Manager 2011 ai sensi delle condizioni della presente offerta. La società non avrà più il diritto di utilizzo del</w:t>
      </w:r>
      <w:r w:rsidR="00011954" w:rsidRPr="00BD7CEA">
        <w:rPr>
          <w:rFonts w:ascii="Tahoma" w:hAnsi="Tahoma" w:cs="Tahoma"/>
          <w:color w:val="000000"/>
          <w:sz w:val="18"/>
        </w:rPr>
        <w:t> </w:t>
      </w:r>
      <w:r w:rsidRPr="00BD7CEA">
        <w:rPr>
          <w:rFonts w:ascii="Tahoma" w:hAnsi="Tahoma" w:cs="Tahoma"/>
          <w:color w:val="000000"/>
          <w:sz w:val="18"/>
        </w:rPr>
        <w:t>software ai sensi di licenze qualificanti cedute al server al momento dell</w:t>
      </w:r>
      <w:r w:rsidR="007A1415" w:rsidRPr="00BD7CEA">
        <w:rPr>
          <w:rFonts w:ascii="Tahoma" w:hAnsi="Tahoma" w:cs="Tahoma"/>
          <w:color w:val="000000"/>
          <w:sz w:val="18"/>
        </w:rPr>
        <w:t>’</w:t>
      </w:r>
      <w:r w:rsidRPr="00BD7CEA">
        <w:rPr>
          <w:rFonts w:ascii="Tahoma" w:hAnsi="Tahoma" w:cs="Tahoma"/>
          <w:color w:val="000000"/>
          <w:sz w:val="18"/>
        </w:rPr>
        <w:t>uso del software in base alla presente offerta. Le società non potranno trasferire le licenze concesse in virtù della presente offerta separatamente dalle licenze qualificanti corrispondenti.</w:t>
      </w:r>
    </w:p>
    <w:p w:rsidR="00ED12C0" w:rsidRPr="00BD7CEA" w:rsidRDefault="00ED12C0" w:rsidP="00376D4B">
      <w:pPr>
        <w:pStyle w:val="EndnoteText"/>
        <w:ind w:left="720"/>
      </w:pPr>
    </w:p>
    <w:p w:rsidR="00ED12C0" w:rsidRPr="00BD7CEA" w:rsidRDefault="00ED12C0" w:rsidP="00376D4B">
      <w:pPr>
        <w:ind w:left="720"/>
      </w:pPr>
      <w:r w:rsidRPr="00BD7CEA">
        <w:rPr>
          <w:rFonts w:cs="Tahoma"/>
          <w:color w:val="000000"/>
          <w:szCs w:val="24"/>
        </w:rPr>
        <w:t>Le licenze per Windows Embedded Device Manager 2011, acquistate dopo il 1 aprile 2012 nell</w:t>
      </w:r>
      <w:r w:rsidR="007A1415" w:rsidRPr="00BD7CEA">
        <w:rPr>
          <w:rFonts w:cs="Tahoma"/>
          <w:color w:val="000000"/>
          <w:szCs w:val="24"/>
        </w:rPr>
        <w:t>’</w:t>
      </w:r>
      <w:r w:rsidRPr="00BD7CEA">
        <w:rPr>
          <w:rFonts w:cs="Tahoma"/>
          <w:color w:val="000000"/>
          <w:szCs w:val="24"/>
        </w:rPr>
        <w:t>ambito della procedura annuale di true-up di una società per le Iscrizioni Enterprise, ai sensi delle quali le licenze per Windows Embedded Device Manager 2011 sono state inizialmente acquistate prima del 1 aprile 2012, sono</w:t>
      </w:r>
      <w:r w:rsidR="00835398">
        <w:rPr>
          <w:rFonts w:cs="Tahoma"/>
          <w:color w:val="000000"/>
          <w:szCs w:val="24"/>
        </w:rPr>
        <w:t> </w:t>
      </w:r>
      <w:r w:rsidRPr="00BD7CEA">
        <w:rPr>
          <w:rFonts w:cs="Tahoma"/>
          <w:color w:val="000000"/>
          <w:szCs w:val="24"/>
        </w:rPr>
        <w:t>anch</w:t>
      </w:r>
      <w:r w:rsidR="007A1415" w:rsidRPr="00BD7CEA">
        <w:rPr>
          <w:rFonts w:cs="Tahoma"/>
          <w:color w:val="000000"/>
          <w:szCs w:val="24"/>
        </w:rPr>
        <w:t>’</w:t>
      </w:r>
      <w:r w:rsidRPr="00BD7CEA">
        <w:rPr>
          <w:rFonts w:cs="Tahoma"/>
          <w:color w:val="000000"/>
          <w:szCs w:val="24"/>
        </w:rPr>
        <w:t>esse idonee a ricevere Client ML per Windows Embedded Device Manager 2011 in base alla presente offerta.</w:t>
      </w:r>
    </w:p>
    <w:p w:rsidR="00ED12C0" w:rsidRPr="00BD7CEA" w:rsidRDefault="00ED12C0" w:rsidP="00376D4B">
      <w:pPr>
        <w:ind w:left="720"/>
      </w:pPr>
    </w:p>
    <w:p w:rsidR="00ED12C0" w:rsidRPr="00BD7CEA" w:rsidRDefault="00ED12C0" w:rsidP="00376D4B">
      <w:pPr>
        <w:ind w:left="720"/>
        <w:rPr>
          <w:spacing w:val="-2"/>
        </w:rPr>
      </w:pPr>
      <w:r w:rsidRPr="00BD7CEA">
        <w:rPr>
          <w:rFonts w:cs="Tahoma"/>
          <w:color w:val="000000"/>
          <w:spacing w:val="-2"/>
          <w:szCs w:val="24"/>
        </w:rPr>
        <w:t>Per Contratti Enterprise Subscription, Campus e School e Open Value Subscription, gli stessi diritti verranno concessi temporaneamente fino al termine del periodo di validità dell</w:t>
      </w:r>
      <w:r w:rsidR="007A1415" w:rsidRPr="00BD7CEA">
        <w:rPr>
          <w:rFonts w:cs="Tahoma"/>
          <w:color w:val="000000"/>
          <w:spacing w:val="-2"/>
          <w:szCs w:val="24"/>
        </w:rPr>
        <w:t>’</w:t>
      </w:r>
      <w:r w:rsidRPr="00BD7CEA">
        <w:rPr>
          <w:rFonts w:cs="Tahoma"/>
          <w:color w:val="000000"/>
          <w:spacing w:val="-2"/>
          <w:szCs w:val="24"/>
        </w:rPr>
        <w:t>iscrizione della licenza, qualora le Licenze e la copertura Software Assurance siano valide durante il periodo di concessione e la società mantenga la copertura dell</w:t>
      </w:r>
      <w:r w:rsidR="007A1415" w:rsidRPr="00BD7CEA">
        <w:rPr>
          <w:rFonts w:cs="Tahoma"/>
          <w:color w:val="000000"/>
          <w:spacing w:val="-2"/>
          <w:szCs w:val="24"/>
        </w:rPr>
        <w:t>’</w:t>
      </w:r>
      <w:r w:rsidRPr="00BD7CEA">
        <w:rPr>
          <w:rFonts w:cs="Tahoma"/>
          <w:color w:val="000000"/>
          <w:spacing w:val="-2"/>
          <w:szCs w:val="24"/>
        </w:rPr>
        <w:t>abbonamento in via continuativa.</w:t>
      </w:r>
      <w:r w:rsidR="008D782D" w:rsidRPr="00BD7CEA">
        <w:rPr>
          <w:rFonts w:cs="Tahoma"/>
          <w:color w:val="000000"/>
          <w:spacing w:val="-2"/>
          <w:szCs w:val="24"/>
        </w:rPr>
        <w:t xml:space="preserve"> </w:t>
      </w:r>
      <w:r w:rsidRPr="00BD7CEA">
        <w:rPr>
          <w:rFonts w:cs="Tahoma"/>
          <w:color w:val="000000"/>
          <w:spacing w:val="-2"/>
          <w:szCs w:val="24"/>
        </w:rPr>
        <w:t>Tali diritti diventeranno permanenti soltanto all</w:t>
      </w:r>
      <w:r w:rsidR="007A1415" w:rsidRPr="00BD7CEA">
        <w:rPr>
          <w:rFonts w:cs="Tahoma"/>
          <w:color w:val="000000"/>
          <w:spacing w:val="-2"/>
          <w:szCs w:val="24"/>
        </w:rPr>
        <w:t>’</w:t>
      </w:r>
      <w:r w:rsidRPr="00BD7CEA">
        <w:rPr>
          <w:rFonts w:cs="Tahoma"/>
          <w:color w:val="000000"/>
          <w:spacing w:val="-2"/>
          <w:szCs w:val="24"/>
        </w:rPr>
        <w:t>esercizio dell</w:t>
      </w:r>
      <w:r w:rsidR="007A1415" w:rsidRPr="00BD7CEA">
        <w:rPr>
          <w:rFonts w:cs="Tahoma"/>
          <w:color w:val="000000"/>
          <w:spacing w:val="-2"/>
          <w:szCs w:val="24"/>
        </w:rPr>
        <w:t>’</w:t>
      </w:r>
      <w:r w:rsidRPr="00BD7CEA">
        <w:rPr>
          <w:rFonts w:cs="Tahoma"/>
          <w:color w:val="000000"/>
          <w:spacing w:val="-2"/>
          <w:szCs w:val="24"/>
        </w:rPr>
        <w:t>opzione buy-out e resteranno soggetti a tutte le condizioni del contratto di licenza della società.</w:t>
      </w:r>
    </w:p>
    <w:p w:rsidR="00A40838" w:rsidRPr="00BD7CEA" w:rsidRDefault="00A40838" w:rsidP="00376D4B">
      <w:pPr>
        <w:ind w:left="720"/>
      </w:pPr>
    </w:p>
    <w:p w:rsidR="005D5C95" w:rsidRPr="00BD7CEA" w:rsidRDefault="005D5C95" w:rsidP="00376D4B">
      <w:pPr>
        <w:ind w:left="720"/>
      </w:pPr>
    </w:p>
    <w:p w:rsidR="005D5C95" w:rsidRPr="00BD7CEA" w:rsidRDefault="00F66FB0" w:rsidP="005D5C95">
      <w:pPr>
        <w:pStyle w:val="Heading2"/>
        <w:ind w:left="0"/>
      </w:pPr>
      <w:bookmarkStart w:id="1546" w:name="_96_Windows_Embedded"/>
      <w:bookmarkStart w:id="1547" w:name="_97_Licenze_di"/>
      <w:bookmarkStart w:id="1548" w:name="_Toc353376135"/>
      <w:bookmarkStart w:id="1549" w:name="Srv_108EBS2008StandardPrem"/>
      <w:bookmarkEnd w:id="1546"/>
      <w:bookmarkEnd w:id="1547"/>
      <w:r w:rsidRPr="00BD7CEA">
        <w:rPr>
          <w:rFonts w:ascii="Tahoma" w:hAnsi="Tahoma" w:cs="Tahoma"/>
          <w:caps/>
          <w:color w:val="FF6600"/>
          <w:sz w:val="22"/>
          <w:vertAlign w:val="superscript"/>
        </w:rPr>
        <w:t>97</w:t>
      </w:r>
      <w:r w:rsidRPr="00BD7CEA">
        <w:rPr>
          <w:rFonts w:ascii="Tahoma" w:hAnsi="Tahoma" w:cs="Tahoma"/>
          <w:color w:val="FF6600"/>
        </w:rPr>
        <w:t xml:space="preserve"> </w:t>
      </w:r>
      <w:r w:rsidRPr="00BD7CEA">
        <w:rPr>
          <w:rFonts w:ascii="Tahoma" w:hAnsi="Tahoma" w:cs="Tahoma"/>
          <w:color w:val="FF6600"/>
          <w:sz w:val="22"/>
        </w:rPr>
        <w:t>Licenze di Gestione Client per Windows Embedded Device Manager 2011</w:t>
      </w:r>
      <w:bookmarkEnd w:id="1548"/>
    </w:p>
    <w:p w:rsidR="005D5C95" w:rsidRPr="00BD7CEA" w:rsidRDefault="005D5C95" w:rsidP="005D5C95"/>
    <w:p w:rsidR="005D5C95" w:rsidRPr="00BD7CEA" w:rsidRDefault="005D5C95" w:rsidP="005D5C95">
      <w:pPr>
        <w:pStyle w:val="EndnoteText"/>
        <w:ind w:left="720"/>
      </w:pPr>
      <w:r w:rsidRPr="00BD7CEA">
        <w:rPr>
          <w:rFonts w:ascii="Tahoma" w:hAnsi="Tahoma" w:cs="Tahoma"/>
          <w:color w:val="000000"/>
          <w:sz w:val="18"/>
        </w:rPr>
        <w:t>Prodotto End-Of-Life (EOL) che non verrà più offerto.</w:t>
      </w:r>
    </w:p>
    <w:p w:rsidR="005D5C95" w:rsidRPr="00BD7CEA" w:rsidRDefault="005D5C95" w:rsidP="005D5C95">
      <w:pPr>
        <w:pStyle w:val="EndnoteText"/>
        <w:ind w:left="720"/>
      </w:pPr>
    </w:p>
    <w:p w:rsidR="005D5C95" w:rsidRPr="00BD7CEA" w:rsidRDefault="005D5C95" w:rsidP="007A34E3">
      <w:pPr>
        <w:pStyle w:val="EndnoteText"/>
        <w:spacing w:after="60"/>
        <w:ind w:left="720"/>
      </w:pPr>
      <w:r w:rsidRPr="00BD7CEA">
        <w:rPr>
          <w:rFonts w:ascii="Tahoma" w:hAnsi="Tahoma" w:cs="Tahoma"/>
          <w:b/>
          <w:color w:val="000000"/>
          <w:sz w:val="18"/>
        </w:rPr>
        <w:t>Concessione di una Licenza di Gestione Client Una Tantum ai Titolari di Licenza per Windows Embedded Device Manager 2011 con Software Assurance Attiva</w:t>
      </w:r>
    </w:p>
    <w:p w:rsidR="005D5C95" w:rsidRPr="00BD7CEA" w:rsidRDefault="005D5C95" w:rsidP="005D5C95">
      <w:pPr>
        <w:pStyle w:val="EndnoteText"/>
        <w:ind w:left="720"/>
      </w:pPr>
      <w:r w:rsidRPr="00BD7CEA">
        <w:rPr>
          <w:rFonts w:ascii="Tahoma" w:hAnsi="Tahoma" w:cs="Tahoma"/>
          <w:color w:val="000000"/>
          <w:sz w:val="18"/>
        </w:rPr>
        <w:t>In via di eccezione una tantum legata all</w:t>
      </w:r>
      <w:r w:rsidR="007A1415" w:rsidRPr="00BD7CEA">
        <w:rPr>
          <w:rFonts w:ascii="Tahoma" w:hAnsi="Tahoma" w:cs="Tahoma"/>
          <w:color w:val="000000"/>
          <w:sz w:val="18"/>
        </w:rPr>
        <w:t>’</w:t>
      </w:r>
      <w:r w:rsidRPr="00BD7CEA">
        <w:rPr>
          <w:rFonts w:ascii="Tahoma" w:hAnsi="Tahoma" w:cs="Tahoma"/>
          <w:color w:val="000000"/>
          <w:sz w:val="18"/>
        </w:rPr>
        <w:t>interruzione di licenze di Gestione Client per Windows Embedded Device Manager 2011 (per OSE/Utente), alle società in possesso di Software Assurance con copertura attiva al 1 gennaio 2013 verrà fornito lo stesso numero di licenze di Gestione Client per System Center 2012 Configuration Manager (per OSE/Utente).</w:t>
      </w:r>
    </w:p>
    <w:p w:rsidR="005D5C95" w:rsidRPr="00BD7CEA" w:rsidRDefault="005D5C95" w:rsidP="005D5C95">
      <w:pPr>
        <w:pStyle w:val="EndnoteText"/>
        <w:ind w:left="0"/>
      </w:pPr>
    </w:p>
    <w:p w:rsidR="005D5C95" w:rsidRPr="00BD7CEA" w:rsidRDefault="005D5C95" w:rsidP="005D5C95">
      <w:pPr>
        <w:pStyle w:val="EndnoteText"/>
        <w:ind w:left="720"/>
      </w:pPr>
      <w:r w:rsidRPr="00BD7CEA">
        <w:rPr>
          <w:rFonts w:ascii="Tahoma" w:hAnsi="Tahoma" w:cs="Tahoma"/>
          <w:color w:val="000000"/>
          <w:sz w:val="18"/>
        </w:rPr>
        <w:t>Tutte le licenze concesse ai sensi della presente offerta includeranno la copertura Software Assurance. Tale</w:t>
      </w:r>
      <w:r w:rsidR="00C8557A">
        <w:rPr>
          <w:rFonts w:ascii="Tahoma" w:hAnsi="Tahoma" w:cs="Tahoma"/>
          <w:color w:val="000000"/>
          <w:sz w:val="18"/>
        </w:rPr>
        <w:t> </w:t>
      </w:r>
      <w:r w:rsidRPr="00BD7CEA">
        <w:rPr>
          <w:rFonts w:ascii="Tahoma" w:hAnsi="Tahoma" w:cs="Tahoma"/>
          <w:color w:val="000000"/>
          <w:sz w:val="18"/>
        </w:rPr>
        <w:t xml:space="preserve">copertura cesserà alla scadenza della copertura per le licenze qualificanti. Alla scadenza della copertura, le società potranno rinnovare Software Assurance sulle licenze concesse. </w:t>
      </w:r>
    </w:p>
    <w:p w:rsidR="005D5C95" w:rsidRPr="00BD7CEA" w:rsidRDefault="005D5C95" w:rsidP="005D5C95">
      <w:pPr>
        <w:pStyle w:val="EndnoteText"/>
        <w:ind w:left="720"/>
      </w:pPr>
    </w:p>
    <w:p w:rsidR="005D5C95" w:rsidRPr="00BD7CEA" w:rsidRDefault="005D5C95" w:rsidP="005D5C95">
      <w:pPr>
        <w:pStyle w:val="EndnoteText"/>
        <w:ind w:left="720"/>
      </w:pPr>
      <w:r w:rsidRPr="00BD7CEA">
        <w:rPr>
          <w:rFonts w:ascii="Tahoma" w:hAnsi="Tahoma" w:cs="Tahoma"/>
          <w:color w:val="000000"/>
          <w:sz w:val="18"/>
        </w:rPr>
        <w:t>L</w:t>
      </w:r>
      <w:r w:rsidR="007A1415" w:rsidRPr="00BD7CEA">
        <w:rPr>
          <w:rFonts w:ascii="Tahoma" w:hAnsi="Tahoma" w:cs="Tahoma"/>
          <w:color w:val="000000"/>
          <w:sz w:val="18"/>
        </w:rPr>
        <w:t>’</w:t>
      </w:r>
      <w:r w:rsidRPr="00BD7CEA">
        <w:rPr>
          <w:rFonts w:ascii="Tahoma" w:hAnsi="Tahoma" w:cs="Tahoma"/>
          <w:color w:val="000000"/>
          <w:sz w:val="18"/>
        </w:rPr>
        <w:t>utilizzo del software da parte della società ai sensi della presente offerta sarà soggetto alle condizioni del</w:t>
      </w:r>
      <w:r w:rsidR="00C9349F" w:rsidRPr="00BD7CEA">
        <w:rPr>
          <w:rFonts w:ascii="Tahoma" w:hAnsi="Tahoma" w:cs="Tahoma"/>
          <w:color w:val="000000"/>
          <w:sz w:val="18"/>
        </w:rPr>
        <w:t> </w:t>
      </w:r>
      <w:r w:rsidRPr="00BD7CEA">
        <w:rPr>
          <w:rFonts w:ascii="Tahoma" w:hAnsi="Tahoma" w:cs="Tahoma"/>
          <w:color w:val="000000"/>
          <w:sz w:val="18"/>
        </w:rPr>
        <w:t>relativo contratto di licenza e ai diritti di utilizzo del prodotto relativi al software. Il diritto di utilizzo del</w:t>
      </w:r>
      <w:r w:rsidR="00011954" w:rsidRPr="00BD7CEA">
        <w:rPr>
          <w:rFonts w:ascii="Tahoma" w:hAnsi="Tahoma" w:cs="Tahoma"/>
          <w:color w:val="000000"/>
          <w:sz w:val="18"/>
        </w:rPr>
        <w:t> </w:t>
      </w:r>
      <w:r w:rsidRPr="00BD7CEA">
        <w:rPr>
          <w:rFonts w:ascii="Tahoma" w:hAnsi="Tahoma" w:cs="Tahoma"/>
          <w:color w:val="000000"/>
          <w:sz w:val="18"/>
        </w:rPr>
        <w:t>software in concessione scadrà alla scadenza del diritto di utilizzo del software ai sensi della licenza qualificante di Gestione Client per Windows Embedded Device Manager 2011. Questa Nota relativa al Prodotto insieme alla prova delle licenze qualificanti attesteranno il diritto della società di utilizzare la licenza di Gestione Client per System Center 2012 Configuration Manager ai sensi delle condizioni della presente offerta. La società non avrà più il diritto di utilizzo del software ai sensi di licenze qualificanti cedute al server al momento dell</w:t>
      </w:r>
      <w:r w:rsidR="007A1415" w:rsidRPr="00BD7CEA">
        <w:rPr>
          <w:rFonts w:ascii="Tahoma" w:hAnsi="Tahoma" w:cs="Tahoma"/>
          <w:color w:val="000000"/>
          <w:sz w:val="18"/>
        </w:rPr>
        <w:t>’</w:t>
      </w:r>
      <w:r w:rsidRPr="00BD7CEA">
        <w:rPr>
          <w:rFonts w:ascii="Tahoma" w:hAnsi="Tahoma" w:cs="Tahoma"/>
          <w:color w:val="000000"/>
          <w:sz w:val="18"/>
        </w:rPr>
        <w:t>uso del software in base alla presente offerta. Le società non potranno trasferire le licenze concesse in virtù della presente offerta separatamente dalle licenze qualificanti corrispondenti.</w:t>
      </w:r>
    </w:p>
    <w:p w:rsidR="005D5C95" w:rsidRPr="00BD7CEA" w:rsidRDefault="005D5C95" w:rsidP="005D5C95">
      <w:pPr>
        <w:pStyle w:val="EndnoteText"/>
        <w:ind w:left="720"/>
      </w:pPr>
    </w:p>
    <w:p w:rsidR="005D5C95" w:rsidRPr="00BD7CEA" w:rsidRDefault="005D5C95" w:rsidP="005D5C95">
      <w:pPr>
        <w:ind w:left="720"/>
      </w:pPr>
      <w:r w:rsidRPr="00BD7CEA">
        <w:rPr>
          <w:rFonts w:cs="Tahoma"/>
          <w:color w:val="000000"/>
          <w:szCs w:val="24"/>
        </w:rPr>
        <w:t xml:space="preserve">Le licenze di Gestione Client per Windows Embedded Device Manager 2011, acquistate dopo il </w:t>
      </w:r>
      <w:r w:rsidR="00431FC7">
        <w:rPr>
          <w:rFonts w:cs="Tahoma"/>
          <w:color w:val="000000"/>
          <w:szCs w:val="24"/>
        </w:rPr>
        <w:br/>
      </w:r>
      <w:r w:rsidRPr="00BD7CEA">
        <w:rPr>
          <w:rFonts w:cs="Tahoma"/>
          <w:color w:val="000000"/>
          <w:szCs w:val="24"/>
        </w:rPr>
        <w:t>1 gennaio 2013 nell</w:t>
      </w:r>
      <w:r w:rsidR="007A1415" w:rsidRPr="00BD7CEA">
        <w:rPr>
          <w:rFonts w:cs="Tahoma"/>
          <w:color w:val="000000"/>
          <w:szCs w:val="24"/>
        </w:rPr>
        <w:t>’</w:t>
      </w:r>
      <w:r w:rsidRPr="00BD7CEA">
        <w:rPr>
          <w:rFonts w:cs="Tahoma"/>
          <w:color w:val="000000"/>
          <w:szCs w:val="24"/>
        </w:rPr>
        <w:t>ambito della procedura annuale di true-up di una società per le Iscrizioni Enterprise ai</w:t>
      </w:r>
      <w:r w:rsidR="00431FC7">
        <w:rPr>
          <w:rFonts w:cs="Tahoma"/>
          <w:color w:val="000000"/>
          <w:szCs w:val="24"/>
        </w:rPr>
        <w:t> </w:t>
      </w:r>
      <w:r w:rsidRPr="00BD7CEA">
        <w:rPr>
          <w:rFonts w:cs="Tahoma"/>
          <w:color w:val="000000"/>
          <w:szCs w:val="24"/>
        </w:rPr>
        <w:t>sensi delle quali le licenze di Gestione Client per Windows Embedded Device Manager 2011 sono state inizialmente acquistate prima del 1 gennaio 2013, sono anch</w:t>
      </w:r>
      <w:r w:rsidR="007A1415" w:rsidRPr="00BD7CEA">
        <w:rPr>
          <w:rFonts w:cs="Tahoma"/>
          <w:color w:val="000000"/>
          <w:szCs w:val="24"/>
        </w:rPr>
        <w:t>’</w:t>
      </w:r>
      <w:r w:rsidRPr="00BD7CEA">
        <w:rPr>
          <w:rFonts w:cs="Tahoma"/>
          <w:color w:val="000000"/>
          <w:szCs w:val="24"/>
        </w:rPr>
        <w:t>esse idonee a ricevere le Client ML per System</w:t>
      </w:r>
      <w:r w:rsidR="00431FC7">
        <w:rPr>
          <w:rFonts w:cs="Tahoma"/>
          <w:color w:val="000000"/>
          <w:szCs w:val="24"/>
        </w:rPr>
        <w:t> </w:t>
      </w:r>
      <w:r w:rsidRPr="00BD7CEA">
        <w:rPr>
          <w:rFonts w:cs="Tahoma"/>
          <w:color w:val="000000"/>
          <w:szCs w:val="24"/>
        </w:rPr>
        <w:t>Center 2012 Configuration Manager in base alla presente offerta.</w:t>
      </w:r>
    </w:p>
    <w:p w:rsidR="005D5C95" w:rsidRPr="00BD7CEA" w:rsidRDefault="005D5C95" w:rsidP="005D5C95">
      <w:pPr>
        <w:ind w:left="720"/>
      </w:pPr>
    </w:p>
    <w:p w:rsidR="00C9349F" w:rsidRPr="00BD7CEA" w:rsidRDefault="00C9349F" w:rsidP="005D5C95">
      <w:pPr>
        <w:ind w:left="720"/>
      </w:pPr>
    </w:p>
    <w:p w:rsidR="00C9349F" w:rsidRPr="00BD7CEA" w:rsidRDefault="00C9349F" w:rsidP="005D5C95">
      <w:pPr>
        <w:ind w:left="720"/>
      </w:pPr>
    </w:p>
    <w:p w:rsidR="00C9349F" w:rsidRPr="00BD7CEA" w:rsidRDefault="00C9349F" w:rsidP="005D5C95">
      <w:pPr>
        <w:ind w:left="720"/>
      </w:pPr>
    </w:p>
    <w:p w:rsidR="005D5C95" w:rsidRPr="00BD7CEA" w:rsidRDefault="005D5C95" w:rsidP="005D5C95">
      <w:pPr>
        <w:ind w:left="720"/>
        <w:rPr>
          <w:spacing w:val="-2"/>
        </w:rPr>
      </w:pPr>
      <w:r w:rsidRPr="00BD7CEA">
        <w:rPr>
          <w:rFonts w:cs="Tahoma"/>
          <w:color w:val="000000"/>
          <w:spacing w:val="-2"/>
          <w:szCs w:val="24"/>
        </w:rPr>
        <w:lastRenderedPageBreak/>
        <w:t>Per Contratti Enterprise Subscription, Campus e School e Open Value Subscription, gli stessi diritti verranno concessi temporaneamente fino al termine del periodo di validità dell</w:t>
      </w:r>
      <w:r w:rsidR="007A1415" w:rsidRPr="00BD7CEA">
        <w:rPr>
          <w:rFonts w:cs="Tahoma"/>
          <w:color w:val="000000"/>
          <w:spacing w:val="-2"/>
          <w:szCs w:val="24"/>
        </w:rPr>
        <w:t>’</w:t>
      </w:r>
      <w:r w:rsidRPr="00BD7CEA">
        <w:rPr>
          <w:rFonts w:cs="Tahoma"/>
          <w:color w:val="000000"/>
          <w:spacing w:val="-2"/>
          <w:szCs w:val="24"/>
        </w:rPr>
        <w:t>iscrizione della licenza, qualora le Licenze e la copertura Software Assurance siano valide durante il periodo di concessione e la società mantenga la copertura dell</w:t>
      </w:r>
      <w:r w:rsidR="007A1415" w:rsidRPr="00BD7CEA">
        <w:rPr>
          <w:rFonts w:cs="Tahoma"/>
          <w:color w:val="000000"/>
          <w:spacing w:val="-2"/>
          <w:szCs w:val="24"/>
        </w:rPr>
        <w:t>’</w:t>
      </w:r>
      <w:r w:rsidRPr="00BD7CEA">
        <w:rPr>
          <w:rFonts w:cs="Tahoma"/>
          <w:color w:val="000000"/>
          <w:spacing w:val="-2"/>
          <w:szCs w:val="24"/>
        </w:rPr>
        <w:t>abbonamento in via continuativa.</w:t>
      </w:r>
      <w:r w:rsidR="008D782D" w:rsidRPr="00BD7CEA">
        <w:rPr>
          <w:rFonts w:cs="Tahoma"/>
          <w:color w:val="000000"/>
          <w:spacing w:val="-2"/>
          <w:szCs w:val="24"/>
        </w:rPr>
        <w:t xml:space="preserve"> </w:t>
      </w:r>
      <w:r w:rsidRPr="00BD7CEA">
        <w:rPr>
          <w:rFonts w:cs="Tahoma"/>
          <w:color w:val="000000"/>
          <w:spacing w:val="-2"/>
          <w:szCs w:val="24"/>
        </w:rPr>
        <w:t>Tali diritti diventeranno permanenti soltanto all</w:t>
      </w:r>
      <w:r w:rsidR="007A1415" w:rsidRPr="00BD7CEA">
        <w:rPr>
          <w:rFonts w:cs="Tahoma"/>
          <w:color w:val="000000"/>
          <w:spacing w:val="-2"/>
          <w:szCs w:val="24"/>
        </w:rPr>
        <w:t>’</w:t>
      </w:r>
      <w:r w:rsidRPr="00BD7CEA">
        <w:rPr>
          <w:rFonts w:cs="Tahoma"/>
          <w:color w:val="000000"/>
          <w:spacing w:val="-2"/>
          <w:szCs w:val="24"/>
        </w:rPr>
        <w:t>esercizio dell</w:t>
      </w:r>
      <w:r w:rsidR="007A1415" w:rsidRPr="00BD7CEA">
        <w:rPr>
          <w:rFonts w:cs="Tahoma"/>
          <w:color w:val="000000"/>
          <w:spacing w:val="-2"/>
          <w:szCs w:val="24"/>
        </w:rPr>
        <w:t>’</w:t>
      </w:r>
      <w:r w:rsidRPr="00BD7CEA">
        <w:rPr>
          <w:rFonts w:cs="Tahoma"/>
          <w:color w:val="000000"/>
          <w:spacing w:val="-2"/>
          <w:szCs w:val="24"/>
        </w:rPr>
        <w:t>opzione buy-out e resteranno soggetti a tutte le condizioni del contratto di licenza della società.</w:t>
      </w:r>
    </w:p>
    <w:p w:rsidR="005D5C95" w:rsidRPr="00BD7CEA" w:rsidRDefault="005D5C95" w:rsidP="005D5C95">
      <w:pPr>
        <w:ind w:left="720"/>
      </w:pPr>
    </w:p>
    <w:p w:rsidR="005D5C95" w:rsidRPr="00BD7CEA" w:rsidRDefault="005D5C95" w:rsidP="005D5C95">
      <w:pPr>
        <w:ind w:left="720"/>
      </w:pPr>
      <w:r w:rsidRPr="00BD7CEA">
        <w:rPr>
          <w:rFonts w:cs="Tahoma"/>
          <w:color w:val="000000"/>
          <w:szCs w:val="24"/>
        </w:rPr>
        <w:t>I diritti di downgrade della versione sono applicabili a tutte le licenze di Gestione Client per System Center</w:t>
      </w:r>
      <w:r w:rsidR="00C8557A">
        <w:rPr>
          <w:rFonts w:cs="Tahoma"/>
          <w:color w:val="000000"/>
          <w:szCs w:val="24"/>
        </w:rPr>
        <w:t> </w:t>
      </w:r>
      <w:r w:rsidRPr="00BD7CEA">
        <w:rPr>
          <w:rFonts w:cs="Tahoma"/>
          <w:color w:val="000000"/>
          <w:szCs w:val="24"/>
        </w:rPr>
        <w:t>2012 Configuration Manager concesse.</w:t>
      </w:r>
    </w:p>
    <w:p w:rsidR="00ED12C0" w:rsidRPr="00BD7CEA" w:rsidRDefault="00ED12C0" w:rsidP="00ED12C0">
      <w:pPr>
        <w:ind w:left="900"/>
      </w:pPr>
    </w:p>
    <w:p w:rsidR="005D5C95" w:rsidRPr="00BD7CEA" w:rsidRDefault="005D5C95" w:rsidP="00ED12C0">
      <w:pPr>
        <w:ind w:left="900"/>
      </w:pPr>
    </w:p>
    <w:p w:rsidR="00A6493D" w:rsidRPr="00BD7CEA" w:rsidRDefault="00F66FB0" w:rsidP="00A6493D">
      <w:pPr>
        <w:pStyle w:val="Heading3"/>
      </w:pPr>
      <w:bookmarkStart w:id="1550" w:name="_107_EBS_2008"/>
      <w:bookmarkStart w:id="1551" w:name="_95_EBS_2008"/>
      <w:bookmarkStart w:id="1552" w:name="_98_Windows_EBS"/>
      <w:bookmarkStart w:id="1553" w:name="_Toc336338364"/>
      <w:bookmarkStart w:id="1554" w:name="_Toc353376136"/>
      <w:bookmarkStart w:id="1555" w:name="Srv_101WindowsEssBusSvrStdPrem"/>
      <w:bookmarkEnd w:id="1550"/>
      <w:bookmarkEnd w:id="1551"/>
      <w:bookmarkEnd w:id="1552"/>
      <w:r w:rsidRPr="00BD7CEA">
        <w:rPr>
          <w:rFonts w:ascii="Tahoma" w:hAnsi="Tahoma"/>
          <w:caps/>
          <w:color w:val="F66400"/>
          <w:sz w:val="22"/>
          <w:vertAlign w:val="superscript"/>
        </w:rPr>
        <w:t>98</w:t>
      </w:r>
      <w:r w:rsidRPr="00BD7CEA">
        <w:rPr>
          <w:rFonts w:ascii="Tahoma" w:hAnsi="Tahoma"/>
          <w:caps/>
          <w:color w:val="F66400"/>
          <w:sz w:val="24"/>
          <w:vertAlign w:val="superscript"/>
        </w:rPr>
        <w:t xml:space="preserve"> </w:t>
      </w:r>
      <w:r w:rsidRPr="00BD7CEA">
        <w:rPr>
          <w:rFonts w:ascii="Tahoma" w:hAnsi="Tahoma"/>
          <w:color w:val="F66400"/>
          <w:sz w:val="22"/>
          <w:szCs w:val="22"/>
        </w:rPr>
        <w:t>Windows EBS 2008 Standard ed EBS 2008 Premium</w:t>
      </w:r>
      <w:bookmarkEnd w:id="1549"/>
      <w:bookmarkEnd w:id="1553"/>
      <w:bookmarkEnd w:id="1554"/>
    </w:p>
    <w:bookmarkEnd w:id="1545"/>
    <w:bookmarkEnd w:id="1555"/>
    <w:p w:rsidR="00113634" w:rsidRPr="00BD7CEA" w:rsidRDefault="00113634" w:rsidP="00113634"/>
    <w:p w:rsidR="00113634" w:rsidRPr="00BD7CEA" w:rsidRDefault="00113634" w:rsidP="00376D4B">
      <w:pPr>
        <w:pStyle w:val="EndnoteText"/>
        <w:ind w:left="720"/>
      </w:pPr>
      <w:r w:rsidRPr="00BD7CEA">
        <w:rPr>
          <w:rFonts w:ascii="Tahoma" w:hAnsi="Tahoma" w:cs="Tahoma"/>
          <w:sz w:val="18"/>
          <w:szCs w:val="18"/>
        </w:rPr>
        <w:t>Prodotti End-Of-Life (EOL) che non verranno più offerti.</w:t>
      </w:r>
    </w:p>
    <w:p w:rsidR="00113634" w:rsidRPr="00BD7CEA" w:rsidRDefault="00113634" w:rsidP="00376D4B">
      <w:pPr>
        <w:pStyle w:val="EndnoteText"/>
        <w:ind w:left="720"/>
      </w:pPr>
    </w:p>
    <w:p w:rsidR="00113634" w:rsidRPr="00BD7CEA" w:rsidRDefault="00113634" w:rsidP="00B76943">
      <w:pPr>
        <w:pStyle w:val="EndnoteText"/>
        <w:spacing w:after="60"/>
        <w:ind w:left="720"/>
      </w:pPr>
      <w:r w:rsidRPr="00BD7CEA">
        <w:rPr>
          <w:rFonts w:ascii="Tahoma" w:hAnsi="Tahoma" w:cs="Tahoma"/>
          <w:b/>
          <w:sz w:val="18"/>
          <w:szCs w:val="18"/>
        </w:rPr>
        <w:t>Concessione di una Licenza Una Tantum ai Titolari di Licenza per EBS 2008 Standard ed EBS 2008 Premium</w:t>
      </w:r>
    </w:p>
    <w:p w:rsidR="00113634" w:rsidRPr="00BD7CEA" w:rsidRDefault="00113634" w:rsidP="00B76943">
      <w:pPr>
        <w:pStyle w:val="ListParagraph"/>
        <w:contextualSpacing w:val="0"/>
      </w:pPr>
      <w:r w:rsidRPr="00BD7CEA">
        <w:rPr>
          <w:rFonts w:ascii="Tahoma" w:hAnsi="Tahoma" w:cs="Tahoma"/>
          <w:sz w:val="18"/>
          <w:szCs w:val="18"/>
          <w:u w:val="single"/>
        </w:rPr>
        <w:t>Tutte le società che hanno stipulato Contratti Multilicenza per Windows Essential Business Server 2008 (EBS) Standard e Premium</w:t>
      </w:r>
      <w:r w:rsidRPr="00BD7CEA">
        <w:rPr>
          <w:rFonts w:ascii="Tahoma" w:hAnsi="Tahoma" w:cs="Tahoma"/>
          <w:b/>
          <w:sz w:val="18"/>
          <w:szCs w:val="18"/>
        </w:rPr>
        <w:t xml:space="preserve"> </w:t>
      </w:r>
      <w:r w:rsidRPr="00BD7CEA">
        <w:rPr>
          <w:rFonts w:ascii="Tahoma" w:hAnsi="Tahoma" w:cs="Tahoma"/>
          <w:sz w:val="18"/>
          <w:szCs w:val="18"/>
        </w:rPr>
        <w:t>sono idonee a ricevere le seguenti licenze gratuite per ogni licenza per EBS 2008 Standard o Premium posseduta al 1 luglio 2010:</w:t>
      </w:r>
    </w:p>
    <w:p w:rsidR="00A6493D" w:rsidRPr="00BD7CEA" w:rsidRDefault="00A6493D" w:rsidP="00E63984">
      <w:pPr>
        <w:pStyle w:val="ListParagraph"/>
        <w:ind w:left="1260"/>
        <w:contextualSpacing w:val="0"/>
      </w:pPr>
    </w:p>
    <w:p w:rsidR="00113634" w:rsidRPr="00BD7CEA" w:rsidRDefault="00113634" w:rsidP="007358C5">
      <w:pPr>
        <w:pStyle w:val="ListParagraph"/>
        <w:numPr>
          <w:ilvl w:val="0"/>
          <w:numId w:val="24"/>
        </w:numPr>
        <w:spacing w:after="60"/>
        <w:ind w:left="1440"/>
        <w:contextualSpacing w:val="0"/>
      </w:pPr>
      <w:r w:rsidRPr="00BD7CEA">
        <w:rPr>
          <w:rFonts w:ascii="Tahoma" w:hAnsi="Tahoma" w:cs="Tahoma"/>
          <w:sz w:val="18"/>
          <w:szCs w:val="18"/>
        </w:rPr>
        <w:t>3 licenze software per Windows Server 2008 Standard</w:t>
      </w:r>
    </w:p>
    <w:p w:rsidR="00113634" w:rsidRPr="00BD7CEA" w:rsidRDefault="00113634" w:rsidP="007358C5">
      <w:pPr>
        <w:pStyle w:val="ListParagraph"/>
        <w:numPr>
          <w:ilvl w:val="0"/>
          <w:numId w:val="24"/>
        </w:numPr>
        <w:spacing w:after="60"/>
        <w:ind w:left="1440"/>
        <w:contextualSpacing w:val="0"/>
      </w:pPr>
      <w:r w:rsidRPr="00BD7CEA">
        <w:rPr>
          <w:rFonts w:ascii="Tahoma" w:hAnsi="Tahoma" w:cs="Tahoma"/>
          <w:sz w:val="18"/>
          <w:szCs w:val="18"/>
        </w:rPr>
        <w:t>2 licenze software per Exchange Server 2007 Standard</w:t>
      </w:r>
    </w:p>
    <w:p w:rsidR="00113634" w:rsidRPr="00BD7CEA" w:rsidRDefault="00113634" w:rsidP="007358C5">
      <w:pPr>
        <w:pStyle w:val="ListParagraph"/>
        <w:numPr>
          <w:ilvl w:val="0"/>
          <w:numId w:val="24"/>
        </w:numPr>
        <w:spacing w:after="60"/>
        <w:ind w:left="1440"/>
        <w:contextualSpacing w:val="0"/>
      </w:pPr>
      <w:r w:rsidRPr="00BD7CEA">
        <w:rPr>
          <w:rFonts w:ascii="Tahoma" w:hAnsi="Tahoma" w:cs="Tahoma"/>
          <w:sz w:val="18"/>
          <w:szCs w:val="18"/>
        </w:rPr>
        <w:t>1 licenza software per System Center Essentials 2007 e 10 licenze di gestione Server e 50 di gestione Client</w:t>
      </w:r>
    </w:p>
    <w:p w:rsidR="00113634" w:rsidRPr="00BD7CEA" w:rsidRDefault="00113634" w:rsidP="00E63984">
      <w:pPr>
        <w:ind w:left="1260"/>
      </w:pPr>
    </w:p>
    <w:p w:rsidR="00113634" w:rsidRPr="00BD7CEA" w:rsidRDefault="00113634" w:rsidP="00B76943">
      <w:pPr>
        <w:ind w:left="720"/>
      </w:pPr>
      <w:r w:rsidRPr="00BD7CEA">
        <w:rPr>
          <w:rFonts w:cs="Tahoma"/>
          <w:szCs w:val="18"/>
        </w:rPr>
        <w:t>Le licenze gratuite sono attestate dal Contratto Multilicenza della società e dalla presente nota relativa alle condizioni del prodotto.</w:t>
      </w:r>
      <w:r w:rsidR="008D782D" w:rsidRPr="00BD7CEA">
        <w:rPr>
          <w:rFonts w:cs="Tahoma"/>
          <w:szCs w:val="18"/>
        </w:rPr>
        <w:t xml:space="preserve"> </w:t>
      </w:r>
      <w:r w:rsidRPr="00BD7CEA">
        <w:rPr>
          <w:rFonts w:cs="Tahoma"/>
          <w:szCs w:val="18"/>
        </w:rPr>
        <w:t>L</w:t>
      </w:r>
      <w:r w:rsidR="007A1415" w:rsidRPr="00BD7CEA">
        <w:rPr>
          <w:rFonts w:cs="Tahoma"/>
          <w:szCs w:val="18"/>
        </w:rPr>
        <w:t>’</w:t>
      </w:r>
      <w:r w:rsidRPr="00BD7CEA">
        <w:rPr>
          <w:rFonts w:cs="Tahoma"/>
          <w:szCs w:val="18"/>
        </w:rPr>
        <w:t>utilizzo del software ai sensi delle licenze gratuite è soggetto alle condizioni del contratto della società e ai diritti di utilizzo del prodotto per i prodotti individuali.</w:t>
      </w:r>
      <w:r w:rsidR="008D782D" w:rsidRPr="00BD7CEA">
        <w:rPr>
          <w:rFonts w:cs="Tahoma"/>
          <w:szCs w:val="18"/>
        </w:rPr>
        <w:t xml:space="preserve"> </w:t>
      </w:r>
      <w:r w:rsidRPr="00BD7CEA">
        <w:rPr>
          <w:rFonts w:cs="Tahoma"/>
          <w:szCs w:val="18"/>
        </w:rPr>
        <w:t>Il diritto di utilizzo del software ai sensi delle licenze gratuite scadrà alla scadenza del diritto di utilizzo del software ai sensi delle licenze qualificanti.</w:t>
      </w:r>
      <w:r w:rsidR="008D782D" w:rsidRPr="00BD7CEA">
        <w:rPr>
          <w:rFonts w:cs="Tahoma"/>
          <w:szCs w:val="18"/>
        </w:rPr>
        <w:t xml:space="preserve"> </w:t>
      </w:r>
      <w:r w:rsidRPr="00BD7CEA">
        <w:rPr>
          <w:rFonts w:cs="Tahoma"/>
          <w:szCs w:val="18"/>
        </w:rPr>
        <w:t>Le licenze gratuite non possono essere trasferite separatamente dalle licenze qualificanti.</w:t>
      </w:r>
    </w:p>
    <w:p w:rsidR="00113634" w:rsidRPr="00BD7CEA" w:rsidRDefault="00113634" w:rsidP="00957DE8">
      <w:pPr>
        <w:ind w:left="720"/>
      </w:pPr>
    </w:p>
    <w:p w:rsidR="00113634" w:rsidRPr="00BD7CEA" w:rsidRDefault="00113634" w:rsidP="00957DE8">
      <w:pPr>
        <w:pStyle w:val="ListParagraph"/>
        <w:contextualSpacing w:val="0"/>
      </w:pPr>
      <w:r w:rsidRPr="00BD7CEA">
        <w:rPr>
          <w:rFonts w:ascii="Tahoma" w:hAnsi="Tahoma" w:cs="Tahoma"/>
          <w:sz w:val="18"/>
          <w:szCs w:val="18"/>
          <w:u w:val="single"/>
        </w:rPr>
        <w:t>Le società con Contratti Multilicenza per Windows Essential Business Server (EBS) 2008 Standard</w:t>
      </w:r>
      <w:r w:rsidRPr="00BD7CEA">
        <w:rPr>
          <w:rFonts w:ascii="Tahoma" w:hAnsi="Tahoma" w:cs="Tahoma"/>
          <w:b/>
          <w:sz w:val="18"/>
          <w:szCs w:val="18"/>
        </w:rPr>
        <w:t xml:space="preserve"> </w:t>
      </w:r>
      <w:r w:rsidRPr="00BD7CEA">
        <w:rPr>
          <w:rFonts w:ascii="Tahoma" w:hAnsi="Tahoma" w:cs="Tahoma"/>
          <w:sz w:val="18"/>
          <w:szCs w:val="18"/>
        </w:rPr>
        <w:t>sono anche idonee a ricevere le seguenti licenze gratuite per ogni licenza per EBS 2008 Standard con Software Assurance attiva posseduta al 1 luglio 2010:</w:t>
      </w:r>
    </w:p>
    <w:p w:rsidR="00A6493D" w:rsidRPr="00BD7CEA" w:rsidRDefault="00A6493D" w:rsidP="00E63984">
      <w:pPr>
        <w:pStyle w:val="ListParagraph"/>
        <w:ind w:left="1260"/>
        <w:contextualSpacing w:val="0"/>
      </w:pPr>
    </w:p>
    <w:p w:rsidR="00113634" w:rsidRPr="00BD7CEA" w:rsidRDefault="00113634" w:rsidP="007358C5">
      <w:pPr>
        <w:pStyle w:val="ListParagraph"/>
        <w:numPr>
          <w:ilvl w:val="0"/>
          <w:numId w:val="25"/>
        </w:numPr>
        <w:spacing w:after="60"/>
        <w:ind w:left="1440"/>
        <w:contextualSpacing w:val="0"/>
      </w:pPr>
      <w:r w:rsidRPr="00BD7CEA">
        <w:rPr>
          <w:rFonts w:ascii="Tahoma" w:hAnsi="Tahoma" w:cs="Tahoma"/>
          <w:sz w:val="18"/>
          <w:szCs w:val="18"/>
        </w:rPr>
        <w:t>3 licenze software per Windows Server 2008 R2 Standard</w:t>
      </w:r>
    </w:p>
    <w:p w:rsidR="00113634" w:rsidRPr="00BD7CEA" w:rsidRDefault="00113634" w:rsidP="007358C5">
      <w:pPr>
        <w:pStyle w:val="ListParagraph"/>
        <w:numPr>
          <w:ilvl w:val="0"/>
          <w:numId w:val="25"/>
        </w:numPr>
        <w:spacing w:after="60"/>
        <w:ind w:left="1440"/>
        <w:contextualSpacing w:val="0"/>
      </w:pPr>
      <w:r w:rsidRPr="00BD7CEA">
        <w:rPr>
          <w:rFonts w:ascii="Tahoma" w:hAnsi="Tahoma" w:cs="Tahoma"/>
          <w:sz w:val="18"/>
          <w:szCs w:val="18"/>
        </w:rPr>
        <w:t>1 licenza software per Exchange Server 2010 Standard</w:t>
      </w:r>
    </w:p>
    <w:p w:rsidR="00113634" w:rsidRPr="00BD7CEA" w:rsidRDefault="00113634" w:rsidP="007358C5">
      <w:pPr>
        <w:pStyle w:val="ListParagraph"/>
        <w:numPr>
          <w:ilvl w:val="0"/>
          <w:numId w:val="25"/>
        </w:numPr>
        <w:spacing w:after="60"/>
        <w:ind w:left="1440"/>
        <w:contextualSpacing w:val="0"/>
      </w:pPr>
      <w:r w:rsidRPr="00BD7CEA">
        <w:rPr>
          <w:rFonts w:ascii="Tahoma" w:hAnsi="Tahoma" w:cs="Tahoma"/>
          <w:sz w:val="18"/>
          <w:szCs w:val="18"/>
        </w:rPr>
        <w:t>1 licenza software per System Center Essentials 2010 e 10 licenze di gestione Server e 50 di gestione Client</w:t>
      </w:r>
    </w:p>
    <w:p w:rsidR="00113634" w:rsidRPr="00BD7CEA" w:rsidRDefault="00113634" w:rsidP="007358C5">
      <w:pPr>
        <w:pStyle w:val="ListParagraph"/>
        <w:numPr>
          <w:ilvl w:val="0"/>
          <w:numId w:val="25"/>
        </w:numPr>
        <w:spacing w:after="60"/>
        <w:ind w:left="1440"/>
        <w:contextualSpacing w:val="0"/>
      </w:pPr>
      <w:r w:rsidRPr="00BD7CEA">
        <w:rPr>
          <w:rFonts w:ascii="Tahoma" w:hAnsi="Tahoma" w:cs="Tahoma"/>
          <w:sz w:val="18"/>
          <w:szCs w:val="18"/>
        </w:rPr>
        <w:t>1 licenza software per Forefront Threat Management Gateway Medium Business Edition 2010</w:t>
      </w:r>
    </w:p>
    <w:p w:rsidR="00113634" w:rsidRPr="00BD7CEA" w:rsidRDefault="00113634" w:rsidP="00E63984">
      <w:pPr>
        <w:pStyle w:val="ListParagraph"/>
        <w:ind w:left="1260"/>
      </w:pPr>
    </w:p>
    <w:p w:rsidR="00113634" w:rsidRPr="00BD7CEA" w:rsidRDefault="00113634" w:rsidP="00957DE8">
      <w:pPr>
        <w:pStyle w:val="ListParagraph"/>
      </w:pPr>
      <w:r w:rsidRPr="00BD7CEA">
        <w:rPr>
          <w:rFonts w:ascii="Tahoma" w:hAnsi="Tahoma" w:cs="Tahoma"/>
          <w:sz w:val="18"/>
          <w:szCs w:val="18"/>
        </w:rPr>
        <w:t>(qualora sia disponibile una nuova versione di uno qualsiasi dei prodotti summenzionati ai sensi del programma Volume Licensing in base al quale una società ha acquistato le licenze qualificanti prima della fine della copertura Software Assurance attiva per la licenza di EBS 2008 Standard, la società sarà idonea a</w:t>
      </w:r>
      <w:r w:rsidR="00C9349F" w:rsidRPr="00BD7CEA">
        <w:rPr>
          <w:rFonts w:ascii="Tahoma" w:hAnsi="Tahoma" w:cs="Tahoma"/>
          <w:sz w:val="18"/>
          <w:szCs w:val="18"/>
        </w:rPr>
        <w:t> </w:t>
      </w:r>
      <w:r w:rsidRPr="00BD7CEA">
        <w:rPr>
          <w:rFonts w:ascii="Tahoma" w:hAnsi="Tahoma" w:cs="Tahoma"/>
          <w:sz w:val="18"/>
          <w:szCs w:val="18"/>
        </w:rPr>
        <w:t>utilizzare la nuova versione al posto della versione specificata sopra).</w:t>
      </w:r>
    </w:p>
    <w:p w:rsidR="00113634" w:rsidRPr="00BD7CEA" w:rsidRDefault="00113634" w:rsidP="00957DE8">
      <w:pPr>
        <w:pStyle w:val="ListParagraph"/>
      </w:pPr>
    </w:p>
    <w:p w:rsidR="00113634" w:rsidRPr="00BD7CEA" w:rsidRDefault="00113634" w:rsidP="00957DE8">
      <w:pPr>
        <w:ind w:left="720"/>
      </w:pPr>
      <w:r w:rsidRPr="00BD7CEA">
        <w:rPr>
          <w:rFonts w:cs="Tahoma"/>
          <w:szCs w:val="18"/>
        </w:rPr>
        <w:t>Le licenze gratuite sono attestate dal Contratto Multilicenza della società e dalla presente nota relativa alle condizioni del prodotto.</w:t>
      </w:r>
      <w:r w:rsidR="008D782D" w:rsidRPr="00BD7CEA">
        <w:rPr>
          <w:rFonts w:cs="Tahoma"/>
          <w:szCs w:val="18"/>
        </w:rPr>
        <w:t xml:space="preserve"> </w:t>
      </w:r>
      <w:r w:rsidRPr="00BD7CEA">
        <w:rPr>
          <w:rFonts w:cs="Tahoma"/>
          <w:szCs w:val="18"/>
        </w:rPr>
        <w:t>L</w:t>
      </w:r>
      <w:r w:rsidR="007A1415" w:rsidRPr="00BD7CEA">
        <w:rPr>
          <w:rFonts w:cs="Tahoma"/>
          <w:szCs w:val="18"/>
        </w:rPr>
        <w:t>’</w:t>
      </w:r>
      <w:r w:rsidRPr="00BD7CEA">
        <w:rPr>
          <w:rFonts w:cs="Tahoma"/>
          <w:szCs w:val="18"/>
        </w:rPr>
        <w:t>utilizzo del software ai sensi delle licenze gratuite è soggetto alle condizioni del contratto della società e ai diritti di utilizzo del prodotto per i prodotti individuali.</w:t>
      </w:r>
      <w:r w:rsidR="008D782D" w:rsidRPr="00BD7CEA">
        <w:rPr>
          <w:rFonts w:cs="Tahoma"/>
          <w:szCs w:val="18"/>
        </w:rPr>
        <w:t xml:space="preserve"> </w:t>
      </w:r>
      <w:r w:rsidRPr="00BD7CEA">
        <w:rPr>
          <w:rFonts w:cs="Tahoma"/>
          <w:szCs w:val="18"/>
        </w:rPr>
        <w:t>Tranne per Forefront Protection for Exchange Server 2010, il diritto di utilizzo del software ai sensi delle licenze gratuite scadrà alla scadenza del diritto di utilizzo del software ai sensi delle licenze qualificanti.</w:t>
      </w:r>
      <w:r w:rsidR="008D782D" w:rsidRPr="00BD7CEA">
        <w:rPr>
          <w:rFonts w:cs="Tahoma"/>
          <w:szCs w:val="18"/>
        </w:rPr>
        <w:t xml:space="preserve"> </w:t>
      </w:r>
      <w:r w:rsidRPr="00BD7CEA">
        <w:rPr>
          <w:rFonts w:cs="Tahoma"/>
          <w:szCs w:val="18"/>
        </w:rPr>
        <w:t>Il diritto di utilizzo di Forefront Protection for Exchange Server 2010 scadrà alla scadenza della copertura Software Assurance sulle licenze qualificanti.</w:t>
      </w:r>
      <w:r w:rsidR="008D782D" w:rsidRPr="00BD7CEA">
        <w:rPr>
          <w:rFonts w:cs="Tahoma"/>
          <w:szCs w:val="18"/>
        </w:rPr>
        <w:t xml:space="preserve"> </w:t>
      </w:r>
      <w:r w:rsidRPr="00BD7CEA">
        <w:rPr>
          <w:rFonts w:cs="Tahoma"/>
          <w:szCs w:val="18"/>
        </w:rPr>
        <w:t>Le licenze gratuite non possono in nessun caso essere trasferite separatamente dalle licenze qualificanti.</w:t>
      </w:r>
    </w:p>
    <w:p w:rsidR="00113634" w:rsidRPr="00BD7CEA" w:rsidRDefault="00113634" w:rsidP="00E63984">
      <w:pPr>
        <w:pStyle w:val="ListParagraph"/>
        <w:ind w:left="1260"/>
      </w:pPr>
    </w:p>
    <w:p w:rsidR="00113634" w:rsidRPr="00BD7CEA" w:rsidRDefault="00113634" w:rsidP="00957DE8">
      <w:pPr>
        <w:tabs>
          <w:tab w:val="left" w:pos="1260"/>
        </w:tabs>
        <w:ind w:left="720"/>
      </w:pPr>
      <w:r w:rsidRPr="00BD7CEA">
        <w:rPr>
          <w:rFonts w:cs="Tahoma"/>
          <w:szCs w:val="18"/>
          <w:u w:val="single"/>
        </w:rPr>
        <w:lastRenderedPageBreak/>
        <w:t>Le società con Contratti Multilicenza per Windows Essential Business Server (EBS) 2008 Premium</w:t>
      </w:r>
      <w:r w:rsidRPr="00D50B85">
        <w:rPr>
          <w:rFonts w:cs="Tahoma"/>
          <w:szCs w:val="18"/>
        </w:rPr>
        <w:t xml:space="preserve"> </w:t>
      </w:r>
      <w:r w:rsidRPr="00BD7CEA">
        <w:rPr>
          <w:rFonts w:cs="Tahoma"/>
          <w:szCs w:val="18"/>
        </w:rPr>
        <w:t>sono anche idonee a ricevere le seguenti licenze gratuite per ogni licenza per EBS 2008 Premium con copertura Software Assurance attiva posseduta al 1 luglio 2010:</w:t>
      </w:r>
    </w:p>
    <w:p w:rsidR="00A6493D" w:rsidRPr="00BD7CEA" w:rsidRDefault="00A6493D" w:rsidP="00835398">
      <w:pPr>
        <w:tabs>
          <w:tab w:val="left" w:pos="1260"/>
        </w:tabs>
        <w:ind w:left="1260"/>
      </w:pPr>
    </w:p>
    <w:p w:rsidR="00113634" w:rsidRPr="00BD7CEA" w:rsidRDefault="00113634" w:rsidP="00835398">
      <w:pPr>
        <w:pStyle w:val="ListParagraph"/>
        <w:numPr>
          <w:ilvl w:val="0"/>
          <w:numId w:val="26"/>
        </w:numPr>
        <w:spacing w:after="40"/>
        <w:contextualSpacing w:val="0"/>
      </w:pPr>
      <w:r w:rsidRPr="00BD7CEA">
        <w:rPr>
          <w:rFonts w:ascii="Tahoma" w:hAnsi="Tahoma" w:cs="Tahoma"/>
          <w:sz w:val="18"/>
          <w:szCs w:val="18"/>
        </w:rPr>
        <w:t>4 licenze software per Windows Server 2008 R2 Standard</w:t>
      </w:r>
    </w:p>
    <w:p w:rsidR="00113634" w:rsidRPr="00BD7CEA" w:rsidRDefault="00113634" w:rsidP="00835398">
      <w:pPr>
        <w:pStyle w:val="ListParagraph"/>
        <w:numPr>
          <w:ilvl w:val="0"/>
          <w:numId w:val="26"/>
        </w:numPr>
        <w:spacing w:after="40"/>
        <w:contextualSpacing w:val="0"/>
      </w:pPr>
      <w:r w:rsidRPr="00BD7CEA">
        <w:rPr>
          <w:rFonts w:ascii="Tahoma" w:hAnsi="Tahoma" w:cs="Tahoma"/>
          <w:sz w:val="18"/>
          <w:szCs w:val="18"/>
        </w:rPr>
        <w:t>1 licenza software per SQL Server 2008 R2 Standard</w:t>
      </w:r>
    </w:p>
    <w:p w:rsidR="00113634" w:rsidRPr="00BD7CEA" w:rsidRDefault="00113634" w:rsidP="00835398">
      <w:pPr>
        <w:pStyle w:val="ListParagraph"/>
        <w:numPr>
          <w:ilvl w:val="0"/>
          <w:numId w:val="26"/>
        </w:numPr>
        <w:spacing w:after="40"/>
        <w:contextualSpacing w:val="0"/>
      </w:pPr>
      <w:r w:rsidRPr="00BD7CEA">
        <w:rPr>
          <w:rFonts w:ascii="Tahoma" w:hAnsi="Tahoma" w:cs="Tahoma"/>
          <w:sz w:val="18"/>
          <w:szCs w:val="18"/>
        </w:rPr>
        <w:t>2 licenze software per Exchange Server 2010 Standard</w:t>
      </w:r>
    </w:p>
    <w:p w:rsidR="00113634" w:rsidRPr="00BD7CEA" w:rsidRDefault="00113634" w:rsidP="00835398">
      <w:pPr>
        <w:pStyle w:val="ListParagraph"/>
        <w:numPr>
          <w:ilvl w:val="0"/>
          <w:numId w:val="26"/>
        </w:numPr>
        <w:spacing w:after="40"/>
        <w:contextualSpacing w:val="0"/>
      </w:pPr>
      <w:r w:rsidRPr="00BD7CEA">
        <w:rPr>
          <w:rFonts w:ascii="Tahoma" w:hAnsi="Tahoma" w:cs="Tahoma"/>
          <w:sz w:val="18"/>
          <w:szCs w:val="18"/>
        </w:rPr>
        <w:t>1 licenza software per System Center Essentials 2010 e 10 licenze di gestione Server e 50 di gestione Client</w:t>
      </w:r>
    </w:p>
    <w:p w:rsidR="00113634" w:rsidRPr="00BD7CEA" w:rsidRDefault="00113634" w:rsidP="00835398">
      <w:pPr>
        <w:pStyle w:val="ListParagraph"/>
        <w:numPr>
          <w:ilvl w:val="0"/>
          <w:numId w:val="26"/>
        </w:numPr>
        <w:contextualSpacing w:val="0"/>
      </w:pPr>
      <w:r w:rsidRPr="00BD7CEA">
        <w:rPr>
          <w:rFonts w:ascii="Tahoma" w:hAnsi="Tahoma" w:cs="Tahoma"/>
          <w:sz w:val="18"/>
          <w:szCs w:val="18"/>
        </w:rPr>
        <w:t>1 licenza software per Forefront Threat Management Gateway Medium Business Edition 2010</w:t>
      </w:r>
    </w:p>
    <w:p w:rsidR="00113634" w:rsidRPr="00BD7CEA" w:rsidRDefault="00113634" w:rsidP="00835398">
      <w:pPr>
        <w:tabs>
          <w:tab w:val="left" w:pos="1260"/>
        </w:tabs>
        <w:ind w:left="1260"/>
      </w:pPr>
    </w:p>
    <w:p w:rsidR="00113634" w:rsidRPr="00BD7CEA" w:rsidRDefault="00113634" w:rsidP="00957DE8">
      <w:pPr>
        <w:pStyle w:val="ListParagraph"/>
      </w:pPr>
      <w:r w:rsidRPr="00BD7CEA">
        <w:rPr>
          <w:rFonts w:ascii="Tahoma" w:hAnsi="Tahoma" w:cs="Tahoma"/>
          <w:sz w:val="18"/>
          <w:szCs w:val="18"/>
        </w:rPr>
        <w:t>(qualora sia disponibile una nuova versione di uno qualsiasi dei prodotti summenzionati ai sensi del programma Volume Licensing in base al quale una società ha acquistato le licenze qualificanti prima della fine della copertura Software Assurance attiva per la licenza di EBS 2008 Premium, la società sarà idonea a</w:t>
      </w:r>
      <w:r w:rsidR="00C9349F" w:rsidRPr="00BD7CEA">
        <w:rPr>
          <w:rFonts w:ascii="Tahoma" w:hAnsi="Tahoma" w:cs="Tahoma"/>
          <w:sz w:val="18"/>
          <w:szCs w:val="18"/>
        </w:rPr>
        <w:t> </w:t>
      </w:r>
      <w:r w:rsidRPr="00BD7CEA">
        <w:rPr>
          <w:rFonts w:ascii="Tahoma" w:hAnsi="Tahoma" w:cs="Tahoma"/>
          <w:sz w:val="18"/>
          <w:szCs w:val="18"/>
        </w:rPr>
        <w:t>utilizzare quella versione al posto della versione specificata sopra).</w:t>
      </w:r>
    </w:p>
    <w:p w:rsidR="00113634" w:rsidRPr="00BD7CEA" w:rsidRDefault="00113634" w:rsidP="00835398">
      <w:pPr>
        <w:tabs>
          <w:tab w:val="left" w:pos="1260"/>
        </w:tabs>
        <w:ind w:left="1260"/>
      </w:pPr>
    </w:p>
    <w:p w:rsidR="00113634" w:rsidRPr="00835398" w:rsidRDefault="00113634" w:rsidP="00957DE8">
      <w:pPr>
        <w:ind w:left="720"/>
        <w:rPr>
          <w:spacing w:val="-3"/>
        </w:rPr>
      </w:pPr>
      <w:r w:rsidRPr="00835398">
        <w:rPr>
          <w:rFonts w:cs="Tahoma"/>
          <w:spacing w:val="-3"/>
          <w:szCs w:val="18"/>
        </w:rPr>
        <w:t>Le licenze gratuite sono attestate dal Contratto Multilicenza della società e dalla presente nota relativa alle condizioni del prodotto.</w:t>
      </w:r>
      <w:r w:rsidR="008D782D" w:rsidRPr="00835398">
        <w:rPr>
          <w:rFonts w:cs="Tahoma"/>
          <w:spacing w:val="-3"/>
          <w:szCs w:val="18"/>
        </w:rPr>
        <w:t xml:space="preserve"> </w:t>
      </w:r>
      <w:r w:rsidRPr="00835398">
        <w:rPr>
          <w:rFonts w:cs="Tahoma"/>
          <w:spacing w:val="-3"/>
          <w:szCs w:val="18"/>
        </w:rPr>
        <w:t>L</w:t>
      </w:r>
      <w:r w:rsidR="007A1415" w:rsidRPr="00835398">
        <w:rPr>
          <w:rFonts w:cs="Tahoma"/>
          <w:spacing w:val="-3"/>
          <w:szCs w:val="18"/>
        </w:rPr>
        <w:t>’</w:t>
      </w:r>
      <w:r w:rsidRPr="00835398">
        <w:rPr>
          <w:rFonts w:cs="Tahoma"/>
          <w:spacing w:val="-3"/>
          <w:szCs w:val="18"/>
        </w:rPr>
        <w:t>utilizzo del software ai sensi delle licenze gratuite è soggetto alle condizioni del contratto della società e ai diritti di utilizzo del prodotto per i prodotti individuali.</w:t>
      </w:r>
      <w:r w:rsidR="008D782D" w:rsidRPr="00835398">
        <w:rPr>
          <w:rFonts w:cs="Tahoma"/>
          <w:spacing w:val="-3"/>
          <w:szCs w:val="18"/>
        </w:rPr>
        <w:t xml:space="preserve"> </w:t>
      </w:r>
      <w:r w:rsidRPr="00835398">
        <w:rPr>
          <w:rFonts w:cs="Tahoma"/>
          <w:spacing w:val="-3"/>
          <w:szCs w:val="18"/>
        </w:rPr>
        <w:t>Tranne per Forefront Protection for Exchange Server 2010, il diritto di utilizzo del software ai sensi delle licenze gratuite scadrà alla scadenza del diritto di utilizzo del software ai sensi delle licenze qualificanti.</w:t>
      </w:r>
      <w:r w:rsidR="008D782D" w:rsidRPr="00835398">
        <w:rPr>
          <w:rFonts w:cs="Tahoma"/>
          <w:spacing w:val="-3"/>
          <w:szCs w:val="18"/>
        </w:rPr>
        <w:t xml:space="preserve"> </w:t>
      </w:r>
      <w:r w:rsidRPr="00835398">
        <w:rPr>
          <w:rFonts w:cs="Tahoma"/>
          <w:spacing w:val="-3"/>
          <w:szCs w:val="18"/>
        </w:rPr>
        <w:t>Il diritto di utilizzo di Forefront Protection for Exchange Server 2010 scadrà alla scadenza della copertura Software Assurance sulle licenze qualificanti.</w:t>
      </w:r>
      <w:r w:rsidR="008D782D" w:rsidRPr="00835398">
        <w:rPr>
          <w:rFonts w:cs="Tahoma"/>
          <w:spacing w:val="-3"/>
          <w:szCs w:val="18"/>
        </w:rPr>
        <w:t xml:space="preserve"> </w:t>
      </w:r>
      <w:r w:rsidRPr="00835398">
        <w:rPr>
          <w:rFonts w:cs="Tahoma"/>
          <w:spacing w:val="-3"/>
          <w:szCs w:val="18"/>
        </w:rPr>
        <w:t>Le licenze gratuite non possono in nessun caso essere trasferite separatamente dalle licenze qualificanti.</w:t>
      </w:r>
    </w:p>
    <w:p w:rsidR="00113634" w:rsidRPr="00BD7CEA" w:rsidRDefault="00113634" w:rsidP="00835398">
      <w:pPr>
        <w:tabs>
          <w:tab w:val="left" w:pos="1260"/>
        </w:tabs>
        <w:ind w:left="1260"/>
      </w:pPr>
    </w:p>
    <w:p w:rsidR="00113634" w:rsidRPr="00BD7CEA" w:rsidRDefault="00113634" w:rsidP="00957DE8">
      <w:pPr>
        <w:pStyle w:val="ListParagraph"/>
        <w:spacing w:after="60"/>
        <w:contextualSpacing w:val="0"/>
      </w:pPr>
      <w:r w:rsidRPr="00BD7CEA">
        <w:rPr>
          <w:rFonts w:ascii="Tahoma" w:hAnsi="Tahoma" w:cs="Tahoma"/>
          <w:b/>
          <w:sz w:val="18"/>
          <w:szCs w:val="18"/>
        </w:rPr>
        <w:t xml:space="preserve">Diritti di utilizzo aggiuntivi per le licenze CAL per Windows Essential </w:t>
      </w:r>
      <w:r w:rsidR="00C9349F" w:rsidRPr="00BD7CEA">
        <w:rPr>
          <w:rFonts w:ascii="Tahoma" w:hAnsi="Tahoma" w:cs="Tahoma"/>
          <w:b/>
          <w:sz w:val="18"/>
          <w:szCs w:val="18"/>
        </w:rPr>
        <w:br/>
      </w:r>
      <w:r w:rsidRPr="00BD7CEA">
        <w:rPr>
          <w:rFonts w:ascii="Tahoma" w:hAnsi="Tahoma" w:cs="Tahoma"/>
          <w:b/>
          <w:sz w:val="18"/>
          <w:szCs w:val="18"/>
        </w:rPr>
        <w:t>Business Server (EBS) 2008</w:t>
      </w:r>
    </w:p>
    <w:p w:rsidR="00113634" w:rsidRPr="00835398" w:rsidRDefault="00113634" w:rsidP="00957DE8">
      <w:pPr>
        <w:ind w:left="720"/>
        <w:rPr>
          <w:spacing w:val="-2"/>
        </w:rPr>
      </w:pPr>
      <w:r w:rsidRPr="00835398">
        <w:rPr>
          <w:rFonts w:cs="Tahoma"/>
          <w:spacing w:val="-2"/>
          <w:szCs w:val="18"/>
        </w:rPr>
        <w:t>Nonostante eventuali disposizioni contrarie dei diritti di utilizzo del prodotto per Windows Server 2008 ed Exchange Server 2007 Standard, le società possono utilizzare EBS 2008 CAL Suite ed EBS 2008 CAL Suite per Utenti o Dispositivi Premium per accedere alle istanze in licenza del software all</w:t>
      </w:r>
      <w:r w:rsidR="007A1415" w:rsidRPr="00835398">
        <w:rPr>
          <w:rFonts w:cs="Tahoma"/>
          <w:spacing w:val="-2"/>
          <w:szCs w:val="18"/>
        </w:rPr>
        <w:t>’</w:t>
      </w:r>
      <w:r w:rsidRPr="00835398">
        <w:rPr>
          <w:rFonts w:cs="Tahoma"/>
          <w:spacing w:val="-2"/>
          <w:szCs w:val="18"/>
        </w:rPr>
        <w:t>interno o all</w:t>
      </w:r>
      <w:r w:rsidR="007A1415" w:rsidRPr="00835398">
        <w:rPr>
          <w:rFonts w:cs="Tahoma"/>
          <w:spacing w:val="-2"/>
          <w:szCs w:val="18"/>
        </w:rPr>
        <w:t>’</w:t>
      </w:r>
      <w:r w:rsidRPr="00835398">
        <w:rPr>
          <w:rFonts w:cs="Tahoma"/>
          <w:spacing w:val="-2"/>
          <w:szCs w:val="18"/>
        </w:rPr>
        <w:t>esterno del loro dominio EBS 2008. Inoltre, nonostante eventuali disposizioni contrarie dei diritti di utilizzo del prodotto per SQL Server 2008 Standard, le società possono utilizzare EBS 2008 CAL Suite per Utenti o Dispositivi Premium per accedere alle istanze in licenza di SQL Server 2008 Standard all</w:t>
      </w:r>
      <w:r w:rsidR="007A1415" w:rsidRPr="00835398">
        <w:rPr>
          <w:rFonts w:cs="Tahoma"/>
          <w:spacing w:val="-2"/>
          <w:szCs w:val="18"/>
        </w:rPr>
        <w:t>’</w:t>
      </w:r>
      <w:r w:rsidRPr="00835398">
        <w:rPr>
          <w:rFonts w:cs="Tahoma"/>
          <w:spacing w:val="-2"/>
          <w:szCs w:val="18"/>
        </w:rPr>
        <w:t>interno o all</w:t>
      </w:r>
      <w:r w:rsidR="007A1415" w:rsidRPr="00835398">
        <w:rPr>
          <w:rFonts w:cs="Tahoma"/>
          <w:spacing w:val="-2"/>
          <w:szCs w:val="18"/>
        </w:rPr>
        <w:t>’</w:t>
      </w:r>
      <w:r w:rsidRPr="00835398">
        <w:rPr>
          <w:rFonts w:cs="Tahoma"/>
          <w:spacing w:val="-2"/>
          <w:szCs w:val="18"/>
        </w:rPr>
        <w:t>esterno del loro dominio EBS 2008.</w:t>
      </w:r>
    </w:p>
    <w:p w:rsidR="00113634" w:rsidRPr="00BD7CEA" w:rsidRDefault="00113634" w:rsidP="00EF2279">
      <w:pPr>
        <w:tabs>
          <w:tab w:val="left" w:pos="1260"/>
        </w:tabs>
        <w:ind w:left="1260"/>
      </w:pPr>
    </w:p>
    <w:p w:rsidR="00113634" w:rsidRPr="00BD7CEA" w:rsidRDefault="00113634" w:rsidP="00957DE8">
      <w:pPr>
        <w:tabs>
          <w:tab w:val="left" w:pos="1260"/>
        </w:tabs>
        <w:ind w:left="720"/>
      </w:pPr>
      <w:r w:rsidRPr="00BD7CEA">
        <w:rPr>
          <w:rFonts w:cs="Tahoma"/>
          <w:szCs w:val="18"/>
        </w:rPr>
        <w:t>Per le società con copertura Software Assurance attiva per CAL per Windows Essential Business Server (EBS) 2008 al 1 luglio 2010 è previsto quanto segue:</w:t>
      </w:r>
    </w:p>
    <w:p w:rsidR="00A6493D" w:rsidRPr="00BD7CEA" w:rsidRDefault="00A6493D" w:rsidP="00835398">
      <w:pPr>
        <w:tabs>
          <w:tab w:val="left" w:pos="1260"/>
        </w:tabs>
        <w:ind w:left="1260"/>
      </w:pPr>
    </w:p>
    <w:p w:rsidR="00113634" w:rsidRPr="00BD7CEA" w:rsidRDefault="00113634" w:rsidP="007358C5">
      <w:pPr>
        <w:pStyle w:val="ListParagraph"/>
        <w:numPr>
          <w:ilvl w:val="0"/>
          <w:numId w:val="119"/>
        </w:numPr>
        <w:tabs>
          <w:tab w:val="left" w:pos="1440"/>
        </w:tabs>
        <w:spacing w:after="60"/>
        <w:contextualSpacing w:val="0"/>
      </w:pPr>
      <w:r w:rsidRPr="00BD7CEA">
        <w:rPr>
          <w:rFonts w:ascii="Tahoma" w:hAnsi="Tahoma" w:cs="Tahoma"/>
          <w:sz w:val="18"/>
          <w:szCs w:val="18"/>
        </w:rPr>
        <w:t>Per ogni EBS 2008 CAL Suite con copertura Software Assurance attiva in data 1 luglio 2010 in possesso di una società, tale società sarà idonea a ricevere le seguenti licenze gratuite:</w:t>
      </w:r>
    </w:p>
    <w:p w:rsidR="00113634" w:rsidRPr="00BD7CEA" w:rsidRDefault="00113634" w:rsidP="007358C5">
      <w:pPr>
        <w:pStyle w:val="ListParagraph"/>
        <w:numPr>
          <w:ilvl w:val="1"/>
          <w:numId w:val="120"/>
        </w:numPr>
        <w:tabs>
          <w:tab w:val="clear" w:pos="720"/>
        </w:tabs>
        <w:spacing w:after="60"/>
        <w:ind w:left="1980"/>
        <w:contextualSpacing w:val="0"/>
      </w:pPr>
      <w:r w:rsidRPr="00BD7CEA">
        <w:rPr>
          <w:rFonts w:ascii="Tahoma" w:hAnsi="Tahoma" w:cs="Tahoma"/>
          <w:sz w:val="18"/>
          <w:szCs w:val="18"/>
        </w:rPr>
        <w:t>1 licenza CAL per Windows Server 2008</w:t>
      </w:r>
    </w:p>
    <w:p w:rsidR="00113634" w:rsidRPr="00BD7CEA" w:rsidRDefault="00113634" w:rsidP="007358C5">
      <w:pPr>
        <w:pStyle w:val="ListParagraph"/>
        <w:numPr>
          <w:ilvl w:val="1"/>
          <w:numId w:val="120"/>
        </w:numPr>
        <w:tabs>
          <w:tab w:val="clear" w:pos="720"/>
        </w:tabs>
        <w:spacing w:after="60"/>
        <w:ind w:left="1980"/>
        <w:contextualSpacing w:val="0"/>
      </w:pPr>
      <w:r w:rsidRPr="00BD7CEA">
        <w:rPr>
          <w:rFonts w:ascii="Tahoma" w:hAnsi="Tahoma" w:cs="Tahoma"/>
          <w:sz w:val="18"/>
          <w:szCs w:val="18"/>
        </w:rPr>
        <w:t>1 Standard CAL per Exchange Server 2010</w:t>
      </w:r>
    </w:p>
    <w:p w:rsidR="00113634" w:rsidRPr="00BD7CEA" w:rsidRDefault="00113634" w:rsidP="00835398">
      <w:pPr>
        <w:pStyle w:val="ListParagraph"/>
        <w:numPr>
          <w:ilvl w:val="1"/>
          <w:numId w:val="120"/>
        </w:numPr>
        <w:tabs>
          <w:tab w:val="clear" w:pos="720"/>
        </w:tabs>
        <w:ind w:left="1987"/>
        <w:contextualSpacing w:val="0"/>
      </w:pPr>
      <w:r w:rsidRPr="00BD7CEA">
        <w:rPr>
          <w:rFonts w:ascii="Tahoma" w:hAnsi="Tahoma" w:cs="Tahoma"/>
          <w:sz w:val="18"/>
          <w:szCs w:val="18"/>
        </w:rPr>
        <w:t>1 licenza “Subscription” per utente o dispositivo per Forefront Protection for Exchange Server 2010</w:t>
      </w:r>
    </w:p>
    <w:p w:rsidR="00A6493D" w:rsidRPr="00835398" w:rsidRDefault="00A6493D" w:rsidP="00835398">
      <w:pPr>
        <w:tabs>
          <w:tab w:val="left" w:pos="1260"/>
        </w:tabs>
        <w:ind w:left="1260"/>
      </w:pPr>
    </w:p>
    <w:p w:rsidR="00113634" w:rsidRPr="00BD7CEA" w:rsidRDefault="00113634" w:rsidP="007358C5">
      <w:pPr>
        <w:pStyle w:val="ListParagraph"/>
        <w:numPr>
          <w:ilvl w:val="0"/>
          <w:numId w:val="119"/>
        </w:numPr>
        <w:tabs>
          <w:tab w:val="left" w:pos="1440"/>
        </w:tabs>
        <w:spacing w:after="60"/>
        <w:contextualSpacing w:val="0"/>
      </w:pPr>
      <w:r w:rsidRPr="00BD7CEA">
        <w:rPr>
          <w:rFonts w:ascii="Tahoma" w:hAnsi="Tahoma" w:cs="Tahoma"/>
          <w:sz w:val="18"/>
          <w:szCs w:val="18"/>
        </w:rPr>
        <w:t>Per ogni EBS 2008 CAL Suite per Utenti e Dispositivi Premium con copertura Software Assurance attiva in data 1 luglio 2010 in possesso di una società, tale società sarà idonea a ricevere le</w:t>
      </w:r>
      <w:r w:rsidR="00C9349F" w:rsidRPr="00BD7CEA">
        <w:rPr>
          <w:rFonts w:ascii="Tahoma" w:hAnsi="Tahoma" w:cs="Tahoma"/>
          <w:sz w:val="18"/>
          <w:szCs w:val="18"/>
        </w:rPr>
        <w:t> </w:t>
      </w:r>
      <w:r w:rsidRPr="00BD7CEA">
        <w:rPr>
          <w:rFonts w:ascii="Tahoma" w:hAnsi="Tahoma" w:cs="Tahoma"/>
          <w:sz w:val="18"/>
          <w:szCs w:val="18"/>
        </w:rPr>
        <w:t>seguenti licenze gratuite:</w:t>
      </w:r>
    </w:p>
    <w:p w:rsidR="00113634" w:rsidRPr="00BD7CEA" w:rsidRDefault="00113634" w:rsidP="007358C5">
      <w:pPr>
        <w:pStyle w:val="ListParagraph"/>
        <w:numPr>
          <w:ilvl w:val="1"/>
          <w:numId w:val="120"/>
        </w:numPr>
        <w:tabs>
          <w:tab w:val="clear" w:pos="720"/>
        </w:tabs>
        <w:spacing w:after="60"/>
        <w:ind w:left="1980"/>
        <w:contextualSpacing w:val="0"/>
      </w:pPr>
      <w:r w:rsidRPr="00BD7CEA">
        <w:rPr>
          <w:rFonts w:ascii="Tahoma" w:hAnsi="Tahoma" w:cs="Tahoma"/>
          <w:sz w:val="18"/>
          <w:szCs w:val="18"/>
        </w:rPr>
        <w:t>licenza CAL per Windows Server 2008</w:t>
      </w:r>
    </w:p>
    <w:p w:rsidR="00113634" w:rsidRPr="00BD7CEA" w:rsidRDefault="00113634" w:rsidP="007358C5">
      <w:pPr>
        <w:pStyle w:val="ListParagraph"/>
        <w:numPr>
          <w:ilvl w:val="1"/>
          <w:numId w:val="120"/>
        </w:numPr>
        <w:tabs>
          <w:tab w:val="clear" w:pos="720"/>
        </w:tabs>
        <w:spacing w:after="60"/>
        <w:ind w:left="1980"/>
        <w:contextualSpacing w:val="0"/>
      </w:pPr>
      <w:r w:rsidRPr="00BD7CEA">
        <w:rPr>
          <w:rFonts w:ascii="Tahoma" w:hAnsi="Tahoma" w:cs="Tahoma"/>
          <w:sz w:val="18"/>
          <w:szCs w:val="18"/>
        </w:rPr>
        <w:t>Standard CAL per Exchange Server 2010</w:t>
      </w:r>
    </w:p>
    <w:p w:rsidR="002512D3" w:rsidRPr="00BD7CEA" w:rsidRDefault="00113634" w:rsidP="007358C5">
      <w:pPr>
        <w:pStyle w:val="ListParagraph"/>
        <w:numPr>
          <w:ilvl w:val="1"/>
          <w:numId w:val="120"/>
        </w:numPr>
        <w:tabs>
          <w:tab w:val="clear" w:pos="720"/>
        </w:tabs>
        <w:spacing w:after="60"/>
        <w:ind w:left="1980"/>
        <w:contextualSpacing w:val="0"/>
      </w:pPr>
      <w:r w:rsidRPr="00BD7CEA">
        <w:rPr>
          <w:rFonts w:ascii="Tahoma" w:hAnsi="Tahoma" w:cs="Tahoma"/>
          <w:sz w:val="18"/>
          <w:szCs w:val="18"/>
        </w:rPr>
        <w:t>licenza CAL per SQL Server 2008 R2</w:t>
      </w:r>
    </w:p>
    <w:p w:rsidR="00113634" w:rsidRPr="00BD7CEA" w:rsidRDefault="00113634" w:rsidP="007358C5">
      <w:pPr>
        <w:pStyle w:val="ListParagraph"/>
        <w:numPr>
          <w:ilvl w:val="1"/>
          <w:numId w:val="120"/>
        </w:numPr>
        <w:tabs>
          <w:tab w:val="clear" w:pos="720"/>
        </w:tabs>
        <w:spacing w:after="60"/>
        <w:ind w:left="1980"/>
        <w:contextualSpacing w:val="0"/>
      </w:pPr>
      <w:r w:rsidRPr="00BD7CEA">
        <w:rPr>
          <w:rFonts w:ascii="Tahoma" w:hAnsi="Tahoma" w:cs="Tahoma"/>
          <w:sz w:val="18"/>
          <w:szCs w:val="18"/>
        </w:rPr>
        <w:t>1 licenza “Subscription” per utente o dispositivo per Forefront Protection for Exchange Server 2010</w:t>
      </w:r>
    </w:p>
    <w:p w:rsidR="00113634" w:rsidRPr="00BD7CEA" w:rsidRDefault="00113634" w:rsidP="00A434A4">
      <w:pPr>
        <w:pStyle w:val="ListParagraph"/>
        <w:spacing w:after="60"/>
        <w:ind w:left="1980"/>
        <w:contextualSpacing w:val="0"/>
        <w:rPr>
          <w:spacing w:val="-2"/>
        </w:rPr>
      </w:pPr>
      <w:r w:rsidRPr="00BD7CEA">
        <w:rPr>
          <w:rFonts w:ascii="Tahoma" w:hAnsi="Tahoma" w:cs="Tahoma"/>
          <w:spacing w:val="-2"/>
          <w:sz w:val="18"/>
          <w:szCs w:val="18"/>
        </w:rPr>
        <w:t>(qualora sia disponibile una nuova versione di tali prodotti ai sensi del programma di Contratti Multilicenza in base al quale una società ha acquistato le licenze qualificanti prima della fine della copertura Software Assurance attiva per la licenza CAL qualificante per EBS 2008, la società sarà idonea a ricevere invece le licenze CAL corrispondenti a quella versione).</w:t>
      </w:r>
    </w:p>
    <w:p w:rsidR="001E3F07" w:rsidRPr="00BD7CEA" w:rsidRDefault="00113634" w:rsidP="00A434A4">
      <w:pPr>
        <w:ind w:left="720"/>
      </w:pPr>
      <w:r w:rsidRPr="00BD7CEA">
        <w:rPr>
          <w:rFonts w:cs="Tahoma"/>
          <w:szCs w:val="18"/>
        </w:rPr>
        <w:lastRenderedPageBreak/>
        <w:t>Le CAL gratuite sono attestate dal contratto multilicenza (Volume Licensing) della società e dalla presente nota relativa alle condizioni del prodotto.</w:t>
      </w:r>
      <w:r w:rsidR="008D782D" w:rsidRPr="00BD7CEA">
        <w:rPr>
          <w:rFonts w:cs="Tahoma"/>
          <w:szCs w:val="18"/>
        </w:rPr>
        <w:t xml:space="preserve"> </w:t>
      </w:r>
      <w:r w:rsidRPr="00BD7CEA">
        <w:rPr>
          <w:rFonts w:cs="Tahoma"/>
          <w:szCs w:val="18"/>
        </w:rPr>
        <w:t>L</w:t>
      </w:r>
      <w:r w:rsidR="007A1415" w:rsidRPr="00BD7CEA">
        <w:rPr>
          <w:rFonts w:cs="Tahoma"/>
          <w:szCs w:val="18"/>
        </w:rPr>
        <w:t>’</w:t>
      </w:r>
      <w:r w:rsidRPr="00BD7CEA">
        <w:rPr>
          <w:rFonts w:cs="Tahoma"/>
          <w:szCs w:val="18"/>
        </w:rPr>
        <w:t>utilizzo del software ai sensi delle CAL gratuite è soggetto alle condizioni del contratto della società e ai diritti di utilizzo del prodotto per i prodotti individuali.</w:t>
      </w:r>
      <w:r w:rsidR="008D782D" w:rsidRPr="00BD7CEA">
        <w:rPr>
          <w:rFonts w:cs="Tahoma"/>
          <w:szCs w:val="18"/>
        </w:rPr>
        <w:t xml:space="preserve"> </w:t>
      </w:r>
      <w:r w:rsidRPr="00BD7CEA">
        <w:rPr>
          <w:rFonts w:cs="Tahoma"/>
          <w:szCs w:val="18"/>
        </w:rPr>
        <w:t>Il diritto di utilizzo del software ai sensi delle CAL gratuite scadrà alla scadenza del diritto di utilizzo del software ai sensi delle CAL qualificanti.</w:t>
      </w:r>
      <w:r w:rsidR="008D782D" w:rsidRPr="00BD7CEA">
        <w:rPr>
          <w:rFonts w:cs="Tahoma"/>
          <w:szCs w:val="18"/>
        </w:rPr>
        <w:t xml:space="preserve"> </w:t>
      </w:r>
      <w:r w:rsidRPr="00BD7CEA">
        <w:rPr>
          <w:rFonts w:cs="Tahoma"/>
          <w:szCs w:val="18"/>
        </w:rPr>
        <w:t>Le CAL gratuite non possono in nessun caso essere trasferite separatamente dalle CAL qualificanti.</w:t>
      </w:r>
      <w:bookmarkStart w:id="1556" w:name="_107_Windows_Azure"/>
      <w:bookmarkEnd w:id="1556"/>
    </w:p>
    <w:p w:rsidR="00113634" w:rsidRPr="00BD7CEA" w:rsidRDefault="00113634" w:rsidP="00113634"/>
    <w:p w:rsidR="00DE0D10" w:rsidRPr="00BD7CEA" w:rsidRDefault="00DE0D10" w:rsidP="00957DE8"/>
    <w:p w:rsidR="00023FE7" w:rsidRPr="00BD7CEA" w:rsidRDefault="00F66FB0" w:rsidP="00EF2279">
      <w:pPr>
        <w:pStyle w:val="Heading3"/>
      </w:pPr>
      <w:bookmarkStart w:id="1557" w:name="_99_Windows_HPC"/>
      <w:bookmarkStart w:id="1558" w:name="Srv_109HPCServer2008_R2Suite"/>
      <w:bookmarkStart w:id="1559" w:name="_Toc336338365"/>
      <w:bookmarkStart w:id="1560" w:name="_Toc353376137"/>
      <w:bookmarkStart w:id="1561" w:name="Srv_96WindowsHighPerfCompSvr08"/>
      <w:bookmarkStart w:id="1562" w:name="Srv_94HPCServer2008_R2Suite"/>
      <w:bookmarkStart w:id="1563" w:name="Srv_106HPCServer2008_R2Suite"/>
      <w:bookmarkEnd w:id="1557"/>
      <w:r w:rsidRPr="00BD7CEA">
        <w:rPr>
          <w:rFonts w:ascii="Tahoma" w:hAnsi="Tahoma"/>
          <w:caps/>
          <w:color w:val="F66400"/>
          <w:sz w:val="22"/>
          <w:vertAlign w:val="superscript"/>
        </w:rPr>
        <w:t xml:space="preserve">99 </w:t>
      </w:r>
      <w:r w:rsidRPr="00BD7CEA">
        <w:rPr>
          <w:rFonts w:ascii="Tahoma" w:hAnsi="Tahoma"/>
          <w:color w:val="F66400"/>
          <w:sz w:val="22"/>
        </w:rPr>
        <w:t>Windows HPC Server 2008 R2 Suite</w:t>
      </w:r>
      <w:bookmarkEnd w:id="1558"/>
      <w:bookmarkEnd w:id="1559"/>
      <w:bookmarkEnd w:id="1560"/>
    </w:p>
    <w:bookmarkEnd w:id="1561"/>
    <w:bookmarkEnd w:id="1562"/>
    <w:bookmarkEnd w:id="1563"/>
    <w:p w:rsidR="00023FE7" w:rsidRPr="00BD7CEA" w:rsidRDefault="00023FE7" w:rsidP="00A434A4">
      <w:pPr>
        <w:pStyle w:val="EndnoteText"/>
      </w:pPr>
    </w:p>
    <w:p w:rsidR="00A434A4" w:rsidRPr="00BD7CEA" w:rsidRDefault="001978C7" w:rsidP="00A434A4">
      <w:pPr>
        <w:spacing w:after="60"/>
        <w:ind w:left="720"/>
      </w:pPr>
      <w:r w:rsidRPr="00BD7CEA">
        <w:rPr>
          <w:b/>
          <w:color w:val="000000"/>
        </w:rPr>
        <w:t>Concessioni di licenza associate alla fine del ciclo di vita di HPC Server Suite</w:t>
      </w:r>
    </w:p>
    <w:p w:rsidR="001978C7" w:rsidRPr="00BD7CEA" w:rsidRDefault="001978C7" w:rsidP="00A434A4">
      <w:pPr>
        <w:ind w:left="720"/>
      </w:pPr>
      <w:r w:rsidRPr="00BD7CEA">
        <w:rPr>
          <w:color w:val="000000"/>
        </w:rPr>
        <w:t>HPC Server Suite 2008 R2 sarà l</w:t>
      </w:r>
      <w:r w:rsidR="007A1415" w:rsidRPr="00BD7CEA">
        <w:rPr>
          <w:color w:val="000000"/>
        </w:rPr>
        <w:t>’</w:t>
      </w:r>
      <w:r w:rsidRPr="00BD7CEA">
        <w:rPr>
          <w:color w:val="000000"/>
        </w:rPr>
        <w:t xml:space="preserve">ultima versione di HPC Server Suite. Le società titolari di contratti multilicenza con copertura Software Assurance attiva per le licenze per HPC Server Suite in data </w:t>
      </w:r>
      <w:r w:rsidR="00AB7951">
        <w:rPr>
          <w:color w:val="000000"/>
        </w:rPr>
        <w:br/>
      </w:r>
      <w:r w:rsidRPr="00BD7CEA">
        <w:rPr>
          <w:color w:val="000000"/>
        </w:rPr>
        <w:t>1 settembre 2012 o in occasione della prima disponibilità di Windows Server 2012 per il download dal sito</w:t>
      </w:r>
      <w:r w:rsidR="00AB7951">
        <w:rPr>
          <w:color w:val="000000"/>
        </w:rPr>
        <w:t> </w:t>
      </w:r>
      <w:r w:rsidRPr="00BD7CEA">
        <w:rPr>
          <w:color w:val="000000"/>
        </w:rPr>
        <w:t>Web Volume Licensing Service Center, a seconda di quale evento si verificherà per primo, (“Licenze Qualificanti”) saranno autorizzate a</w:t>
      </w:r>
      <w:r w:rsidRPr="00BD7CEA">
        <w:rPr>
          <w:rFonts w:eastAsia="Calibri" w:cs="Tahoma"/>
          <w:szCs w:val="18"/>
        </w:rPr>
        <w:t xml:space="preserve"> effettuare l</w:t>
      </w:r>
      <w:r w:rsidR="007A1415" w:rsidRPr="00BD7CEA">
        <w:rPr>
          <w:rFonts w:eastAsia="Calibri" w:cs="Tahoma"/>
          <w:szCs w:val="18"/>
        </w:rPr>
        <w:t>’</w:t>
      </w:r>
      <w:r w:rsidRPr="00BD7CEA">
        <w:rPr>
          <w:rFonts w:eastAsia="Calibri" w:cs="Tahoma"/>
          <w:szCs w:val="18"/>
        </w:rPr>
        <w:t>aggiornamento al software Windows Server 2012 Standard e</w:t>
      </w:r>
      <w:r w:rsidR="00AB7951">
        <w:rPr>
          <w:rFonts w:eastAsia="Calibri" w:cs="Tahoma"/>
          <w:szCs w:val="18"/>
        </w:rPr>
        <w:t> </w:t>
      </w:r>
      <w:r w:rsidRPr="00BD7CEA">
        <w:rPr>
          <w:rFonts w:eastAsia="Calibri" w:cs="Tahoma"/>
          <w:szCs w:val="18"/>
        </w:rPr>
        <w:t>a utilizzarlo al posto di HPC Server Suite. Per agevolare tale aggiornamento, per ogni Licenza Qualificante in suo possesso, alla società verrà concessa una licenza per processore per Windows Server 2012 Standard in base alla disponibilità di Windows Server 2012.</w:t>
      </w:r>
    </w:p>
    <w:p w:rsidR="00A434A4" w:rsidRPr="00BD7CEA" w:rsidRDefault="00A434A4" w:rsidP="00A434A4">
      <w:pPr>
        <w:ind w:left="720"/>
      </w:pPr>
    </w:p>
    <w:p w:rsidR="001978C7" w:rsidRPr="00BD7CEA" w:rsidRDefault="001978C7" w:rsidP="007358C5">
      <w:pPr>
        <w:numPr>
          <w:ilvl w:val="0"/>
          <w:numId w:val="51"/>
        </w:numPr>
        <w:tabs>
          <w:tab w:val="left" w:pos="1440"/>
        </w:tabs>
        <w:spacing w:after="60"/>
        <w:ind w:left="1440"/>
      </w:pPr>
      <w:r w:rsidRPr="00BD7CEA">
        <w:rPr>
          <w:rFonts w:eastAsia="Calibri" w:cs="Tahoma"/>
          <w:szCs w:val="18"/>
        </w:rPr>
        <w:t>Le licenze acquistate ai sensi della presente concessione includono la copertura Software Assurance.</w:t>
      </w:r>
      <w:r w:rsidR="008D782D" w:rsidRPr="00BD7CEA">
        <w:rPr>
          <w:rFonts w:eastAsia="Calibri" w:cs="Tahoma"/>
          <w:szCs w:val="18"/>
        </w:rPr>
        <w:t xml:space="preserve"> </w:t>
      </w:r>
      <w:r w:rsidRPr="00BD7CEA">
        <w:rPr>
          <w:rFonts w:eastAsia="Calibri" w:cs="Tahoma"/>
          <w:szCs w:val="18"/>
        </w:rPr>
        <w:t>Tale copertura cessa alla scadenza della corrispondente copertura per le Licenze Qualificanti.</w:t>
      </w:r>
    </w:p>
    <w:p w:rsidR="001978C7" w:rsidRPr="00BD7CEA" w:rsidRDefault="001978C7" w:rsidP="007358C5">
      <w:pPr>
        <w:numPr>
          <w:ilvl w:val="0"/>
          <w:numId w:val="51"/>
        </w:numPr>
        <w:tabs>
          <w:tab w:val="left" w:pos="1440"/>
        </w:tabs>
        <w:spacing w:after="60"/>
        <w:ind w:left="1440"/>
      </w:pPr>
      <w:r w:rsidRPr="00BD7CEA">
        <w:rPr>
          <w:rFonts w:eastAsia="Calibri" w:cs="Tahoma"/>
          <w:szCs w:val="18"/>
        </w:rPr>
        <w:t>Nel caso in cui le società abbiano acquistato diritti perpetui di utilizzo del software ai sensi di Licenze Qualificanti, le licenze acquistate ai sensi della presente concessione saranno anch</w:t>
      </w:r>
      <w:r w:rsidR="007A1415" w:rsidRPr="00BD7CEA">
        <w:rPr>
          <w:rFonts w:eastAsia="Calibri" w:cs="Tahoma"/>
          <w:szCs w:val="18"/>
        </w:rPr>
        <w:t>’</w:t>
      </w:r>
      <w:r w:rsidRPr="00BD7CEA">
        <w:rPr>
          <w:rFonts w:eastAsia="Calibri" w:cs="Tahoma"/>
          <w:szCs w:val="18"/>
        </w:rPr>
        <w:t>esse perpetue; diversamente, le licenze acquistate ai sensi della presente concessione cesseranno alla scadenza delle Licenze Qualificanti sottostanti.</w:t>
      </w:r>
    </w:p>
    <w:p w:rsidR="001978C7" w:rsidRPr="00BD7CEA" w:rsidRDefault="001978C7" w:rsidP="007358C5">
      <w:pPr>
        <w:numPr>
          <w:ilvl w:val="0"/>
          <w:numId w:val="51"/>
        </w:numPr>
        <w:tabs>
          <w:tab w:val="left" w:pos="1440"/>
        </w:tabs>
        <w:spacing w:after="60"/>
        <w:ind w:left="1440"/>
      </w:pPr>
      <w:r w:rsidRPr="00BD7CEA">
        <w:rPr>
          <w:rFonts w:eastAsia="Calibri" w:cs="Tahoma"/>
          <w:szCs w:val="18"/>
        </w:rPr>
        <w:t>Eseguendo l</w:t>
      </w:r>
      <w:r w:rsidR="007A1415" w:rsidRPr="00BD7CEA">
        <w:rPr>
          <w:rFonts w:eastAsia="Calibri" w:cs="Tahoma"/>
          <w:szCs w:val="18"/>
        </w:rPr>
        <w:t>’</w:t>
      </w:r>
      <w:r w:rsidRPr="00BD7CEA">
        <w:rPr>
          <w:rFonts w:eastAsia="Calibri" w:cs="Tahoma"/>
          <w:szCs w:val="18"/>
        </w:rPr>
        <w:t>aggiornamento a Windows Server 2012 Standard ai sensi della presente concessione, le Licenze Qualificanti in essere per HPC Server Suite non saranno più valide.</w:t>
      </w:r>
    </w:p>
    <w:p w:rsidR="001978C7" w:rsidRPr="00BD7CEA" w:rsidRDefault="001978C7" w:rsidP="007358C5">
      <w:pPr>
        <w:numPr>
          <w:ilvl w:val="0"/>
          <w:numId w:val="55"/>
        </w:numPr>
        <w:tabs>
          <w:tab w:val="left" w:pos="1440"/>
        </w:tabs>
        <w:spacing w:after="60"/>
        <w:ind w:left="1440"/>
      </w:pPr>
      <w:r w:rsidRPr="00BD7CEA">
        <w:t xml:space="preserve">Le licenze per </w:t>
      </w:r>
      <w:r w:rsidRPr="00BD7CEA">
        <w:rPr>
          <w:color w:val="000000"/>
        </w:rPr>
        <w:t>HPC Server Suite</w:t>
      </w:r>
      <w:r w:rsidR="008D782D" w:rsidRPr="00BD7CEA">
        <w:rPr>
          <w:color w:val="000000"/>
        </w:rPr>
        <w:t xml:space="preserve"> </w:t>
      </w:r>
      <w:r w:rsidRPr="00BD7CEA">
        <w:rPr>
          <w:rFonts w:cs="Tahoma"/>
          <w:bCs/>
          <w:color w:val="000000"/>
          <w:szCs w:val="18"/>
        </w:rPr>
        <w:t>acquistate successivamente nello stesso periodo di validità dell</w:t>
      </w:r>
      <w:r w:rsidR="007A1415" w:rsidRPr="00BD7CEA">
        <w:rPr>
          <w:rFonts w:cs="Tahoma"/>
          <w:bCs/>
          <w:color w:val="000000"/>
          <w:szCs w:val="18"/>
        </w:rPr>
        <w:t>’</w:t>
      </w:r>
      <w:r w:rsidRPr="00BD7CEA">
        <w:rPr>
          <w:rFonts w:cs="Tahoma"/>
          <w:bCs/>
          <w:color w:val="000000"/>
          <w:szCs w:val="18"/>
        </w:rPr>
        <w:t>iscrizione nell</w:t>
      </w:r>
      <w:r w:rsidR="007A1415" w:rsidRPr="00BD7CEA">
        <w:rPr>
          <w:rFonts w:cs="Tahoma"/>
          <w:bCs/>
          <w:color w:val="000000"/>
          <w:szCs w:val="18"/>
        </w:rPr>
        <w:t>’</w:t>
      </w:r>
      <w:r w:rsidRPr="00BD7CEA">
        <w:rPr>
          <w:rFonts w:cs="Tahoma"/>
          <w:bCs/>
          <w:color w:val="000000"/>
          <w:szCs w:val="18"/>
        </w:rPr>
        <w:t>ambito di una procedura pianificata di true-up di una società Enterprise, Enterprise Subscription, Open Value Subscription o EES sono anch</w:t>
      </w:r>
      <w:r w:rsidR="007A1415" w:rsidRPr="00BD7CEA">
        <w:rPr>
          <w:rFonts w:cs="Tahoma"/>
          <w:bCs/>
          <w:color w:val="000000"/>
          <w:szCs w:val="18"/>
        </w:rPr>
        <w:t>’</w:t>
      </w:r>
      <w:r w:rsidRPr="00BD7CEA">
        <w:rPr>
          <w:rFonts w:cs="Tahoma"/>
          <w:bCs/>
          <w:color w:val="000000"/>
          <w:szCs w:val="18"/>
        </w:rPr>
        <w:t>esse Licenze Qualificanti per</w:t>
      </w:r>
      <w:r w:rsidR="00AB7951">
        <w:rPr>
          <w:rFonts w:cs="Tahoma"/>
          <w:bCs/>
          <w:color w:val="000000"/>
          <w:szCs w:val="18"/>
        </w:rPr>
        <w:t> </w:t>
      </w:r>
      <w:r w:rsidRPr="00BD7CEA">
        <w:rPr>
          <w:rFonts w:cs="Tahoma"/>
          <w:bCs/>
          <w:color w:val="000000"/>
          <w:szCs w:val="18"/>
        </w:rPr>
        <w:t>gli</w:t>
      </w:r>
      <w:r w:rsidR="00AB7951">
        <w:rPr>
          <w:rFonts w:cs="Tahoma"/>
          <w:bCs/>
          <w:color w:val="000000"/>
          <w:szCs w:val="18"/>
        </w:rPr>
        <w:t> </w:t>
      </w:r>
      <w:r w:rsidRPr="00BD7CEA">
        <w:rPr>
          <w:rFonts w:cs="Tahoma"/>
          <w:bCs/>
          <w:color w:val="000000"/>
          <w:szCs w:val="18"/>
        </w:rPr>
        <w:t xml:space="preserve">scopi previsti dalla suddetta concessione. </w:t>
      </w:r>
    </w:p>
    <w:p w:rsidR="001978C7" w:rsidRPr="00BD7CEA" w:rsidRDefault="001978C7" w:rsidP="007358C5">
      <w:pPr>
        <w:numPr>
          <w:ilvl w:val="0"/>
          <w:numId w:val="55"/>
        </w:numPr>
        <w:tabs>
          <w:tab w:val="left" w:pos="1440"/>
        </w:tabs>
        <w:spacing w:after="60"/>
        <w:ind w:left="1440"/>
      </w:pPr>
      <w:r w:rsidRPr="00BD7CEA">
        <w:rPr>
          <w:rFonts w:cs="Tahoma"/>
          <w:bCs/>
          <w:color w:val="000000"/>
          <w:szCs w:val="18"/>
        </w:rPr>
        <w:t>Nonostante la concessione di licenze per Windows Server 2012 Standard e di aggiornamenti per tale versione, le obbligazioni di pagamento degli importi scaduti e dovuti per le Licenze Qualificanti e la copertura rimangono pienamente vincolanti ed efficaci.</w:t>
      </w:r>
    </w:p>
    <w:p w:rsidR="00DE4110" w:rsidRPr="00BD7CEA" w:rsidRDefault="001978C7" w:rsidP="007358C5">
      <w:pPr>
        <w:numPr>
          <w:ilvl w:val="0"/>
          <w:numId w:val="55"/>
        </w:numPr>
        <w:tabs>
          <w:tab w:val="left" w:pos="1440"/>
        </w:tabs>
        <w:spacing w:after="60"/>
        <w:ind w:left="1440"/>
      </w:pPr>
      <w:r w:rsidRPr="00BD7CEA">
        <w:rPr>
          <w:rFonts w:cs="Tahoma"/>
          <w:bCs/>
          <w:color w:val="000000"/>
          <w:szCs w:val="18"/>
        </w:rPr>
        <w:t>Fare anche riferimento alle note della lista dei prodotti per Windows Server 2008 R2 HPC Edition e</w:t>
      </w:r>
      <w:r w:rsidR="00AB7951">
        <w:rPr>
          <w:rFonts w:cs="Tahoma"/>
          <w:bCs/>
          <w:color w:val="000000"/>
          <w:szCs w:val="18"/>
        </w:rPr>
        <w:t> </w:t>
      </w:r>
      <w:r w:rsidRPr="00BD7CEA">
        <w:rPr>
          <w:rFonts w:cs="Tahoma"/>
          <w:bCs/>
          <w:color w:val="000000"/>
          <w:szCs w:val="18"/>
        </w:rPr>
        <w:t>HPC Pack 2008 R2 Enterprise.</w:t>
      </w:r>
      <w:bookmarkStart w:id="1564" w:name="_109_Windows®_Intune"/>
      <w:bookmarkEnd w:id="1564"/>
    </w:p>
    <w:p w:rsidR="00A434A4" w:rsidRPr="00BD7CEA" w:rsidRDefault="00A434A4" w:rsidP="00A434A4">
      <w:pPr>
        <w:tabs>
          <w:tab w:val="left" w:pos="1440"/>
        </w:tabs>
        <w:ind w:left="1080"/>
        <w:contextualSpacing/>
      </w:pPr>
    </w:p>
    <w:p w:rsidR="00A434A4" w:rsidRPr="00BD7CEA" w:rsidRDefault="00A434A4" w:rsidP="00376D4B">
      <w:pPr>
        <w:ind w:left="720"/>
      </w:pPr>
    </w:p>
    <w:p w:rsidR="008779BC" w:rsidRPr="00BD7CEA" w:rsidRDefault="00F66FB0" w:rsidP="00A434A4">
      <w:pPr>
        <w:pStyle w:val="Heading2"/>
        <w:ind w:left="0"/>
      </w:pPr>
      <w:bookmarkStart w:id="1565" w:name="_100_Windows_Multipoint"/>
      <w:bookmarkStart w:id="1566" w:name="_Toc336338367"/>
      <w:bookmarkStart w:id="1567" w:name="_Toc353376138"/>
      <w:bookmarkEnd w:id="1565"/>
      <w:r w:rsidRPr="00BD7CEA">
        <w:rPr>
          <w:rFonts w:ascii="Tahoma" w:hAnsi="Tahoma" w:cs="Tahoma"/>
          <w:caps/>
          <w:color w:val="FA6500"/>
          <w:sz w:val="22"/>
          <w:vertAlign w:val="superscript"/>
        </w:rPr>
        <w:t xml:space="preserve">100 </w:t>
      </w:r>
      <w:r w:rsidRPr="00BD7CEA">
        <w:rPr>
          <w:rFonts w:ascii="Tahoma" w:hAnsi="Tahoma" w:cs="Tahoma"/>
          <w:color w:val="FA6500"/>
          <w:sz w:val="22"/>
        </w:rPr>
        <w:t xml:space="preserve">Windows Multipoint Server </w:t>
      </w:r>
      <w:bookmarkEnd w:id="1566"/>
      <w:r w:rsidRPr="00BD7CEA">
        <w:rPr>
          <w:rFonts w:ascii="Tahoma" w:hAnsi="Tahoma" w:cs="Tahoma"/>
          <w:color w:val="FA6500"/>
          <w:sz w:val="22"/>
        </w:rPr>
        <w:t>2012 Standard</w:t>
      </w:r>
      <w:bookmarkEnd w:id="1567"/>
      <w:r w:rsidRPr="00BD7CEA">
        <w:rPr>
          <w:rFonts w:ascii="Tahoma" w:hAnsi="Tahoma" w:cs="Tahoma"/>
          <w:color w:val="FA6500"/>
          <w:sz w:val="22"/>
        </w:rPr>
        <w:t xml:space="preserve"> </w:t>
      </w:r>
    </w:p>
    <w:p w:rsidR="00A434A4" w:rsidRPr="00BD7CEA" w:rsidRDefault="00A434A4" w:rsidP="00A434A4"/>
    <w:p w:rsidR="00C9349F" w:rsidRPr="00BD7CEA" w:rsidRDefault="008779BC" w:rsidP="00835398">
      <w:pPr>
        <w:ind w:left="720"/>
      </w:pPr>
      <w:r w:rsidRPr="00BD7CEA">
        <w:rPr>
          <w:rFonts w:eastAsia="Calibri" w:cs="Tahoma"/>
          <w:color w:val="000000"/>
          <w:szCs w:val="18"/>
        </w:rPr>
        <w:t>Windows Multipoint Server 2012 Standard è la versione successiva di Windows Multipoint Server 2011 Standard.</w:t>
      </w:r>
    </w:p>
    <w:p w:rsidR="00C9349F" w:rsidRPr="00BD7CEA" w:rsidRDefault="00C9349F" w:rsidP="00A434A4"/>
    <w:p w:rsidR="00C9349F" w:rsidRPr="00BD7CEA" w:rsidRDefault="00C9349F" w:rsidP="00A434A4"/>
    <w:p w:rsidR="00092F30" w:rsidRPr="00BD7CEA" w:rsidRDefault="00F66FB0" w:rsidP="00A434A4">
      <w:pPr>
        <w:pStyle w:val="Heading2"/>
        <w:ind w:left="0"/>
      </w:pPr>
      <w:bookmarkStart w:id="1568" w:name="_101_Windows_Multipoint"/>
      <w:bookmarkStart w:id="1569" w:name="_Toc336338368"/>
      <w:bookmarkStart w:id="1570" w:name="_Toc353376139"/>
      <w:bookmarkStart w:id="1571" w:name="Srv_103WinMultipointSvr2011Premium"/>
      <w:bookmarkStart w:id="1572" w:name="Srv_107WinMultipointSvr2011Premium"/>
      <w:bookmarkStart w:id="1573" w:name="Srv_111WinMultipointSvr2011Premium"/>
      <w:bookmarkEnd w:id="1568"/>
      <w:r w:rsidRPr="00BD7CEA">
        <w:rPr>
          <w:rFonts w:ascii="Tahoma" w:hAnsi="Tahoma" w:cs="Tahoma"/>
          <w:caps/>
          <w:color w:val="FA6500"/>
          <w:sz w:val="22"/>
          <w:szCs w:val="22"/>
          <w:vertAlign w:val="superscript"/>
        </w:rPr>
        <w:t>101</w:t>
      </w:r>
      <w:r w:rsidRPr="00BD7CEA">
        <w:rPr>
          <w:rFonts w:ascii="Tahoma" w:hAnsi="Tahoma" w:cs="Tahoma"/>
          <w:caps/>
          <w:color w:val="FA6500"/>
          <w:sz w:val="22"/>
          <w:vertAlign w:val="superscript"/>
        </w:rPr>
        <w:t xml:space="preserve"> </w:t>
      </w:r>
      <w:r w:rsidRPr="00BD7CEA">
        <w:rPr>
          <w:rFonts w:ascii="Tahoma" w:hAnsi="Tahoma" w:cs="Tahoma"/>
          <w:color w:val="FA6500"/>
          <w:sz w:val="22"/>
        </w:rPr>
        <w:t xml:space="preserve">Windows Multipoint Server </w:t>
      </w:r>
      <w:bookmarkEnd w:id="1569"/>
      <w:r w:rsidRPr="00BD7CEA">
        <w:rPr>
          <w:rFonts w:ascii="Tahoma" w:hAnsi="Tahoma" w:cs="Tahoma"/>
          <w:color w:val="FA6500"/>
          <w:sz w:val="22"/>
        </w:rPr>
        <w:t>2012 Premium</w:t>
      </w:r>
      <w:bookmarkEnd w:id="1570"/>
      <w:r w:rsidRPr="00BD7CEA">
        <w:rPr>
          <w:rFonts w:ascii="Tahoma" w:hAnsi="Tahoma" w:cs="Tahoma"/>
          <w:color w:val="FA6500"/>
          <w:sz w:val="22"/>
        </w:rPr>
        <w:t xml:space="preserve"> </w:t>
      </w:r>
      <w:bookmarkEnd w:id="1571"/>
      <w:bookmarkEnd w:id="1572"/>
      <w:bookmarkEnd w:id="1573"/>
    </w:p>
    <w:p w:rsidR="00A434A4" w:rsidRPr="00BD7CEA" w:rsidRDefault="00A434A4" w:rsidP="00A434A4"/>
    <w:p w:rsidR="00F745E1" w:rsidRPr="00BD7CEA" w:rsidRDefault="00092F30" w:rsidP="00A434A4">
      <w:pPr>
        <w:ind w:left="720"/>
      </w:pPr>
      <w:r w:rsidRPr="00BD7CEA">
        <w:rPr>
          <w:rFonts w:eastAsia="Calibri" w:cs="Tahoma"/>
          <w:color w:val="000000"/>
          <w:szCs w:val="18"/>
        </w:rPr>
        <w:t>Windows Multipoint Server 2012 Premium è la versione successiva di Windows Multipoint Server 2011 Premium.</w:t>
      </w:r>
      <w:bookmarkStart w:id="1574" w:name="_Toc280612355"/>
    </w:p>
    <w:p w:rsidR="00A434A4" w:rsidRPr="00BD7CEA" w:rsidRDefault="00A434A4" w:rsidP="00A434A4"/>
    <w:p w:rsidR="00A434A4" w:rsidRPr="00BD7CEA" w:rsidRDefault="00A434A4" w:rsidP="00A434A4"/>
    <w:p w:rsidR="00092F30" w:rsidRPr="00BD7CEA" w:rsidRDefault="00F66FB0" w:rsidP="00092F30">
      <w:pPr>
        <w:pStyle w:val="Heading2"/>
        <w:ind w:left="0"/>
      </w:pPr>
      <w:bookmarkStart w:id="1575" w:name="_102_Licenza_CAL"/>
      <w:bookmarkStart w:id="1576" w:name="_Toc353376140"/>
      <w:bookmarkStart w:id="1577" w:name="Srv_104WinMultipointSvr2011CAL"/>
      <w:bookmarkStart w:id="1578" w:name="Srv_108WinMultipointSvr2011CAL"/>
      <w:bookmarkStart w:id="1579" w:name="Srv_112WinMultipointSvr2011CAL"/>
      <w:bookmarkEnd w:id="1575"/>
      <w:r w:rsidRPr="00BD7CEA">
        <w:rPr>
          <w:rFonts w:ascii="Tahoma" w:hAnsi="Tahoma" w:cs="Tahoma"/>
          <w:caps/>
          <w:color w:val="FA6500"/>
          <w:sz w:val="22"/>
          <w:szCs w:val="22"/>
          <w:vertAlign w:val="superscript"/>
        </w:rPr>
        <w:t>102</w:t>
      </w:r>
      <w:r w:rsidRPr="00BD7CEA">
        <w:rPr>
          <w:rFonts w:ascii="Tahoma" w:hAnsi="Tahoma" w:cs="Tahoma"/>
          <w:color w:val="FA6500"/>
          <w:sz w:val="22"/>
          <w:szCs w:val="22"/>
        </w:rPr>
        <w:t xml:space="preserve"> Licenza CAL per Windows </w:t>
      </w:r>
      <w:bookmarkEnd w:id="1574"/>
      <w:r w:rsidRPr="00BD7CEA">
        <w:rPr>
          <w:rFonts w:ascii="Tahoma" w:hAnsi="Tahoma" w:cs="Tahoma"/>
          <w:color w:val="FA6500"/>
          <w:sz w:val="22"/>
          <w:szCs w:val="22"/>
        </w:rPr>
        <w:t>Multipoint Server 2012</w:t>
      </w:r>
      <w:bookmarkEnd w:id="1576"/>
    </w:p>
    <w:bookmarkEnd w:id="1577"/>
    <w:bookmarkEnd w:id="1578"/>
    <w:bookmarkEnd w:id="1579"/>
    <w:p w:rsidR="00092F30" w:rsidRPr="00BD7CEA" w:rsidRDefault="00092F30" w:rsidP="00092F30">
      <w:pPr>
        <w:ind w:firstLine="360"/>
      </w:pPr>
    </w:p>
    <w:p w:rsidR="00A434A4" w:rsidRPr="00BD7CEA" w:rsidRDefault="00092F30" w:rsidP="00835398">
      <w:pPr>
        <w:ind w:left="720"/>
      </w:pPr>
      <w:r w:rsidRPr="00BD7CEA">
        <w:rPr>
          <w:rFonts w:eastAsia="Calibri" w:cs="Tahoma"/>
          <w:color w:val="000000"/>
          <w:szCs w:val="18"/>
        </w:rPr>
        <w:t>La CAL per Windows MultiPoint Server 2012 è la versione successiva della CAL per Windows Multipoint Server 2011.</w:t>
      </w:r>
    </w:p>
    <w:p w:rsidR="00023FE7" w:rsidRPr="00BD7CEA" w:rsidRDefault="00F66FB0" w:rsidP="00EF2279">
      <w:pPr>
        <w:pStyle w:val="Heading3"/>
        <w:ind w:left="360" w:hanging="360"/>
      </w:pPr>
      <w:bookmarkStart w:id="1580" w:name="_103_Windows_Server"/>
      <w:bookmarkStart w:id="1581" w:name="_Toc336338369"/>
      <w:bookmarkStart w:id="1582" w:name="_Toc353376141"/>
      <w:bookmarkStart w:id="1583" w:name="Srv_97WinSvr08HighPerfCompandHyperV"/>
      <w:bookmarkStart w:id="1584" w:name="Srv_98WinSvr08HighPerfCompandHyperV"/>
      <w:bookmarkStart w:id="1585" w:name="Srv_110WinSvr08R2HPC"/>
      <w:bookmarkStart w:id="1586" w:name="Srv_114WinSvr08R2HPC"/>
      <w:bookmarkEnd w:id="1580"/>
      <w:r w:rsidRPr="00BD7CEA">
        <w:rPr>
          <w:rFonts w:ascii="Tahoma" w:hAnsi="Tahoma"/>
          <w:caps/>
          <w:color w:val="F66400"/>
          <w:sz w:val="22"/>
          <w:vertAlign w:val="superscript"/>
        </w:rPr>
        <w:lastRenderedPageBreak/>
        <w:t>103</w:t>
      </w:r>
      <w:r w:rsidRPr="00BD7CEA">
        <w:rPr>
          <w:rFonts w:ascii="Tahoma" w:hAnsi="Tahoma"/>
          <w:color w:val="F66400"/>
          <w:sz w:val="22"/>
        </w:rPr>
        <w:t xml:space="preserve"> Windows Server 2008 R2 HPC</w:t>
      </w:r>
      <w:r w:rsidRPr="00BD7CEA">
        <w:rPr>
          <w:rStyle w:val="Heading3Char"/>
          <w:rFonts w:ascii="Tahoma" w:hAnsi="Tahoma"/>
          <w:b/>
          <w:color w:val="F66400"/>
          <w:sz w:val="22"/>
        </w:rPr>
        <w:t xml:space="preserve"> Edition</w:t>
      </w:r>
      <w:bookmarkEnd w:id="1581"/>
      <w:bookmarkEnd w:id="1582"/>
      <w:r w:rsidRPr="00BD7CEA">
        <w:rPr>
          <w:rStyle w:val="Heading3Char"/>
          <w:rFonts w:ascii="Tahoma" w:hAnsi="Tahoma"/>
          <w:b/>
          <w:color w:val="F66400"/>
          <w:sz w:val="22"/>
        </w:rPr>
        <w:t xml:space="preserve"> </w:t>
      </w:r>
    </w:p>
    <w:bookmarkEnd w:id="1583"/>
    <w:bookmarkEnd w:id="1584"/>
    <w:bookmarkEnd w:id="1585"/>
    <w:bookmarkEnd w:id="1586"/>
    <w:p w:rsidR="00023FE7" w:rsidRPr="00835398" w:rsidRDefault="00023FE7" w:rsidP="00A434A4">
      <w:pPr>
        <w:rPr>
          <w:sz w:val="16"/>
          <w:szCs w:val="16"/>
        </w:rPr>
      </w:pPr>
    </w:p>
    <w:p w:rsidR="00A434A4" w:rsidRPr="00BD7CEA" w:rsidRDefault="001978C7" w:rsidP="00A434A4">
      <w:pPr>
        <w:spacing w:after="60"/>
        <w:ind w:left="720"/>
      </w:pPr>
      <w:r w:rsidRPr="00BD7CEA">
        <w:rPr>
          <w:b/>
          <w:color w:val="000000"/>
        </w:rPr>
        <w:t>Concessioni di licenza associate alla fine del ciclo di vita di Windows Server HPC Edition</w:t>
      </w:r>
    </w:p>
    <w:p w:rsidR="001978C7" w:rsidRPr="00BD7CEA" w:rsidRDefault="001978C7" w:rsidP="00A434A4">
      <w:pPr>
        <w:ind w:left="720"/>
      </w:pPr>
      <w:r w:rsidRPr="00BD7CEA">
        <w:rPr>
          <w:color w:val="000000"/>
        </w:rPr>
        <w:t>Windows Server 2008 R2 sarà l</w:t>
      </w:r>
      <w:r w:rsidR="007A1415" w:rsidRPr="00BD7CEA">
        <w:rPr>
          <w:color w:val="000000"/>
        </w:rPr>
        <w:t>’</w:t>
      </w:r>
      <w:r w:rsidRPr="00BD7CEA">
        <w:rPr>
          <w:color w:val="000000"/>
        </w:rPr>
        <w:t xml:space="preserve">ultima versione di Windows Server HPC Edition. Le società titolari di contratti multilicenza con copertura Software Assurance attiva per le licenze per Windows Server 2008 R2 HPC Edition in data 1 settembre 2012 o in occasione della prima disponibilità di Windows Server 2012 per il download dal sito Web Volume Licensing Service Center, a seconda di quale evento si verificherà per primo, (“Licenze Qualificanti”) saranno autorizzate a </w:t>
      </w:r>
      <w:r w:rsidRPr="00BD7CEA">
        <w:rPr>
          <w:rFonts w:eastAsia="Calibri" w:cs="Tahoma"/>
          <w:szCs w:val="18"/>
        </w:rPr>
        <w:t xml:space="preserve">utilizzare il software Windows Server 2012 Standard. Per agevolare tale utilizzo, per ogni due Licenze Qualificanti in suo possesso, alla società verrà concessa una licenza per processore per Windows Server 2012 Standard in base alla disponibilità di Windows Server 2012. </w:t>
      </w:r>
    </w:p>
    <w:p w:rsidR="00A434A4" w:rsidRPr="00835398" w:rsidRDefault="00A434A4" w:rsidP="00A434A4">
      <w:pPr>
        <w:ind w:left="720"/>
        <w:rPr>
          <w:sz w:val="16"/>
          <w:szCs w:val="16"/>
        </w:rPr>
      </w:pPr>
    </w:p>
    <w:p w:rsidR="001978C7" w:rsidRPr="00BD7CEA" w:rsidRDefault="001978C7" w:rsidP="007358C5">
      <w:pPr>
        <w:numPr>
          <w:ilvl w:val="0"/>
          <w:numId w:val="55"/>
        </w:numPr>
        <w:tabs>
          <w:tab w:val="clear" w:pos="360"/>
          <w:tab w:val="num" w:pos="1440"/>
        </w:tabs>
        <w:spacing w:after="60"/>
        <w:ind w:left="1440"/>
      </w:pPr>
      <w:r w:rsidRPr="00BD7CEA">
        <w:rPr>
          <w:color w:val="000000"/>
        </w:rPr>
        <w:t>Qualora una società disponga di un numero dispari di licenze per Windows Server HPC Edition, dovrà arrotondarle al successivo numero pari per determinare la quantità concessa.</w:t>
      </w:r>
      <w:r w:rsidR="008D782D" w:rsidRPr="00BD7CEA">
        <w:rPr>
          <w:color w:val="000000"/>
        </w:rPr>
        <w:t xml:space="preserve"> </w:t>
      </w:r>
      <w:r w:rsidRPr="00BD7CEA">
        <w:rPr>
          <w:color w:val="000000"/>
        </w:rPr>
        <w:t>Ad esempio, una società titolare di tre licenze per Windows Server HPC Edition riceverà in totale due licenze per</w:t>
      </w:r>
      <w:r w:rsidR="00C8557A">
        <w:rPr>
          <w:color w:val="000000"/>
        </w:rPr>
        <w:t> </w:t>
      </w:r>
      <w:r w:rsidRPr="00BD7CEA">
        <w:rPr>
          <w:color w:val="000000"/>
        </w:rPr>
        <w:t>Windows Server 2012 Standard.</w:t>
      </w:r>
    </w:p>
    <w:p w:rsidR="001978C7" w:rsidRPr="00BD7CEA" w:rsidRDefault="001978C7" w:rsidP="007358C5">
      <w:pPr>
        <w:pStyle w:val="ListParagraph"/>
        <w:numPr>
          <w:ilvl w:val="0"/>
          <w:numId w:val="55"/>
        </w:numPr>
        <w:tabs>
          <w:tab w:val="clear" w:pos="360"/>
          <w:tab w:val="num" w:pos="1440"/>
        </w:tabs>
        <w:spacing w:after="60"/>
        <w:ind w:left="1440"/>
        <w:contextualSpacing w:val="0"/>
      </w:pPr>
      <w:r w:rsidRPr="00BD7CEA">
        <w:rPr>
          <w:rFonts w:ascii="Tahoma" w:eastAsia="Calibri" w:hAnsi="Tahoma" w:cs="Tahoma"/>
          <w:sz w:val="18"/>
          <w:szCs w:val="18"/>
        </w:rPr>
        <w:t>Le licenze acquistate ai sensi della presente concessione includono la copertura Software Assurance.</w:t>
      </w:r>
      <w:r w:rsidR="008D782D" w:rsidRPr="00BD7CEA">
        <w:rPr>
          <w:rFonts w:ascii="Tahoma" w:eastAsia="Calibri" w:hAnsi="Tahoma" w:cs="Tahoma"/>
          <w:sz w:val="18"/>
          <w:szCs w:val="18"/>
        </w:rPr>
        <w:t xml:space="preserve"> </w:t>
      </w:r>
      <w:r w:rsidRPr="00BD7CEA">
        <w:rPr>
          <w:rFonts w:ascii="Tahoma" w:eastAsia="Calibri" w:hAnsi="Tahoma" w:cs="Tahoma"/>
          <w:sz w:val="18"/>
          <w:szCs w:val="18"/>
        </w:rPr>
        <w:t>Tale copertura cessa alla scadenza della corrispondente copertura per le Licenze Qualificanti.</w:t>
      </w:r>
    </w:p>
    <w:p w:rsidR="001978C7" w:rsidRPr="00BD7CEA" w:rsidRDefault="001978C7" w:rsidP="007358C5">
      <w:pPr>
        <w:pStyle w:val="ListParagraph"/>
        <w:numPr>
          <w:ilvl w:val="0"/>
          <w:numId w:val="55"/>
        </w:numPr>
        <w:tabs>
          <w:tab w:val="clear" w:pos="360"/>
          <w:tab w:val="num" w:pos="1440"/>
        </w:tabs>
        <w:spacing w:after="60"/>
        <w:ind w:left="1440"/>
        <w:contextualSpacing w:val="0"/>
      </w:pPr>
      <w:r w:rsidRPr="00BD7CEA">
        <w:rPr>
          <w:rFonts w:ascii="Tahoma" w:eastAsia="Calibri" w:hAnsi="Tahoma" w:cs="Tahoma"/>
          <w:sz w:val="18"/>
          <w:szCs w:val="18"/>
        </w:rPr>
        <w:t>Nel caso in cui le società abbiano acquistato diritti perpetui per utilizzare software ai sensi di Licenze Qualificanti, le licenze acquistate ai sensi della presente concessione saranno anch</w:t>
      </w:r>
      <w:r w:rsidR="007A1415" w:rsidRPr="00BD7CEA">
        <w:rPr>
          <w:rFonts w:ascii="Tahoma" w:eastAsia="Calibri" w:hAnsi="Tahoma" w:cs="Tahoma"/>
          <w:sz w:val="18"/>
          <w:szCs w:val="18"/>
        </w:rPr>
        <w:t>’</w:t>
      </w:r>
      <w:r w:rsidRPr="00BD7CEA">
        <w:rPr>
          <w:rFonts w:ascii="Tahoma" w:eastAsia="Calibri" w:hAnsi="Tahoma" w:cs="Tahoma"/>
          <w:sz w:val="18"/>
          <w:szCs w:val="18"/>
        </w:rPr>
        <w:t>esse perpetue; diversamente, le licenze acquistate ai sensi della presente concessione cesseranno alla scadenza delle Licenze Qualificanti sottostanti.</w:t>
      </w:r>
    </w:p>
    <w:p w:rsidR="001978C7" w:rsidRPr="00BD7CEA" w:rsidRDefault="001978C7" w:rsidP="007358C5">
      <w:pPr>
        <w:numPr>
          <w:ilvl w:val="0"/>
          <w:numId w:val="55"/>
        </w:numPr>
        <w:tabs>
          <w:tab w:val="clear" w:pos="360"/>
          <w:tab w:val="num" w:pos="1440"/>
          <w:tab w:val="left" w:pos="2160"/>
        </w:tabs>
        <w:spacing w:after="60"/>
        <w:ind w:left="1440"/>
      </w:pPr>
      <w:r w:rsidRPr="00BD7CEA">
        <w:rPr>
          <w:rFonts w:eastAsia="Calibri" w:cs="Tahoma"/>
          <w:szCs w:val="18"/>
        </w:rPr>
        <w:t>Eseguendo l</w:t>
      </w:r>
      <w:r w:rsidR="007A1415" w:rsidRPr="00BD7CEA">
        <w:rPr>
          <w:rFonts w:eastAsia="Calibri" w:cs="Tahoma"/>
          <w:szCs w:val="18"/>
        </w:rPr>
        <w:t>’</w:t>
      </w:r>
      <w:r w:rsidRPr="00BD7CEA">
        <w:rPr>
          <w:rFonts w:eastAsia="Calibri" w:cs="Tahoma"/>
          <w:szCs w:val="18"/>
        </w:rPr>
        <w:t xml:space="preserve">aggiornamento a Windows Server 2012 Standard ai sensi della presente concessione, le licenze in essere per </w:t>
      </w:r>
      <w:r w:rsidRPr="00BD7CEA">
        <w:rPr>
          <w:color w:val="000000"/>
        </w:rPr>
        <w:t>Windows Server 2008 R2 HPC Edition</w:t>
      </w:r>
      <w:r w:rsidRPr="00BD7CEA">
        <w:rPr>
          <w:rFonts w:eastAsia="Calibri" w:cs="Tahoma"/>
          <w:szCs w:val="18"/>
        </w:rPr>
        <w:t xml:space="preserve"> rimangono valide.</w:t>
      </w:r>
    </w:p>
    <w:p w:rsidR="001978C7" w:rsidRPr="00BD7CEA" w:rsidRDefault="001978C7" w:rsidP="007358C5">
      <w:pPr>
        <w:numPr>
          <w:ilvl w:val="0"/>
          <w:numId w:val="55"/>
        </w:numPr>
        <w:tabs>
          <w:tab w:val="clear" w:pos="360"/>
          <w:tab w:val="num" w:pos="1440"/>
        </w:tabs>
        <w:spacing w:after="60"/>
        <w:ind w:left="1440"/>
      </w:pPr>
      <w:r w:rsidRPr="00BD7CEA">
        <w:t xml:space="preserve">Le licenze per </w:t>
      </w:r>
      <w:r w:rsidRPr="00BD7CEA">
        <w:rPr>
          <w:color w:val="000000"/>
        </w:rPr>
        <w:t xml:space="preserve">Windows Server 2008 R2 HPC Edition </w:t>
      </w:r>
      <w:r w:rsidRPr="00BD7CEA">
        <w:rPr>
          <w:rFonts w:cs="Tahoma"/>
          <w:bCs/>
          <w:color w:val="000000"/>
          <w:szCs w:val="18"/>
        </w:rPr>
        <w:t>acquistate successivamente nello stesso periodo di validità dell</w:t>
      </w:r>
      <w:r w:rsidR="007A1415" w:rsidRPr="00BD7CEA">
        <w:rPr>
          <w:rFonts w:cs="Tahoma"/>
          <w:bCs/>
          <w:color w:val="000000"/>
          <w:szCs w:val="18"/>
        </w:rPr>
        <w:t>’</w:t>
      </w:r>
      <w:r w:rsidRPr="00BD7CEA">
        <w:rPr>
          <w:rFonts w:cs="Tahoma"/>
          <w:bCs/>
          <w:color w:val="000000"/>
          <w:szCs w:val="18"/>
        </w:rPr>
        <w:t>iscrizione nell</w:t>
      </w:r>
      <w:r w:rsidR="007A1415" w:rsidRPr="00BD7CEA">
        <w:rPr>
          <w:rFonts w:cs="Tahoma"/>
          <w:bCs/>
          <w:color w:val="000000"/>
          <w:szCs w:val="18"/>
        </w:rPr>
        <w:t>’</w:t>
      </w:r>
      <w:r w:rsidRPr="00BD7CEA">
        <w:rPr>
          <w:rFonts w:cs="Tahoma"/>
          <w:bCs/>
          <w:color w:val="000000"/>
          <w:szCs w:val="18"/>
        </w:rPr>
        <w:t>ambito di una procedura pianificata di true-up di una società Enterprise, Enterprise Subscription, Open Value Subscription o EES sono anch</w:t>
      </w:r>
      <w:r w:rsidR="007A1415" w:rsidRPr="00BD7CEA">
        <w:rPr>
          <w:rFonts w:cs="Tahoma"/>
          <w:bCs/>
          <w:color w:val="000000"/>
          <w:szCs w:val="18"/>
        </w:rPr>
        <w:t>’</w:t>
      </w:r>
      <w:r w:rsidRPr="00BD7CEA">
        <w:rPr>
          <w:rFonts w:cs="Tahoma"/>
          <w:bCs/>
          <w:color w:val="000000"/>
          <w:szCs w:val="18"/>
        </w:rPr>
        <w:t xml:space="preserve">esse Licenze Qualificanti per gli scopi previsti dalla suddetta concessione. </w:t>
      </w:r>
    </w:p>
    <w:p w:rsidR="001978C7" w:rsidRPr="00BD7CEA" w:rsidRDefault="001978C7" w:rsidP="007358C5">
      <w:pPr>
        <w:numPr>
          <w:ilvl w:val="0"/>
          <w:numId w:val="55"/>
        </w:numPr>
        <w:tabs>
          <w:tab w:val="clear" w:pos="360"/>
          <w:tab w:val="num" w:pos="1440"/>
        </w:tabs>
        <w:spacing w:after="60"/>
        <w:ind w:left="1440"/>
      </w:pPr>
      <w:r w:rsidRPr="00BD7CEA">
        <w:rPr>
          <w:rFonts w:cs="Tahoma"/>
          <w:bCs/>
          <w:color w:val="000000"/>
          <w:szCs w:val="18"/>
        </w:rPr>
        <w:t>Nonostante la concessione di licenze per Windows Server 2012 Standard e di aggiornamenti per tale versione, le obbligazioni di pagamento degli importi scaduti e dovuti per le Licenze Qualificanti e la copertura rimangono pienamente vincolanti ed efficaci.</w:t>
      </w:r>
    </w:p>
    <w:p w:rsidR="00A434A4" w:rsidRPr="00835398" w:rsidRDefault="00A434A4" w:rsidP="00A434A4">
      <w:pPr>
        <w:contextualSpacing/>
        <w:rPr>
          <w:sz w:val="16"/>
          <w:szCs w:val="16"/>
        </w:rPr>
      </w:pPr>
    </w:p>
    <w:p w:rsidR="008C2FF8" w:rsidRPr="00835398" w:rsidRDefault="001978C7" w:rsidP="00835398">
      <w:pPr>
        <w:spacing w:after="60"/>
        <w:ind w:left="720" w:right="-90"/>
        <w:rPr>
          <w:spacing w:val="-2"/>
        </w:rPr>
      </w:pPr>
      <w:r w:rsidRPr="00835398">
        <w:rPr>
          <w:rFonts w:eastAsia="Calibri" w:cs="Tahoma"/>
          <w:b/>
          <w:spacing w:val="-2"/>
          <w:szCs w:val="18"/>
        </w:rPr>
        <w:t>Informazioni aggiuntive sull</w:t>
      </w:r>
      <w:r w:rsidR="007A1415" w:rsidRPr="00835398">
        <w:rPr>
          <w:rFonts w:eastAsia="Calibri" w:cs="Tahoma"/>
          <w:b/>
          <w:spacing w:val="-2"/>
          <w:szCs w:val="18"/>
        </w:rPr>
        <w:t>’</w:t>
      </w:r>
      <w:r w:rsidRPr="00835398">
        <w:rPr>
          <w:rFonts w:eastAsia="Calibri" w:cs="Tahoma"/>
          <w:b/>
          <w:spacing w:val="-2"/>
          <w:szCs w:val="18"/>
        </w:rPr>
        <w:t>utilizzo di Windows Server 2012 High Performance Computing</w:t>
      </w:r>
      <w:r w:rsidR="00835398" w:rsidRPr="00835398">
        <w:rPr>
          <w:rFonts w:eastAsia="Calibri" w:cs="Tahoma"/>
          <w:b/>
          <w:spacing w:val="-2"/>
          <w:szCs w:val="18"/>
        </w:rPr>
        <w:t xml:space="preserve"> </w:t>
      </w:r>
      <w:r w:rsidRPr="00835398">
        <w:rPr>
          <w:rFonts w:eastAsia="Calibri" w:cs="Tahoma"/>
          <w:b/>
          <w:spacing w:val="-2"/>
          <w:szCs w:val="18"/>
        </w:rPr>
        <w:t>(HPC)</w:t>
      </w:r>
    </w:p>
    <w:p w:rsidR="002512D3" w:rsidRPr="00BD7CEA" w:rsidRDefault="001978C7" w:rsidP="00835398">
      <w:pPr>
        <w:ind w:left="720"/>
        <w:contextualSpacing/>
      </w:pPr>
      <w:r w:rsidRPr="00BD7CEA">
        <w:rPr>
          <w:rFonts w:eastAsia="Calibri" w:cs="Tahoma"/>
          <w:szCs w:val="18"/>
        </w:rPr>
        <w:t>Quando Windows Server 2012 Standard o Datacenter viene utilizzato per High Performance Computing, non servono licenze CAL per accedere al software. Un “</w:t>
      </w:r>
      <w:r w:rsidRPr="00BD7CEA">
        <w:t>Carico di Lavoro High Performance Computing (“HPC”)”</w:t>
      </w:r>
      <w:r w:rsidRPr="00BD7CEA">
        <w:rPr>
          <w:b/>
          <w:bCs/>
        </w:rPr>
        <w:t xml:space="preserve"> </w:t>
      </w:r>
      <w:r w:rsidRPr="00BD7CEA">
        <w:t xml:space="preserve">indica un carico di lavoro nel quale il software server </w:t>
      </w:r>
      <w:r w:rsidRPr="00BD7CEA">
        <w:rPr>
          <w:u w:val="single"/>
        </w:rPr>
        <w:t>viene utilizzato</w:t>
      </w:r>
      <w:r w:rsidRPr="00385301">
        <w:t xml:space="preserve"> </w:t>
      </w:r>
      <w:r w:rsidRPr="00BD7CEA">
        <w:t>per eseguire un Nodo del Cluster e per consentire, insieme ad altro software, la gestione dei sistemi, la gestione della protezione e dell</w:t>
      </w:r>
      <w:r w:rsidR="007A1415" w:rsidRPr="00BD7CEA">
        <w:t>’</w:t>
      </w:r>
      <w:r w:rsidRPr="00BD7CEA">
        <w:t>archiviazione o il miglioramento delle prestazioni in un nodo del cluster allo scopo di supportare le Applicazioni HPC con cluster.</w:t>
      </w:r>
      <w:r w:rsidRPr="00BD7CEA">
        <w:rPr>
          <w:rFonts w:eastAsia="Calibri" w:cs="Tahoma"/>
          <w:szCs w:val="18"/>
        </w:rPr>
        <w:t xml:space="preserve"> Ulteriori dettagli sono disponibili nei Diritti di Utilizzo del Prodotto.</w:t>
      </w:r>
      <w:bookmarkStart w:id="1587" w:name="_97_Windows_Server"/>
      <w:bookmarkStart w:id="1588" w:name="_98_Windows_Server"/>
      <w:bookmarkStart w:id="1589" w:name="_Toc336338370"/>
      <w:bookmarkStart w:id="1590" w:name="Srv_116WinSvr08R2Enterprise"/>
      <w:bookmarkStart w:id="1591" w:name="Srv_1120WinSvr08R2Enterprise"/>
      <w:bookmarkStart w:id="1592" w:name="Srv_100WinSvr08R2Enterprise"/>
      <w:bookmarkEnd w:id="1587"/>
      <w:bookmarkEnd w:id="1588"/>
    </w:p>
    <w:p w:rsidR="00C9349F" w:rsidRPr="00835398" w:rsidRDefault="00C9349F">
      <w:pPr>
        <w:rPr>
          <w:sz w:val="16"/>
          <w:szCs w:val="16"/>
        </w:rPr>
      </w:pPr>
    </w:p>
    <w:p w:rsidR="00C9349F" w:rsidRPr="00835398" w:rsidRDefault="00C9349F">
      <w:pPr>
        <w:rPr>
          <w:sz w:val="16"/>
          <w:szCs w:val="16"/>
        </w:rPr>
      </w:pPr>
    </w:p>
    <w:p w:rsidR="006D0B36" w:rsidRPr="00BD7CEA" w:rsidRDefault="00F66FB0" w:rsidP="00EF2279">
      <w:pPr>
        <w:pStyle w:val="Heading3"/>
        <w:ind w:left="360" w:hanging="360"/>
      </w:pPr>
      <w:bookmarkStart w:id="1593" w:name="_104_Windows_Server"/>
      <w:bookmarkStart w:id="1594" w:name="_Toc353376142"/>
      <w:bookmarkEnd w:id="1593"/>
      <w:r w:rsidRPr="00BD7CEA">
        <w:rPr>
          <w:rFonts w:ascii="Tahoma" w:hAnsi="Tahoma"/>
          <w:caps/>
          <w:color w:val="F66400"/>
          <w:sz w:val="22"/>
          <w:vertAlign w:val="superscript"/>
        </w:rPr>
        <w:t>104</w:t>
      </w:r>
      <w:r w:rsidRPr="00BD7CEA">
        <w:rPr>
          <w:rFonts w:ascii="Tahoma" w:hAnsi="Tahoma"/>
          <w:color w:val="F66400"/>
          <w:sz w:val="22"/>
        </w:rPr>
        <w:t xml:space="preserve"> Windows Server 2008 R2 Enterprise</w:t>
      </w:r>
      <w:bookmarkEnd w:id="1589"/>
      <w:bookmarkEnd w:id="1594"/>
      <w:r w:rsidRPr="00BD7CEA">
        <w:rPr>
          <w:rFonts w:ascii="Tahoma" w:hAnsi="Tahoma"/>
          <w:color w:val="F66400"/>
          <w:sz w:val="22"/>
        </w:rPr>
        <w:t xml:space="preserve"> </w:t>
      </w:r>
      <w:bookmarkEnd w:id="1590"/>
    </w:p>
    <w:bookmarkEnd w:id="1591"/>
    <w:bookmarkEnd w:id="1592"/>
    <w:p w:rsidR="00156AE7" w:rsidRPr="00835398" w:rsidRDefault="00156AE7" w:rsidP="008C2FF8">
      <w:pPr>
        <w:ind w:left="900"/>
        <w:rPr>
          <w:sz w:val="16"/>
          <w:szCs w:val="16"/>
        </w:rPr>
      </w:pPr>
    </w:p>
    <w:p w:rsidR="00171927" w:rsidRPr="00BD7CEA" w:rsidRDefault="00156AE7" w:rsidP="00171927">
      <w:pPr>
        <w:spacing w:after="60"/>
        <w:ind w:left="720"/>
      </w:pPr>
      <w:r w:rsidRPr="00BD7CEA">
        <w:rPr>
          <w:b/>
          <w:color w:val="000000"/>
        </w:rPr>
        <w:t>Concessioni di licenza associate alla fine del ciclo di vita di Windows Server Enterprise</w:t>
      </w:r>
    </w:p>
    <w:p w:rsidR="00156AE7" w:rsidRPr="00BD7CEA" w:rsidRDefault="00156AE7" w:rsidP="008C2FF8">
      <w:pPr>
        <w:ind w:left="720"/>
      </w:pPr>
      <w:r w:rsidRPr="00BD7CEA">
        <w:rPr>
          <w:color w:val="000000"/>
        </w:rPr>
        <w:t>Windows Server 2008 R2 sarà l</w:t>
      </w:r>
      <w:r w:rsidR="007A1415" w:rsidRPr="00BD7CEA">
        <w:rPr>
          <w:color w:val="000000"/>
        </w:rPr>
        <w:t>’</w:t>
      </w:r>
      <w:r w:rsidRPr="00BD7CEA">
        <w:rPr>
          <w:color w:val="000000"/>
        </w:rPr>
        <w:t>ultima versione di Windows Server Enterprise.</w:t>
      </w:r>
      <w:r w:rsidR="008D782D" w:rsidRPr="00BD7CEA">
        <w:rPr>
          <w:color w:val="000000"/>
        </w:rPr>
        <w:t xml:space="preserve"> </w:t>
      </w:r>
      <w:r w:rsidRPr="00BD7CEA">
        <w:rPr>
          <w:color w:val="000000"/>
        </w:rPr>
        <w:t xml:space="preserve">Le società titolari di Contratti Multilicenza con copertura Software Assurance attiva per le licenze per Windows Server 2008 R2 Enterprise in data 1 settembre 2012 o in occasione della prima disponibilità di Windows Server 2012 per il download dal sito Web Volume Licensing Service Center, a seconda di quale evento si verificherà per primo, (“Licenze Qualificanti”) </w:t>
      </w:r>
      <w:r w:rsidRPr="00BD7CEA">
        <w:rPr>
          <w:rFonts w:eastAsia="Calibri" w:cs="Tahoma"/>
          <w:szCs w:val="18"/>
        </w:rPr>
        <w:t>saranno autorizzate a effettuare l</w:t>
      </w:r>
      <w:r w:rsidR="007A1415" w:rsidRPr="00BD7CEA">
        <w:rPr>
          <w:rFonts w:eastAsia="Calibri" w:cs="Tahoma"/>
          <w:szCs w:val="18"/>
        </w:rPr>
        <w:t>’</w:t>
      </w:r>
      <w:r w:rsidRPr="00BD7CEA">
        <w:rPr>
          <w:rFonts w:eastAsia="Calibri" w:cs="Tahoma"/>
          <w:szCs w:val="18"/>
        </w:rPr>
        <w:t>aggiornamento al software Windows Server 2012 Standard e</w:t>
      </w:r>
      <w:r w:rsidR="00C9349F" w:rsidRPr="00BD7CEA">
        <w:rPr>
          <w:rFonts w:eastAsia="Calibri" w:cs="Tahoma"/>
          <w:szCs w:val="18"/>
        </w:rPr>
        <w:t> </w:t>
      </w:r>
      <w:r w:rsidRPr="00BD7CEA">
        <w:rPr>
          <w:rFonts w:eastAsia="Calibri" w:cs="Tahoma"/>
          <w:szCs w:val="18"/>
        </w:rPr>
        <w:t>a utilizzarlo al posto di Windows Server 2008 R2 Enterprise. Per agevolare tale aggiornamento, per ogni Licenza Qualificante in suo possesso, alla società verrà concesso quanto segue in base alla disponibilità di Windows Server 2012:</w:t>
      </w:r>
    </w:p>
    <w:p w:rsidR="00171927" w:rsidRPr="00835398" w:rsidRDefault="00171927" w:rsidP="00835398">
      <w:pPr>
        <w:ind w:left="720"/>
        <w:rPr>
          <w:sz w:val="16"/>
          <w:szCs w:val="16"/>
        </w:rPr>
      </w:pPr>
    </w:p>
    <w:p w:rsidR="00156AE7" w:rsidRPr="00BD7CEA" w:rsidRDefault="00156AE7" w:rsidP="007358C5">
      <w:pPr>
        <w:numPr>
          <w:ilvl w:val="0"/>
          <w:numId w:val="51"/>
        </w:numPr>
        <w:spacing w:after="60"/>
        <w:ind w:left="1440"/>
      </w:pPr>
      <w:r w:rsidRPr="00BD7CEA">
        <w:rPr>
          <w:rFonts w:eastAsia="Calibri" w:cs="Tahoma"/>
          <w:szCs w:val="18"/>
        </w:rPr>
        <w:t>due licenze per Windows Server 2012 Standard o</w:t>
      </w:r>
    </w:p>
    <w:p w:rsidR="00156AE7" w:rsidRPr="00BD7CEA" w:rsidRDefault="00156AE7" w:rsidP="007358C5">
      <w:pPr>
        <w:numPr>
          <w:ilvl w:val="0"/>
          <w:numId w:val="51"/>
        </w:numPr>
        <w:spacing w:after="60"/>
        <w:ind w:left="1440"/>
      </w:pPr>
      <w:r w:rsidRPr="00BD7CEA">
        <w:rPr>
          <w:rFonts w:eastAsia="Calibri" w:cs="Tahoma"/>
          <w:szCs w:val="18"/>
        </w:rPr>
        <w:t xml:space="preserve">tre, nel caso di Licenze Qualificanti acquistate con la copertura SA o rinnovate nel periodo </w:t>
      </w:r>
      <w:r w:rsidR="00BE5025">
        <w:rPr>
          <w:rFonts w:eastAsia="Calibri" w:cs="Tahoma"/>
          <w:szCs w:val="18"/>
        </w:rPr>
        <w:br/>
      </w:r>
      <w:r w:rsidRPr="00BD7CEA">
        <w:rPr>
          <w:rFonts w:eastAsia="Calibri" w:cs="Tahoma"/>
          <w:szCs w:val="18"/>
        </w:rPr>
        <w:t>1 aprile</w:t>
      </w:r>
      <w:r w:rsidR="00FD7C0D">
        <w:rPr>
          <w:rFonts w:eastAsia="Calibri" w:cs="Tahoma"/>
          <w:szCs w:val="18"/>
        </w:rPr>
        <w:t xml:space="preserve"> – </w:t>
      </w:r>
      <w:r w:rsidRPr="00BD7CEA">
        <w:rPr>
          <w:rFonts w:eastAsia="Calibri" w:cs="Tahoma"/>
          <w:szCs w:val="18"/>
        </w:rPr>
        <w:t>31 agosto 2012 o</w:t>
      </w:r>
    </w:p>
    <w:p w:rsidR="00156AE7" w:rsidRPr="00BD7CEA" w:rsidRDefault="00156AE7" w:rsidP="007358C5">
      <w:pPr>
        <w:numPr>
          <w:ilvl w:val="0"/>
          <w:numId w:val="51"/>
        </w:numPr>
        <w:spacing w:after="60"/>
        <w:ind w:left="1440"/>
      </w:pPr>
      <w:r w:rsidRPr="00BD7CEA">
        <w:rPr>
          <w:rFonts w:eastAsia="Calibri" w:cs="Tahoma"/>
          <w:szCs w:val="18"/>
        </w:rPr>
        <w:lastRenderedPageBreak/>
        <w:t>quatto licenze per Windows Server 2012 Standard, qualora il numero effettivo di processori fisici sul server al quale viene ceduta la Licenza Qualificante sia maggiore di quattro. (In questi casi le società dovranno creare un record della configurazione dell</w:t>
      </w:r>
      <w:r w:rsidR="007A1415" w:rsidRPr="00BD7CEA">
        <w:rPr>
          <w:rFonts w:eastAsia="Calibri" w:cs="Tahoma"/>
          <w:szCs w:val="18"/>
        </w:rPr>
        <w:t>’</w:t>
      </w:r>
      <w:r w:rsidRPr="00BD7CEA">
        <w:rPr>
          <w:rFonts w:eastAsia="Calibri" w:cs="Tahoma"/>
          <w:szCs w:val="18"/>
        </w:rPr>
        <w:t>hardware fisico che supporta tale software prima della scadenza della copertura Software Assurance per le Licenze Qualificanti ai</w:t>
      </w:r>
      <w:r w:rsidR="005C652C" w:rsidRPr="00BD7CEA">
        <w:rPr>
          <w:rFonts w:eastAsia="Calibri" w:cs="Tahoma"/>
          <w:szCs w:val="18"/>
        </w:rPr>
        <w:t> </w:t>
      </w:r>
      <w:r w:rsidRPr="00BD7CEA">
        <w:rPr>
          <w:rFonts w:eastAsia="Calibri" w:cs="Tahoma"/>
          <w:szCs w:val="18"/>
        </w:rPr>
        <w:t>sensi del presente contratto, utilizzando lo strumento MAP di Microsoft o qualsiasi software equivalente. La presente concessione è disponibile solo per una Licenza Qualificante per server).</w:t>
      </w:r>
    </w:p>
    <w:p w:rsidR="00156AE7" w:rsidRPr="00BD7CEA" w:rsidRDefault="00156AE7" w:rsidP="007358C5">
      <w:pPr>
        <w:numPr>
          <w:ilvl w:val="0"/>
          <w:numId w:val="51"/>
        </w:numPr>
        <w:spacing w:after="60"/>
        <w:ind w:left="1440"/>
      </w:pPr>
      <w:r w:rsidRPr="00BD7CEA">
        <w:rPr>
          <w:rFonts w:eastAsia="Calibri" w:cs="Tahoma"/>
          <w:szCs w:val="18"/>
        </w:rPr>
        <w:t>Le licenze acquistate ai sensi della presente concessione includono la copertura Software Assurance.</w:t>
      </w:r>
      <w:r w:rsidR="008D782D" w:rsidRPr="00BD7CEA">
        <w:rPr>
          <w:rFonts w:eastAsia="Calibri" w:cs="Tahoma"/>
          <w:szCs w:val="18"/>
        </w:rPr>
        <w:t xml:space="preserve"> </w:t>
      </w:r>
      <w:r w:rsidRPr="00BD7CEA">
        <w:rPr>
          <w:rFonts w:eastAsia="Calibri" w:cs="Tahoma"/>
          <w:szCs w:val="18"/>
        </w:rPr>
        <w:t>Tale copertura cessa alla scadenza della corrispondente copertura per le Licenze Qualificanti.</w:t>
      </w:r>
    </w:p>
    <w:p w:rsidR="00156AE7" w:rsidRPr="00BD7CEA" w:rsidRDefault="00156AE7" w:rsidP="007358C5">
      <w:pPr>
        <w:numPr>
          <w:ilvl w:val="0"/>
          <w:numId w:val="51"/>
        </w:numPr>
        <w:spacing w:after="60"/>
        <w:ind w:left="1440"/>
      </w:pPr>
      <w:r w:rsidRPr="00BD7CEA">
        <w:rPr>
          <w:rFonts w:eastAsia="Calibri" w:cs="Tahoma"/>
          <w:szCs w:val="18"/>
        </w:rPr>
        <w:t>Nel caso in cui le società abbiano acquistato diritti perpetui di utilizzo del software ai sensi di Licenze Qualificanti, le licenze acquistate ai sensi della presente concessione saranno anch</w:t>
      </w:r>
      <w:r w:rsidR="007A1415" w:rsidRPr="00BD7CEA">
        <w:rPr>
          <w:rFonts w:eastAsia="Calibri" w:cs="Tahoma"/>
          <w:szCs w:val="18"/>
        </w:rPr>
        <w:t>’</w:t>
      </w:r>
      <w:r w:rsidRPr="00BD7CEA">
        <w:rPr>
          <w:rFonts w:eastAsia="Calibri" w:cs="Tahoma"/>
          <w:szCs w:val="18"/>
        </w:rPr>
        <w:t>esse perpetue; diversamente, le licenze acquistate ai sensi della presente concessione cesseranno alla scadenza delle Licenze Qualificanti sottostanti.</w:t>
      </w:r>
      <w:r w:rsidR="008D782D" w:rsidRPr="00BD7CEA">
        <w:rPr>
          <w:rFonts w:eastAsia="Calibri" w:cs="Tahoma"/>
          <w:szCs w:val="18"/>
        </w:rPr>
        <w:t xml:space="preserve"> </w:t>
      </w:r>
    </w:p>
    <w:p w:rsidR="00156AE7" w:rsidRPr="00BD7CEA" w:rsidRDefault="00156AE7" w:rsidP="007358C5">
      <w:pPr>
        <w:numPr>
          <w:ilvl w:val="0"/>
          <w:numId w:val="51"/>
        </w:numPr>
        <w:spacing w:after="60"/>
        <w:ind w:left="1440"/>
      </w:pPr>
      <w:r w:rsidRPr="00BD7CEA">
        <w:rPr>
          <w:rFonts w:eastAsia="Calibri" w:cs="Tahoma"/>
          <w:szCs w:val="18"/>
        </w:rPr>
        <w:t>Eseguendo l</w:t>
      </w:r>
      <w:r w:rsidR="007A1415" w:rsidRPr="00BD7CEA">
        <w:rPr>
          <w:rFonts w:eastAsia="Calibri" w:cs="Tahoma"/>
          <w:szCs w:val="18"/>
        </w:rPr>
        <w:t>’</w:t>
      </w:r>
      <w:r w:rsidRPr="00BD7CEA">
        <w:rPr>
          <w:rFonts w:eastAsia="Calibri" w:cs="Tahoma"/>
          <w:szCs w:val="18"/>
        </w:rPr>
        <w:t>aggiornamento a Windows Server 2012 Standard ai sensi della presente concessione, le Licenze Qualificanti in essere per Windows Server Enterprise non saranno più valide.</w:t>
      </w:r>
    </w:p>
    <w:p w:rsidR="00156AE7" w:rsidRPr="00BD7CEA" w:rsidRDefault="00156AE7" w:rsidP="007358C5">
      <w:pPr>
        <w:numPr>
          <w:ilvl w:val="0"/>
          <w:numId w:val="51"/>
        </w:numPr>
        <w:spacing w:after="60"/>
        <w:ind w:left="1440"/>
      </w:pPr>
      <w:r w:rsidRPr="00BD7CEA">
        <w:rPr>
          <w:rFonts w:eastAsia="Calibri" w:cs="Tahoma"/>
          <w:szCs w:val="18"/>
        </w:rPr>
        <w:t>Le licenze per Windows Server 2008 R2 Enterprise acquistate successivamente nello stesso periodo di validità dell</w:t>
      </w:r>
      <w:r w:rsidR="007A1415" w:rsidRPr="00BD7CEA">
        <w:rPr>
          <w:rFonts w:eastAsia="Calibri" w:cs="Tahoma"/>
          <w:szCs w:val="18"/>
        </w:rPr>
        <w:t>’</w:t>
      </w:r>
      <w:r w:rsidRPr="00BD7CEA">
        <w:rPr>
          <w:rFonts w:eastAsia="Calibri" w:cs="Tahoma"/>
          <w:szCs w:val="18"/>
        </w:rPr>
        <w:t>iscrizione nell</w:t>
      </w:r>
      <w:r w:rsidR="007A1415" w:rsidRPr="00BD7CEA">
        <w:rPr>
          <w:rFonts w:eastAsia="Calibri" w:cs="Tahoma"/>
          <w:szCs w:val="18"/>
        </w:rPr>
        <w:t>’</w:t>
      </w:r>
      <w:r w:rsidRPr="00BD7CEA">
        <w:rPr>
          <w:rFonts w:eastAsia="Calibri" w:cs="Tahoma"/>
          <w:szCs w:val="18"/>
        </w:rPr>
        <w:t>ambito di una procedura pianificata di true-up di una società Enterprise, Enterprise Subscription, Open Value Subscription o EES sono anch</w:t>
      </w:r>
      <w:r w:rsidR="007A1415" w:rsidRPr="00BD7CEA">
        <w:rPr>
          <w:rFonts w:eastAsia="Calibri" w:cs="Tahoma"/>
          <w:szCs w:val="18"/>
        </w:rPr>
        <w:t>’</w:t>
      </w:r>
      <w:r w:rsidRPr="00BD7CEA">
        <w:rPr>
          <w:rFonts w:eastAsia="Calibri" w:cs="Tahoma"/>
          <w:szCs w:val="18"/>
        </w:rPr>
        <w:t>esse Licenze Qualificanti per gli scopi previsti dalla suddetta concessione di licenze.</w:t>
      </w:r>
      <w:r w:rsidR="008D782D" w:rsidRPr="00BD7CEA">
        <w:rPr>
          <w:rFonts w:eastAsia="Calibri" w:cs="Tahoma"/>
          <w:szCs w:val="18"/>
        </w:rPr>
        <w:t xml:space="preserve"> </w:t>
      </w:r>
    </w:p>
    <w:p w:rsidR="00156AE7" w:rsidRPr="00BD7CEA" w:rsidRDefault="00156AE7" w:rsidP="007358C5">
      <w:pPr>
        <w:numPr>
          <w:ilvl w:val="0"/>
          <w:numId w:val="51"/>
        </w:numPr>
        <w:spacing w:after="60"/>
        <w:ind w:left="1440"/>
      </w:pPr>
      <w:r w:rsidRPr="00BD7CEA">
        <w:rPr>
          <w:rFonts w:eastAsia="Calibri" w:cs="Tahoma"/>
          <w:szCs w:val="18"/>
        </w:rPr>
        <w:t>Nonostante la concessione di licenze per Windows Server 2012 Standard e di aggiornamenti per tale versione, le obbligazioni di pagamento degli importi scaduti e dovuti per le Licenze Qualificanti e la copertura rimangono pienamente vincolanti ed efficaci.</w:t>
      </w:r>
    </w:p>
    <w:p w:rsidR="00047339" w:rsidRPr="00BD7CEA" w:rsidRDefault="00047339" w:rsidP="00171927">
      <w:pPr>
        <w:pStyle w:val="EndnoteText"/>
        <w:ind w:left="0"/>
      </w:pPr>
    </w:p>
    <w:p w:rsidR="00171927" w:rsidRPr="00BD7CEA" w:rsidRDefault="00171927" w:rsidP="00171927">
      <w:pPr>
        <w:pStyle w:val="EndnoteText"/>
        <w:ind w:left="0"/>
      </w:pPr>
    </w:p>
    <w:p w:rsidR="00EF1978" w:rsidRPr="00BD7CEA" w:rsidRDefault="00F66FB0" w:rsidP="00DD73EC">
      <w:pPr>
        <w:pStyle w:val="Heading3"/>
        <w:ind w:left="360" w:hanging="360"/>
        <w:rPr>
          <w:rFonts w:ascii="Tahoma" w:hAnsi="Tahoma"/>
          <w:caps/>
          <w:color w:val="F66400"/>
          <w:sz w:val="22"/>
        </w:rPr>
      </w:pPr>
      <w:bookmarkStart w:id="1595" w:name="_105_Windows_Server"/>
      <w:bookmarkStart w:id="1596" w:name="Srv_1102WinSvr08R2Itanium"/>
      <w:bookmarkStart w:id="1597" w:name="_Toc336338371"/>
      <w:bookmarkStart w:id="1598" w:name="_Toc353376143"/>
      <w:bookmarkStart w:id="1599" w:name="Srv_1132WinSvr08R2Itanium"/>
      <w:bookmarkStart w:id="1600" w:name="Srv_117WinSvr08R2Itanium"/>
      <w:bookmarkStart w:id="1601" w:name="Srv_98WinSvr08StdandHyperV"/>
      <w:bookmarkStart w:id="1602" w:name="Srv_99WinSvr08StdandHyperV"/>
      <w:bookmarkEnd w:id="1595"/>
      <w:r w:rsidRPr="00BD7CEA">
        <w:rPr>
          <w:rFonts w:ascii="Tahoma" w:hAnsi="Tahoma"/>
          <w:caps/>
          <w:color w:val="F66400"/>
          <w:sz w:val="22"/>
          <w:vertAlign w:val="superscript"/>
        </w:rPr>
        <w:t>105</w:t>
      </w:r>
      <w:r w:rsidRPr="00BD7CEA">
        <w:rPr>
          <w:rFonts w:ascii="Tahoma" w:hAnsi="Tahoma"/>
          <w:caps/>
          <w:color w:val="F66400"/>
          <w:sz w:val="22"/>
        </w:rPr>
        <w:t xml:space="preserve"> </w:t>
      </w:r>
      <w:r w:rsidR="00DD73EC" w:rsidRPr="00BD7CEA">
        <w:rPr>
          <w:rFonts w:ascii="Tahoma" w:hAnsi="Tahoma"/>
          <w:color w:val="F66400"/>
          <w:sz w:val="22"/>
        </w:rPr>
        <w:t>Windows Server 2008 R2 Per Sistemi Itanium</w:t>
      </w:r>
      <w:bookmarkEnd w:id="1596"/>
      <w:bookmarkEnd w:id="1597"/>
      <w:bookmarkEnd w:id="1598"/>
    </w:p>
    <w:bookmarkEnd w:id="1599"/>
    <w:bookmarkEnd w:id="1600"/>
    <w:p w:rsidR="00376D4B" w:rsidRPr="00BD7CEA" w:rsidRDefault="00376D4B" w:rsidP="007E3162">
      <w:pPr>
        <w:ind w:left="360"/>
      </w:pPr>
    </w:p>
    <w:p w:rsidR="007E3162" w:rsidRPr="00835398" w:rsidRDefault="006533DF" w:rsidP="007E3162">
      <w:pPr>
        <w:spacing w:after="60"/>
        <w:ind w:left="720"/>
        <w:rPr>
          <w:spacing w:val="-2"/>
        </w:rPr>
      </w:pPr>
      <w:r w:rsidRPr="00835398">
        <w:rPr>
          <w:b/>
          <w:color w:val="000000"/>
          <w:spacing w:val="-2"/>
        </w:rPr>
        <w:t>Concessioni di licenza associate alla fine del ciclo di vita di Windows Server per i Sistemi Itanium</w:t>
      </w:r>
    </w:p>
    <w:p w:rsidR="006533DF" w:rsidRPr="00BD7CEA" w:rsidRDefault="006533DF" w:rsidP="007E3162">
      <w:pPr>
        <w:ind w:left="720"/>
        <w:rPr>
          <w:spacing w:val="-2"/>
        </w:rPr>
      </w:pPr>
      <w:r w:rsidRPr="00BD7CEA">
        <w:rPr>
          <w:color w:val="000000"/>
          <w:spacing w:val="-2"/>
        </w:rPr>
        <w:t>Windows Server 2008 R2 sarà l</w:t>
      </w:r>
      <w:r w:rsidR="007A1415" w:rsidRPr="00BD7CEA">
        <w:rPr>
          <w:color w:val="000000"/>
          <w:spacing w:val="-2"/>
        </w:rPr>
        <w:t>’</w:t>
      </w:r>
      <w:r w:rsidRPr="00BD7CEA">
        <w:rPr>
          <w:color w:val="000000"/>
          <w:spacing w:val="-2"/>
        </w:rPr>
        <w:t>ultima versione di Windows Server per Sistemi Itanium.</w:t>
      </w:r>
      <w:r w:rsidR="008D782D" w:rsidRPr="00BD7CEA">
        <w:rPr>
          <w:color w:val="000000"/>
          <w:spacing w:val="-2"/>
        </w:rPr>
        <w:t xml:space="preserve"> </w:t>
      </w:r>
      <w:r w:rsidRPr="00BD7CEA">
        <w:rPr>
          <w:color w:val="000000"/>
          <w:spacing w:val="-2"/>
        </w:rPr>
        <w:t>Le società titolari di contratti multilicenza con copertura Software Assurance attiva per le licenze per Windows Server 2008 R2 per Sistemi Itanium in data 1 settembre 2012 o in occasione della prima disponibilità di Windows Server 2012 per il download dal sito Web Volume Licensing Service Center, a seconda di quale evento si verificherà per primo, (“Licenze Qualificanti”) saranno autorizzate a</w:t>
      </w:r>
      <w:r w:rsidRPr="00BD7CEA">
        <w:rPr>
          <w:rFonts w:eastAsia="Calibri" w:cs="Tahoma"/>
          <w:spacing w:val="-2"/>
          <w:szCs w:val="18"/>
        </w:rPr>
        <w:t xml:space="preserve"> effettuare l</w:t>
      </w:r>
      <w:r w:rsidR="007A1415" w:rsidRPr="00BD7CEA">
        <w:rPr>
          <w:rFonts w:eastAsia="Calibri" w:cs="Tahoma"/>
          <w:spacing w:val="-2"/>
          <w:szCs w:val="18"/>
        </w:rPr>
        <w:t>’</w:t>
      </w:r>
      <w:r w:rsidRPr="00BD7CEA">
        <w:rPr>
          <w:rFonts w:eastAsia="Calibri" w:cs="Tahoma"/>
          <w:spacing w:val="-2"/>
          <w:szCs w:val="18"/>
        </w:rPr>
        <w:t xml:space="preserve">aggiornamento al software Windows Server 2012 Datacenter e a utilizzarlo al posto di Windows Server 2008 R2 per Sistemi Itanium. Per agevolare tale aggiornamento, per due Licenze Qualificanti in suo possesso, alla società verrà concessa una licenza per processore per Windows Server 2012 Datacenter in base alla disponibilità di Windows Server 2012. </w:t>
      </w:r>
    </w:p>
    <w:p w:rsidR="007E3162" w:rsidRPr="00BD7CEA" w:rsidRDefault="007E3162" w:rsidP="007E3162">
      <w:pPr>
        <w:ind w:left="720"/>
      </w:pPr>
    </w:p>
    <w:p w:rsidR="006533DF" w:rsidRPr="00BD7CEA" w:rsidRDefault="006533DF" w:rsidP="007358C5">
      <w:pPr>
        <w:numPr>
          <w:ilvl w:val="0"/>
          <w:numId w:val="55"/>
        </w:numPr>
        <w:tabs>
          <w:tab w:val="clear" w:pos="360"/>
          <w:tab w:val="num" w:pos="1440"/>
        </w:tabs>
        <w:spacing w:after="60"/>
        <w:ind w:left="1440"/>
        <w:rPr>
          <w:spacing w:val="-2"/>
        </w:rPr>
      </w:pPr>
      <w:r w:rsidRPr="00BD7CEA">
        <w:rPr>
          <w:color w:val="000000"/>
          <w:spacing w:val="-2"/>
        </w:rPr>
        <w:t>Qualora una società disponga di un numero dispari di Licenze Qualificanti, dovrà arrotondarle per difetto al numero pari più vicino per determinare la quantità concessa.</w:t>
      </w:r>
      <w:r w:rsidR="008D782D" w:rsidRPr="00BD7CEA">
        <w:rPr>
          <w:color w:val="000000"/>
          <w:spacing w:val="-2"/>
        </w:rPr>
        <w:t xml:space="preserve"> </w:t>
      </w:r>
      <w:r w:rsidRPr="00BD7CEA">
        <w:rPr>
          <w:color w:val="000000"/>
          <w:spacing w:val="-2"/>
        </w:rPr>
        <w:t xml:space="preserve">Ad esempio, una società titolare di tre Licenze Qualificanti riceverà in totale una licenza per Windows Server 2012 Datacenter. </w:t>
      </w:r>
    </w:p>
    <w:p w:rsidR="006533DF" w:rsidRPr="00835398" w:rsidRDefault="006533DF" w:rsidP="007358C5">
      <w:pPr>
        <w:pStyle w:val="ListParagraph"/>
        <w:numPr>
          <w:ilvl w:val="0"/>
          <w:numId w:val="55"/>
        </w:numPr>
        <w:tabs>
          <w:tab w:val="clear" w:pos="360"/>
          <w:tab w:val="num" w:pos="1440"/>
        </w:tabs>
        <w:spacing w:after="60"/>
        <w:ind w:left="1440"/>
        <w:contextualSpacing w:val="0"/>
        <w:rPr>
          <w:spacing w:val="-2"/>
        </w:rPr>
      </w:pPr>
      <w:r w:rsidRPr="00835398">
        <w:rPr>
          <w:rFonts w:ascii="Tahoma" w:eastAsia="Calibri" w:hAnsi="Tahoma" w:cs="Tahoma"/>
          <w:spacing w:val="-2"/>
          <w:sz w:val="18"/>
          <w:szCs w:val="18"/>
        </w:rPr>
        <w:t>Le licenze acquistate ai sensi della presente concessione includono la copertura Software Assurance.</w:t>
      </w:r>
      <w:r w:rsidR="008D782D" w:rsidRPr="00835398">
        <w:rPr>
          <w:rFonts w:ascii="Tahoma" w:eastAsia="Calibri" w:hAnsi="Tahoma" w:cs="Tahoma"/>
          <w:spacing w:val="-2"/>
          <w:sz w:val="18"/>
          <w:szCs w:val="18"/>
        </w:rPr>
        <w:t xml:space="preserve"> </w:t>
      </w:r>
      <w:r w:rsidRPr="00835398">
        <w:rPr>
          <w:rFonts w:ascii="Tahoma" w:eastAsia="Calibri" w:hAnsi="Tahoma" w:cs="Tahoma"/>
          <w:spacing w:val="-2"/>
          <w:sz w:val="18"/>
          <w:szCs w:val="18"/>
        </w:rPr>
        <w:t>Tale copertura cessa alla scadenza della corrispondente copertura per le Licenze Qualificanti.</w:t>
      </w:r>
    </w:p>
    <w:p w:rsidR="006533DF" w:rsidRPr="00BD7CEA" w:rsidRDefault="006533DF" w:rsidP="007358C5">
      <w:pPr>
        <w:pStyle w:val="ListParagraph"/>
        <w:numPr>
          <w:ilvl w:val="0"/>
          <w:numId w:val="55"/>
        </w:numPr>
        <w:tabs>
          <w:tab w:val="clear" w:pos="360"/>
          <w:tab w:val="num" w:pos="1440"/>
        </w:tabs>
        <w:spacing w:after="60"/>
        <w:ind w:left="1440"/>
        <w:contextualSpacing w:val="0"/>
      </w:pPr>
      <w:r w:rsidRPr="00BD7CEA">
        <w:rPr>
          <w:rFonts w:ascii="Tahoma" w:eastAsia="Calibri" w:hAnsi="Tahoma" w:cs="Tahoma"/>
          <w:sz w:val="18"/>
          <w:szCs w:val="18"/>
        </w:rPr>
        <w:t>Nel caso in cui le società abbiano acquistato diritti perpetui di utilizzo del software ai sensi di Licenze Qualificanti, le licenze acquistate ai sensi della presente concessione saranno anch</w:t>
      </w:r>
      <w:r w:rsidR="007A1415" w:rsidRPr="00BD7CEA">
        <w:rPr>
          <w:rFonts w:ascii="Tahoma" w:eastAsia="Calibri" w:hAnsi="Tahoma" w:cs="Tahoma"/>
          <w:sz w:val="18"/>
          <w:szCs w:val="18"/>
        </w:rPr>
        <w:t>’</w:t>
      </w:r>
      <w:r w:rsidRPr="00BD7CEA">
        <w:rPr>
          <w:rFonts w:ascii="Tahoma" w:eastAsia="Calibri" w:hAnsi="Tahoma" w:cs="Tahoma"/>
          <w:sz w:val="18"/>
          <w:szCs w:val="18"/>
        </w:rPr>
        <w:t>esse perpetue; diversamente, le licenze acquistate ai sensi della presente concessione cesseranno alla scadenza delle Licenze Qualificanti sottostanti.</w:t>
      </w:r>
    </w:p>
    <w:p w:rsidR="006533DF" w:rsidRPr="00BD7CEA" w:rsidRDefault="006533DF" w:rsidP="007358C5">
      <w:pPr>
        <w:numPr>
          <w:ilvl w:val="0"/>
          <w:numId w:val="55"/>
        </w:numPr>
        <w:tabs>
          <w:tab w:val="clear" w:pos="360"/>
          <w:tab w:val="num" w:pos="1440"/>
        </w:tabs>
        <w:spacing w:after="60"/>
        <w:ind w:left="1440"/>
      </w:pPr>
      <w:r w:rsidRPr="00BD7CEA">
        <w:rPr>
          <w:rFonts w:eastAsia="Calibri" w:cs="Tahoma"/>
          <w:szCs w:val="18"/>
        </w:rPr>
        <w:t>Eseguendo l</w:t>
      </w:r>
      <w:r w:rsidR="007A1415" w:rsidRPr="00BD7CEA">
        <w:rPr>
          <w:rFonts w:eastAsia="Calibri" w:cs="Tahoma"/>
          <w:szCs w:val="18"/>
        </w:rPr>
        <w:t>’</w:t>
      </w:r>
      <w:r w:rsidRPr="00BD7CEA">
        <w:rPr>
          <w:rFonts w:eastAsia="Calibri" w:cs="Tahoma"/>
          <w:szCs w:val="18"/>
        </w:rPr>
        <w:t>aggiornamento a Windows Server 2012 Datacenter ai sensi della presente concessione, le Licenze Qualificanti in essere per Windows Server 2008 R2 per Sistemi Itanium non saranno più valide.</w:t>
      </w:r>
    </w:p>
    <w:p w:rsidR="006533DF" w:rsidRPr="00BD7CEA" w:rsidRDefault="006533DF" w:rsidP="007358C5">
      <w:pPr>
        <w:numPr>
          <w:ilvl w:val="0"/>
          <w:numId w:val="55"/>
        </w:numPr>
        <w:tabs>
          <w:tab w:val="clear" w:pos="360"/>
          <w:tab w:val="num" w:pos="1440"/>
        </w:tabs>
        <w:spacing w:after="60"/>
        <w:ind w:left="1440"/>
      </w:pPr>
      <w:r w:rsidRPr="00BD7CEA">
        <w:t xml:space="preserve">Le licenze per </w:t>
      </w:r>
      <w:r w:rsidRPr="00BD7CEA">
        <w:rPr>
          <w:color w:val="000000"/>
        </w:rPr>
        <w:t xml:space="preserve">Windows Server 2008 R2 per Sistemi Itanium </w:t>
      </w:r>
      <w:r w:rsidRPr="00BD7CEA">
        <w:rPr>
          <w:rFonts w:cs="Tahoma"/>
          <w:bCs/>
          <w:color w:val="000000"/>
          <w:szCs w:val="18"/>
        </w:rPr>
        <w:t>acquistate successivamente nello stesso periodo di validità dell</w:t>
      </w:r>
      <w:r w:rsidR="007A1415" w:rsidRPr="00BD7CEA">
        <w:rPr>
          <w:rFonts w:cs="Tahoma"/>
          <w:bCs/>
          <w:color w:val="000000"/>
          <w:szCs w:val="18"/>
        </w:rPr>
        <w:t>’</w:t>
      </w:r>
      <w:r w:rsidRPr="00BD7CEA">
        <w:rPr>
          <w:rFonts w:cs="Tahoma"/>
          <w:bCs/>
          <w:color w:val="000000"/>
          <w:szCs w:val="18"/>
        </w:rPr>
        <w:t>iscrizione nell</w:t>
      </w:r>
      <w:r w:rsidR="007A1415" w:rsidRPr="00BD7CEA">
        <w:rPr>
          <w:rFonts w:cs="Tahoma"/>
          <w:bCs/>
          <w:color w:val="000000"/>
          <w:szCs w:val="18"/>
        </w:rPr>
        <w:t>’</w:t>
      </w:r>
      <w:r w:rsidRPr="00BD7CEA">
        <w:rPr>
          <w:rFonts w:cs="Tahoma"/>
          <w:bCs/>
          <w:color w:val="000000"/>
          <w:szCs w:val="18"/>
        </w:rPr>
        <w:t>ambito di una procedura pianificata di true-up della società Enterprise, Enterprise Subscription, Open Value Subscription o EES sono anch</w:t>
      </w:r>
      <w:r w:rsidR="007A1415" w:rsidRPr="00BD7CEA">
        <w:rPr>
          <w:rFonts w:cs="Tahoma"/>
          <w:bCs/>
          <w:color w:val="000000"/>
          <w:szCs w:val="18"/>
        </w:rPr>
        <w:t>’</w:t>
      </w:r>
      <w:r w:rsidRPr="00BD7CEA">
        <w:rPr>
          <w:rFonts w:cs="Tahoma"/>
          <w:bCs/>
          <w:color w:val="000000"/>
          <w:szCs w:val="18"/>
        </w:rPr>
        <w:t>esse Licenze Qualificanti per gli scopi previsti dalla suddetta concessione.</w:t>
      </w:r>
      <w:r w:rsidR="008D782D" w:rsidRPr="00BD7CEA">
        <w:rPr>
          <w:rFonts w:cs="Tahoma"/>
          <w:bCs/>
          <w:color w:val="000000"/>
          <w:szCs w:val="18"/>
        </w:rPr>
        <w:t xml:space="preserve"> </w:t>
      </w:r>
    </w:p>
    <w:p w:rsidR="00586FCE" w:rsidRPr="00BD7CEA" w:rsidRDefault="006533DF" w:rsidP="00EF2279">
      <w:pPr>
        <w:numPr>
          <w:ilvl w:val="0"/>
          <w:numId w:val="55"/>
        </w:numPr>
        <w:tabs>
          <w:tab w:val="clear" w:pos="360"/>
          <w:tab w:val="num" w:pos="1440"/>
        </w:tabs>
        <w:spacing w:after="60"/>
        <w:ind w:left="1440"/>
      </w:pPr>
      <w:r w:rsidRPr="00835398">
        <w:rPr>
          <w:rFonts w:cs="Tahoma"/>
          <w:bCs/>
          <w:color w:val="000000"/>
          <w:szCs w:val="18"/>
        </w:rPr>
        <w:t>Nonostante la concessione di licenze per Windows Server 2012 Datacenter e di aggiornamenti per tale versione, le obbligazioni di pagamento degli importi scaduti e dovuti per le Licenze Qualificanti e la copertura rimangono pienamente vincolanti ed efficaci.</w:t>
      </w:r>
      <w:bookmarkStart w:id="1603" w:name="_117_Windows_Server"/>
      <w:bookmarkEnd w:id="1601"/>
      <w:bookmarkEnd w:id="1602"/>
      <w:bookmarkEnd w:id="1603"/>
    </w:p>
    <w:p w:rsidR="00FE1A01" w:rsidRPr="00BD7CEA" w:rsidRDefault="00F66FB0" w:rsidP="00EF2279">
      <w:pPr>
        <w:pStyle w:val="Heading3"/>
      </w:pPr>
      <w:bookmarkStart w:id="1604" w:name="_116_Windows_Server"/>
      <w:bookmarkStart w:id="1605" w:name="_106_Licenza_CAL"/>
      <w:bookmarkStart w:id="1606" w:name="_Toc336338372"/>
      <w:bookmarkStart w:id="1607" w:name="_Toc353376144"/>
      <w:bookmarkStart w:id="1608" w:name="Srv_101Win2008RemoteCALandExtConn"/>
      <w:bookmarkStart w:id="1609" w:name="Srv_115Win2008RemoteCALandExtConn"/>
      <w:bookmarkStart w:id="1610" w:name="Srv_119Win2008RemoteCALandExtConn"/>
      <w:bookmarkStart w:id="1611" w:name="Srv_101WindowsSvr2008RemoteDesktop"/>
      <w:bookmarkEnd w:id="1604"/>
      <w:bookmarkEnd w:id="1605"/>
      <w:r w:rsidRPr="00BD7CEA">
        <w:rPr>
          <w:rStyle w:val="Heading3Char"/>
          <w:rFonts w:ascii="Tahoma" w:hAnsi="Tahoma"/>
          <w:b/>
          <w:caps/>
          <w:color w:val="F66400"/>
          <w:sz w:val="22"/>
          <w:vertAlign w:val="superscript"/>
        </w:rPr>
        <w:lastRenderedPageBreak/>
        <w:t xml:space="preserve">106 </w:t>
      </w:r>
      <w:r w:rsidRPr="00BD7CEA">
        <w:rPr>
          <w:rFonts w:ascii="Tahoma" w:hAnsi="Tahoma"/>
          <w:color w:val="F66400"/>
          <w:sz w:val="22"/>
        </w:rPr>
        <w:t>Licenza CAL per Windows Server 2012</w:t>
      </w:r>
      <w:bookmarkEnd w:id="1606"/>
      <w:bookmarkEnd w:id="1607"/>
    </w:p>
    <w:p w:rsidR="00FE1A01" w:rsidRPr="00BD7CEA" w:rsidRDefault="00FE1A01" w:rsidP="002A01C2"/>
    <w:p w:rsidR="00FE1A01" w:rsidRPr="00BD7CEA" w:rsidRDefault="00FE1A01" w:rsidP="002A01C2">
      <w:pPr>
        <w:ind w:left="720"/>
      </w:pPr>
      <w:r w:rsidRPr="00BD7CEA">
        <w:rPr>
          <w:rFonts w:cs="Tahoma"/>
          <w:szCs w:val="18"/>
        </w:rPr>
        <w:t>La CAL per Windows Server 2012 è la versione successiva della CAL per Windows Server 2008.</w:t>
      </w:r>
    </w:p>
    <w:p w:rsidR="002A01C2" w:rsidRPr="00BD7CEA" w:rsidRDefault="002A01C2" w:rsidP="002A01C2">
      <w:pPr>
        <w:ind w:left="720"/>
      </w:pPr>
    </w:p>
    <w:p w:rsidR="002A01C2" w:rsidRPr="00BD7CEA" w:rsidRDefault="00FE1A01" w:rsidP="002A01C2">
      <w:pPr>
        <w:spacing w:after="60"/>
        <w:ind w:left="720"/>
      </w:pPr>
      <w:r w:rsidRPr="00BD7CEA">
        <w:rPr>
          <w:rFonts w:eastAsia="Calibri" w:cs="Tahoma"/>
          <w:b/>
          <w:szCs w:val="18"/>
        </w:rPr>
        <w:t>Utilizzo di Windows Server 2012 come Server Web</w:t>
      </w:r>
    </w:p>
    <w:p w:rsidR="00FE1A01" w:rsidRPr="00BD7CEA" w:rsidRDefault="00FE1A01" w:rsidP="002A01C2">
      <w:pPr>
        <w:ind w:left="720"/>
      </w:pPr>
      <w:r w:rsidRPr="00BD7CEA">
        <w:rPr>
          <w:rFonts w:cs="Tahoma"/>
          <w:color w:val="000000"/>
          <w:szCs w:val="18"/>
        </w:rPr>
        <w:t>Quando Windows Server 2012 Standard o Datacenter viene utilizzato come Server Web, non servono licenze CAL per accedere al software. Un “Carico di Lavoro Web” indica:</w:t>
      </w:r>
    </w:p>
    <w:p w:rsidR="002A01C2" w:rsidRPr="00BD7CEA" w:rsidRDefault="002A01C2" w:rsidP="002A01C2">
      <w:pPr>
        <w:pStyle w:val="PURBody-Indented"/>
        <w:spacing w:after="0"/>
        <w:ind w:left="720"/>
      </w:pPr>
    </w:p>
    <w:p w:rsidR="002A01C2" w:rsidRPr="00BD7CEA" w:rsidRDefault="006707A3" w:rsidP="002A01C2">
      <w:pPr>
        <w:pStyle w:val="PURBody-Indented"/>
        <w:spacing w:after="60"/>
        <w:ind w:left="720"/>
      </w:pPr>
      <w:r w:rsidRPr="00BD7CEA">
        <w:rPr>
          <w:rFonts w:ascii="Tahoma" w:hAnsi="Tahoma" w:cs="Tahoma"/>
          <w:b/>
          <w:bCs/>
          <w:sz w:val="18"/>
          <w:szCs w:val="18"/>
        </w:rPr>
        <w:t>Carico di Lavoro Web</w:t>
      </w:r>
      <w:r w:rsidRPr="00BD7CEA">
        <w:rPr>
          <w:rFonts w:ascii="Tahoma" w:hAnsi="Tahoma" w:cs="Tahoma"/>
          <w:b/>
          <w:sz w:val="18"/>
          <w:szCs w:val="18"/>
        </w:rPr>
        <w:t xml:space="preserve"> (Soluzioni per il Web su Internet)</w:t>
      </w:r>
    </w:p>
    <w:p w:rsidR="006707A3" w:rsidRPr="00BD7CEA" w:rsidRDefault="006707A3" w:rsidP="002A01C2">
      <w:pPr>
        <w:pStyle w:val="PURBody-Indented"/>
        <w:spacing w:after="0"/>
        <w:ind w:left="720"/>
      </w:pPr>
      <w:r w:rsidRPr="00BD7CEA">
        <w:rPr>
          <w:rFonts w:ascii="Tahoma" w:hAnsi="Tahoma" w:cs="Tahoma"/>
          <w:sz w:val="18"/>
          <w:szCs w:val="18"/>
        </w:rPr>
        <w:t>Le “soluzioni per il Web su Internet” sono accessibili pubblicamente e consistono esclusivamente di pagine Web, siti Web, applicazioni Web, servizi Web e/o servizi di posta POP3. Per maggiore chiarezza, l</w:t>
      </w:r>
      <w:r w:rsidR="007A1415" w:rsidRPr="00BD7CEA">
        <w:rPr>
          <w:rFonts w:ascii="Tahoma" w:hAnsi="Tahoma" w:cs="Tahoma"/>
          <w:sz w:val="18"/>
          <w:szCs w:val="18"/>
        </w:rPr>
        <w:t>’</w:t>
      </w:r>
      <w:r w:rsidRPr="00BD7CEA">
        <w:rPr>
          <w:rFonts w:ascii="Tahoma" w:hAnsi="Tahoma" w:cs="Tahoma"/>
          <w:sz w:val="18"/>
          <w:szCs w:val="18"/>
        </w:rPr>
        <w:t xml:space="preserve">accesso al contenuto, alle informazioni e alle applicazioni gestiti dal software in una soluzione per il Web su Internet non è limitata ai dipendenti del licenziatario o delle consociate del licenziatario. </w:t>
      </w:r>
    </w:p>
    <w:p w:rsidR="002A01C2" w:rsidRPr="00BD7CEA" w:rsidRDefault="002A01C2" w:rsidP="002A01C2">
      <w:pPr>
        <w:pStyle w:val="PURBody-Indented"/>
        <w:spacing w:after="0"/>
        <w:ind w:firstLine="450"/>
      </w:pPr>
    </w:p>
    <w:p w:rsidR="006707A3" w:rsidRPr="00BD7CEA" w:rsidRDefault="006707A3" w:rsidP="002A01C2">
      <w:pPr>
        <w:pStyle w:val="PURBody-Indented"/>
        <w:spacing w:after="0"/>
        <w:ind w:firstLine="450"/>
      </w:pPr>
      <w:r w:rsidRPr="00BD7CEA">
        <w:rPr>
          <w:rFonts w:ascii="Tahoma" w:hAnsi="Tahoma" w:cs="Tahoma"/>
          <w:sz w:val="18"/>
          <w:szCs w:val="18"/>
        </w:rPr>
        <w:t>Il licenziatario potrà utilizzare il software delle “Soluzioni per il Web su Internet” per eseguire:</w:t>
      </w:r>
    </w:p>
    <w:p w:rsidR="002A01C2" w:rsidRPr="00BD7CEA" w:rsidRDefault="002A01C2" w:rsidP="002A01C2">
      <w:pPr>
        <w:pStyle w:val="PURBody-Indented"/>
        <w:spacing w:after="0"/>
        <w:ind w:firstLine="450"/>
      </w:pPr>
    </w:p>
    <w:p w:rsidR="006707A3" w:rsidRPr="00BD7CEA" w:rsidRDefault="006707A3" w:rsidP="007358C5">
      <w:pPr>
        <w:pStyle w:val="PURBullet-Indented"/>
        <w:numPr>
          <w:ilvl w:val="0"/>
          <w:numId w:val="121"/>
        </w:numPr>
        <w:spacing w:after="60" w:line="240" w:lineRule="auto"/>
        <w:ind w:left="1440" w:hanging="360"/>
        <w:contextualSpacing w:val="0"/>
      </w:pPr>
      <w:r w:rsidRPr="00BD7CEA">
        <w:rPr>
          <w:rFonts w:ascii="Tahoma" w:hAnsi="Tahoma" w:cs="Tahoma"/>
          <w:sz w:val="18"/>
          <w:szCs w:val="18"/>
        </w:rPr>
        <w:t>software server Web (ad esempio, Microsoft Internet Information Services) e agenti di gestione o</w:t>
      </w:r>
      <w:r w:rsidR="005C652C" w:rsidRPr="00BD7CEA">
        <w:rPr>
          <w:rFonts w:ascii="Tahoma" w:hAnsi="Tahoma" w:cs="Tahoma"/>
          <w:sz w:val="18"/>
          <w:szCs w:val="18"/>
        </w:rPr>
        <w:t> </w:t>
      </w:r>
      <w:r w:rsidRPr="00BD7CEA">
        <w:rPr>
          <w:rFonts w:ascii="Tahoma" w:hAnsi="Tahoma" w:cs="Tahoma"/>
          <w:sz w:val="18"/>
          <w:szCs w:val="18"/>
        </w:rPr>
        <w:t>di sicurezza (ad esempio l</w:t>
      </w:r>
      <w:r w:rsidR="007A1415" w:rsidRPr="00BD7CEA">
        <w:rPr>
          <w:rFonts w:ascii="Tahoma" w:hAnsi="Tahoma" w:cs="Tahoma"/>
          <w:sz w:val="18"/>
          <w:szCs w:val="18"/>
        </w:rPr>
        <w:t>’</w:t>
      </w:r>
      <w:r w:rsidRPr="00BD7CEA">
        <w:rPr>
          <w:rFonts w:ascii="Tahoma" w:hAnsi="Tahoma" w:cs="Tahoma"/>
          <w:sz w:val="18"/>
          <w:szCs w:val="18"/>
        </w:rPr>
        <w:t>agente System Center Operations Manager);</w:t>
      </w:r>
    </w:p>
    <w:p w:rsidR="006707A3" w:rsidRPr="00BD7CEA" w:rsidRDefault="006707A3" w:rsidP="007358C5">
      <w:pPr>
        <w:pStyle w:val="PURBullet-Indented"/>
        <w:numPr>
          <w:ilvl w:val="0"/>
          <w:numId w:val="121"/>
        </w:numPr>
        <w:spacing w:after="60" w:line="240" w:lineRule="auto"/>
        <w:ind w:left="1440" w:hanging="360"/>
        <w:contextualSpacing w:val="0"/>
      </w:pPr>
      <w:r w:rsidRPr="00BD7CEA">
        <w:rPr>
          <w:rFonts w:ascii="Tahoma" w:hAnsi="Tahoma" w:cs="Tahoma"/>
          <w:sz w:val="18"/>
          <w:szCs w:val="18"/>
        </w:rPr>
        <w:t xml:space="preserve">software del motore di database (ad esempio, Microsoft SQL Server) esclusivamente per supportare le soluzioni per il Web su Internet; </w:t>
      </w:r>
    </w:p>
    <w:p w:rsidR="006707A3" w:rsidRPr="00BD7CEA" w:rsidRDefault="006707A3" w:rsidP="007358C5">
      <w:pPr>
        <w:pStyle w:val="PURBullet-Indented"/>
        <w:numPr>
          <w:ilvl w:val="0"/>
          <w:numId w:val="121"/>
        </w:numPr>
        <w:spacing w:after="60" w:line="240" w:lineRule="auto"/>
        <w:ind w:left="1440" w:hanging="360"/>
        <w:contextualSpacing w:val="0"/>
      </w:pPr>
      <w:r w:rsidRPr="00BD7CEA">
        <w:rPr>
          <w:rFonts w:ascii="Tahoma" w:hAnsi="Tahoma" w:cs="Tahoma"/>
          <w:sz w:val="18"/>
          <w:szCs w:val="18"/>
        </w:rPr>
        <w:t>il servizio Domain Name System (DNS) per fornire la risoluzione dei nomi Internet agli indirizzi IP a</w:t>
      </w:r>
      <w:r w:rsidR="005C652C" w:rsidRPr="00BD7CEA">
        <w:rPr>
          <w:rFonts w:ascii="Tahoma" w:hAnsi="Tahoma" w:cs="Tahoma"/>
          <w:sz w:val="18"/>
          <w:szCs w:val="18"/>
        </w:rPr>
        <w:t> </w:t>
      </w:r>
      <w:r w:rsidRPr="00BD7CEA">
        <w:rPr>
          <w:rFonts w:ascii="Tahoma" w:hAnsi="Tahoma" w:cs="Tahoma"/>
          <w:sz w:val="18"/>
          <w:szCs w:val="18"/>
        </w:rPr>
        <w:t>condizione che non sia l</w:t>
      </w:r>
      <w:r w:rsidR="007A1415" w:rsidRPr="00BD7CEA">
        <w:rPr>
          <w:rFonts w:ascii="Tahoma" w:hAnsi="Tahoma" w:cs="Tahoma"/>
          <w:sz w:val="18"/>
          <w:szCs w:val="18"/>
        </w:rPr>
        <w:t>’</w:t>
      </w:r>
      <w:r w:rsidRPr="00BD7CEA">
        <w:rPr>
          <w:rFonts w:ascii="Tahoma" w:hAnsi="Tahoma" w:cs="Tahoma"/>
          <w:sz w:val="18"/>
          <w:szCs w:val="18"/>
        </w:rPr>
        <w:t>unica funzione di quell</w:t>
      </w:r>
      <w:r w:rsidR="007A1415" w:rsidRPr="00BD7CEA">
        <w:rPr>
          <w:rFonts w:ascii="Tahoma" w:hAnsi="Tahoma" w:cs="Tahoma"/>
          <w:sz w:val="18"/>
          <w:szCs w:val="18"/>
        </w:rPr>
        <w:t>’</w:t>
      </w:r>
      <w:r w:rsidRPr="00BD7CEA">
        <w:rPr>
          <w:rFonts w:ascii="Tahoma" w:hAnsi="Tahoma" w:cs="Tahoma"/>
          <w:sz w:val="18"/>
          <w:szCs w:val="18"/>
        </w:rPr>
        <w:t>istanza del software.</w:t>
      </w:r>
    </w:p>
    <w:p w:rsidR="000D5F24" w:rsidRPr="00BD7CEA" w:rsidRDefault="000D5F24"/>
    <w:p w:rsidR="002A01C2" w:rsidRPr="00BD7CEA" w:rsidRDefault="00FE1A01" w:rsidP="002A01C2">
      <w:pPr>
        <w:spacing w:after="60"/>
        <w:ind w:left="720"/>
      </w:pPr>
      <w:r w:rsidRPr="00BD7CEA">
        <w:rPr>
          <w:rFonts w:eastAsia="Calibri" w:cs="Tahoma"/>
          <w:b/>
          <w:szCs w:val="18"/>
        </w:rPr>
        <w:t>Utilizzo di Windows Server 2012 per High Performance Computing (HPC)</w:t>
      </w:r>
    </w:p>
    <w:p w:rsidR="005C652C" w:rsidRPr="00BD7CEA" w:rsidRDefault="00FE1A01" w:rsidP="00835398">
      <w:pPr>
        <w:ind w:left="720"/>
      </w:pPr>
      <w:r w:rsidRPr="00BD7CEA">
        <w:rPr>
          <w:color w:val="000000"/>
        </w:rPr>
        <w:t>Quando Windows Server 2012 Standard o Datacenter viene utilizzato per High Performance Computing, non servono licenze CAL per accedere al software. Un “Carico di Lavoro High Performance Computing (“HPC”)” indica un carico di lavoro nel quale il software server viene utilizzato per eseguire un Nodo del Cluster e per consentire, insieme ad altro software, la gestione dei sistemi, la gestione della protezione e dell</w:t>
      </w:r>
      <w:r w:rsidR="007A1415" w:rsidRPr="00BD7CEA">
        <w:rPr>
          <w:color w:val="000000"/>
        </w:rPr>
        <w:t>’</w:t>
      </w:r>
      <w:r w:rsidRPr="00BD7CEA">
        <w:rPr>
          <w:color w:val="000000"/>
        </w:rPr>
        <w:t>archiviazione o il miglioramento delle prestazioni in un nodo del cluster allo scopo di supportare le Applicazioni HPC con cluster. Ulteriori dettagli sono disponibili nei Diritti di Utilizzo del Prodotto.</w:t>
      </w:r>
      <w:bookmarkEnd w:id="1608"/>
      <w:bookmarkEnd w:id="1609"/>
      <w:bookmarkEnd w:id="1610"/>
    </w:p>
    <w:p w:rsidR="005C652C" w:rsidRPr="00BD7CEA" w:rsidRDefault="005C652C" w:rsidP="002A01C2"/>
    <w:p w:rsidR="005C652C" w:rsidRPr="00BD7CEA" w:rsidRDefault="005C652C" w:rsidP="002A01C2"/>
    <w:p w:rsidR="00F745E1" w:rsidRPr="00BD7CEA" w:rsidRDefault="00F66FB0" w:rsidP="00F745E1">
      <w:pPr>
        <w:pStyle w:val="Heading3"/>
        <w:ind w:left="360" w:hanging="360"/>
      </w:pPr>
      <w:bookmarkStart w:id="1612" w:name="_114_Windows_Server"/>
      <w:bookmarkStart w:id="1613" w:name="_107_Windows_Server"/>
      <w:bookmarkStart w:id="1614" w:name="_Toc336338373"/>
      <w:bookmarkStart w:id="1615" w:name="_Toc353376145"/>
      <w:bookmarkStart w:id="1616" w:name="Srv_111WinSvr08R2Datacenter"/>
      <w:bookmarkStart w:id="1617" w:name="Srv_115WinSvr08R2Datacenter"/>
      <w:bookmarkEnd w:id="1612"/>
      <w:bookmarkEnd w:id="1613"/>
      <w:r w:rsidRPr="00BD7CEA">
        <w:rPr>
          <w:rFonts w:ascii="Tahoma" w:hAnsi="Tahoma"/>
          <w:caps/>
          <w:color w:val="F66400"/>
          <w:sz w:val="22"/>
          <w:vertAlign w:val="superscript"/>
        </w:rPr>
        <w:t xml:space="preserve">107 </w:t>
      </w:r>
      <w:r w:rsidRPr="00BD7CEA">
        <w:rPr>
          <w:rFonts w:ascii="Tahoma" w:hAnsi="Tahoma"/>
          <w:color w:val="F66400"/>
          <w:sz w:val="22"/>
        </w:rPr>
        <w:t>Windows Server 2008 R2 Datacenter</w:t>
      </w:r>
      <w:bookmarkEnd w:id="1614"/>
      <w:bookmarkEnd w:id="1615"/>
      <w:r w:rsidRPr="00BD7CEA">
        <w:rPr>
          <w:rFonts w:ascii="Tahoma" w:hAnsi="Tahoma"/>
          <w:color w:val="F66400"/>
          <w:sz w:val="22"/>
        </w:rPr>
        <w:t xml:space="preserve"> </w:t>
      </w:r>
    </w:p>
    <w:bookmarkEnd w:id="1616"/>
    <w:bookmarkEnd w:id="1617"/>
    <w:p w:rsidR="00F745E1" w:rsidRPr="00BD7CEA" w:rsidRDefault="00F745E1" w:rsidP="00F745E1">
      <w:pPr>
        <w:ind w:left="900"/>
      </w:pPr>
    </w:p>
    <w:p w:rsidR="002A01C2" w:rsidRPr="00BD7CEA" w:rsidRDefault="00F745E1" w:rsidP="002A01C2">
      <w:pPr>
        <w:spacing w:after="60"/>
        <w:ind w:left="720"/>
      </w:pPr>
      <w:r w:rsidRPr="00BD7CEA">
        <w:rPr>
          <w:b/>
          <w:color w:val="000000"/>
        </w:rPr>
        <w:t>Concessioni di licenza associate alla variazione del modello di licenza per Windows Server Datacenter</w:t>
      </w:r>
    </w:p>
    <w:p w:rsidR="00F745E1" w:rsidRPr="00BD7CEA" w:rsidRDefault="00F745E1" w:rsidP="00F745E1">
      <w:pPr>
        <w:spacing w:after="200"/>
        <w:ind w:left="720"/>
      </w:pPr>
      <w:r w:rsidRPr="00BD7CEA">
        <w:rPr>
          <w:color w:val="000000"/>
        </w:rPr>
        <w:t>Windows Server 2012 Datacenter sarà concesso in licenza ai sensi di un nuovo modello di licenza in base al</w:t>
      </w:r>
      <w:r w:rsidR="005C652C" w:rsidRPr="00BD7CEA">
        <w:rPr>
          <w:color w:val="000000"/>
        </w:rPr>
        <w:t> </w:t>
      </w:r>
      <w:r w:rsidRPr="00BD7CEA">
        <w:rPr>
          <w:color w:val="000000"/>
        </w:rPr>
        <w:t>quale ciascuna licenza può coprire fino a due processori fisici. Le società titolari di contratti multilicenza con copertura Software Assurance attiva per le licenze per Windows Server 2008 R2 Datacenter in data 1</w:t>
      </w:r>
      <w:r w:rsidR="00F340B2">
        <w:rPr>
          <w:color w:val="000000"/>
        </w:rPr>
        <w:t> </w:t>
      </w:r>
      <w:r w:rsidRPr="00BD7CEA">
        <w:rPr>
          <w:color w:val="000000"/>
        </w:rPr>
        <w:t>settembre 2012 o in occasione della prima disponibilità di Windows Server 2012 per il download dal sito</w:t>
      </w:r>
      <w:r w:rsidR="00F340B2">
        <w:rPr>
          <w:color w:val="000000"/>
        </w:rPr>
        <w:t> </w:t>
      </w:r>
      <w:r w:rsidRPr="00BD7CEA">
        <w:rPr>
          <w:color w:val="000000"/>
        </w:rPr>
        <w:t>Web Volume Licensing Service Center, a seconda di quale evento si verificherà per primo, (“Licenze Qualificanti”) saranno autorizzate a</w:t>
      </w:r>
      <w:r w:rsidRPr="00BD7CEA">
        <w:rPr>
          <w:rFonts w:eastAsia="Calibri" w:cs="Tahoma"/>
          <w:szCs w:val="18"/>
        </w:rPr>
        <w:t xml:space="preserve"> effettuare l</w:t>
      </w:r>
      <w:r w:rsidR="007A1415" w:rsidRPr="00BD7CEA">
        <w:rPr>
          <w:rFonts w:eastAsia="Calibri" w:cs="Tahoma"/>
          <w:szCs w:val="18"/>
        </w:rPr>
        <w:t>’</w:t>
      </w:r>
      <w:r w:rsidRPr="00BD7CEA">
        <w:rPr>
          <w:rFonts w:eastAsia="Calibri" w:cs="Tahoma"/>
          <w:szCs w:val="18"/>
        </w:rPr>
        <w:t xml:space="preserve">aggiornamento al software Windows Server 2012 Datacenter e a utilizzarlo al posto di Windows Server 2008 R2 Datacenter. Per agevolare tale aggiornamento, per due Licenze Qualificanti in suo possesso, alla società verrà concessa una licenza per processore per Windows Server 2012 Datacenter in base alla disponibilità di Windows Server 2012. </w:t>
      </w:r>
    </w:p>
    <w:p w:rsidR="00F745E1" w:rsidRPr="00BD7CEA" w:rsidRDefault="00F745E1" w:rsidP="007358C5">
      <w:pPr>
        <w:numPr>
          <w:ilvl w:val="0"/>
          <w:numId w:val="51"/>
        </w:numPr>
        <w:spacing w:afterLines="60" w:after="144"/>
        <w:ind w:left="1440" w:hanging="274"/>
        <w:rPr>
          <w:spacing w:val="-2"/>
        </w:rPr>
      </w:pPr>
      <w:r w:rsidRPr="00BD7CEA">
        <w:rPr>
          <w:color w:val="000000"/>
          <w:spacing w:val="-2"/>
        </w:rPr>
        <w:t>Qualora una società disponga di un numero dispari di Licenze Qualificanti, dovrà arrotondarle per difetto al numero pari più vicino per determinare la quantità concessa.</w:t>
      </w:r>
      <w:r w:rsidR="008D782D" w:rsidRPr="00BD7CEA">
        <w:rPr>
          <w:color w:val="000000"/>
          <w:spacing w:val="-2"/>
        </w:rPr>
        <w:t xml:space="preserve"> </w:t>
      </w:r>
      <w:r w:rsidRPr="00BD7CEA">
        <w:rPr>
          <w:color w:val="000000"/>
          <w:spacing w:val="-2"/>
        </w:rPr>
        <w:t xml:space="preserve">Ad esempio, una società titolare di tre Licenze Qualificanti riceverà in totale una licenza per Windows Server 2012 Datacenter. </w:t>
      </w:r>
    </w:p>
    <w:p w:rsidR="00F745E1" w:rsidRPr="00835398" w:rsidRDefault="00F745E1" w:rsidP="007358C5">
      <w:pPr>
        <w:numPr>
          <w:ilvl w:val="0"/>
          <w:numId w:val="51"/>
        </w:numPr>
        <w:tabs>
          <w:tab w:val="left" w:pos="990"/>
        </w:tabs>
        <w:spacing w:afterLines="60" w:after="144"/>
        <w:ind w:left="1440" w:hanging="274"/>
        <w:rPr>
          <w:spacing w:val="-2"/>
        </w:rPr>
      </w:pPr>
      <w:r w:rsidRPr="00835398">
        <w:rPr>
          <w:rFonts w:eastAsia="Calibri" w:cs="Tahoma"/>
          <w:spacing w:val="-2"/>
          <w:szCs w:val="18"/>
        </w:rPr>
        <w:t>Le licenze acquistate ai sensi della presente concessione includono la copertura Software Assurance.</w:t>
      </w:r>
      <w:r w:rsidR="008D782D" w:rsidRPr="00835398">
        <w:rPr>
          <w:rFonts w:eastAsia="Calibri" w:cs="Tahoma"/>
          <w:spacing w:val="-2"/>
          <w:szCs w:val="18"/>
        </w:rPr>
        <w:t xml:space="preserve"> </w:t>
      </w:r>
      <w:r w:rsidRPr="00835398">
        <w:rPr>
          <w:rFonts w:eastAsia="Calibri" w:cs="Tahoma"/>
          <w:spacing w:val="-2"/>
          <w:szCs w:val="18"/>
        </w:rPr>
        <w:t>Tale copertura cessa alla scadenza della corrispondente copertura per le Licenze Qualificanti.</w:t>
      </w:r>
    </w:p>
    <w:p w:rsidR="00F745E1" w:rsidRPr="00BD7CEA" w:rsidRDefault="00F745E1" w:rsidP="007358C5">
      <w:pPr>
        <w:numPr>
          <w:ilvl w:val="0"/>
          <w:numId w:val="51"/>
        </w:numPr>
        <w:tabs>
          <w:tab w:val="left" w:pos="990"/>
        </w:tabs>
        <w:spacing w:afterLines="60" w:after="144"/>
        <w:ind w:left="1440" w:hanging="274"/>
      </w:pPr>
      <w:r w:rsidRPr="00BD7CEA">
        <w:rPr>
          <w:rFonts w:eastAsia="Calibri" w:cs="Tahoma"/>
          <w:szCs w:val="18"/>
        </w:rPr>
        <w:t>Nel caso in cui le società abbiano acquistato diritti perpetui di utilizzo del software ai sensi di Licenze Qualificanti, le licenze acquistate ai sensi della presente concessione saranno anch</w:t>
      </w:r>
      <w:r w:rsidR="007A1415" w:rsidRPr="00BD7CEA">
        <w:rPr>
          <w:rFonts w:eastAsia="Calibri" w:cs="Tahoma"/>
          <w:szCs w:val="18"/>
        </w:rPr>
        <w:t>’</w:t>
      </w:r>
      <w:r w:rsidRPr="00BD7CEA">
        <w:rPr>
          <w:rFonts w:eastAsia="Calibri" w:cs="Tahoma"/>
          <w:szCs w:val="18"/>
        </w:rPr>
        <w:t>esse perpetue; diversamente, le licenze acquistate ai sensi della presente concessione cesseranno alla scadenza delle Licenze Qualificanti sottostanti.</w:t>
      </w:r>
    </w:p>
    <w:p w:rsidR="00F745E1" w:rsidRPr="00BD7CEA" w:rsidRDefault="00F745E1" w:rsidP="007358C5">
      <w:pPr>
        <w:numPr>
          <w:ilvl w:val="0"/>
          <w:numId w:val="55"/>
        </w:numPr>
        <w:spacing w:afterLines="60" w:after="144"/>
        <w:ind w:left="1440" w:hanging="274"/>
        <w:rPr>
          <w:spacing w:val="-2"/>
        </w:rPr>
      </w:pPr>
      <w:r w:rsidRPr="00BD7CEA">
        <w:rPr>
          <w:rFonts w:eastAsia="Calibri" w:cs="Tahoma"/>
          <w:spacing w:val="-2"/>
          <w:szCs w:val="18"/>
        </w:rPr>
        <w:lastRenderedPageBreak/>
        <w:t>Eseguendo l</w:t>
      </w:r>
      <w:r w:rsidR="007A1415" w:rsidRPr="00BD7CEA">
        <w:rPr>
          <w:rFonts w:eastAsia="Calibri" w:cs="Tahoma"/>
          <w:spacing w:val="-2"/>
          <w:szCs w:val="18"/>
        </w:rPr>
        <w:t>’</w:t>
      </w:r>
      <w:r w:rsidRPr="00BD7CEA">
        <w:rPr>
          <w:rFonts w:eastAsia="Calibri" w:cs="Tahoma"/>
          <w:spacing w:val="-2"/>
          <w:szCs w:val="18"/>
        </w:rPr>
        <w:t>aggiornamento a Windows Server 2012 Datacenter ai sensi della presente concessione, le Licenze Qualificanti in essere per Windows Server 2008 R2 Datacenter non saranno più valide.</w:t>
      </w:r>
    </w:p>
    <w:p w:rsidR="00F745E1" w:rsidRPr="00BD7CEA" w:rsidRDefault="00F745E1" w:rsidP="007358C5">
      <w:pPr>
        <w:numPr>
          <w:ilvl w:val="0"/>
          <w:numId w:val="55"/>
        </w:numPr>
        <w:spacing w:afterLines="60" w:after="144"/>
        <w:ind w:left="1440" w:hanging="274"/>
      </w:pPr>
      <w:r w:rsidRPr="00BD7CEA">
        <w:t xml:space="preserve">Le licenze per </w:t>
      </w:r>
      <w:r w:rsidRPr="00BD7CEA">
        <w:rPr>
          <w:color w:val="000000"/>
        </w:rPr>
        <w:t xml:space="preserve">Windows Server 2008 R2 Datacenter </w:t>
      </w:r>
      <w:r w:rsidRPr="00BD7CEA">
        <w:rPr>
          <w:rFonts w:cs="Tahoma"/>
          <w:bCs/>
          <w:color w:val="000000"/>
          <w:szCs w:val="18"/>
        </w:rPr>
        <w:t>acquistate successivamente nello stesso periodo di validità dell</w:t>
      </w:r>
      <w:r w:rsidR="007A1415" w:rsidRPr="00BD7CEA">
        <w:rPr>
          <w:rFonts w:cs="Tahoma"/>
          <w:bCs/>
          <w:color w:val="000000"/>
          <w:szCs w:val="18"/>
        </w:rPr>
        <w:t>’</w:t>
      </w:r>
      <w:r w:rsidRPr="00BD7CEA">
        <w:rPr>
          <w:rFonts w:cs="Tahoma"/>
          <w:bCs/>
          <w:color w:val="000000"/>
          <w:szCs w:val="18"/>
        </w:rPr>
        <w:t>iscrizione nell</w:t>
      </w:r>
      <w:r w:rsidR="007A1415" w:rsidRPr="00BD7CEA">
        <w:rPr>
          <w:rFonts w:cs="Tahoma"/>
          <w:bCs/>
          <w:color w:val="000000"/>
          <w:szCs w:val="18"/>
        </w:rPr>
        <w:t>’</w:t>
      </w:r>
      <w:r w:rsidRPr="00BD7CEA">
        <w:rPr>
          <w:rFonts w:cs="Tahoma"/>
          <w:bCs/>
          <w:color w:val="000000"/>
          <w:szCs w:val="18"/>
        </w:rPr>
        <w:t>ambito di una procedura pianificata di true-up di una società Enterprise, Enterprise Subscription, Open Value Subscription o EES sono anch</w:t>
      </w:r>
      <w:r w:rsidR="007A1415" w:rsidRPr="00BD7CEA">
        <w:rPr>
          <w:rFonts w:cs="Tahoma"/>
          <w:bCs/>
          <w:color w:val="000000"/>
          <w:szCs w:val="18"/>
        </w:rPr>
        <w:t>’</w:t>
      </w:r>
      <w:r w:rsidRPr="00BD7CEA">
        <w:rPr>
          <w:rFonts w:cs="Tahoma"/>
          <w:bCs/>
          <w:color w:val="000000"/>
          <w:szCs w:val="18"/>
        </w:rPr>
        <w:t>esse Licenze Qualificanti per gli scopi previsti dalla suddetta concessione.</w:t>
      </w:r>
      <w:r w:rsidR="008D782D" w:rsidRPr="00BD7CEA">
        <w:rPr>
          <w:rFonts w:cs="Tahoma"/>
          <w:bCs/>
          <w:color w:val="000000"/>
          <w:szCs w:val="18"/>
        </w:rPr>
        <w:t xml:space="preserve"> </w:t>
      </w:r>
    </w:p>
    <w:p w:rsidR="00FD1141" w:rsidRPr="00BD7CEA" w:rsidRDefault="00FD1141" w:rsidP="007358C5">
      <w:pPr>
        <w:numPr>
          <w:ilvl w:val="0"/>
          <w:numId w:val="55"/>
        </w:numPr>
        <w:spacing w:afterLines="60" w:after="144"/>
        <w:ind w:left="1440" w:hanging="274"/>
      </w:pPr>
      <w:r w:rsidRPr="00BD7CEA">
        <w:rPr>
          <w:rFonts w:cs="Tahoma"/>
        </w:rPr>
        <w:t>Le licenze per processore singolo per Windows Server Datacenter acquistate dopo il 1 settembre 2012 con copertura Software Assurance sono anch</w:t>
      </w:r>
      <w:r w:rsidR="007A1415" w:rsidRPr="00BD7CEA">
        <w:rPr>
          <w:rFonts w:cs="Tahoma"/>
        </w:rPr>
        <w:t>’</w:t>
      </w:r>
      <w:r w:rsidRPr="00BD7CEA">
        <w:rPr>
          <w:rFonts w:cs="Tahoma"/>
        </w:rPr>
        <w:t>esse Licenze Qualificanti per gli scopi previsti dalla suddetta concessione. </w:t>
      </w:r>
    </w:p>
    <w:p w:rsidR="00F745E1" w:rsidRPr="00BD7CEA" w:rsidRDefault="00F745E1" w:rsidP="007358C5">
      <w:pPr>
        <w:numPr>
          <w:ilvl w:val="0"/>
          <w:numId w:val="55"/>
        </w:numPr>
        <w:spacing w:afterLines="60" w:after="144"/>
        <w:ind w:left="1440" w:hanging="274"/>
      </w:pPr>
      <w:r w:rsidRPr="00BD7CEA">
        <w:rPr>
          <w:rFonts w:cs="Tahoma"/>
          <w:bCs/>
          <w:color w:val="000000"/>
          <w:szCs w:val="18"/>
        </w:rPr>
        <w:t>Nonostante la concessione di licenze per Windows Server 2012 Datacenter e di aggiornamenti per tale versione, le obbligazioni di pagamento degli importi scaduti e dovuti per le Licenze Qualificanti e la copertura rimangono pienamente vincolanti ed efficaci.</w:t>
      </w:r>
    </w:p>
    <w:p w:rsidR="00376D4B" w:rsidRPr="00BD7CEA" w:rsidRDefault="00376D4B" w:rsidP="00376D4B">
      <w:pPr>
        <w:ind w:left="720"/>
      </w:pPr>
    </w:p>
    <w:p w:rsidR="00FD1141" w:rsidRPr="00BD7CEA" w:rsidRDefault="00BF7C75" w:rsidP="00FD1141">
      <w:pPr>
        <w:ind w:left="720"/>
      </w:pPr>
      <w:r w:rsidRPr="00BD7CEA">
        <w:rPr>
          <w:rFonts w:cs="Tahoma"/>
          <w:color w:val="000000"/>
          <w:szCs w:val="18"/>
        </w:rPr>
        <w:t>Windows Server 2012 Datacenter: SKU della Licenza per 1 Processore; Windows Server 2012 sta passando a un modello di licenza Plus CAL per Processore, con ciascuna licenza per 2 processori. L</w:t>
      </w:r>
      <w:r w:rsidR="007A1415" w:rsidRPr="00BD7CEA">
        <w:rPr>
          <w:rFonts w:cs="Tahoma"/>
          <w:color w:val="000000"/>
          <w:szCs w:val="18"/>
        </w:rPr>
        <w:t>’</w:t>
      </w:r>
      <w:r w:rsidRPr="00BD7CEA">
        <w:rPr>
          <w:rFonts w:cs="Tahoma"/>
          <w:color w:val="000000"/>
          <w:szCs w:val="18"/>
        </w:rPr>
        <w:t xml:space="preserve">offerta n. </w:t>
      </w:r>
      <w:r w:rsidR="00F340B2">
        <w:rPr>
          <w:rFonts w:cs="Tahoma"/>
          <w:color w:val="000000"/>
          <w:szCs w:val="18"/>
        </w:rPr>
        <w:br/>
      </w:r>
      <w:r w:rsidRPr="00BD7CEA">
        <w:rPr>
          <w:rFonts w:cs="Tahoma"/>
          <w:color w:val="000000"/>
          <w:szCs w:val="18"/>
        </w:rPr>
        <w:t>P71-01031 era stata inclusa erroneamente nel listino prezzi di settembre e deve essere utilizzata esclusivamente per i contratti SPLA. Tale offerta riguarda solo un processore singolo; le società che l</w:t>
      </w:r>
      <w:r w:rsidR="007A1415" w:rsidRPr="00BD7CEA">
        <w:rPr>
          <w:rFonts w:cs="Tahoma"/>
          <w:color w:val="000000"/>
          <w:szCs w:val="18"/>
        </w:rPr>
        <w:t>’</w:t>
      </w:r>
      <w:r w:rsidRPr="00BD7CEA">
        <w:rPr>
          <w:rFonts w:cs="Tahoma"/>
          <w:color w:val="000000"/>
          <w:szCs w:val="18"/>
        </w:rPr>
        <w:t>acquistano non saranno coperte dai diritti sull</w:t>
      </w:r>
      <w:r w:rsidR="007A1415" w:rsidRPr="00BD7CEA">
        <w:rPr>
          <w:rFonts w:cs="Tahoma"/>
          <w:color w:val="000000"/>
          <w:szCs w:val="18"/>
        </w:rPr>
        <w:t>’</w:t>
      </w:r>
      <w:r w:rsidRPr="00BD7CEA">
        <w:rPr>
          <w:rFonts w:cs="Tahoma"/>
          <w:color w:val="000000"/>
          <w:szCs w:val="18"/>
        </w:rPr>
        <w:t>utilizzo correnti. La presente SKU deve essere utilizzata solo</w:t>
      </w:r>
      <w:r w:rsidR="00F340B2">
        <w:rPr>
          <w:rFonts w:cs="Tahoma"/>
          <w:color w:val="000000"/>
          <w:szCs w:val="18"/>
        </w:rPr>
        <w:t> </w:t>
      </w:r>
      <w:r w:rsidRPr="00BD7CEA">
        <w:rPr>
          <w:rFonts w:cs="Tahoma"/>
          <w:color w:val="000000"/>
          <w:szCs w:val="18"/>
        </w:rPr>
        <w:t>da società titolari di contratti SPLA. L</w:t>
      </w:r>
      <w:r w:rsidR="007A1415" w:rsidRPr="00BD7CEA">
        <w:rPr>
          <w:rFonts w:cs="Tahoma"/>
          <w:color w:val="000000"/>
          <w:szCs w:val="18"/>
        </w:rPr>
        <w:t>’</w:t>
      </w:r>
      <w:r w:rsidRPr="00BD7CEA">
        <w:rPr>
          <w:rFonts w:cs="Tahoma"/>
          <w:color w:val="000000"/>
          <w:szCs w:val="18"/>
        </w:rPr>
        <w:t xml:space="preserve">offerta corretta per tutti gli altri programmi </w:t>
      </w:r>
      <w:r w:rsidRPr="00BD7CEA">
        <w:rPr>
          <w:rFonts w:cs="Tahoma"/>
          <w:szCs w:val="18"/>
        </w:rPr>
        <w:t>che non prevedono contratti SPLA è la n. P71-07280. Per le società che hanno già acquistato l</w:t>
      </w:r>
      <w:r w:rsidR="007A1415" w:rsidRPr="00BD7CEA">
        <w:rPr>
          <w:rFonts w:cs="Tahoma"/>
          <w:szCs w:val="18"/>
        </w:rPr>
        <w:t>’</w:t>
      </w:r>
      <w:r w:rsidRPr="00BD7CEA">
        <w:rPr>
          <w:rFonts w:cs="Tahoma"/>
          <w:szCs w:val="18"/>
        </w:rPr>
        <w:t>offerta n. P71-01031 è disponibile la concessione per la migrazione di cui sopra.</w:t>
      </w:r>
    </w:p>
    <w:p w:rsidR="00202A44" w:rsidRPr="00BD7CEA" w:rsidRDefault="00202A44" w:rsidP="00376D4B">
      <w:pPr>
        <w:ind w:left="720"/>
      </w:pPr>
    </w:p>
    <w:p w:rsidR="00BF7C75" w:rsidRPr="00BD7CEA" w:rsidRDefault="00202A44" w:rsidP="00835398">
      <w:pPr>
        <w:pStyle w:val="PURBody-Indented"/>
        <w:ind w:left="720"/>
      </w:pPr>
      <w:r w:rsidRPr="00BD7CEA">
        <w:rPr>
          <w:rFonts w:ascii="Tahoma" w:hAnsi="Tahoma" w:cs="Tahoma"/>
          <w:color w:val="000000"/>
          <w:sz w:val="18"/>
          <w:szCs w:val="18"/>
        </w:rPr>
        <w:t xml:space="preserve">Windows Server 2012 Datacenter: </w:t>
      </w:r>
      <w:r w:rsidRPr="00BD7CEA">
        <w:rPr>
          <w:rFonts w:ascii="Tahoma" w:hAnsi="Tahoma" w:cs="Tahoma"/>
          <w:sz w:val="18"/>
          <w:szCs w:val="18"/>
        </w:rPr>
        <w:t>Il licenziatario potrà eseguire un</w:t>
      </w:r>
      <w:r w:rsidR="007A1415" w:rsidRPr="00BD7CEA">
        <w:rPr>
          <w:rFonts w:ascii="Tahoma" w:hAnsi="Tahoma" w:cs="Tahoma"/>
          <w:sz w:val="18"/>
          <w:szCs w:val="18"/>
        </w:rPr>
        <w:t>’</w:t>
      </w:r>
      <w:r w:rsidRPr="00BD7CEA">
        <w:rPr>
          <w:rFonts w:ascii="Tahoma" w:hAnsi="Tahoma" w:cs="Tahoma"/>
          <w:sz w:val="18"/>
          <w:szCs w:val="18"/>
        </w:rPr>
        <w:t>istanza di Windows Server Datacenter, Enterprise, Standard o Essentials (versione identica o qualsiasi versione precedente) al posto di Windows Server 2012 Datacenter in qualunque OSE sul server con licenza.</w:t>
      </w:r>
    </w:p>
    <w:p w:rsidR="002A01C2" w:rsidRPr="00835398" w:rsidRDefault="002A01C2" w:rsidP="00F745E1">
      <w:pPr>
        <w:pStyle w:val="ListParagraph"/>
        <w:ind w:left="0"/>
        <w:contextualSpacing w:val="0"/>
        <w:rPr>
          <w:rFonts w:ascii="Tahoma" w:hAnsi="Tahoma" w:cs="Tahoma"/>
          <w:sz w:val="18"/>
          <w:szCs w:val="18"/>
        </w:rPr>
      </w:pPr>
    </w:p>
    <w:p w:rsidR="005C652C" w:rsidRPr="00835398" w:rsidRDefault="005C652C" w:rsidP="00F745E1">
      <w:pPr>
        <w:pStyle w:val="ListParagraph"/>
        <w:ind w:left="0"/>
        <w:contextualSpacing w:val="0"/>
        <w:rPr>
          <w:rFonts w:ascii="Tahoma" w:hAnsi="Tahoma" w:cs="Tahoma"/>
          <w:sz w:val="18"/>
          <w:szCs w:val="18"/>
        </w:rPr>
      </w:pPr>
    </w:p>
    <w:p w:rsidR="00F745E1" w:rsidRPr="00BD7CEA" w:rsidRDefault="00F66FB0" w:rsidP="00F745E1">
      <w:pPr>
        <w:pStyle w:val="Heading3"/>
      </w:pPr>
      <w:bookmarkStart w:id="1618" w:name="_118_Windows_Server"/>
      <w:bookmarkStart w:id="1619" w:name="_108_Windows_Server"/>
      <w:bookmarkStart w:id="1620" w:name="_Toc336338374"/>
      <w:bookmarkStart w:id="1621" w:name="_Toc353376146"/>
      <w:bookmarkStart w:id="1622" w:name="Srv_102WindowsSvr08R2Std"/>
      <w:bookmarkStart w:id="1623" w:name="Srv_114WindowsSvr08R2Std"/>
      <w:bookmarkStart w:id="1624" w:name="Srv_118WindowsSvr08R2Std"/>
      <w:bookmarkStart w:id="1625" w:name="Srv_99WindowsSvr08R2ItaniumSys"/>
      <w:bookmarkStart w:id="1626" w:name="Srv_100WindowsSvr08R2ItaniumSys"/>
      <w:bookmarkEnd w:id="1618"/>
      <w:bookmarkEnd w:id="1619"/>
      <w:r w:rsidRPr="00BD7CEA">
        <w:rPr>
          <w:rStyle w:val="Heading3Char"/>
          <w:rFonts w:ascii="Tahoma" w:hAnsi="Tahoma"/>
          <w:b/>
          <w:caps/>
          <w:color w:val="F66400"/>
          <w:sz w:val="22"/>
          <w:vertAlign w:val="superscript"/>
        </w:rPr>
        <w:t xml:space="preserve">108 </w:t>
      </w:r>
      <w:r w:rsidRPr="00BD7CEA">
        <w:rPr>
          <w:rStyle w:val="Heading3Char"/>
          <w:rFonts w:ascii="Tahoma" w:hAnsi="Tahoma"/>
          <w:b/>
          <w:color w:val="F66400"/>
          <w:sz w:val="22"/>
        </w:rPr>
        <w:t>Windows Server 2008 R2 Standard</w:t>
      </w:r>
      <w:bookmarkEnd w:id="1620"/>
      <w:bookmarkEnd w:id="1621"/>
      <w:r w:rsidRPr="00BD7CEA">
        <w:rPr>
          <w:rStyle w:val="Heading3Char"/>
          <w:rFonts w:ascii="Tahoma" w:hAnsi="Tahoma"/>
          <w:b/>
          <w:color w:val="F66400"/>
          <w:sz w:val="22"/>
        </w:rPr>
        <w:t xml:space="preserve"> </w:t>
      </w:r>
    </w:p>
    <w:bookmarkEnd w:id="1622"/>
    <w:bookmarkEnd w:id="1623"/>
    <w:bookmarkEnd w:id="1624"/>
    <w:p w:rsidR="00376D4B" w:rsidRPr="00BD7CEA" w:rsidRDefault="00376D4B" w:rsidP="002A01C2">
      <w:pPr>
        <w:tabs>
          <w:tab w:val="left" w:pos="360"/>
        </w:tabs>
        <w:ind w:left="360"/>
      </w:pPr>
    </w:p>
    <w:p w:rsidR="002A01C2" w:rsidRPr="00BD7CEA" w:rsidRDefault="00F745E1" w:rsidP="002A01C2">
      <w:pPr>
        <w:spacing w:after="60"/>
        <w:ind w:left="720"/>
      </w:pPr>
      <w:r w:rsidRPr="00BD7CEA">
        <w:rPr>
          <w:b/>
          <w:color w:val="000000"/>
        </w:rPr>
        <w:t>Concessioni di licenza associate alla variazione del modello di licenza per Windows Server Standard</w:t>
      </w:r>
    </w:p>
    <w:p w:rsidR="00F745E1" w:rsidRPr="00BD7CEA" w:rsidRDefault="00F745E1" w:rsidP="007358C5">
      <w:pPr>
        <w:numPr>
          <w:ilvl w:val="0"/>
          <w:numId w:val="51"/>
        </w:numPr>
        <w:tabs>
          <w:tab w:val="left" w:pos="1260"/>
          <w:tab w:val="left" w:pos="1440"/>
        </w:tabs>
        <w:ind w:left="1440"/>
      </w:pPr>
      <w:r w:rsidRPr="00BD7CEA">
        <w:rPr>
          <w:color w:val="000000"/>
        </w:rPr>
        <w:t>Windows Server 2008 R2 Standard sarà l</w:t>
      </w:r>
      <w:r w:rsidR="007A1415" w:rsidRPr="00BD7CEA">
        <w:rPr>
          <w:color w:val="000000"/>
        </w:rPr>
        <w:t>’</w:t>
      </w:r>
      <w:r w:rsidRPr="00BD7CEA">
        <w:rPr>
          <w:color w:val="000000"/>
        </w:rPr>
        <w:t>ultima versione di Windows Server concessa in licenza ai</w:t>
      </w:r>
      <w:r w:rsidR="00366AD8" w:rsidRPr="00BD7CEA">
        <w:rPr>
          <w:color w:val="000000"/>
        </w:rPr>
        <w:t> </w:t>
      </w:r>
      <w:r w:rsidRPr="00BD7CEA">
        <w:rPr>
          <w:color w:val="000000"/>
        </w:rPr>
        <w:t>sensi del modello di licenza Server/CAL. Windows Server 2012 Standard sarà concesso in licenza ai sensi di un nuovo modello di licenza in base al quale ciascuna licenza può coprire fino a due processori fisici. Le società titolari di contratti multilicenza con copertura Software Assurance attiva per le licenze Standard per Windows Server 2008 R2 in data 1 settembre 2012 o in occasione della prima disponibilità di Windows Server 2012 per il download dal sito Web Volume Licensing Service Center, a seconda di quale evento si verificherà per primo, (“Licenze Qualificanti”) saranno autorizzate a</w:t>
      </w:r>
      <w:r w:rsidRPr="00BD7CEA">
        <w:rPr>
          <w:rFonts w:eastAsia="Calibri" w:cs="Tahoma"/>
          <w:szCs w:val="18"/>
        </w:rPr>
        <w:t xml:space="preserve"> effettuare l</w:t>
      </w:r>
      <w:r w:rsidR="007A1415" w:rsidRPr="00BD7CEA">
        <w:rPr>
          <w:rFonts w:eastAsia="Calibri" w:cs="Tahoma"/>
          <w:szCs w:val="18"/>
        </w:rPr>
        <w:t>’</w:t>
      </w:r>
      <w:r w:rsidRPr="00BD7CEA">
        <w:rPr>
          <w:rFonts w:eastAsia="Calibri" w:cs="Tahoma"/>
          <w:szCs w:val="18"/>
        </w:rPr>
        <w:t>aggiornamento al software Windows Server 2012 Standard e a utilizzarlo al posto di Windows Server 2008 R2 Standard. Per agevolare tale aggiornamento, per ogni Licenza Qualificante in suo possesso, alla società verrà concesso quanto segue in base alla disponibilità di Windows Server 2012:</w:t>
      </w:r>
    </w:p>
    <w:p w:rsidR="00F745E1" w:rsidRPr="00BD7CEA" w:rsidRDefault="00F745E1" w:rsidP="007358C5">
      <w:pPr>
        <w:numPr>
          <w:ilvl w:val="0"/>
          <w:numId w:val="51"/>
        </w:numPr>
        <w:tabs>
          <w:tab w:val="left" w:pos="1260"/>
          <w:tab w:val="left" w:pos="1440"/>
        </w:tabs>
        <w:ind w:left="1440"/>
      </w:pPr>
      <w:r w:rsidRPr="00BD7CEA">
        <w:rPr>
          <w:rFonts w:eastAsia="Calibri" w:cs="Tahoma"/>
          <w:szCs w:val="18"/>
        </w:rPr>
        <w:t>una licenza per Windows Server 2012 Standard o</w:t>
      </w:r>
    </w:p>
    <w:p w:rsidR="00F745E1" w:rsidRPr="00BD7CEA" w:rsidRDefault="00F745E1" w:rsidP="007358C5">
      <w:pPr>
        <w:numPr>
          <w:ilvl w:val="0"/>
          <w:numId w:val="51"/>
        </w:numPr>
        <w:tabs>
          <w:tab w:val="left" w:pos="1260"/>
          <w:tab w:val="left" w:pos="1440"/>
        </w:tabs>
        <w:ind w:left="1440"/>
      </w:pPr>
      <w:r w:rsidRPr="00BD7CEA">
        <w:rPr>
          <w:rFonts w:eastAsia="Calibri" w:cs="Tahoma"/>
          <w:szCs w:val="18"/>
        </w:rPr>
        <w:t>due licenze per Windows Server 2012 Standard, qualora il numero effettivo di processori fisici sul server al quale viene ceduta la Licenza Qualificante sia maggiore di due. (In questi casi le società dovranno creare un record della configurazione dell</w:t>
      </w:r>
      <w:r w:rsidR="007A1415" w:rsidRPr="00BD7CEA">
        <w:rPr>
          <w:rFonts w:eastAsia="Calibri" w:cs="Tahoma"/>
          <w:szCs w:val="18"/>
        </w:rPr>
        <w:t>’</w:t>
      </w:r>
      <w:r w:rsidRPr="00BD7CEA">
        <w:rPr>
          <w:rFonts w:eastAsia="Calibri" w:cs="Tahoma"/>
          <w:szCs w:val="18"/>
        </w:rPr>
        <w:t>hardware fisico che supporta tale software prima della scadenza della copertura Software Assurance ai sensi del presente contratto, utilizzando lo strumento MAP di Microsoft o qualsiasi software equivalente. La presente concessione è disponibile solo per una Licenza Qualificante per server).</w:t>
      </w:r>
    </w:p>
    <w:p w:rsidR="00F745E1" w:rsidRPr="00BD7CEA" w:rsidRDefault="00F745E1" w:rsidP="007358C5">
      <w:pPr>
        <w:numPr>
          <w:ilvl w:val="0"/>
          <w:numId w:val="51"/>
        </w:numPr>
        <w:tabs>
          <w:tab w:val="left" w:pos="1260"/>
          <w:tab w:val="left" w:pos="1440"/>
        </w:tabs>
        <w:ind w:left="1440"/>
        <w:rPr>
          <w:spacing w:val="-2"/>
        </w:rPr>
      </w:pPr>
      <w:r w:rsidRPr="00BD7CEA">
        <w:rPr>
          <w:rFonts w:eastAsia="Calibri" w:cs="Tahoma"/>
          <w:spacing w:val="-2"/>
          <w:szCs w:val="18"/>
        </w:rPr>
        <w:t>Le licenze acquistate ai sensi della presente concessione includono la copertura Software Assurance.</w:t>
      </w:r>
      <w:r w:rsidR="008D782D" w:rsidRPr="00BD7CEA">
        <w:rPr>
          <w:rFonts w:eastAsia="Calibri" w:cs="Tahoma"/>
          <w:spacing w:val="-2"/>
          <w:szCs w:val="18"/>
        </w:rPr>
        <w:t xml:space="preserve"> </w:t>
      </w:r>
      <w:r w:rsidRPr="00BD7CEA">
        <w:rPr>
          <w:rFonts w:eastAsia="Calibri" w:cs="Tahoma"/>
          <w:spacing w:val="-2"/>
          <w:szCs w:val="18"/>
        </w:rPr>
        <w:t>Tale copertura cessa alla scadenza della corrispondente copertura per le Licenze Qualificanti.</w:t>
      </w:r>
    </w:p>
    <w:p w:rsidR="00F745E1" w:rsidRPr="00BD7CEA" w:rsidRDefault="00F745E1" w:rsidP="007358C5">
      <w:pPr>
        <w:numPr>
          <w:ilvl w:val="0"/>
          <w:numId w:val="51"/>
        </w:numPr>
        <w:tabs>
          <w:tab w:val="left" w:pos="1260"/>
          <w:tab w:val="left" w:pos="1440"/>
        </w:tabs>
        <w:ind w:left="1440"/>
      </w:pPr>
      <w:r w:rsidRPr="00BD7CEA">
        <w:rPr>
          <w:rFonts w:eastAsia="Calibri" w:cs="Tahoma"/>
          <w:szCs w:val="18"/>
        </w:rPr>
        <w:t>Nel caso in cui le società abbiano acquistato diritti perpetui di utilizzo del software ai sensi di Licenze Qualificanti, le licenze acquistate ai sensi della presente concessione saranno anch</w:t>
      </w:r>
      <w:r w:rsidR="007A1415" w:rsidRPr="00BD7CEA">
        <w:rPr>
          <w:rFonts w:eastAsia="Calibri" w:cs="Tahoma"/>
          <w:szCs w:val="18"/>
        </w:rPr>
        <w:t>’</w:t>
      </w:r>
      <w:r w:rsidRPr="00BD7CEA">
        <w:rPr>
          <w:rFonts w:eastAsia="Calibri" w:cs="Tahoma"/>
          <w:szCs w:val="18"/>
        </w:rPr>
        <w:t>esse perpetue; diversamente, le licenze acquistate ai sensi della presente concessione cesseranno alla scadenza delle Licenze Qualificanti sottostanti.</w:t>
      </w:r>
    </w:p>
    <w:p w:rsidR="00F745E1" w:rsidRPr="00BD7CEA" w:rsidRDefault="00F745E1" w:rsidP="007358C5">
      <w:pPr>
        <w:numPr>
          <w:ilvl w:val="0"/>
          <w:numId w:val="51"/>
        </w:numPr>
        <w:tabs>
          <w:tab w:val="left" w:pos="1260"/>
          <w:tab w:val="left" w:pos="1440"/>
        </w:tabs>
        <w:ind w:left="1440"/>
      </w:pPr>
      <w:r w:rsidRPr="00BD7CEA">
        <w:rPr>
          <w:rFonts w:eastAsia="Calibri" w:cs="Tahoma"/>
          <w:szCs w:val="18"/>
        </w:rPr>
        <w:lastRenderedPageBreak/>
        <w:t>Eseguendo l</w:t>
      </w:r>
      <w:r w:rsidR="007A1415" w:rsidRPr="00BD7CEA">
        <w:rPr>
          <w:rFonts w:eastAsia="Calibri" w:cs="Tahoma"/>
          <w:szCs w:val="18"/>
        </w:rPr>
        <w:t>’</w:t>
      </w:r>
      <w:r w:rsidRPr="00BD7CEA">
        <w:rPr>
          <w:rFonts w:eastAsia="Calibri" w:cs="Tahoma"/>
          <w:szCs w:val="18"/>
        </w:rPr>
        <w:t>aggiornamento a Windows Server 2012 Standard ai sensi della presente concessione, le licenze in essere per Windows Server 2008 R2 Standard non saranno più valide.</w:t>
      </w:r>
    </w:p>
    <w:p w:rsidR="00F745E1" w:rsidRPr="00BD7CEA" w:rsidRDefault="00F745E1" w:rsidP="007358C5">
      <w:pPr>
        <w:numPr>
          <w:ilvl w:val="0"/>
          <w:numId w:val="55"/>
        </w:numPr>
        <w:tabs>
          <w:tab w:val="left" w:pos="1440"/>
        </w:tabs>
        <w:ind w:left="1440"/>
      </w:pPr>
      <w:r w:rsidRPr="00BD7CEA">
        <w:t xml:space="preserve">Le licenze per </w:t>
      </w:r>
      <w:r w:rsidRPr="00BD7CEA">
        <w:rPr>
          <w:color w:val="000000"/>
        </w:rPr>
        <w:t xml:space="preserve">Windows Server 2008 R2 Standard </w:t>
      </w:r>
      <w:r w:rsidRPr="00BD7CEA">
        <w:rPr>
          <w:rFonts w:cs="Tahoma"/>
          <w:bCs/>
          <w:color w:val="000000"/>
          <w:szCs w:val="18"/>
        </w:rPr>
        <w:t>acquistate successivamente nello stesso periodo di validità dell</w:t>
      </w:r>
      <w:r w:rsidR="007A1415" w:rsidRPr="00BD7CEA">
        <w:rPr>
          <w:rFonts w:cs="Tahoma"/>
          <w:bCs/>
          <w:color w:val="000000"/>
          <w:szCs w:val="18"/>
        </w:rPr>
        <w:t>’</w:t>
      </w:r>
      <w:r w:rsidRPr="00BD7CEA">
        <w:rPr>
          <w:rFonts w:cs="Tahoma"/>
          <w:bCs/>
          <w:color w:val="000000"/>
          <w:szCs w:val="18"/>
        </w:rPr>
        <w:t>iscrizione nell</w:t>
      </w:r>
      <w:r w:rsidR="007A1415" w:rsidRPr="00BD7CEA">
        <w:rPr>
          <w:rFonts w:cs="Tahoma"/>
          <w:bCs/>
          <w:color w:val="000000"/>
          <w:szCs w:val="18"/>
        </w:rPr>
        <w:t>’</w:t>
      </w:r>
      <w:r w:rsidRPr="00BD7CEA">
        <w:rPr>
          <w:rFonts w:cs="Tahoma"/>
          <w:bCs/>
          <w:color w:val="000000"/>
          <w:szCs w:val="18"/>
        </w:rPr>
        <w:t>ambito di una procedura pianificata di true-up della società Enterprise, Enterprise Subscription, Open Value Subscription o EES sono anch</w:t>
      </w:r>
      <w:r w:rsidR="007A1415" w:rsidRPr="00BD7CEA">
        <w:rPr>
          <w:rFonts w:cs="Tahoma"/>
          <w:bCs/>
          <w:color w:val="000000"/>
          <w:szCs w:val="18"/>
        </w:rPr>
        <w:t>’</w:t>
      </w:r>
      <w:r w:rsidRPr="00BD7CEA">
        <w:rPr>
          <w:rFonts w:cs="Tahoma"/>
          <w:bCs/>
          <w:color w:val="000000"/>
          <w:szCs w:val="18"/>
        </w:rPr>
        <w:t>esse Licenze Qualificanti per gli scopi previsti dalla suddetta concessione di licenze.</w:t>
      </w:r>
    </w:p>
    <w:p w:rsidR="00F745E1" w:rsidRPr="00BD7CEA" w:rsidRDefault="00F745E1" w:rsidP="007358C5">
      <w:pPr>
        <w:numPr>
          <w:ilvl w:val="0"/>
          <w:numId w:val="55"/>
        </w:numPr>
        <w:tabs>
          <w:tab w:val="left" w:pos="1440"/>
        </w:tabs>
        <w:ind w:left="1440"/>
      </w:pPr>
      <w:r w:rsidRPr="00BD7CEA">
        <w:rPr>
          <w:rFonts w:cs="Tahoma"/>
          <w:bCs/>
          <w:color w:val="000000"/>
          <w:szCs w:val="18"/>
        </w:rPr>
        <w:t>Nonostante la concessione di licenze per Windows Server 2012 Standard e di aggiornamenti per tale versione, le obbligazioni di pagamento degli importi scaduti e dovuti per le Licenze Qualificanti e la copertura rimangono pienamente vincolanti ed efficaci.</w:t>
      </w:r>
    </w:p>
    <w:p w:rsidR="00F745E1" w:rsidRPr="00BD7CEA" w:rsidRDefault="00F745E1" w:rsidP="002A01C2">
      <w:pPr>
        <w:tabs>
          <w:tab w:val="left" w:pos="1440"/>
        </w:tabs>
        <w:ind w:left="1440"/>
      </w:pPr>
    </w:p>
    <w:bookmarkEnd w:id="1625"/>
    <w:bookmarkEnd w:id="1626"/>
    <w:p w:rsidR="002A01C2" w:rsidRPr="00BD7CEA" w:rsidRDefault="005403C8" w:rsidP="002A01C2">
      <w:pPr>
        <w:pStyle w:val="PURBody-Indented"/>
        <w:spacing w:after="60"/>
        <w:ind w:left="720"/>
      </w:pPr>
      <w:r w:rsidRPr="00BD7CEA">
        <w:rPr>
          <w:rFonts w:ascii="Tahoma" w:hAnsi="Tahoma" w:cs="Tahoma"/>
          <w:b/>
          <w:color w:val="000000"/>
          <w:sz w:val="18"/>
          <w:szCs w:val="18"/>
        </w:rPr>
        <w:t>Windows Server 2012 Standard</w:t>
      </w:r>
    </w:p>
    <w:p w:rsidR="005403C8" w:rsidRPr="00BD7CEA" w:rsidRDefault="005403C8" w:rsidP="002A01C2">
      <w:pPr>
        <w:pStyle w:val="PURBody-Indented"/>
        <w:spacing w:after="0"/>
        <w:ind w:left="720"/>
      </w:pPr>
      <w:r w:rsidRPr="00BD7CEA">
        <w:rPr>
          <w:rFonts w:ascii="Tahoma" w:hAnsi="Tahoma" w:cs="Tahoma"/>
          <w:sz w:val="18"/>
        </w:rPr>
        <w:t>Il licenziatario potrà eseguire un</w:t>
      </w:r>
      <w:r w:rsidR="007A1415" w:rsidRPr="00BD7CEA">
        <w:rPr>
          <w:rFonts w:ascii="Tahoma" w:hAnsi="Tahoma" w:cs="Tahoma"/>
          <w:sz w:val="18"/>
        </w:rPr>
        <w:t>’</w:t>
      </w:r>
      <w:r w:rsidRPr="00BD7CEA">
        <w:rPr>
          <w:rFonts w:ascii="Tahoma" w:hAnsi="Tahoma" w:cs="Tahoma"/>
          <w:sz w:val="18"/>
        </w:rPr>
        <w:t>istanza di Windows Server Enterprise, Standard o Essentials (versione identica o qualsiasi versione precedente) al posto di Windows Server 2012 Standard in qualunque OSE sul server con licenza.</w:t>
      </w:r>
    </w:p>
    <w:p w:rsidR="00366AD8" w:rsidRPr="00BD7CEA" w:rsidRDefault="00366AD8" w:rsidP="00366AD8">
      <w:pPr>
        <w:pStyle w:val="ListParagraph"/>
        <w:ind w:left="0"/>
        <w:contextualSpacing w:val="0"/>
        <w:rPr>
          <w:rFonts w:ascii="Tahoma" w:hAnsi="Tahoma" w:cs="Tahoma"/>
          <w:color w:val="000000"/>
          <w:sz w:val="18"/>
          <w:szCs w:val="18"/>
        </w:rPr>
      </w:pPr>
      <w:bookmarkStart w:id="1627" w:name="_119_Windows_Web"/>
      <w:bookmarkStart w:id="1628" w:name="_Toc336338375"/>
      <w:bookmarkStart w:id="1629" w:name="Srv_111WinSmallBizSVR2011Addon"/>
      <w:bookmarkStart w:id="1630" w:name="Srv_116WinSmallBizSVR2011Addon"/>
      <w:bookmarkStart w:id="1631" w:name="Srv_120WinSmallBizSVR2011Addon"/>
      <w:bookmarkEnd w:id="1611"/>
      <w:bookmarkEnd w:id="1627"/>
    </w:p>
    <w:p w:rsidR="00366AD8" w:rsidRPr="00BD7CEA" w:rsidRDefault="00366AD8" w:rsidP="00366AD8">
      <w:pPr>
        <w:pStyle w:val="ListParagraph"/>
        <w:ind w:left="0"/>
        <w:contextualSpacing w:val="0"/>
        <w:rPr>
          <w:rFonts w:ascii="Tahoma" w:hAnsi="Tahoma" w:cs="Tahoma"/>
          <w:color w:val="000000"/>
          <w:sz w:val="18"/>
          <w:szCs w:val="18"/>
        </w:rPr>
      </w:pPr>
    </w:p>
    <w:p w:rsidR="00816F76" w:rsidRPr="00BD7CEA" w:rsidRDefault="00F66FB0" w:rsidP="00EF2279">
      <w:pPr>
        <w:pStyle w:val="Heading3"/>
      </w:pPr>
      <w:bookmarkStart w:id="1632" w:name="_109_Windows_Web"/>
      <w:bookmarkStart w:id="1633" w:name="_Toc353376147"/>
      <w:bookmarkEnd w:id="1632"/>
      <w:r w:rsidRPr="00BD7CEA">
        <w:rPr>
          <w:rFonts w:ascii="Tahoma" w:hAnsi="Tahoma" w:cs="Tahoma"/>
          <w:caps/>
          <w:color w:val="EE6000"/>
          <w:sz w:val="22"/>
          <w:szCs w:val="18"/>
          <w:vertAlign w:val="superscript"/>
        </w:rPr>
        <w:t>109</w:t>
      </w:r>
      <w:r w:rsidRPr="00BD7CEA">
        <w:rPr>
          <w:rFonts w:ascii="Tahoma" w:hAnsi="Tahoma" w:cs="Tahoma"/>
          <w:color w:val="EE6000"/>
          <w:sz w:val="22"/>
          <w:szCs w:val="18"/>
        </w:rPr>
        <w:t xml:space="preserve"> </w:t>
      </w:r>
      <w:r w:rsidRPr="00BD7CEA">
        <w:rPr>
          <w:rFonts w:ascii="Tahoma" w:hAnsi="Tahoma"/>
          <w:color w:val="F66400"/>
          <w:sz w:val="22"/>
        </w:rPr>
        <w:t>Windows Web Server</w:t>
      </w:r>
      <w:r w:rsidR="00700C4B" w:rsidRPr="00BD7CEA">
        <w:rPr>
          <w:rFonts w:ascii="Tahoma" w:hAnsi="Tahoma"/>
          <w:color w:val="F66400"/>
          <w:sz w:val="22"/>
          <w:vertAlign w:val="superscript"/>
        </w:rPr>
        <w:t>®</w:t>
      </w:r>
      <w:r w:rsidRPr="00BD7CEA">
        <w:rPr>
          <w:rFonts w:ascii="Tahoma" w:hAnsi="Tahoma"/>
          <w:color w:val="F66400"/>
          <w:sz w:val="22"/>
        </w:rPr>
        <w:t xml:space="preserve"> 2008 R2</w:t>
      </w:r>
      <w:bookmarkEnd w:id="1628"/>
      <w:bookmarkEnd w:id="1633"/>
    </w:p>
    <w:p w:rsidR="00816F76" w:rsidRPr="00BD7CEA" w:rsidRDefault="00816F76" w:rsidP="00CE7FAD"/>
    <w:p w:rsidR="00CE7FAD" w:rsidRPr="00BD7CEA" w:rsidRDefault="00816F76" w:rsidP="00CE7FAD">
      <w:pPr>
        <w:tabs>
          <w:tab w:val="left" w:pos="720"/>
        </w:tabs>
        <w:spacing w:after="60"/>
        <w:ind w:left="720"/>
      </w:pPr>
      <w:r w:rsidRPr="00BD7CEA">
        <w:rPr>
          <w:b/>
          <w:color w:val="000000"/>
        </w:rPr>
        <w:t>Concessioni di licenza associate alla fine del ciclo di vita di Windows Web Server</w:t>
      </w:r>
    </w:p>
    <w:p w:rsidR="00816F76" w:rsidRPr="00BD7CEA" w:rsidRDefault="00816F76" w:rsidP="00CE7FAD">
      <w:pPr>
        <w:tabs>
          <w:tab w:val="left" w:pos="720"/>
        </w:tabs>
        <w:ind w:left="720"/>
      </w:pPr>
      <w:r w:rsidRPr="00BD7CEA">
        <w:rPr>
          <w:color w:val="000000"/>
        </w:rPr>
        <w:t>Windows Server 2008 R2 sarà l</w:t>
      </w:r>
      <w:r w:rsidR="007A1415" w:rsidRPr="00BD7CEA">
        <w:rPr>
          <w:color w:val="000000"/>
        </w:rPr>
        <w:t>’</w:t>
      </w:r>
      <w:r w:rsidRPr="00BD7CEA">
        <w:rPr>
          <w:color w:val="000000"/>
        </w:rPr>
        <w:t xml:space="preserve">ultima versione di Windows Web Server. Le società titolari di contratti multilicenza (Volume License) con copertura Software Assurance attiva per le licenze per Windows Web Server 2008 R2 in data 1 settembre 2012 o in occasione della prima disponibilità di Windows Server 2012 per il download dal sito Web Volume Licensing Service Center, a seconda di quale evento si verificherà per primo, (“Licenze Qualificanti”) saranno autorizzate a </w:t>
      </w:r>
      <w:r w:rsidRPr="00BD7CEA">
        <w:rPr>
          <w:rFonts w:eastAsia="Calibri" w:cs="Tahoma"/>
          <w:szCs w:val="18"/>
        </w:rPr>
        <w:t xml:space="preserve">utilizzare il software Windows Server 2012 Standard. Per agevolare tale utilizzo, per ogni due Licenze Qualificanti in suo possesso, alla società verrà concessa una licenza per processore per Windows Server 2012 Standard in base alla disponibilità di Windows Server 2012. </w:t>
      </w:r>
    </w:p>
    <w:p w:rsidR="00CE7FAD" w:rsidRPr="00BD7CEA" w:rsidRDefault="00CE7FAD" w:rsidP="00CE7FAD">
      <w:pPr>
        <w:tabs>
          <w:tab w:val="left" w:pos="720"/>
        </w:tabs>
        <w:ind w:left="720"/>
      </w:pPr>
    </w:p>
    <w:p w:rsidR="00816F76" w:rsidRPr="00BD7CEA" w:rsidRDefault="00816F76" w:rsidP="007358C5">
      <w:pPr>
        <w:numPr>
          <w:ilvl w:val="0"/>
          <w:numId w:val="55"/>
        </w:numPr>
        <w:tabs>
          <w:tab w:val="clear" w:pos="360"/>
          <w:tab w:val="num" w:pos="1440"/>
        </w:tabs>
        <w:spacing w:after="60"/>
        <w:ind w:left="1440"/>
      </w:pPr>
      <w:r w:rsidRPr="00BD7CEA">
        <w:rPr>
          <w:color w:val="000000"/>
        </w:rPr>
        <w:t>Qualora una società disponga di un numero dispari di licenze per Web Server, dovrà arrotondarle al</w:t>
      </w:r>
      <w:r w:rsidR="00C306C5">
        <w:rPr>
          <w:color w:val="000000"/>
        </w:rPr>
        <w:t> </w:t>
      </w:r>
      <w:r w:rsidRPr="00BD7CEA">
        <w:rPr>
          <w:color w:val="000000"/>
        </w:rPr>
        <w:t>successivo numero pari per determinare la quantità concessa.</w:t>
      </w:r>
      <w:r w:rsidR="008D782D" w:rsidRPr="00BD7CEA">
        <w:rPr>
          <w:color w:val="000000"/>
        </w:rPr>
        <w:t xml:space="preserve"> </w:t>
      </w:r>
      <w:r w:rsidRPr="00BD7CEA">
        <w:rPr>
          <w:color w:val="000000"/>
        </w:rPr>
        <w:t>Ad esempio, una società titolare di</w:t>
      </w:r>
      <w:r w:rsidR="00C306C5">
        <w:rPr>
          <w:color w:val="000000"/>
        </w:rPr>
        <w:t> </w:t>
      </w:r>
      <w:r w:rsidRPr="00BD7CEA">
        <w:rPr>
          <w:color w:val="000000"/>
        </w:rPr>
        <w:t>tre licenze per Web Server riceverà in totale due licenze per Windows Server 2012 Standard.</w:t>
      </w:r>
    </w:p>
    <w:p w:rsidR="00816F76" w:rsidRPr="00BD7CEA" w:rsidRDefault="00816F76" w:rsidP="007358C5">
      <w:pPr>
        <w:numPr>
          <w:ilvl w:val="0"/>
          <w:numId w:val="55"/>
        </w:numPr>
        <w:tabs>
          <w:tab w:val="clear" w:pos="360"/>
          <w:tab w:val="num" w:pos="1440"/>
        </w:tabs>
        <w:spacing w:after="60"/>
        <w:ind w:left="1440"/>
      </w:pPr>
      <w:r w:rsidRPr="00BD7CEA">
        <w:rPr>
          <w:rFonts w:eastAsia="Calibri" w:cs="Tahoma"/>
          <w:szCs w:val="18"/>
        </w:rPr>
        <w:t>Eseguendo l</w:t>
      </w:r>
      <w:r w:rsidR="007A1415" w:rsidRPr="00BD7CEA">
        <w:rPr>
          <w:rFonts w:eastAsia="Calibri" w:cs="Tahoma"/>
          <w:szCs w:val="18"/>
        </w:rPr>
        <w:t>’</w:t>
      </w:r>
      <w:r w:rsidRPr="00BD7CEA">
        <w:rPr>
          <w:rFonts w:eastAsia="Calibri" w:cs="Tahoma"/>
          <w:szCs w:val="18"/>
        </w:rPr>
        <w:t>aggiornamento a Windows Server 2012 Standard ai sensi della presente concessione, le licenze in essere per Windows Web Server 2008 R2 rimangono valide.</w:t>
      </w:r>
    </w:p>
    <w:p w:rsidR="00816F76" w:rsidRPr="00BD7CEA" w:rsidRDefault="00816F76" w:rsidP="007358C5">
      <w:pPr>
        <w:pStyle w:val="ListParagraph"/>
        <w:numPr>
          <w:ilvl w:val="0"/>
          <w:numId w:val="55"/>
        </w:numPr>
        <w:tabs>
          <w:tab w:val="clear" w:pos="360"/>
          <w:tab w:val="num" w:pos="1440"/>
        </w:tabs>
        <w:spacing w:after="60"/>
        <w:ind w:left="1440"/>
        <w:contextualSpacing w:val="0"/>
      </w:pPr>
      <w:r w:rsidRPr="00BD7CEA">
        <w:rPr>
          <w:rFonts w:ascii="Tahoma" w:eastAsia="Calibri" w:hAnsi="Tahoma" w:cs="Tahoma"/>
          <w:sz w:val="18"/>
          <w:szCs w:val="18"/>
        </w:rPr>
        <w:t>Le licenze acquistate ai sensi della presente concessione includono la copertura Software Assurance.</w:t>
      </w:r>
      <w:r w:rsidR="008D782D" w:rsidRPr="00BD7CEA">
        <w:rPr>
          <w:rFonts w:ascii="Tahoma" w:eastAsia="Calibri" w:hAnsi="Tahoma" w:cs="Tahoma"/>
          <w:sz w:val="18"/>
          <w:szCs w:val="18"/>
        </w:rPr>
        <w:t xml:space="preserve"> </w:t>
      </w:r>
      <w:r w:rsidRPr="00BD7CEA">
        <w:rPr>
          <w:rFonts w:ascii="Tahoma" w:eastAsia="Calibri" w:hAnsi="Tahoma" w:cs="Tahoma"/>
          <w:sz w:val="18"/>
          <w:szCs w:val="18"/>
        </w:rPr>
        <w:t>Tale copertura cessa alla scadenza della corrispondente copertura per le Licenze Qualificanti.</w:t>
      </w:r>
    </w:p>
    <w:p w:rsidR="00816F76" w:rsidRPr="00BD7CEA" w:rsidRDefault="00816F76" w:rsidP="007358C5">
      <w:pPr>
        <w:pStyle w:val="ListParagraph"/>
        <w:numPr>
          <w:ilvl w:val="0"/>
          <w:numId w:val="55"/>
        </w:numPr>
        <w:tabs>
          <w:tab w:val="clear" w:pos="360"/>
          <w:tab w:val="num" w:pos="1440"/>
        </w:tabs>
        <w:spacing w:after="60"/>
        <w:ind w:left="1440"/>
        <w:contextualSpacing w:val="0"/>
      </w:pPr>
      <w:r w:rsidRPr="00BD7CEA">
        <w:rPr>
          <w:rFonts w:ascii="Tahoma" w:eastAsia="Calibri" w:hAnsi="Tahoma" w:cs="Tahoma"/>
          <w:sz w:val="18"/>
          <w:szCs w:val="18"/>
        </w:rPr>
        <w:t>Nel caso in cui le società abbiano acquistato diritti perpetui per utilizzare software ai sensi di Licenze Qualificanti, le licenze acquistate ai sensi della presente concessione saranno anch</w:t>
      </w:r>
      <w:r w:rsidR="007A1415" w:rsidRPr="00BD7CEA">
        <w:rPr>
          <w:rFonts w:ascii="Tahoma" w:eastAsia="Calibri" w:hAnsi="Tahoma" w:cs="Tahoma"/>
          <w:sz w:val="18"/>
          <w:szCs w:val="18"/>
        </w:rPr>
        <w:t>’</w:t>
      </w:r>
      <w:r w:rsidRPr="00BD7CEA">
        <w:rPr>
          <w:rFonts w:ascii="Tahoma" w:eastAsia="Calibri" w:hAnsi="Tahoma" w:cs="Tahoma"/>
          <w:sz w:val="18"/>
          <w:szCs w:val="18"/>
        </w:rPr>
        <w:t>esse perpetue; diversamente, le licenze acquistate ai sensi della presente concessione cesseranno alla scadenza delle Licenze Qualificanti sottostanti.</w:t>
      </w:r>
    </w:p>
    <w:p w:rsidR="00816F76" w:rsidRPr="00BD7CEA" w:rsidRDefault="00816F76" w:rsidP="007358C5">
      <w:pPr>
        <w:numPr>
          <w:ilvl w:val="0"/>
          <w:numId w:val="55"/>
        </w:numPr>
        <w:tabs>
          <w:tab w:val="clear" w:pos="360"/>
          <w:tab w:val="num" w:pos="1440"/>
        </w:tabs>
        <w:spacing w:after="60"/>
        <w:ind w:left="1440"/>
      </w:pPr>
      <w:r w:rsidRPr="00BD7CEA">
        <w:t xml:space="preserve">Le licenze per </w:t>
      </w:r>
      <w:r w:rsidRPr="00BD7CEA">
        <w:rPr>
          <w:color w:val="000000"/>
        </w:rPr>
        <w:t xml:space="preserve">Windows Web Server 2008 R2 </w:t>
      </w:r>
      <w:r w:rsidRPr="00BD7CEA">
        <w:rPr>
          <w:rFonts w:cs="Tahoma"/>
          <w:bCs/>
          <w:color w:val="000000"/>
          <w:szCs w:val="18"/>
        </w:rPr>
        <w:t>acquistate successivamente nello stesso periodo di validità dell</w:t>
      </w:r>
      <w:r w:rsidR="007A1415" w:rsidRPr="00BD7CEA">
        <w:rPr>
          <w:rFonts w:cs="Tahoma"/>
          <w:bCs/>
          <w:color w:val="000000"/>
          <w:szCs w:val="18"/>
        </w:rPr>
        <w:t>’</w:t>
      </w:r>
      <w:r w:rsidRPr="00BD7CEA">
        <w:rPr>
          <w:rFonts w:cs="Tahoma"/>
          <w:bCs/>
          <w:color w:val="000000"/>
          <w:szCs w:val="18"/>
        </w:rPr>
        <w:t>iscrizione nell</w:t>
      </w:r>
      <w:r w:rsidR="007A1415" w:rsidRPr="00BD7CEA">
        <w:rPr>
          <w:rFonts w:cs="Tahoma"/>
          <w:bCs/>
          <w:color w:val="000000"/>
          <w:szCs w:val="18"/>
        </w:rPr>
        <w:t>’</w:t>
      </w:r>
      <w:r w:rsidRPr="00BD7CEA">
        <w:rPr>
          <w:rFonts w:cs="Tahoma"/>
          <w:bCs/>
          <w:color w:val="000000"/>
          <w:szCs w:val="18"/>
        </w:rPr>
        <w:t>ambito di una procedura pianificata di true-up di una società Enterprise, Enterprise Subscription, Open Value Subscription o EES sono anch</w:t>
      </w:r>
      <w:r w:rsidR="007A1415" w:rsidRPr="00BD7CEA">
        <w:rPr>
          <w:rFonts w:cs="Tahoma"/>
          <w:bCs/>
          <w:color w:val="000000"/>
          <w:szCs w:val="18"/>
        </w:rPr>
        <w:t>’</w:t>
      </w:r>
      <w:r w:rsidRPr="00BD7CEA">
        <w:rPr>
          <w:rFonts w:cs="Tahoma"/>
          <w:bCs/>
          <w:color w:val="000000"/>
          <w:szCs w:val="18"/>
        </w:rPr>
        <w:t xml:space="preserve">esse Licenze Qualificanti per gli scopi previsti dalla suddetta concessione. </w:t>
      </w:r>
    </w:p>
    <w:p w:rsidR="00816F76" w:rsidRPr="00BD7CEA" w:rsidRDefault="00816F76" w:rsidP="007358C5">
      <w:pPr>
        <w:numPr>
          <w:ilvl w:val="0"/>
          <w:numId w:val="55"/>
        </w:numPr>
        <w:tabs>
          <w:tab w:val="clear" w:pos="360"/>
          <w:tab w:val="num" w:pos="1440"/>
        </w:tabs>
        <w:spacing w:after="60"/>
        <w:ind w:left="1440"/>
      </w:pPr>
      <w:r w:rsidRPr="00BD7CEA">
        <w:rPr>
          <w:rFonts w:cs="Tahoma"/>
          <w:bCs/>
          <w:color w:val="000000"/>
          <w:szCs w:val="18"/>
        </w:rPr>
        <w:t>Nonostante la concessione di licenze per Windows Server 2012 Standard e di aggiornamenti per tale versione, le obbligazioni di pagamento degli importi scaduti e dovuti per le Licenze Qualificanti e la copertura rimangono pienamente vincolanti ed efficaci.</w:t>
      </w:r>
    </w:p>
    <w:p w:rsidR="00CE7FAD" w:rsidRPr="00BD7CEA" w:rsidRDefault="00CE7FAD" w:rsidP="00CE7FAD">
      <w:pPr>
        <w:ind w:left="1440"/>
      </w:pPr>
    </w:p>
    <w:p w:rsidR="00CE7FAD" w:rsidRPr="00BD7CEA" w:rsidRDefault="00816F76" w:rsidP="00CE7FAD">
      <w:pPr>
        <w:spacing w:after="60"/>
        <w:ind w:left="720"/>
      </w:pPr>
      <w:r w:rsidRPr="00BD7CEA">
        <w:rPr>
          <w:rFonts w:eastAsia="Calibri" w:cs="Tahoma"/>
          <w:b/>
          <w:szCs w:val="18"/>
        </w:rPr>
        <w:t>Informazioni aggiuntive sull</w:t>
      </w:r>
      <w:r w:rsidR="007A1415" w:rsidRPr="00BD7CEA">
        <w:rPr>
          <w:rFonts w:eastAsia="Calibri" w:cs="Tahoma"/>
          <w:b/>
          <w:szCs w:val="18"/>
        </w:rPr>
        <w:t>’</w:t>
      </w:r>
      <w:r w:rsidRPr="00BD7CEA">
        <w:rPr>
          <w:rFonts w:eastAsia="Calibri" w:cs="Tahoma"/>
          <w:b/>
          <w:szCs w:val="18"/>
        </w:rPr>
        <w:t>utilizzo di Windows Server 2012 come Server Web</w:t>
      </w:r>
    </w:p>
    <w:p w:rsidR="00816F76" w:rsidRPr="00BD7CEA" w:rsidRDefault="00816F76" w:rsidP="00CE7FAD">
      <w:pPr>
        <w:ind w:left="720"/>
      </w:pPr>
      <w:r w:rsidRPr="00BD7CEA">
        <w:rPr>
          <w:rFonts w:eastAsia="Calibri" w:cs="Tahoma"/>
          <w:szCs w:val="18"/>
        </w:rPr>
        <w:t xml:space="preserve">Quando Windows Server 2012 Standard o Datacenter viene utilizzato come Server Web, non servono licenze CAL per accedere al software. Un </w:t>
      </w:r>
      <w:r w:rsidRPr="00BD7CEA">
        <w:t>“Carico di Lavoro Web” indica un carico di lavoro nel quale</w:t>
      </w:r>
      <w:r w:rsidRPr="00BD7CEA">
        <w:rPr>
          <w:bCs/>
        </w:rPr>
        <w:t xml:space="preserve"> </w:t>
      </w:r>
      <w:r w:rsidRPr="00BD7CEA">
        <w:t>il software viene utilizzato come server Web front-end per lo sviluppo e la distribuzione di pagine Web accessibili su Internet, siti Web, applicazioni Web e servizi Web e nel quale il servizio di posta POP3 e l</w:t>
      </w:r>
      <w:r w:rsidR="007A1415" w:rsidRPr="00BD7CEA">
        <w:t>’</w:t>
      </w:r>
      <w:r w:rsidRPr="00BD7CEA">
        <w:t>accesso a contenuti, informazioni e applicazioni servite dal software non</w:t>
      </w:r>
      <w:r w:rsidRPr="00BD7CEA">
        <w:rPr>
          <w:u w:val="single"/>
        </w:rPr>
        <w:t xml:space="preserve"> </w:t>
      </w:r>
      <w:r w:rsidRPr="00BD7CEA">
        <w:t>sono limitati ai dipendenti.</w:t>
      </w:r>
      <w:r w:rsidR="008D782D" w:rsidRPr="00BD7CEA">
        <w:t xml:space="preserve"> </w:t>
      </w:r>
      <w:r w:rsidRPr="00BD7CEA">
        <w:rPr>
          <w:rFonts w:eastAsia="Calibri" w:cs="Tahoma"/>
          <w:szCs w:val="18"/>
        </w:rPr>
        <w:t>Ulteriori dettagli sono disponibili nei Diritti di Utilizzo del Prodotto.</w:t>
      </w:r>
      <w:r w:rsidR="008D782D" w:rsidRPr="00BD7CEA">
        <w:rPr>
          <w:rFonts w:eastAsia="Calibri" w:cs="Tahoma"/>
          <w:szCs w:val="18"/>
        </w:rPr>
        <w:t xml:space="preserve"> </w:t>
      </w:r>
    </w:p>
    <w:p w:rsidR="00816F76" w:rsidRPr="00BD7CEA" w:rsidRDefault="00816F76" w:rsidP="00CE7FAD"/>
    <w:p w:rsidR="002512D3" w:rsidRPr="00BD7CEA" w:rsidRDefault="002512D3">
      <w:bookmarkStart w:id="1634" w:name="_Toc336338376"/>
    </w:p>
    <w:p w:rsidR="00532ABF" w:rsidRPr="00BD7CEA" w:rsidRDefault="00F66FB0" w:rsidP="00EF2279">
      <w:pPr>
        <w:pStyle w:val="Heading2"/>
        <w:ind w:hanging="720"/>
      </w:pPr>
      <w:bookmarkStart w:id="1635" w:name="_110_Windows_Small_1"/>
      <w:bookmarkStart w:id="1636" w:name="_Toc353376148"/>
      <w:bookmarkEnd w:id="1635"/>
      <w:r w:rsidRPr="00BD7CEA">
        <w:rPr>
          <w:rFonts w:ascii="Tahoma" w:hAnsi="Tahoma" w:cs="Tahoma"/>
          <w:caps/>
          <w:color w:val="F8701C"/>
          <w:sz w:val="22"/>
          <w:szCs w:val="22"/>
          <w:vertAlign w:val="superscript"/>
        </w:rPr>
        <w:lastRenderedPageBreak/>
        <w:t>110</w:t>
      </w:r>
      <w:r w:rsidRPr="00BD7CEA">
        <w:rPr>
          <w:rFonts w:ascii="Tahoma" w:hAnsi="Tahoma" w:cs="Tahoma"/>
          <w:color w:val="F8701C"/>
          <w:sz w:val="22"/>
          <w:szCs w:val="22"/>
        </w:rPr>
        <w:t xml:space="preserve"> Windows Small Business Server (SBS) 2008 Premium</w:t>
      </w:r>
      <w:bookmarkEnd w:id="1634"/>
      <w:bookmarkEnd w:id="1636"/>
    </w:p>
    <w:bookmarkEnd w:id="1629"/>
    <w:bookmarkEnd w:id="1630"/>
    <w:bookmarkEnd w:id="1631"/>
    <w:p w:rsidR="00515A83" w:rsidRPr="00BD7CEA" w:rsidRDefault="00515A83" w:rsidP="00EF2279">
      <w:pPr>
        <w:ind w:left="900"/>
      </w:pPr>
    </w:p>
    <w:p w:rsidR="00532ABF" w:rsidRPr="00BD7CEA" w:rsidRDefault="00532ABF" w:rsidP="00376D4B">
      <w:pPr>
        <w:ind w:left="720"/>
      </w:pPr>
      <w:r w:rsidRPr="00BD7CEA">
        <w:t>Le società con copertura Software Assurance attiva per licenze di SBS 2008 Premium in data 1 gennaio 2011, sono idonee a effettuare l</w:t>
      </w:r>
      <w:r w:rsidR="007A1415" w:rsidRPr="00BD7CEA">
        <w:t>’</w:t>
      </w:r>
      <w:r w:rsidRPr="00BD7CEA">
        <w:t>aggiornamento a e utilizzare i software SBS 2011 Standard e Premium Add-on per Windows SBS 2011 (o per una qualsiasi versione successiva resa disponibile durante il periodo di validità della copertura Software Assurance) al posto del software SBS2008 Premium. Per ogni licenza qualificata posseduta al 1 gennaio 2011, le società saranno considerate titolari di una licenza SBS 2011 Standard e di una licenza per Add-on Premium per SBS 2011 con copertura Software Assurance attiva.</w:t>
      </w:r>
      <w:r w:rsidR="008D782D" w:rsidRPr="00BD7CEA">
        <w:t xml:space="preserve"> </w:t>
      </w:r>
    </w:p>
    <w:p w:rsidR="00532ABF" w:rsidRPr="00BD7CEA" w:rsidRDefault="00532ABF" w:rsidP="00376D4B">
      <w:pPr>
        <w:ind w:left="720"/>
      </w:pPr>
    </w:p>
    <w:p w:rsidR="00532ABF" w:rsidRPr="00BD7CEA" w:rsidRDefault="00532ABF" w:rsidP="00376D4B">
      <w:pPr>
        <w:ind w:left="720"/>
      </w:pPr>
      <w:r w:rsidRPr="00BD7CEA">
        <w:t xml:space="preserve">Le società con copertura Software Assurance attiva per le CAL Suite per SBS 2008 per Utenti e Dispositivi Premium in data 1 gennaio 2011 sono idonee ad accedere a SBS 2011 Standard e Premium Add-on per Windows SBS 2011 (o per una qualsiasi versione successiva resa disponibile durante il periodo di validità della copertura Software Assurance). Per ogni licenza qualificante CAL Suite per SBS 2008 per Utenti e Dispositivi Premium posseduta al 1 gennaio 2011, le società saranno considerate titolari di una licenza CAL Suite per SBS 2011 e di una licenza per Premium Add-on CAL Suite per SBS 2011 con copertura Software Assurance attiva. </w:t>
      </w:r>
    </w:p>
    <w:p w:rsidR="00532ABF" w:rsidRPr="00BD7CEA" w:rsidRDefault="00532ABF" w:rsidP="00376D4B">
      <w:pPr>
        <w:ind w:left="720"/>
      </w:pPr>
    </w:p>
    <w:p w:rsidR="00366AD8" w:rsidRPr="00BD7CEA" w:rsidRDefault="00532ABF" w:rsidP="00835398">
      <w:pPr>
        <w:ind w:left="720"/>
      </w:pPr>
      <w:r w:rsidRPr="00BD7CEA">
        <w:t>Il diritto di utilizzo del software ai sensi della presente offerta scadrà alla scadenza del diritto di utilizzo del software ai sensi della Licenza Qualificante. L</w:t>
      </w:r>
      <w:r w:rsidR="007A1415" w:rsidRPr="00BD7CEA">
        <w:t>’</w:t>
      </w:r>
      <w:r w:rsidRPr="00BD7CEA">
        <w:t>utilizzo del software da parte della società è soggetto alle condizioni del contratto multilicenza (Volume License) e ai diritti di utilizzo del prodotto per il software SBS 2011 Standard e Premium Add-on per SBS 2011 e alle presenti condizioni. La presente nota, relativa alle condizioni del prodotto, unitamente alla prova delle licenze qualificanti attestano i diritti concessi ai sensi della presente offerta. Allo scadere della copertura della licenza qualificante, la società avrà diritto di rinnovare Software Assurance per le licenze degli Add-on SBS Premium e per le Suite CAL.</w:t>
      </w:r>
    </w:p>
    <w:p w:rsidR="00366AD8" w:rsidRPr="00BD7CEA" w:rsidRDefault="00366AD8" w:rsidP="00EF2279">
      <w:pPr>
        <w:ind w:left="900"/>
      </w:pPr>
    </w:p>
    <w:p w:rsidR="00366AD8" w:rsidRPr="00BD7CEA" w:rsidRDefault="00366AD8" w:rsidP="00EF2279">
      <w:pPr>
        <w:ind w:left="900"/>
      </w:pPr>
    </w:p>
    <w:p w:rsidR="00296B89" w:rsidRPr="00BD7CEA" w:rsidRDefault="00F66FB0" w:rsidP="00EF2279">
      <w:pPr>
        <w:pStyle w:val="Heading3"/>
      </w:pPr>
      <w:bookmarkStart w:id="1637" w:name="_119_Windows_Small"/>
      <w:bookmarkStart w:id="1638" w:name="_111_Windows_Small"/>
      <w:bookmarkStart w:id="1639" w:name="_Toc336338377"/>
      <w:bookmarkStart w:id="1640" w:name="_Toc353376149"/>
      <w:bookmarkStart w:id="1641" w:name="Srv_117WinSmallBizSVR2011Addon"/>
      <w:bookmarkStart w:id="1642" w:name="Srv_121WinSmallBizSVR2011Addon"/>
      <w:bookmarkEnd w:id="1637"/>
      <w:bookmarkEnd w:id="1638"/>
      <w:r w:rsidRPr="00BD7CEA">
        <w:rPr>
          <w:rFonts w:ascii="Tahoma" w:hAnsi="Tahoma" w:cs="Tahoma"/>
          <w:caps/>
          <w:color w:val="FF6D09"/>
          <w:sz w:val="22"/>
          <w:vertAlign w:val="superscript"/>
        </w:rPr>
        <w:t>111</w:t>
      </w:r>
      <w:r w:rsidRPr="00BD7CEA">
        <w:rPr>
          <w:rFonts w:ascii="Tahoma" w:hAnsi="Tahoma" w:cs="Tahoma"/>
          <w:color w:val="FF6D09"/>
          <w:sz w:val="22"/>
        </w:rPr>
        <w:t xml:space="preserve"> Windows Small Business Server (SBS) 2011 Standard</w:t>
      </w:r>
      <w:bookmarkEnd w:id="1639"/>
      <w:bookmarkEnd w:id="1640"/>
    </w:p>
    <w:bookmarkEnd w:id="1641"/>
    <w:bookmarkEnd w:id="1642"/>
    <w:p w:rsidR="00296B89" w:rsidRPr="00BD7CEA" w:rsidRDefault="00296B89" w:rsidP="00CE7FAD">
      <w:pPr>
        <w:ind w:left="900"/>
      </w:pPr>
    </w:p>
    <w:p w:rsidR="00CE7FAD" w:rsidRPr="00BD7CEA" w:rsidRDefault="00836655" w:rsidP="00CE7FAD">
      <w:pPr>
        <w:spacing w:after="60"/>
        <w:ind w:left="720"/>
      </w:pPr>
      <w:r w:rsidRPr="00BD7CEA">
        <w:rPr>
          <w:b/>
          <w:color w:val="000000"/>
        </w:rPr>
        <w:t>Concessioni di licenza associate alla fine del ciclo di vita di SBS 2011 Standard</w:t>
      </w:r>
    </w:p>
    <w:p w:rsidR="00F1020A" w:rsidRPr="00BD7CEA" w:rsidRDefault="00836655" w:rsidP="00CE7FAD">
      <w:pPr>
        <w:ind w:left="720"/>
      </w:pPr>
      <w:r w:rsidRPr="00BD7CEA">
        <w:rPr>
          <w:color w:val="000000"/>
        </w:rPr>
        <w:t>SBS 2011 Standard sarà l</w:t>
      </w:r>
      <w:r w:rsidR="007A1415" w:rsidRPr="00BD7CEA">
        <w:rPr>
          <w:color w:val="000000"/>
        </w:rPr>
        <w:t>’</w:t>
      </w:r>
      <w:r w:rsidRPr="00BD7CEA">
        <w:rPr>
          <w:color w:val="000000"/>
        </w:rPr>
        <w:t>ultima versione di SBS Standard. Alle società titolari di contratti multilicenza con copertura Software Assurance attiva per le licenze Standard per SBS 2011 (“Licenze Qualificanti”) sarà consentito effettuare l</w:t>
      </w:r>
      <w:r w:rsidR="007A1415" w:rsidRPr="00BD7CEA">
        <w:rPr>
          <w:color w:val="000000"/>
        </w:rPr>
        <w:t>’</w:t>
      </w:r>
      <w:r w:rsidRPr="00BD7CEA">
        <w:rPr>
          <w:color w:val="000000"/>
        </w:rPr>
        <w:t xml:space="preserve">aggiornamento ai prodotti software Windows Server Standard ed Exchange Server Standard e a </w:t>
      </w:r>
      <w:r w:rsidRPr="00BD7CEA">
        <w:rPr>
          <w:rFonts w:eastAsia="Calibri" w:cs="Tahoma"/>
          <w:szCs w:val="18"/>
        </w:rPr>
        <w:t xml:space="preserve">utilizzarli al posto di SBS 2011. Per agevolare tale utilizzo, per ogni Licenza Qualificante in suo possesso, alla società verranno concesse due licenze per Windows Server Standard e una licenza per Exchange Server 2010 Standard, come illustrato nella tabella che segue. </w:t>
      </w:r>
    </w:p>
    <w:p w:rsidR="00CE7FAD" w:rsidRPr="00BD7CEA" w:rsidRDefault="00CE7FAD" w:rsidP="00CE7FAD">
      <w:pPr>
        <w:ind w:left="720"/>
      </w:pPr>
    </w:p>
    <w:p w:rsidR="00CE7FAD" w:rsidRPr="00BD7CEA" w:rsidRDefault="00CE7FAD" w:rsidP="00CE7FAD">
      <w:pPr>
        <w:ind w:left="72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9E5BF9" w:rsidRPr="00BD7CEA"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BD7CEA" w:rsidRDefault="00836655" w:rsidP="000A5032">
            <w:pPr>
              <w:spacing w:after="200" w:line="276" w:lineRule="auto"/>
              <w:rPr>
                <w:rFonts w:eastAsia="Calibri" w:cs="Tahoma"/>
                <w:szCs w:val="18"/>
              </w:rPr>
            </w:pPr>
            <w:r w:rsidRPr="00BD7CEA">
              <w:rPr>
                <w:b/>
                <w:color w:val="000000"/>
              </w:rPr>
              <w:t>Licenze Qualificanti</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BD7CEA" w:rsidRDefault="00836655" w:rsidP="000A5032">
            <w:pPr>
              <w:spacing w:after="200" w:line="276" w:lineRule="auto"/>
              <w:rPr>
                <w:rFonts w:eastAsia="Calibri" w:cs="Tahoma"/>
                <w:szCs w:val="18"/>
              </w:rPr>
            </w:pPr>
            <w:r w:rsidRPr="00BD7CEA">
              <w:rPr>
                <w:b/>
                <w:color w:val="000000"/>
              </w:rPr>
              <w:t>Concessione di Licenza</w:t>
            </w:r>
          </w:p>
        </w:tc>
      </w:tr>
      <w:tr w:rsidR="009E5BF9" w:rsidRPr="00BD7CEA" w:rsidTr="00E35CB6">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BD7CEA" w:rsidRDefault="00836655" w:rsidP="000D5F24">
            <w:pPr>
              <w:spacing w:line="276" w:lineRule="auto"/>
              <w:rPr>
                <w:rFonts w:eastAsia="Calibri" w:cs="Tahoma"/>
                <w:szCs w:val="18"/>
              </w:rPr>
            </w:pPr>
            <w:r w:rsidRPr="00BD7CEA">
              <w:rPr>
                <w:rFonts w:eastAsia="Calibri" w:cs="Tahoma"/>
                <w:szCs w:val="18"/>
              </w:rPr>
              <w:t>SBS 2011 Standard con copertura Software Assurance fino al 31 luglio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BD7CEA" w:rsidRDefault="009E5BF9" w:rsidP="000D5F24">
            <w:pPr>
              <w:spacing w:line="276" w:lineRule="auto"/>
            </w:pPr>
            <w:r w:rsidRPr="00BD7CEA">
              <w:rPr>
                <w:rFonts w:eastAsia="Calibri" w:cs="Tahoma"/>
                <w:szCs w:val="18"/>
              </w:rPr>
              <w:t>Due licenze per Windows Server 2008 R2 con Software Assurance</w:t>
            </w:r>
          </w:p>
          <w:p w:rsidR="00836655" w:rsidRPr="00BD7CEA" w:rsidRDefault="009E5BF9" w:rsidP="000D5F24">
            <w:pPr>
              <w:spacing w:line="276" w:lineRule="auto"/>
              <w:rPr>
                <w:rFonts w:eastAsia="Calibri" w:cs="Tahoma"/>
                <w:szCs w:val="18"/>
              </w:rPr>
            </w:pPr>
            <w:r w:rsidRPr="00BD7CEA">
              <w:rPr>
                <w:rFonts w:eastAsia="Calibri" w:cs="Tahoma"/>
                <w:szCs w:val="18"/>
              </w:rPr>
              <w:t>Una licenza per Exchange Server 2010 Standard con Software Assurance</w:t>
            </w:r>
          </w:p>
        </w:tc>
      </w:tr>
      <w:tr w:rsidR="009E5BF9" w:rsidRPr="00BD7CEA" w:rsidTr="00E35CB6">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BD7CEA" w:rsidRDefault="00836655" w:rsidP="000D5F24">
            <w:pPr>
              <w:spacing w:line="276" w:lineRule="auto"/>
              <w:rPr>
                <w:rFonts w:eastAsia="Calibri" w:cs="Tahoma"/>
                <w:szCs w:val="18"/>
              </w:rPr>
            </w:pPr>
            <w:r w:rsidRPr="00BD7CEA">
              <w:rPr>
                <w:rFonts w:eastAsia="Calibri" w:cs="Tahoma"/>
                <w:szCs w:val="18"/>
              </w:rPr>
              <w:t>SBS 2011 Standard con copertura Software Assurance in data 1 agosto 2012 o successiva</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BD7CEA" w:rsidRDefault="009E5BF9" w:rsidP="000D5F24">
            <w:pPr>
              <w:spacing w:line="276" w:lineRule="auto"/>
            </w:pPr>
            <w:r w:rsidRPr="00BD7CEA">
              <w:rPr>
                <w:rFonts w:eastAsia="Calibri" w:cs="Tahoma"/>
                <w:szCs w:val="18"/>
              </w:rPr>
              <w:t>Due licenze per Windows Server 2012 con Software Assurance</w:t>
            </w:r>
          </w:p>
          <w:p w:rsidR="00836655" w:rsidRPr="00BD7CEA" w:rsidRDefault="009E5BF9" w:rsidP="000D5F24">
            <w:pPr>
              <w:spacing w:line="276" w:lineRule="auto"/>
              <w:rPr>
                <w:rFonts w:eastAsia="Calibri" w:cs="Tahoma"/>
                <w:szCs w:val="18"/>
              </w:rPr>
            </w:pPr>
            <w:r w:rsidRPr="00BD7CEA">
              <w:rPr>
                <w:rFonts w:eastAsia="Calibri" w:cs="Tahoma"/>
                <w:szCs w:val="18"/>
              </w:rPr>
              <w:t>Una licenza per Exchange Server 2010 Standard con Software Assurance</w:t>
            </w:r>
          </w:p>
        </w:tc>
      </w:tr>
    </w:tbl>
    <w:p w:rsidR="00CE7FAD" w:rsidRPr="00BD7CEA" w:rsidRDefault="00CE7FAD" w:rsidP="00CE7FAD">
      <w:pPr>
        <w:spacing w:after="100" w:afterAutospacing="1" w:line="276" w:lineRule="auto"/>
        <w:ind w:left="720"/>
        <w:contextualSpacing/>
      </w:pPr>
    </w:p>
    <w:p w:rsidR="00836655" w:rsidRPr="00BD7CEA" w:rsidRDefault="00836655" w:rsidP="00CE7FAD">
      <w:pPr>
        <w:ind w:left="720"/>
      </w:pPr>
      <w:r w:rsidRPr="00BD7CEA">
        <w:rPr>
          <w:rFonts w:eastAsia="Calibri" w:cs="Tahoma"/>
          <w:szCs w:val="18"/>
        </w:rPr>
        <w:t>La copertura Software Assurance inclusa nella suddetta concessione scade alla scadenza della corrispondente copertura per le Licenze Qualificanti. In via eccezionale, le società con copertura Software Assurance attiva per le Licenze Qualificanti hanno la possibilità fino al 31 dicembre 2012 di rinnovare la copertura per le licenze per Windows Server ed Exchange Server ricevute in concessione ai sensi della presente offerta.</w:t>
      </w:r>
    </w:p>
    <w:p w:rsidR="00835398" w:rsidRDefault="00835398" w:rsidP="00CE7FAD">
      <w:pPr>
        <w:pStyle w:val="ListParagraph"/>
        <w:contextualSpacing w:val="0"/>
        <w:rPr>
          <w:rFonts w:ascii="Tahoma" w:eastAsia="Calibri" w:hAnsi="Tahoma" w:cs="Tahoma"/>
          <w:sz w:val="18"/>
          <w:szCs w:val="18"/>
        </w:rPr>
      </w:pPr>
    </w:p>
    <w:p w:rsidR="00835398" w:rsidRDefault="00835398" w:rsidP="00CE7FAD">
      <w:pPr>
        <w:pStyle w:val="ListParagraph"/>
        <w:contextualSpacing w:val="0"/>
        <w:rPr>
          <w:rFonts w:ascii="Tahoma" w:eastAsia="Calibri" w:hAnsi="Tahoma" w:cs="Tahoma"/>
          <w:sz w:val="18"/>
          <w:szCs w:val="18"/>
        </w:rPr>
      </w:pPr>
    </w:p>
    <w:p w:rsidR="00835398" w:rsidRDefault="00835398" w:rsidP="00CE7FAD">
      <w:pPr>
        <w:pStyle w:val="ListParagraph"/>
        <w:contextualSpacing w:val="0"/>
        <w:rPr>
          <w:rFonts w:ascii="Tahoma" w:eastAsia="Calibri" w:hAnsi="Tahoma" w:cs="Tahoma"/>
          <w:sz w:val="18"/>
          <w:szCs w:val="18"/>
        </w:rPr>
      </w:pPr>
    </w:p>
    <w:p w:rsidR="00836655" w:rsidRPr="00BD7CEA" w:rsidRDefault="00836655" w:rsidP="00CE7FAD">
      <w:pPr>
        <w:pStyle w:val="ListParagraph"/>
        <w:contextualSpacing w:val="0"/>
      </w:pPr>
      <w:r w:rsidRPr="00BD7CEA">
        <w:rPr>
          <w:rFonts w:ascii="Tahoma" w:eastAsia="Calibri" w:hAnsi="Tahoma" w:cs="Tahoma"/>
          <w:sz w:val="18"/>
          <w:szCs w:val="18"/>
        </w:rPr>
        <w:lastRenderedPageBreak/>
        <w:t>Nel caso in cui le società abbiano acquistato diritti perpetui per utilizzare software ai sensi di Licenze Qualificanti, le licenze acquistate ai sensi della presente concessione saranno anch</w:t>
      </w:r>
      <w:r w:rsidR="007A1415" w:rsidRPr="00BD7CEA">
        <w:rPr>
          <w:rFonts w:ascii="Tahoma" w:eastAsia="Calibri" w:hAnsi="Tahoma" w:cs="Tahoma"/>
          <w:sz w:val="18"/>
          <w:szCs w:val="18"/>
        </w:rPr>
        <w:t>’</w:t>
      </w:r>
      <w:r w:rsidRPr="00BD7CEA">
        <w:rPr>
          <w:rFonts w:ascii="Tahoma" w:eastAsia="Calibri" w:hAnsi="Tahoma" w:cs="Tahoma"/>
          <w:sz w:val="18"/>
          <w:szCs w:val="18"/>
        </w:rPr>
        <w:t>esse perpetue; diversamente, le licenze acquistate ai sensi della presente concessione cesseranno alla scadenza delle Licenze Qualificanti sottostanti.</w:t>
      </w:r>
    </w:p>
    <w:p w:rsidR="00CE7FAD" w:rsidRPr="00C8557A" w:rsidRDefault="00CE7FAD" w:rsidP="00CE7FAD">
      <w:pPr>
        <w:pStyle w:val="ListParagraph"/>
        <w:contextualSpacing w:val="0"/>
        <w:rPr>
          <w:rFonts w:ascii="Tahoma" w:hAnsi="Tahoma" w:cs="Tahoma"/>
          <w:sz w:val="18"/>
          <w:szCs w:val="18"/>
        </w:rPr>
      </w:pPr>
    </w:p>
    <w:p w:rsidR="00836655" w:rsidRPr="00BD7CEA" w:rsidRDefault="00836655" w:rsidP="00CE7FAD">
      <w:pPr>
        <w:pStyle w:val="ListParagraph"/>
        <w:contextualSpacing w:val="0"/>
      </w:pPr>
      <w:r w:rsidRPr="00BD7CEA">
        <w:rPr>
          <w:rFonts w:ascii="Tahoma" w:eastAsia="Calibri" w:hAnsi="Tahoma" w:cs="Tahoma"/>
          <w:sz w:val="18"/>
          <w:szCs w:val="18"/>
        </w:rPr>
        <w:t>Per ogni Licenza Qualificante acquistata ai sensi del contratto Open Value Subscription, una società potrà eseguire il buy-out di una licenza per SBS 2011 Standard come indicato o di:</w:t>
      </w:r>
    </w:p>
    <w:p w:rsidR="00CE7FAD" w:rsidRPr="00C8557A" w:rsidRDefault="00CE7FAD" w:rsidP="00CE7FAD">
      <w:pPr>
        <w:pStyle w:val="ListParagraph"/>
        <w:contextualSpacing w:val="0"/>
        <w:rPr>
          <w:rFonts w:ascii="Tahoma" w:hAnsi="Tahoma" w:cs="Tahoma"/>
          <w:sz w:val="18"/>
          <w:szCs w:val="18"/>
        </w:rPr>
      </w:pPr>
    </w:p>
    <w:p w:rsidR="00836655" w:rsidRPr="00BD7CEA" w:rsidRDefault="009E5BF9" w:rsidP="007358C5">
      <w:pPr>
        <w:pStyle w:val="ListParagraph"/>
        <w:numPr>
          <w:ilvl w:val="1"/>
          <w:numId w:val="99"/>
        </w:numPr>
        <w:tabs>
          <w:tab w:val="clear" w:pos="1440"/>
        </w:tabs>
        <w:contextualSpacing w:val="0"/>
      </w:pPr>
      <w:r w:rsidRPr="00BD7CEA">
        <w:rPr>
          <w:rFonts w:ascii="Tahoma" w:eastAsia="Calibri" w:hAnsi="Tahoma" w:cs="Tahoma"/>
          <w:sz w:val="18"/>
          <w:szCs w:val="18"/>
        </w:rPr>
        <w:t>Due licenze per Windows Server 2012 Standard e una licenza per Exchange Server 2010 Standard per i contratti in scadenza in data 1 agosto 2012 o successiva oppure</w:t>
      </w:r>
    </w:p>
    <w:p w:rsidR="00836655" w:rsidRPr="00BD7CEA" w:rsidRDefault="009E5BF9" w:rsidP="007358C5">
      <w:pPr>
        <w:pStyle w:val="ListParagraph"/>
        <w:numPr>
          <w:ilvl w:val="1"/>
          <w:numId w:val="99"/>
        </w:numPr>
        <w:tabs>
          <w:tab w:val="clear" w:pos="1440"/>
        </w:tabs>
        <w:contextualSpacing w:val="0"/>
      </w:pPr>
      <w:r w:rsidRPr="00BD7CEA">
        <w:rPr>
          <w:rFonts w:ascii="Tahoma" w:eastAsia="Calibri" w:hAnsi="Tahoma" w:cs="Tahoma"/>
          <w:sz w:val="18"/>
          <w:szCs w:val="18"/>
        </w:rPr>
        <w:t>Due licenze per Windows Server 2008 R2 Standard e una licenza per Exchange Server 2010 Standard per i contratti in scadenza in data 1 luglio 2012.</w:t>
      </w:r>
    </w:p>
    <w:p w:rsidR="00CE7FAD" w:rsidRPr="00BD7CEA" w:rsidRDefault="00CE7FAD" w:rsidP="00CE7FAD">
      <w:pPr>
        <w:ind w:left="720"/>
      </w:pPr>
    </w:p>
    <w:p w:rsidR="00836655" w:rsidRPr="00BD7CEA" w:rsidRDefault="00836655" w:rsidP="00CE7FAD">
      <w:pPr>
        <w:ind w:left="720"/>
      </w:pPr>
      <w:r w:rsidRPr="00BD7CEA">
        <w:rPr>
          <w:rFonts w:eastAsia="Calibri" w:cs="Tahoma"/>
          <w:szCs w:val="18"/>
        </w:rPr>
        <w:t>Eseguendo l</w:t>
      </w:r>
      <w:r w:rsidR="007A1415" w:rsidRPr="00BD7CEA">
        <w:rPr>
          <w:rFonts w:eastAsia="Calibri" w:cs="Tahoma"/>
          <w:szCs w:val="18"/>
        </w:rPr>
        <w:t>’</w:t>
      </w:r>
      <w:r w:rsidRPr="00BD7CEA">
        <w:rPr>
          <w:rFonts w:eastAsia="Calibri" w:cs="Tahoma"/>
          <w:szCs w:val="18"/>
        </w:rPr>
        <w:t>aggiornamento a Windows Server Standard ed Exchange Server 2010 Standard ai sensi della presente concessione, le Licenze Qualificanti in essere per SBS Standard non saranno più valide.</w:t>
      </w:r>
    </w:p>
    <w:p w:rsidR="00CE7FAD" w:rsidRPr="00BD7CEA" w:rsidRDefault="00CE7FAD" w:rsidP="00CE7FAD">
      <w:pPr>
        <w:ind w:left="720"/>
      </w:pPr>
    </w:p>
    <w:p w:rsidR="00836655" w:rsidRPr="00BD7CEA" w:rsidRDefault="00836655" w:rsidP="00CE7FAD">
      <w:pPr>
        <w:ind w:left="720"/>
      </w:pPr>
      <w:r w:rsidRPr="00BD7CEA">
        <w:t xml:space="preserve">Le licenze Standard per </w:t>
      </w:r>
      <w:r w:rsidRPr="00BD7CEA">
        <w:rPr>
          <w:color w:val="000000"/>
        </w:rPr>
        <w:t xml:space="preserve">SBS 2011 </w:t>
      </w:r>
      <w:r w:rsidRPr="00BD7CEA">
        <w:rPr>
          <w:rFonts w:cs="Tahoma"/>
          <w:bCs/>
          <w:color w:val="000000"/>
          <w:szCs w:val="18"/>
        </w:rPr>
        <w:t>acquistate successivamente nello stesso periodo di validità dell</w:t>
      </w:r>
      <w:r w:rsidR="007A1415" w:rsidRPr="00BD7CEA">
        <w:rPr>
          <w:rFonts w:cs="Tahoma"/>
          <w:bCs/>
          <w:color w:val="000000"/>
          <w:szCs w:val="18"/>
        </w:rPr>
        <w:t>’</w:t>
      </w:r>
      <w:r w:rsidRPr="00BD7CEA">
        <w:rPr>
          <w:rFonts w:cs="Tahoma"/>
          <w:bCs/>
          <w:color w:val="000000"/>
          <w:szCs w:val="18"/>
        </w:rPr>
        <w:t>iscrizione nell</w:t>
      </w:r>
      <w:r w:rsidR="007A1415" w:rsidRPr="00BD7CEA">
        <w:rPr>
          <w:rFonts w:cs="Tahoma"/>
          <w:bCs/>
          <w:color w:val="000000"/>
          <w:szCs w:val="18"/>
        </w:rPr>
        <w:t>’</w:t>
      </w:r>
      <w:r w:rsidRPr="00BD7CEA">
        <w:rPr>
          <w:rFonts w:cs="Tahoma"/>
          <w:bCs/>
          <w:color w:val="000000"/>
          <w:szCs w:val="18"/>
        </w:rPr>
        <w:t>ambito di una procedura pianificata di true-up di una società Open Value Subscription o EES sono anch</w:t>
      </w:r>
      <w:r w:rsidR="007A1415" w:rsidRPr="00BD7CEA">
        <w:rPr>
          <w:rFonts w:cs="Tahoma"/>
          <w:bCs/>
          <w:color w:val="000000"/>
          <w:szCs w:val="18"/>
        </w:rPr>
        <w:t>’</w:t>
      </w:r>
      <w:r w:rsidRPr="00BD7CEA">
        <w:rPr>
          <w:rFonts w:cs="Tahoma"/>
          <w:bCs/>
          <w:color w:val="000000"/>
          <w:szCs w:val="18"/>
        </w:rPr>
        <w:t>esse Licenze Qualificanti per gli scopi previsti dalla suddetta concessione.</w:t>
      </w:r>
    </w:p>
    <w:p w:rsidR="00D16723" w:rsidRPr="00BD7CEA" w:rsidRDefault="00D16723" w:rsidP="00CE7FAD">
      <w:pPr>
        <w:ind w:left="720"/>
      </w:pPr>
    </w:p>
    <w:p w:rsidR="00D16723" w:rsidRPr="00BD7CEA" w:rsidRDefault="00D16723">
      <w:bookmarkStart w:id="1643" w:name="_100_SBS_2008"/>
      <w:bookmarkStart w:id="1644" w:name="_101_SBS_2008"/>
      <w:bookmarkStart w:id="1645" w:name="_105_SBS_2008"/>
      <w:bookmarkStart w:id="1646" w:name="_125_Windows_Web"/>
      <w:bookmarkEnd w:id="1643"/>
      <w:bookmarkEnd w:id="1644"/>
      <w:bookmarkEnd w:id="1645"/>
      <w:bookmarkEnd w:id="1646"/>
    </w:p>
    <w:p w:rsidR="00E06578" w:rsidRPr="00BD7CEA" w:rsidRDefault="00F66FB0" w:rsidP="00EF2279">
      <w:pPr>
        <w:pStyle w:val="Heading2"/>
        <w:ind w:left="0"/>
      </w:pPr>
      <w:bookmarkStart w:id="1647" w:name="_122_Windows_Small"/>
      <w:bookmarkStart w:id="1648" w:name="_120_Windows_Small"/>
      <w:bookmarkStart w:id="1649" w:name="_110_Windows_Small"/>
      <w:bookmarkStart w:id="1650" w:name="_112_CAL_Suite"/>
      <w:bookmarkStart w:id="1651" w:name="_Toc336338378"/>
      <w:bookmarkStart w:id="1652" w:name="_Toc353376150"/>
      <w:bookmarkEnd w:id="1647"/>
      <w:bookmarkEnd w:id="1648"/>
      <w:bookmarkEnd w:id="1649"/>
      <w:bookmarkEnd w:id="1650"/>
      <w:r w:rsidRPr="00BD7CEA">
        <w:rPr>
          <w:rFonts w:ascii="Tahoma" w:hAnsi="Tahoma" w:cs="Tahoma"/>
          <w:caps/>
          <w:color w:val="EE6000"/>
          <w:sz w:val="22"/>
          <w:szCs w:val="18"/>
          <w:vertAlign w:val="superscript"/>
        </w:rPr>
        <w:t xml:space="preserve">112 </w:t>
      </w:r>
      <w:r w:rsidRPr="00BD7CEA">
        <w:rPr>
          <w:rFonts w:ascii="Tahoma" w:hAnsi="Tahoma" w:cs="Tahoma"/>
          <w:color w:val="F8701C"/>
          <w:sz w:val="22"/>
          <w:szCs w:val="22"/>
        </w:rPr>
        <w:t>CAL Suite per Windows Small Business Server (SBS) 2011</w:t>
      </w:r>
      <w:bookmarkEnd w:id="1651"/>
      <w:bookmarkEnd w:id="1652"/>
    </w:p>
    <w:p w:rsidR="00E06578" w:rsidRPr="00BD7CEA" w:rsidRDefault="00E06578" w:rsidP="000F0F4D">
      <w:pPr>
        <w:ind w:left="900"/>
      </w:pPr>
    </w:p>
    <w:p w:rsidR="000F0F4D" w:rsidRPr="00BD7CEA" w:rsidRDefault="00836655" w:rsidP="000F0F4D">
      <w:pPr>
        <w:spacing w:after="60"/>
        <w:ind w:left="720"/>
      </w:pPr>
      <w:r w:rsidRPr="00BD7CEA">
        <w:rPr>
          <w:b/>
          <w:color w:val="000000"/>
        </w:rPr>
        <w:t>Concessioni di licenza associate alla fine del ciclo di vita della CAL Suite per SBS 2011</w:t>
      </w:r>
    </w:p>
    <w:p w:rsidR="00836655" w:rsidRDefault="00836655" w:rsidP="000F0F4D">
      <w:pPr>
        <w:ind w:left="720"/>
        <w:rPr>
          <w:rFonts w:eastAsia="Calibri" w:cs="Tahoma"/>
          <w:szCs w:val="18"/>
        </w:rPr>
      </w:pPr>
      <w:r w:rsidRPr="00BD7CEA">
        <w:t>Le società con copertura Software Assurance attiva per CAL Suite per SBS 2011 (“Licenze Qualificanti”) sono</w:t>
      </w:r>
      <w:r w:rsidR="00366AD8" w:rsidRPr="00BD7CEA">
        <w:t> </w:t>
      </w:r>
      <w:r w:rsidRPr="00BD7CEA">
        <w:t xml:space="preserve">idonee ad accedere al software Windows Server Standard ed Exchange Server 2010. </w:t>
      </w:r>
      <w:r w:rsidRPr="00BD7CEA">
        <w:rPr>
          <w:rFonts w:eastAsia="Calibri" w:cs="Tahoma"/>
          <w:szCs w:val="18"/>
        </w:rPr>
        <w:t xml:space="preserve">Per agevolare tale utilizzo, per ogni licenza CAL Qualificante in suo possesso, alla società verrà concessa una licenza CAL per Windows Server Standard e una per Exchange Server 2010, come illustrato nella tabella che segue. </w:t>
      </w:r>
    </w:p>
    <w:p w:rsidR="00DA6E48" w:rsidRPr="00BD7CEA" w:rsidRDefault="00DA6E48" w:rsidP="000F0F4D">
      <w:pPr>
        <w:ind w:left="72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BD7CEA"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BD7CEA" w:rsidRDefault="00836655" w:rsidP="000A5032">
            <w:pPr>
              <w:spacing w:after="200" w:line="276" w:lineRule="auto"/>
              <w:rPr>
                <w:rFonts w:eastAsia="Calibri" w:cs="Tahoma"/>
                <w:szCs w:val="18"/>
              </w:rPr>
            </w:pPr>
            <w:r w:rsidRPr="00BD7CEA">
              <w:rPr>
                <w:b/>
                <w:color w:val="000000"/>
              </w:rPr>
              <w:t>Licenze Qualificanti</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BD7CEA" w:rsidRDefault="00836655" w:rsidP="000A5032">
            <w:pPr>
              <w:spacing w:after="200" w:line="276" w:lineRule="auto"/>
              <w:rPr>
                <w:rFonts w:eastAsia="Calibri" w:cs="Tahoma"/>
                <w:szCs w:val="18"/>
              </w:rPr>
            </w:pPr>
            <w:r w:rsidRPr="00BD7CEA">
              <w:rPr>
                <w:b/>
                <w:color w:val="000000"/>
              </w:rPr>
              <w:t>Concessione di Licenza</w:t>
            </w:r>
          </w:p>
        </w:tc>
      </w:tr>
      <w:tr w:rsidR="00836655" w:rsidRPr="00BD7CEA"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BD7CEA" w:rsidRDefault="00836655" w:rsidP="00CA14C9">
            <w:pPr>
              <w:spacing w:line="276" w:lineRule="auto"/>
              <w:rPr>
                <w:rFonts w:eastAsia="Calibri" w:cs="Tahoma"/>
                <w:szCs w:val="18"/>
              </w:rPr>
            </w:pPr>
            <w:r w:rsidRPr="00BD7CEA">
              <w:rPr>
                <w:rFonts w:eastAsia="Calibri" w:cs="Tahoma"/>
                <w:szCs w:val="18"/>
              </w:rPr>
              <w:t>CAL Suite per SBS 2011 con copertura Software Assurance fino al 31 luglio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BD7CEA" w:rsidRDefault="00836655" w:rsidP="00CA14C9">
            <w:pPr>
              <w:spacing w:line="276" w:lineRule="auto"/>
            </w:pPr>
            <w:r w:rsidRPr="00BD7CEA">
              <w:rPr>
                <w:rFonts w:eastAsia="Calibri" w:cs="Tahoma"/>
                <w:szCs w:val="18"/>
              </w:rPr>
              <w:t>Licenza CAL per Windows Server 2008 R2</w:t>
            </w:r>
          </w:p>
          <w:p w:rsidR="00836655" w:rsidRPr="00BD7CEA" w:rsidRDefault="00836655" w:rsidP="00CA14C9">
            <w:pPr>
              <w:spacing w:line="276" w:lineRule="auto"/>
              <w:rPr>
                <w:rFonts w:eastAsia="Calibri" w:cs="Tahoma"/>
                <w:szCs w:val="18"/>
              </w:rPr>
            </w:pPr>
            <w:r w:rsidRPr="00BD7CEA">
              <w:rPr>
                <w:rFonts w:eastAsia="Calibri" w:cs="Tahoma"/>
                <w:szCs w:val="18"/>
              </w:rPr>
              <w:t>Licenza CAL per Exchange Server 2010</w:t>
            </w:r>
          </w:p>
        </w:tc>
      </w:tr>
      <w:tr w:rsidR="00836655" w:rsidRPr="00BD7CEA"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BD7CEA" w:rsidRDefault="00836655" w:rsidP="00CA14C9">
            <w:pPr>
              <w:spacing w:line="276" w:lineRule="auto"/>
              <w:rPr>
                <w:rFonts w:eastAsia="Calibri" w:cs="Tahoma"/>
                <w:szCs w:val="18"/>
              </w:rPr>
            </w:pPr>
            <w:r w:rsidRPr="00BD7CEA">
              <w:rPr>
                <w:rFonts w:eastAsia="Calibri" w:cs="Tahoma"/>
                <w:szCs w:val="18"/>
              </w:rPr>
              <w:t>CAL Suite per SBS 2011 con copertura Software Assurance in data 1 agosto 2012 o successiva</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BD7CEA" w:rsidRDefault="00836655" w:rsidP="00CA14C9">
            <w:pPr>
              <w:spacing w:line="276" w:lineRule="auto"/>
            </w:pPr>
            <w:r w:rsidRPr="00BD7CEA">
              <w:rPr>
                <w:rFonts w:eastAsia="Calibri" w:cs="Tahoma"/>
                <w:szCs w:val="18"/>
              </w:rPr>
              <w:t>Licenza CAL per Windows Server 2012 con Software Assurance</w:t>
            </w:r>
          </w:p>
          <w:p w:rsidR="00836655" w:rsidRPr="00BD7CEA" w:rsidRDefault="00836655" w:rsidP="00CA14C9">
            <w:pPr>
              <w:spacing w:line="276" w:lineRule="auto"/>
              <w:rPr>
                <w:rFonts w:eastAsia="Calibri" w:cs="Tahoma"/>
                <w:szCs w:val="18"/>
              </w:rPr>
            </w:pPr>
            <w:r w:rsidRPr="00BD7CEA">
              <w:rPr>
                <w:rFonts w:eastAsia="Calibri" w:cs="Tahoma"/>
                <w:szCs w:val="18"/>
              </w:rPr>
              <w:t>CAL per Exchange Server 2010 con Software Assurance</w:t>
            </w:r>
          </w:p>
        </w:tc>
      </w:tr>
    </w:tbl>
    <w:p w:rsidR="000F0F4D" w:rsidRPr="00BD7CEA" w:rsidRDefault="000F0F4D" w:rsidP="000F0F4D">
      <w:pPr>
        <w:pStyle w:val="ListParagraph"/>
        <w:contextualSpacing w:val="0"/>
        <w:rPr>
          <w:sz w:val="18"/>
          <w:szCs w:val="18"/>
        </w:rPr>
      </w:pPr>
    </w:p>
    <w:p w:rsidR="00836655" w:rsidRPr="00BD7CEA" w:rsidRDefault="00836655" w:rsidP="000F0F4D">
      <w:pPr>
        <w:pStyle w:val="ListParagraph"/>
        <w:contextualSpacing w:val="0"/>
        <w:rPr>
          <w:sz w:val="18"/>
          <w:szCs w:val="18"/>
        </w:rPr>
      </w:pPr>
      <w:r w:rsidRPr="00BD7CEA">
        <w:rPr>
          <w:rFonts w:ascii="Tahoma" w:eastAsia="Calibri" w:hAnsi="Tahoma" w:cs="Tahoma"/>
          <w:sz w:val="18"/>
          <w:szCs w:val="18"/>
        </w:rPr>
        <w:t>La copertura Software Assurance inclusa nella suddetta concessione scade alla scadenza della corrispondente copertura per le CAL Qualificanti. In via eccezionale, le società con copertura Software Assurance attiva per le Licenze CAL Qualificanti in scadenza nel mese di agosto 2012 hanno la possibilità fino al 31 dicembre 2012 di rinnovare la copertura per le CAL ricevute in concessione ai sensi della presente offerta. Le società con copertura Software Assurance attiva per le Licenze CAL Qualificanti in scadenza nel mese di luglio 2012 hanno la possibilità fino al 31 dicembre 2012 di acquistare la copertura per le Licenze CAL ricevute in concessione ai sensi della presente offerta.</w:t>
      </w:r>
    </w:p>
    <w:p w:rsidR="000F0F4D" w:rsidRPr="00BD7CEA" w:rsidRDefault="000F0F4D" w:rsidP="000F0F4D">
      <w:pPr>
        <w:pStyle w:val="ListParagraph"/>
        <w:contextualSpacing w:val="0"/>
        <w:rPr>
          <w:sz w:val="18"/>
          <w:szCs w:val="18"/>
        </w:rPr>
      </w:pPr>
    </w:p>
    <w:p w:rsidR="00836655" w:rsidRPr="00BD7CEA" w:rsidRDefault="00836655" w:rsidP="000F0F4D">
      <w:pPr>
        <w:pStyle w:val="ListParagraph"/>
        <w:contextualSpacing w:val="0"/>
        <w:rPr>
          <w:sz w:val="18"/>
          <w:szCs w:val="18"/>
        </w:rPr>
      </w:pPr>
      <w:r w:rsidRPr="00BD7CEA">
        <w:rPr>
          <w:rFonts w:ascii="Tahoma" w:eastAsia="Calibri" w:hAnsi="Tahoma" w:cs="Tahoma"/>
          <w:sz w:val="18"/>
          <w:szCs w:val="18"/>
        </w:rPr>
        <w:t>Nel caso in cui le società abbiano acquistato diritti perpetui previsti dalle CAL qualificanti, le CAL acquistate ai sensi della presente concessione saranno anch</w:t>
      </w:r>
      <w:r w:rsidR="007A1415" w:rsidRPr="00BD7CEA">
        <w:rPr>
          <w:rFonts w:ascii="Tahoma" w:eastAsia="Calibri" w:hAnsi="Tahoma" w:cs="Tahoma"/>
          <w:sz w:val="18"/>
          <w:szCs w:val="18"/>
        </w:rPr>
        <w:t>’</w:t>
      </w:r>
      <w:r w:rsidRPr="00BD7CEA">
        <w:rPr>
          <w:rFonts w:ascii="Tahoma" w:eastAsia="Calibri" w:hAnsi="Tahoma" w:cs="Tahoma"/>
          <w:sz w:val="18"/>
          <w:szCs w:val="18"/>
        </w:rPr>
        <w:t>esse perpetue; diversamente, le CAL acquistate ai sensi della presente concessione cesseranno alla scadenza delle CAL Qualificanti sottostanti.</w:t>
      </w:r>
    </w:p>
    <w:p w:rsidR="000F0F4D" w:rsidRPr="00BD7CEA" w:rsidRDefault="000F0F4D" w:rsidP="000F0F4D">
      <w:pPr>
        <w:pStyle w:val="ListParagraph"/>
        <w:contextualSpacing w:val="0"/>
        <w:rPr>
          <w:sz w:val="18"/>
          <w:szCs w:val="18"/>
        </w:rPr>
      </w:pPr>
    </w:p>
    <w:p w:rsidR="00836655" w:rsidRPr="00BD7CEA" w:rsidRDefault="00836655" w:rsidP="000F0F4D">
      <w:pPr>
        <w:pStyle w:val="ListParagraph"/>
        <w:contextualSpacing w:val="0"/>
        <w:rPr>
          <w:sz w:val="18"/>
          <w:szCs w:val="18"/>
        </w:rPr>
      </w:pPr>
      <w:r w:rsidRPr="00BD7CEA">
        <w:rPr>
          <w:rFonts w:ascii="Tahoma" w:eastAsia="Calibri" w:hAnsi="Tahoma" w:cs="Tahoma"/>
          <w:sz w:val="18"/>
          <w:szCs w:val="18"/>
        </w:rPr>
        <w:t>Per ogni CAL Qualificante acquistata ai sensi del contratto Open Value Subscription, una società potrà eseguire il buy-out di una CAL Suite per SBS 2011 come indicato o di:</w:t>
      </w:r>
    </w:p>
    <w:p w:rsidR="000F0F4D" w:rsidRPr="00BD7CEA" w:rsidRDefault="000F0F4D" w:rsidP="000F0F4D">
      <w:pPr>
        <w:pStyle w:val="ListParagraph"/>
        <w:contextualSpacing w:val="0"/>
        <w:rPr>
          <w:sz w:val="18"/>
          <w:szCs w:val="18"/>
        </w:rPr>
      </w:pPr>
    </w:p>
    <w:p w:rsidR="00836655" w:rsidRPr="00BD7CEA" w:rsidRDefault="00836655" w:rsidP="007358C5">
      <w:pPr>
        <w:pStyle w:val="ListParagraph"/>
        <w:numPr>
          <w:ilvl w:val="1"/>
          <w:numId w:val="99"/>
        </w:numPr>
        <w:tabs>
          <w:tab w:val="clear" w:pos="1440"/>
        </w:tabs>
        <w:spacing w:after="60"/>
        <w:ind w:left="1800"/>
        <w:contextualSpacing w:val="0"/>
        <w:rPr>
          <w:sz w:val="18"/>
          <w:szCs w:val="18"/>
        </w:rPr>
      </w:pPr>
      <w:r w:rsidRPr="00BD7CEA">
        <w:rPr>
          <w:rFonts w:ascii="Tahoma" w:eastAsia="Calibri" w:hAnsi="Tahoma" w:cs="Tahoma"/>
          <w:sz w:val="18"/>
          <w:szCs w:val="18"/>
        </w:rPr>
        <w:t xml:space="preserve">Una Licenza CAL per Windows Server 2012 e una per Exchange Server 2010 Standard per </w:t>
      </w:r>
      <w:r w:rsidR="00542BF0" w:rsidRPr="00BD7CEA">
        <w:rPr>
          <w:rFonts w:ascii="Tahoma" w:eastAsia="Calibri" w:hAnsi="Tahoma" w:cs="Tahoma"/>
          <w:sz w:val="18"/>
          <w:szCs w:val="18"/>
        </w:rPr>
        <w:t>I </w:t>
      </w:r>
      <w:r w:rsidRPr="00BD7CEA">
        <w:rPr>
          <w:rFonts w:ascii="Tahoma" w:eastAsia="Calibri" w:hAnsi="Tahoma" w:cs="Tahoma"/>
          <w:sz w:val="18"/>
          <w:szCs w:val="18"/>
        </w:rPr>
        <w:t>contratti in scadenza in data 1 agosto 2012 o successiva e</w:t>
      </w:r>
    </w:p>
    <w:p w:rsidR="00836655" w:rsidRPr="00BD7CEA" w:rsidRDefault="00836655" w:rsidP="007358C5">
      <w:pPr>
        <w:pStyle w:val="ListParagraph"/>
        <w:numPr>
          <w:ilvl w:val="1"/>
          <w:numId w:val="99"/>
        </w:numPr>
        <w:tabs>
          <w:tab w:val="clear" w:pos="1440"/>
        </w:tabs>
        <w:spacing w:after="60"/>
        <w:ind w:left="1800"/>
        <w:contextualSpacing w:val="0"/>
      </w:pPr>
      <w:r w:rsidRPr="00BD7CEA">
        <w:rPr>
          <w:rFonts w:ascii="Tahoma" w:eastAsia="Calibri" w:hAnsi="Tahoma" w:cs="Tahoma"/>
          <w:sz w:val="18"/>
          <w:szCs w:val="18"/>
        </w:rPr>
        <w:t xml:space="preserve">Una Licenza CAL per Windows Server 2008 e una per Exchange Server 2010 Standard per </w:t>
      </w:r>
      <w:r w:rsidR="00542BF0" w:rsidRPr="00BD7CEA">
        <w:rPr>
          <w:rFonts w:ascii="Tahoma" w:eastAsia="Calibri" w:hAnsi="Tahoma" w:cs="Tahoma"/>
          <w:sz w:val="18"/>
          <w:szCs w:val="18"/>
        </w:rPr>
        <w:t>I </w:t>
      </w:r>
      <w:r w:rsidRPr="00BD7CEA">
        <w:rPr>
          <w:rFonts w:ascii="Tahoma" w:eastAsia="Calibri" w:hAnsi="Tahoma" w:cs="Tahoma"/>
          <w:sz w:val="18"/>
          <w:szCs w:val="18"/>
        </w:rPr>
        <w:t>contratti in scadenza nel mese di luglio 2012.</w:t>
      </w:r>
    </w:p>
    <w:p w:rsidR="000F0F4D" w:rsidRPr="00BD7CEA" w:rsidRDefault="000F0F4D" w:rsidP="000F0F4D">
      <w:pPr>
        <w:ind w:left="720"/>
      </w:pPr>
    </w:p>
    <w:p w:rsidR="00836655" w:rsidRPr="00BD7CEA" w:rsidRDefault="00836655" w:rsidP="000F0F4D">
      <w:pPr>
        <w:ind w:left="720"/>
      </w:pPr>
      <w:r w:rsidRPr="00BD7CEA">
        <w:rPr>
          <w:rFonts w:eastAsia="Calibri" w:cs="Tahoma"/>
          <w:szCs w:val="18"/>
        </w:rPr>
        <w:lastRenderedPageBreak/>
        <w:t>Utilizzando la Licenza CAL per Windows Server e la Licenza Standard CAL per Exchange Server 2010 ai sensi della presente concessione, le Licenze CAL Qualificanti delle società per la CAL Suite in essere per SBS 2011 non saranno più valide.</w:t>
      </w:r>
    </w:p>
    <w:p w:rsidR="000F0F4D" w:rsidRPr="00BD7CEA" w:rsidRDefault="000F0F4D" w:rsidP="000F0F4D">
      <w:pPr>
        <w:ind w:left="720"/>
      </w:pPr>
    </w:p>
    <w:p w:rsidR="00836655" w:rsidRPr="00BD7CEA" w:rsidRDefault="00836655" w:rsidP="000F0F4D">
      <w:pPr>
        <w:ind w:left="720"/>
      </w:pPr>
      <w:r w:rsidRPr="00BD7CEA">
        <w:rPr>
          <w:color w:val="000000"/>
        </w:rPr>
        <w:t>La CAL Suite per SBS 2011</w:t>
      </w:r>
      <w:r w:rsidRPr="00BD7CEA">
        <w:rPr>
          <w:rFonts w:cs="Tahoma"/>
          <w:bCs/>
          <w:color w:val="000000"/>
          <w:szCs w:val="18"/>
        </w:rPr>
        <w:t xml:space="preserve"> acquistata successivamente nello stesso periodo di validità dell</w:t>
      </w:r>
      <w:r w:rsidR="007A1415" w:rsidRPr="00BD7CEA">
        <w:rPr>
          <w:rFonts w:cs="Tahoma"/>
          <w:bCs/>
          <w:color w:val="000000"/>
          <w:szCs w:val="18"/>
        </w:rPr>
        <w:t>’</w:t>
      </w:r>
      <w:r w:rsidRPr="00BD7CEA">
        <w:rPr>
          <w:rFonts w:cs="Tahoma"/>
          <w:bCs/>
          <w:color w:val="000000"/>
          <w:szCs w:val="18"/>
        </w:rPr>
        <w:t>iscrizione nell</w:t>
      </w:r>
      <w:r w:rsidR="007A1415" w:rsidRPr="00BD7CEA">
        <w:rPr>
          <w:rFonts w:cs="Tahoma"/>
          <w:bCs/>
          <w:color w:val="000000"/>
          <w:szCs w:val="18"/>
        </w:rPr>
        <w:t>’</w:t>
      </w:r>
      <w:r w:rsidRPr="00BD7CEA">
        <w:rPr>
          <w:rFonts w:cs="Tahoma"/>
          <w:bCs/>
          <w:color w:val="000000"/>
          <w:szCs w:val="18"/>
        </w:rPr>
        <w:t>ambito di una procedura pianificata di true-up di una società Open Value Subscription o EES sono anch</w:t>
      </w:r>
      <w:r w:rsidR="007A1415" w:rsidRPr="00BD7CEA">
        <w:rPr>
          <w:rFonts w:cs="Tahoma"/>
          <w:bCs/>
          <w:color w:val="000000"/>
          <w:szCs w:val="18"/>
        </w:rPr>
        <w:t>’</w:t>
      </w:r>
      <w:r w:rsidRPr="00BD7CEA">
        <w:rPr>
          <w:rFonts w:cs="Tahoma"/>
          <w:bCs/>
          <w:color w:val="000000"/>
          <w:szCs w:val="18"/>
        </w:rPr>
        <w:t>esse CAL Qualificanti per gli scopi previsti dalla suddetta concessione.</w:t>
      </w:r>
      <w:r w:rsidRPr="00BD7CEA">
        <w:rPr>
          <w:rFonts w:eastAsia="Calibri" w:cs="Tahoma"/>
          <w:szCs w:val="18"/>
        </w:rPr>
        <w:t xml:space="preserve"> </w:t>
      </w:r>
    </w:p>
    <w:p w:rsidR="009B1D83" w:rsidRPr="00BD7CEA" w:rsidRDefault="009B1D83" w:rsidP="000F0F4D">
      <w:pPr>
        <w:ind w:left="900"/>
      </w:pPr>
    </w:p>
    <w:p w:rsidR="00586FCE" w:rsidRPr="00BD7CEA" w:rsidRDefault="00586FCE" w:rsidP="000F0F4D">
      <w:pPr>
        <w:ind w:left="900"/>
      </w:pPr>
    </w:p>
    <w:p w:rsidR="009B1D83" w:rsidRPr="00BD7CEA" w:rsidRDefault="00F66FB0" w:rsidP="009B1D83">
      <w:pPr>
        <w:pStyle w:val="Heading2"/>
        <w:ind w:hanging="720"/>
      </w:pPr>
      <w:bookmarkStart w:id="1653" w:name="_113_Premium_Add-on"/>
      <w:bookmarkStart w:id="1654" w:name="Srv_122WinSmallBizSVR2011Addon"/>
      <w:bookmarkStart w:id="1655" w:name="_Toc336338379"/>
      <w:bookmarkStart w:id="1656" w:name="_Toc353376151"/>
      <w:bookmarkStart w:id="1657" w:name="Srv_112WinSmallBizSVR2011Addon"/>
      <w:bookmarkStart w:id="1658" w:name="Srv_118WinSmallBizSVR2011Addon"/>
      <w:bookmarkEnd w:id="1653"/>
      <w:r w:rsidRPr="00BD7CEA">
        <w:rPr>
          <w:rFonts w:ascii="Tahoma" w:hAnsi="Tahoma" w:cs="Tahoma"/>
          <w:caps/>
          <w:color w:val="EE6000"/>
          <w:sz w:val="22"/>
          <w:szCs w:val="18"/>
          <w:vertAlign w:val="superscript"/>
        </w:rPr>
        <w:t xml:space="preserve">113 </w:t>
      </w:r>
      <w:r w:rsidRPr="00BD7CEA">
        <w:rPr>
          <w:rFonts w:ascii="Tahoma" w:hAnsi="Tahoma" w:cs="Tahoma"/>
          <w:color w:val="EE6000"/>
          <w:sz w:val="22"/>
          <w:szCs w:val="18"/>
        </w:rPr>
        <w:t>Premium Add-on per Windows Small Business Server (SBS) 2011</w:t>
      </w:r>
      <w:bookmarkEnd w:id="1654"/>
      <w:bookmarkEnd w:id="1655"/>
      <w:bookmarkEnd w:id="1656"/>
    </w:p>
    <w:bookmarkEnd w:id="1657"/>
    <w:bookmarkEnd w:id="1658"/>
    <w:p w:rsidR="009B1D83" w:rsidRPr="00BD7CEA" w:rsidRDefault="009B1D83" w:rsidP="000F0F4D">
      <w:pPr>
        <w:ind w:left="900"/>
      </w:pPr>
    </w:p>
    <w:p w:rsidR="000F0F4D" w:rsidRPr="00BD7CEA" w:rsidRDefault="00836655" w:rsidP="000F0F4D">
      <w:pPr>
        <w:spacing w:after="60"/>
        <w:ind w:left="720"/>
      </w:pPr>
      <w:r w:rsidRPr="00BD7CEA">
        <w:rPr>
          <w:b/>
          <w:color w:val="000000"/>
        </w:rPr>
        <w:t>Concessioni di licenza associate alla fine del ciclo di vita di SBS 2011 Premium Add-on</w:t>
      </w:r>
    </w:p>
    <w:p w:rsidR="00836655" w:rsidRPr="00BD7CEA" w:rsidRDefault="00836655" w:rsidP="000F0F4D">
      <w:pPr>
        <w:ind w:left="720"/>
      </w:pPr>
      <w:r w:rsidRPr="00BD7CEA">
        <w:rPr>
          <w:color w:val="000000"/>
        </w:rPr>
        <w:t>SBS 2011 Premium Add-on sarà l</w:t>
      </w:r>
      <w:r w:rsidR="007A1415" w:rsidRPr="00BD7CEA">
        <w:rPr>
          <w:color w:val="000000"/>
        </w:rPr>
        <w:t>’</w:t>
      </w:r>
      <w:r w:rsidRPr="00BD7CEA">
        <w:rPr>
          <w:color w:val="000000"/>
        </w:rPr>
        <w:t>ultima versione di SBS Premium Add-on. Alle società titolari di contratti multilicenza con copertura Software Assurance per le licenze SBS 2011 Premium Add-on (“Licenze Qualificanti”) sarà consentito effettuare l</w:t>
      </w:r>
      <w:r w:rsidR="007A1415" w:rsidRPr="00BD7CEA">
        <w:rPr>
          <w:color w:val="000000"/>
        </w:rPr>
        <w:t>’</w:t>
      </w:r>
      <w:r w:rsidRPr="00BD7CEA">
        <w:rPr>
          <w:color w:val="000000"/>
        </w:rPr>
        <w:t xml:space="preserve">aggiornamento ai prodotti software Windows Server Standard e SQL Server 2012 Standard e </w:t>
      </w:r>
      <w:r w:rsidRPr="00BD7CEA">
        <w:rPr>
          <w:rFonts w:eastAsia="Calibri" w:cs="Tahoma"/>
          <w:szCs w:val="18"/>
        </w:rPr>
        <w:t xml:space="preserve">utilizzarli al posto di SBS 2011 Premium. Per agevolare tale utilizzo, per ogni licenza Qualificante in suo possesso, alla società verrà concessa una licenza per Windows Server e una per SQL Server 2012 (secondo il modello Server/CAL), come illustrato nella tabella che segue. </w:t>
      </w:r>
    </w:p>
    <w:p w:rsidR="0004051B" w:rsidRPr="00BD7CEA" w:rsidRDefault="0004051B" w:rsidP="000F0F4D">
      <w:pPr>
        <w:ind w:left="720"/>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836655" w:rsidRPr="00BD7CEA" w:rsidTr="00D16723">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BD7CEA" w:rsidRDefault="00836655" w:rsidP="00D16723">
            <w:pPr>
              <w:keepNext/>
              <w:spacing w:after="200" w:line="276" w:lineRule="auto"/>
              <w:rPr>
                <w:rFonts w:eastAsia="Calibri" w:cs="Tahoma"/>
                <w:szCs w:val="18"/>
              </w:rPr>
            </w:pPr>
            <w:r w:rsidRPr="00BD7CEA">
              <w:rPr>
                <w:b/>
                <w:color w:val="000000"/>
              </w:rPr>
              <w:t>Licenze Qualificanti</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BD7CEA" w:rsidRDefault="00836655" w:rsidP="00D16723">
            <w:pPr>
              <w:keepNext/>
              <w:spacing w:after="200" w:line="276" w:lineRule="auto"/>
              <w:rPr>
                <w:rFonts w:eastAsia="Calibri" w:cs="Tahoma"/>
                <w:szCs w:val="18"/>
              </w:rPr>
            </w:pPr>
            <w:r w:rsidRPr="00BD7CEA">
              <w:rPr>
                <w:b/>
                <w:color w:val="000000"/>
              </w:rPr>
              <w:t>Concessione di Licenza</w:t>
            </w:r>
          </w:p>
        </w:tc>
      </w:tr>
      <w:tr w:rsidR="00836655" w:rsidRPr="00BD7CEA" w:rsidTr="00D16723">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836655" w:rsidRPr="00BD7CEA" w:rsidRDefault="00836655" w:rsidP="00D16723">
            <w:pPr>
              <w:keepNext/>
              <w:spacing w:line="276" w:lineRule="auto"/>
              <w:rPr>
                <w:rFonts w:eastAsia="Calibri" w:cs="Tahoma"/>
                <w:szCs w:val="18"/>
              </w:rPr>
            </w:pPr>
            <w:r w:rsidRPr="00BD7CEA">
              <w:rPr>
                <w:rFonts w:eastAsia="Calibri" w:cs="Tahoma"/>
                <w:szCs w:val="18"/>
              </w:rPr>
              <w:t>SBS 2011 Premium Add-on con copertura Software Assurance fino al 31 luglio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836655" w:rsidRPr="00BD7CEA" w:rsidRDefault="00836655" w:rsidP="00D16723">
            <w:pPr>
              <w:keepNext/>
              <w:spacing w:line="276" w:lineRule="auto"/>
            </w:pPr>
            <w:r w:rsidRPr="00BD7CEA">
              <w:rPr>
                <w:rFonts w:eastAsia="Calibri" w:cs="Tahoma"/>
                <w:szCs w:val="18"/>
              </w:rPr>
              <w:t xml:space="preserve">Windows Server 2008 R2 </w:t>
            </w:r>
          </w:p>
          <w:p w:rsidR="00836655" w:rsidRPr="00BD7CEA" w:rsidRDefault="00836655" w:rsidP="00D16723">
            <w:pPr>
              <w:keepNext/>
              <w:spacing w:line="276" w:lineRule="auto"/>
              <w:rPr>
                <w:rFonts w:eastAsia="Calibri" w:cs="Tahoma"/>
                <w:szCs w:val="18"/>
              </w:rPr>
            </w:pPr>
            <w:r w:rsidRPr="00BD7CEA">
              <w:rPr>
                <w:rFonts w:eastAsia="Calibri" w:cs="Tahoma"/>
                <w:szCs w:val="18"/>
              </w:rPr>
              <w:t xml:space="preserve">SQL Server 2012 </w:t>
            </w:r>
          </w:p>
        </w:tc>
      </w:tr>
      <w:tr w:rsidR="00836655" w:rsidRPr="00BD7CEA" w:rsidTr="00D16723">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836655" w:rsidRPr="00BD7CEA" w:rsidRDefault="00836655" w:rsidP="00D16723">
            <w:pPr>
              <w:keepNext/>
              <w:spacing w:line="276" w:lineRule="auto"/>
              <w:rPr>
                <w:rFonts w:eastAsia="Calibri" w:cs="Tahoma"/>
                <w:szCs w:val="18"/>
              </w:rPr>
            </w:pPr>
            <w:r w:rsidRPr="00BD7CEA">
              <w:rPr>
                <w:rFonts w:eastAsia="Calibri" w:cs="Tahoma"/>
                <w:szCs w:val="18"/>
              </w:rPr>
              <w:t>SBS 2011 Premium Add-on con copertura Software Assurance in data 1 agosto 2012 o successiva</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836655" w:rsidRPr="00BD7CEA" w:rsidRDefault="00836655" w:rsidP="00D16723">
            <w:pPr>
              <w:keepNext/>
              <w:spacing w:line="276" w:lineRule="auto"/>
            </w:pPr>
            <w:r w:rsidRPr="00BD7CEA">
              <w:rPr>
                <w:rFonts w:eastAsia="Calibri" w:cs="Tahoma"/>
                <w:szCs w:val="18"/>
              </w:rPr>
              <w:t>Windows Server 2012 con Software Assurance</w:t>
            </w:r>
          </w:p>
          <w:p w:rsidR="00836655" w:rsidRPr="00BD7CEA" w:rsidRDefault="00836655" w:rsidP="00D16723">
            <w:pPr>
              <w:keepNext/>
              <w:spacing w:line="276" w:lineRule="auto"/>
              <w:rPr>
                <w:rFonts w:eastAsia="Calibri" w:cs="Tahoma"/>
                <w:szCs w:val="18"/>
              </w:rPr>
            </w:pPr>
            <w:r w:rsidRPr="00BD7CEA">
              <w:rPr>
                <w:rFonts w:eastAsia="Calibri" w:cs="Tahoma"/>
                <w:szCs w:val="18"/>
              </w:rPr>
              <w:t>SQL Server 2012 con Software Assurance</w:t>
            </w:r>
          </w:p>
        </w:tc>
      </w:tr>
    </w:tbl>
    <w:p w:rsidR="000F0F4D" w:rsidRPr="00835398" w:rsidRDefault="000F0F4D" w:rsidP="000F0F4D">
      <w:pPr>
        <w:pStyle w:val="ListParagraph"/>
        <w:spacing w:after="100" w:afterAutospacing="1"/>
        <w:rPr>
          <w:rFonts w:ascii="Tahoma" w:hAnsi="Tahoma" w:cs="Tahoma"/>
          <w:sz w:val="18"/>
          <w:szCs w:val="18"/>
        </w:rPr>
      </w:pPr>
    </w:p>
    <w:p w:rsidR="00542BF0" w:rsidRPr="00835398" w:rsidRDefault="00542BF0" w:rsidP="000F0F4D">
      <w:pPr>
        <w:pStyle w:val="ListParagraph"/>
        <w:spacing w:after="100" w:afterAutospacing="1"/>
        <w:rPr>
          <w:rFonts w:ascii="Tahoma" w:hAnsi="Tahoma" w:cs="Tahoma"/>
          <w:sz w:val="18"/>
          <w:szCs w:val="18"/>
        </w:rPr>
      </w:pPr>
    </w:p>
    <w:p w:rsidR="00836655" w:rsidRPr="00BD7CEA" w:rsidRDefault="00836655" w:rsidP="000F0F4D">
      <w:pPr>
        <w:pStyle w:val="ListParagraph"/>
        <w:contextualSpacing w:val="0"/>
        <w:rPr>
          <w:rFonts w:ascii="Tahoma" w:hAnsi="Tahoma" w:cs="Tahoma"/>
          <w:sz w:val="18"/>
          <w:szCs w:val="18"/>
        </w:rPr>
      </w:pPr>
      <w:r w:rsidRPr="00BD7CEA">
        <w:rPr>
          <w:rFonts w:ascii="Tahoma" w:eastAsia="Calibri" w:hAnsi="Tahoma" w:cs="Tahoma"/>
          <w:sz w:val="18"/>
          <w:szCs w:val="18"/>
        </w:rPr>
        <w:t xml:space="preserve">La copertura Software Assurance inclusa nella suddetta concessione scade alla scadenza della corrispondente copertura per le Licenze Qualificanti. In via eccezionale, le società con copertura Software Assurance attiva per le Licenze Qualificanti in scadenza nel mese di </w:t>
      </w:r>
      <w:r w:rsidRPr="00BD7CEA">
        <w:rPr>
          <w:rStyle w:val="CommentReference"/>
          <w:rFonts w:ascii="Tahoma" w:hAnsi="Tahoma" w:cs="Tahoma"/>
          <w:sz w:val="18"/>
          <w:szCs w:val="18"/>
        </w:rPr>
        <w:t>agosto</w:t>
      </w:r>
      <w:r w:rsidRPr="00BD7CEA">
        <w:rPr>
          <w:rFonts w:ascii="Tahoma" w:eastAsia="Calibri" w:hAnsi="Tahoma" w:cs="Tahoma"/>
          <w:sz w:val="18"/>
          <w:szCs w:val="18"/>
        </w:rPr>
        <w:t xml:space="preserve"> 2012 hanno la possibilità fino al</w:t>
      </w:r>
      <w:r w:rsidR="00F340B2">
        <w:rPr>
          <w:rFonts w:ascii="Tahoma" w:eastAsia="Calibri" w:hAnsi="Tahoma" w:cs="Tahoma"/>
          <w:sz w:val="18"/>
          <w:szCs w:val="18"/>
        </w:rPr>
        <w:t> </w:t>
      </w:r>
      <w:r w:rsidRPr="00BD7CEA">
        <w:rPr>
          <w:rFonts w:ascii="Tahoma" w:eastAsia="Calibri" w:hAnsi="Tahoma" w:cs="Tahoma"/>
          <w:sz w:val="18"/>
          <w:szCs w:val="18"/>
        </w:rPr>
        <w:t>31 dicembre 2012 di rinnovare la copertura per le licenze ottenute ai sensi della presente offerta.</w:t>
      </w:r>
    </w:p>
    <w:p w:rsidR="000F0F4D" w:rsidRPr="00BD7CEA" w:rsidRDefault="000F0F4D" w:rsidP="000F0F4D">
      <w:pPr>
        <w:pStyle w:val="ListParagraph"/>
        <w:contextualSpacing w:val="0"/>
        <w:rPr>
          <w:rFonts w:ascii="Tahoma" w:hAnsi="Tahoma" w:cs="Tahoma"/>
          <w:sz w:val="18"/>
          <w:szCs w:val="18"/>
        </w:rPr>
      </w:pPr>
    </w:p>
    <w:p w:rsidR="00836655" w:rsidRPr="00BD7CEA" w:rsidRDefault="00836655" w:rsidP="000F0F4D">
      <w:pPr>
        <w:spacing w:line="276" w:lineRule="auto"/>
        <w:ind w:left="720"/>
        <w:rPr>
          <w:rFonts w:cs="Tahoma"/>
          <w:szCs w:val="18"/>
        </w:rPr>
      </w:pPr>
      <w:r w:rsidRPr="00BD7CEA">
        <w:rPr>
          <w:rFonts w:cs="Tahoma"/>
          <w:color w:val="000000"/>
          <w:szCs w:val="18"/>
        </w:rPr>
        <w:t>Le società con copertura Software Assurance attiva per le Licenze Qualificanti in scadenza nel mese di luglio</w:t>
      </w:r>
      <w:r w:rsidR="00F340B2">
        <w:rPr>
          <w:rFonts w:cs="Tahoma"/>
          <w:color w:val="000000"/>
          <w:szCs w:val="18"/>
        </w:rPr>
        <w:t> </w:t>
      </w:r>
      <w:r w:rsidRPr="00BD7CEA">
        <w:rPr>
          <w:rFonts w:cs="Tahoma"/>
          <w:color w:val="000000"/>
          <w:szCs w:val="18"/>
        </w:rPr>
        <w:t xml:space="preserve">2012 hanno la possibilità </w:t>
      </w:r>
      <w:r w:rsidRPr="00BD7CEA">
        <w:rPr>
          <w:rFonts w:eastAsia="Calibri" w:cs="Tahoma"/>
          <w:szCs w:val="18"/>
        </w:rPr>
        <w:t>fino al 31 dicembre 2012 di acquistare la copertura per le licenze ricevute in</w:t>
      </w:r>
      <w:r w:rsidR="00F340B2">
        <w:rPr>
          <w:rFonts w:eastAsia="Calibri" w:cs="Tahoma"/>
          <w:szCs w:val="18"/>
        </w:rPr>
        <w:t> </w:t>
      </w:r>
      <w:r w:rsidRPr="00BD7CEA">
        <w:rPr>
          <w:rFonts w:eastAsia="Calibri" w:cs="Tahoma"/>
          <w:szCs w:val="18"/>
        </w:rPr>
        <w:t>concessione ai sensi della presente offerta.</w:t>
      </w:r>
    </w:p>
    <w:p w:rsidR="000F0F4D" w:rsidRPr="00BD7CEA" w:rsidRDefault="000F0F4D" w:rsidP="000F0F4D">
      <w:pPr>
        <w:spacing w:line="276" w:lineRule="auto"/>
        <w:ind w:left="720"/>
        <w:rPr>
          <w:rFonts w:cs="Tahoma"/>
          <w:szCs w:val="18"/>
        </w:rPr>
      </w:pPr>
    </w:p>
    <w:p w:rsidR="00836655" w:rsidRPr="00BD7CEA" w:rsidRDefault="00836655" w:rsidP="000F0F4D">
      <w:pPr>
        <w:pStyle w:val="ListParagraph"/>
        <w:contextualSpacing w:val="0"/>
        <w:rPr>
          <w:rFonts w:ascii="Tahoma" w:hAnsi="Tahoma" w:cs="Tahoma"/>
          <w:sz w:val="18"/>
          <w:szCs w:val="18"/>
        </w:rPr>
      </w:pPr>
      <w:r w:rsidRPr="00BD7CEA">
        <w:rPr>
          <w:rFonts w:ascii="Tahoma" w:eastAsia="Calibri" w:hAnsi="Tahoma" w:cs="Tahoma"/>
          <w:sz w:val="18"/>
          <w:szCs w:val="18"/>
        </w:rPr>
        <w:t>Nel caso in cui le società abbiano acquistato diritti perpetui per utilizzare software ai sensi di Licenze Qualificanti, le licenze acquistate ai sensi della presente concessione saranno anch</w:t>
      </w:r>
      <w:r w:rsidR="007A1415" w:rsidRPr="00BD7CEA">
        <w:rPr>
          <w:rFonts w:ascii="Tahoma" w:eastAsia="Calibri" w:hAnsi="Tahoma" w:cs="Tahoma"/>
          <w:sz w:val="18"/>
          <w:szCs w:val="18"/>
        </w:rPr>
        <w:t>’</w:t>
      </w:r>
      <w:r w:rsidRPr="00BD7CEA">
        <w:rPr>
          <w:rFonts w:ascii="Tahoma" w:eastAsia="Calibri" w:hAnsi="Tahoma" w:cs="Tahoma"/>
          <w:sz w:val="18"/>
          <w:szCs w:val="18"/>
        </w:rPr>
        <w:t>esse perpetue; diversamente, le licenze acquistate ai sensi della presente concessione cesseranno alla scadenza delle Licenze Qualificanti sottostanti.</w:t>
      </w:r>
    </w:p>
    <w:p w:rsidR="000F0F4D" w:rsidRPr="00BD7CEA" w:rsidRDefault="000F0F4D" w:rsidP="000F0F4D">
      <w:pPr>
        <w:pStyle w:val="ListParagraph"/>
        <w:contextualSpacing w:val="0"/>
        <w:rPr>
          <w:rFonts w:ascii="Tahoma" w:hAnsi="Tahoma" w:cs="Tahoma"/>
          <w:sz w:val="18"/>
          <w:szCs w:val="18"/>
        </w:rPr>
      </w:pPr>
    </w:p>
    <w:p w:rsidR="00836655" w:rsidRPr="00BD7CEA" w:rsidRDefault="00836655" w:rsidP="000F0F4D">
      <w:pPr>
        <w:pStyle w:val="ListParagraph"/>
        <w:contextualSpacing w:val="0"/>
        <w:rPr>
          <w:rFonts w:ascii="Tahoma" w:hAnsi="Tahoma" w:cs="Tahoma"/>
          <w:sz w:val="18"/>
          <w:szCs w:val="18"/>
        </w:rPr>
      </w:pPr>
      <w:r w:rsidRPr="00BD7CEA">
        <w:rPr>
          <w:rFonts w:ascii="Tahoma" w:eastAsia="Calibri" w:hAnsi="Tahoma" w:cs="Tahoma"/>
          <w:sz w:val="18"/>
          <w:szCs w:val="18"/>
        </w:rPr>
        <w:t>Per ogni Licenza Qualificante acquistata ai sensi del contratto Open Value Subscription, una società potrà eseguire il buy-out di una licenza per SBS 2011 Premium Add-on come indicato o di:</w:t>
      </w:r>
    </w:p>
    <w:p w:rsidR="000F0F4D" w:rsidRPr="00BD7CEA" w:rsidRDefault="000F0F4D" w:rsidP="000F0F4D">
      <w:pPr>
        <w:pStyle w:val="ListParagraph"/>
        <w:contextualSpacing w:val="0"/>
        <w:rPr>
          <w:rFonts w:ascii="Tahoma" w:hAnsi="Tahoma" w:cs="Tahoma"/>
          <w:sz w:val="18"/>
          <w:szCs w:val="18"/>
        </w:rPr>
      </w:pPr>
    </w:p>
    <w:p w:rsidR="00836655" w:rsidRPr="00BD7CEA" w:rsidRDefault="00836655" w:rsidP="007358C5">
      <w:pPr>
        <w:pStyle w:val="ListParagraph"/>
        <w:numPr>
          <w:ilvl w:val="1"/>
          <w:numId w:val="99"/>
        </w:numPr>
        <w:tabs>
          <w:tab w:val="clear" w:pos="1440"/>
        </w:tabs>
        <w:spacing w:after="60"/>
        <w:contextualSpacing w:val="0"/>
      </w:pPr>
      <w:r w:rsidRPr="00BD7CEA">
        <w:rPr>
          <w:rFonts w:ascii="Tahoma" w:eastAsia="Calibri" w:hAnsi="Tahoma" w:cs="Tahoma"/>
          <w:sz w:val="18"/>
          <w:szCs w:val="18"/>
        </w:rPr>
        <w:t>Una licenza per Windows Server 2012 Standard e una per SQL Server 2012 Standard (ricevute in</w:t>
      </w:r>
      <w:r w:rsidR="00542BF0" w:rsidRPr="00BD7CEA">
        <w:rPr>
          <w:rFonts w:ascii="Tahoma" w:eastAsia="Calibri" w:hAnsi="Tahoma" w:cs="Tahoma"/>
          <w:sz w:val="18"/>
          <w:szCs w:val="18"/>
        </w:rPr>
        <w:t> </w:t>
      </w:r>
      <w:r w:rsidRPr="00BD7CEA">
        <w:rPr>
          <w:rFonts w:ascii="Tahoma" w:eastAsia="Calibri" w:hAnsi="Tahoma" w:cs="Tahoma"/>
          <w:sz w:val="18"/>
          <w:szCs w:val="18"/>
        </w:rPr>
        <w:t>licenza secondo il modello Server/CAL) per i contratti in scadenza in data 1 agosto 2012 o successiva oppure</w:t>
      </w:r>
    </w:p>
    <w:p w:rsidR="00836655" w:rsidRPr="00BD7CEA" w:rsidRDefault="00836655" w:rsidP="007358C5">
      <w:pPr>
        <w:pStyle w:val="ListParagraph"/>
        <w:numPr>
          <w:ilvl w:val="1"/>
          <w:numId w:val="99"/>
        </w:numPr>
        <w:tabs>
          <w:tab w:val="clear" w:pos="1440"/>
        </w:tabs>
        <w:spacing w:after="60"/>
        <w:contextualSpacing w:val="0"/>
      </w:pPr>
      <w:r w:rsidRPr="00BD7CEA">
        <w:rPr>
          <w:rFonts w:ascii="Tahoma" w:eastAsia="Calibri" w:hAnsi="Tahoma" w:cs="Tahoma"/>
          <w:sz w:val="18"/>
          <w:szCs w:val="18"/>
        </w:rPr>
        <w:t>Una licenza per Windows Server 2008 R2 Standard e una per SQL Server 2012 Standard (ricevute in licenza secondo il modello Server/CAL) per i contratti in scadenza nel mese di luglio 2012.</w:t>
      </w:r>
    </w:p>
    <w:p w:rsidR="000F0F4D" w:rsidRPr="00BD7CEA" w:rsidRDefault="000F0F4D" w:rsidP="000F0F4D">
      <w:pPr>
        <w:spacing w:line="276" w:lineRule="auto"/>
        <w:ind w:left="720"/>
      </w:pPr>
    </w:p>
    <w:p w:rsidR="00836655" w:rsidRPr="00BD7CEA" w:rsidRDefault="00836655" w:rsidP="000F0F4D">
      <w:pPr>
        <w:spacing w:line="276" w:lineRule="auto"/>
        <w:ind w:left="720"/>
      </w:pPr>
      <w:r w:rsidRPr="00BD7CEA">
        <w:rPr>
          <w:rFonts w:eastAsia="Calibri" w:cs="Tahoma"/>
          <w:szCs w:val="18"/>
        </w:rPr>
        <w:t>Eseguendo l</w:t>
      </w:r>
      <w:r w:rsidR="007A1415" w:rsidRPr="00BD7CEA">
        <w:rPr>
          <w:rFonts w:eastAsia="Calibri" w:cs="Tahoma"/>
          <w:szCs w:val="18"/>
        </w:rPr>
        <w:t>’</w:t>
      </w:r>
      <w:r w:rsidRPr="00BD7CEA">
        <w:rPr>
          <w:rFonts w:eastAsia="Calibri" w:cs="Tahoma"/>
          <w:szCs w:val="18"/>
        </w:rPr>
        <w:t>aggiornamento a Windows Server Standard e a SQL Server 2012 Standard ai sensi della presente concessione, le Licenze Qualificanti in essere per SBS Premium Add-on non saranno più valide.</w:t>
      </w:r>
    </w:p>
    <w:p w:rsidR="000F0F4D" w:rsidRPr="00BD7CEA" w:rsidRDefault="000F0F4D" w:rsidP="000F0F4D">
      <w:pPr>
        <w:spacing w:line="276" w:lineRule="auto"/>
        <w:ind w:left="720"/>
      </w:pPr>
    </w:p>
    <w:p w:rsidR="009B1D83" w:rsidRPr="00BD7CEA" w:rsidRDefault="00836655" w:rsidP="00835398">
      <w:pPr>
        <w:spacing w:line="276" w:lineRule="auto"/>
        <w:ind w:left="720"/>
      </w:pPr>
      <w:r w:rsidRPr="00BD7CEA">
        <w:rPr>
          <w:rFonts w:eastAsia="Calibri" w:cs="Tahoma"/>
          <w:szCs w:val="18"/>
        </w:rPr>
        <w:t>Le licenze per SBS 2011 Premium Add-on acquistate successivamente nello stesso periodo di validità dell</w:t>
      </w:r>
      <w:r w:rsidR="007A1415" w:rsidRPr="00BD7CEA">
        <w:rPr>
          <w:rFonts w:eastAsia="Calibri" w:cs="Tahoma"/>
          <w:szCs w:val="18"/>
        </w:rPr>
        <w:t>’</w:t>
      </w:r>
      <w:r w:rsidRPr="00BD7CEA">
        <w:rPr>
          <w:rFonts w:eastAsia="Calibri" w:cs="Tahoma"/>
          <w:szCs w:val="18"/>
        </w:rPr>
        <w:t>iscrizione nell</w:t>
      </w:r>
      <w:r w:rsidR="007A1415" w:rsidRPr="00BD7CEA">
        <w:rPr>
          <w:rFonts w:eastAsia="Calibri" w:cs="Tahoma"/>
          <w:szCs w:val="18"/>
        </w:rPr>
        <w:t>’</w:t>
      </w:r>
      <w:r w:rsidRPr="00BD7CEA">
        <w:rPr>
          <w:rFonts w:eastAsia="Calibri" w:cs="Tahoma"/>
          <w:szCs w:val="18"/>
        </w:rPr>
        <w:t>ambito di una procedura pianificata di true-up di una società Open Value Subscription o</w:t>
      </w:r>
      <w:r w:rsidR="00542BF0" w:rsidRPr="00BD7CEA">
        <w:rPr>
          <w:rFonts w:eastAsia="Calibri" w:cs="Tahoma"/>
          <w:szCs w:val="18"/>
        </w:rPr>
        <w:t> </w:t>
      </w:r>
      <w:r w:rsidRPr="00BD7CEA">
        <w:rPr>
          <w:rFonts w:eastAsia="Calibri" w:cs="Tahoma"/>
          <w:szCs w:val="18"/>
        </w:rPr>
        <w:t>EES sono anch</w:t>
      </w:r>
      <w:r w:rsidR="007A1415" w:rsidRPr="00BD7CEA">
        <w:rPr>
          <w:rFonts w:eastAsia="Calibri" w:cs="Tahoma"/>
          <w:szCs w:val="18"/>
        </w:rPr>
        <w:t>’</w:t>
      </w:r>
      <w:r w:rsidRPr="00BD7CEA">
        <w:rPr>
          <w:rFonts w:eastAsia="Calibri" w:cs="Tahoma"/>
          <w:szCs w:val="18"/>
        </w:rPr>
        <w:t>esse Licenze Qualificanti per gli scopi previsti dalla suddetta concessione.</w:t>
      </w:r>
    </w:p>
    <w:p w:rsidR="00E06578" w:rsidRPr="00BD7CEA" w:rsidRDefault="00F66FB0" w:rsidP="00EF2279">
      <w:pPr>
        <w:pStyle w:val="Heading2"/>
        <w:ind w:left="0"/>
      </w:pPr>
      <w:bookmarkStart w:id="1659" w:name="_124_Windows_Small"/>
      <w:bookmarkStart w:id="1660" w:name="_112_Windows_Small"/>
      <w:bookmarkStart w:id="1661" w:name="_114_Premium_Add-on"/>
      <w:bookmarkStart w:id="1662" w:name="_Toc336338380"/>
      <w:bookmarkStart w:id="1663" w:name="_Toc353376152"/>
      <w:bookmarkEnd w:id="1659"/>
      <w:bookmarkEnd w:id="1660"/>
      <w:bookmarkEnd w:id="1661"/>
      <w:r w:rsidRPr="00BD7CEA">
        <w:rPr>
          <w:rFonts w:ascii="Tahoma" w:hAnsi="Tahoma" w:cs="Tahoma"/>
          <w:caps/>
          <w:color w:val="EE6000"/>
          <w:sz w:val="22"/>
          <w:szCs w:val="18"/>
          <w:vertAlign w:val="superscript"/>
        </w:rPr>
        <w:lastRenderedPageBreak/>
        <w:t>114</w:t>
      </w:r>
      <w:r w:rsidRPr="00BD7CEA">
        <w:rPr>
          <w:rFonts w:ascii="Tahoma" w:hAnsi="Tahoma" w:cs="Tahoma"/>
          <w:color w:val="EE6000"/>
          <w:sz w:val="22"/>
          <w:szCs w:val="18"/>
        </w:rPr>
        <w:t xml:space="preserve"> </w:t>
      </w:r>
      <w:r w:rsidRPr="00BD7CEA">
        <w:rPr>
          <w:rFonts w:ascii="Tahoma" w:hAnsi="Tahoma" w:cs="Tahoma"/>
          <w:color w:val="F8701C"/>
          <w:sz w:val="22"/>
          <w:szCs w:val="22"/>
        </w:rPr>
        <w:t>Premium Add-on CAL Suite per Windows Small Business Server (SBS) 2011</w:t>
      </w:r>
      <w:bookmarkEnd w:id="1662"/>
      <w:bookmarkEnd w:id="1663"/>
    </w:p>
    <w:p w:rsidR="00E06578" w:rsidRPr="00BD7CEA" w:rsidRDefault="00E06578" w:rsidP="00910113">
      <w:pPr>
        <w:ind w:left="720"/>
      </w:pPr>
    </w:p>
    <w:p w:rsidR="00910113" w:rsidRPr="00BD7CEA" w:rsidRDefault="00836655" w:rsidP="00910113">
      <w:pPr>
        <w:spacing w:after="60"/>
        <w:ind w:left="720"/>
      </w:pPr>
      <w:r w:rsidRPr="00BD7CEA">
        <w:rPr>
          <w:b/>
          <w:color w:val="000000"/>
        </w:rPr>
        <w:t>Concessioni di licenza associate alla fine del ciclo di vita della Premium Add-on CAL Suite per</w:t>
      </w:r>
      <w:r w:rsidR="007B6570" w:rsidRPr="00BD7CEA">
        <w:rPr>
          <w:b/>
          <w:color w:val="000000"/>
        </w:rPr>
        <w:t> </w:t>
      </w:r>
      <w:r w:rsidRPr="00BD7CEA">
        <w:rPr>
          <w:b/>
          <w:color w:val="000000"/>
        </w:rPr>
        <w:t>SBS 2011</w:t>
      </w:r>
    </w:p>
    <w:p w:rsidR="002512D3" w:rsidRPr="00BD7CEA" w:rsidRDefault="00836655" w:rsidP="00003601">
      <w:pPr>
        <w:ind w:left="720"/>
      </w:pPr>
      <w:r w:rsidRPr="00BD7CEA">
        <w:t>Le società con copertura Software Assurance attiva per la Premium Add-on CAL Suite per SBS 2011 (“Licenze CAL Qualificanti”) sono idonee ad accedere al software Windows Server Standard e SQL Server 2012 Standard. Per ogni Premium Add-on CAL Suite per SBS 2011 qualificante in suo possesso in data 1</w:t>
      </w:r>
      <w:r w:rsidR="00F340B2">
        <w:t> </w:t>
      </w:r>
      <w:r w:rsidRPr="00BD7CEA">
        <w:t>agosto 2012, alla società verrà concessa una licenza CAL per Windows Server 2012 e una licenza CAL per</w:t>
      </w:r>
      <w:r w:rsidR="00542BF0" w:rsidRPr="00BD7CEA">
        <w:t> </w:t>
      </w:r>
      <w:r w:rsidRPr="00BD7CEA">
        <w:t xml:space="preserve">SQL Server 2012 con copertura Software Assurance. </w:t>
      </w:r>
      <w:r w:rsidRPr="00BD7CEA">
        <w:rPr>
          <w:rFonts w:eastAsia="Calibri" w:cs="Tahoma"/>
          <w:szCs w:val="18"/>
        </w:rPr>
        <w:t>Per agevolare tale utilizzo, per ogni Licenza Qualificante in suo possesso, alla società verrà concessa una licenza CAL per Windows Server e una per SQL</w:t>
      </w:r>
      <w:r w:rsidR="00542BF0" w:rsidRPr="00BD7CEA">
        <w:rPr>
          <w:rFonts w:eastAsia="Calibri" w:cs="Tahoma"/>
          <w:szCs w:val="18"/>
        </w:rPr>
        <w:t> </w:t>
      </w:r>
      <w:r w:rsidRPr="00BD7CEA">
        <w:rPr>
          <w:rFonts w:eastAsia="Calibri" w:cs="Tahoma"/>
          <w:szCs w:val="18"/>
        </w:rPr>
        <w:t xml:space="preserve">Server 2012 (secondo il modello Server/SQL), come illustrato nella tabella che segue. </w:t>
      </w:r>
    </w:p>
    <w:p w:rsidR="00836655" w:rsidRPr="00BD7CEA" w:rsidRDefault="00836655" w:rsidP="00910113">
      <w:pPr>
        <w:ind w:left="720"/>
      </w:pPr>
    </w:p>
    <w:p w:rsidR="00910113" w:rsidRPr="00BD7CEA" w:rsidRDefault="00910113" w:rsidP="00910113">
      <w:pPr>
        <w:ind w:left="72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BD7CEA"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BD7CEA" w:rsidRDefault="00836655" w:rsidP="000A5032">
            <w:pPr>
              <w:spacing w:after="200" w:line="276" w:lineRule="auto"/>
              <w:rPr>
                <w:rFonts w:eastAsia="Calibri" w:cs="Tahoma"/>
                <w:szCs w:val="18"/>
              </w:rPr>
            </w:pPr>
            <w:r w:rsidRPr="00BD7CEA">
              <w:rPr>
                <w:b/>
                <w:color w:val="000000"/>
              </w:rPr>
              <w:t>Licenze Qualificanti</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BD7CEA" w:rsidRDefault="00836655" w:rsidP="000A5032">
            <w:pPr>
              <w:spacing w:after="200" w:line="276" w:lineRule="auto"/>
              <w:rPr>
                <w:rFonts w:eastAsia="Calibri" w:cs="Tahoma"/>
                <w:szCs w:val="18"/>
              </w:rPr>
            </w:pPr>
            <w:r w:rsidRPr="00BD7CEA">
              <w:rPr>
                <w:b/>
                <w:color w:val="000000"/>
              </w:rPr>
              <w:t>Concessione di Licenza</w:t>
            </w:r>
          </w:p>
        </w:tc>
      </w:tr>
      <w:tr w:rsidR="00836655" w:rsidRPr="00BD7CEA"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BD7CEA" w:rsidRDefault="00836655" w:rsidP="00542BF0">
            <w:pPr>
              <w:spacing w:line="276" w:lineRule="auto"/>
              <w:rPr>
                <w:rFonts w:eastAsia="Calibri" w:cs="Tahoma"/>
                <w:szCs w:val="18"/>
              </w:rPr>
            </w:pPr>
            <w:r w:rsidRPr="00BD7CEA">
              <w:rPr>
                <w:rFonts w:eastAsia="Calibri" w:cs="Tahoma"/>
                <w:szCs w:val="18"/>
              </w:rPr>
              <w:t>CAL Suite per SBS 2011 Premium Add-on con</w:t>
            </w:r>
            <w:r w:rsidR="00542BF0" w:rsidRPr="00BD7CEA">
              <w:rPr>
                <w:rFonts w:eastAsia="Calibri" w:cs="Tahoma"/>
                <w:szCs w:val="18"/>
              </w:rPr>
              <w:t> </w:t>
            </w:r>
            <w:r w:rsidRPr="00BD7CEA">
              <w:rPr>
                <w:rFonts w:eastAsia="Calibri" w:cs="Tahoma"/>
                <w:szCs w:val="18"/>
              </w:rPr>
              <w:t>copertura Software Assurance fino al 31</w:t>
            </w:r>
            <w:r w:rsidR="00542BF0" w:rsidRPr="00BD7CEA">
              <w:rPr>
                <w:rFonts w:eastAsia="Calibri" w:cs="Tahoma"/>
                <w:szCs w:val="18"/>
              </w:rPr>
              <w:t> </w:t>
            </w:r>
            <w:r w:rsidRPr="00BD7CEA">
              <w:rPr>
                <w:rFonts w:eastAsia="Calibri" w:cs="Tahoma"/>
                <w:szCs w:val="18"/>
              </w:rPr>
              <w:t>luglio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F340B2" w:rsidRDefault="00836655" w:rsidP="00CA14C9">
            <w:pPr>
              <w:spacing w:line="276" w:lineRule="auto"/>
              <w:rPr>
                <w:szCs w:val="18"/>
              </w:rPr>
            </w:pPr>
            <w:r w:rsidRPr="00F340B2">
              <w:rPr>
                <w:rFonts w:eastAsia="Calibri" w:cs="Tahoma"/>
                <w:szCs w:val="18"/>
              </w:rPr>
              <w:t>Licenza CAL per Windows Server 2008 R2</w:t>
            </w:r>
          </w:p>
          <w:p w:rsidR="00836655" w:rsidRPr="00F340B2" w:rsidRDefault="00836655" w:rsidP="00CA14C9">
            <w:pPr>
              <w:spacing w:line="276" w:lineRule="auto"/>
              <w:rPr>
                <w:rFonts w:eastAsia="Calibri" w:cs="Tahoma"/>
                <w:szCs w:val="18"/>
              </w:rPr>
            </w:pPr>
            <w:r w:rsidRPr="00F340B2">
              <w:rPr>
                <w:rFonts w:eastAsia="Calibri" w:cs="Tahoma"/>
                <w:szCs w:val="18"/>
              </w:rPr>
              <w:t>Licenza CAL per SQL Server 2012</w:t>
            </w:r>
          </w:p>
        </w:tc>
      </w:tr>
      <w:tr w:rsidR="00836655" w:rsidRPr="00BD7CEA"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BD7CEA" w:rsidRDefault="00836655" w:rsidP="00542BF0">
            <w:pPr>
              <w:spacing w:line="276" w:lineRule="auto"/>
              <w:rPr>
                <w:rFonts w:eastAsia="Calibri" w:cs="Tahoma"/>
                <w:szCs w:val="18"/>
              </w:rPr>
            </w:pPr>
            <w:r w:rsidRPr="00BD7CEA">
              <w:rPr>
                <w:rFonts w:eastAsia="Calibri" w:cs="Tahoma"/>
                <w:szCs w:val="18"/>
              </w:rPr>
              <w:t>CAL Suite per SBS 2011 Premium Add-on con</w:t>
            </w:r>
            <w:r w:rsidR="00542BF0" w:rsidRPr="00BD7CEA">
              <w:rPr>
                <w:rFonts w:eastAsia="Calibri" w:cs="Tahoma"/>
                <w:szCs w:val="18"/>
              </w:rPr>
              <w:t> </w:t>
            </w:r>
            <w:r w:rsidRPr="00BD7CEA">
              <w:rPr>
                <w:rFonts w:eastAsia="Calibri" w:cs="Tahoma"/>
                <w:szCs w:val="18"/>
              </w:rPr>
              <w:t>copertura Software Assurance in data 1</w:t>
            </w:r>
            <w:r w:rsidR="00542BF0" w:rsidRPr="00BD7CEA">
              <w:rPr>
                <w:rFonts w:eastAsia="Calibri" w:cs="Tahoma"/>
                <w:szCs w:val="18"/>
              </w:rPr>
              <w:t> </w:t>
            </w:r>
            <w:r w:rsidRPr="00BD7CEA">
              <w:rPr>
                <w:rFonts w:eastAsia="Calibri" w:cs="Tahoma"/>
                <w:szCs w:val="18"/>
              </w:rPr>
              <w:t>agosto 2012 o successiva</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F340B2" w:rsidRDefault="00836655" w:rsidP="00CA14C9">
            <w:pPr>
              <w:spacing w:line="276" w:lineRule="auto"/>
              <w:rPr>
                <w:szCs w:val="18"/>
              </w:rPr>
            </w:pPr>
            <w:r w:rsidRPr="00F340B2">
              <w:rPr>
                <w:rFonts w:eastAsia="Calibri" w:cs="Tahoma"/>
                <w:szCs w:val="18"/>
              </w:rPr>
              <w:t>Licenza CAL per Windows Server 2012 con Software Assurance</w:t>
            </w:r>
          </w:p>
          <w:p w:rsidR="00836655" w:rsidRPr="00F340B2" w:rsidRDefault="00836655" w:rsidP="00CA14C9">
            <w:pPr>
              <w:spacing w:line="276" w:lineRule="auto"/>
              <w:rPr>
                <w:rFonts w:eastAsia="Calibri" w:cs="Tahoma"/>
                <w:szCs w:val="18"/>
              </w:rPr>
            </w:pPr>
            <w:r w:rsidRPr="00F340B2">
              <w:rPr>
                <w:rFonts w:eastAsia="Calibri" w:cs="Tahoma"/>
                <w:szCs w:val="18"/>
              </w:rPr>
              <w:t>Licenza CAL per SQL Server 2012 con Software Assurance</w:t>
            </w:r>
          </w:p>
        </w:tc>
      </w:tr>
    </w:tbl>
    <w:p w:rsidR="00836655" w:rsidRPr="00BD7CEA" w:rsidRDefault="00836655" w:rsidP="00910113"/>
    <w:p w:rsidR="00836655" w:rsidRPr="00C8557A" w:rsidRDefault="00836655" w:rsidP="00910113">
      <w:pPr>
        <w:pStyle w:val="ListParagraph"/>
        <w:contextualSpacing w:val="0"/>
        <w:rPr>
          <w:rFonts w:ascii="Tahoma" w:hAnsi="Tahoma" w:cs="Tahoma"/>
          <w:sz w:val="18"/>
          <w:szCs w:val="18"/>
        </w:rPr>
      </w:pPr>
      <w:r w:rsidRPr="00C8557A">
        <w:rPr>
          <w:rFonts w:ascii="Tahoma" w:eastAsia="Calibri" w:hAnsi="Tahoma" w:cs="Tahoma"/>
          <w:sz w:val="18"/>
          <w:szCs w:val="18"/>
        </w:rPr>
        <w:t>La copertura Software Assurance inclusa nella suddetta concessione scade alla scadenza della corrispondente copertura per le CAL Qualificanti. In via eccezionale, le società con copertura Software Assurance attiva per le CAL Qualificanti in scadenza nel mese di agosto 2012 hanno la possibilità fino al</w:t>
      </w:r>
      <w:r w:rsidR="00F340B2" w:rsidRPr="00C8557A">
        <w:rPr>
          <w:rFonts w:ascii="Tahoma" w:eastAsia="Calibri" w:hAnsi="Tahoma" w:cs="Tahoma"/>
          <w:sz w:val="18"/>
          <w:szCs w:val="18"/>
        </w:rPr>
        <w:t> </w:t>
      </w:r>
      <w:r w:rsidRPr="00C8557A">
        <w:rPr>
          <w:rFonts w:ascii="Tahoma" w:eastAsia="Calibri" w:hAnsi="Tahoma" w:cs="Tahoma"/>
          <w:sz w:val="18"/>
          <w:szCs w:val="18"/>
        </w:rPr>
        <w:t>31</w:t>
      </w:r>
      <w:r w:rsidR="00F340B2" w:rsidRPr="00C8557A">
        <w:rPr>
          <w:rFonts w:ascii="Tahoma" w:eastAsia="Calibri" w:hAnsi="Tahoma" w:cs="Tahoma"/>
          <w:sz w:val="18"/>
          <w:szCs w:val="18"/>
        </w:rPr>
        <w:t> </w:t>
      </w:r>
      <w:r w:rsidRPr="00C8557A">
        <w:rPr>
          <w:rFonts w:ascii="Tahoma" w:eastAsia="Calibri" w:hAnsi="Tahoma" w:cs="Tahoma"/>
          <w:sz w:val="18"/>
          <w:szCs w:val="18"/>
        </w:rPr>
        <w:t>dicembre 2012 di rinnovare la copertura per le Licenze CAL ricevute in concessione ai sensi della presente offerta.</w:t>
      </w:r>
      <w:r w:rsidR="008D782D" w:rsidRPr="00C8557A">
        <w:rPr>
          <w:rFonts w:ascii="Tahoma" w:eastAsia="Calibri" w:hAnsi="Tahoma" w:cs="Tahoma"/>
          <w:sz w:val="18"/>
          <w:szCs w:val="18"/>
        </w:rPr>
        <w:t xml:space="preserve"> </w:t>
      </w:r>
      <w:r w:rsidRPr="00C8557A">
        <w:rPr>
          <w:rFonts w:ascii="Tahoma" w:eastAsia="Calibri" w:hAnsi="Tahoma" w:cs="Tahoma"/>
          <w:sz w:val="18"/>
          <w:szCs w:val="18"/>
        </w:rPr>
        <w:t>Le società con copertura Software Assurance attiva per le Licenze CAL Qualificanti in scadenza nel mese di luglio 2012 hanno la possibilità fino al 31 dicembre 2012 di acquistare la copertura per</w:t>
      </w:r>
      <w:r w:rsidR="00F340B2" w:rsidRPr="00C8557A">
        <w:rPr>
          <w:rFonts w:ascii="Tahoma" w:eastAsia="Calibri" w:hAnsi="Tahoma" w:cs="Tahoma"/>
          <w:sz w:val="18"/>
          <w:szCs w:val="18"/>
        </w:rPr>
        <w:t> </w:t>
      </w:r>
      <w:r w:rsidRPr="00C8557A">
        <w:rPr>
          <w:rFonts w:ascii="Tahoma" w:eastAsia="Calibri" w:hAnsi="Tahoma" w:cs="Tahoma"/>
          <w:sz w:val="18"/>
          <w:szCs w:val="18"/>
        </w:rPr>
        <w:t>le Licenze CAL ricevute in concessione ai sensi della presente offerta.</w:t>
      </w:r>
    </w:p>
    <w:p w:rsidR="00910113" w:rsidRPr="00C8557A" w:rsidRDefault="00910113" w:rsidP="00910113">
      <w:pPr>
        <w:pStyle w:val="ListParagraph"/>
        <w:contextualSpacing w:val="0"/>
        <w:rPr>
          <w:rFonts w:ascii="Tahoma" w:hAnsi="Tahoma" w:cs="Tahoma"/>
          <w:sz w:val="18"/>
          <w:szCs w:val="18"/>
        </w:rPr>
      </w:pPr>
    </w:p>
    <w:p w:rsidR="00836655" w:rsidRPr="00C8557A" w:rsidRDefault="00836655" w:rsidP="00910113">
      <w:pPr>
        <w:pStyle w:val="ListParagraph"/>
        <w:contextualSpacing w:val="0"/>
        <w:rPr>
          <w:rFonts w:ascii="Tahoma" w:hAnsi="Tahoma" w:cs="Tahoma"/>
          <w:sz w:val="18"/>
          <w:szCs w:val="18"/>
        </w:rPr>
      </w:pPr>
      <w:r w:rsidRPr="00C8557A">
        <w:rPr>
          <w:rFonts w:ascii="Tahoma" w:eastAsia="Calibri" w:hAnsi="Tahoma" w:cs="Tahoma"/>
          <w:sz w:val="18"/>
          <w:szCs w:val="18"/>
        </w:rPr>
        <w:t>Nel caso in cui le società abbiano acquistato diritti perpetui previsti dalle CAL qualificanti, le CAL acquistate ai sensi della presente concessione saranno anch</w:t>
      </w:r>
      <w:r w:rsidR="007A1415" w:rsidRPr="00C8557A">
        <w:rPr>
          <w:rFonts w:ascii="Tahoma" w:eastAsia="Calibri" w:hAnsi="Tahoma" w:cs="Tahoma"/>
          <w:sz w:val="18"/>
          <w:szCs w:val="18"/>
        </w:rPr>
        <w:t>’</w:t>
      </w:r>
      <w:r w:rsidRPr="00C8557A">
        <w:rPr>
          <w:rFonts w:ascii="Tahoma" w:eastAsia="Calibri" w:hAnsi="Tahoma" w:cs="Tahoma"/>
          <w:sz w:val="18"/>
          <w:szCs w:val="18"/>
        </w:rPr>
        <w:t>esse perpetue; diversamente, le CAL acquistate ai sensi della presente concessione cesseranno alla scadenza delle CAL Qualificanti sottostanti.</w:t>
      </w:r>
    </w:p>
    <w:p w:rsidR="00910113" w:rsidRPr="00C8557A" w:rsidRDefault="00910113" w:rsidP="00910113">
      <w:pPr>
        <w:pStyle w:val="ListParagraph"/>
        <w:contextualSpacing w:val="0"/>
        <w:rPr>
          <w:rFonts w:ascii="Tahoma" w:hAnsi="Tahoma" w:cs="Tahoma"/>
          <w:sz w:val="18"/>
          <w:szCs w:val="18"/>
        </w:rPr>
      </w:pPr>
    </w:p>
    <w:p w:rsidR="00836655" w:rsidRPr="00C8557A" w:rsidRDefault="00836655" w:rsidP="00910113">
      <w:pPr>
        <w:pStyle w:val="ListParagraph"/>
        <w:contextualSpacing w:val="0"/>
        <w:rPr>
          <w:rFonts w:ascii="Tahoma" w:hAnsi="Tahoma" w:cs="Tahoma"/>
          <w:sz w:val="18"/>
          <w:szCs w:val="18"/>
        </w:rPr>
      </w:pPr>
      <w:r w:rsidRPr="00C8557A">
        <w:rPr>
          <w:rFonts w:ascii="Tahoma" w:eastAsia="Calibri" w:hAnsi="Tahoma" w:cs="Tahoma"/>
          <w:sz w:val="18"/>
          <w:szCs w:val="18"/>
        </w:rPr>
        <w:t>Per ogni CAL Qualificante acquistata ai sensi del contratto Open Value Subscription, una società potrà eseguire il buy-out di una CAL Suite per SBS 2011 Premium Add-on come indicato o di:</w:t>
      </w:r>
    </w:p>
    <w:p w:rsidR="00910113" w:rsidRPr="00C8557A" w:rsidRDefault="00910113" w:rsidP="00910113">
      <w:pPr>
        <w:pStyle w:val="ListParagraph"/>
        <w:contextualSpacing w:val="0"/>
        <w:rPr>
          <w:rFonts w:ascii="Tahoma" w:hAnsi="Tahoma" w:cs="Tahoma"/>
          <w:sz w:val="18"/>
          <w:szCs w:val="18"/>
        </w:rPr>
      </w:pPr>
    </w:p>
    <w:p w:rsidR="00836655" w:rsidRPr="00C8557A" w:rsidRDefault="00836655" w:rsidP="007358C5">
      <w:pPr>
        <w:pStyle w:val="ListParagraph"/>
        <w:numPr>
          <w:ilvl w:val="1"/>
          <w:numId w:val="99"/>
        </w:numPr>
        <w:tabs>
          <w:tab w:val="clear" w:pos="1440"/>
        </w:tabs>
        <w:spacing w:after="60"/>
        <w:ind w:hanging="274"/>
        <w:contextualSpacing w:val="0"/>
        <w:rPr>
          <w:rFonts w:ascii="Tahoma" w:hAnsi="Tahoma" w:cs="Tahoma"/>
          <w:sz w:val="18"/>
          <w:szCs w:val="18"/>
        </w:rPr>
      </w:pPr>
      <w:r w:rsidRPr="00C8557A">
        <w:rPr>
          <w:rFonts w:ascii="Tahoma" w:eastAsia="Calibri" w:hAnsi="Tahoma" w:cs="Tahoma"/>
          <w:sz w:val="18"/>
          <w:szCs w:val="18"/>
        </w:rPr>
        <w:t>Una Licenza CAL per Windows Server 2012 e una per SQL Server 2012 per i contratti in scadenza in data 1 agosto 2012 o successiva oppure</w:t>
      </w:r>
    </w:p>
    <w:p w:rsidR="00836655" w:rsidRPr="00C8557A" w:rsidRDefault="00836655" w:rsidP="007358C5">
      <w:pPr>
        <w:pStyle w:val="ListParagraph"/>
        <w:numPr>
          <w:ilvl w:val="1"/>
          <w:numId w:val="99"/>
        </w:numPr>
        <w:tabs>
          <w:tab w:val="clear" w:pos="1440"/>
        </w:tabs>
        <w:spacing w:after="60"/>
        <w:ind w:hanging="274"/>
        <w:contextualSpacing w:val="0"/>
        <w:rPr>
          <w:rFonts w:ascii="Tahoma" w:hAnsi="Tahoma" w:cs="Tahoma"/>
          <w:sz w:val="18"/>
          <w:szCs w:val="18"/>
        </w:rPr>
      </w:pPr>
      <w:r w:rsidRPr="00C8557A">
        <w:rPr>
          <w:rFonts w:ascii="Tahoma" w:eastAsia="Calibri" w:hAnsi="Tahoma" w:cs="Tahoma"/>
          <w:sz w:val="18"/>
          <w:szCs w:val="18"/>
        </w:rPr>
        <w:t>Una Licenza CAL per Windows Server 2008 e una per SQL Server 2012 per i contratti in scadenza nel mese di luglio 2012.</w:t>
      </w:r>
    </w:p>
    <w:p w:rsidR="00910113" w:rsidRPr="00C8557A" w:rsidRDefault="00910113" w:rsidP="00910113">
      <w:pPr>
        <w:pStyle w:val="ListParagraph"/>
        <w:ind w:left="1800"/>
        <w:contextualSpacing w:val="0"/>
        <w:rPr>
          <w:rFonts w:ascii="Tahoma" w:hAnsi="Tahoma" w:cs="Tahoma"/>
          <w:sz w:val="18"/>
          <w:szCs w:val="18"/>
        </w:rPr>
      </w:pPr>
    </w:p>
    <w:p w:rsidR="00836655" w:rsidRPr="00C8557A" w:rsidRDefault="00836655" w:rsidP="00910113">
      <w:pPr>
        <w:ind w:left="720"/>
        <w:rPr>
          <w:rFonts w:cs="Tahoma"/>
          <w:szCs w:val="18"/>
        </w:rPr>
      </w:pPr>
      <w:r w:rsidRPr="00C8557A">
        <w:rPr>
          <w:rFonts w:eastAsia="Calibri" w:cs="Tahoma"/>
          <w:szCs w:val="18"/>
        </w:rPr>
        <w:t>Utilizzando le Licenze CAL per Windows Server 2012 e le Licenze CAL per SQL Server 2012 ai sensi della presente concessione, le Premium Add-on CAL Suite Qualificanti per SBS delle società in essere non saranno più valide.</w:t>
      </w:r>
    </w:p>
    <w:p w:rsidR="00910113" w:rsidRPr="00C8557A" w:rsidRDefault="00910113" w:rsidP="00910113">
      <w:pPr>
        <w:ind w:left="720"/>
        <w:rPr>
          <w:rFonts w:cs="Tahoma"/>
          <w:szCs w:val="18"/>
        </w:rPr>
      </w:pPr>
    </w:p>
    <w:p w:rsidR="00836655" w:rsidRPr="00C8557A" w:rsidRDefault="00836655" w:rsidP="00910113">
      <w:pPr>
        <w:ind w:left="720"/>
        <w:rPr>
          <w:rFonts w:cs="Tahoma"/>
          <w:szCs w:val="18"/>
        </w:rPr>
      </w:pPr>
      <w:r w:rsidRPr="00C8557A">
        <w:rPr>
          <w:rFonts w:cs="Tahoma"/>
          <w:szCs w:val="18"/>
        </w:rPr>
        <w:t xml:space="preserve">Le </w:t>
      </w:r>
      <w:r w:rsidRPr="00C8557A">
        <w:rPr>
          <w:rFonts w:cs="Tahoma"/>
          <w:color w:val="000000"/>
          <w:szCs w:val="18"/>
        </w:rPr>
        <w:t>Premium Add-on CAL Suite per SBS 2011</w:t>
      </w:r>
      <w:r w:rsidRPr="00C8557A">
        <w:rPr>
          <w:rFonts w:cs="Tahoma"/>
          <w:bCs/>
          <w:color w:val="000000"/>
          <w:szCs w:val="18"/>
        </w:rPr>
        <w:t xml:space="preserve"> acquistate successivamente nello stesso periodo di validità dell</w:t>
      </w:r>
      <w:r w:rsidR="007A1415" w:rsidRPr="00C8557A">
        <w:rPr>
          <w:rFonts w:cs="Tahoma"/>
          <w:bCs/>
          <w:color w:val="000000"/>
          <w:szCs w:val="18"/>
        </w:rPr>
        <w:t>’</w:t>
      </w:r>
      <w:r w:rsidRPr="00C8557A">
        <w:rPr>
          <w:rFonts w:cs="Tahoma"/>
          <w:bCs/>
          <w:color w:val="000000"/>
          <w:szCs w:val="18"/>
        </w:rPr>
        <w:t>iscrizione nell</w:t>
      </w:r>
      <w:r w:rsidR="007A1415" w:rsidRPr="00C8557A">
        <w:rPr>
          <w:rFonts w:cs="Tahoma"/>
          <w:bCs/>
          <w:color w:val="000000"/>
          <w:szCs w:val="18"/>
        </w:rPr>
        <w:t>’</w:t>
      </w:r>
      <w:r w:rsidRPr="00C8557A">
        <w:rPr>
          <w:rFonts w:cs="Tahoma"/>
          <w:bCs/>
          <w:color w:val="000000"/>
          <w:szCs w:val="18"/>
        </w:rPr>
        <w:t>ambito di una procedura pianificata di true-up di una società Open Value Subscription o</w:t>
      </w:r>
      <w:r w:rsidR="00542BF0" w:rsidRPr="00C8557A">
        <w:rPr>
          <w:rFonts w:cs="Tahoma"/>
          <w:bCs/>
          <w:color w:val="000000"/>
          <w:szCs w:val="18"/>
        </w:rPr>
        <w:t> </w:t>
      </w:r>
      <w:r w:rsidRPr="00C8557A">
        <w:rPr>
          <w:rFonts w:cs="Tahoma"/>
          <w:bCs/>
          <w:color w:val="000000"/>
          <w:szCs w:val="18"/>
        </w:rPr>
        <w:t>EES sono anch</w:t>
      </w:r>
      <w:r w:rsidR="007A1415" w:rsidRPr="00C8557A">
        <w:rPr>
          <w:rFonts w:cs="Tahoma"/>
          <w:bCs/>
          <w:color w:val="000000"/>
          <w:szCs w:val="18"/>
        </w:rPr>
        <w:t>’</w:t>
      </w:r>
      <w:r w:rsidRPr="00C8557A">
        <w:rPr>
          <w:rFonts w:cs="Tahoma"/>
          <w:bCs/>
          <w:color w:val="000000"/>
          <w:szCs w:val="18"/>
        </w:rPr>
        <w:t>esse Licenze CAL Qualificanti per gli scopi previsti dalla suddetta concessione.</w:t>
      </w:r>
      <w:r w:rsidRPr="00C8557A">
        <w:rPr>
          <w:rFonts w:eastAsia="Calibri" w:cs="Tahoma"/>
          <w:szCs w:val="18"/>
        </w:rPr>
        <w:t xml:space="preserve"> </w:t>
      </w:r>
    </w:p>
    <w:p w:rsidR="00836655" w:rsidRDefault="00836655" w:rsidP="00910113"/>
    <w:p w:rsidR="00835398" w:rsidRDefault="00835398" w:rsidP="00910113"/>
    <w:p w:rsidR="00835398" w:rsidRDefault="00835398" w:rsidP="00910113"/>
    <w:p w:rsidR="00835398" w:rsidRDefault="00835398" w:rsidP="00910113"/>
    <w:p w:rsidR="00835398" w:rsidRPr="00BD7CEA" w:rsidRDefault="00835398" w:rsidP="00910113"/>
    <w:p w:rsidR="00836655" w:rsidRPr="00BD7CEA" w:rsidRDefault="00836655" w:rsidP="00910113">
      <w:pPr>
        <w:widowControl w:val="0"/>
        <w:jc w:val="both"/>
      </w:pPr>
      <w:bookmarkStart w:id="1664" w:name="_123_Windows_Azure"/>
      <w:bookmarkEnd w:id="1664"/>
    </w:p>
    <w:p w:rsidR="00836655" w:rsidRPr="00BD7CEA" w:rsidRDefault="00F66FB0" w:rsidP="00836655">
      <w:pPr>
        <w:pStyle w:val="Heading2"/>
        <w:ind w:left="0"/>
      </w:pPr>
      <w:bookmarkStart w:id="1665" w:name="_124_Windows_Small_1"/>
      <w:bookmarkStart w:id="1666" w:name="_114_Windows_Small"/>
      <w:bookmarkStart w:id="1667" w:name="_115_Windows_Small"/>
      <w:bookmarkStart w:id="1668" w:name="_Toc336338381"/>
      <w:bookmarkStart w:id="1669" w:name="_Toc353376153"/>
      <w:bookmarkEnd w:id="1665"/>
      <w:bookmarkEnd w:id="1666"/>
      <w:bookmarkEnd w:id="1667"/>
      <w:r w:rsidRPr="00BD7CEA">
        <w:rPr>
          <w:rFonts w:ascii="Tahoma" w:hAnsi="Tahoma" w:cs="Tahoma"/>
          <w:color w:val="F8701C"/>
          <w:sz w:val="22"/>
          <w:szCs w:val="22"/>
          <w:vertAlign w:val="superscript"/>
        </w:rPr>
        <w:lastRenderedPageBreak/>
        <w:t xml:space="preserve">115 </w:t>
      </w:r>
      <w:r w:rsidRPr="00BD7CEA">
        <w:rPr>
          <w:rFonts w:ascii="Tahoma" w:hAnsi="Tahoma" w:cs="Tahoma"/>
          <w:color w:val="F8701C"/>
          <w:sz w:val="22"/>
          <w:szCs w:val="22"/>
        </w:rPr>
        <w:t>Windows Small Business Server 2011 Essentials</w:t>
      </w:r>
      <w:bookmarkEnd w:id="1668"/>
      <w:bookmarkEnd w:id="1669"/>
    </w:p>
    <w:p w:rsidR="003C1BA8" w:rsidRPr="00BD7CEA" w:rsidRDefault="003C1BA8" w:rsidP="0021735C"/>
    <w:p w:rsidR="00910113" w:rsidRPr="00BD7CEA" w:rsidRDefault="00836655" w:rsidP="00910113">
      <w:pPr>
        <w:spacing w:after="60"/>
        <w:ind w:left="720"/>
      </w:pPr>
      <w:r w:rsidRPr="00BD7CEA">
        <w:rPr>
          <w:b/>
          <w:bCs/>
          <w:color w:val="000000"/>
        </w:rPr>
        <w:t>Concessioni di Licenza associate alla fine del ciclo di vita di Windows Small Business Server (SBS) 2011 Essentials</w:t>
      </w:r>
      <w:r w:rsidRPr="00BD7CEA">
        <w:rPr>
          <w:color w:val="000000"/>
        </w:rPr>
        <w:t xml:space="preserve"> </w:t>
      </w:r>
    </w:p>
    <w:p w:rsidR="00836655" w:rsidRPr="00BD7CEA" w:rsidRDefault="00836655" w:rsidP="00910113">
      <w:pPr>
        <w:ind w:left="720"/>
      </w:pPr>
      <w:r w:rsidRPr="00BD7CEA">
        <w:t>Windows SBS 2011 Essentials sarà l</w:t>
      </w:r>
      <w:r w:rsidR="007A1415" w:rsidRPr="00BD7CEA">
        <w:t>’</w:t>
      </w:r>
      <w:r w:rsidRPr="00BD7CEA">
        <w:t xml:space="preserve">ultima versione di Windows SBS Essentials. Le società titolari di contratti multilicenza con copertura Software Assurance attiva per le licenze per Windows SBS 2011 Essentials in data 1 novembre 2012 o in occasione della prima disponibilità di Windows Server 2012 Essentials per il download dal sito Web Volume Licensing Service Center, a seconda di quale evento si verificherà per primo, (“Licenze Qualificanti”) saranno autorizzate a </w:t>
      </w:r>
      <w:r w:rsidRPr="00BD7CEA">
        <w:rPr>
          <w:u w:val="single"/>
        </w:rPr>
        <w:t>effettuare l</w:t>
      </w:r>
      <w:r w:rsidR="007A1415" w:rsidRPr="00BD7CEA">
        <w:rPr>
          <w:u w:val="single"/>
        </w:rPr>
        <w:t>’</w:t>
      </w:r>
      <w:r w:rsidRPr="00BD7CEA">
        <w:rPr>
          <w:u w:val="single"/>
        </w:rPr>
        <w:t>aggiornamento al software Windows Server 2012 Essentials e a</w:t>
      </w:r>
      <w:r w:rsidRPr="00BD7CEA">
        <w:t xml:space="preserve"> utilizzarlo </w:t>
      </w:r>
      <w:r w:rsidRPr="00BD7CEA">
        <w:rPr>
          <w:u w:val="single"/>
        </w:rPr>
        <w:t>al posto di SBS Essentials</w:t>
      </w:r>
      <w:r w:rsidRPr="00BD7CEA">
        <w:t>. Per agevolare tale utilizzo, per ogni Licenza Qualificante in suo possesso, alla società verrà concessa una licenza per Windows Server 2012 Essentials in base alla disponibilità di Windows Server 2012 Essentials. L</w:t>
      </w:r>
      <w:r w:rsidR="007A1415" w:rsidRPr="00BD7CEA">
        <w:t>’</w:t>
      </w:r>
      <w:r w:rsidRPr="00BD7CEA">
        <w:t>utilizzo di Windows Server 2012 Essentials sarà disciplinato ai sensi delle condizioni di licenza per tale prodotto contenute nei Diritti di Utilizzo del Prodotto</w:t>
      </w:r>
      <w:r w:rsidR="00F340B2">
        <w:t> </w:t>
      </w:r>
      <w:r w:rsidRPr="00BD7CEA">
        <w:t>e</w:t>
      </w:r>
      <w:r w:rsidR="00542BF0" w:rsidRPr="00BD7CEA">
        <w:t> </w:t>
      </w:r>
      <w:r w:rsidRPr="00BD7CEA">
        <w:t>alle condizioni dei Contratti Multilicenza della società.</w:t>
      </w:r>
    </w:p>
    <w:p w:rsidR="00836655" w:rsidRPr="00BD7CEA" w:rsidRDefault="00836655" w:rsidP="00910113">
      <w:pPr>
        <w:ind w:left="720"/>
      </w:pPr>
    </w:p>
    <w:p w:rsidR="00836655" w:rsidRPr="00BD7CEA" w:rsidRDefault="00836655" w:rsidP="00910113">
      <w:pPr>
        <w:ind w:left="720"/>
      </w:pPr>
      <w:r w:rsidRPr="00BD7CEA">
        <w:t>Nel caso in cui le società abbiano acquistato diritti perpetui per utilizzare software ai sensi di Licenze Qualificanti, le licenze acquistate ai sensi della presente concessione saranno anch</w:t>
      </w:r>
      <w:r w:rsidR="007A1415" w:rsidRPr="00BD7CEA">
        <w:t>’</w:t>
      </w:r>
      <w:r w:rsidRPr="00BD7CEA">
        <w:t>esse perpetue; diversamente, le licenze acquistate ai sensi della presente concessione cesseranno alla scadenza delle</w:t>
      </w:r>
      <w:r w:rsidR="00542BF0" w:rsidRPr="00BD7CEA">
        <w:t> </w:t>
      </w:r>
      <w:r w:rsidRPr="00BD7CEA">
        <w:t>Licenze Qualificanti sottostanti.</w:t>
      </w:r>
    </w:p>
    <w:p w:rsidR="00836655" w:rsidRPr="00BD7CEA" w:rsidRDefault="00836655" w:rsidP="00910113">
      <w:pPr>
        <w:ind w:left="720"/>
      </w:pPr>
    </w:p>
    <w:p w:rsidR="00836655" w:rsidRPr="00BD7CEA" w:rsidRDefault="00836655" w:rsidP="00910113">
      <w:pPr>
        <w:ind w:left="720"/>
      </w:pPr>
      <w:r w:rsidRPr="00BD7CEA">
        <w:t>Eseguendo l</w:t>
      </w:r>
      <w:r w:rsidR="007A1415" w:rsidRPr="00BD7CEA">
        <w:t>’</w:t>
      </w:r>
      <w:r w:rsidRPr="00BD7CEA">
        <w:t>aggiornamento a Windows Server 2012 Essentials ai sensi della presente concessione, le</w:t>
      </w:r>
      <w:r w:rsidR="00542BF0" w:rsidRPr="00BD7CEA">
        <w:t> </w:t>
      </w:r>
      <w:r w:rsidRPr="00BD7CEA">
        <w:t>Licenze Qualificanti delle società in essere per SBS Essentials non saranno più valide.</w:t>
      </w:r>
    </w:p>
    <w:p w:rsidR="00836655" w:rsidRPr="00BD7CEA" w:rsidRDefault="00836655" w:rsidP="00910113">
      <w:pPr>
        <w:ind w:left="720"/>
      </w:pPr>
    </w:p>
    <w:p w:rsidR="005B6712" w:rsidRPr="00BD7CEA" w:rsidRDefault="00836655" w:rsidP="00D16723">
      <w:pPr>
        <w:ind w:left="720"/>
      </w:pPr>
      <w:r w:rsidRPr="00BD7CEA">
        <w:t>Le licenze per SBS Essentials acquistate successivamente nello stesso periodo di validità dell</w:t>
      </w:r>
      <w:r w:rsidR="007A1415" w:rsidRPr="00BD7CEA">
        <w:t>’</w:t>
      </w:r>
      <w:r w:rsidRPr="00BD7CEA">
        <w:t>iscrizione nell</w:t>
      </w:r>
      <w:r w:rsidR="007A1415" w:rsidRPr="00BD7CEA">
        <w:t>’</w:t>
      </w:r>
      <w:r w:rsidRPr="00BD7CEA">
        <w:t>ambito di una procedura pianificata di true-up di una società Open Value Subscription o EES sono anch</w:t>
      </w:r>
      <w:r w:rsidR="007A1415" w:rsidRPr="00BD7CEA">
        <w:t>’</w:t>
      </w:r>
      <w:r w:rsidRPr="00BD7CEA">
        <w:t>esse Licenze Qualificanti per gli scopi previsti dalla suddetta concessione.</w:t>
      </w:r>
    </w:p>
    <w:sectPr w:rsidR="005B6712" w:rsidRPr="00BD7CEA" w:rsidSect="00B40674">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E5080" w:rsidRDefault="006E5080">
      <w:r>
        <w:separator/>
      </w:r>
    </w:p>
  </w:endnote>
  <w:endnote w:type="continuationSeparator" w:id="0">
    <w:p w:rsidR="006E5080" w:rsidRDefault="006E5080">
      <w:r>
        <w:continuationSeparator/>
      </w:r>
    </w:p>
  </w:endnote>
  <w:endnote w:type="continuationNotice" w:id="1">
    <w:p w:rsidR="006E5080" w:rsidRDefault="006E508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0000012" w:usb3="00000000" w:csb0="0002009F" w:csb1="00000000"/>
  </w:font>
  <w:font w:name="SegoeBook">
    <w:altName w:val="Arial"/>
    <w:panose1 w:val="00000000000000000000"/>
    <w:charset w:val="00"/>
    <w:family w:val="swiss"/>
    <w:notTrueType/>
    <w:pitch w:val="variable"/>
    <w:sig w:usb0="00000001" w:usb1="00000000" w:usb2="00000000" w:usb3="00000000" w:csb0="00000009" w:csb1="00000000"/>
  </w:font>
  <w:font w:name="Segoe UI">
    <w:panose1 w:val="020B0502040204020203"/>
    <w:charset w:val="00"/>
    <w:family w:val="swiss"/>
    <w:pitch w:val="variable"/>
    <w:sig w:usb0="E10022FF" w:usb1="C000E47F" w:usb2="00000029" w:usb3="00000000" w:csb0="000001DF" w:csb1="00000000"/>
  </w:font>
  <w:font w:name="Segoe">
    <w:altName w:val="Segoe UI"/>
    <w:panose1 w:val="020B0502040504020203"/>
    <w:charset w:val="00"/>
    <w:family w:val="swiss"/>
    <w:pitch w:val="variable"/>
    <w:sig w:usb0="A00002AF" w:usb1="4000205B"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2786" w:rsidRDefault="00212786">
    <w:pPr>
      <w:pStyle w:val="Footer"/>
      <w:pBdr>
        <w:top w:val="single" w:sz="6" w:space="1" w:color="808080"/>
      </w:pBdr>
      <w:tabs>
        <w:tab w:val="clear" w:pos="5155"/>
        <w:tab w:val="clear" w:pos="10325"/>
        <w:tab w:val="right" w:pos="10620"/>
      </w:tabs>
      <w:ind w:left="-540"/>
      <w:rPr>
        <w:rFonts w:ascii="Trebuchet MS" w:hAnsi="Trebuchet MS"/>
        <w:color w:val="808080"/>
        <w:sz w:val="14"/>
      </w:rPr>
    </w:pPr>
    <w:r>
      <w:rPr>
        <w:rFonts w:ascii="Trebuchet MS" w:hAnsi="Trebuchet MS"/>
        <w:color w:val="808080"/>
        <w:sz w:val="14"/>
      </w:rPr>
      <w:t>© 2009 Microsoft Corporation. Tutti i diritti riservati.</w:t>
    </w:r>
    <w:r>
      <w:rPr>
        <w:rFonts w:ascii="Trebuchet MS" w:hAnsi="Trebuchet MS"/>
        <w:color w:val="808080"/>
        <w:sz w:val="14"/>
      </w:rPr>
      <w:tab/>
      <w:t xml:space="preserve">Pagina </w:t>
    </w:r>
    <w:r>
      <w:fldChar w:fldCharType="begin"/>
    </w:r>
    <w:r>
      <w:instrText xml:space="preserve"> PAGE </w:instrText>
    </w:r>
    <w:r>
      <w:fldChar w:fldCharType="separate"/>
    </w:r>
    <w:r>
      <w:rPr>
        <w:noProof/>
      </w:rPr>
      <w:t>2</w:t>
    </w:r>
    <w:r>
      <w:fldChar w:fldCharType="end"/>
    </w:r>
    <w:r>
      <w:rPr>
        <w:rFonts w:ascii="Trebuchet MS" w:hAnsi="Trebuchet MS"/>
        <w:color w:val="808080"/>
        <w:sz w:val="14"/>
      </w:rPr>
      <w:t xml:space="preserve"> di </w:t>
    </w:r>
    <w:fldSimple w:instr=" NUMPAGES ">
      <w:r>
        <w:rPr>
          <w:noProof/>
        </w:rPr>
        <w:t>205</w:t>
      </w:r>
    </w:fldSimple>
    <w:r>
      <w:t xml:space="preserve"> Pubblicato ad aprile 2009</w:t>
    </w:r>
  </w:p>
  <w:p w:rsidR="00212786" w:rsidRDefault="00212786">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Trebuchet MS" w:hAnsi="Trebuchet MS"/>
        <w:color w:val="808080"/>
        <w:sz w:val="14"/>
      </w:rPr>
      <w:t xml:space="preserve"> Microsoft è un marchio registrato di Microsoft Corporation negli Stati Uniti e/o negli altri paesi.</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2786" w:rsidRDefault="00212786"/>
  <w:p w:rsidR="00212786" w:rsidRPr="00E215F4" w:rsidRDefault="00212786" w:rsidP="00E215F4">
    <w:pPr>
      <w:pStyle w:val="Footer"/>
      <w:pBdr>
        <w:top w:val="single" w:sz="6" w:space="1" w:color="808080"/>
      </w:pBdr>
      <w:tabs>
        <w:tab w:val="clear" w:pos="5155"/>
        <w:tab w:val="clear" w:pos="10325"/>
        <w:tab w:val="right" w:pos="9360"/>
      </w:tabs>
      <w:rPr>
        <w:rFonts w:ascii="Trebuchet MS" w:hAnsi="Trebuchet MS"/>
        <w:color w:val="808080"/>
        <w:sz w:val="14"/>
        <w:lang w:val="it-IT"/>
      </w:rPr>
    </w:pPr>
    <w:r w:rsidRPr="00E215F4">
      <w:rPr>
        <w:rFonts w:ascii="Trebuchet MS" w:hAnsi="Trebuchet MS"/>
        <w:color w:val="808080"/>
        <w:sz w:val="14"/>
        <w:lang w:val="it-IT"/>
      </w:rPr>
      <w:t>© 2013 Microsoft Corporation. Tutti i diritti riservati.</w:t>
    </w:r>
    <w:r w:rsidRPr="00E215F4">
      <w:rPr>
        <w:rFonts w:ascii="Trebuchet MS" w:hAnsi="Trebuchet MS"/>
        <w:color w:val="808080"/>
        <w:sz w:val="14"/>
        <w:lang w:val="it-IT"/>
      </w:rPr>
      <w:tab/>
      <w:t xml:space="preserve">Pagina </w:t>
    </w:r>
    <w:r w:rsidRPr="005E6107">
      <w:rPr>
        <w:color w:val="000000" w:themeColor="text1"/>
        <w:szCs w:val="18"/>
        <w:lang w:val="it-IT"/>
      </w:rPr>
      <w:fldChar w:fldCharType="begin"/>
    </w:r>
    <w:r w:rsidRPr="005E6107">
      <w:rPr>
        <w:color w:val="000000" w:themeColor="text1"/>
        <w:szCs w:val="18"/>
        <w:lang w:val="it-IT"/>
      </w:rPr>
      <w:instrText xml:space="preserve"> PAGE </w:instrText>
    </w:r>
    <w:r w:rsidRPr="005E6107">
      <w:rPr>
        <w:color w:val="000000" w:themeColor="text1"/>
        <w:szCs w:val="18"/>
        <w:lang w:val="it-IT"/>
      </w:rPr>
      <w:fldChar w:fldCharType="separate"/>
    </w:r>
    <w:r w:rsidR="00F978FC">
      <w:rPr>
        <w:noProof/>
        <w:color w:val="000000" w:themeColor="text1"/>
        <w:szCs w:val="18"/>
        <w:lang w:val="it-IT"/>
      </w:rPr>
      <w:t>1</w:t>
    </w:r>
    <w:r w:rsidRPr="005E6107">
      <w:rPr>
        <w:color w:val="000000" w:themeColor="text1"/>
        <w:szCs w:val="18"/>
        <w:lang w:val="it-IT"/>
      </w:rPr>
      <w:fldChar w:fldCharType="end"/>
    </w:r>
    <w:r w:rsidRPr="00E215F4">
      <w:rPr>
        <w:rFonts w:ascii="Trebuchet MS" w:hAnsi="Trebuchet MS"/>
        <w:color w:val="808080"/>
        <w:sz w:val="14"/>
        <w:lang w:val="it-IT"/>
      </w:rPr>
      <w:t xml:space="preserve"> di </w:t>
    </w:r>
    <w:r w:rsidRPr="00E215F4">
      <w:rPr>
        <w:color w:val="000000" w:themeColor="text1"/>
        <w:szCs w:val="18"/>
        <w:lang w:val="it-IT"/>
      </w:rPr>
      <w:fldChar w:fldCharType="begin"/>
    </w:r>
    <w:r w:rsidRPr="00E215F4">
      <w:rPr>
        <w:color w:val="000000" w:themeColor="text1"/>
        <w:szCs w:val="18"/>
        <w:lang w:val="it-IT"/>
      </w:rPr>
      <w:instrText xml:space="preserve"> NUMPAGES </w:instrText>
    </w:r>
    <w:r w:rsidRPr="00E215F4">
      <w:rPr>
        <w:color w:val="000000" w:themeColor="text1"/>
        <w:szCs w:val="18"/>
        <w:lang w:val="it-IT"/>
      </w:rPr>
      <w:fldChar w:fldCharType="separate"/>
    </w:r>
    <w:r w:rsidR="00F978FC">
      <w:rPr>
        <w:noProof/>
        <w:color w:val="000000" w:themeColor="text1"/>
        <w:szCs w:val="18"/>
        <w:lang w:val="it-IT"/>
      </w:rPr>
      <w:t>205</w:t>
    </w:r>
    <w:r w:rsidRPr="00E215F4">
      <w:rPr>
        <w:color w:val="000000" w:themeColor="text1"/>
        <w:szCs w:val="18"/>
        <w:lang w:val="it-IT"/>
      </w:rPr>
      <w:fldChar w:fldCharType="end"/>
    </w:r>
    <w:r w:rsidRPr="00E215F4">
      <w:rPr>
        <w:rFonts w:ascii="Trebuchet MS" w:hAnsi="Trebuchet MS"/>
        <w:color w:val="808080"/>
        <w:sz w:val="14"/>
        <w:lang w:val="it-IT"/>
      </w:rPr>
      <w:t xml:space="preserve"> Pubblicato a </w:t>
    </w:r>
    <w:r>
      <w:rPr>
        <w:rFonts w:ascii="Trebuchet MS" w:hAnsi="Trebuchet MS"/>
        <w:color w:val="808080"/>
        <w:sz w:val="14"/>
        <w:lang w:val="it-IT"/>
      </w:rPr>
      <w:t>M</w:t>
    </w:r>
    <w:r w:rsidRPr="00E215F4">
      <w:rPr>
        <w:rFonts w:ascii="Trebuchet MS" w:hAnsi="Trebuchet MS"/>
        <w:color w:val="808080"/>
        <w:sz w:val="14"/>
        <w:lang w:val="it-IT"/>
      </w:rPr>
      <w:t>aggio 2013</w:t>
    </w:r>
  </w:p>
  <w:p w:rsidR="00212786" w:rsidRPr="00E215F4" w:rsidRDefault="00212786" w:rsidP="00E215F4">
    <w:pPr>
      <w:pStyle w:val="Footer"/>
      <w:pBdr>
        <w:top w:val="single" w:sz="6" w:space="1" w:color="808080"/>
      </w:pBdr>
      <w:tabs>
        <w:tab w:val="clear" w:pos="5155"/>
        <w:tab w:val="clear" w:pos="10325"/>
        <w:tab w:val="right" w:pos="9360"/>
      </w:tabs>
      <w:rPr>
        <w:rFonts w:ascii="Trebuchet MS" w:hAnsi="Trebuchet MS"/>
        <w:color w:val="808080"/>
        <w:sz w:val="14"/>
        <w:lang w:val="it-IT"/>
      </w:rPr>
    </w:pPr>
    <w:r w:rsidRPr="00E215F4">
      <w:rPr>
        <w:rFonts w:ascii="Trebuchet MS" w:hAnsi="Trebuchet MS"/>
        <w:color w:val="808080"/>
        <w:sz w:val="14"/>
        <w:lang w:val="it-IT"/>
      </w:rPr>
      <w:t>Microsoft è un marchio registrato di Microsoft Corporation negli Stati Uniti e/o negli altri paesi.</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2786" w:rsidRDefault="00212786" w:rsidP="005E6107"/>
  <w:p w:rsidR="00212786" w:rsidRPr="00E215F4" w:rsidRDefault="00212786" w:rsidP="005E6107">
    <w:pPr>
      <w:pStyle w:val="Footer"/>
      <w:pBdr>
        <w:top w:val="single" w:sz="6" w:space="1" w:color="808080"/>
      </w:pBdr>
      <w:tabs>
        <w:tab w:val="clear" w:pos="5155"/>
        <w:tab w:val="clear" w:pos="10325"/>
        <w:tab w:val="right" w:pos="9360"/>
      </w:tabs>
      <w:rPr>
        <w:rFonts w:ascii="Trebuchet MS" w:hAnsi="Trebuchet MS"/>
        <w:color w:val="808080"/>
        <w:sz w:val="14"/>
        <w:lang w:val="it-IT"/>
      </w:rPr>
    </w:pPr>
    <w:r w:rsidRPr="00E215F4">
      <w:rPr>
        <w:rFonts w:ascii="Trebuchet MS" w:hAnsi="Trebuchet MS"/>
        <w:color w:val="808080"/>
        <w:sz w:val="14"/>
        <w:lang w:val="it-IT"/>
      </w:rPr>
      <w:t>© 2013 Microsoft Corporation. Tutti i diritti riservati.</w:t>
    </w:r>
    <w:r w:rsidRPr="00E215F4">
      <w:rPr>
        <w:rFonts w:ascii="Trebuchet MS" w:hAnsi="Trebuchet MS"/>
        <w:color w:val="808080"/>
        <w:sz w:val="14"/>
        <w:lang w:val="it-IT"/>
      </w:rPr>
      <w:tab/>
      <w:t xml:space="preserve">Pagina </w:t>
    </w:r>
    <w:r w:rsidRPr="005E6107">
      <w:rPr>
        <w:color w:val="000000" w:themeColor="text1"/>
        <w:szCs w:val="18"/>
        <w:lang w:val="it-IT"/>
      </w:rPr>
      <w:fldChar w:fldCharType="begin"/>
    </w:r>
    <w:r w:rsidRPr="005E6107">
      <w:rPr>
        <w:color w:val="000000" w:themeColor="text1"/>
        <w:szCs w:val="18"/>
        <w:lang w:val="it-IT"/>
      </w:rPr>
      <w:instrText xml:space="preserve"> PAGE </w:instrText>
    </w:r>
    <w:r w:rsidRPr="005E6107">
      <w:rPr>
        <w:color w:val="000000" w:themeColor="text1"/>
        <w:szCs w:val="18"/>
        <w:lang w:val="it-IT"/>
      </w:rPr>
      <w:fldChar w:fldCharType="separate"/>
    </w:r>
    <w:r w:rsidR="00F978FC">
      <w:rPr>
        <w:noProof/>
        <w:color w:val="000000" w:themeColor="text1"/>
        <w:szCs w:val="18"/>
        <w:lang w:val="it-IT"/>
      </w:rPr>
      <w:t>183</w:t>
    </w:r>
    <w:r w:rsidRPr="005E6107">
      <w:rPr>
        <w:color w:val="000000" w:themeColor="text1"/>
        <w:szCs w:val="18"/>
        <w:lang w:val="it-IT"/>
      </w:rPr>
      <w:fldChar w:fldCharType="end"/>
    </w:r>
    <w:r w:rsidRPr="00E215F4">
      <w:rPr>
        <w:rFonts w:ascii="Trebuchet MS" w:hAnsi="Trebuchet MS"/>
        <w:color w:val="808080"/>
        <w:sz w:val="14"/>
        <w:lang w:val="it-IT"/>
      </w:rPr>
      <w:t xml:space="preserve"> di </w:t>
    </w:r>
    <w:r w:rsidRPr="00E215F4">
      <w:rPr>
        <w:color w:val="000000" w:themeColor="text1"/>
        <w:szCs w:val="18"/>
        <w:lang w:val="it-IT"/>
      </w:rPr>
      <w:fldChar w:fldCharType="begin"/>
    </w:r>
    <w:r w:rsidRPr="00E215F4">
      <w:rPr>
        <w:color w:val="000000" w:themeColor="text1"/>
        <w:szCs w:val="18"/>
        <w:lang w:val="it-IT"/>
      </w:rPr>
      <w:instrText xml:space="preserve"> NUMPAGES </w:instrText>
    </w:r>
    <w:r w:rsidRPr="00E215F4">
      <w:rPr>
        <w:color w:val="000000" w:themeColor="text1"/>
        <w:szCs w:val="18"/>
        <w:lang w:val="it-IT"/>
      </w:rPr>
      <w:fldChar w:fldCharType="separate"/>
    </w:r>
    <w:r w:rsidR="00F978FC">
      <w:rPr>
        <w:noProof/>
        <w:color w:val="000000" w:themeColor="text1"/>
        <w:szCs w:val="18"/>
        <w:lang w:val="it-IT"/>
      </w:rPr>
      <w:t>205</w:t>
    </w:r>
    <w:r w:rsidRPr="00E215F4">
      <w:rPr>
        <w:color w:val="000000" w:themeColor="text1"/>
        <w:szCs w:val="18"/>
        <w:lang w:val="it-IT"/>
      </w:rPr>
      <w:fldChar w:fldCharType="end"/>
    </w:r>
    <w:r w:rsidRPr="00E215F4">
      <w:rPr>
        <w:rFonts w:ascii="Trebuchet MS" w:hAnsi="Trebuchet MS"/>
        <w:color w:val="808080"/>
        <w:sz w:val="14"/>
        <w:lang w:val="it-IT"/>
      </w:rPr>
      <w:t xml:space="preserve"> Pubblicato a </w:t>
    </w:r>
    <w:r>
      <w:rPr>
        <w:rFonts w:ascii="Trebuchet MS" w:hAnsi="Trebuchet MS"/>
        <w:color w:val="808080"/>
        <w:sz w:val="14"/>
        <w:lang w:val="it-IT"/>
      </w:rPr>
      <w:t>M</w:t>
    </w:r>
    <w:r w:rsidRPr="00E215F4">
      <w:rPr>
        <w:rFonts w:ascii="Trebuchet MS" w:hAnsi="Trebuchet MS"/>
        <w:color w:val="808080"/>
        <w:sz w:val="14"/>
        <w:lang w:val="it-IT"/>
      </w:rPr>
      <w:t>aggio 2013</w:t>
    </w:r>
  </w:p>
  <w:p w:rsidR="00212786" w:rsidRPr="007E508E" w:rsidRDefault="00212786" w:rsidP="005E6107">
    <w:pPr>
      <w:pStyle w:val="Footer"/>
      <w:pBdr>
        <w:top w:val="single" w:sz="6" w:space="1" w:color="808080"/>
      </w:pBdr>
      <w:tabs>
        <w:tab w:val="clear" w:pos="5155"/>
        <w:tab w:val="clear" w:pos="10325"/>
        <w:tab w:val="right" w:pos="9360"/>
      </w:tabs>
      <w:rPr>
        <w:rFonts w:ascii="Trebuchet MS" w:hAnsi="Trebuchet MS"/>
        <w:color w:val="808080"/>
        <w:sz w:val="14"/>
        <w:lang w:val="it-IT"/>
      </w:rPr>
    </w:pPr>
    <w:r w:rsidRPr="00E215F4">
      <w:rPr>
        <w:rFonts w:ascii="Trebuchet MS" w:hAnsi="Trebuchet MS"/>
        <w:color w:val="808080"/>
        <w:sz w:val="14"/>
        <w:lang w:val="it-IT"/>
      </w:rPr>
      <w:t>Microsoft è un marchio registrato di Microsoft Corporation negli Stati Uniti e/o negli altri paesi</w:t>
    </w:r>
    <w:r w:rsidRPr="005E6107">
      <w:rPr>
        <w:rFonts w:ascii="Trebuchet MS" w:hAnsi="Trebuchet MS"/>
        <w:color w:val="808080"/>
        <w:sz w:val="14"/>
        <w:lang w:val="it-IT"/>
      </w:rPr>
      <w:t>.</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2786" w:rsidRDefault="00212786"/>
  <w:p w:rsidR="00212786" w:rsidRDefault="00212786">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rPr>
      <w:t xml:space="preserve">© 2009 Microsoft Corporation. Tutti i diritti riservati.                                                                                    Pagina </w:t>
    </w:r>
    <w:r>
      <w:fldChar w:fldCharType="begin"/>
    </w:r>
    <w:r>
      <w:instrText xml:space="preserve"> PAGE </w:instrText>
    </w:r>
    <w:r>
      <w:fldChar w:fldCharType="separate"/>
    </w:r>
    <w:r>
      <w:rPr>
        <w:noProof/>
      </w:rPr>
      <w:t>1</w:t>
    </w:r>
    <w:r>
      <w:fldChar w:fldCharType="end"/>
    </w:r>
    <w:r>
      <w:rPr>
        <w:rFonts w:ascii="Trebuchet MS" w:hAnsi="Trebuchet MS"/>
        <w:color w:val="808080"/>
        <w:sz w:val="14"/>
      </w:rPr>
      <w:t xml:space="preserve"> di </w:t>
    </w:r>
    <w:fldSimple w:instr=" NUMPAGES ">
      <w:r>
        <w:rPr>
          <w:noProof/>
        </w:rPr>
        <w:t>205</w:t>
      </w:r>
    </w:fldSimple>
    <w:r>
      <w:t xml:space="preserve"> Pubblicato a maggio 2009</w:t>
    </w:r>
  </w:p>
  <w:p w:rsidR="00212786" w:rsidRDefault="00212786">
    <w:pPr>
      <w:pStyle w:val="Footer"/>
      <w:rPr>
        <w:rFonts w:ascii="Verdana" w:hAnsi="Verdana"/>
        <w:color w:val="808080"/>
        <w:sz w:val="16"/>
      </w:rPr>
    </w:pPr>
    <w:r>
      <w:rPr>
        <w:rFonts w:ascii="Trebuchet MS" w:hAnsi="Trebuchet MS"/>
        <w:color w:val="808080"/>
        <w:sz w:val="14"/>
      </w:rPr>
      <w:t>Microsoft è un marchio registrato di Microsoft Corporation negli Stati Uniti e/o negli altri paesi.</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E5080" w:rsidRDefault="006E5080">
      <w:r>
        <w:separator/>
      </w:r>
    </w:p>
  </w:footnote>
  <w:footnote w:type="continuationSeparator" w:id="0">
    <w:p w:rsidR="006E5080" w:rsidRDefault="006E5080">
      <w:r>
        <w:continuationSeparator/>
      </w:r>
    </w:p>
  </w:footnote>
  <w:footnote w:type="continuationNotice" w:id="1">
    <w:p w:rsidR="006E5080" w:rsidRDefault="006E5080"/>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126D7" w:rsidRDefault="001126D7">
    <w:pPr>
      <w:pStyle w:val="Header"/>
      <w:tabs>
        <w:tab w:val="clear" w:pos="3240"/>
        <w:tab w:val="left" w:pos="2970"/>
      </w:tabs>
      <w:ind w:firstLine="2160"/>
    </w:pPr>
    <w:r>
      <w:rPr>
        <w:noProof/>
      </w:rPr>
      <mc:AlternateContent>
        <mc:Choice Requires="wps">
          <w:drawing>
            <wp:anchor distT="0" distB="0" distL="114300" distR="114300" simplePos="0" relativeHeight="251662848" behindDoc="0" locked="0" layoutInCell="0" allowOverlap="1">
              <wp:simplePos x="0" y="0"/>
              <wp:positionH relativeFrom="column">
                <wp:posOffset>-314325</wp:posOffset>
              </wp:positionH>
              <wp:positionV relativeFrom="paragraph">
                <wp:posOffset>-139700</wp:posOffset>
              </wp:positionV>
              <wp:extent cx="2228850" cy="574675"/>
              <wp:effectExtent l="0" t="0" r="0" b="0"/>
              <wp:wrapNone/>
              <wp:docPr id="7"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26D7" w:rsidRDefault="001126D7" w:rsidP="007B6570">
                          <w:r>
                            <w:rPr>
                              <w:noProof/>
                            </w:rPr>
                            <w:drawing>
                              <wp:inline distT="0" distB="0" distL="0" distR="0" wp14:anchorId="14891896" wp14:editId="6A80FA59">
                                <wp:extent cx="1952625" cy="495300"/>
                                <wp:effectExtent l="0" t="0" r="9525" b="0"/>
                                <wp:docPr id="11" name="Picture 24" descr="Description: logo(I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logo(ITA).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52625" cy="495300"/>
                                        </a:xfrm>
                                        <a:prstGeom prst="rect">
                                          <a:avLst/>
                                        </a:prstGeom>
                                        <a:noFill/>
                                        <a:ln>
                                          <a:noFill/>
                                        </a:ln>
                                      </pic:spPr>
                                    </pic:pic>
                                  </a:graphicData>
                                </a:graphic>
                              </wp:inline>
                            </w:drawing>
                          </w:r>
                          <w:r>
                            <w:rPr>
                              <w:noProof/>
                            </w:rPr>
                            <w:drawing>
                              <wp:inline distT="0" distB="0" distL="0" distR="0" wp14:anchorId="71110996" wp14:editId="35A9B6DB">
                                <wp:extent cx="1911985" cy="510540"/>
                                <wp:effectExtent l="0" t="0" r="0" b="3810"/>
                                <wp:docPr id="19"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11985" cy="51054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iF/9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dzjATtoUX3bG/QjdwjYqszDjoDp7sB3MwejqHLjqkebmX1TSMhly0VG3atlBxbRmvILrQ3/bOr&#10;E462IOvxo6whDN0a6YD2jept6aAYCNChSw+nzthUKjiMoihJYjBVYIvnZDaPXQiaHW8PSpv3TPbI&#10;LnKsoPMOne5utbHZ0OzoYoMJWfKuc93vxLMDcJxOIDZctTabhWvmYxqkq2SVEI9Es5VHgqLwrssl&#10;8WZlOI+Ld8VyWYQ/bdyQZC2vayZsmKOwQvJnjTtIfJLESVpadry2cDYlrTbrZafQjoKwS/cdCnLm&#10;5j9PwxUBuLygFEYkuIlSr5wlc4+UJPbSeZB4QZjepLOApKQon1O65YL9OyU05jiNo3gS02+5Be57&#10;zY1mPTcwOjre5zg5OdHMSnAlatdaQ3k3rc9KYdN/KgW0+9hoJ1ir0UmtZr/eA4pV8VrWDyBdJUFZ&#10;IEKYd7BopfqB0QizI8f6+5YqhlH3QYD805AQO2zchsTzCDbq3LI+t1BRAVSODUbTcmmmAbUdFN+0&#10;EGl6cEJew5NpuFPzU1aHhwbzwZE6zDI7gM73zutp4i5+AQ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BHiF/9tAIAALkF&#10;AAAOAAAAAAAAAAAAAAAAAC4CAABkcnMvZTJvRG9jLnhtbFBLAQItABQABgAIAAAAIQCFKH3C3wAA&#10;AAoBAAAPAAAAAAAAAAAAAAAAAA4FAABkcnMvZG93bnJldi54bWxQSwUGAAAAAAQABADzAAAAGgYA&#10;AAAA&#10;" o:allowincell="f" filled="f" stroked="f">
              <v:textbox>
                <w:txbxContent>
                  <w:p w:rsidR="001126D7" w:rsidRDefault="001126D7" w:rsidP="007B6570">
                    <w:r>
                      <w:rPr>
                        <w:noProof/>
                      </w:rPr>
                      <w:drawing>
                        <wp:inline distT="0" distB="0" distL="0" distR="0" wp14:anchorId="14891896" wp14:editId="6A80FA59">
                          <wp:extent cx="1952625" cy="495300"/>
                          <wp:effectExtent l="0" t="0" r="9525" b="0"/>
                          <wp:docPr id="11" name="Picture 24" descr="Description: logo(I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logo(ITA).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52625" cy="495300"/>
                                  </a:xfrm>
                                  <a:prstGeom prst="rect">
                                    <a:avLst/>
                                  </a:prstGeom>
                                  <a:noFill/>
                                  <a:ln>
                                    <a:noFill/>
                                  </a:ln>
                                </pic:spPr>
                              </pic:pic>
                            </a:graphicData>
                          </a:graphic>
                        </wp:inline>
                      </w:drawing>
                    </w:r>
                    <w:r>
                      <w:rPr>
                        <w:noProof/>
                      </w:rPr>
                      <w:drawing>
                        <wp:inline distT="0" distB="0" distL="0" distR="0" wp14:anchorId="71110996" wp14:editId="35A9B6DB">
                          <wp:extent cx="1911985" cy="510540"/>
                          <wp:effectExtent l="0" t="0" r="0" b="3810"/>
                          <wp:docPr id="19"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11985" cy="510540"/>
                                  </a:xfrm>
                                  <a:prstGeom prst="rect">
                                    <a:avLst/>
                                  </a:prstGeom>
                                  <a:noFill/>
                                  <a:ln>
                                    <a:noFill/>
                                  </a:ln>
                                </pic:spPr>
                              </pic:pic>
                            </a:graphicData>
                          </a:graphic>
                        </wp:inline>
                      </w:drawing>
                    </w:r>
                  </w:p>
                </w:txbxContent>
              </v:textbox>
            </v:shape>
          </w:pict>
        </mc:Fallback>
      </mc:AlternateContent>
    </w:r>
    <w:r>
      <w:t xml:space="preserve"> </w:t>
    </w:r>
  </w:p>
  <w:p w:rsidR="001126D7" w:rsidRDefault="001126D7">
    <w:r>
      <w:rPr>
        <w:noProof/>
      </w:rPr>
      <mc:AlternateContent>
        <mc:Choice Requires="wps">
          <w:drawing>
            <wp:anchor distT="4294967295" distB="4294967295" distL="114300" distR="114300" simplePos="0" relativeHeight="251658752" behindDoc="0" locked="0" layoutInCell="0" allowOverlap="1">
              <wp:simplePos x="0" y="0"/>
              <wp:positionH relativeFrom="column">
                <wp:posOffset>-23495</wp:posOffset>
              </wp:positionH>
              <wp:positionV relativeFrom="paragraph">
                <wp:posOffset>70484</wp:posOffset>
              </wp:positionV>
              <wp:extent cx="6931025" cy="0"/>
              <wp:effectExtent l="0" t="0" r="22225" b="19050"/>
              <wp:wrapNone/>
              <wp:docPr id="6"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F974204" id="Line 5" o:spid="_x0000_s1026" style="position:absolute;z-index:251658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NiN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OkSId&#10;SPQsFEez0JneuAICKrWzoTZ6Vi/mWdPvDildtUQdeGT4ejGQloWM5E1K2DgD+Pv+s2YQQ45exzad&#10;G9sFSGgAOkc1Lnc1+NkjCofz5TRLJzOM6OBLSDEkGuv8J647FIwSS+Acgcnp2flAhBRDSLhH6a2Q&#10;MootFepLPM0+zGKC01Kw4Axhzh72lbToRMK4xC9WBZ7HMKuPikWwlhO2udmeCHm14XKpAh6UAnRu&#10;1nUefizT5WaxWeSjfDLfjPK0rkcft1U+mm+BUj2tq6rOfgZqWV60gjGuArthNrP877S/vZLrVN2n&#10;896G5C167BeQHf6RdNQyyHcdhL1ml50dNIZxjMG3pxPm/XEP9uMDX/8C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8rzY&#10;jR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126D7" w:rsidRDefault="001126D7" w:rsidP="00290FC1">
    <w:pPr>
      <w:ind w:rightChars="185" w:right="333"/>
    </w:pPr>
  </w:p>
  <w:p w:rsidR="001126D7" w:rsidRDefault="001126D7" w:rsidP="00290FC1">
    <w:pPr>
      <w:ind w:rightChars="185" w:right="333"/>
    </w:pPr>
  </w:p>
  <w:p w:rsidR="001126D7" w:rsidRDefault="001126D7" w:rsidP="00290FC1">
    <w:pPr>
      <w:ind w:rightChars="185" w:right="333"/>
    </w:pPr>
    <w:r>
      <w:rPr>
        <w:noProof/>
      </w:rPr>
      <w:drawing>
        <wp:anchor distT="0" distB="0" distL="114300" distR="114300" simplePos="0" relativeHeight="251661824" behindDoc="0" locked="0" layoutInCell="1" allowOverlap="1" wp14:anchorId="70EB21CE" wp14:editId="077CCDCE">
          <wp:simplePos x="0" y="0"/>
          <wp:positionH relativeFrom="margin">
            <wp:align>center</wp:align>
          </wp:positionH>
          <wp:positionV relativeFrom="paragraph">
            <wp:posOffset>15240</wp:posOffset>
          </wp:positionV>
          <wp:extent cx="5734050" cy="561975"/>
          <wp:effectExtent l="0" t="0" r="0" b="9525"/>
          <wp:wrapNone/>
          <wp:docPr id="3"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rsidR="001126D7" w:rsidRDefault="001126D7">
    <w:pPr>
      <w:pStyle w:val="Header"/>
      <w:tabs>
        <w:tab w:val="left" w:pos="8550"/>
        <w:tab w:val="left" w:pos="12600"/>
      </w:tabs>
      <w:ind w:right="-178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126D7" w:rsidRDefault="001126D7" w:rsidP="00BF1DDF">
    <w:pPr>
      <w:ind w:rightChars="185" w:right="333"/>
    </w:pPr>
  </w:p>
  <w:p w:rsidR="001126D7" w:rsidRDefault="001126D7">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2">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3">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7">
    <w:nsid w:val="0D510CED"/>
    <w:multiLevelType w:val="hybridMultilevel"/>
    <w:tmpl w:val="0338BAB6"/>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5422297E">
      <w:start w:val="1"/>
      <w:numFmt w:val="bullet"/>
      <w:lvlText w:val=""/>
      <w:lvlJc w:val="left"/>
      <w:pPr>
        <w:ind w:left="3060" w:hanging="180"/>
      </w:pPr>
      <w:rPr>
        <w:rFonts w:ascii="Webdings" w:hAnsi="Webdings" w:hint="default"/>
        <w:b w:val="0"/>
        <w:i w:val="0"/>
        <w:color w:val="auto"/>
        <w:sz w:val="20"/>
        <w:szCs w:val="20"/>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1">
    <w:nsid w:val="0FBA1539"/>
    <w:multiLevelType w:val="hybridMultilevel"/>
    <w:tmpl w:val="2E7A59BC"/>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11B48124">
      <w:start w:val="1"/>
      <w:numFmt w:val="bullet"/>
      <w:lvlText w:val=""/>
      <w:lvlJc w:val="left"/>
      <w:pPr>
        <w:ind w:left="3060" w:hanging="360"/>
      </w:pPr>
      <w:rPr>
        <w:rFonts w:ascii="Symbol" w:hAnsi="Symbol" w:hint="default"/>
        <w:sz w:val="18"/>
        <w:szCs w:val="18"/>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2">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6">
    <w:nsid w:val="15FF1D91"/>
    <w:multiLevelType w:val="hybridMultilevel"/>
    <w:tmpl w:val="C2BE988E"/>
    <w:lvl w:ilvl="0" w:tplc="E7D20B9C">
      <w:start w:val="1"/>
      <w:numFmt w:val="decimal"/>
      <w:lvlText w:val="%1."/>
      <w:lvlJc w:val="left"/>
      <w:pPr>
        <w:ind w:left="1440" w:hanging="360"/>
      </w:pPr>
      <w:rPr>
        <w:rFonts w:ascii="Tahoma" w:hAnsi="Tahoma" w:cs="Tahoma" w:hint="default"/>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27">
    <w:nsid w:val="16130B33"/>
    <w:multiLevelType w:val="hybridMultilevel"/>
    <w:tmpl w:val="9058E20E"/>
    <w:lvl w:ilvl="0" w:tplc="D902DDBC">
      <w:start w:val="1"/>
      <w:numFmt w:val="bullet"/>
      <w:lvlText w:val=""/>
      <w:lvlJc w:val="left"/>
      <w:pPr>
        <w:ind w:left="2160" w:hanging="360"/>
      </w:pPr>
      <w:rPr>
        <w:rFonts w:ascii="Webdings" w:hAnsi="Webdings" w:hint="default"/>
        <w:b w:val="0"/>
        <w:i w:val="0"/>
        <w:color w:val="FF6600"/>
        <w:sz w:val="24"/>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8">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0">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2">
    <w:nsid w:val="1C4F47D3"/>
    <w:multiLevelType w:val="hybridMultilevel"/>
    <w:tmpl w:val="37842B86"/>
    <w:lvl w:ilvl="0" w:tplc="0152F0C0">
      <w:start w:val="1"/>
      <w:numFmt w:val="bullet"/>
      <w:lvlText w:val=""/>
      <w:lvlJc w:val="left"/>
      <w:pPr>
        <w:ind w:left="720" w:hanging="360"/>
      </w:pPr>
      <w:rPr>
        <w:rFonts w:ascii="Webdings" w:hAnsi="Webdings" w:hint="default"/>
        <w:b w:val="0"/>
        <w:i w:val="0"/>
        <w:color w:val="FF6600"/>
        <w:sz w:val="22"/>
      </w:rPr>
    </w:lvl>
    <w:lvl w:ilvl="1" w:tplc="DAFEDDAC">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5">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6">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37">
    <w:nsid w:val="244E7ADD"/>
    <w:multiLevelType w:val="hybridMultilevel"/>
    <w:tmpl w:val="A7A4D0C8"/>
    <w:lvl w:ilvl="0" w:tplc="D902DDBC">
      <w:start w:val="1"/>
      <w:numFmt w:val="bullet"/>
      <w:lvlText w:val=""/>
      <w:lvlJc w:val="left"/>
      <w:pPr>
        <w:ind w:left="2160" w:hanging="360"/>
      </w:pPr>
      <w:rPr>
        <w:rFonts w:ascii="Webdings" w:hAnsi="Webdings" w:hint="default"/>
        <w:b w:val="0"/>
        <w:i w:val="0"/>
        <w:color w:val="FF6600"/>
        <w:sz w:val="24"/>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8">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9">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0">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297B0F4F"/>
    <w:multiLevelType w:val="hybridMultilevel"/>
    <w:tmpl w:val="DC1810B6"/>
    <w:lvl w:ilvl="0" w:tplc="04090003">
      <w:start w:val="1"/>
      <w:numFmt w:val="bullet"/>
      <w:lvlText w:val="o"/>
      <w:lvlJc w:val="left"/>
      <w:pPr>
        <w:ind w:left="3240" w:hanging="360"/>
      </w:pPr>
      <w:rPr>
        <w:rFonts w:ascii="Courier New" w:hAnsi="Courier New" w:cs="Courier New"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43">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4">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5">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6">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8">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1">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5">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6">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8485818"/>
    <w:multiLevelType w:val="hybridMultilevel"/>
    <w:tmpl w:val="9CB08794"/>
    <w:lvl w:ilvl="0" w:tplc="DBCA629C">
      <w:start w:val="1"/>
      <w:numFmt w:val="lowerLetter"/>
      <w:lvlText w:val="%1)"/>
      <w:lvlJc w:val="left"/>
      <w:pPr>
        <w:ind w:left="144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0">
    <w:nsid w:val="3A806EA4"/>
    <w:multiLevelType w:val="hybridMultilevel"/>
    <w:tmpl w:val="B8C6F86C"/>
    <w:lvl w:ilvl="0" w:tplc="CF14B330">
      <w:start w:val="1"/>
      <w:numFmt w:val="bullet"/>
      <w:lvlText w:val=""/>
      <w:lvlJc w:val="left"/>
      <w:pPr>
        <w:ind w:left="720" w:hanging="360"/>
      </w:pPr>
      <w:rPr>
        <w:rFonts w:ascii="Webdings" w:hAnsi="Webdings" w:hint="default"/>
        <w:b w:val="0"/>
        <w:i w:val="0"/>
        <w:color w:val="FF6600"/>
        <w:sz w:val="24"/>
        <w:szCs w:val="24"/>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B4E6948"/>
    <w:multiLevelType w:val="hybridMultilevel"/>
    <w:tmpl w:val="49DE1964"/>
    <w:lvl w:ilvl="0" w:tplc="7966A5CC">
      <w:start w:val="1"/>
      <w:numFmt w:val="bullet"/>
      <w:lvlText w:val=""/>
      <w:lvlJc w:val="left"/>
      <w:pPr>
        <w:ind w:left="2160" w:hanging="360"/>
      </w:pPr>
      <w:rPr>
        <w:rFonts w:ascii="Webdings" w:hAnsi="Webdings" w:hint="default"/>
        <w:b w:val="0"/>
        <w:i w:val="0"/>
        <w:color w:val="FF6600"/>
        <w:sz w:val="22"/>
        <w:szCs w:val="22"/>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2">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3">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5">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6">
    <w:nsid w:val="407455BA"/>
    <w:multiLevelType w:val="hybridMultilevel"/>
    <w:tmpl w:val="FA3EA93C"/>
    <w:lvl w:ilvl="0" w:tplc="04090003">
      <w:start w:val="1"/>
      <w:numFmt w:val="bullet"/>
      <w:lvlText w:val="o"/>
      <w:lvlJc w:val="left"/>
      <w:pPr>
        <w:ind w:left="3240" w:hanging="360"/>
      </w:pPr>
      <w:rPr>
        <w:rFonts w:ascii="Courier New" w:hAnsi="Courier New" w:cs="Courier New"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67">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8">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43EA2CBE"/>
    <w:multiLevelType w:val="hybridMultilevel"/>
    <w:tmpl w:val="7ABCF8D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1">
    <w:nsid w:val="46EF72CA"/>
    <w:multiLevelType w:val="hybridMultilevel"/>
    <w:tmpl w:val="54665714"/>
    <w:lvl w:ilvl="0" w:tplc="15AE26AE">
      <w:start w:val="1"/>
      <w:numFmt w:val="decimal"/>
      <w:lvlText w:val="%1."/>
      <w:lvlJc w:val="left"/>
      <w:pPr>
        <w:ind w:left="900" w:hanging="360"/>
      </w:pPr>
      <w:rPr>
        <w:rFonts w:ascii="Tahoma" w:hAnsi="Tahoma" w:cs="Tahoma"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2">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3">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4">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494A5A09"/>
    <w:multiLevelType w:val="hybridMultilevel"/>
    <w:tmpl w:val="CB6C81B0"/>
    <w:lvl w:ilvl="0" w:tplc="D902DDBC">
      <w:start w:val="1"/>
      <w:numFmt w:val="bullet"/>
      <w:lvlText w:val=""/>
      <w:lvlJc w:val="left"/>
      <w:pPr>
        <w:ind w:left="2160" w:hanging="360"/>
      </w:pPr>
      <w:rPr>
        <w:rFonts w:ascii="Webdings" w:hAnsi="Webdings" w:hint="default"/>
        <w:b w:val="0"/>
        <w:i w:val="0"/>
        <w:color w:val="FF6600"/>
        <w:sz w:val="24"/>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6">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7">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79">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1">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3">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403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4">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54657F15"/>
    <w:multiLevelType w:val="hybridMultilevel"/>
    <w:tmpl w:val="5378B16A"/>
    <w:lvl w:ilvl="0" w:tplc="D902DDBC">
      <w:start w:val="1"/>
      <w:numFmt w:val="bullet"/>
      <w:lvlText w:val=""/>
      <w:lvlJc w:val="left"/>
      <w:pPr>
        <w:ind w:left="2160" w:hanging="360"/>
      </w:pPr>
      <w:rPr>
        <w:rFonts w:ascii="Webdings" w:hAnsi="Webdings" w:hint="default"/>
        <w:b w:val="0"/>
        <w:i w:val="0"/>
        <w:color w:val="FF6600"/>
        <w:sz w:val="24"/>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6">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08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87">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58FB6F88"/>
    <w:multiLevelType w:val="hybridMultilevel"/>
    <w:tmpl w:val="73A6424C"/>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9">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0">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1">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5BB27E92"/>
    <w:multiLevelType w:val="hybridMultilevel"/>
    <w:tmpl w:val="0330C520"/>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9F74922A">
      <w:start w:val="1"/>
      <w:numFmt w:val="lowerRoman"/>
      <w:lvlText w:val="%3."/>
      <w:lvlJc w:val="lef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3">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95">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6">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7">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98">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99">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2">
    <w:nsid w:val="66576913"/>
    <w:multiLevelType w:val="hybridMultilevel"/>
    <w:tmpl w:val="76A618E6"/>
    <w:lvl w:ilvl="0" w:tplc="D902DDBC">
      <w:start w:val="1"/>
      <w:numFmt w:val="bullet"/>
      <w:lvlText w:val=""/>
      <w:lvlJc w:val="left"/>
      <w:pPr>
        <w:ind w:left="2160" w:hanging="360"/>
      </w:pPr>
      <w:rPr>
        <w:rFonts w:ascii="Webdings" w:hAnsi="Webdings" w:hint="default"/>
        <w:b w:val="0"/>
        <w:i w:val="0"/>
        <w:color w:val="FF6600"/>
        <w:sz w:val="24"/>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03">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4">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05">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6">
    <w:nsid w:val="69FB1030"/>
    <w:multiLevelType w:val="hybridMultilevel"/>
    <w:tmpl w:val="6E460BCC"/>
    <w:lvl w:ilvl="0" w:tplc="04090003">
      <w:start w:val="1"/>
      <w:numFmt w:val="bullet"/>
      <w:lvlText w:val="o"/>
      <w:lvlJc w:val="left"/>
      <w:pPr>
        <w:ind w:left="3600" w:hanging="360"/>
      </w:pPr>
      <w:rPr>
        <w:rFonts w:ascii="Courier New" w:hAnsi="Courier New" w:cs="Courier New"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07">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8">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9">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nsid w:val="6B2C4D22"/>
    <w:multiLevelType w:val="hybridMultilevel"/>
    <w:tmpl w:val="C2AE1D14"/>
    <w:lvl w:ilvl="0" w:tplc="D902DDBC">
      <w:start w:val="1"/>
      <w:numFmt w:val="bullet"/>
      <w:lvlText w:val=""/>
      <w:lvlJc w:val="left"/>
      <w:pPr>
        <w:ind w:left="720" w:hanging="360"/>
      </w:pPr>
      <w:rPr>
        <w:rFonts w:ascii="Webdings" w:hAnsi="Webdings" w:hint="default"/>
        <w:b w:val="0"/>
        <w:i w:val="0"/>
        <w:color w:val="FF6600"/>
        <w:sz w:val="24"/>
      </w:rPr>
    </w:lvl>
    <w:lvl w:ilvl="1" w:tplc="DA4AC5D4">
      <w:start w:val="1"/>
      <w:numFmt w:val="decimal"/>
      <w:lvlText w:val="%2."/>
      <w:lvlJc w:val="left"/>
      <w:pPr>
        <w:tabs>
          <w:tab w:val="num" w:pos="1440"/>
        </w:tabs>
        <w:ind w:left="1440" w:hanging="360"/>
      </w:pPr>
      <w:rPr>
        <w:b/>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3">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5">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6">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7">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18">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0">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1">
    <w:nsid w:val="76155754"/>
    <w:multiLevelType w:val="hybridMultilevel"/>
    <w:tmpl w:val="44EC7766"/>
    <w:lvl w:ilvl="0" w:tplc="B99AE6E2">
      <w:start w:val="1"/>
      <w:numFmt w:val="lowerLetter"/>
      <w:lvlText w:val="%1."/>
      <w:lvlJc w:val="left"/>
      <w:pPr>
        <w:ind w:left="720" w:hanging="360"/>
      </w:pPr>
      <w:rPr>
        <w:rFonts w:hint="default"/>
        <w:b w:val="0"/>
      </w:rPr>
    </w:lvl>
    <w:lvl w:ilvl="1" w:tplc="1D9084AC">
      <w:start w:val="1"/>
      <w:numFmt w:val="bullet"/>
      <w:lvlText w:val=""/>
      <w:lvlJc w:val="left"/>
      <w:pPr>
        <w:ind w:left="1440" w:hanging="360"/>
      </w:pPr>
      <w:rPr>
        <w:rFonts w:ascii="Symbol" w:hAnsi="Symbol" w:hint="default"/>
        <w:sz w:val="18"/>
        <w:szCs w:val="18"/>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2">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4">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5">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7">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8">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9">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nsid w:val="7DFE5D93"/>
    <w:multiLevelType w:val="hybridMultilevel"/>
    <w:tmpl w:val="34F4BE94"/>
    <w:lvl w:ilvl="0" w:tplc="04090003">
      <w:start w:val="1"/>
      <w:numFmt w:val="bullet"/>
      <w:lvlText w:val="o"/>
      <w:lvlJc w:val="left"/>
      <w:pPr>
        <w:ind w:left="3600" w:hanging="360"/>
      </w:pPr>
      <w:rPr>
        <w:rFonts w:ascii="Courier New" w:hAnsi="Courier New" w:cs="Courier New"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1">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2">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nsid w:val="7FCB52A0"/>
    <w:multiLevelType w:val="hybridMultilevel"/>
    <w:tmpl w:val="287A2304"/>
    <w:lvl w:ilvl="0" w:tplc="04090003">
      <w:start w:val="1"/>
      <w:numFmt w:val="bullet"/>
      <w:lvlText w:val="o"/>
      <w:lvlJc w:val="left"/>
      <w:pPr>
        <w:ind w:left="3600" w:hanging="360"/>
      </w:pPr>
      <w:rPr>
        <w:rFonts w:ascii="Courier New" w:hAnsi="Courier New" w:cs="Courier New"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5">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36">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2"/>
  </w:num>
  <w:num w:numId="2">
    <w:abstractNumId w:val="34"/>
  </w:num>
  <w:num w:numId="3">
    <w:abstractNumId w:val="117"/>
  </w:num>
  <w:num w:numId="4">
    <w:abstractNumId w:val="1"/>
  </w:num>
  <w:num w:numId="5">
    <w:abstractNumId w:val="11"/>
  </w:num>
  <w:num w:numId="6">
    <w:abstractNumId w:val="127"/>
  </w:num>
  <w:num w:numId="7">
    <w:abstractNumId w:val="0"/>
  </w:num>
  <w:num w:numId="8">
    <w:abstractNumId w:val="120"/>
  </w:num>
  <w:num w:numId="9">
    <w:abstractNumId w:val="63"/>
  </w:num>
  <w:num w:numId="10">
    <w:abstractNumId w:val="136"/>
  </w:num>
  <w:num w:numId="11">
    <w:abstractNumId w:val="125"/>
  </w:num>
  <w:num w:numId="12">
    <w:abstractNumId w:val="105"/>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8"/>
  </w:num>
  <w:num w:numId="14">
    <w:abstractNumId w:val="72"/>
  </w:num>
  <w:num w:numId="15">
    <w:abstractNumId w:val="21"/>
  </w:num>
  <w:num w:numId="16">
    <w:abstractNumId w:val="26"/>
  </w:num>
  <w:num w:numId="17">
    <w:abstractNumId w:val="118"/>
  </w:num>
  <w:num w:numId="18">
    <w:abstractNumId w:val="1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6"/>
  </w:num>
  <w:num w:numId="20">
    <w:abstractNumId w:val="47"/>
  </w:num>
  <w:num w:numId="21">
    <w:abstractNumId w:val="73"/>
  </w:num>
  <w:num w:numId="22">
    <w:abstractNumId w:val="99"/>
  </w:num>
  <w:num w:numId="23">
    <w:abstractNumId w:val="43"/>
  </w:num>
  <w:num w:numId="24">
    <w:abstractNumId w:val="55"/>
  </w:num>
  <w:num w:numId="25">
    <w:abstractNumId w:val="53"/>
  </w:num>
  <w:num w:numId="26">
    <w:abstractNumId w:val="38"/>
  </w:num>
  <w:num w:numId="27">
    <w:abstractNumId w:val="8"/>
  </w:num>
  <w:num w:numId="28">
    <w:abstractNumId w:val="105"/>
  </w:num>
  <w:num w:numId="29">
    <w:abstractNumId w:val="103"/>
  </w:num>
  <w:num w:numId="30">
    <w:abstractNumId w:val="82"/>
  </w:num>
  <w:num w:numId="31">
    <w:abstractNumId w:val="44"/>
  </w:num>
  <w:num w:numId="32">
    <w:abstractNumId w:val="131"/>
  </w:num>
  <w:num w:numId="33">
    <w:abstractNumId w:val="123"/>
  </w:num>
  <w:num w:numId="34">
    <w:abstractNumId w:val="114"/>
  </w:num>
  <w:num w:numId="35">
    <w:abstractNumId w:val="7"/>
  </w:num>
  <w:num w:numId="36">
    <w:abstractNumId w:val="97"/>
  </w:num>
  <w:num w:numId="37">
    <w:abstractNumId w:val="15"/>
  </w:num>
  <w:num w:numId="38">
    <w:abstractNumId w:val="35"/>
  </w:num>
  <w:num w:numId="39">
    <w:abstractNumId w:val="46"/>
  </w:num>
  <w:num w:numId="40">
    <w:abstractNumId w:val="23"/>
  </w:num>
  <w:num w:numId="41">
    <w:abstractNumId w:val="31"/>
  </w:num>
  <w:num w:numId="42">
    <w:abstractNumId w:val="81"/>
  </w:num>
  <w:num w:numId="43">
    <w:abstractNumId w:val="29"/>
  </w:num>
  <w:num w:numId="44">
    <w:abstractNumId w:val="79"/>
  </w:num>
  <w:num w:numId="45">
    <w:abstractNumId w:val="122"/>
  </w:num>
  <w:num w:numId="46">
    <w:abstractNumId w:val="113"/>
  </w:num>
  <w:num w:numId="47">
    <w:abstractNumId w:val="104"/>
  </w:num>
  <w:num w:numId="48">
    <w:abstractNumId w:val="41"/>
  </w:num>
  <w:num w:numId="49">
    <w:abstractNumId w:val="84"/>
  </w:num>
  <w:num w:numId="50">
    <w:abstractNumId w:val="17"/>
  </w:num>
  <w:num w:numId="51">
    <w:abstractNumId w:val="60"/>
  </w:num>
  <w:num w:numId="52">
    <w:abstractNumId w:val="30"/>
  </w:num>
  <w:num w:numId="53">
    <w:abstractNumId w:val="92"/>
  </w:num>
  <w:num w:numId="54">
    <w:abstractNumId w:val="2"/>
  </w:num>
  <w:num w:numId="55">
    <w:abstractNumId w:val="10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91"/>
  </w:num>
  <w:num w:numId="57">
    <w:abstractNumId w:val="40"/>
  </w:num>
  <w:num w:numId="58">
    <w:abstractNumId w:val="54"/>
  </w:num>
  <w:num w:numId="59">
    <w:abstractNumId w:val="108"/>
  </w:num>
  <w:num w:numId="60">
    <w:abstractNumId w:val="24"/>
  </w:num>
  <w:num w:numId="61">
    <w:abstractNumId w:val="9"/>
  </w:num>
  <w:num w:numId="62">
    <w:abstractNumId w:val="20"/>
  </w:num>
  <w:num w:numId="63">
    <w:abstractNumId w:val="132"/>
  </w:num>
  <w:num w:numId="64">
    <w:abstractNumId w:val="71"/>
  </w:num>
  <w:num w:numId="65">
    <w:abstractNumId w:val="112"/>
  </w:num>
  <w:num w:numId="66">
    <w:abstractNumId w:val="65"/>
  </w:num>
  <w:num w:numId="67">
    <w:abstractNumId w:val="50"/>
  </w:num>
  <w:num w:numId="68">
    <w:abstractNumId w:val="95"/>
  </w:num>
  <w:num w:numId="69">
    <w:abstractNumId w:val="94"/>
  </w:num>
  <w:num w:numId="70">
    <w:abstractNumId w:val="10"/>
  </w:num>
  <w:num w:numId="71">
    <w:abstractNumId w:val="90"/>
  </w:num>
  <w:num w:numId="72">
    <w:abstractNumId w:val="107"/>
  </w:num>
  <w:num w:numId="73">
    <w:abstractNumId w:val="111"/>
  </w:num>
  <w:num w:numId="74">
    <w:abstractNumId w:val="80"/>
  </w:num>
  <w:num w:numId="75">
    <w:abstractNumId w:val="98"/>
  </w:num>
  <w:num w:numId="76">
    <w:abstractNumId w:val="76"/>
  </w:num>
  <w:num w:numId="77">
    <w:abstractNumId w:val="129"/>
  </w:num>
  <w:num w:numId="78">
    <w:abstractNumId w:val="68"/>
  </w:num>
  <w:num w:numId="79">
    <w:abstractNumId w:val="77"/>
  </w:num>
  <w:num w:numId="80">
    <w:abstractNumId w:val="16"/>
  </w:num>
  <w:num w:numId="81">
    <w:abstractNumId w:val="56"/>
  </w:num>
  <w:num w:numId="82">
    <w:abstractNumId w:val="14"/>
  </w:num>
  <w:num w:numId="83">
    <w:abstractNumId w:val="39"/>
  </w:num>
  <w:num w:numId="84">
    <w:abstractNumId w:val="124"/>
  </w:num>
  <w:num w:numId="85">
    <w:abstractNumId w:val="67"/>
  </w:num>
  <w:num w:numId="86">
    <w:abstractNumId w:val="33"/>
  </w:num>
  <w:num w:numId="87">
    <w:abstractNumId w:val="83"/>
  </w:num>
  <w:num w:numId="88">
    <w:abstractNumId w:val="48"/>
  </w:num>
  <w:num w:numId="89">
    <w:abstractNumId w:val="18"/>
  </w:num>
  <w:num w:numId="90">
    <w:abstractNumId w:val="52"/>
  </w:num>
  <w:num w:numId="91">
    <w:abstractNumId w:val="135"/>
  </w:num>
  <w:num w:numId="92">
    <w:abstractNumId w:val="133"/>
  </w:num>
  <w:num w:numId="93">
    <w:abstractNumId w:val="59"/>
  </w:num>
  <w:num w:numId="94">
    <w:abstractNumId w:val="70"/>
  </w:num>
  <w:num w:numId="95">
    <w:abstractNumId w:val="3"/>
  </w:num>
  <w:num w:numId="96">
    <w:abstractNumId w:val="93"/>
  </w:num>
  <w:num w:numId="97">
    <w:abstractNumId w:val="28"/>
  </w:num>
  <w:num w:numId="98">
    <w:abstractNumId w:val="121"/>
  </w:num>
  <w:num w:numId="99">
    <w:abstractNumId w:val="101"/>
  </w:num>
  <w:num w:numId="100">
    <w:abstractNumId w:val="5"/>
  </w:num>
  <w:num w:numId="101">
    <w:abstractNumId w:val="131"/>
  </w:num>
  <w:num w:numId="102">
    <w:abstractNumId w:val="88"/>
  </w:num>
  <w:num w:numId="103">
    <w:abstractNumId w:val="64"/>
  </w:num>
  <w:num w:numId="104">
    <w:abstractNumId w:val="4"/>
  </w:num>
  <w:num w:numId="105">
    <w:abstractNumId w:val="51"/>
  </w:num>
  <w:num w:numId="106">
    <w:abstractNumId w:val="69"/>
  </w:num>
  <w:num w:numId="107">
    <w:abstractNumId w:val="87"/>
  </w:num>
  <w:num w:numId="108">
    <w:abstractNumId w:val="109"/>
  </w:num>
  <w:num w:numId="109">
    <w:abstractNumId w:val="19"/>
  </w:num>
  <w:num w:numId="110">
    <w:abstractNumId w:val="100"/>
  </w:num>
  <w:num w:numId="111">
    <w:abstractNumId w:val="115"/>
  </w:num>
  <w:num w:numId="112">
    <w:abstractNumId w:val="13"/>
  </w:num>
  <w:num w:numId="113">
    <w:abstractNumId w:val="110"/>
  </w:num>
  <w:num w:numId="114">
    <w:abstractNumId w:val="36"/>
  </w:num>
  <w:num w:numId="115">
    <w:abstractNumId w:val="126"/>
  </w:num>
  <w:num w:numId="116">
    <w:abstractNumId w:val="89"/>
  </w:num>
  <w:num w:numId="117">
    <w:abstractNumId w:val="6"/>
  </w:num>
  <w:num w:numId="118">
    <w:abstractNumId w:val="12"/>
  </w:num>
  <w:num w:numId="119">
    <w:abstractNumId w:val="96"/>
  </w:num>
  <w:num w:numId="120">
    <w:abstractNumId w:val="22"/>
  </w:num>
  <w:num w:numId="121">
    <w:abstractNumId w:val="78"/>
  </w:num>
  <w:num w:numId="122">
    <w:abstractNumId w:val="57"/>
  </w:num>
  <w:num w:numId="123">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4">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32"/>
    <w:lvlOverride w:ilvl="0"/>
    <w:lvlOverride w:ilvl="1">
      <w:startOverride w:val="1"/>
    </w:lvlOverride>
    <w:lvlOverride w:ilvl="2"/>
    <w:lvlOverride w:ilvl="3"/>
    <w:lvlOverride w:ilvl="4"/>
    <w:lvlOverride w:ilvl="5"/>
    <w:lvlOverride w:ilvl="6"/>
    <w:lvlOverride w:ilvl="7"/>
    <w:lvlOverride w:ilvl="8"/>
  </w:num>
  <w:num w:numId="126">
    <w:abstractNumId w:val="74"/>
  </w:num>
  <w:num w:numId="127">
    <w:abstractNumId w:val="49"/>
  </w:num>
  <w:num w:numId="128">
    <w:abstractNumId w:val="86"/>
  </w:num>
  <w:num w:numId="129">
    <w:abstractNumId w:val="119"/>
  </w:num>
  <w:num w:numId="130">
    <w:abstractNumId w:val="58"/>
  </w:num>
  <w:num w:numId="131">
    <w:abstractNumId w:val="37"/>
  </w:num>
  <w:num w:numId="132">
    <w:abstractNumId w:val="134"/>
  </w:num>
  <w:num w:numId="133">
    <w:abstractNumId w:val="27"/>
  </w:num>
  <w:num w:numId="134">
    <w:abstractNumId w:val="42"/>
  </w:num>
  <w:num w:numId="135">
    <w:abstractNumId w:val="102"/>
  </w:num>
  <w:num w:numId="136">
    <w:abstractNumId w:val="61"/>
  </w:num>
  <w:num w:numId="137">
    <w:abstractNumId w:val="130"/>
  </w:num>
  <w:num w:numId="138">
    <w:abstractNumId w:val="85"/>
  </w:num>
  <w:num w:numId="139">
    <w:abstractNumId w:val="106"/>
  </w:num>
  <w:num w:numId="140">
    <w:abstractNumId w:val="75"/>
  </w:num>
  <w:num w:numId="141">
    <w:abstractNumId w:val="66"/>
  </w:num>
  <w:numIdMacAtCleanup w:val="1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documentProtection w:edit="readOnly" w:formatting="1" w:enforcement="1" w:cryptProviderType="rsaAES" w:cryptAlgorithmClass="hash" w:cryptAlgorithmType="typeAny" w:cryptAlgorithmSid="14" w:cryptSpinCount="100000" w:hash="jlRFd/4HWPSZ2xJUuLoATUBtv0UiOt+sGck1IuhFG3/P2RAJ27AEgdXS3NDWfdK1VgxKmDA+CXo/FS0RGydcmA==" w:salt="dpzTZAHxtMDSuLQSqWrGwg=="/>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A9A"/>
    <w:rsid w:val="00002C0B"/>
    <w:rsid w:val="00003601"/>
    <w:rsid w:val="00003D41"/>
    <w:rsid w:val="00004568"/>
    <w:rsid w:val="00004998"/>
    <w:rsid w:val="0000615E"/>
    <w:rsid w:val="00006372"/>
    <w:rsid w:val="00007875"/>
    <w:rsid w:val="000100BC"/>
    <w:rsid w:val="00010442"/>
    <w:rsid w:val="000114ED"/>
    <w:rsid w:val="00011954"/>
    <w:rsid w:val="00011E31"/>
    <w:rsid w:val="00012D48"/>
    <w:rsid w:val="00013F1B"/>
    <w:rsid w:val="00014083"/>
    <w:rsid w:val="000148B4"/>
    <w:rsid w:val="00014EAD"/>
    <w:rsid w:val="000158EE"/>
    <w:rsid w:val="0001744D"/>
    <w:rsid w:val="0002020C"/>
    <w:rsid w:val="00021544"/>
    <w:rsid w:val="000225E7"/>
    <w:rsid w:val="00022FBE"/>
    <w:rsid w:val="000232D9"/>
    <w:rsid w:val="00023FE7"/>
    <w:rsid w:val="00024C3C"/>
    <w:rsid w:val="00024DF4"/>
    <w:rsid w:val="00024FB1"/>
    <w:rsid w:val="00025419"/>
    <w:rsid w:val="00026546"/>
    <w:rsid w:val="0003011A"/>
    <w:rsid w:val="0003031D"/>
    <w:rsid w:val="000306B4"/>
    <w:rsid w:val="00031547"/>
    <w:rsid w:val="00031ABF"/>
    <w:rsid w:val="00032193"/>
    <w:rsid w:val="000334F1"/>
    <w:rsid w:val="0003388B"/>
    <w:rsid w:val="00033B0F"/>
    <w:rsid w:val="00033D02"/>
    <w:rsid w:val="000345A0"/>
    <w:rsid w:val="00036150"/>
    <w:rsid w:val="000365B0"/>
    <w:rsid w:val="00036B96"/>
    <w:rsid w:val="00037C05"/>
    <w:rsid w:val="0004051B"/>
    <w:rsid w:val="00040ADC"/>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5132C"/>
    <w:rsid w:val="00051AA6"/>
    <w:rsid w:val="0005221F"/>
    <w:rsid w:val="00052441"/>
    <w:rsid w:val="00052BF4"/>
    <w:rsid w:val="00052DA2"/>
    <w:rsid w:val="00053F31"/>
    <w:rsid w:val="00054811"/>
    <w:rsid w:val="000553EE"/>
    <w:rsid w:val="0005574D"/>
    <w:rsid w:val="00055EFD"/>
    <w:rsid w:val="00056DDF"/>
    <w:rsid w:val="00056E58"/>
    <w:rsid w:val="00060959"/>
    <w:rsid w:val="00061A45"/>
    <w:rsid w:val="00061A6E"/>
    <w:rsid w:val="000626C8"/>
    <w:rsid w:val="000658AA"/>
    <w:rsid w:val="00066528"/>
    <w:rsid w:val="00067AB1"/>
    <w:rsid w:val="00070945"/>
    <w:rsid w:val="0007160C"/>
    <w:rsid w:val="00071922"/>
    <w:rsid w:val="0007218F"/>
    <w:rsid w:val="000731D9"/>
    <w:rsid w:val="00074BB0"/>
    <w:rsid w:val="00074E4E"/>
    <w:rsid w:val="0007557E"/>
    <w:rsid w:val="000756F1"/>
    <w:rsid w:val="0007693E"/>
    <w:rsid w:val="00076CB4"/>
    <w:rsid w:val="000773D2"/>
    <w:rsid w:val="00077BAC"/>
    <w:rsid w:val="00077CE5"/>
    <w:rsid w:val="0008036A"/>
    <w:rsid w:val="00080982"/>
    <w:rsid w:val="00080AD1"/>
    <w:rsid w:val="00080B33"/>
    <w:rsid w:val="00081AEC"/>
    <w:rsid w:val="00081C19"/>
    <w:rsid w:val="00082458"/>
    <w:rsid w:val="00082CBC"/>
    <w:rsid w:val="0008414D"/>
    <w:rsid w:val="000841C9"/>
    <w:rsid w:val="0008452D"/>
    <w:rsid w:val="00084B9E"/>
    <w:rsid w:val="00085002"/>
    <w:rsid w:val="00085C3C"/>
    <w:rsid w:val="00087380"/>
    <w:rsid w:val="000907C7"/>
    <w:rsid w:val="000908B0"/>
    <w:rsid w:val="0009153E"/>
    <w:rsid w:val="00091558"/>
    <w:rsid w:val="000916C1"/>
    <w:rsid w:val="000916C5"/>
    <w:rsid w:val="00092855"/>
    <w:rsid w:val="00092E9E"/>
    <w:rsid w:val="00092F30"/>
    <w:rsid w:val="000935B1"/>
    <w:rsid w:val="000937BB"/>
    <w:rsid w:val="00094035"/>
    <w:rsid w:val="000945E1"/>
    <w:rsid w:val="00095F5D"/>
    <w:rsid w:val="00096CB5"/>
    <w:rsid w:val="00097B90"/>
    <w:rsid w:val="00097C8C"/>
    <w:rsid w:val="000A0435"/>
    <w:rsid w:val="000A090F"/>
    <w:rsid w:val="000A18AA"/>
    <w:rsid w:val="000A1CD9"/>
    <w:rsid w:val="000A2519"/>
    <w:rsid w:val="000A2923"/>
    <w:rsid w:val="000A297A"/>
    <w:rsid w:val="000A29B6"/>
    <w:rsid w:val="000A305F"/>
    <w:rsid w:val="000A30EE"/>
    <w:rsid w:val="000A35F8"/>
    <w:rsid w:val="000A3C7D"/>
    <w:rsid w:val="000A3CF8"/>
    <w:rsid w:val="000A5032"/>
    <w:rsid w:val="000A5857"/>
    <w:rsid w:val="000A6EF5"/>
    <w:rsid w:val="000A6FAA"/>
    <w:rsid w:val="000B0696"/>
    <w:rsid w:val="000B0A08"/>
    <w:rsid w:val="000B0A66"/>
    <w:rsid w:val="000B0B0D"/>
    <w:rsid w:val="000B0C6D"/>
    <w:rsid w:val="000B2451"/>
    <w:rsid w:val="000B291D"/>
    <w:rsid w:val="000B2DFF"/>
    <w:rsid w:val="000B326B"/>
    <w:rsid w:val="000B3EED"/>
    <w:rsid w:val="000B4C49"/>
    <w:rsid w:val="000B4E0C"/>
    <w:rsid w:val="000B536E"/>
    <w:rsid w:val="000B5A31"/>
    <w:rsid w:val="000B668F"/>
    <w:rsid w:val="000B6DE0"/>
    <w:rsid w:val="000B7662"/>
    <w:rsid w:val="000B780A"/>
    <w:rsid w:val="000C03F3"/>
    <w:rsid w:val="000C0FBE"/>
    <w:rsid w:val="000C185F"/>
    <w:rsid w:val="000C2842"/>
    <w:rsid w:val="000C2964"/>
    <w:rsid w:val="000C29EA"/>
    <w:rsid w:val="000C32C3"/>
    <w:rsid w:val="000C3CB1"/>
    <w:rsid w:val="000C4911"/>
    <w:rsid w:val="000C622E"/>
    <w:rsid w:val="000C6865"/>
    <w:rsid w:val="000C6A47"/>
    <w:rsid w:val="000C72FC"/>
    <w:rsid w:val="000C79A2"/>
    <w:rsid w:val="000C7C7E"/>
    <w:rsid w:val="000D158E"/>
    <w:rsid w:val="000D17D6"/>
    <w:rsid w:val="000D2804"/>
    <w:rsid w:val="000D399F"/>
    <w:rsid w:val="000D4008"/>
    <w:rsid w:val="000D454E"/>
    <w:rsid w:val="000D4ECA"/>
    <w:rsid w:val="000D5E2F"/>
    <w:rsid w:val="000D5F24"/>
    <w:rsid w:val="000D747C"/>
    <w:rsid w:val="000D76F0"/>
    <w:rsid w:val="000D77DE"/>
    <w:rsid w:val="000E04C0"/>
    <w:rsid w:val="000E1172"/>
    <w:rsid w:val="000E1409"/>
    <w:rsid w:val="000E260B"/>
    <w:rsid w:val="000E29CF"/>
    <w:rsid w:val="000E3AE4"/>
    <w:rsid w:val="000E3B21"/>
    <w:rsid w:val="000E485A"/>
    <w:rsid w:val="000E5145"/>
    <w:rsid w:val="000E6103"/>
    <w:rsid w:val="000E658A"/>
    <w:rsid w:val="000E6728"/>
    <w:rsid w:val="000E6875"/>
    <w:rsid w:val="000E6B57"/>
    <w:rsid w:val="000E6E21"/>
    <w:rsid w:val="000F0642"/>
    <w:rsid w:val="000F0F4D"/>
    <w:rsid w:val="000F11BD"/>
    <w:rsid w:val="000F1ECA"/>
    <w:rsid w:val="000F3974"/>
    <w:rsid w:val="000F3F74"/>
    <w:rsid w:val="000F4E3B"/>
    <w:rsid w:val="000F59F6"/>
    <w:rsid w:val="000F6E5D"/>
    <w:rsid w:val="000F76E5"/>
    <w:rsid w:val="000F798B"/>
    <w:rsid w:val="00101859"/>
    <w:rsid w:val="00101CDD"/>
    <w:rsid w:val="00102035"/>
    <w:rsid w:val="00102195"/>
    <w:rsid w:val="001026FD"/>
    <w:rsid w:val="001039B4"/>
    <w:rsid w:val="00103AD5"/>
    <w:rsid w:val="00103B11"/>
    <w:rsid w:val="00104195"/>
    <w:rsid w:val="00104475"/>
    <w:rsid w:val="00104DE2"/>
    <w:rsid w:val="001051D1"/>
    <w:rsid w:val="001063EC"/>
    <w:rsid w:val="001106F5"/>
    <w:rsid w:val="00110AFB"/>
    <w:rsid w:val="00110E1D"/>
    <w:rsid w:val="001123CB"/>
    <w:rsid w:val="001126D7"/>
    <w:rsid w:val="001126E7"/>
    <w:rsid w:val="0011332E"/>
    <w:rsid w:val="001134F8"/>
    <w:rsid w:val="00113634"/>
    <w:rsid w:val="00113665"/>
    <w:rsid w:val="001136F4"/>
    <w:rsid w:val="00113EC1"/>
    <w:rsid w:val="001140EF"/>
    <w:rsid w:val="001154B5"/>
    <w:rsid w:val="00116222"/>
    <w:rsid w:val="00116978"/>
    <w:rsid w:val="00116EDC"/>
    <w:rsid w:val="00117112"/>
    <w:rsid w:val="00117255"/>
    <w:rsid w:val="001178E8"/>
    <w:rsid w:val="00117B4A"/>
    <w:rsid w:val="0012017F"/>
    <w:rsid w:val="00120E91"/>
    <w:rsid w:val="00122092"/>
    <w:rsid w:val="00122483"/>
    <w:rsid w:val="00123558"/>
    <w:rsid w:val="001253FF"/>
    <w:rsid w:val="00125604"/>
    <w:rsid w:val="00125610"/>
    <w:rsid w:val="00126292"/>
    <w:rsid w:val="001265B4"/>
    <w:rsid w:val="001279BA"/>
    <w:rsid w:val="00127FA7"/>
    <w:rsid w:val="00130278"/>
    <w:rsid w:val="00131042"/>
    <w:rsid w:val="001310D5"/>
    <w:rsid w:val="001319AE"/>
    <w:rsid w:val="001323B9"/>
    <w:rsid w:val="001327D3"/>
    <w:rsid w:val="00132E08"/>
    <w:rsid w:val="00133069"/>
    <w:rsid w:val="0013361B"/>
    <w:rsid w:val="00133A4B"/>
    <w:rsid w:val="00133C80"/>
    <w:rsid w:val="00134960"/>
    <w:rsid w:val="00135D5F"/>
    <w:rsid w:val="001363A0"/>
    <w:rsid w:val="00136585"/>
    <w:rsid w:val="0013786B"/>
    <w:rsid w:val="00140080"/>
    <w:rsid w:val="00140178"/>
    <w:rsid w:val="001409EF"/>
    <w:rsid w:val="00140B67"/>
    <w:rsid w:val="001414E7"/>
    <w:rsid w:val="00141DA5"/>
    <w:rsid w:val="001422CD"/>
    <w:rsid w:val="00142FC4"/>
    <w:rsid w:val="00143512"/>
    <w:rsid w:val="00143CF6"/>
    <w:rsid w:val="00145507"/>
    <w:rsid w:val="00145E67"/>
    <w:rsid w:val="00145EAD"/>
    <w:rsid w:val="0014632E"/>
    <w:rsid w:val="00146FC7"/>
    <w:rsid w:val="001472CD"/>
    <w:rsid w:val="001475EA"/>
    <w:rsid w:val="00151496"/>
    <w:rsid w:val="00152361"/>
    <w:rsid w:val="00152FCC"/>
    <w:rsid w:val="001538D0"/>
    <w:rsid w:val="00154676"/>
    <w:rsid w:val="00155B9B"/>
    <w:rsid w:val="00155ECD"/>
    <w:rsid w:val="00156AE7"/>
    <w:rsid w:val="0016067A"/>
    <w:rsid w:val="00160C27"/>
    <w:rsid w:val="00162A93"/>
    <w:rsid w:val="00163658"/>
    <w:rsid w:val="00163848"/>
    <w:rsid w:val="00164103"/>
    <w:rsid w:val="00164CEB"/>
    <w:rsid w:val="001652F4"/>
    <w:rsid w:val="00166F21"/>
    <w:rsid w:val="00167B61"/>
    <w:rsid w:val="00167C0C"/>
    <w:rsid w:val="00170085"/>
    <w:rsid w:val="001704C2"/>
    <w:rsid w:val="00170933"/>
    <w:rsid w:val="00170ABC"/>
    <w:rsid w:val="00170CFB"/>
    <w:rsid w:val="001712B4"/>
    <w:rsid w:val="00171817"/>
    <w:rsid w:val="00171927"/>
    <w:rsid w:val="00172CBA"/>
    <w:rsid w:val="0017320F"/>
    <w:rsid w:val="00173A20"/>
    <w:rsid w:val="00174410"/>
    <w:rsid w:val="001744C9"/>
    <w:rsid w:val="001748E9"/>
    <w:rsid w:val="00174DCD"/>
    <w:rsid w:val="0017535D"/>
    <w:rsid w:val="00175615"/>
    <w:rsid w:val="001758DD"/>
    <w:rsid w:val="00175CDF"/>
    <w:rsid w:val="00175FBE"/>
    <w:rsid w:val="00176237"/>
    <w:rsid w:val="00176313"/>
    <w:rsid w:val="00177824"/>
    <w:rsid w:val="00177D4C"/>
    <w:rsid w:val="00180075"/>
    <w:rsid w:val="00180424"/>
    <w:rsid w:val="00180F86"/>
    <w:rsid w:val="00181545"/>
    <w:rsid w:val="00181EAB"/>
    <w:rsid w:val="001820B4"/>
    <w:rsid w:val="00183E7C"/>
    <w:rsid w:val="0018541C"/>
    <w:rsid w:val="001858AD"/>
    <w:rsid w:val="001866F1"/>
    <w:rsid w:val="00186EDB"/>
    <w:rsid w:val="00186F02"/>
    <w:rsid w:val="001870C2"/>
    <w:rsid w:val="00187499"/>
    <w:rsid w:val="00187AF7"/>
    <w:rsid w:val="00190F66"/>
    <w:rsid w:val="00191CEA"/>
    <w:rsid w:val="00192764"/>
    <w:rsid w:val="00192935"/>
    <w:rsid w:val="00192C6E"/>
    <w:rsid w:val="0019370F"/>
    <w:rsid w:val="00193F9C"/>
    <w:rsid w:val="00194002"/>
    <w:rsid w:val="00194AA4"/>
    <w:rsid w:val="00194DAF"/>
    <w:rsid w:val="00194E01"/>
    <w:rsid w:val="00196024"/>
    <w:rsid w:val="00196176"/>
    <w:rsid w:val="00196F45"/>
    <w:rsid w:val="0019770C"/>
    <w:rsid w:val="0019788A"/>
    <w:rsid w:val="001978C7"/>
    <w:rsid w:val="001979E9"/>
    <w:rsid w:val="001A2663"/>
    <w:rsid w:val="001A3069"/>
    <w:rsid w:val="001A3367"/>
    <w:rsid w:val="001A5DFA"/>
    <w:rsid w:val="001A63C6"/>
    <w:rsid w:val="001B035A"/>
    <w:rsid w:val="001B15A5"/>
    <w:rsid w:val="001B1DB9"/>
    <w:rsid w:val="001B1F6A"/>
    <w:rsid w:val="001B3397"/>
    <w:rsid w:val="001B4E4D"/>
    <w:rsid w:val="001B4F17"/>
    <w:rsid w:val="001B6FC8"/>
    <w:rsid w:val="001B7889"/>
    <w:rsid w:val="001B7CC3"/>
    <w:rsid w:val="001B7E60"/>
    <w:rsid w:val="001C032E"/>
    <w:rsid w:val="001C076E"/>
    <w:rsid w:val="001C0B01"/>
    <w:rsid w:val="001C123D"/>
    <w:rsid w:val="001C1727"/>
    <w:rsid w:val="001C17FF"/>
    <w:rsid w:val="001C20C9"/>
    <w:rsid w:val="001C310B"/>
    <w:rsid w:val="001C369B"/>
    <w:rsid w:val="001C38D4"/>
    <w:rsid w:val="001C4AC1"/>
    <w:rsid w:val="001C5084"/>
    <w:rsid w:val="001C5F2F"/>
    <w:rsid w:val="001C600A"/>
    <w:rsid w:val="001C67C8"/>
    <w:rsid w:val="001C6D08"/>
    <w:rsid w:val="001C776C"/>
    <w:rsid w:val="001C7F24"/>
    <w:rsid w:val="001D0A5E"/>
    <w:rsid w:val="001D0D87"/>
    <w:rsid w:val="001D100C"/>
    <w:rsid w:val="001D1F41"/>
    <w:rsid w:val="001D1FFD"/>
    <w:rsid w:val="001D214E"/>
    <w:rsid w:val="001D2CFE"/>
    <w:rsid w:val="001D3F04"/>
    <w:rsid w:val="001D4FDC"/>
    <w:rsid w:val="001D5585"/>
    <w:rsid w:val="001D5998"/>
    <w:rsid w:val="001D6143"/>
    <w:rsid w:val="001D63C2"/>
    <w:rsid w:val="001D6B0C"/>
    <w:rsid w:val="001D7A2C"/>
    <w:rsid w:val="001D7FAC"/>
    <w:rsid w:val="001E0933"/>
    <w:rsid w:val="001E2538"/>
    <w:rsid w:val="001E2E9C"/>
    <w:rsid w:val="001E3357"/>
    <w:rsid w:val="001E385C"/>
    <w:rsid w:val="001E397B"/>
    <w:rsid w:val="001E3F07"/>
    <w:rsid w:val="001E3F7D"/>
    <w:rsid w:val="001E4504"/>
    <w:rsid w:val="001E49BB"/>
    <w:rsid w:val="001E4FB3"/>
    <w:rsid w:val="001E5519"/>
    <w:rsid w:val="001E68E2"/>
    <w:rsid w:val="001E6946"/>
    <w:rsid w:val="001E6B57"/>
    <w:rsid w:val="001E7990"/>
    <w:rsid w:val="001E79DE"/>
    <w:rsid w:val="001E7B2F"/>
    <w:rsid w:val="001E7C5F"/>
    <w:rsid w:val="001F09EE"/>
    <w:rsid w:val="001F3114"/>
    <w:rsid w:val="001F45C4"/>
    <w:rsid w:val="001F52D2"/>
    <w:rsid w:val="001F63D6"/>
    <w:rsid w:val="001F67F9"/>
    <w:rsid w:val="001F71F2"/>
    <w:rsid w:val="001F7D56"/>
    <w:rsid w:val="0020051A"/>
    <w:rsid w:val="002015BC"/>
    <w:rsid w:val="00202A44"/>
    <w:rsid w:val="002030E1"/>
    <w:rsid w:val="00204AFE"/>
    <w:rsid w:val="00204D6D"/>
    <w:rsid w:val="00205C65"/>
    <w:rsid w:val="002065C2"/>
    <w:rsid w:val="0020722E"/>
    <w:rsid w:val="00207514"/>
    <w:rsid w:val="00207CB0"/>
    <w:rsid w:val="00210104"/>
    <w:rsid w:val="002101B4"/>
    <w:rsid w:val="00210C37"/>
    <w:rsid w:val="00210C85"/>
    <w:rsid w:val="0021235A"/>
    <w:rsid w:val="00212786"/>
    <w:rsid w:val="00212C87"/>
    <w:rsid w:val="00212CC6"/>
    <w:rsid w:val="002147C1"/>
    <w:rsid w:val="00214B8A"/>
    <w:rsid w:val="00215176"/>
    <w:rsid w:val="002153AF"/>
    <w:rsid w:val="00215BB0"/>
    <w:rsid w:val="002160EB"/>
    <w:rsid w:val="0021637C"/>
    <w:rsid w:val="002169A8"/>
    <w:rsid w:val="00216BFE"/>
    <w:rsid w:val="002171BB"/>
    <w:rsid w:val="002171C3"/>
    <w:rsid w:val="0021735C"/>
    <w:rsid w:val="002202DB"/>
    <w:rsid w:val="002213E6"/>
    <w:rsid w:val="00221971"/>
    <w:rsid w:val="00221A57"/>
    <w:rsid w:val="00222404"/>
    <w:rsid w:val="00222641"/>
    <w:rsid w:val="00222B90"/>
    <w:rsid w:val="0022394B"/>
    <w:rsid w:val="00223A77"/>
    <w:rsid w:val="0022500A"/>
    <w:rsid w:val="002253A3"/>
    <w:rsid w:val="00226DE5"/>
    <w:rsid w:val="00226E5F"/>
    <w:rsid w:val="002278A3"/>
    <w:rsid w:val="00230134"/>
    <w:rsid w:val="00230E01"/>
    <w:rsid w:val="00231EAF"/>
    <w:rsid w:val="00232756"/>
    <w:rsid w:val="00232775"/>
    <w:rsid w:val="00232DA9"/>
    <w:rsid w:val="002333B5"/>
    <w:rsid w:val="00233A1E"/>
    <w:rsid w:val="00233B9E"/>
    <w:rsid w:val="0023411E"/>
    <w:rsid w:val="002347F5"/>
    <w:rsid w:val="002367D3"/>
    <w:rsid w:val="00237686"/>
    <w:rsid w:val="00241434"/>
    <w:rsid w:val="00241602"/>
    <w:rsid w:val="00241885"/>
    <w:rsid w:val="00242218"/>
    <w:rsid w:val="00242B11"/>
    <w:rsid w:val="00243B33"/>
    <w:rsid w:val="00243E0C"/>
    <w:rsid w:val="00244608"/>
    <w:rsid w:val="00244E57"/>
    <w:rsid w:val="0024509C"/>
    <w:rsid w:val="00245448"/>
    <w:rsid w:val="002460AD"/>
    <w:rsid w:val="00246341"/>
    <w:rsid w:val="002463ED"/>
    <w:rsid w:val="00246B25"/>
    <w:rsid w:val="00246BBF"/>
    <w:rsid w:val="00246DB2"/>
    <w:rsid w:val="00247A55"/>
    <w:rsid w:val="0025016C"/>
    <w:rsid w:val="0025087E"/>
    <w:rsid w:val="00251243"/>
    <w:rsid w:val="0025128E"/>
    <w:rsid w:val="002512D3"/>
    <w:rsid w:val="00252230"/>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693"/>
    <w:rsid w:val="0026153D"/>
    <w:rsid w:val="002620FA"/>
    <w:rsid w:val="00263B62"/>
    <w:rsid w:val="00264630"/>
    <w:rsid w:val="0026584E"/>
    <w:rsid w:val="0026606F"/>
    <w:rsid w:val="00266AF5"/>
    <w:rsid w:val="00266F0E"/>
    <w:rsid w:val="0026723A"/>
    <w:rsid w:val="002677F5"/>
    <w:rsid w:val="00267F87"/>
    <w:rsid w:val="0027028A"/>
    <w:rsid w:val="00270612"/>
    <w:rsid w:val="00270850"/>
    <w:rsid w:val="00270EBE"/>
    <w:rsid w:val="00270F92"/>
    <w:rsid w:val="00272869"/>
    <w:rsid w:val="00272E63"/>
    <w:rsid w:val="00273685"/>
    <w:rsid w:val="00273C3F"/>
    <w:rsid w:val="002751F6"/>
    <w:rsid w:val="00276586"/>
    <w:rsid w:val="002765CF"/>
    <w:rsid w:val="00277145"/>
    <w:rsid w:val="0028033C"/>
    <w:rsid w:val="00280A25"/>
    <w:rsid w:val="00281B6E"/>
    <w:rsid w:val="0028230A"/>
    <w:rsid w:val="00283A4E"/>
    <w:rsid w:val="002849A2"/>
    <w:rsid w:val="002854D4"/>
    <w:rsid w:val="00285547"/>
    <w:rsid w:val="0028591B"/>
    <w:rsid w:val="00285E3D"/>
    <w:rsid w:val="00285EE8"/>
    <w:rsid w:val="002868EB"/>
    <w:rsid w:val="00287571"/>
    <w:rsid w:val="00287725"/>
    <w:rsid w:val="00287758"/>
    <w:rsid w:val="00287C64"/>
    <w:rsid w:val="00290203"/>
    <w:rsid w:val="00290BBF"/>
    <w:rsid w:val="00290FC1"/>
    <w:rsid w:val="002917A6"/>
    <w:rsid w:val="00292088"/>
    <w:rsid w:val="0029223A"/>
    <w:rsid w:val="0029286E"/>
    <w:rsid w:val="00292C42"/>
    <w:rsid w:val="00292C57"/>
    <w:rsid w:val="002932AB"/>
    <w:rsid w:val="00293B24"/>
    <w:rsid w:val="00296925"/>
    <w:rsid w:val="00296B89"/>
    <w:rsid w:val="00297F37"/>
    <w:rsid w:val="00297FA5"/>
    <w:rsid w:val="002A01C2"/>
    <w:rsid w:val="002A0D4F"/>
    <w:rsid w:val="002A1564"/>
    <w:rsid w:val="002A1F73"/>
    <w:rsid w:val="002A3022"/>
    <w:rsid w:val="002A3988"/>
    <w:rsid w:val="002A3AE6"/>
    <w:rsid w:val="002A4105"/>
    <w:rsid w:val="002A4AA5"/>
    <w:rsid w:val="002A4C9D"/>
    <w:rsid w:val="002A5CC2"/>
    <w:rsid w:val="002A6416"/>
    <w:rsid w:val="002A6E97"/>
    <w:rsid w:val="002A732F"/>
    <w:rsid w:val="002A760F"/>
    <w:rsid w:val="002A77B9"/>
    <w:rsid w:val="002B131B"/>
    <w:rsid w:val="002B1778"/>
    <w:rsid w:val="002B1F45"/>
    <w:rsid w:val="002B202E"/>
    <w:rsid w:val="002B2A1D"/>
    <w:rsid w:val="002B2CD8"/>
    <w:rsid w:val="002B2F57"/>
    <w:rsid w:val="002B327C"/>
    <w:rsid w:val="002B4A9E"/>
    <w:rsid w:val="002B4E5D"/>
    <w:rsid w:val="002B547C"/>
    <w:rsid w:val="002B7094"/>
    <w:rsid w:val="002B75CB"/>
    <w:rsid w:val="002C0225"/>
    <w:rsid w:val="002C0CE1"/>
    <w:rsid w:val="002C1048"/>
    <w:rsid w:val="002C1899"/>
    <w:rsid w:val="002C1A50"/>
    <w:rsid w:val="002C3AB1"/>
    <w:rsid w:val="002C3D8E"/>
    <w:rsid w:val="002C4982"/>
    <w:rsid w:val="002C509B"/>
    <w:rsid w:val="002C5316"/>
    <w:rsid w:val="002C5924"/>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25C8"/>
    <w:rsid w:val="002D2868"/>
    <w:rsid w:val="002D2B17"/>
    <w:rsid w:val="002D2F62"/>
    <w:rsid w:val="002D32B4"/>
    <w:rsid w:val="002D3549"/>
    <w:rsid w:val="002D35ED"/>
    <w:rsid w:val="002D44E5"/>
    <w:rsid w:val="002D4631"/>
    <w:rsid w:val="002D49FA"/>
    <w:rsid w:val="002D4B5C"/>
    <w:rsid w:val="002D4F11"/>
    <w:rsid w:val="002D5129"/>
    <w:rsid w:val="002D6313"/>
    <w:rsid w:val="002D69ED"/>
    <w:rsid w:val="002D7742"/>
    <w:rsid w:val="002D7A4B"/>
    <w:rsid w:val="002D7B73"/>
    <w:rsid w:val="002E0D98"/>
    <w:rsid w:val="002E125F"/>
    <w:rsid w:val="002E2254"/>
    <w:rsid w:val="002E2A3F"/>
    <w:rsid w:val="002E2ABD"/>
    <w:rsid w:val="002E4298"/>
    <w:rsid w:val="002E57CF"/>
    <w:rsid w:val="002E593F"/>
    <w:rsid w:val="002E59B1"/>
    <w:rsid w:val="002E5D03"/>
    <w:rsid w:val="002E5D67"/>
    <w:rsid w:val="002E5D6D"/>
    <w:rsid w:val="002E5E33"/>
    <w:rsid w:val="002E5F5A"/>
    <w:rsid w:val="002E6007"/>
    <w:rsid w:val="002E7045"/>
    <w:rsid w:val="002F0729"/>
    <w:rsid w:val="002F0DD0"/>
    <w:rsid w:val="002F2267"/>
    <w:rsid w:val="002F3152"/>
    <w:rsid w:val="002F357B"/>
    <w:rsid w:val="002F3836"/>
    <w:rsid w:val="002F39A5"/>
    <w:rsid w:val="002F4C7C"/>
    <w:rsid w:val="002F529F"/>
    <w:rsid w:val="002F5899"/>
    <w:rsid w:val="002F6A24"/>
    <w:rsid w:val="002F7203"/>
    <w:rsid w:val="002F72EC"/>
    <w:rsid w:val="002F7FB8"/>
    <w:rsid w:val="003009F1"/>
    <w:rsid w:val="00301E95"/>
    <w:rsid w:val="00302B84"/>
    <w:rsid w:val="00303BEB"/>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394C"/>
    <w:rsid w:val="00313B0C"/>
    <w:rsid w:val="003151E6"/>
    <w:rsid w:val="00315993"/>
    <w:rsid w:val="00315E11"/>
    <w:rsid w:val="003165D1"/>
    <w:rsid w:val="003165D6"/>
    <w:rsid w:val="003166AD"/>
    <w:rsid w:val="00316AE2"/>
    <w:rsid w:val="00316E24"/>
    <w:rsid w:val="003171B3"/>
    <w:rsid w:val="00320142"/>
    <w:rsid w:val="003205B6"/>
    <w:rsid w:val="00320613"/>
    <w:rsid w:val="0032113C"/>
    <w:rsid w:val="003219D2"/>
    <w:rsid w:val="00322128"/>
    <w:rsid w:val="00322275"/>
    <w:rsid w:val="003225E4"/>
    <w:rsid w:val="00324479"/>
    <w:rsid w:val="0032469E"/>
    <w:rsid w:val="00325BA0"/>
    <w:rsid w:val="00325E60"/>
    <w:rsid w:val="00326833"/>
    <w:rsid w:val="00326BBD"/>
    <w:rsid w:val="00326EF7"/>
    <w:rsid w:val="00326F85"/>
    <w:rsid w:val="00330CD4"/>
    <w:rsid w:val="00331198"/>
    <w:rsid w:val="0033167A"/>
    <w:rsid w:val="00333A0E"/>
    <w:rsid w:val="00333F2F"/>
    <w:rsid w:val="00333F5B"/>
    <w:rsid w:val="00334E27"/>
    <w:rsid w:val="00335046"/>
    <w:rsid w:val="0033513B"/>
    <w:rsid w:val="00335DFB"/>
    <w:rsid w:val="00336BCA"/>
    <w:rsid w:val="0033725C"/>
    <w:rsid w:val="00340532"/>
    <w:rsid w:val="00341566"/>
    <w:rsid w:val="003418C5"/>
    <w:rsid w:val="0034219A"/>
    <w:rsid w:val="00342DA2"/>
    <w:rsid w:val="0034327C"/>
    <w:rsid w:val="00343704"/>
    <w:rsid w:val="00343942"/>
    <w:rsid w:val="00343FB1"/>
    <w:rsid w:val="003440F5"/>
    <w:rsid w:val="003444EE"/>
    <w:rsid w:val="003459B2"/>
    <w:rsid w:val="0034661A"/>
    <w:rsid w:val="00346E96"/>
    <w:rsid w:val="003479E5"/>
    <w:rsid w:val="00350DD3"/>
    <w:rsid w:val="00351735"/>
    <w:rsid w:val="00352135"/>
    <w:rsid w:val="00352A3A"/>
    <w:rsid w:val="00352C7B"/>
    <w:rsid w:val="00352CAD"/>
    <w:rsid w:val="0035314F"/>
    <w:rsid w:val="003537B9"/>
    <w:rsid w:val="00353C5E"/>
    <w:rsid w:val="003540FA"/>
    <w:rsid w:val="00354AE9"/>
    <w:rsid w:val="00354DAE"/>
    <w:rsid w:val="00356611"/>
    <w:rsid w:val="00356FF4"/>
    <w:rsid w:val="003573CD"/>
    <w:rsid w:val="00360354"/>
    <w:rsid w:val="0036063B"/>
    <w:rsid w:val="00360EB5"/>
    <w:rsid w:val="00361638"/>
    <w:rsid w:val="00361D7F"/>
    <w:rsid w:val="003623C3"/>
    <w:rsid w:val="0036280B"/>
    <w:rsid w:val="00363AFF"/>
    <w:rsid w:val="003647E8"/>
    <w:rsid w:val="003649D6"/>
    <w:rsid w:val="00365312"/>
    <w:rsid w:val="0036588D"/>
    <w:rsid w:val="00365BAB"/>
    <w:rsid w:val="00366502"/>
    <w:rsid w:val="0036654E"/>
    <w:rsid w:val="00366AD8"/>
    <w:rsid w:val="00366B48"/>
    <w:rsid w:val="0036768F"/>
    <w:rsid w:val="00367AD0"/>
    <w:rsid w:val="00367CCF"/>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6971"/>
    <w:rsid w:val="00376D4B"/>
    <w:rsid w:val="003778C4"/>
    <w:rsid w:val="00380363"/>
    <w:rsid w:val="00380B94"/>
    <w:rsid w:val="0038120B"/>
    <w:rsid w:val="00381B33"/>
    <w:rsid w:val="00381F2E"/>
    <w:rsid w:val="0038336A"/>
    <w:rsid w:val="00384940"/>
    <w:rsid w:val="00384B84"/>
    <w:rsid w:val="00385301"/>
    <w:rsid w:val="003856C2"/>
    <w:rsid w:val="00385965"/>
    <w:rsid w:val="00385C82"/>
    <w:rsid w:val="00386BEC"/>
    <w:rsid w:val="00387529"/>
    <w:rsid w:val="003878D1"/>
    <w:rsid w:val="00390C51"/>
    <w:rsid w:val="00391057"/>
    <w:rsid w:val="00391582"/>
    <w:rsid w:val="00391808"/>
    <w:rsid w:val="00391D38"/>
    <w:rsid w:val="003929D1"/>
    <w:rsid w:val="00392C7E"/>
    <w:rsid w:val="00393979"/>
    <w:rsid w:val="00393D1D"/>
    <w:rsid w:val="00394278"/>
    <w:rsid w:val="003949A0"/>
    <w:rsid w:val="00394D2B"/>
    <w:rsid w:val="00394D71"/>
    <w:rsid w:val="003967CE"/>
    <w:rsid w:val="003971A9"/>
    <w:rsid w:val="0039729F"/>
    <w:rsid w:val="003979B4"/>
    <w:rsid w:val="003A018B"/>
    <w:rsid w:val="003A0416"/>
    <w:rsid w:val="003A1126"/>
    <w:rsid w:val="003A1942"/>
    <w:rsid w:val="003A1B3A"/>
    <w:rsid w:val="003A1CA4"/>
    <w:rsid w:val="003A31B1"/>
    <w:rsid w:val="003A3231"/>
    <w:rsid w:val="003A458C"/>
    <w:rsid w:val="003A49DB"/>
    <w:rsid w:val="003A49FF"/>
    <w:rsid w:val="003A5169"/>
    <w:rsid w:val="003A51E7"/>
    <w:rsid w:val="003A5ABA"/>
    <w:rsid w:val="003A5C76"/>
    <w:rsid w:val="003A6F89"/>
    <w:rsid w:val="003B0EE7"/>
    <w:rsid w:val="003B23CC"/>
    <w:rsid w:val="003B2A44"/>
    <w:rsid w:val="003B51F2"/>
    <w:rsid w:val="003B5406"/>
    <w:rsid w:val="003B662E"/>
    <w:rsid w:val="003B6B28"/>
    <w:rsid w:val="003B700F"/>
    <w:rsid w:val="003B7853"/>
    <w:rsid w:val="003B7B3B"/>
    <w:rsid w:val="003C0F0E"/>
    <w:rsid w:val="003C1510"/>
    <w:rsid w:val="003C1BA8"/>
    <w:rsid w:val="003C206D"/>
    <w:rsid w:val="003C207C"/>
    <w:rsid w:val="003C23A4"/>
    <w:rsid w:val="003C2D30"/>
    <w:rsid w:val="003C30E5"/>
    <w:rsid w:val="003C494C"/>
    <w:rsid w:val="003C56F1"/>
    <w:rsid w:val="003C5DC1"/>
    <w:rsid w:val="003C5E0F"/>
    <w:rsid w:val="003C5E74"/>
    <w:rsid w:val="003C62DA"/>
    <w:rsid w:val="003C64D1"/>
    <w:rsid w:val="003C65F4"/>
    <w:rsid w:val="003C6BA5"/>
    <w:rsid w:val="003C75C8"/>
    <w:rsid w:val="003D0252"/>
    <w:rsid w:val="003D1150"/>
    <w:rsid w:val="003D1247"/>
    <w:rsid w:val="003D1E74"/>
    <w:rsid w:val="003D2CC8"/>
    <w:rsid w:val="003D2E23"/>
    <w:rsid w:val="003D30FE"/>
    <w:rsid w:val="003D6D98"/>
    <w:rsid w:val="003D6FBE"/>
    <w:rsid w:val="003E12EE"/>
    <w:rsid w:val="003E1512"/>
    <w:rsid w:val="003E2151"/>
    <w:rsid w:val="003E2317"/>
    <w:rsid w:val="003E3E1F"/>
    <w:rsid w:val="003E3FAF"/>
    <w:rsid w:val="003E450D"/>
    <w:rsid w:val="003E4B2F"/>
    <w:rsid w:val="003E5902"/>
    <w:rsid w:val="003E59A4"/>
    <w:rsid w:val="003E606C"/>
    <w:rsid w:val="003F1CB9"/>
    <w:rsid w:val="003F1F7D"/>
    <w:rsid w:val="003F2CC6"/>
    <w:rsid w:val="003F3395"/>
    <w:rsid w:val="003F4204"/>
    <w:rsid w:val="003F46E2"/>
    <w:rsid w:val="003F47CB"/>
    <w:rsid w:val="003F518F"/>
    <w:rsid w:val="003F704E"/>
    <w:rsid w:val="003F775B"/>
    <w:rsid w:val="004000C7"/>
    <w:rsid w:val="004001C8"/>
    <w:rsid w:val="00403042"/>
    <w:rsid w:val="004030D1"/>
    <w:rsid w:val="004031C2"/>
    <w:rsid w:val="0040483A"/>
    <w:rsid w:val="00404F05"/>
    <w:rsid w:val="00405284"/>
    <w:rsid w:val="004055B8"/>
    <w:rsid w:val="00405AFC"/>
    <w:rsid w:val="0040633A"/>
    <w:rsid w:val="0040640C"/>
    <w:rsid w:val="004069A4"/>
    <w:rsid w:val="004069D6"/>
    <w:rsid w:val="00406CB0"/>
    <w:rsid w:val="00406FF6"/>
    <w:rsid w:val="0040728D"/>
    <w:rsid w:val="0040741A"/>
    <w:rsid w:val="0040770B"/>
    <w:rsid w:val="0041078A"/>
    <w:rsid w:val="004127FF"/>
    <w:rsid w:val="00412AB4"/>
    <w:rsid w:val="00413E22"/>
    <w:rsid w:val="00414BFD"/>
    <w:rsid w:val="00415DD4"/>
    <w:rsid w:val="00415DDA"/>
    <w:rsid w:val="00416294"/>
    <w:rsid w:val="004162C6"/>
    <w:rsid w:val="0041691B"/>
    <w:rsid w:val="00417910"/>
    <w:rsid w:val="00417BCF"/>
    <w:rsid w:val="0042122F"/>
    <w:rsid w:val="00421658"/>
    <w:rsid w:val="00421D4A"/>
    <w:rsid w:val="004226E4"/>
    <w:rsid w:val="00423037"/>
    <w:rsid w:val="004233A7"/>
    <w:rsid w:val="00423932"/>
    <w:rsid w:val="004239C6"/>
    <w:rsid w:val="00424658"/>
    <w:rsid w:val="00425511"/>
    <w:rsid w:val="00426DA7"/>
    <w:rsid w:val="00427571"/>
    <w:rsid w:val="00427B69"/>
    <w:rsid w:val="00430C3B"/>
    <w:rsid w:val="0043109C"/>
    <w:rsid w:val="0043190C"/>
    <w:rsid w:val="00431BC1"/>
    <w:rsid w:val="00431FC7"/>
    <w:rsid w:val="004320D3"/>
    <w:rsid w:val="004323B9"/>
    <w:rsid w:val="0043242A"/>
    <w:rsid w:val="0043356D"/>
    <w:rsid w:val="00433F5F"/>
    <w:rsid w:val="004342E4"/>
    <w:rsid w:val="0043570B"/>
    <w:rsid w:val="00435C04"/>
    <w:rsid w:val="00435C70"/>
    <w:rsid w:val="00436016"/>
    <w:rsid w:val="00436DB5"/>
    <w:rsid w:val="0043735F"/>
    <w:rsid w:val="004376EF"/>
    <w:rsid w:val="004400D1"/>
    <w:rsid w:val="004403C3"/>
    <w:rsid w:val="00440467"/>
    <w:rsid w:val="00441451"/>
    <w:rsid w:val="00442076"/>
    <w:rsid w:val="00442B9E"/>
    <w:rsid w:val="004441AA"/>
    <w:rsid w:val="00444705"/>
    <w:rsid w:val="00444DBD"/>
    <w:rsid w:val="004459F7"/>
    <w:rsid w:val="00445EDB"/>
    <w:rsid w:val="0044720D"/>
    <w:rsid w:val="004475DC"/>
    <w:rsid w:val="004479EA"/>
    <w:rsid w:val="00447A83"/>
    <w:rsid w:val="00447EFD"/>
    <w:rsid w:val="004501E3"/>
    <w:rsid w:val="004503B5"/>
    <w:rsid w:val="00450E9B"/>
    <w:rsid w:val="00450ECC"/>
    <w:rsid w:val="00451119"/>
    <w:rsid w:val="004534A2"/>
    <w:rsid w:val="004535CD"/>
    <w:rsid w:val="00453CAC"/>
    <w:rsid w:val="0045507F"/>
    <w:rsid w:val="0045538F"/>
    <w:rsid w:val="0045566F"/>
    <w:rsid w:val="00455EBA"/>
    <w:rsid w:val="00456002"/>
    <w:rsid w:val="004562D0"/>
    <w:rsid w:val="00456DA0"/>
    <w:rsid w:val="004574E9"/>
    <w:rsid w:val="00457812"/>
    <w:rsid w:val="00460103"/>
    <w:rsid w:val="00460F50"/>
    <w:rsid w:val="00461127"/>
    <w:rsid w:val="00461CA9"/>
    <w:rsid w:val="00461DCE"/>
    <w:rsid w:val="00462493"/>
    <w:rsid w:val="004627EA"/>
    <w:rsid w:val="004640EC"/>
    <w:rsid w:val="004641BD"/>
    <w:rsid w:val="004641FD"/>
    <w:rsid w:val="004648B5"/>
    <w:rsid w:val="00465757"/>
    <w:rsid w:val="00465ECA"/>
    <w:rsid w:val="004663C4"/>
    <w:rsid w:val="004668D9"/>
    <w:rsid w:val="00466D83"/>
    <w:rsid w:val="004705FE"/>
    <w:rsid w:val="004710F7"/>
    <w:rsid w:val="004718AA"/>
    <w:rsid w:val="00471E7E"/>
    <w:rsid w:val="00472642"/>
    <w:rsid w:val="00472D3F"/>
    <w:rsid w:val="00472DFD"/>
    <w:rsid w:val="00473147"/>
    <w:rsid w:val="004743D2"/>
    <w:rsid w:val="00475147"/>
    <w:rsid w:val="004759C6"/>
    <w:rsid w:val="00475BDD"/>
    <w:rsid w:val="004768FA"/>
    <w:rsid w:val="00477B4D"/>
    <w:rsid w:val="00480342"/>
    <w:rsid w:val="00480790"/>
    <w:rsid w:val="00481427"/>
    <w:rsid w:val="004815F3"/>
    <w:rsid w:val="00482570"/>
    <w:rsid w:val="00482DE6"/>
    <w:rsid w:val="00483440"/>
    <w:rsid w:val="004839BE"/>
    <w:rsid w:val="00483B3D"/>
    <w:rsid w:val="00485D95"/>
    <w:rsid w:val="0048622D"/>
    <w:rsid w:val="00486715"/>
    <w:rsid w:val="00486CB6"/>
    <w:rsid w:val="00486E38"/>
    <w:rsid w:val="00486E5E"/>
    <w:rsid w:val="00487D97"/>
    <w:rsid w:val="00487E86"/>
    <w:rsid w:val="0049002C"/>
    <w:rsid w:val="00490295"/>
    <w:rsid w:val="004915E2"/>
    <w:rsid w:val="0049160B"/>
    <w:rsid w:val="00491DAC"/>
    <w:rsid w:val="004923F4"/>
    <w:rsid w:val="00492CC9"/>
    <w:rsid w:val="00492D0E"/>
    <w:rsid w:val="00492E6C"/>
    <w:rsid w:val="004941B2"/>
    <w:rsid w:val="004945FA"/>
    <w:rsid w:val="004952CF"/>
    <w:rsid w:val="00495319"/>
    <w:rsid w:val="00495425"/>
    <w:rsid w:val="00495E53"/>
    <w:rsid w:val="00496B43"/>
    <w:rsid w:val="00496B5E"/>
    <w:rsid w:val="0049721F"/>
    <w:rsid w:val="00497ADA"/>
    <w:rsid w:val="00497FE7"/>
    <w:rsid w:val="004A2FC2"/>
    <w:rsid w:val="004A3509"/>
    <w:rsid w:val="004A4D28"/>
    <w:rsid w:val="004A59D9"/>
    <w:rsid w:val="004A61EB"/>
    <w:rsid w:val="004A6CA0"/>
    <w:rsid w:val="004A7161"/>
    <w:rsid w:val="004B1508"/>
    <w:rsid w:val="004B18A8"/>
    <w:rsid w:val="004B1F7C"/>
    <w:rsid w:val="004B24A1"/>
    <w:rsid w:val="004B26A3"/>
    <w:rsid w:val="004B2B65"/>
    <w:rsid w:val="004B2EFF"/>
    <w:rsid w:val="004B3534"/>
    <w:rsid w:val="004B45C9"/>
    <w:rsid w:val="004B4A25"/>
    <w:rsid w:val="004B4C79"/>
    <w:rsid w:val="004B4FB2"/>
    <w:rsid w:val="004B52C0"/>
    <w:rsid w:val="004B54F7"/>
    <w:rsid w:val="004B6AE3"/>
    <w:rsid w:val="004B6D8C"/>
    <w:rsid w:val="004B6FB5"/>
    <w:rsid w:val="004C02A6"/>
    <w:rsid w:val="004C044B"/>
    <w:rsid w:val="004C0807"/>
    <w:rsid w:val="004C0863"/>
    <w:rsid w:val="004C08A3"/>
    <w:rsid w:val="004C303E"/>
    <w:rsid w:val="004C3222"/>
    <w:rsid w:val="004C3498"/>
    <w:rsid w:val="004C3B47"/>
    <w:rsid w:val="004C426F"/>
    <w:rsid w:val="004C4510"/>
    <w:rsid w:val="004C5BA4"/>
    <w:rsid w:val="004C5DAD"/>
    <w:rsid w:val="004C6855"/>
    <w:rsid w:val="004C6967"/>
    <w:rsid w:val="004C6C84"/>
    <w:rsid w:val="004C76CE"/>
    <w:rsid w:val="004C7AD8"/>
    <w:rsid w:val="004D0019"/>
    <w:rsid w:val="004D013C"/>
    <w:rsid w:val="004D0693"/>
    <w:rsid w:val="004D0C83"/>
    <w:rsid w:val="004D0CEB"/>
    <w:rsid w:val="004D199A"/>
    <w:rsid w:val="004D2744"/>
    <w:rsid w:val="004D2B62"/>
    <w:rsid w:val="004D2DE9"/>
    <w:rsid w:val="004D35C8"/>
    <w:rsid w:val="004D4391"/>
    <w:rsid w:val="004D4D43"/>
    <w:rsid w:val="004D6031"/>
    <w:rsid w:val="004D6777"/>
    <w:rsid w:val="004D6A4B"/>
    <w:rsid w:val="004D700D"/>
    <w:rsid w:val="004D7614"/>
    <w:rsid w:val="004D7623"/>
    <w:rsid w:val="004D776B"/>
    <w:rsid w:val="004D7976"/>
    <w:rsid w:val="004E0773"/>
    <w:rsid w:val="004E0852"/>
    <w:rsid w:val="004E12B8"/>
    <w:rsid w:val="004E292A"/>
    <w:rsid w:val="004E3869"/>
    <w:rsid w:val="004E39EB"/>
    <w:rsid w:val="004E47C0"/>
    <w:rsid w:val="004E500E"/>
    <w:rsid w:val="004E51E2"/>
    <w:rsid w:val="004E53C5"/>
    <w:rsid w:val="004E5CA1"/>
    <w:rsid w:val="004E5F2F"/>
    <w:rsid w:val="004E68DB"/>
    <w:rsid w:val="004E71FA"/>
    <w:rsid w:val="004F0CAE"/>
    <w:rsid w:val="004F0EC1"/>
    <w:rsid w:val="004F2028"/>
    <w:rsid w:val="004F235C"/>
    <w:rsid w:val="004F2699"/>
    <w:rsid w:val="004F2A57"/>
    <w:rsid w:val="004F3129"/>
    <w:rsid w:val="004F3ACA"/>
    <w:rsid w:val="004F4191"/>
    <w:rsid w:val="004F477D"/>
    <w:rsid w:val="004F4C82"/>
    <w:rsid w:val="004F4DA9"/>
    <w:rsid w:val="004F4E1C"/>
    <w:rsid w:val="004F4E3E"/>
    <w:rsid w:val="004F4F12"/>
    <w:rsid w:val="004F5490"/>
    <w:rsid w:val="004F5F68"/>
    <w:rsid w:val="004F614B"/>
    <w:rsid w:val="004F64BC"/>
    <w:rsid w:val="004F746C"/>
    <w:rsid w:val="00500078"/>
    <w:rsid w:val="005005BD"/>
    <w:rsid w:val="00500C5B"/>
    <w:rsid w:val="00500CD4"/>
    <w:rsid w:val="00500F34"/>
    <w:rsid w:val="0050116B"/>
    <w:rsid w:val="00501264"/>
    <w:rsid w:val="00502827"/>
    <w:rsid w:val="00502B35"/>
    <w:rsid w:val="00504E26"/>
    <w:rsid w:val="00505148"/>
    <w:rsid w:val="00506100"/>
    <w:rsid w:val="0050647F"/>
    <w:rsid w:val="005072B0"/>
    <w:rsid w:val="005108D1"/>
    <w:rsid w:val="00510F6B"/>
    <w:rsid w:val="00511357"/>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8A"/>
    <w:rsid w:val="00517CA2"/>
    <w:rsid w:val="005204B6"/>
    <w:rsid w:val="0052392B"/>
    <w:rsid w:val="0052396A"/>
    <w:rsid w:val="005242EC"/>
    <w:rsid w:val="00524896"/>
    <w:rsid w:val="00524E8F"/>
    <w:rsid w:val="00526303"/>
    <w:rsid w:val="005263D9"/>
    <w:rsid w:val="00526480"/>
    <w:rsid w:val="00526ADC"/>
    <w:rsid w:val="005272FA"/>
    <w:rsid w:val="00527D48"/>
    <w:rsid w:val="00527E76"/>
    <w:rsid w:val="0053106B"/>
    <w:rsid w:val="00532266"/>
    <w:rsid w:val="00532ABF"/>
    <w:rsid w:val="00532DA7"/>
    <w:rsid w:val="005339E8"/>
    <w:rsid w:val="0053437B"/>
    <w:rsid w:val="005347E9"/>
    <w:rsid w:val="0053527A"/>
    <w:rsid w:val="00535341"/>
    <w:rsid w:val="00536751"/>
    <w:rsid w:val="00536D3F"/>
    <w:rsid w:val="00536DE4"/>
    <w:rsid w:val="0053721D"/>
    <w:rsid w:val="0053725A"/>
    <w:rsid w:val="005403C8"/>
    <w:rsid w:val="00540A41"/>
    <w:rsid w:val="00540AE3"/>
    <w:rsid w:val="00540BCE"/>
    <w:rsid w:val="00541611"/>
    <w:rsid w:val="00541898"/>
    <w:rsid w:val="005427B6"/>
    <w:rsid w:val="00542BF0"/>
    <w:rsid w:val="00543542"/>
    <w:rsid w:val="00543693"/>
    <w:rsid w:val="00543AD9"/>
    <w:rsid w:val="005447B0"/>
    <w:rsid w:val="00544D50"/>
    <w:rsid w:val="00544F15"/>
    <w:rsid w:val="0054507B"/>
    <w:rsid w:val="0054515F"/>
    <w:rsid w:val="00545EC6"/>
    <w:rsid w:val="0054609D"/>
    <w:rsid w:val="00546475"/>
    <w:rsid w:val="00546749"/>
    <w:rsid w:val="00547F49"/>
    <w:rsid w:val="00547FE0"/>
    <w:rsid w:val="005500D9"/>
    <w:rsid w:val="00551367"/>
    <w:rsid w:val="00551705"/>
    <w:rsid w:val="00551EAB"/>
    <w:rsid w:val="0055283C"/>
    <w:rsid w:val="00553066"/>
    <w:rsid w:val="0055378E"/>
    <w:rsid w:val="00553E7E"/>
    <w:rsid w:val="00554295"/>
    <w:rsid w:val="0055442E"/>
    <w:rsid w:val="0055452D"/>
    <w:rsid w:val="00554926"/>
    <w:rsid w:val="00554A35"/>
    <w:rsid w:val="00554A7E"/>
    <w:rsid w:val="0055558B"/>
    <w:rsid w:val="00555986"/>
    <w:rsid w:val="0055611F"/>
    <w:rsid w:val="00556199"/>
    <w:rsid w:val="00556BD3"/>
    <w:rsid w:val="0055736D"/>
    <w:rsid w:val="005579B8"/>
    <w:rsid w:val="00560523"/>
    <w:rsid w:val="00560A10"/>
    <w:rsid w:val="005614CA"/>
    <w:rsid w:val="005626ED"/>
    <w:rsid w:val="00562D59"/>
    <w:rsid w:val="005634CD"/>
    <w:rsid w:val="00563625"/>
    <w:rsid w:val="00563C0E"/>
    <w:rsid w:val="00564246"/>
    <w:rsid w:val="005648A8"/>
    <w:rsid w:val="00565005"/>
    <w:rsid w:val="005658ED"/>
    <w:rsid w:val="0056594B"/>
    <w:rsid w:val="0057005F"/>
    <w:rsid w:val="005708F0"/>
    <w:rsid w:val="0057135E"/>
    <w:rsid w:val="0057194A"/>
    <w:rsid w:val="00572128"/>
    <w:rsid w:val="0057389D"/>
    <w:rsid w:val="00573A2D"/>
    <w:rsid w:val="00573BA8"/>
    <w:rsid w:val="00573F9E"/>
    <w:rsid w:val="0057497D"/>
    <w:rsid w:val="00574D0A"/>
    <w:rsid w:val="0057503E"/>
    <w:rsid w:val="00575426"/>
    <w:rsid w:val="00575BBE"/>
    <w:rsid w:val="005763B4"/>
    <w:rsid w:val="00576B12"/>
    <w:rsid w:val="00581319"/>
    <w:rsid w:val="0058158C"/>
    <w:rsid w:val="00582176"/>
    <w:rsid w:val="0058242F"/>
    <w:rsid w:val="00582D5A"/>
    <w:rsid w:val="00582F72"/>
    <w:rsid w:val="0058377E"/>
    <w:rsid w:val="005837D7"/>
    <w:rsid w:val="0058566A"/>
    <w:rsid w:val="00585899"/>
    <w:rsid w:val="00586333"/>
    <w:rsid w:val="00586385"/>
    <w:rsid w:val="00586FCE"/>
    <w:rsid w:val="005873E5"/>
    <w:rsid w:val="005878F7"/>
    <w:rsid w:val="00587D23"/>
    <w:rsid w:val="00587ECB"/>
    <w:rsid w:val="005910E9"/>
    <w:rsid w:val="00591CC6"/>
    <w:rsid w:val="00591D02"/>
    <w:rsid w:val="00592129"/>
    <w:rsid w:val="00592AE0"/>
    <w:rsid w:val="005935A5"/>
    <w:rsid w:val="00593695"/>
    <w:rsid w:val="005937B6"/>
    <w:rsid w:val="00593CD7"/>
    <w:rsid w:val="00593FBD"/>
    <w:rsid w:val="00594055"/>
    <w:rsid w:val="00594271"/>
    <w:rsid w:val="00595A75"/>
    <w:rsid w:val="00595EB3"/>
    <w:rsid w:val="0059600B"/>
    <w:rsid w:val="00596386"/>
    <w:rsid w:val="005979A3"/>
    <w:rsid w:val="005A141F"/>
    <w:rsid w:val="005A172B"/>
    <w:rsid w:val="005A1B25"/>
    <w:rsid w:val="005A22B1"/>
    <w:rsid w:val="005A23F4"/>
    <w:rsid w:val="005A2441"/>
    <w:rsid w:val="005A309E"/>
    <w:rsid w:val="005A36EF"/>
    <w:rsid w:val="005A3E25"/>
    <w:rsid w:val="005A4740"/>
    <w:rsid w:val="005A4AA2"/>
    <w:rsid w:val="005A4CB8"/>
    <w:rsid w:val="005A4D14"/>
    <w:rsid w:val="005A4D82"/>
    <w:rsid w:val="005A5C92"/>
    <w:rsid w:val="005B0791"/>
    <w:rsid w:val="005B0A14"/>
    <w:rsid w:val="005B0F04"/>
    <w:rsid w:val="005B107E"/>
    <w:rsid w:val="005B297B"/>
    <w:rsid w:val="005B31F0"/>
    <w:rsid w:val="005B372B"/>
    <w:rsid w:val="005B387C"/>
    <w:rsid w:val="005B48E5"/>
    <w:rsid w:val="005B5E8D"/>
    <w:rsid w:val="005B6712"/>
    <w:rsid w:val="005B6FFF"/>
    <w:rsid w:val="005B7493"/>
    <w:rsid w:val="005B7E3A"/>
    <w:rsid w:val="005C0183"/>
    <w:rsid w:val="005C06BC"/>
    <w:rsid w:val="005C0A6B"/>
    <w:rsid w:val="005C112F"/>
    <w:rsid w:val="005C11D1"/>
    <w:rsid w:val="005C164D"/>
    <w:rsid w:val="005C173F"/>
    <w:rsid w:val="005C18C5"/>
    <w:rsid w:val="005C1B2A"/>
    <w:rsid w:val="005C1C24"/>
    <w:rsid w:val="005C1FDE"/>
    <w:rsid w:val="005C2896"/>
    <w:rsid w:val="005C382A"/>
    <w:rsid w:val="005C3CCD"/>
    <w:rsid w:val="005C3F52"/>
    <w:rsid w:val="005C485C"/>
    <w:rsid w:val="005C4CF6"/>
    <w:rsid w:val="005C55EB"/>
    <w:rsid w:val="005C5A27"/>
    <w:rsid w:val="005C6388"/>
    <w:rsid w:val="005C63C4"/>
    <w:rsid w:val="005C647E"/>
    <w:rsid w:val="005C652C"/>
    <w:rsid w:val="005C6C70"/>
    <w:rsid w:val="005C7030"/>
    <w:rsid w:val="005D0FC6"/>
    <w:rsid w:val="005D1327"/>
    <w:rsid w:val="005D14F0"/>
    <w:rsid w:val="005D1A15"/>
    <w:rsid w:val="005D1AD1"/>
    <w:rsid w:val="005D1BAF"/>
    <w:rsid w:val="005D2031"/>
    <w:rsid w:val="005D204F"/>
    <w:rsid w:val="005D2680"/>
    <w:rsid w:val="005D2E88"/>
    <w:rsid w:val="005D2F0F"/>
    <w:rsid w:val="005D346C"/>
    <w:rsid w:val="005D38A7"/>
    <w:rsid w:val="005D417D"/>
    <w:rsid w:val="005D41CC"/>
    <w:rsid w:val="005D46BA"/>
    <w:rsid w:val="005D4DAB"/>
    <w:rsid w:val="005D4F1F"/>
    <w:rsid w:val="005D5C95"/>
    <w:rsid w:val="005D6039"/>
    <w:rsid w:val="005D6C1F"/>
    <w:rsid w:val="005D6E25"/>
    <w:rsid w:val="005D742F"/>
    <w:rsid w:val="005E0391"/>
    <w:rsid w:val="005E047F"/>
    <w:rsid w:val="005E0743"/>
    <w:rsid w:val="005E0970"/>
    <w:rsid w:val="005E09A4"/>
    <w:rsid w:val="005E0CA4"/>
    <w:rsid w:val="005E0D68"/>
    <w:rsid w:val="005E1285"/>
    <w:rsid w:val="005E13D7"/>
    <w:rsid w:val="005E3B5E"/>
    <w:rsid w:val="005E3DEF"/>
    <w:rsid w:val="005E439B"/>
    <w:rsid w:val="005E4C78"/>
    <w:rsid w:val="005E4D82"/>
    <w:rsid w:val="005E5DE0"/>
    <w:rsid w:val="005E60AB"/>
    <w:rsid w:val="005E6107"/>
    <w:rsid w:val="005E706E"/>
    <w:rsid w:val="005E70EF"/>
    <w:rsid w:val="005F0406"/>
    <w:rsid w:val="005F089F"/>
    <w:rsid w:val="005F2463"/>
    <w:rsid w:val="005F3056"/>
    <w:rsid w:val="005F3F78"/>
    <w:rsid w:val="005F4658"/>
    <w:rsid w:val="005F48CC"/>
    <w:rsid w:val="005F52C6"/>
    <w:rsid w:val="005F53B5"/>
    <w:rsid w:val="005F584F"/>
    <w:rsid w:val="005F5E9D"/>
    <w:rsid w:val="005F761E"/>
    <w:rsid w:val="005F7C38"/>
    <w:rsid w:val="00600678"/>
    <w:rsid w:val="00601418"/>
    <w:rsid w:val="00602158"/>
    <w:rsid w:val="00602AEE"/>
    <w:rsid w:val="00602C5D"/>
    <w:rsid w:val="00602D6A"/>
    <w:rsid w:val="00602EF4"/>
    <w:rsid w:val="00603D26"/>
    <w:rsid w:val="00605434"/>
    <w:rsid w:val="006060A8"/>
    <w:rsid w:val="006064CF"/>
    <w:rsid w:val="0060663A"/>
    <w:rsid w:val="00606873"/>
    <w:rsid w:val="00607FE8"/>
    <w:rsid w:val="00610160"/>
    <w:rsid w:val="006104D7"/>
    <w:rsid w:val="00610A43"/>
    <w:rsid w:val="00611058"/>
    <w:rsid w:val="006112C0"/>
    <w:rsid w:val="006119F4"/>
    <w:rsid w:val="006127A9"/>
    <w:rsid w:val="00612FCC"/>
    <w:rsid w:val="00613063"/>
    <w:rsid w:val="0061393F"/>
    <w:rsid w:val="00613966"/>
    <w:rsid w:val="00613BBB"/>
    <w:rsid w:val="00614DFC"/>
    <w:rsid w:val="00615CCC"/>
    <w:rsid w:val="0061605E"/>
    <w:rsid w:val="0061645A"/>
    <w:rsid w:val="0061752B"/>
    <w:rsid w:val="0062012A"/>
    <w:rsid w:val="00620185"/>
    <w:rsid w:val="00620472"/>
    <w:rsid w:val="00620E40"/>
    <w:rsid w:val="00620E8B"/>
    <w:rsid w:val="00622DE2"/>
    <w:rsid w:val="00624548"/>
    <w:rsid w:val="00624A9A"/>
    <w:rsid w:val="006257CE"/>
    <w:rsid w:val="0062587C"/>
    <w:rsid w:val="006263D7"/>
    <w:rsid w:val="00626688"/>
    <w:rsid w:val="00626C99"/>
    <w:rsid w:val="0062725E"/>
    <w:rsid w:val="006272E0"/>
    <w:rsid w:val="00627361"/>
    <w:rsid w:val="006273AE"/>
    <w:rsid w:val="00627BCB"/>
    <w:rsid w:val="0063063A"/>
    <w:rsid w:val="006307AC"/>
    <w:rsid w:val="00630FC8"/>
    <w:rsid w:val="0063120C"/>
    <w:rsid w:val="00631BF1"/>
    <w:rsid w:val="00631C23"/>
    <w:rsid w:val="00631D01"/>
    <w:rsid w:val="006325D8"/>
    <w:rsid w:val="00632973"/>
    <w:rsid w:val="00633357"/>
    <w:rsid w:val="0063466C"/>
    <w:rsid w:val="00634905"/>
    <w:rsid w:val="00634E16"/>
    <w:rsid w:val="006352C4"/>
    <w:rsid w:val="006356EC"/>
    <w:rsid w:val="00635A31"/>
    <w:rsid w:val="00635D8F"/>
    <w:rsid w:val="00635F6C"/>
    <w:rsid w:val="006362B0"/>
    <w:rsid w:val="006408AF"/>
    <w:rsid w:val="00640CE4"/>
    <w:rsid w:val="0064257F"/>
    <w:rsid w:val="00643249"/>
    <w:rsid w:val="00643573"/>
    <w:rsid w:val="006438CF"/>
    <w:rsid w:val="00643D74"/>
    <w:rsid w:val="0064463E"/>
    <w:rsid w:val="00644FD3"/>
    <w:rsid w:val="00645FC1"/>
    <w:rsid w:val="00646484"/>
    <w:rsid w:val="0064651F"/>
    <w:rsid w:val="006468BB"/>
    <w:rsid w:val="00646E12"/>
    <w:rsid w:val="00647923"/>
    <w:rsid w:val="00647BB8"/>
    <w:rsid w:val="00647E1E"/>
    <w:rsid w:val="00651709"/>
    <w:rsid w:val="0065196E"/>
    <w:rsid w:val="00652053"/>
    <w:rsid w:val="00652366"/>
    <w:rsid w:val="0065274B"/>
    <w:rsid w:val="00652B0A"/>
    <w:rsid w:val="006533DF"/>
    <w:rsid w:val="0065382D"/>
    <w:rsid w:val="00653A20"/>
    <w:rsid w:val="00653A42"/>
    <w:rsid w:val="00654FCE"/>
    <w:rsid w:val="00655039"/>
    <w:rsid w:val="00655FC5"/>
    <w:rsid w:val="006562FC"/>
    <w:rsid w:val="00656592"/>
    <w:rsid w:val="00656B16"/>
    <w:rsid w:val="006571B7"/>
    <w:rsid w:val="00657DCB"/>
    <w:rsid w:val="006615A9"/>
    <w:rsid w:val="006615D1"/>
    <w:rsid w:val="006622B5"/>
    <w:rsid w:val="006623D3"/>
    <w:rsid w:val="00662997"/>
    <w:rsid w:val="00662A44"/>
    <w:rsid w:val="00663E4F"/>
    <w:rsid w:val="006640D1"/>
    <w:rsid w:val="00664EE9"/>
    <w:rsid w:val="00664EEB"/>
    <w:rsid w:val="00665832"/>
    <w:rsid w:val="00665A44"/>
    <w:rsid w:val="00665CC8"/>
    <w:rsid w:val="00666A13"/>
    <w:rsid w:val="00667807"/>
    <w:rsid w:val="00667FDA"/>
    <w:rsid w:val="00670296"/>
    <w:rsid w:val="006705D4"/>
    <w:rsid w:val="006707A3"/>
    <w:rsid w:val="006721D5"/>
    <w:rsid w:val="00672DE1"/>
    <w:rsid w:val="00672E44"/>
    <w:rsid w:val="00673183"/>
    <w:rsid w:val="006734A8"/>
    <w:rsid w:val="006735B2"/>
    <w:rsid w:val="006738F6"/>
    <w:rsid w:val="0067458B"/>
    <w:rsid w:val="00675017"/>
    <w:rsid w:val="0067535C"/>
    <w:rsid w:val="006754E7"/>
    <w:rsid w:val="00675BBE"/>
    <w:rsid w:val="0067627F"/>
    <w:rsid w:val="006765D4"/>
    <w:rsid w:val="00676723"/>
    <w:rsid w:val="006769C5"/>
    <w:rsid w:val="00677114"/>
    <w:rsid w:val="006771C8"/>
    <w:rsid w:val="0067725A"/>
    <w:rsid w:val="006776DF"/>
    <w:rsid w:val="00680715"/>
    <w:rsid w:val="0068103C"/>
    <w:rsid w:val="0068201E"/>
    <w:rsid w:val="006829F7"/>
    <w:rsid w:val="00683224"/>
    <w:rsid w:val="00684265"/>
    <w:rsid w:val="00684AF9"/>
    <w:rsid w:val="00684C4D"/>
    <w:rsid w:val="00684C60"/>
    <w:rsid w:val="00685009"/>
    <w:rsid w:val="00685107"/>
    <w:rsid w:val="00685775"/>
    <w:rsid w:val="00685A49"/>
    <w:rsid w:val="006860D2"/>
    <w:rsid w:val="006864A1"/>
    <w:rsid w:val="00686685"/>
    <w:rsid w:val="00686D5F"/>
    <w:rsid w:val="00687F64"/>
    <w:rsid w:val="006900D9"/>
    <w:rsid w:val="00690165"/>
    <w:rsid w:val="00690404"/>
    <w:rsid w:val="006905EB"/>
    <w:rsid w:val="00690659"/>
    <w:rsid w:val="00691648"/>
    <w:rsid w:val="006933F8"/>
    <w:rsid w:val="00693524"/>
    <w:rsid w:val="00693C3E"/>
    <w:rsid w:val="006949F0"/>
    <w:rsid w:val="00694A6D"/>
    <w:rsid w:val="00695A3C"/>
    <w:rsid w:val="00695C01"/>
    <w:rsid w:val="00696E39"/>
    <w:rsid w:val="0069700E"/>
    <w:rsid w:val="00697E59"/>
    <w:rsid w:val="006A0156"/>
    <w:rsid w:val="006A02DC"/>
    <w:rsid w:val="006A0A7E"/>
    <w:rsid w:val="006A0B9E"/>
    <w:rsid w:val="006A0F87"/>
    <w:rsid w:val="006A10F4"/>
    <w:rsid w:val="006A137B"/>
    <w:rsid w:val="006A1866"/>
    <w:rsid w:val="006A1A85"/>
    <w:rsid w:val="006A1CF0"/>
    <w:rsid w:val="006A2B52"/>
    <w:rsid w:val="006A2F66"/>
    <w:rsid w:val="006A3306"/>
    <w:rsid w:val="006A33F3"/>
    <w:rsid w:val="006A3C64"/>
    <w:rsid w:val="006A4009"/>
    <w:rsid w:val="006A59F4"/>
    <w:rsid w:val="006A5DAE"/>
    <w:rsid w:val="006A63D7"/>
    <w:rsid w:val="006B0EC3"/>
    <w:rsid w:val="006B1423"/>
    <w:rsid w:val="006B1B97"/>
    <w:rsid w:val="006B1BAF"/>
    <w:rsid w:val="006B1F3F"/>
    <w:rsid w:val="006B263A"/>
    <w:rsid w:val="006B28B3"/>
    <w:rsid w:val="006B2B6C"/>
    <w:rsid w:val="006B304B"/>
    <w:rsid w:val="006B37C0"/>
    <w:rsid w:val="006B3EEA"/>
    <w:rsid w:val="006B4EC3"/>
    <w:rsid w:val="006B5A36"/>
    <w:rsid w:val="006B605F"/>
    <w:rsid w:val="006B615D"/>
    <w:rsid w:val="006B65DF"/>
    <w:rsid w:val="006B6862"/>
    <w:rsid w:val="006B6D38"/>
    <w:rsid w:val="006B71CE"/>
    <w:rsid w:val="006B7291"/>
    <w:rsid w:val="006B777B"/>
    <w:rsid w:val="006B7DEF"/>
    <w:rsid w:val="006B7FF7"/>
    <w:rsid w:val="006C08B2"/>
    <w:rsid w:val="006C174D"/>
    <w:rsid w:val="006C177D"/>
    <w:rsid w:val="006C2513"/>
    <w:rsid w:val="006C295D"/>
    <w:rsid w:val="006C2A69"/>
    <w:rsid w:val="006C2B58"/>
    <w:rsid w:val="006C3A1B"/>
    <w:rsid w:val="006C465D"/>
    <w:rsid w:val="006C4BAA"/>
    <w:rsid w:val="006C568B"/>
    <w:rsid w:val="006C633E"/>
    <w:rsid w:val="006C6788"/>
    <w:rsid w:val="006C73D7"/>
    <w:rsid w:val="006C7B24"/>
    <w:rsid w:val="006D022D"/>
    <w:rsid w:val="006D032B"/>
    <w:rsid w:val="006D0B36"/>
    <w:rsid w:val="006D12CB"/>
    <w:rsid w:val="006D1AA6"/>
    <w:rsid w:val="006D207A"/>
    <w:rsid w:val="006D33A5"/>
    <w:rsid w:val="006D3457"/>
    <w:rsid w:val="006D356F"/>
    <w:rsid w:val="006D3AEC"/>
    <w:rsid w:val="006D440C"/>
    <w:rsid w:val="006D494D"/>
    <w:rsid w:val="006D4958"/>
    <w:rsid w:val="006D4ECD"/>
    <w:rsid w:val="006D58DB"/>
    <w:rsid w:val="006D5B20"/>
    <w:rsid w:val="006D6A83"/>
    <w:rsid w:val="006D6BED"/>
    <w:rsid w:val="006E1BCB"/>
    <w:rsid w:val="006E1CD2"/>
    <w:rsid w:val="006E28CC"/>
    <w:rsid w:val="006E4875"/>
    <w:rsid w:val="006E5080"/>
    <w:rsid w:val="006E5645"/>
    <w:rsid w:val="006E5A58"/>
    <w:rsid w:val="006E62DA"/>
    <w:rsid w:val="006E7054"/>
    <w:rsid w:val="006E7166"/>
    <w:rsid w:val="006E76E8"/>
    <w:rsid w:val="006E7D7A"/>
    <w:rsid w:val="006F0E0F"/>
    <w:rsid w:val="006F0EF5"/>
    <w:rsid w:val="006F19B0"/>
    <w:rsid w:val="006F201C"/>
    <w:rsid w:val="006F2217"/>
    <w:rsid w:val="006F2B51"/>
    <w:rsid w:val="006F34D0"/>
    <w:rsid w:val="006F3BE7"/>
    <w:rsid w:val="006F4670"/>
    <w:rsid w:val="006F4D54"/>
    <w:rsid w:val="006F50DD"/>
    <w:rsid w:val="006F59C1"/>
    <w:rsid w:val="006F5C81"/>
    <w:rsid w:val="006F60D9"/>
    <w:rsid w:val="006F693F"/>
    <w:rsid w:val="006F741C"/>
    <w:rsid w:val="006F7961"/>
    <w:rsid w:val="006F79E4"/>
    <w:rsid w:val="007002E0"/>
    <w:rsid w:val="00700A3E"/>
    <w:rsid w:val="00700C31"/>
    <w:rsid w:val="00700C4B"/>
    <w:rsid w:val="00700CF2"/>
    <w:rsid w:val="00700F2D"/>
    <w:rsid w:val="00701735"/>
    <w:rsid w:val="007022C1"/>
    <w:rsid w:val="00702931"/>
    <w:rsid w:val="00702AEF"/>
    <w:rsid w:val="00703595"/>
    <w:rsid w:val="00703EB2"/>
    <w:rsid w:val="00703F84"/>
    <w:rsid w:val="007045C0"/>
    <w:rsid w:val="00704723"/>
    <w:rsid w:val="0070485B"/>
    <w:rsid w:val="007049D1"/>
    <w:rsid w:val="00704B3A"/>
    <w:rsid w:val="007064CF"/>
    <w:rsid w:val="00706E33"/>
    <w:rsid w:val="0070705D"/>
    <w:rsid w:val="00707A4C"/>
    <w:rsid w:val="00707D44"/>
    <w:rsid w:val="00710279"/>
    <w:rsid w:val="00710584"/>
    <w:rsid w:val="0071258F"/>
    <w:rsid w:val="00713397"/>
    <w:rsid w:val="00713A6C"/>
    <w:rsid w:val="00714962"/>
    <w:rsid w:val="00714F49"/>
    <w:rsid w:val="007171EA"/>
    <w:rsid w:val="007177A5"/>
    <w:rsid w:val="00717B8D"/>
    <w:rsid w:val="0072020C"/>
    <w:rsid w:val="007208A6"/>
    <w:rsid w:val="007223F4"/>
    <w:rsid w:val="007224CE"/>
    <w:rsid w:val="00722522"/>
    <w:rsid w:val="00723101"/>
    <w:rsid w:val="00723599"/>
    <w:rsid w:val="00723859"/>
    <w:rsid w:val="007240FE"/>
    <w:rsid w:val="00724CEB"/>
    <w:rsid w:val="007250E6"/>
    <w:rsid w:val="00725DE7"/>
    <w:rsid w:val="007268B8"/>
    <w:rsid w:val="007269E6"/>
    <w:rsid w:val="00727C8D"/>
    <w:rsid w:val="007304D7"/>
    <w:rsid w:val="007311E1"/>
    <w:rsid w:val="007316A1"/>
    <w:rsid w:val="00731885"/>
    <w:rsid w:val="0073207B"/>
    <w:rsid w:val="00732AEF"/>
    <w:rsid w:val="00732D70"/>
    <w:rsid w:val="007336B9"/>
    <w:rsid w:val="007337A0"/>
    <w:rsid w:val="007339D8"/>
    <w:rsid w:val="00733F61"/>
    <w:rsid w:val="0073424F"/>
    <w:rsid w:val="007348E7"/>
    <w:rsid w:val="00734CF4"/>
    <w:rsid w:val="0073502B"/>
    <w:rsid w:val="00735622"/>
    <w:rsid w:val="007358C5"/>
    <w:rsid w:val="00736C73"/>
    <w:rsid w:val="00737427"/>
    <w:rsid w:val="00737831"/>
    <w:rsid w:val="00737AED"/>
    <w:rsid w:val="00737CFC"/>
    <w:rsid w:val="007403BA"/>
    <w:rsid w:val="00740A66"/>
    <w:rsid w:val="007412FF"/>
    <w:rsid w:val="00741B73"/>
    <w:rsid w:val="0074329C"/>
    <w:rsid w:val="00744F0F"/>
    <w:rsid w:val="00745179"/>
    <w:rsid w:val="007462CD"/>
    <w:rsid w:val="007466F6"/>
    <w:rsid w:val="00746F8A"/>
    <w:rsid w:val="00747474"/>
    <w:rsid w:val="0075068E"/>
    <w:rsid w:val="00751573"/>
    <w:rsid w:val="007515DF"/>
    <w:rsid w:val="007516AC"/>
    <w:rsid w:val="00751F50"/>
    <w:rsid w:val="00752DFD"/>
    <w:rsid w:val="00752E78"/>
    <w:rsid w:val="00752EB2"/>
    <w:rsid w:val="0075467E"/>
    <w:rsid w:val="00754E40"/>
    <w:rsid w:val="007555A9"/>
    <w:rsid w:val="00755633"/>
    <w:rsid w:val="007560E0"/>
    <w:rsid w:val="007564D3"/>
    <w:rsid w:val="00756F07"/>
    <w:rsid w:val="00757B92"/>
    <w:rsid w:val="00757E6D"/>
    <w:rsid w:val="0076025D"/>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DF5"/>
    <w:rsid w:val="00774C18"/>
    <w:rsid w:val="00775255"/>
    <w:rsid w:val="00776244"/>
    <w:rsid w:val="00776E3B"/>
    <w:rsid w:val="007771A3"/>
    <w:rsid w:val="00781A60"/>
    <w:rsid w:val="007826D0"/>
    <w:rsid w:val="0078325A"/>
    <w:rsid w:val="0078331B"/>
    <w:rsid w:val="00783E17"/>
    <w:rsid w:val="0078519A"/>
    <w:rsid w:val="007854A8"/>
    <w:rsid w:val="007876AC"/>
    <w:rsid w:val="00790388"/>
    <w:rsid w:val="00790519"/>
    <w:rsid w:val="0079143A"/>
    <w:rsid w:val="00791D18"/>
    <w:rsid w:val="00792371"/>
    <w:rsid w:val="00792825"/>
    <w:rsid w:val="00792D1E"/>
    <w:rsid w:val="00793560"/>
    <w:rsid w:val="00793CBD"/>
    <w:rsid w:val="0079439D"/>
    <w:rsid w:val="00794495"/>
    <w:rsid w:val="007948A2"/>
    <w:rsid w:val="0079565C"/>
    <w:rsid w:val="007957CB"/>
    <w:rsid w:val="00795A88"/>
    <w:rsid w:val="00796FF5"/>
    <w:rsid w:val="00797AC9"/>
    <w:rsid w:val="00797D1C"/>
    <w:rsid w:val="007A0510"/>
    <w:rsid w:val="007A0919"/>
    <w:rsid w:val="007A100E"/>
    <w:rsid w:val="007A1415"/>
    <w:rsid w:val="007A19C9"/>
    <w:rsid w:val="007A1F1C"/>
    <w:rsid w:val="007A2978"/>
    <w:rsid w:val="007A34E3"/>
    <w:rsid w:val="007A4659"/>
    <w:rsid w:val="007A4DCC"/>
    <w:rsid w:val="007A54A5"/>
    <w:rsid w:val="007A5DB8"/>
    <w:rsid w:val="007A5EAF"/>
    <w:rsid w:val="007A61F6"/>
    <w:rsid w:val="007A6691"/>
    <w:rsid w:val="007A7316"/>
    <w:rsid w:val="007A73DF"/>
    <w:rsid w:val="007B0714"/>
    <w:rsid w:val="007B087F"/>
    <w:rsid w:val="007B0DDA"/>
    <w:rsid w:val="007B157C"/>
    <w:rsid w:val="007B1706"/>
    <w:rsid w:val="007B1734"/>
    <w:rsid w:val="007B1947"/>
    <w:rsid w:val="007B2C93"/>
    <w:rsid w:val="007B301B"/>
    <w:rsid w:val="007B35CF"/>
    <w:rsid w:val="007B39DA"/>
    <w:rsid w:val="007B3BE9"/>
    <w:rsid w:val="007B3C86"/>
    <w:rsid w:val="007B3F15"/>
    <w:rsid w:val="007B4641"/>
    <w:rsid w:val="007B48BC"/>
    <w:rsid w:val="007B4CDB"/>
    <w:rsid w:val="007B553A"/>
    <w:rsid w:val="007B5652"/>
    <w:rsid w:val="007B6570"/>
    <w:rsid w:val="007B675E"/>
    <w:rsid w:val="007B699C"/>
    <w:rsid w:val="007B74B7"/>
    <w:rsid w:val="007C05C1"/>
    <w:rsid w:val="007C1213"/>
    <w:rsid w:val="007C1D14"/>
    <w:rsid w:val="007C2512"/>
    <w:rsid w:val="007C264B"/>
    <w:rsid w:val="007C26F4"/>
    <w:rsid w:val="007C2AD9"/>
    <w:rsid w:val="007C2D60"/>
    <w:rsid w:val="007C482A"/>
    <w:rsid w:val="007C49C5"/>
    <w:rsid w:val="007C4ADB"/>
    <w:rsid w:val="007C4B1E"/>
    <w:rsid w:val="007C578A"/>
    <w:rsid w:val="007C5840"/>
    <w:rsid w:val="007C6582"/>
    <w:rsid w:val="007C6ABA"/>
    <w:rsid w:val="007C7643"/>
    <w:rsid w:val="007C7687"/>
    <w:rsid w:val="007C76EC"/>
    <w:rsid w:val="007C799F"/>
    <w:rsid w:val="007C7DB8"/>
    <w:rsid w:val="007D0849"/>
    <w:rsid w:val="007D181A"/>
    <w:rsid w:val="007D1966"/>
    <w:rsid w:val="007D1AEF"/>
    <w:rsid w:val="007D21AA"/>
    <w:rsid w:val="007D2714"/>
    <w:rsid w:val="007D3380"/>
    <w:rsid w:val="007D344A"/>
    <w:rsid w:val="007D402F"/>
    <w:rsid w:val="007D4770"/>
    <w:rsid w:val="007D516A"/>
    <w:rsid w:val="007D5647"/>
    <w:rsid w:val="007D5BA0"/>
    <w:rsid w:val="007D6208"/>
    <w:rsid w:val="007D77D8"/>
    <w:rsid w:val="007E0ACB"/>
    <w:rsid w:val="007E0CC6"/>
    <w:rsid w:val="007E1338"/>
    <w:rsid w:val="007E1428"/>
    <w:rsid w:val="007E2DBF"/>
    <w:rsid w:val="007E2FDE"/>
    <w:rsid w:val="007E3162"/>
    <w:rsid w:val="007E36C8"/>
    <w:rsid w:val="007E3EED"/>
    <w:rsid w:val="007E4138"/>
    <w:rsid w:val="007E42BC"/>
    <w:rsid w:val="007E4515"/>
    <w:rsid w:val="007E466C"/>
    <w:rsid w:val="007E508E"/>
    <w:rsid w:val="007E66CC"/>
    <w:rsid w:val="007E710C"/>
    <w:rsid w:val="007E724F"/>
    <w:rsid w:val="007E75F9"/>
    <w:rsid w:val="007F16CE"/>
    <w:rsid w:val="007F36E5"/>
    <w:rsid w:val="007F430D"/>
    <w:rsid w:val="007F447D"/>
    <w:rsid w:val="007F52A9"/>
    <w:rsid w:val="007F53EA"/>
    <w:rsid w:val="007F54B6"/>
    <w:rsid w:val="007F574F"/>
    <w:rsid w:val="007F58DB"/>
    <w:rsid w:val="007F5C20"/>
    <w:rsid w:val="007F620E"/>
    <w:rsid w:val="007F6692"/>
    <w:rsid w:val="007F769C"/>
    <w:rsid w:val="00803203"/>
    <w:rsid w:val="0080323A"/>
    <w:rsid w:val="0080380B"/>
    <w:rsid w:val="008045B0"/>
    <w:rsid w:val="00804794"/>
    <w:rsid w:val="00804847"/>
    <w:rsid w:val="0080493D"/>
    <w:rsid w:val="008049CB"/>
    <w:rsid w:val="00805364"/>
    <w:rsid w:val="008057CC"/>
    <w:rsid w:val="00805A36"/>
    <w:rsid w:val="00806487"/>
    <w:rsid w:val="00806515"/>
    <w:rsid w:val="00806FB0"/>
    <w:rsid w:val="00806FEA"/>
    <w:rsid w:val="00807CBD"/>
    <w:rsid w:val="00807E94"/>
    <w:rsid w:val="00810479"/>
    <w:rsid w:val="00810A00"/>
    <w:rsid w:val="008112AA"/>
    <w:rsid w:val="00811920"/>
    <w:rsid w:val="00813519"/>
    <w:rsid w:val="00813D10"/>
    <w:rsid w:val="00813E1F"/>
    <w:rsid w:val="008140D8"/>
    <w:rsid w:val="00814DAA"/>
    <w:rsid w:val="008156F0"/>
    <w:rsid w:val="00815976"/>
    <w:rsid w:val="00815CF7"/>
    <w:rsid w:val="00815D5C"/>
    <w:rsid w:val="0081627E"/>
    <w:rsid w:val="00816DFF"/>
    <w:rsid w:val="00816F76"/>
    <w:rsid w:val="0082086A"/>
    <w:rsid w:val="00820B7B"/>
    <w:rsid w:val="008214E4"/>
    <w:rsid w:val="00821966"/>
    <w:rsid w:val="00822307"/>
    <w:rsid w:val="00822466"/>
    <w:rsid w:val="00822871"/>
    <w:rsid w:val="00822EAE"/>
    <w:rsid w:val="008230CB"/>
    <w:rsid w:val="008230F3"/>
    <w:rsid w:val="008233B3"/>
    <w:rsid w:val="00824025"/>
    <w:rsid w:val="008241F4"/>
    <w:rsid w:val="00824201"/>
    <w:rsid w:val="00824A57"/>
    <w:rsid w:val="00825E55"/>
    <w:rsid w:val="00827D38"/>
    <w:rsid w:val="00827F06"/>
    <w:rsid w:val="00827F71"/>
    <w:rsid w:val="00830B1E"/>
    <w:rsid w:val="00831791"/>
    <w:rsid w:val="00832066"/>
    <w:rsid w:val="00833433"/>
    <w:rsid w:val="008335B9"/>
    <w:rsid w:val="00833877"/>
    <w:rsid w:val="00833FE0"/>
    <w:rsid w:val="00834000"/>
    <w:rsid w:val="00834233"/>
    <w:rsid w:val="00834507"/>
    <w:rsid w:val="00834C8F"/>
    <w:rsid w:val="00835398"/>
    <w:rsid w:val="008357AC"/>
    <w:rsid w:val="008358AA"/>
    <w:rsid w:val="00836655"/>
    <w:rsid w:val="008368B4"/>
    <w:rsid w:val="00836988"/>
    <w:rsid w:val="00836D9F"/>
    <w:rsid w:val="0083748D"/>
    <w:rsid w:val="00837AE2"/>
    <w:rsid w:val="0084072C"/>
    <w:rsid w:val="00840B13"/>
    <w:rsid w:val="00842F32"/>
    <w:rsid w:val="008432CC"/>
    <w:rsid w:val="008434B8"/>
    <w:rsid w:val="00843C48"/>
    <w:rsid w:val="008446D1"/>
    <w:rsid w:val="00844BAF"/>
    <w:rsid w:val="00845771"/>
    <w:rsid w:val="00846611"/>
    <w:rsid w:val="008477AF"/>
    <w:rsid w:val="0085061F"/>
    <w:rsid w:val="00850837"/>
    <w:rsid w:val="00851B29"/>
    <w:rsid w:val="00851DBA"/>
    <w:rsid w:val="00853BB6"/>
    <w:rsid w:val="00853E11"/>
    <w:rsid w:val="00853FEC"/>
    <w:rsid w:val="00854170"/>
    <w:rsid w:val="00854CC2"/>
    <w:rsid w:val="008558DC"/>
    <w:rsid w:val="00855BA5"/>
    <w:rsid w:val="00856696"/>
    <w:rsid w:val="00856858"/>
    <w:rsid w:val="00856ABB"/>
    <w:rsid w:val="008570F4"/>
    <w:rsid w:val="008571B7"/>
    <w:rsid w:val="00857382"/>
    <w:rsid w:val="00857CCB"/>
    <w:rsid w:val="00857EF7"/>
    <w:rsid w:val="00860903"/>
    <w:rsid w:val="00860B3A"/>
    <w:rsid w:val="00860CF0"/>
    <w:rsid w:val="0086142A"/>
    <w:rsid w:val="00861A33"/>
    <w:rsid w:val="00861D57"/>
    <w:rsid w:val="00862ED4"/>
    <w:rsid w:val="0086350B"/>
    <w:rsid w:val="008638CF"/>
    <w:rsid w:val="00863E6B"/>
    <w:rsid w:val="00864361"/>
    <w:rsid w:val="008643A3"/>
    <w:rsid w:val="0086495B"/>
    <w:rsid w:val="00864B8A"/>
    <w:rsid w:val="00865A60"/>
    <w:rsid w:val="00865F0E"/>
    <w:rsid w:val="00866F29"/>
    <w:rsid w:val="0086733A"/>
    <w:rsid w:val="00870095"/>
    <w:rsid w:val="008700FF"/>
    <w:rsid w:val="008701BA"/>
    <w:rsid w:val="008710C9"/>
    <w:rsid w:val="008714DC"/>
    <w:rsid w:val="00871AE2"/>
    <w:rsid w:val="00872F47"/>
    <w:rsid w:val="00872F81"/>
    <w:rsid w:val="0087388A"/>
    <w:rsid w:val="008741E0"/>
    <w:rsid w:val="008744A3"/>
    <w:rsid w:val="00875F3B"/>
    <w:rsid w:val="00876599"/>
    <w:rsid w:val="008779BC"/>
    <w:rsid w:val="00877DF8"/>
    <w:rsid w:val="0088022F"/>
    <w:rsid w:val="008803E5"/>
    <w:rsid w:val="00880CA1"/>
    <w:rsid w:val="0088185F"/>
    <w:rsid w:val="00881897"/>
    <w:rsid w:val="0088192F"/>
    <w:rsid w:val="00881CA5"/>
    <w:rsid w:val="0088225B"/>
    <w:rsid w:val="00882B11"/>
    <w:rsid w:val="0088311C"/>
    <w:rsid w:val="008838ED"/>
    <w:rsid w:val="00883D1F"/>
    <w:rsid w:val="00884289"/>
    <w:rsid w:val="008843EF"/>
    <w:rsid w:val="00884478"/>
    <w:rsid w:val="0088525D"/>
    <w:rsid w:val="00885286"/>
    <w:rsid w:val="00885A48"/>
    <w:rsid w:val="008864C6"/>
    <w:rsid w:val="00886719"/>
    <w:rsid w:val="008904D2"/>
    <w:rsid w:val="00890A37"/>
    <w:rsid w:val="0089130D"/>
    <w:rsid w:val="008914B0"/>
    <w:rsid w:val="00891F36"/>
    <w:rsid w:val="008925CF"/>
    <w:rsid w:val="008937F1"/>
    <w:rsid w:val="0089387B"/>
    <w:rsid w:val="00894563"/>
    <w:rsid w:val="00894F24"/>
    <w:rsid w:val="0089552C"/>
    <w:rsid w:val="008959FD"/>
    <w:rsid w:val="00895F2D"/>
    <w:rsid w:val="008969EA"/>
    <w:rsid w:val="00897CAE"/>
    <w:rsid w:val="008A085B"/>
    <w:rsid w:val="008A13C8"/>
    <w:rsid w:val="008A15A8"/>
    <w:rsid w:val="008A1637"/>
    <w:rsid w:val="008A1A57"/>
    <w:rsid w:val="008A1FD6"/>
    <w:rsid w:val="008A24D7"/>
    <w:rsid w:val="008A279D"/>
    <w:rsid w:val="008A27B5"/>
    <w:rsid w:val="008A2D37"/>
    <w:rsid w:val="008A31AE"/>
    <w:rsid w:val="008A36D8"/>
    <w:rsid w:val="008A4B74"/>
    <w:rsid w:val="008A5D64"/>
    <w:rsid w:val="008A6812"/>
    <w:rsid w:val="008A7529"/>
    <w:rsid w:val="008A7860"/>
    <w:rsid w:val="008A7B14"/>
    <w:rsid w:val="008B0B3C"/>
    <w:rsid w:val="008B15B4"/>
    <w:rsid w:val="008B1D08"/>
    <w:rsid w:val="008B2755"/>
    <w:rsid w:val="008B2AA7"/>
    <w:rsid w:val="008B2CEB"/>
    <w:rsid w:val="008B4397"/>
    <w:rsid w:val="008B4B94"/>
    <w:rsid w:val="008B560F"/>
    <w:rsid w:val="008B5F9A"/>
    <w:rsid w:val="008B6C9E"/>
    <w:rsid w:val="008B6EDD"/>
    <w:rsid w:val="008B720F"/>
    <w:rsid w:val="008C0608"/>
    <w:rsid w:val="008C0C2B"/>
    <w:rsid w:val="008C2C92"/>
    <w:rsid w:val="008C2FF8"/>
    <w:rsid w:val="008C3088"/>
    <w:rsid w:val="008C35F6"/>
    <w:rsid w:val="008C3BDD"/>
    <w:rsid w:val="008C3DFD"/>
    <w:rsid w:val="008C4052"/>
    <w:rsid w:val="008C725D"/>
    <w:rsid w:val="008D15D0"/>
    <w:rsid w:val="008D1962"/>
    <w:rsid w:val="008D2C42"/>
    <w:rsid w:val="008D4398"/>
    <w:rsid w:val="008D4D03"/>
    <w:rsid w:val="008D5290"/>
    <w:rsid w:val="008D5507"/>
    <w:rsid w:val="008D782D"/>
    <w:rsid w:val="008E0ECA"/>
    <w:rsid w:val="008E124D"/>
    <w:rsid w:val="008E1345"/>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03DA"/>
    <w:rsid w:val="008F1656"/>
    <w:rsid w:val="008F186B"/>
    <w:rsid w:val="008F335E"/>
    <w:rsid w:val="008F3C03"/>
    <w:rsid w:val="008F3DA4"/>
    <w:rsid w:val="008F4487"/>
    <w:rsid w:val="008F575D"/>
    <w:rsid w:val="008F59E5"/>
    <w:rsid w:val="008F5F61"/>
    <w:rsid w:val="008F6AA2"/>
    <w:rsid w:val="008F7246"/>
    <w:rsid w:val="008F752C"/>
    <w:rsid w:val="009011FD"/>
    <w:rsid w:val="00901E0D"/>
    <w:rsid w:val="00902862"/>
    <w:rsid w:val="00902C48"/>
    <w:rsid w:val="00902ECB"/>
    <w:rsid w:val="00904239"/>
    <w:rsid w:val="00904467"/>
    <w:rsid w:val="00904A23"/>
    <w:rsid w:val="00904B8D"/>
    <w:rsid w:val="009055B7"/>
    <w:rsid w:val="00905AE0"/>
    <w:rsid w:val="0090699E"/>
    <w:rsid w:val="009075F6"/>
    <w:rsid w:val="00910113"/>
    <w:rsid w:val="0091016D"/>
    <w:rsid w:val="009103C7"/>
    <w:rsid w:val="009107CB"/>
    <w:rsid w:val="00910A3F"/>
    <w:rsid w:val="009114A1"/>
    <w:rsid w:val="009115D6"/>
    <w:rsid w:val="009124DC"/>
    <w:rsid w:val="00912C18"/>
    <w:rsid w:val="00913B84"/>
    <w:rsid w:val="00913F3F"/>
    <w:rsid w:val="009141A3"/>
    <w:rsid w:val="009144B6"/>
    <w:rsid w:val="00916499"/>
    <w:rsid w:val="00916E81"/>
    <w:rsid w:val="0091793D"/>
    <w:rsid w:val="00920340"/>
    <w:rsid w:val="00920402"/>
    <w:rsid w:val="00920499"/>
    <w:rsid w:val="0092069E"/>
    <w:rsid w:val="009207CD"/>
    <w:rsid w:val="009210DE"/>
    <w:rsid w:val="00922683"/>
    <w:rsid w:val="009233CA"/>
    <w:rsid w:val="00924690"/>
    <w:rsid w:val="00924D0F"/>
    <w:rsid w:val="0092546A"/>
    <w:rsid w:val="00925DBB"/>
    <w:rsid w:val="0092602C"/>
    <w:rsid w:val="00926069"/>
    <w:rsid w:val="0092732E"/>
    <w:rsid w:val="00927331"/>
    <w:rsid w:val="009275A3"/>
    <w:rsid w:val="00927C5F"/>
    <w:rsid w:val="00930055"/>
    <w:rsid w:val="0093046D"/>
    <w:rsid w:val="00931C0A"/>
    <w:rsid w:val="009329C1"/>
    <w:rsid w:val="00932DD0"/>
    <w:rsid w:val="0093301B"/>
    <w:rsid w:val="00933244"/>
    <w:rsid w:val="00933492"/>
    <w:rsid w:val="00933674"/>
    <w:rsid w:val="00933B31"/>
    <w:rsid w:val="009346B3"/>
    <w:rsid w:val="009369B7"/>
    <w:rsid w:val="00936C19"/>
    <w:rsid w:val="009407FE"/>
    <w:rsid w:val="0094112A"/>
    <w:rsid w:val="00941907"/>
    <w:rsid w:val="00942C57"/>
    <w:rsid w:val="009447FB"/>
    <w:rsid w:val="00944BDF"/>
    <w:rsid w:val="00944DAD"/>
    <w:rsid w:val="00944EE1"/>
    <w:rsid w:val="0094529C"/>
    <w:rsid w:val="0094574D"/>
    <w:rsid w:val="009464CE"/>
    <w:rsid w:val="00946D45"/>
    <w:rsid w:val="00947937"/>
    <w:rsid w:val="009504CA"/>
    <w:rsid w:val="00951490"/>
    <w:rsid w:val="00951852"/>
    <w:rsid w:val="009518B1"/>
    <w:rsid w:val="009526C0"/>
    <w:rsid w:val="00952A87"/>
    <w:rsid w:val="00952ABB"/>
    <w:rsid w:val="00953616"/>
    <w:rsid w:val="00953C63"/>
    <w:rsid w:val="00954586"/>
    <w:rsid w:val="00954BF1"/>
    <w:rsid w:val="00955003"/>
    <w:rsid w:val="00955424"/>
    <w:rsid w:val="00955428"/>
    <w:rsid w:val="00955685"/>
    <w:rsid w:val="00955DF1"/>
    <w:rsid w:val="0095607F"/>
    <w:rsid w:val="00956432"/>
    <w:rsid w:val="00956822"/>
    <w:rsid w:val="0095686B"/>
    <w:rsid w:val="00956A46"/>
    <w:rsid w:val="00956FAF"/>
    <w:rsid w:val="0095763C"/>
    <w:rsid w:val="009579EF"/>
    <w:rsid w:val="00957DE8"/>
    <w:rsid w:val="009601DD"/>
    <w:rsid w:val="009608CB"/>
    <w:rsid w:val="00961088"/>
    <w:rsid w:val="009635AC"/>
    <w:rsid w:val="0096634F"/>
    <w:rsid w:val="00966401"/>
    <w:rsid w:val="009673FE"/>
    <w:rsid w:val="0096780A"/>
    <w:rsid w:val="00967DC7"/>
    <w:rsid w:val="0097015A"/>
    <w:rsid w:val="00970586"/>
    <w:rsid w:val="0097063B"/>
    <w:rsid w:val="00970F6F"/>
    <w:rsid w:val="009714BB"/>
    <w:rsid w:val="00973712"/>
    <w:rsid w:val="00973A93"/>
    <w:rsid w:val="00974188"/>
    <w:rsid w:val="00974491"/>
    <w:rsid w:val="00974F82"/>
    <w:rsid w:val="009763F8"/>
    <w:rsid w:val="00980240"/>
    <w:rsid w:val="0098068F"/>
    <w:rsid w:val="00982A40"/>
    <w:rsid w:val="009832D3"/>
    <w:rsid w:val="0098395B"/>
    <w:rsid w:val="0098415A"/>
    <w:rsid w:val="009843D2"/>
    <w:rsid w:val="009870CB"/>
    <w:rsid w:val="009876E3"/>
    <w:rsid w:val="00987D07"/>
    <w:rsid w:val="00991DD4"/>
    <w:rsid w:val="00992120"/>
    <w:rsid w:val="00992534"/>
    <w:rsid w:val="0099402E"/>
    <w:rsid w:val="009943B7"/>
    <w:rsid w:val="00994C3B"/>
    <w:rsid w:val="009956B3"/>
    <w:rsid w:val="00996781"/>
    <w:rsid w:val="00997034"/>
    <w:rsid w:val="009970ED"/>
    <w:rsid w:val="0099746B"/>
    <w:rsid w:val="00997631"/>
    <w:rsid w:val="0099769C"/>
    <w:rsid w:val="00997972"/>
    <w:rsid w:val="00997D81"/>
    <w:rsid w:val="009A015E"/>
    <w:rsid w:val="009A0519"/>
    <w:rsid w:val="009A14A4"/>
    <w:rsid w:val="009A2401"/>
    <w:rsid w:val="009A2885"/>
    <w:rsid w:val="009A2DF4"/>
    <w:rsid w:val="009A3284"/>
    <w:rsid w:val="009A3FB8"/>
    <w:rsid w:val="009A52A3"/>
    <w:rsid w:val="009A5491"/>
    <w:rsid w:val="009A5604"/>
    <w:rsid w:val="009A65DC"/>
    <w:rsid w:val="009A727E"/>
    <w:rsid w:val="009B0A8C"/>
    <w:rsid w:val="009B12B7"/>
    <w:rsid w:val="009B1BFC"/>
    <w:rsid w:val="009B1D83"/>
    <w:rsid w:val="009B2474"/>
    <w:rsid w:val="009B2BF1"/>
    <w:rsid w:val="009B369E"/>
    <w:rsid w:val="009B3A14"/>
    <w:rsid w:val="009B3A44"/>
    <w:rsid w:val="009B3FA2"/>
    <w:rsid w:val="009B434E"/>
    <w:rsid w:val="009B47EB"/>
    <w:rsid w:val="009B4A6A"/>
    <w:rsid w:val="009B6439"/>
    <w:rsid w:val="009B78AB"/>
    <w:rsid w:val="009B7D12"/>
    <w:rsid w:val="009C015A"/>
    <w:rsid w:val="009C070D"/>
    <w:rsid w:val="009C0DC9"/>
    <w:rsid w:val="009C1BF6"/>
    <w:rsid w:val="009C2B6B"/>
    <w:rsid w:val="009C2C97"/>
    <w:rsid w:val="009C2D27"/>
    <w:rsid w:val="009C3006"/>
    <w:rsid w:val="009C3A55"/>
    <w:rsid w:val="009C3B43"/>
    <w:rsid w:val="009C3D6C"/>
    <w:rsid w:val="009C4345"/>
    <w:rsid w:val="009C5477"/>
    <w:rsid w:val="009C5AA8"/>
    <w:rsid w:val="009C5D30"/>
    <w:rsid w:val="009C6D1C"/>
    <w:rsid w:val="009C7505"/>
    <w:rsid w:val="009C779A"/>
    <w:rsid w:val="009D184D"/>
    <w:rsid w:val="009D1C99"/>
    <w:rsid w:val="009D20A2"/>
    <w:rsid w:val="009D2697"/>
    <w:rsid w:val="009D26EE"/>
    <w:rsid w:val="009D2EFF"/>
    <w:rsid w:val="009D2F88"/>
    <w:rsid w:val="009D3013"/>
    <w:rsid w:val="009D367F"/>
    <w:rsid w:val="009D3F77"/>
    <w:rsid w:val="009D3FB6"/>
    <w:rsid w:val="009D4F59"/>
    <w:rsid w:val="009D6A54"/>
    <w:rsid w:val="009D7C8E"/>
    <w:rsid w:val="009E0689"/>
    <w:rsid w:val="009E0AB4"/>
    <w:rsid w:val="009E1FC5"/>
    <w:rsid w:val="009E224B"/>
    <w:rsid w:val="009E22D0"/>
    <w:rsid w:val="009E2BDF"/>
    <w:rsid w:val="009E3460"/>
    <w:rsid w:val="009E3486"/>
    <w:rsid w:val="009E3A4C"/>
    <w:rsid w:val="009E3F68"/>
    <w:rsid w:val="009E4001"/>
    <w:rsid w:val="009E44F4"/>
    <w:rsid w:val="009E4A3A"/>
    <w:rsid w:val="009E4FDD"/>
    <w:rsid w:val="009E535C"/>
    <w:rsid w:val="009E5BF9"/>
    <w:rsid w:val="009E5D7E"/>
    <w:rsid w:val="009E713F"/>
    <w:rsid w:val="009E7193"/>
    <w:rsid w:val="009E71F7"/>
    <w:rsid w:val="009E77DA"/>
    <w:rsid w:val="009E7BA5"/>
    <w:rsid w:val="009F001E"/>
    <w:rsid w:val="009F18E9"/>
    <w:rsid w:val="009F19FE"/>
    <w:rsid w:val="009F1A2B"/>
    <w:rsid w:val="009F207B"/>
    <w:rsid w:val="009F254F"/>
    <w:rsid w:val="009F3CA8"/>
    <w:rsid w:val="009F5AA6"/>
    <w:rsid w:val="009F5CDD"/>
    <w:rsid w:val="009F5F37"/>
    <w:rsid w:val="009F629E"/>
    <w:rsid w:val="009F670F"/>
    <w:rsid w:val="009F7F09"/>
    <w:rsid w:val="00A00733"/>
    <w:rsid w:val="00A00D42"/>
    <w:rsid w:val="00A01B66"/>
    <w:rsid w:val="00A030C8"/>
    <w:rsid w:val="00A0353B"/>
    <w:rsid w:val="00A043FC"/>
    <w:rsid w:val="00A04495"/>
    <w:rsid w:val="00A0581B"/>
    <w:rsid w:val="00A071FA"/>
    <w:rsid w:val="00A0765A"/>
    <w:rsid w:val="00A0794D"/>
    <w:rsid w:val="00A10280"/>
    <w:rsid w:val="00A114EE"/>
    <w:rsid w:val="00A12176"/>
    <w:rsid w:val="00A13300"/>
    <w:rsid w:val="00A13BC3"/>
    <w:rsid w:val="00A13E82"/>
    <w:rsid w:val="00A13F76"/>
    <w:rsid w:val="00A14025"/>
    <w:rsid w:val="00A15092"/>
    <w:rsid w:val="00A15CF5"/>
    <w:rsid w:val="00A15E2F"/>
    <w:rsid w:val="00A16C45"/>
    <w:rsid w:val="00A1729A"/>
    <w:rsid w:val="00A17E03"/>
    <w:rsid w:val="00A2058E"/>
    <w:rsid w:val="00A20649"/>
    <w:rsid w:val="00A206C8"/>
    <w:rsid w:val="00A2083B"/>
    <w:rsid w:val="00A20FA1"/>
    <w:rsid w:val="00A226F0"/>
    <w:rsid w:val="00A22C66"/>
    <w:rsid w:val="00A22E83"/>
    <w:rsid w:val="00A25D59"/>
    <w:rsid w:val="00A26614"/>
    <w:rsid w:val="00A2724A"/>
    <w:rsid w:val="00A30254"/>
    <w:rsid w:val="00A30C15"/>
    <w:rsid w:val="00A30F0B"/>
    <w:rsid w:val="00A3154F"/>
    <w:rsid w:val="00A315D0"/>
    <w:rsid w:val="00A31A6D"/>
    <w:rsid w:val="00A32052"/>
    <w:rsid w:val="00A32F15"/>
    <w:rsid w:val="00A32FE7"/>
    <w:rsid w:val="00A33112"/>
    <w:rsid w:val="00A33592"/>
    <w:rsid w:val="00A33C26"/>
    <w:rsid w:val="00A33CB0"/>
    <w:rsid w:val="00A33CF7"/>
    <w:rsid w:val="00A341D6"/>
    <w:rsid w:val="00A3706D"/>
    <w:rsid w:val="00A375DC"/>
    <w:rsid w:val="00A40838"/>
    <w:rsid w:val="00A40B43"/>
    <w:rsid w:val="00A4121E"/>
    <w:rsid w:val="00A41DC9"/>
    <w:rsid w:val="00A41F6A"/>
    <w:rsid w:val="00A424A3"/>
    <w:rsid w:val="00A42868"/>
    <w:rsid w:val="00A42F5B"/>
    <w:rsid w:val="00A431D5"/>
    <w:rsid w:val="00A434A4"/>
    <w:rsid w:val="00A43956"/>
    <w:rsid w:val="00A44342"/>
    <w:rsid w:val="00A446E2"/>
    <w:rsid w:val="00A44757"/>
    <w:rsid w:val="00A44CC0"/>
    <w:rsid w:val="00A45145"/>
    <w:rsid w:val="00A45174"/>
    <w:rsid w:val="00A45C68"/>
    <w:rsid w:val="00A45E13"/>
    <w:rsid w:val="00A46969"/>
    <w:rsid w:val="00A46B4F"/>
    <w:rsid w:val="00A47403"/>
    <w:rsid w:val="00A47BFD"/>
    <w:rsid w:val="00A50530"/>
    <w:rsid w:val="00A5175F"/>
    <w:rsid w:val="00A51838"/>
    <w:rsid w:val="00A51C49"/>
    <w:rsid w:val="00A5282D"/>
    <w:rsid w:val="00A52C82"/>
    <w:rsid w:val="00A52FB2"/>
    <w:rsid w:val="00A53269"/>
    <w:rsid w:val="00A541F8"/>
    <w:rsid w:val="00A543C5"/>
    <w:rsid w:val="00A55BA0"/>
    <w:rsid w:val="00A5626B"/>
    <w:rsid w:val="00A56348"/>
    <w:rsid w:val="00A5643F"/>
    <w:rsid w:val="00A56741"/>
    <w:rsid w:val="00A56C99"/>
    <w:rsid w:val="00A578E0"/>
    <w:rsid w:val="00A61080"/>
    <w:rsid w:val="00A61336"/>
    <w:rsid w:val="00A6185F"/>
    <w:rsid w:val="00A61C5B"/>
    <w:rsid w:val="00A62049"/>
    <w:rsid w:val="00A62487"/>
    <w:rsid w:val="00A63863"/>
    <w:rsid w:val="00A63948"/>
    <w:rsid w:val="00A6404D"/>
    <w:rsid w:val="00A6493D"/>
    <w:rsid w:val="00A65414"/>
    <w:rsid w:val="00A65EC5"/>
    <w:rsid w:val="00A664E0"/>
    <w:rsid w:val="00A66614"/>
    <w:rsid w:val="00A66AB3"/>
    <w:rsid w:val="00A66B35"/>
    <w:rsid w:val="00A66BD2"/>
    <w:rsid w:val="00A66C7C"/>
    <w:rsid w:val="00A66EE2"/>
    <w:rsid w:val="00A673F7"/>
    <w:rsid w:val="00A677E9"/>
    <w:rsid w:val="00A7003F"/>
    <w:rsid w:val="00A70464"/>
    <w:rsid w:val="00A70EAE"/>
    <w:rsid w:val="00A717D9"/>
    <w:rsid w:val="00A71FCC"/>
    <w:rsid w:val="00A72466"/>
    <w:rsid w:val="00A72517"/>
    <w:rsid w:val="00A726EE"/>
    <w:rsid w:val="00A731E3"/>
    <w:rsid w:val="00A73368"/>
    <w:rsid w:val="00A739D8"/>
    <w:rsid w:val="00A73BDB"/>
    <w:rsid w:val="00A73DBD"/>
    <w:rsid w:val="00A75921"/>
    <w:rsid w:val="00A76038"/>
    <w:rsid w:val="00A768BD"/>
    <w:rsid w:val="00A76A85"/>
    <w:rsid w:val="00A772FD"/>
    <w:rsid w:val="00A77957"/>
    <w:rsid w:val="00A8084C"/>
    <w:rsid w:val="00A81E83"/>
    <w:rsid w:val="00A83600"/>
    <w:rsid w:val="00A83A52"/>
    <w:rsid w:val="00A84DF7"/>
    <w:rsid w:val="00A8592B"/>
    <w:rsid w:val="00A8613A"/>
    <w:rsid w:val="00A86267"/>
    <w:rsid w:val="00A8629B"/>
    <w:rsid w:val="00A862BA"/>
    <w:rsid w:val="00A86677"/>
    <w:rsid w:val="00A867BC"/>
    <w:rsid w:val="00A872B3"/>
    <w:rsid w:val="00A90117"/>
    <w:rsid w:val="00A9013C"/>
    <w:rsid w:val="00A9099B"/>
    <w:rsid w:val="00A90B0F"/>
    <w:rsid w:val="00A936B5"/>
    <w:rsid w:val="00A954A1"/>
    <w:rsid w:val="00A96D60"/>
    <w:rsid w:val="00A97702"/>
    <w:rsid w:val="00AA018E"/>
    <w:rsid w:val="00AA0329"/>
    <w:rsid w:val="00AA1732"/>
    <w:rsid w:val="00AA1833"/>
    <w:rsid w:val="00AA19FE"/>
    <w:rsid w:val="00AA1E8E"/>
    <w:rsid w:val="00AA1F6D"/>
    <w:rsid w:val="00AA31F2"/>
    <w:rsid w:val="00AA3E39"/>
    <w:rsid w:val="00AA502B"/>
    <w:rsid w:val="00AA69C5"/>
    <w:rsid w:val="00AA715A"/>
    <w:rsid w:val="00AA7D30"/>
    <w:rsid w:val="00AB0CCA"/>
    <w:rsid w:val="00AB24BD"/>
    <w:rsid w:val="00AB2D54"/>
    <w:rsid w:val="00AB31D6"/>
    <w:rsid w:val="00AB3E3F"/>
    <w:rsid w:val="00AB4C80"/>
    <w:rsid w:val="00AB4D9D"/>
    <w:rsid w:val="00AB5138"/>
    <w:rsid w:val="00AB5D74"/>
    <w:rsid w:val="00AB6D99"/>
    <w:rsid w:val="00AB7127"/>
    <w:rsid w:val="00AB73C1"/>
    <w:rsid w:val="00AB7951"/>
    <w:rsid w:val="00AB7AC2"/>
    <w:rsid w:val="00AC0ED2"/>
    <w:rsid w:val="00AC1997"/>
    <w:rsid w:val="00AC204F"/>
    <w:rsid w:val="00AC246A"/>
    <w:rsid w:val="00AC28C0"/>
    <w:rsid w:val="00AC2A24"/>
    <w:rsid w:val="00AC2C11"/>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3A03"/>
    <w:rsid w:val="00AD4C5F"/>
    <w:rsid w:val="00AD51E7"/>
    <w:rsid w:val="00AD56BD"/>
    <w:rsid w:val="00AD5DCD"/>
    <w:rsid w:val="00AD69BD"/>
    <w:rsid w:val="00AD6AD6"/>
    <w:rsid w:val="00AD7823"/>
    <w:rsid w:val="00AE073B"/>
    <w:rsid w:val="00AE1762"/>
    <w:rsid w:val="00AE1EA1"/>
    <w:rsid w:val="00AE208C"/>
    <w:rsid w:val="00AE2107"/>
    <w:rsid w:val="00AE2303"/>
    <w:rsid w:val="00AE255F"/>
    <w:rsid w:val="00AE2963"/>
    <w:rsid w:val="00AE3665"/>
    <w:rsid w:val="00AE406D"/>
    <w:rsid w:val="00AE41EE"/>
    <w:rsid w:val="00AE5A9F"/>
    <w:rsid w:val="00AE6177"/>
    <w:rsid w:val="00AE73AB"/>
    <w:rsid w:val="00AE7BC2"/>
    <w:rsid w:val="00AF0689"/>
    <w:rsid w:val="00AF1FD9"/>
    <w:rsid w:val="00AF21CC"/>
    <w:rsid w:val="00AF2678"/>
    <w:rsid w:val="00AF2A7C"/>
    <w:rsid w:val="00AF3250"/>
    <w:rsid w:val="00AF38E8"/>
    <w:rsid w:val="00AF3928"/>
    <w:rsid w:val="00AF3B19"/>
    <w:rsid w:val="00AF479B"/>
    <w:rsid w:val="00AF4B24"/>
    <w:rsid w:val="00AF4B30"/>
    <w:rsid w:val="00AF5338"/>
    <w:rsid w:val="00AF539A"/>
    <w:rsid w:val="00AF64E2"/>
    <w:rsid w:val="00AF6526"/>
    <w:rsid w:val="00AF714C"/>
    <w:rsid w:val="00AF7323"/>
    <w:rsid w:val="00B0036E"/>
    <w:rsid w:val="00B003D1"/>
    <w:rsid w:val="00B0058B"/>
    <w:rsid w:val="00B0065F"/>
    <w:rsid w:val="00B00B92"/>
    <w:rsid w:val="00B00C72"/>
    <w:rsid w:val="00B017B7"/>
    <w:rsid w:val="00B019E9"/>
    <w:rsid w:val="00B01A3F"/>
    <w:rsid w:val="00B02ADE"/>
    <w:rsid w:val="00B04741"/>
    <w:rsid w:val="00B04B55"/>
    <w:rsid w:val="00B04B81"/>
    <w:rsid w:val="00B04C01"/>
    <w:rsid w:val="00B057E6"/>
    <w:rsid w:val="00B0597D"/>
    <w:rsid w:val="00B05BA5"/>
    <w:rsid w:val="00B05E38"/>
    <w:rsid w:val="00B0650B"/>
    <w:rsid w:val="00B0656E"/>
    <w:rsid w:val="00B0658B"/>
    <w:rsid w:val="00B06AAC"/>
    <w:rsid w:val="00B06FB2"/>
    <w:rsid w:val="00B07E07"/>
    <w:rsid w:val="00B1054F"/>
    <w:rsid w:val="00B10635"/>
    <w:rsid w:val="00B10A0D"/>
    <w:rsid w:val="00B10F79"/>
    <w:rsid w:val="00B1148B"/>
    <w:rsid w:val="00B116F5"/>
    <w:rsid w:val="00B11997"/>
    <w:rsid w:val="00B1205D"/>
    <w:rsid w:val="00B12557"/>
    <w:rsid w:val="00B12996"/>
    <w:rsid w:val="00B13D5F"/>
    <w:rsid w:val="00B1475C"/>
    <w:rsid w:val="00B147AB"/>
    <w:rsid w:val="00B14C46"/>
    <w:rsid w:val="00B14DEC"/>
    <w:rsid w:val="00B1513C"/>
    <w:rsid w:val="00B15767"/>
    <w:rsid w:val="00B16FF7"/>
    <w:rsid w:val="00B1779F"/>
    <w:rsid w:val="00B17EFB"/>
    <w:rsid w:val="00B201E8"/>
    <w:rsid w:val="00B20EAC"/>
    <w:rsid w:val="00B20F02"/>
    <w:rsid w:val="00B21811"/>
    <w:rsid w:val="00B2182D"/>
    <w:rsid w:val="00B21FED"/>
    <w:rsid w:val="00B232D4"/>
    <w:rsid w:val="00B23712"/>
    <w:rsid w:val="00B238B1"/>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E15"/>
    <w:rsid w:val="00B30EF1"/>
    <w:rsid w:val="00B311A9"/>
    <w:rsid w:val="00B31BB3"/>
    <w:rsid w:val="00B31E74"/>
    <w:rsid w:val="00B31F3B"/>
    <w:rsid w:val="00B32853"/>
    <w:rsid w:val="00B32AB1"/>
    <w:rsid w:val="00B3310A"/>
    <w:rsid w:val="00B33D0E"/>
    <w:rsid w:val="00B33F0B"/>
    <w:rsid w:val="00B34059"/>
    <w:rsid w:val="00B350C6"/>
    <w:rsid w:val="00B35D10"/>
    <w:rsid w:val="00B35E56"/>
    <w:rsid w:val="00B363C7"/>
    <w:rsid w:val="00B367F4"/>
    <w:rsid w:val="00B368E3"/>
    <w:rsid w:val="00B40674"/>
    <w:rsid w:val="00B412B9"/>
    <w:rsid w:val="00B415AD"/>
    <w:rsid w:val="00B42A20"/>
    <w:rsid w:val="00B43362"/>
    <w:rsid w:val="00B4350B"/>
    <w:rsid w:val="00B435C3"/>
    <w:rsid w:val="00B43C8E"/>
    <w:rsid w:val="00B4487A"/>
    <w:rsid w:val="00B46327"/>
    <w:rsid w:val="00B4677F"/>
    <w:rsid w:val="00B47724"/>
    <w:rsid w:val="00B47893"/>
    <w:rsid w:val="00B47F06"/>
    <w:rsid w:val="00B5071D"/>
    <w:rsid w:val="00B50A5B"/>
    <w:rsid w:val="00B5223A"/>
    <w:rsid w:val="00B52890"/>
    <w:rsid w:val="00B52F10"/>
    <w:rsid w:val="00B53C3C"/>
    <w:rsid w:val="00B54C21"/>
    <w:rsid w:val="00B56BEB"/>
    <w:rsid w:val="00B56F1D"/>
    <w:rsid w:val="00B57278"/>
    <w:rsid w:val="00B57705"/>
    <w:rsid w:val="00B612D9"/>
    <w:rsid w:val="00B62325"/>
    <w:rsid w:val="00B62865"/>
    <w:rsid w:val="00B63107"/>
    <w:rsid w:val="00B638ED"/>
    <w:rsid w:val="00B63DDB"/>
    <w:rsid w:val="00B644BE"/>
    <w:rsid w:val="00B64DC7"/>
    <w:rsid w:val="00B65F04"/>
    <w:rsid w:val="00B65F35"/>
    <w:rsid w:val="00B660EF"/>
    <w:rsid w:val="00B663CE"/>
    <w:rsid w:val="00B66401"/>
    <w:rsid w:val="00B6650E"/>
    <w:rsid w:val="00B66574"/>
    <w:rsid w:val="00B66AC8"/>
    <w:rsid w:val="00B672EC"/>
    <w:rsid w:val="00B7048F"/>
    <w:rsid w:val="00B70B6E"/>
    <w:rsid w:val="00B72699"/>
    <w:rsid w:val="00B739A4"/>
    <w:rsid w:val="00B73A46"/>
    <w:rsid w:val="00B743D7"/>
    <w:rsid w:val="00B751F4"/>
    <w:rsid w:val="00B75269"/>
    <w:rsid w:val="00B754AD"/>
    <w:rsid w:val="00B75885"/>
    <w:rsid w:val="00B75DEA"/>
    <w:rsid w:val="00B76713"/>
    <w:rsid w:val="00B76943"/>
    <w:rsid w:val="00B81259"/>
    <w:rsid w:val="00B82A66"/>
    <w:rsid w:val="00B82E11"/>
    <w:rsid w:val="00B83AEE"/>
    <w:rsid w:val="00B842EC"/>
    <w:rsid w:val="00B844A4"/>
    <w:rsid w:val="00B85D3C"/>
    <w:rsid w:val="00B86DF9"/>
    <w:rsid w:val="00B871D7"/>
    <w:rsid w:val="00B8786B"/>
    <w:rsid w:val="00B87B49"/>
    <w:rsid w:val="00B87CA3"/>
    <w:rsid w:val="00B900C1"/>
    <w:rsid w:val="00B902F6"/>
    <w:rsid w:val="00B909F2"/>
    <w:rsid w:val="00B91AB4"/>
    <w:rsid w:val="00B92910"/>
    <w:rsid w:val="00B934F7"/>
    <w:rsid w:val="00B938A6"/>
    <w:rsid w:val="00B939A4"/>
    <w:rsid w:val="00B941BA"/>
    <w:rsid w:val="00B947E4"/>
    <w:rsid w:val="00B954E3"/>
    <w:rsid w:val="00B95B9A"/>
    <w:rsid w:val="00B9607F"/>
    <w:rsid w:val="00B9674D"/>
    <w:rsid w:val="00B96A49"/>
    <w:rsid w:val="00B97270"/>
    <w:rsid w:val="00B97CF5"/>
    <w:rsid w:val="00B97D66"/>
    <w:rsid w:val="00B97EB5"/>
    <w:rsid w:val="00BA0666"/>
    <w:rsid w:val="00BA0707"/>
    <w:rsid w:val="00BA1490"/>
    <w:rsid w:val="00BA1F88"/>
    <w:rsid w:val="00BA23E1"/>
    <w:rsid w:val="00BA2600"/>
    <w:rsid w:val="00BA29A7"/>
    <w:rsid w:val="00BA3004"/>
    <w:rsid w:val="00BA32A7"/>
    <w:rsid w:val="00BA3C13"/>
    <w:rsid w:val="00BA4512"/>
    <w:rsid w:val="00BA4C27"/>
    <w:rsid w:val="00BA65A9"/>
    <w:rsid w:val="00BA68A6"/>
    <w:rsid w:val="00BA741C"/>
    <w:rsid w:val="00BA756F"/>
    <w:rsid w:val="00BA794E"/>
    <w:rsid w:val="00BA79B0"/>
    <w:rsid w:val="00BA7A56"/>
    <w:rsid w:val="00BB0250"/>
    <w:rsid w:val="00BB0C2F"/>
    <w:rsid w:val="00BB0E5C"/>
    <w:rsid w:val="00BB13BC"/>
    <w:rsid w:val="00BB205E"/>
    <w:rsid w:val="00BB2304"/>
    <w:rsid w:val="00BB31B0"/>
    <w:rsid w:val="00BB3BDF"/>
    <w:rsid w:val="00BB4720"/>
    <w:rsid w:val="00BB4A94"/>
    <w:rsid w:val="00BB4AC1"/>
    <w:rsid w:val="00BB4AE8"/>
    <w:rsid w:val="00BB4D73"/>
    <w:rsid w:val="00BB516F"/>
    <w:rsid w:val="00BB5CB1"/>
    <w:rsid w:val="00BB6869"/>
    <w:rsid w:val="00BB6A1F"/>
    <w:rsid w:val="00BB7555"/>
    <w:rsid w:val="00BB76DE"/>
    <w:rsid w:val="00BB79CD"/>
    <w:rsid w:val="00BB7D5F"/>
    <w:rsid w:val="00BC10BD"/>
    <w:rsid w:val="00BC10CD"/>
    <w:rsid w:val="00BC1157"/>
    <w:rsid w:val="00BC286E"/>
    <w:rsid w:val="00BC3A25"/>
    <w:rsid w:val="00BC485C"/>
    <w:rsid w:val="00BC4B23"/>
    <w:rsid w:val="00BC56A6"/>
    <w:rsid w:val="00BC5F47"/>
    <w:rsid w:val="00BC5F57"/>
    <w:rsid w:val="00BC62D4"/>
    <w:rsid w:val="00BC692A"/>
    <w:rsid w:val="00BD0C73"/>
    <w:rsid w:val="00BD19C4"/>
    <w:rsid w:val="00BD1A6A"/>
    <w:rsid w:val="00BD1B09"/>
    <w:rsid w:val="00BD1C97"/>
    <w:rsid w:val="00BD22EF"/>
    <w:rsid w:val="00BD2AB9"/>
    <w:rsid w:val="00BD2BE7"/>
    <w:rsid w:val="00BD372C"/>
    <w:rsid w:val="00BD40E2"/>
    <w:rsid w:val="00BD46F8"/>
    <w:rsid w:val="00BD4A4E"/>
    <w:rsid w:val="00BD4B91"/>
    <w:rsid w:val="00BD5039"/>
    <w:rsid w:val="00BD573F"/>
    <w:rsid w:val="00BD5ADA"/>
    <w:rsid w:val="00BD6C2C"/>
    <w:rsid w:val="00BD7513"/>
    <w:rsid w:val="00BD7A5E"/>
    <w:rsid w:val="00BD7CEA"/>
    <w:rsid w:val="00BD7DF7"/>
    <w:rsid w:val="00BD7F35"/>
    <w:rsid w:val="00BE0481"/>
    <w:rsid w:val="00BE0798"/>
    <w:rsid w:val="00BE0FA0"/>
    <w:rsid w:val="00BE1924"/>
    <w:rsid w:val="00BE1A9B"/>
    <w:rsid w:val="00BE230B"/>
    <w:rsid w:val="00BE248C"/>
    <w:rsid w:val="00BE2DEA"/>
    <w:rsid w:val="00BE2E58"/>
    <w:rsid w:val="00BE30E6"/>
    <w:rsid w:val="00BE3268"/>
    <w:rsid w:val="00BE332E"/>
    <w:rsid w:val="00BE38A1"/>
    <w:rsid w:val="00BE3DEA"/>
    <w:rsid w:val="00BE3FBC"/>
    <w:rsid w:val="00BE3FD9"/>
    <w:rsid w:val="00BE4D27"/>
    <w:rsid w:val="00BE5025"/>
    <w:rsid w:val="00BE6271"/>
    <w:rsid w:val="00BE7645"/>
    <w:rsid w:val="00BE7A36"/>
    <w:rsid w:val="00BE7AC3"/>
    <w:rsid w:val="00BE7C01"/>
    <w:rsid w:val="00BF0FC3"/>
    <w:rsid w:val="00BF183D"/>
    <w:rsid w:val="00BF1889"/>
    <w:rsid w:val="00BF1DDF"/>
    <w:rsid w:val="00BF3086"/>
    <w:rsid w:val="00BF3612"/>
    <w:rsid w:val="00BF4B1C"/>
    <w:rsid w:val="00BF5C56"/>
    <w:rsid w:val="00BF63BF"/>
    <w:rsid w:val="00BF6761"/>
    <w:rsid w:val="00BF784B"/>
    <w:rsid w:val="00BF7986"/>
    <w:rsid w:val="00BF7A97"/>
    <w:rsid w:val="00BF7C75"/>
    <w:rsid w:val="00BF7FDE"/>
    <w:rsid w:val="00C012D7"/>
    <w:rsid w:val="00C018D5"/>
    <w:rsid w:val="00C031FA"/>
    <w:rsid w:val="00C03332"/>
    <w:rsid w:val="00C03555"/>
    <w:rsid w:val="00C036B8"/>
    <w:rsid w:val="00C03D8A"/>
    <w:rsid w:val="00C041C3"/>
    <w:rsid w:val="00C044A3"/>
    <w:rsid w:val="00C04EB6"/>
    <w:rsid w:val="00C06255"/>
    <w:rsid w:val="00C065C2"/>
    <w:rsid w:val="00C06646"/>
    <w:rsid w:val="00C066F9"/>
    <w:rsid w:val="00C06C70"/>
    <w:rsid w:val="00C06D40"/>
    <w:rsid w:val="00C07009"/>
    <w:rsid w:val="00C070D8"/>
    <w:rsid w:val="00C10AE3"/>
    <w:rsid w:val="00C10E55"/>
    <w:rsid w:val="00C10FB6"/>
    <w:rsid w:val="00C117E4"/>
    <w:rsid w:val="00C11978"/>
    <w:rsid w:val="00C12608"/>
    <w:rsid w:val="00C1325C"/>
    <w:rsid w:val="00C134F1"/>
    <w:rsid w:val="00C14E34"/>
    <w:rsid w:val="00C151FB"/>
    <w:rsid w:val="00C15789"/>
    <w:rsid w:val="00C1697E"/>
    <w:rsid w:val="00C175DE"/>
    <w:rsid w:val="00C177EF"/>
    <w:rsid w:val="00C2130B"/>
    <w:rsid w:val="00C21BCF"/>
    <w:rsid w:val="00C21F5A"/>
    <w:rsid w:val="00C21FA0"/>
    <w:rsid w:val="00C22D58"/>
    <w:rsid w:val="00C231AB"/>
    <w:rsid w:val="00C24A31"/>
    <w:rsid w:val="00C24A6C"/>
    <w:rsid w:val="00C24CBE"/>
    <w:rsid w:val="00C24E47"/>
    <w:rsid w:val="00C265DB"/>
    <w:rsid w:val="00C2685A"/>
    <w:rsid w:val="00C269C5"/>
    <w:rsid w:val="00C26C63"/>
    <w:rsid w:val="00C26FB7"/>
    <w:rsid w:val="00C27278"/>
    <w:rsid w:val="00C27880"/>
    <w:rsid w:val="00C3058D"/>
    <w:rsid w:val="00C306C5"/>
    <w:rsid w:val="00C31598"/>
    <w:rsid w:val="00C321B6"/>
    <w:rsid w:val="00C32EB9"/>
    <w:rsid w:val="00C32FD1"/>
    <w:rsid w:val="00C349AE"/>
    <w:rsid w:val="00C34B2E"/>
    <w:rsid w:val="00C353DE"/>
    <w:rsid w:val="00C3613B"/>
    <w:rsid w:val="00C36760"/>
    <w:rsid w:val="00C3711E"/>
    <w:rsid w:val="00C37D62"/>
    <w:rsid w:val="00C37E9D"/>
    <w:rsid w:val="00C40168"/>
    <w:rsid w:val="00C40AEE"/>
    <w:rsid w:val="00C41ACD"/>
    <w:rsid w:val="00C428E6"/>
    <w:rsid w:val="00C42E54"/>
    <w:rsid w:val="00C42F28"/>
    <w:rsid w:val="00C433AB"/>
    <w:rsid w:val="00C4373F"/>
    <w:rsid w:val="00C4383D"/>
    <w:rsid w:val="00C443F9"/>
    <w:rsid w:val="00C44AEB"/>
    <w:rsid w:val="00C45066"/>
    <w:rsid w:val="00C45135"/>
    <w:rsid w:val="00C45E6D"/>
    <w:rsid w:val="00C46051"/>
    <w:rsid w:val="00C46089"/>
    <w:rsid w:val="00C465B7"/>
    <w:rsid w:val="00C466C0"/>
    <w:rsid w:val="00C4684B"/>
    <w:rsid w:val="00C46DD9"/>
    <w:rsid w:val="00C5152A"/>
    <w:rsid w:val="00C5197C"/>
    <w:rsid w:val="00C51D6F"/>
    <w:rsid w:val="00C52FC6"/>
    <w:rsid w:val="00C530A9"/>
    <w:rsid w:val="00C5333C"/>
    <w:rsid w:val="00C535B1"/>
    <w:rsid w:val="00C5411F"/>
    <w:rsid w:val="00C54835"/>
    <w:rsid w:val="00C562C9"/>
    <w:rsid w:val="00C56D67"/>
    <w:rsid w:val="00C571BD"/>
    <w:rsid w:val="00C572EF"/>
    <w:rsid w:val="00C574C9"/>
    <w:rsid w:val="00C57C12"/>
    <w:rsid w:val="00C57C5E"/>
    <w:rsid w:val="00C60100"/>
    <w:rsid w:val="00C625E6"/>
    <w:rsid w:val="00C627F9"/>
    <w:rsid w:val="00C6298B"/>
    <w:rsid w:val="00C6316E"/>
    <w:rsid w:val="00C632F6"/>
    <w:rsid w:val="00C6358E"/>
    <w:rsid w:val="00C646B3"/>
    <w:rsid w:val="00C64D48"/>
    <w:rsid w:val="00C65612"/>
    <w:rsid w:val="00C65D66"/>
    <w:rsid w:val="00C703E5"/>
    <w:rsid w:val="00C710F3"/>
    <w:rsid w:val="00C71A7F"/>
    <w:rsid w:val="00C726E3"/>
    <w:rsid w:val="00C730A6"/>
    <w:rsid w:val="00C737B6"/>
    <w:rsid w:val="00C744BC"/>
    <w:rsid w:val="00C74E3A"/>
    <w:rsid w:val="00C7634A"/>
    <w:rsid w:val="00C7675B"/>
    <w:rsid w:val="00C76773"/>
    <w:rsid w:val="00C778DB"/>
    <w:rsid w:val="00C77A88"/>
    <w:rsid w:val="00C80194"/>
    <w:rsid w:val="00C801C3"/>
    <w:rsid w:val="00C805A4"/>
    <w:rsid w:val="00C80AB8"/>
    <w:rsid w:val="00C81507"/>
    <w:rsid w:val="00C82136"/>
    <w:rsid w:val="00C831EC"/>
    <w:rsid w:val="00C834A8"/>
    <w:rsid w:val="00C834BB"/>
    <w:rsid w:val="00C845CA"/>
    <w:rsid w:val="00C8471C"/>
    <w:rsid w:val="00C8557A"/>
    <w:rsid w:val="00C85BA5"/>
    <w:rsid w:val="00C85BE8"/>
    <w:rsid w:val="00C85F7C"/>
    <w:rsid w:val="00C8706B"/>
    <w:rsid w:val="00C870E0"/>
    <w:rsid w:val="00C8780F"/>
    <w:rsid w:val="00C9008A"/>
    <w:rsid w:val="00C90149"/>
    <w:rsid w:val="00C90612"/>
    <w:rsid w:val="00C9153C"/>
    <w:rsid w:val="00C917F4"/>
    <w:rsid w:val="00C91B72"/>
    <w:rsid w:val="00C92960"/>
    <w:rsid w:val="00C92E03"/>
    <w:rsid w:val="00C9349F"/>
    <w:rsid w:val="00C9378D"/>
    <w:rsid w:val="00C938FF"/>
    <w:rsid w:val="00C95EE3"/>
    <w:rsid w:val="00C963D9"/>
    <w:rsid w:val="00C96860"/>
    <w:rsid w:val="00C96B16"/>
    <w:rsid w:val="00C96BAE"/>
    <w:rsid w:val="00C972FF"/>
    <w:rsid w:val="00C97DAD"/>
    <w:rsid w:val="00CA0E2D"/>
    <w:rsid w:val="00CA12DC"/>
    <w:rsid w:val="00CA14C9"/>
    <w:rsid w:val="00CA2C96"/>
    <w:rsid w:val="00CA2F5A"/>
    <w:rsid w:val="00CA3658"/>
    <w:rsid w:val="00CA395A"/>
    <w:rsid w:val="00CA4488"/>
    <w:rsid w:val="00CA474E"/>
    <w:rsid w:val="00CA52FE"/>
    <w:rsid w:val="00CA5796"/>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2AFD"/>
    <w:rsid w:val="00CB2CE5"/>
    <w:rsid w:val="00CB436E"/>
    <w:rsid w:val="00CB48E4"/>
    <w:rsid w:val="00CB4959"/>
    <w:rsid w:val="00CB4A7D"/>
    <w:rsid w:val="00CB500D"/>
    <w:rsid w:val="00CB5082"/>
    <w:rsid w:val="00CB5661"/>
    <w:rsid w:val="00CB5745"/>
    <w:rsid w:val="00CB6B7A"/>
    <w:rsid w:val="00CB7342"/>
    <w:rsid w:val="00CB7378"/>
    <w:rsid w:val="00CC0892"/>
    <w:rsid w:val="00CC0B79"/>
    <w:rsid w:val="00CC196E"/>
    <w:rsid w:val="00CC19FC"/>
    <w:rsid w:val="00CC1A5E"/>
    <w:rsid w:val="00CC1B99"/>
    <w:rsid w:val="00CC2EF6"/>
    <w:rsid w:val="00CC323E"/>
    <w:rsid w:val="00CC3681"/>
    <w:rsid w:val="00CC3864"/>
    <w:rsid w:val="00CC4602"/>
    <w:rsid w:val="00CC4AC7"/>
    <w:rsid w:val="00CC4C9E"/>
    <w:rsid w:val="00CC5223"/>
    <w:rsid w:val="00CC5B84"/>
    <w:rsid w:val="00CC5D76"/>
    <w:rsid w:val="00CC66A0"/>
    <w:rsid w:val="00CC6AEE"/>
    <w:rsid w:val="00CC6F4E"/>
    <w:rsid w:val="00CC70EB"/>
    <w:rsid w:val="00CC7741"/>
    <w:rsid w:val="00CC7D81"/>
    <w:rsid w:val="00CD0D74"/>
    <w:rsid w:val="00CD0E70"/>
    <w:rsid w:val="00CD0EBF"/>
    <w:rsid w:val="00CD16CF"/>
    <w:rsid w:val="00CD2437"/>
    <w:rsid w:val="00CD27D4"/>
    <w:rsid w:val="00CD37F8"/>
    <w:rsid w:val="00CD4F9A"/>
    <w:rsid w:val="00CD6515"/>
    <w:rsid w:val="00CD6B77"/>
    <w:rsid w:val="00CD6BE6"/>
    <w:rsid w:val="00CD6ECF"/>
    <w:rsid w:val="00CD7EA6"/>
    <w:rsid w:val="00CE0167"/>
    <w:rsid w:val="00CE0756"/>
    <w:rsid w:val="00CE0C60"/>
    <w:rsid w:val="00CE1716"/>
    <w:rsid w:val="00CE2718"/>
    <w:rsid w:val="00CE2BD2"/>
    <w:rsid w:val="00CE2CE0"/>
    <w:rsid w:val="00CE334A"/>
    <w:rsid w:val="00CE3768"/>
    <w:rsid w:val="00CE377C"/>
    <w:rsid w:val="00CE3B7D"/>
    <w:rsid w:val="00CE44E3"/>
    <w:rsid w:val="00CE45CA"/>
    <w:rsid w:val="00CE49CC"/>
    <w:rsid w:val="00CE4A39"/>
    <w:rsid w:val="00CE4F65"/>
    <w:rsid w:val="00CE5AB1"/>
    <w:rsid w:val="00CE63B4"/>
    <w:rsid w:val="00CE6613"/>
    <w:rsid w:val="00CE68D4"/>
    <w:rsid w:val="00CE7FAD"/>
    <w:rsid w:val="00CF0BEE"/>
    <w:rsid w:val="00CF0EF0"/>
    <w:rsid w:val="00CF15E7"/>
    <w:rsid w:val="00CF208E"/>
    <w:rsid w:val="00CF3FEE"/>
    <w:rsid w:val="00CF4241"/>
    <w:rsid w:val="00CF4D72"/>
    <w:rsid w:val="00CF63A5"/>
    <w:rsid w:val="00CF7343"/>
    <w:rsid w:val="00D0068A"/>
    <w:rsid w:val="00D008DC"/>
    <w:rsid w:val="00D0148E"/>
    <w:rsid w:val="00D015CA"/>
    <w:rsid w:val="00D02999"/>
    <w:rsid w:val="00D02D7A"/>
    <w:rsid w:val="00D030F2"/>
    <w:rsid w:val="00D035AD"/>
    <w:rsid w:val="00D04131"/>
    <w:rsid w:val="00D06270"/>
    <w:rsid w:val="00D07248"/>
    <w:rsid w:val="00D07BCE"/>
    <w:rsid w:val="00D10A8A"/>
    <w:rsid w:val="00D11241"/>
    <w:rsid w:val="00D112A6"/>
    <w:rsid w:val="00D11F66"/>
    <w:rsid w:val="00D125D2"/>
    <w:rsid w:val="00D12DB0"/>
    <w:rsid w:val="00D12FE5"/>
    <w:rsid w:val="00D13FD5"/>
    <w:rsid w:val="00D14532"/>
    <w:rsid w:val="00D15A8B"/>
    <w:rsid w:val="00D15BAA"/>
    <w:rsid w:val="00D1628A"/>
    <w:rsid w:val="00D16723"/>
    <w:rsid w:val="00D16C5F"/>
    <w:rsid w:val="00D16E82"/>
    <w:rsid w:val="00D16EA8"/>
    <w:rsid w:val="00D176ED"/>
    <w:rsid w:val="00D17A91"/>
    <w:rsid w:val="00D202A9"/>
    <w:rsid w:val="00D20F3D"/>
    <w:rsid w:val="00D214B4"/>
    <w:rsid w:val="00D219F2"/>
    <w:rsid w:val="00D21E5F"/>
    <w:rsid w:val="00D238E0"/>
    <w:rsid w:val="00D238ED"/>
    <w:rsid w:val="00D23D62"/>
    <w:rsid w:val="00D246DF"/>
    <w:rsid w:val="00D24E3C"/>
    <w:rsid w:val="00D2651A"/>
    <w:rsid w:val="00D27C1C"/>
    <w:rsid w:val="00D308C4"/>
    <w:rsid w:val="00D309C5"/>
    <w:rsid w:val="00D30A4F"/>
    <w:rsid w:val="00D30D3F"/>
    <w:rsid w:val="00D31281"/>
    <w:rsid w:val="00D31591"/>
    <w:rsid w:val="00D3250D"/>
    <w:rsid w:val="00D3250F"/>
    <w:rsid w:val="00D33D18"/>
    <w:rsid w:val="00D33D44"/>
    <w:rsid w:val="00D35075"/>
    <w:rsid w:val="00D353E6"/>
    <w:rsid w:val="00D35AC9"/>
    <w:rsid w:val="00D363C8"/>
    <w:rsid w:val="00D36B97"/>
    <w:rsid w:val="00D409E4"/>
    <w:rsid w:val="00D4177D"/>
    <w:rsid w:val="00D41BCF"/>
    <w:rsid w:val="00D41D75"/>
    <w:rsid w:val="00D41E38"/>
    <w:rsid w:val="00D41F45"/>
    <w:rsid w:val="00D433AC"/>
    <w:rsid w:val="00D4456A"/>
    <w:rsid w:val="00D44FEE"/>
    <w:rsid w:val="00D45A36"/>
    <w:rsid w:val="00D45F18"/>
    <w:rsid w:val="00D47417"/>
    <w:rsid w:val="00D47CAA"/>
    <w:rsid w:val="00D50B85"/>
    <w:rsid w:val="00D511CC"/>
    <w:rsid w:val="00D513B9"/>
    <w:rsid w:val="00D52A7B"/>
    <w:rsid w:val="00D54384"/>
    <w:rsid w:val="00D543E9"/>
    <w:rsid w:val="00D55040"/>
    <w:rsid w:val="00D568ED"/>
    <w:rsid w:val="00D572D6"/>
    <w:rsid w:val="00D578B9"/>
    <w:rsid w:val="00D57D2B"/>
    <w:rsid w:val="00D6156A"/>
    <w:rsid w:val="00D624B9"/>
    <w:rsid w:val="00D62592"/>
    <w:rsid w:val="00D62681"/>
    <w:rsid w:val="00D62701"/>
    <w:rsid w:val="00D62E98"/>
    <w:rsid w:val="00D62EFA"/>
    <w:rsid w:val="00D635E8"/>
    <w:rsid w:val="00D63733"/>
    <w:rsid w:val="00D63BF1"/>
    <w:rsid w:val="00D63C1B"/>
    <w:rsid w:val="00D643BE"/>
    <w:rsid w:val="00D64ECF"/>
    <w:rsid w:val="00D6538A"/>
    <w:rsid w:val="00D6552A"/>
    <w:rsid w:val="00D66333"/>
    <w:rsid w:val="00D66335"/>
    <w:rsid w:val="00D66AFE"/>
    <w:rsid w:val="00D66F68"/>
    <w:rsid w:val="00D66FDE"/>
    <w:rsid w:val="00D670AC"/>
    <w:rsid w:val="00D70D2C"/>
    <w:rsid w:val="00D70F83"/>
    <w:rsid w:val="00D7155D"/>
    <w:rsid w:val="00D7167B"/>
    <w:rsid w:val="00D7273E"/>
    <w:rsid w:val="00D7292E"/>
    <w:rsid w:val="00D73853"/>
    <w:rsid w:val="00D739E6"/>
    <w:rsid w:val="00D74119"/>
    <w:rsid w:val="00D744FF"/>
    <w:rsid w:val="00D746A9"/>
    <w:rsid w:val="00D757A6"/>
    <w:rsid w:val="00D75F9F"/>
    <w:rsid w:val="00D76030"/>
    <w:rsid w:val="00D765A6"/>
    <w:rsid w:val="00D76795"/>
    <w:rsid w:val="00D8064F"/>
    <w:rsid w:val="00D80F2D"/>
    <w:rsid w:val="00D81474"/>
    <w:rsid w:val="00D814AB"/>
    <w:rsid w:val="00D81B96"/>
    <w:rsid w:val="00D821C0"/>
    <w:rsid w:val="00D822BE"/>
    <w:rsid w:val="00D82FA6"/>
    <w:rsid w:val="00D8428A"/>
    <w:rsid w:val="00D849C1"/>
    <w:rsid w:val="00D84F2C"/>
    <w:rsid w:val="00D867DD"/>
    <w:rsid w:val="00D905EA"/>
    <w:rsid w:val="00D90B00"/>
    <w:rsid w:val="00D912E8"/>
    <w:rsid w:val="00D91350"/>
    <w:rsid w:val="00D9212F"/>
    <w:rsid w:val="00D922C3"/>
    <w:rsid w:val="00D93080"/>
    <w:rsid w:val="00D94745"/>
    <w:rsid w:val="00D948A7"/>
    <w:rsid w:val="00D95BF4"/>
    <w:rsid w:val="00DA20DB"/>
    <w:rsid w:val="00DA264A"/>
    <w:rsid w:val="00DA2788"/>
    <w:rsid w:val="00DA364B"/>
    <w:rsid w:val="00DA37BA"/>
    <w:rsid w:val="00DA3AEC"/>
    <w:rsid w:val="00DA46D5"/>
    <w:rsid w:val="00DA4AA4"/>
    <w:rsid w:val="00DA5063"/>
    <w:rsid w:val="00DA5352"/>
    <w:rsid w:val="00DA5721"/>
    <w:rsid w:val="00DA6E48"/>
    <w:rsid w:val="00DA7284"/>
    <w:rsid w:val="00DA78F3"/>
    <w:rsid w:val="00DA7FE7"/>
    <w:rsid w:val="00DB01E8"/>
    <w:rsid w:val="00DB1239"/>
    <w:rsid w:val="00DB2B7A"/>
    <w:rsid w:val="00DB2D1E"/>
    <w:rsid w:val="00DB2F89"/>
    <w:rsid w:val="00DB3FEA"/>
    <w:rsid w:val="00DB42FA"/>
    <w:rsid w:val="00DB46B9"/>
    <w:rsid w:val="00DB4827"/>
    <w:rsid w:val="00DB5A77"/>
    <w:rsid w:val="00DB6279"/>
    <w:rsid w:val="00DB7BD1"/>
    <w:rsid w:val="00DC00BC"/>
    <w:rsid w:val="00DC0853"/>
    <w:rsid w:val="00DC10DF"/>
    <w:rsid w:val="00DC1B1B"/>
    <w:rsid w:val="00DC2291"/>
    <w:rsid w:val="00DC3D78"/>
    <w:rsid w:val="00DC3E36"/>
    <w:rsid w:val="00DC414A"/>
    <w:rsid w:val="00DC4FEC"/>
    <w:rsid w:val="00DC5AE8"/>
    <w:rsid w:val="00DC6528"/>
    <w:rsid w:val="00DC712B"/>
    <w:rsid w:val="00DC7894"/>
    <w:rsid w:val="00DD0F58"/>
    <w:rsid w:val="00DD1054"/>
    <w:rsid w:val="00DD14E6"/>
    <w:rsid w:val="00DD24DD"/>
    <w:rsid w:val="00DD367D"/>
    <w:rsid w:val="00DD39C7"/>
    <w:rsid w:val="00DD4360"/>
    <w:rsid w:val="00DD4C58"/>
    <w:rsid w:val="00DD6311"/>
    <w:rsid w:val="00DD73EC"/>
    <w:rsid w:val="00DD7A56"/>
    <w:rsid w:val="00DD7F8E"/>
    <w:rsid w:val="00DE051B"/>
    <w:rsid w:val="00DE0D10"/>
    <w:rsid w:val="00DE0DD8"/>
    <w:rsid w:val="00DE10A5"/>
    <w:rsid w:val="00DE1AF7"/>
    <w:rsid w:val="00DE2254"/>
    <w:rsid w:val="00DE28FE"/>
    <w:rsid w:val="00DE2906"/>
    <w:rsid w:val="00DE2A23"/>
    <w:rsid w:val="00DE34FD"/>
    <w:rsid w:val="00DE358E"/>
    <w:rsid w:val="00DE4110"/>
    <w:rsid w:val="00DE5682"/>
    <w:rsid w:val="00DE6D2B"/>
    <w:rsid w:val="00DE73D4"/>
    <w:rsid w:val="00DE7811"/>
    <w:rsid w:val="00DF0C2E"/>
    <w:rsid w:val="00DF0E39"/>
    <w:rsid w:val="00DF118B"/>
    <w:rsid w:val="00DF15CA"/>
    <w:rsid w:val="00DF1738"/>
    <w:rsid w:val="00DF26C7"/>
    <w:rsid w:val="00DF28F2"/>
    <w:rsid w:val="00DF2FC3"/>
    <w:rsid w:val="00DF3CEE"/>
    <w:rsid w:val="00DF400D"/>
    <w:rsid w:val="00DF48E9"/>
    <w:rsid w:val="00DF4A8C"/>
    <w:rsid w:val="00DF4B04"/>
    <w:rsid w:val="00DF4EB7"/>
    <w:rsid w:val="00DF595B"/>
    <w:rsid w:val="00DF6F3F"/>
    <w:rsid w:val="00DF7888"/>
    <w:rsid w:val="00E00C30"/>
    <w:rsid w:val="00E031A2"/>
    <w:rsid w:val="00E035D3"/>
    <w:rsid w:val="00E03856"/>
    <w:rsid w:val="00E03E2C"/>
    <w:rsid w:val="00E06050"/>
    <w:rsid w:val="00E06578"/>
    <w:rsid w:val="00E06FE8"/>
    <w:rsid w:val="00E07158"/>
    <w:rsid w:val="00E072E8"/>
    <w:rsid w:val="00E07BB2"/>
    <w:rsid w:val="00E106AF"/>
    <w:rsid w:val="00E10A4B"/>
    <w:rsid w:val="00E1209C"/>
    <w:rsid w:val="00E130A5"/>
    <w:rsid w:val="00E134AB"/>
    <w:rsid w:val="00E13599"/>
    <w:rsid w:val="00E14562"/>
    <w:rsid w:val="00E14FF2"/>
    <w:rsid w:val="00E154DF"/>
    <w:rsid w:val="00E156E8"/>
    <w:rsid w:val="00E161AF"/>
    <w:rsid w:val="00E17556"/>
    <w:rsid w:val="00E20102"/>
    <w:rsid w:val="00E20EAD"/>
    <w:rsid w:val="00E215F4"/>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A4B"/>
    <w:rsid w:val="00E33C07"/>
    <w:rsid w:val="00E345B7"/>
    <w:rsid w:val="00E34B9D"/>
    <w:rsid w:val="00E357D3"/>
    <w:rsid w:val="00E35CB6"/>
    <w:rsid w:val="00E35CF5"/>
    <w:rsid w:val="00E35E95"/>
    <w:rsid w:val="00E37171"/>
    <w:rsid w:val="00E4006A"/>
    <w:rsid w:val="00E41068"/>
    <w:rsid w:val="00E41167"/>
    <w:rsid w:val="00E41259"/>
    <w:rsid w:val="00E42F02"/>
    <w:rsid w:val="00E44BAA"/>
    <w:rsid w:val="00E46F60"/>
    <w:rsid w:val="00E472E9"/>
    <w:rsid w:val="00E5029B"/>
    <w:rsid w:val="00E50460"/>
    <w:rsid w:val="00E508C1"/>
    <w:rsid w:val="00E52A26"/>
    <w:rsid w:val="00E52E72"/>
    <w:rsid w:val="00E534E4"/>
    <w:rsid w:val="00E53C35"/>
    <w:rsid w:val="00E53EFA"/>
    <w:rsid w:val="00E544B3"/>
    <w:rsid w:val="00E54987"/>
    <w:rsid w:val="00E55393"/>
    <w:rsid w:val="00E55475"/>
    <w:rsid w:val="00E564C0"/>
    <w:rsid w:val="00E56D21"/>
    <w:rsid w:val="00E579CD"/>
    <w:rsid w:val="00E61255"/>
    <w:rsid w:val="00E6206A"/>
    <w:rsid w:val="00E62BC4"/>
    <w:rsid w:val="00E63984"/>
    <w:rsid w:val="00E63A2B"/>
    <w:rsid w:val="00E64551"/>
    <w:rsid w:val="00E646F9"/>
    <w:rsid w:val="00E64830"/>
    <w:rsid w:val="00E64CCC"/>
    <w:rsid w:val="00E65F5F"/>
    <w:rsid w:val="00E66087"/>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4E0D"/>
    <w:rsid w:val="00E7500D"/>
    <w:rsid w:val="00E7558B"/>
    <w:rsid w:val="00E75687"/>
    <w:rsid w:val="00E7620C"/>
    <w:rsid w:val="00E762F8"/>
    <w:rsid w:val="00E766EB"/>
    <w:rsid w:val="00E77153"/>
    <w:rsid w:val="00E77288"/>
    <w:rsid w:val="00E7767D"/>
    <w:rsid w:val="00E77F1E"/>
    <w:rsid w:val="00E804FE"/>
    <w:rsid w:val="00E80675"/>
    <w:rsid w:val="00E8080C"/>
    <w:rsid w:val="00E80C25"/>
    <w:rsid w:val="00E80F06"/>
    <w:rsid w:val="00E8102F"/>
    <w:rsid w:val="00E8145C"/>
    <w:rsid w:val="00E81BC1"/>
    <w:rsid w:val="00E822D9"/>
    <w:rsid w:val="00E82ECE"/>
    <w:rsid w:val="00E85257"/>
    <w:rsid w:val="00E85394"/>
    <w:rsid w:val="00E85A8C"/>
    <w:rsid w:val="00E86E33"/>
    <w:rsid w:val="00E87953"/>
    <w:rsid w:val="00E87D4D"/>
    <w:rsid w:val="00E90027"/>
    <w:rsid w:val="00E901CE"/>
    <w:rsid w:val="00E90485"/>
    <w:rsid w:val="00E906C1"/>
    <w:rsid w:val="00E90B6F"/>
    <w:rsid w:val="00E917F5"/>
    <w:rsid w:val="00E92222"/>
    <w:rsid w:val="00E9231A"/>
    <w:rsid w:val="00E929A5"/>
    <w:rsid w:val="00E92A4A"/>
    <w:rsid w:val="00E93598"/>
    <w:rsid w:val="00E93A30"/>
    <w:rsid w:val="00E9432A"/>
    <w:rsid w:val="00E947A1"/>
    <w:rsid w:val="00E952D9"/>
    <w:rsid w:val="00E95AFA"/>
    <w:rsid w:val="00E97819"/>
    <w:rsid w:val="00EA0C12"/>
    <w:rsid w:val="00EA0C6C"/>
    <w:rsid w:val="00EA0F2B"/>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AE5"/>
    <w:rsid w:val="00EA61BC"/>
    <w:rsid w:val="00EA6918"/>
    <w:rsid w:val="00EB0AE5"/>
    <w:rsid w:val="00EB0E46"/>
    <w:rsid w:val="00EB18FB"/>
    <w:rsid w:val="00EB1A89"/>
    <w:rsid w:val="00EB1C31"/>
    <w:rsid w:val="00EB2124"/>
    <w:rsid w:val="00EB2234"/>
    <w:rsid w:val="00EB2905"/>
    <w:rsid w:val="00EB2AD8"/>
    <w:rsid w:val="00EB2B3F"/>
    <w:rsid w:val="00EB3514"/>
    <w:rsid w:val="00EB357C"/>
    <w:rsid w:val="00EB3E62"/>
    <w:rsid w:val="00EB42F3"/>
    <w:rsid w:val="00EB4DA8"/>
    <w:rsid w:val="00EB5877"/>
    <w:rsid w:val="00EB5B79"/>
    <w:rsid w:val="00EB65CA"/>
    <w:rsid w:val="00EB6C66"/>
    <w:rsid w:val="00EC05F0"/>
    <w:rsid w:val="00EC16BB"/>
    <w:rsid w:val="00EC1C09"/>
    <w:rsid w:val="00EC1F23"/>
    <w:rsid w:val="00EC2E49"/>
    <w:rsid w:val="00EC36C8"/>
    <w:rsid w:val="00EC3F66"/>
    <w:rsid w:val="00EC4C52"/>
    <w:rsid w:val="00EC5B54"/>
    <w:rsid w:val="00EC5BFE"/>
    <w:rsid w:val="00EC5C9D"/>
    <w:rsid w:val="00EC699A"/>
    <w:rsid w:val="00EC6ACF"/>
    <w:rsid w:val="00EC6DA4"/>
    <w:rsid w:val="00ED0F02"/>
    <w:rsid w:val="00ED12C0"/>
    <w:rsid w:val="00ED13E7"/>
    <w:rsid w:val="00ED1E1D"/>
    <w:rsid w:val="00ED2410"/>
    <w:rsid w:val="00ED3854"/>
    <w:rsid w:val="00ED3FD8"/>
    <w:rsid w:val="00ED40BF"/>
    <w:rsid w:val="00ED5504"/>
    <w:rsid w:val="00ED589D"/>
    <w:rsid w:val="00ED67E8"/>
    <w:rsid w:val="00ED6F81"/>
    <w:rsid w:val="00ED76AC"/>
    <w:rsid w:val="00EE0216"/>
    <w:rsid w:val="00EE035D"/>
    <w:rsid w:val="00EE06AF"/>
    <w:rsid w:val="00EE13B0"/>
    <w:rsid w:val="00EE19D2"/>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1978"/>
    <w:rsid w:val="00EF2279"/>
    <w:rsid w:val="00EF228F"/>
    <w:rsid w:val="00EF2E07"/>
    <w:rsid w:val="00EF4590"/>
    <w:rsid w:val="00EF49C7"/>
    <w:rsid w:val="00EF5364"/>
    <w:rsid w:val="00EF5637"/>
    <w:rsid w:val="00EF56BF"/>
    <w:rsid w:val="00EF69A0"/>
    <w:rsid w:val="00EF6A68"/>
    <w:rsid w:val="00EF6AE8"/>
    <w:rsid w:val="00EF762C"/>
    <w:rsid w:val="00EF7CDD"/>
    <w:rsid w:val="00EF7D7B"/>
    <w:rsid w:val="00EF7EF4"/>
    <w:rsid w:val="00F003C2"/>
    <w:rsid w:val="00F0182C"/>
    <w:rsid w:val="00F0242E"/>
    <w:rsid w:val="00F02E9F"/>
    <w:rsid w:val="00F039AC"/>
    <w:rsid w:val="00F043EA"/>
    <w:rsid w:val="00F05845"/>
    <w:rsid w:val="00F0652C"/>
    <w:rsid w:val="00F06EC5"/>
    <w:rsid w:val="00F07323"/>
    <w:rsid w:val="00F079FA"/>
    <w:rsid w:val="00F07ACA"/>
    <w:rsid w:val="00F1020A"/>
    <w:rsid w:val="00F10B26"/>
    <w:rsid w:val="00F11BEC"/>
    <w:rsid w:val="00F1314F"/>
    <w:rsid w:val="00F135DC"/>
    <w:rsid w:val="00F14B59"/>
    <w:rsid w:val="00F15585"/>
    <w:rsid w:val="00F20EA0"/>
    <w:rsid w:val="00F21F1B"/>
    <w:rsid w:val="00F227E2"/>
    <w:rsid w:val="00F22928"/>
    <w:rsid w:val="00F23A1B"/>
    <w:rsid w:val="00F249BF"/>
    <w:rsid w:val="00F25A10"/>
    <w:rsid w:val="00F26A30"/>
    <w:rsid w:val="00F26AF3"/>
    <w:rsid w:val="00F27B29"/>
    <w:rsid w:val="00F30075"/>
    <w:rsid w:val="00F3091E"/>
    <w:rsid w:val="00F30F9F"/>
    <w:rsid w:val="00F321C8"/>
    <w:rsid w:val="00F33098"/>
    <w:rsid w:val="00F34056"/>
    <w:rsid w:val="00F340B2"/>
    <w:rsid w:val="00F34253"/>
    <w:rsid w:val="00F3503A"/>
    <w:rsid w:val="00F3616A"/>
    <w:rsid w:val="00F36BF4"/>
    <w:rsid w:val="00F37A95"/>
    <w:rsid w:val="00F40608"/>
    <w:rsid w:val="00F410B5"/>
    <w:rsid w:val="00F411FE"/>
    <w:rsid w:val="00F41CAA"/>
    <w:rsid w:val="00F42FB8"/>
    <w:rsid w:val="00F42FD5"/>
    <w:rsid w:val="00F440FF"/>
    <w:rsid w:val="00F445DF"/>
    <w:rsid w:val="00F44961"/>
    <w:rsid w:val="00F4544C"/>
    <w:rsid w:val="00F4563D"/>
    <w:rsid w:val="00F463AB"/>
    <w:rsid w:val="00F46A5E"/>
    <w:rsid w:val="00F4773C"/>
    <w:rsid w:val="00F4796F"/>
    <w:rsid w:val="00F5030D"/>
    <w:rsid w:val="00F50AE8"/>
    <w:rsid w:val="00F51051"/>
    <w:rsid w:val="00F515B3"/>
    <w:rsid w:val="00F515DB"/>
    <w:rsid w:val="00F51B49"/>
    <w:rsid w:val="00F5260D"/>
    <w:rsid w:val="00F528E5"/>
    <w:rsid w:val="00F530ED"/>
    <w:rsid w:val="00F5340E"/>
    <w:rsid w:val="00F53459"/>
    <w:rsid w:val="00F53BF1"/>
    <w:rsid w:val="00F54CE5"/>
    <w:rsid w:val="00F55792"/>
    <w:rsid w:val="00F567A4"/>
    <w:rsid w:val="00F56A44"/>
    <w:rsid w:val="00F56FC9"/>
    <w:rsid w:val="00F57514"/>
    <w:rsid w:val="00F57D44"/>
    <w:rsid w:val="00F60C1B"/>
    <w:rsid w:val="00F611A6"/>
    <w:rsid w:val="00F613DA"/>
    <w:rsid w:val="00F61D29"/>
    <w:rsid w:val="00F61E13"/>
    <w:rsid w:val="00F6226C"/>
    <w:rsid w:val="00F62389"/>
    <w:rsid w:val="00F6243F"/>
    <w:rsid w:val="00F62841"/>
    <w:rsid w:val="00F62B9E"/>
    <w:rsid w:val="00F62BB2"/>
    <w:rsid w:val="00F62BED"/>
    <w:rsid w:val="00F63129"/>
    <w:rsid w:val="00F6352F"/>
    <w:rsid w:val="00F643B6"/>
    <w:rsid w:val="00F64A35"/>
    <w:rsid w:val="00F64A8C"/>
    <w:rsid w:val="00F64C27"/>
    <w:rsid w:val="00F64DEA"/>
    <w:rsid w:val="00F6565C"/>
    <w:rsid w:val="00F65CCC"/>
    <w:rsid w:val="00F65D05"/>
    <w:rsid w:val="00F66FB0"/>
    <w:rsid w:val="00F7005D"/>
    <w:rsid w:val="00F7027D"/>
    <w:rsid w:val="00F70479"/>
    <w:rsid w:val="00F705F6"/>
    <w:rsid w:val="00F71C84"/>
    <w:rsid w:val="00F73587"/>
    <w:rsid w:val="00F73F9F"/>
    <w:rsid w:val="00F74167"/>
    <w:rsid w:val="00F745E1"/>
    <w:rsid w:val="00F746E4"/>
    <w:rsid w:val="00F754FE"/>
    <w:rsid w:val="00F7568A"/>
    <w:rsid w:val="00F75701"/>
    <w:rsid w:val="00F75C4D"/>
    <w:rsid w:val="00F76E0E"/>
    <w:rsid w:val="00F76ED4"/>
    <w:rsid w:val="00F778D9"/>
    <w:rsid w:val="00F77BFA"/>
    <w:rsid w:val="00F77C13"/>
    <w:rsid w:val="00F77D20"/>
    <w:rsid w:val="00F8080D"/>
    <w:rsid w:val="00F8100D"/>
    <w:rsid w:val="00F81543"/>
    <w:rsid w:val="00F815AC"/>
    <w:rsid w:val="00F818F4"/>
    <w:rsid w:val="00F81E37"/>
    <w:rsid w:val="00F822BB"/>
    <w:rsid w:val="00F8303F"/>
    <w:rsid w:val="00F84628"/>
    <w:rsid w:val="00F846D7"/>
    <w:rsid w:val="00F84FA6"/>
    <w:rsid w:val="00F858D8"/>
    <w:rsid w:val="00F85B9E"/>
    <w:rsid w:val="00F86B84"/>
    <w:rsid w:val="00F86E06"/>
    <w:rsid w:val="00F86F65"/>
    <w:rsid w:val="00F9041A"/>
    <w:rsid w:val="00F90F21"/>
    <w:rsid w:val="00F914BE"/>
    <w:rsid w:val="00F91562"/>
    <w:rsid w:val="00F91835"/>
    <w:rsid w:val="00F91EEB"/>
    <w:rsid w:val="00F91FEF"/>
    <w:rsid w:val="00F9276A"/>
    <w:rsid w:val="00F92A6C"/>
    <w:rsid w:val="00F93617"/>
    <w:rsid w:val="00F94F25"/>
    <w:rsid w:val="00F9515B"/>
    <w:rsid w:val="00F954CB"/>
    <w:rsid w:val="00F95B1B"/>
    <w:rsid w:val="00F96682"/>
    <w:rsid w:val="00F9705E"/>
    <w:rsid w:val="00F9755C"/>
    <w:rsid w:val="00F978FC"/>
    <w:rsid w:val="00F97D54"/>
    <w:rsid w:val="00FA19CB"/>
    <w:rsid w:val="00FA1B15"/>
    <w:rsid w:val="00FA3E46"/>
    <w:rsid w:val="00FA4070"/>
    <w:rsid w:val="00FA4A63"/>
    <w:rsid w:val="00FA4ABC"/>
    <w:rsid w:val="00FA4D81"/>
    <w:rsid w:val="00FA508F"/>
    <w:rsid w:val="00FA5EBA"/>
    <w:rsid w:val="00FA6250"/>
    <w:rsid w:val="00FA6395"/>
    <w:rsid w:val="00FA643D"/>
    <w:rsid w:val="00FA6CB9"/>
    <w:rsid w:val="00FB03CE"/>
    <w:rsid w:val="00FB2068"/>
    <w:rsid w:val="00FB28DC"/>
    <w:rsid w:val="00FB3ABC"/>
    <w:rsid w:val="00FB3CBC"/>
    <w:rsid w:val="00FB3DC2"/>
    <w:rsid w:val="00FB45A4"/>
    <w:rsid w:val="00FB57A5"/>
    <w:rsid w:val="00FB5B40"/>
    <w:rsid w:val="00FB7A50"/>
    <w:rsid w:val="00FC04D0"/>
    <w:rsid w:val="00FC0957"/>
    <w:rsid w:val="00FC114C"/>
    <w:rsid w:val="00FC2874"/>
    <w:rsid w:val="00FC31B7"/>
    <w:rsid w:val="00FC36C8"/>
    <w:rsid w:val="00FC5200"/>
    <w:rsid w:val="00FC5ED5"/>
    <w:rsid w:val="00FC69DF"/>
    <w:rsid w:val="00FC71D1"/>
    <w:rsid w:val="00FC7674"/>
    <w:rsid w:val="00FC79F6"/>
    <w:rsid w:val="00FC7DE9"/>
    <w:rsid w:val="00FC7FF3"/>
    <w:rsid w:val="00FD03DA"/>
    <w:rsid w:val="00FD093D"/>
    <w:rsid w:val="00FD1141"/>
    <w:rsid w:val="00FD26E7"/>
    <w:rsid w:val="00FD27BC"/>
    <w:rsid w:val="00FD33A0"/>
    <w:rsid w:val="00FD33BD"/>
    <w:rsid w:val="00FD4210"/>
    <w:rsid w:val="00FD4919"/>
    <w:rsid w:val="00FD4ADE"/>
    <w:rsid w:val="00FD4E7E"/>
    <w:rsid w:val="00FD50C7"/>
    <w:rsid w:val="00FD553B"/>
    <w:rsid w:val="00FD57CC"/>
    <w:rsid w:val="00FD5D32"/>
    <w:rsid w:val="00FD5E20"/>
    <w:rsid w:val="00FD5FBA"/>
    <w:rsid w:val="00FD7344"/>
    <w:rsid w:val="00FD79B0"/>
    <w:rsid w:val="00FD7C0D"/>
    <w:rsid w:val="00FE0EAB"/>
    <w:rsid w:val="00FE1A01"/>
    <w:rsid w:val="00FE20C3"/>
    <w:rsid w:val="00FE2419"/>
    <w:rsid w:val="00FE3510"/>
    <w:rsid w:val="00FE38E6"/>
    <w:rsid w:val="00FE3BE2"/>
    <w:rsid w:val="00FE43DA"/>
    <w:rsid w:val="00FE5CF4"/>
    <w:rsid w:val="00FE5F1D"/>
    <w:rsid w:val="00FE6488"/>
    <w:rsid w:val="00FE6797"/>
    <w:rsid w:val="00FE7FDD"/>
    <w:rsid w:val="00FF02F6"/>
    <w:rsid w:val="00FF0411"/>
    <w:rsid w:val="00FF0D73"/>
    <w:rsid w:val="00FF1783"/>
    <w:rsid w:val="00FF1B2B"/>
    <w:rsid w:val="00FF2AF4"/>
    <w:rsid w:val="00FF3343"/>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3552CF88-7C70-42E9-BDA0-DBAAE09E1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979A3"/>
    <w:rPr>
      <w:rFonts w:ascii="Tahoma" w:hAnsi="Tahoma"/>
      <w:sz w:val="18"/>
      <w:szCs w:val="22"/>
    </w:rPr>
  </w:style>
  <w:style w:type="paragraph" w:styleId="Heading1">
    <w:name w:val="heading 1"/>
    <w:basedOn w:val="Normal"/>
    <w:next w:val="Normal"/>
    <w:link w:val="Heading1Char"/>
    <w:autoRedefine/>
    <w:uiPriority w:val="9"/>
    <w:qFormat/>
    <w:rsid w:val="003B23CC"/>
    <w:pPr>
      <w:keepNext/>
      <w:spacing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3B23CC"/>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836D9F"/>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uiPriority w:val="39"/>
    <w:rsid w:val="00B900C1"/>
    <w:pPr>
      <w:tabs>
        <w:tab w:val="right" w:leader="dot" w:pos="9360"/>
      </w:tabs>
      <w:ind w:left="207" w:hanging="207"/>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semiHidden/>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cs="Arial"/>
    </w:rPr>
  </w:style>
  <w:style w:type="paragraph" w:styleId="CommentText">
    <w:name w:val="annotation text"/>
    <w:basedOn w:val="Normal"/>
    <w:link w:val="CommentTextChar"/>
    <w:uiPriority w:val="99"/>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basedOn w:val="DefaultParagraphFont"/>
    <w:rsid w:val="003647E8"/>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3647E8"/>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4.png"/><Relationship Id="rId26" Type="http://schemas.openxmlformats.org/officeDocument/2006/relationships/hyperlink" Target="http://www.microsoft.com/licensing" TargetMode="External"/><Relationship Id="rId39" Type="http://schemas.openxmlformats.org/officeDocument/2006/relationships/hyperlink" Target="http://www.microsoft.com/licensing/resources/vol/numbers.mspx" TargetMode="External"/><Relationship Id="rId21" Type="http://schemas.openxmlformats.org/officeDocument/2006/relationships/header" Target="header3.xml"/><Relationship Id="rId34" Type="http://schemas.openxmlformats.org/officeDocument/2006/relationships/hyperlink" Target="http://www.windowsazure.com/en-us/support/plans/" TargetMode="External"/><Relationship Id="rId42" Type="http://schemas.openxmlformats.org/officeDocument/2006/relationships/hyperlink" Target="http://www.microsoftvolumelicensing.com/userights/PUR.aspx" TargetMode="External"/><Relationship Id="rId47" Type="http://schemas.openxmlformats.org/officeDocument/2006/relationships/hyperlink" Target="http://www.microsoft.com/licensing/contracts" TargetMode="External"/><Relationship Id="rId50" Type="http://schemas.openxmlformats.org/officeDocument/2006/relationships/hyperlink" Target="mailto:bmesupp@microsoft.com" TargetMode="External"/><Relationship Id="rId55" Type="http://schemas.openxmlformats.org/officeDocument/2006/relationships/hyperlink" Target="http://www.microsoft.com/en-us/dynamics/erp-buy-ax-software.aspx" TargetMode="Externa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www.microsoft.com/online/faq.aspx" TargetMode="External"/><Relationship Id="rId33" Type="http://schemas.openxmlformats.org/officeDocument/2006/relationships/hyperlink" Target="http://www.microsoft.com/licensing" TargetMode="External"/><Relationship Id="rId38" Type="http://schemas.openxmlformats.org/officeDocument/2006/relationships/hyperlink" Target="https://www.microsoft.com/licensing/servicecenter/default.aspx" TargetMode="External"/><Relationship Id="rId46" Type="http://schemas.openxmlformats.org/officeDocument/2006/relationships/hyperlink" Target="http://www.microsoft.com/education/pil/partnersinlearning.aspx"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29" Type="http://schemas.openxmlformats.org/officeDocument/2006/relationships/hyperlink" Target="http://support.microsoft.com/lifecycle" TargetMode="External"/><Relationship Id="rId41" Type="http://schemas.openxmlformats.org/officeDocument/2006/relationships/hyperlink" Target="http://www.microsoftvolumelicensing.com/userights/PUR.aspx" TargetMode="External"/><Relationship Id="rId54" Type="http://schemas.openxmlformats.org/officeDocument/2006/relationships/hyperlink" Target="http://www.microsoft.com"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licensing" TargetMode="External"/><Relationship Id="rId32" Type="http://schemas.openxmlformats.org/officeDocument/2006/relationships/hyperlink" Target="http://www.microsoft.com/technet/subscription" TargetMode="External"/><Relationship Id="rId37" Type="http://schemas.openxmlformats.org/officeDocument/2006/relationships/hyperlink" Target="http://www.microsoft.com/products/exporting/basics.htm" TargetMode="External"/><Relationship Id="rId40" Type="http://schemas.openxmlformats.org/officeDocument/2006/relationships/hyperlink" Target="http://www.microsoft.com/licensing/resources/vol/volumelicensekey/default.mspx" TargetMode="External"/><Relationship Id="rId45" Type="http://schemas.openxmlformats.org/officeDocument/2006/relationships/hyperlink" Target="http://www.microsoft.com/en-us/windows/windowsintune/faq/default.aspx" TargetMode="External"/><Relationship Id="rId53" Type="http://schemas.openxmlformats.org/officeDocument/2006/relationships/hyperlink" Target="http://www.microsoft.com/en-us/dynamics/erp-explore-ax-capabilities.aspx" TargetMode="External"/><Relationship Id="rId58"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file:///C:\Documents%20and%20Settings\abcefg\Application%20Data\Microsoft\Word\Subscription" TargetMode="External"/><Relationship Id="rId28" Type="http://schemas.openxmlformats.org/officeDocument/2006/relationships/hyperlink" Target="http://www.microsoft.com/resources/sharedsource/Licensing/Enterprise.mspx" TargetMode="External"/><Relationship Id="rId36" Type="http://schemas.openxmlformats.org/officeDocument/2006/relationships/hyperlink" Target="http://www.windowsazure.com/en-us/support/plans/" TargetMode="External"/><Relationship Id="rId49" Type="http://schemas.openxmlformats.org/officeDocument/2006/relationships/hyperlink" Target="https://support.microsoft.com/oas/default.aspx?prid=13766&amp;st=1" TargetMode="External"/><Relationship Id="rId57" Type="http://schemas.openxmlformats.org/officeDocument/2006/relationships/fontTable" Target="fontTable.xml"/><Relationship Id="rId10" Type="http://schemas.openxmlformats.org/officeDocument/2006/relationships/settings" Target="settings.xml"/><Relationship Id="rId19" Type="http://schemas.openxmlformats.org/officeDocument/2006/relationships/image" Target="media/image5.png"/><Relationship Id="rId31" Type="http://schemas.openxmlformats.org/officeDocument/2006/relationships/hyperlink" Target="http://support.microsoft.com/lifecycle" TargetMode="External"/><Relationship Id="rId44" Type="http://schemas.openxmlformats.org/officeDocument/2006/relationships/hyperlink" Target="http://www.microsoftvolumelicensing.com/userights/PUR.aspx" TargetMode="External"/><Relationship Id="rId52" Type="http://schemas.openxmlformats.org/officeDocument/2006/relationships/hyperlink" Target="https://www.microsoft.com/licensing/servicecenter" TargetMode="Externa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footer" Target="footer4.xml"/><Relationship Id="rId27" Type="http://schemas.openxmlformats.org/officeDocument/2006/relationships/hyperlink" Target="http://www.microsoft.com/spd" TargetMode="External"/><Relationship Id="rId30" Type="http://schemas.openxmlformats.org/officeDocument/2006/relationships/hyperlink" Target="http://support.microsoft.com/common/international.aspx?rdpath=dm;en-us;lifecycle" TargetMode="External"/><Relationship Id="rId35" Type="http://schemas.openxmlformats.org/officeDocument/2006/relationships/hyperlink" Target="http://www.windowsazure.com" TargetMode="External"/><Relationship Id="rId43" Type="http://schemas.openxmlformats.org/officeDocument/2006/relationships/hyperlink" Target="http://www.vexcel.com/geospatial/bingmapsserver/index.asp" TargetMode="External"/><Relationship Id="rId48" Type="http://schemas.openxmlformats.org/officeDocument/2006/relationships/hyperlink" Target="mailto:bmesupp@microsoft.com" TargetMode="External"/><Relationship Id="rId56" Type="http://schemas.openxmlformats.org/officeDocument/2006/relationships/hyperlink" Target="http://www.vexcel.com/geospatial/bingmapsserver/index.asp" TargetMode="External"/><Relationship Id="rId8" Type="http://schemas.openxmlformats.org/officeDocument/2006/relationships/numbering" Target="numbering.xml"/><Relationship Id="rId51" Type="http://schemas.openxmlformats.org/officeDocument/2006/relationships/hyperlink" Target="http://www.microsoft.com/sqlserver/en/us/get-sql-server/how-to-buy.aspx" TargetMode="Externa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D56A5B1AE2E87F4E9F7D7896DF9BAB7C" ma:contentTypeVersion="0" ma:contentTypeDescription="Create a new document." ma:contentTypeScope="" ma:versionID="290f1554bf6da374d20177b1432a3345">
  <xsd:schema xmlns:xsd="http://www.w3.org/2001/XMLSchema" xmlns:xs="http://www.w3.org/2001/XMLSchema" xmlns:p="http://schemas.microsoft.com/office/2006/metadata/properties" targetNamespace="http://schemas.microsoft.com/office/2006/metadata/properties" ma:root="true" ma:fieldsID="06e0e3112098b4d1518554ee266199a9">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2.xml><?xml version="1.0" encoding="utf-8"?>
<ds:datastoreItem xmlns:ds="http://schemas.openxmlformats.org/officeDocument/2006/customXml" ds:itemID="{EFE04003-D521-43AF-81A3-232609D387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CBCD8E0F-845F-439D-896F-F1F762AB6E9A}">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21E810B4-7961-44C1-8344-38065CE6F2B2}">
  <ds:schemaRefs>
    <ds:schemaRef ds:uri="http://schemas.openxmlformats.org/officeDocument/2006/bibliography"/>
  </ds:schemaRefs>
</ds:datastoreItem>
</file>

<file path=customXml/itemProps5.xml><?xml version="1.0" encoding="utf-8"?>
<ds:datastoreItem xmlns:ds="http://schemas.openxmlformats.org/officeDocument/2006/customXml" ds:itemID="{34BCCECB-B1DC-452A-BC08-0B1DE3047FF5}">
  <ds:schemaRefs>
    <ds:schemaRef ds:uri="http://schemas.openxmlformats.org/officeDocument/2006/bibliography"/>
  </ds:schemaRefs>
</ds:datastoreItem>
</file>

<file path=customXml/itemProps6.xml><?xml version="1.0" encoding="utf-8"?>
<ds:datastoreItem xmlns:ds="http://schemas.openxmlformats.org/officeDocument/2006/customXml" ds:itemID="{C77EAC0C-1E02-4D0D-A36C-C4CF142B3566}">
  <ds:schemaRefs>
    <ds:schemaRef ds:uri="http://schemas.openxmlformats.org/officeDocument/2006/bibliography"/>
  </ds:schemaRefs>
</ds:datastoreItem>
</file>

<file path=customXml/itemProps7.xml><?xml version="1.0" encoding="utf-8"?>
<ds:datastoreItem xmlns:ds="http://schemas.openxmlformats.org/officeDocument/2006/customXml" ds:itemID="{AACC3030-BEAE-449F-B7BE-00A341FB44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205</Pages>
  <Words>100030</Words>
  <Characters>570174</Characters>
  <Application>Microsoft Office Word</Application>
  <DocSecurity>8</DocSecurity>
  <Lines>4751</Lines>
  <Paragraphs>1337</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668867</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2</cp:revision>
  <cp:lastPrinted>2013-04-17T07:40:00Z</cp:lastPrinted>
  <dcterms:created xsi:type="dcterms:W3CDTF">2013-04-29T15:32:00Z</dcterms:created>
  <dcterms:modified xsi:type="dcterms:W3CDTF">2013-04-29T15:32:00Z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0x010100D56A5B1AE2E87F4E9F7D7896DF9BAB7C</vt:lpwstr>
  </property>
</Properties>
</file>