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514EF" w:rsidRDefault="006514EF">
      <w:pPr>
        <w:pStyle w:val="PURBody"/>
        <w:shd w:val="clear" w:color="auto" w:fill="00188F"/>
        <w:tabs>
          <w:tab w:val="clear" w:pos="360"/>
        </w:tabs>
        <w:ind w:right="7920" w:firstLine="360"/>
        <w:rPr>
          <w:rFonts w:asciiTheme="majorHAnsi" w:hAnsiTheme="majorHAnsi"/>
          <w:color w:val="FFFFFF"/>
          <w:sz w:val="6"/>
          <w:szCs w:val="6"/>
        </w:rPr>
      </w:pPr>
    </w:p>
    <w:p w:rsidR="006514EF" w:rsidRDefault="00DD50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6514EF" w:rsidRDefault="00DD50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6514EF" w:rsidRDefault="00651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14EF" w:rsidRDefault="00651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14EF" w:rsidRDefault="00651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14EF" w:rsidRDefault="00651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14EF" w:rsidRDefault="00651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14EF" w:rsidRDefault="006514EF">
      <w:pPr>
        <w:pStyle w:val="PURBody"/>
        <w:shd w:val="clear" w:color="auto" w:fill="0072C6"/>
        <w:tabs>
          <w:tab w:val="clear" w:pos="360"/>
        </w:tabs>
        <w:ind w:right="1800" w:firstLine="360"/>
        <w:rPr>
          <w:sz w:val="72"/>
          <w:szCs w:val="72"/>
        </w:rPr>
      </w:pPr>
      <w:bookmarkStart w:id="0" w:name="_GoBack"/>
      <w:bookmarkEnd w:id="0"/>
    </w:p>
    <w:p w:rsidR="006514EF" w:rsidRDefault="006514E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514EF" w:rsidRPr="00411C60" w:rsidRDefault="00DD50AA">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411C60">
        <w:rPr>
          <w:rFonts w:asciiTheme="majorHAnsi" w:hAnsiTheme="majorHAnsi"/>
          <w:color w:val="FFFFFF" w:themeColor="background1"/>
          <w:sz w:val="92"/>
          <w:szCs w:val="92"/>
        </w:rPr>
        <w:t>Produktbestimmungen</w:t>
      </w:r>
    </w:p>
    <w:p w:rsidR="006514EF" w:rsidRPr="00411C60" w:rsidRDefault="00DD50AA">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411C60">
        <w:rPr>
          <w:rFonts w:asciiTheme="majorHAnsi" w:hAnsiTheme="majorHAnsi"/>
          <w:color w:val="FFFFFF" w:themeColor="background1"/>
          <w:sz w:val="92"/>
          <w:szCs w:val="92"/>
        </w:rPr>
        <w:t>1. Januar 2016</w:t>
      </w:r>
    </w:p>
    <w:p w:rsidR="006514EF" w:rsidRPr="00411C60" w:rsidRDefault="006514EF">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p>
    <w:p w:rsidR="006514EF" w:rsidRDefault="00DD50A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14EF" w:rsidRDefault="006514EF">
      <w:pPr>
        <w:sectPr w:rsidR="006514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514EF" w:rsidRDefault="00DD50AA">
      <w:pPr>
        <w:pStyle w:val="ProductList-SectionHeading"/>
        <w:pageBreakBefore/>
      </w:pPr>
      <w:bookmarkStart w:id="1" w:name="_Sec842"/>
      <w:r>
        <w:lastRenderedPageBreak/>
        <w:t>Inhalt</w:t>
      </w:r>
    </w:p>
    <w:p w:rsidR="006514EF" w:rsidRDefault="006514EF">
      <w:pPr>
        <w:pStyle w:val="ProductList-Body"/>
      </w:pPr>
    </w:p>
    <w:p w:rsidR="006514EF" w:rsidRDefault="006514EF">
      <w:pPr>
        <w:sectPr w:rsidR="006514EF">
          <w:headerReference w:type="default" r:id="rId16"/>
          <w:footerReference w:type="default" r:id="rId17"/>
          <w:type w:val="continuous"/>
          <w:pgSz w:w="12240" w:h="15840" w:code="1"/>
          <w:pgMar w:top="1170" w:right="720" w:bottom="1620" w:left="720" w:header="432" w:footer="288" w:gutter="0"/>
          <w:cols w:space="360"/>
        </w:sectPr>
      </w:pPr>
    </w:p>
    <w:p w:rsidR="00B47E3D" w:rsidRDefault="00DD50AA">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6269" w:history="1">
        <w:r w:rsidR="00B47E3D" w:rsidRPr="002E07F2">
          <w:rPr>
            <w:rStyle w:val="Hyperlink"/>
            <w:noProof/>
          </w:rPr>
          <w:t>Einleitung</w:t>
        </w:r>
        <w:r w:rsidR="00B47E3D">
          <w:rPr>
            <w:noProof/>
          </w:rPr>
          <w:tab/>
        </w:r>
        <w:r w:rsidR="00B47E3D">
          <w:rPr>
            <w:noProof/>
          </w:rPr>
          <w:fldChar w:fldCharType="begin"/>
        </w:r>
        <w:r w:rsidR="00B47E3D">
          <w:rPr>
            <w:noProof/>
          </w:rPr>
          <w:instrText xml:space="preserve"> PAGEREF _Toc439056269 \h </w:instrText>
        </w:r>
        <w:r w:rsidR="00B47E3D">
          <w:rPr>
            <w:noProof/>
          </w:rPr>
        </w:r>
        <w:r w:rsidR="00B47E3D">
          <w:rPr>
            <w:noProof/>
          </w:rPr>
          <w:fldChar w:fldCharType="separate"/>
        </w:r>
        <w:r w:rsidR="00B47E3D">
          <w:rPr>
            <w:noProof/>
          </w:rPr>
          <w:t>4</w:t>
        </w:r>
        <w:r w:rsidR="00B47E3D">
          <w:rPr>
            <w:noProof/>
          </w:rPr>
          <w:fldChar w:fldCharType="end"/>
        </w:r>
      </w:hyperlink>
    </w:p>
    <w:p w:rsidR="00B47E3D" w:rsidRDefault="00B47E3D">
      <w:pPr>
        <w:pStyle w:val="TOC2"/>
        <w:rPr>
          <w:rFonts w:eastAsiaTheme="minorEastAsia"/>
          <w:smallCaps w:val="0"/>
          <w:sz w:val="22"/>
        </w:rPr>
      </w:pPr>
      <w:hyperlink w:anchor="_Toc439056270" w:history="1">
        <w:r w:rsidRPr="002E07F2">
          <w:rPr>
            <w:rStyle w:val="Hyperlink"/>
          </w:rPr>
          <w:t>Über dieses Dokument</w:t>
        </w:r>
        <w:r>
          <w:tab/>
        </w:r>
        <w:r>
          <w:fldChar w:fldCharType="begin"/>
        </w:r>
        <w:r>
          <w:instrText xml:space="preserve"> PAGEREF _Toc439056270 \h </w:instrText>
        </w:r>
        <w:r>
          <w:fldChar w:fldCharType="separate"/>
        </w:r>
        <w:r>
          <w:t>4</w:t>
        </w:r>
        <w:r>
          <w:fldChar w:fldCharType="end"/>
        </w:r>
      </w:hyperlink>
    </w:p>
    <w:p w:rsidR="00B47E3D" w:rsidRDefault="00B47E3D">
      <w:pPr>
        <w:pStyle w:val="TOC2"/>
        <w:rPr>
          <w:rFonts w:eastAsiaTheme="minorEastAsia"/>
          <w:smallCaps w:val="0"/>
          <w:sz w:val="22"/>
        </w:rPr>
      </w:pPr>
      <w:hyperlink w:anchor="_Toc439056271" w:history="1">
        <w:r w:rsidRPr="002E07F2">
          <w:rPr>
            <w:rStyle w:val="Hyperlink"/>
          </w:rPr>
          <w:t>Inhalt dieses Dokuments</w:t>
        </w:r>
        <w:r>
          <w:tab/>
        </w:r>
        <w:r>
          <w:fldChar w:fldCharType="begin"/>
        </w:r>
        <w:r>
          <w:instrText xml:space="preserve"> PAGEREF _Toc439056271 \h </w:instrText>
        </w:r>
        <w:r>
          <w:fldChar w:fldCharType="separate"/>
        </w:r>
        <w:r>
          <w:t>4</w:t>
        </w:r>
        <w:r>
          <w:fldChar w:fldCharType="end"/>
        </w:r>
      </w:hyperlink>
    </w:p>
    <w:p w:rsidR="00B47E3D" w:rsidRDefault="00B47E3D">
      <w:pPr>
        <w:pStyle w:val="TOC2"/>
        <w:rPr>
          <w:rFonts w:eastAsiaTheme="minorEastAsia"/>
          <w:smallCaps w:val="0"/>
          <w:sz w:val="22"/>
        </w:rPr>
      </w:pPr>
      <w:hyperlink w:anchor="_Toc439056272" w:history="1">
        <w:r w:rsidRPr="002E07F2">
          <w:rPr>
            <w:rStyle w:val="Hyperlink"/>
          </w:rPr>
          <w:t>Aufbau von Produkteinträgen</w:t>
        </w:r>
        <w:r>
          <w:tab/>
        </w:r>
        <w:r>
          <w:fldChar w:fldCharType="begin"/>
        </w:r>
        <w:r>
          <w:instrText xml:space="preserve"> PAGEREF _Toc439056272 \h </w:instrText>
        </w:r>
        <w:r>
          <w:fldChar w:fldCharType="separate"/>
        </w:r>
        <w:r>
          <w:t>4</w:t>
        </w:r>
        <w:r>
          <w:fldChar w:fldCharType="end"/>
        </w:r>
      </w:hyperlink>
    </w:p>
    <w:p w:rsidR="00B47E3D" w:rsidRDefault="00B47E3D">
      <w:pPr>
        <w:pStyle w:val="TOC2"/>
        <w:rPr>
          <w:rFonts w:eastAsiaTheme="minorEastAsia"/>
          <w:smallCaps w:val="0"/>
          <w:sz w:val="22"/>
        </w:rPr>
      </w:pPr>
      <w:hyperlink w:anchor="_Toc439056273" w:history="1">
        <w:r w:rsidRPr="002E07F2">
          <w:rPr>
            <w:rStyle w:val="Hyperlink"/>
          </w:rPr>
          <w:t>Verdeutlichungen und Zusammenfassung der Änderungen an diesem Dokument</w:t>
        </w:r>
        <w:r>
          <w:tab/>
        </w:r>
        <w:r>
          <w:fldChar w:fldCharType="begin"/>
        </w:r>
        <w:r>
          <w:instrText xml:space="preserve"> PAGEREF _Toc439056273 \h </w:instrText>
        </w:r>
        <w:r>
          <w:fldChar w:fldCharType="separate"/>
        </w:r>
        <w:r>
          <w:t>5</w:t>
        </w:r>
        <w:r>
          <w:fldChar w:fldCharType="end"/>
        </w:r>
      </w:hyperlink>
    </w:p>
    <w:p w:rsidR="00B47E3D" w:rsidRDefault="00B47E3D">
      <w:pPr>
        <w:pStyle w:val="TOC1"/>
        <w:rPr>
          <w:rFonts w:eastAsiaTheme="minorEastAsia"/>
          <w:b w:val="0"/>
          <w:caps w:val="0"/>
          <w:noProof/>
          <w:sz w:val="22"/>
          <w:szCs w:val="22"/>
        </w:rPr>
      </w:pPr>
      <w:hyperlink w:anchor="_Toc439056274" w:history="1">
        <w:r w:rsidRPr="002E07F2">
          <w:rPr>
            <w:rStyle w:val="Hyperlink"/>
            <w:noProof/>
          </w:rPr>
          <w:t>Lizenzbestimmungen</w:t>
        </w:r>
        <w:r>
          <w:rPr>
            <w:noProof/>
          </w:rPr>
          <w:tab/>
        </w:r>
        <w:r>
          <w:rPr>
            <w:noProof/>
          </w:rPr>
          <w:fldChar w:fldCharType="begin"/>
        </w:r>
        <w:r>
          <w:rPr>
            <w:noProof/>
          </w:rPr>
          <w:instrText xml:space="preserve"> PAGEREF _Toc439056274 \h </w:instrText>
        </w:r>
        <w:r>
          <w:rPr>
            <w:noProof/>
          </w:rPr>
        </w:r>
        <w:r>
          <w:rPr>
            <w:noProof/>
          </w:rPr>
          <w:fldChar w:fldCharType="separate"/>
        </w:r>
        <w:r>
          <w:rPr>
            <w:noProof/>
          </w:rPr>
          <w:t>7</w:t>
        </w:r>
        <w:r>
          <w:rPr>
            <w:noProof/>
          </w:rPr>
          <w:fldChar w:fldCharType="end"/>
        </w:r>
      </w:hyperlink>
    </w:p>
    <w:p w:rsidR="00B47E3D" w:rsidRDefault="00B47E3D">
      <w:pPr>
        <w:pStyle w:val="TOC2"/>
        <w:rPr>
          <w:rFonts w:eastAsiaTheme="minorEastAsia"/>
          <w:smallCaps w:val="0"/>
          <w:sz w:val="22"/>
        </w:rPr>
      </w:pPr>
      <w:hyperlink w:anchor="_Toc439056275" w:history="1">
        <w:r w:rsidRPr="002E07F2">
          <w:rPr>
            <w:rStyle w:val="Hyperlink"/>
          </w:rPr>
          <w:t>Universelle Lizenzbestimmungen</w:t>
        </w:r>
        <w:r>
          <w:tab/>
        </w:r>
        <w:r>
          <w:fldChar w:fldCharType="begin"/>
        </w:r>
        <w:r>
          <w:instrText xml:space="preserve"> PAGEREF _Toc439056275 \h </w:instrText>
        </w:r>
        <w:r>
          <w:fldChar w:fldCharType="separate"/>
        </w:r>
        <w:r>
          <w:t>7</w:t>
        </w:r>
        <w:r>
          <w:fldChar w:fldCharType="end"/>
        </w:r>
      </w:hyperlink>
    </w:p>
    <w:p w:rsidR="00B47E3D" w:rsidRDefault="00B47E3D">
      <w:pPr>
        <w:pStyle w:val="TOC2"/>
        <w:rPr>
          <w:rFonts w:eastAsiaTheme="minorEastAsia"/>
          <w:smallCaps w:val="0"/>
          <w:sz w:val="22"/>
        </w:rPr>
      </w:pPr>
      <w:hyperlink w:anchor="_Toc439056276" w:history="1">
        <w:r w:rsidRPr="002E07F2">
          <w:rPr>
            <w:rStyle w:val="Hyperlink"/>
          </w:rPr>
          <w:t>Lizenzmodellbestimmungen</w:t>
        </w:r>
        <w:r>
          <w:tab/>
        </w:r>
        <w:r>
          <w:fldChar w:fldCharType="begin"/>
        </w:r>
        <w:r>
          <w:instrText xml:space="preserve"> PAGEREF _Toc439056276 \h </w:instrText>
        </w:r>
        <w:r>
          <w:fldChar w:fldCharType="separate"/>
        </w:r>
        <w:r>
          <w:t>10</w:t>
        </w:r>
        <w:r>
          <w:fldChar w:fldCharType="end"/>
        </w:r>
      </w:hyperlink>
    </w:p>
    <w:p w:rsidR="00B47E3D" w:rsidRDefault="00B47E3D">
      <w:pPr>
        <w:pStyle w:val="TOC3"/>
        <w:rPr>
          <w:rFonts w:eastAsiaTheme="minorEastAsia"/>
          <w:smallCaps w:val="0"/>
          <w:sz w:val="22"/>
        </w:rPr>
      </w:pPr>
      <w:hyperlink w:anchor="_Toc439056277" w:history="1">
        <w:r w:rsidRPr="002E07F2">
          <w:rPr>
            <w:rStyle w:val="Hyperlink"/>
          </w:rPr>
          <w:t>Desktop-Anwendungen</w:t>
        </w:r>
        <w:r>
          <w:tab/>
        </w:r>
        <w:r>
          <w:fldChar w:fldCharType="begin"/>
        </w:r>
        <w:r>
          <w:instrText xml:space="preserve"> PAGEREF _Toc439056277 \h </w:instrText>
        </w:r>
        <w:r>
          <w:fldChar w:fldCharType="separate"/>
        </w:r>
        <w:r>
          <w:t>10</w:t>
        </w:r>
        <w:r>
          <w:fldChar w:fldCharType="end"/>
        </w:r>
      </w:hyperlink>
    </w:p>
    <w:p w:rsidR="00B47E3D" w:rsidRDefault="00B47E3D">
      <w:pPr>
        <w:pStyle w:val="TOC3"/>
        <w:rPr>
          <w:rFonts w:eastAsiaTheme="minorEastAsia"/>
          <w:smallCaps w:val="0"/>
          <w:sz w:val="22"/>
        </w:rPr>
      </w:pPr>
      <w:hyperlink w:anchor="_Toc439056278" w:history="1">
        <w:r w:rsidRPr="002E07F2">
          <w:rPr>
            <w:rStyle w:val="Hyperlink"/>
          </w:rPr>
          <w:t>Desktopbetriebssysteme</w:t>
        </w:r>
        <w:r>
          <w:tab/>
        </w:r>
        <w:r>
          <w:fldChar w:fldCharType="begin"/>
        </w:r>
        <w:r>
          <w:instrText xml:space="preserve"> PAGEREF _Toc439056278 \h </w:instrText>
        </w:r>
        <w:r>
          <w:fldChar w:fldCharType="separate"/>
        </w:r>
        <w:r>
          <w:t>10</w:t>
        </w:r>
        <w:r>
          <w:fldChar w:fldCharType="end"/>
        </w:r>
      </w:hyperlink>
    </w:p>
    <w:p w:rsidR="00B47E3D" w:rsidRDefault="00B47E3D">
      <w:pPr>
        <w:pStyle w:val="TOC3"/>
        <w:rPr>
          <w:rFonts w:eastAsiaTheme="minorEastAsia"/>
          <w:smallCaps w:val="0"/>
          <w:sz w:val="22"/>
        </w:rPr>
      </w:pPr>
      <w:hyperlink w:anchor="_Toc439056279" w:history="1">
        <w:r w:rsidRPr="002E07F2">
          <w:rPr>
            <w:rStyle w:val="Hyperlink"/>
          </w:rPr>
          <w:t>Prozessor/CAL</w:t>
        </w:r>
        <w:r>
          <w:tab/>
        </w:r>
        <w:r>
          <w:fldChar w:fldCharType="begin"/>
        </w:r>
        <w:r>
          <w:instrText xml:space="preserve"> PAGEREF _Toc439056279 \h </w:instrText>
        </w:r>
        <w:r>
          <w:fldChar w:fldCharType="separate"/>
        </w:r>
        <w:r>
          <w:t>10</w:t>
        </w:r>
        <w:r>
          <w:fldChar w:fldCharType="end"/>
        </w:r>
      </w:hyperlink>
    </w:p>
    <w:p w:rsidR="00B47E3D" w:rsidRDefault="00B47E3D">
      <w:pPr>
        <w:pStyle w:val="TOC3"/>
        <w:rPr>
          <w:rFonts w:eastAsiaTheme="minorEastAsia"/>
          <w:smallCaps w:val="0"/>
          <w:sz w:val="22"/>
        </w:rPr>
      </w:pPr>
      <w:hyperlink w:anchor="_Toc439056280" w:history="1">
        <w:r w:rsidRPr="002E07F2">
          <w:rPr>
            <w:rStyle w:val="Hyperlink"/>
          </w:rPr>
          <w:t>Server/CAL</w:t>
        </w:r>
        <w:r>
          <w:tab/>
        </w:r>
        <w:r>
          <w:fldChar w:fldCharType="begin"/>
        </w:r>
        <w:r>
          <w:instrText xml:space="preserve"> PAGEREF _Toc439056280 \h </w:instrText>
        </w:r>
        <w:r>
          <w:fldChar w:fldCharType="separate"/>
        </w:r>
        <w:r>
          <w:t>11</w:t>
        </w:r>
        <w:r>
          <w:fldChar w:fldCharType="end"/>
        </w:r>
      </w:hyperlink>
    </w:p>
    <w:p w:rsidR="00B47E3D" w:rsidRDefault="00B47E3D">
      <w:pPr>
        <w:pStyle w:val="TOC3"/>
        <w:rPr>
          <w:rFonts w:eastAsiaTheme="minorEastAsia"/>
          <w:smallCaps w:val="0"/>
          <w:sz w:val="22"/>
        </w:rPr>
      </w:pPr>
      <w:hyperlink w:anchor="_Toc439056281" w:history="1">
        <w:r w:rsidRPr="002E07F2">
          <w:rPr>
            <w:rStyle w:val="Hyperlink"/>
          </w:rPr>
          <w:t>Pro Core</w:t>
        </w:r>
        <w:r>
          <w:tab/>
        </w:r>
        <w:r>
          <w:fldChar w:fldCharType="begin"/>
        </w:r>
        <w:r>
          <w:instrText xml:space="preserve"> PAGEREF _Toc439056281 \h </w:instrText>
        </w:r>
        <w:r>
          <w:fldChar w:fldCharType="separate"/>
        </w:r>
        <w:r>
          <w:t>11</w:t>
        </w:r>
        <w:r>
          <w:fldChar w:fldCharType="end"/>
        </w:r>
      </w:hyperlink>
    </w:p>
    <w:p w:rsidR="00B47E3D" w:rsidRDefault="00B47E3D">
      <w:pPr>
        <w:pStyle w:val="TOC3"/>
        <w:rPr>
          <w:rFonts w:eastAsiaTheme="minorEastAsia"/>
          <w:smallCaps w:val="0"/>
          <w:sz w:val="22"/>
        </w:rPr>
      </w:pPr>
      <w:hyperlink w:anchor="_Toc439056282" w:history="1">
        <w:r w:rsidRPr="002E07F2">
          <w:rPr>
            <w:rStyle w:val="Hyperlink"/>
          </w:rPr>
          <w:t>Management Server</w:t>
        </w:r>
        <w:r>
          <w:tab/>
        </w:r>
        <w:r>
          <w:fldChar w:fldCharType="begin"/>
        </w:r>
        <w:r>
          <w:instrText xml:space="preserve"> PAGEREF _Toc439056282 \h </w:instrText>
        </w:r>
        <w:r>
          <w:fldChar w:fldCharType="separate"/>
        </w:r>
        <w:r>
          <w:t>11</w:t>
        </w:r>
        <w:r>
          <w:fldChar w:fldCharType="end"/>
        </w:r>
      </w:hyperlink>
    </w:p>
    <w:p w:rsidR="00B47E3D" w:rsidRDefault="00B47E3D">
      <w:pPr>
        <w:pStyle w:val="TOC3"/>
        <w:rPr>
          <w:rFonts w:eastAsiaTheme="minorEastAsia"/>
          <w:smallCaps w:val="0"/>
          <w:sz w:val="22"/>
        </w:rPr>
      </w:pPr>
      <w:hyperlink w:anchor="_Toc439056283" w:history="1">
        <w:r w:rsidRPr="002E07F2">
          <w:rPr>
            <w:rStyle w:val="Hyperlink"/>
          </w:rPr>
          <w:t>Spezialserver</w:t>
        </w:r>
        <w:r>
          <w:tab/>
        </w:r>
        <w:r>
          <w:fldChar w:fldCharType="begin"/>
        </w:r>
        <w:r>
          <w:instrText xml:space="preserve"> PAGEREF _Toc439056283 \h </w:instrText>
        </w:r>
        <w:r>
          <w:fldChar w:fldCharType="separate"/>
        </w:r>
        <w:r>
          <w:t>12</w:t>
        </w:r>
        <w:r>
          <w:fldChar w:fldCharType="end"/>
        </w:r>
      </w:hyperlink>
    </w:p>
    <w:p w:rsidR="00B47E3D" w:rsidRDefault="00B47E3D">
      <w:pPr>
        <w:pStyle w:val="TOC3"/>
        <w:rPr>
          <w:rFonts w:eastAsiaTheme="minorEastAsia"/>
          <w:smallCaps w:val="0"/>
          <w:sz w:val="22"/>
        </w:rPr>
      </w:pPr>
      <w:hyperlink w:anchor="_Toc439056284" w:history="1">
        <w:r w:rsidRPr="002E07F2">
          <w:rPr>
            <w:rStyle w:val="Hyperlink"/>
          </w:rPr>
          <w:t>Entwicklertools</w:t>
        </w:r>
        <w:r>
          <w:tab/>
        </w:r>
        <w:r>
          <w:fldChar w:fldCharType="begin"/>
        </w:r>
        <w:r>
          <w:instrText xml:space="preserve"> PAGEREF _Toc439056284 \h </w:instrText>
        </w:r>
        <w:r>
          <w:fldChar w:fldCharType="separate"/>
        </w:r>
        <w:r>
          <w:t>12</w:t>
        </w:r>
        <w:r>
          <w:fldChar w:fldCharType="end"/>
        </w:r>
      </w:hyperlink>
    </w:p>
    <w:p w:rsidR="00B47E3D" w:rsidRDefault="00B47E3D">
      <w:pPr>
        <w:pStyle w:val="TOC1"/>
        <w:rPr>
          <w:rFonts w:eastAsiaTheme="minorEastAsia"/>
          <w:b w:val="0"/>
          <w:caps w:val="0"/>
          <w:noProof/>
          <w:sz w:val="22"/>
          <w:szCs w:val="22"/>
        </w:rPr>
      </w:pPr>
      <w:hyperlink w:anchor="_Toc439056285" w:history="1">
        <w:r w:rsidRPr="002E07F2">
          <w:rPr>
            <w:rStyle w:val="Hyperlink"/>
            <w:noProof/>
          </w:rPr>
          <w:t>Software</w:t>
        </w:r>
        <w:r>
          <w:rPr>
            <w:noProof/>
          </w:rPr>
          <w:tab/>
        </w:r>
        <w:r>
          <w:rPr>
            <w:noProof/>
          </w:rPr>
          <w:fldChar w:fldCharType="begin"/>
        </w:r>
        <w:r>
          <w:rPr>
            <w:noProof/>
          </w:rPr>
          <w:instrText xml:space="preserve"> PAGEREF _Toc439056285 \h </w:instrText>
        </w:r>
        <w:r>
          <w:rPr>
            <w:noProof/>
          </w:rPr>
        </w:r>
        <w:r>
          <w:rPr>
            <w:noProof/>
          </w:rPr>
          <w:fldChar w:fldCharType="separate"/>
        </w:r>
        <w:r>
          <w:rPr>
            <w:noProof/>
          </w:rPr>
          <w:t>14</w:t>
        </w:r>
        <w:r>
          <w:rPr>
            <w:noProof/>
          </w:rPr>
          <w:fldChar w:fldCharType="end"/>
        </w:r>
      </w:hyperlink>
    </w:p>
    <w:p w:rsidR="00B47E3D" w:rsidRDefault="00B47E3D">
      <w:pPr>
        <w:pStyle w:val="TOC2"/>
        <w:rPr>
          <w:rFonts w:eastAsiaTheme="minorEastAsia"/>
          <w:smallCaps w:val="0"/>
          <w:sz w:val="22"/>
        </w:rPr>
      </w:pPr>
      <w:hyperlink w:anchor="_Toc439056286" w:history="1">
        <w:r w:rsidRPr="002E07F2">
          <w:rPr>
            <w:rStyle w:val="Hyperlink"/>
          </w:rPr>
          <w:t>Advanced Threat Analytics</w:t>
        </w:r>
        <w:r>
          <w:tab/>
        </w:r>
        <w:r>
          <w:fldChar w:fldCharType="begin"/>
        </w:r>
        <w:r>
          <w:instrText xml:space="preserve"> PAGEREF _Toc439056286 \h </w:instrText>
        </w:r>
        <w:r>
          <w:fldChar w:fldCharType="separate"/>
        </w:r>
        <w:r>
          <w:t>14</w:t>
        </w:r>
        <w:r>
          <w:fldChar w:fldCharType="end"/>
        </w:r>
      </w:hyperlink>
    </w:p>
    <w:p w:rsidR="00B47E3D" w:rsidRDefault="00B47E3D">
      <w:pPr>
        <w:pStyle w:val="TOC2"/>
        <w:rPr>
          <w:rFonts w:eastAsiaTheme="minorEastAsia"/>
          <w:smallCaps w:val="0"/>
          <w:sz w:val="22"/>
        </w:rPr>
      </w:pPr>
      <w:hyperlink w:anchor="_Toc439056287" w:history="1">
        <w:r w:rsidRPr="002E07F2">
          <w:rPr>
            <w:rStyle w:val="Hyperlink"/>
          </w:rPr>
          <w:t>BizTalk</w:t>
        </w:r>
        <w:r>
          <w:tab/>
        </w:r>
        <w:r>
          <w:fldChar w:fldCharType="begin"/>
        </w:r>
        <w:r>
          <w:instrText xml:space="preserve"> PAGEREF _Toc439056287 \h </w:instrText>
        </w:r>
        <w:r>
          <w:fldChar w:fldCharType="separate"/>
        </w:r>
        <w:r>
          <w:t>14</w:t>
        </w:r>
        <w:r>
          <w:fldChar w:fldCharType="end"/>
        </w:r>
      </w:hyperlink>
    </w:p>
    <w:p w:rsidR="00B47E3D" w:rsidRDefault="00B47E3D">
      <w:pPr>
        <w:pStyle w:val="TOC2"/>
        <w:rPr>
          <w:rFonts w:eastAsiaTheme="minorEastAsia"/>
          <w:smallCaps w:val="0"/>
          <w:sz w:val="22"/>
        </w:rPr>
      </w:pPr>
      <w:hyperlink w:anchor="_Toc439056288" w:history="1">
        <w:r w:rsidRPr="002E07F2">
          <w:rPr>
            <w:rStyle w:val="Hyperlink"/>
          </w:rPr>
          <w:t>CAL-Suites</w:t>
        </w:r>
        <w:r>
          <w:tab/>
        </w:r>
        <w:r>
          <w:fldChar w:fldCharType="begin"/>
        </w:r>
        <w:r>
          <w:instrText xml:space="preserve"> PAGEREF _Toc439056288 \h </w:instrText>
        </w:r>
        <w:r>
          <w:fldChar w:fldCharType="separate"/>
        </w:r>
        <w:r>
          <w:t>16</w:t>
        </w:r>
        <w:r>
          <w:fldChar w:fldCharType="end"/>
        </w:r>
      </w:hyperlink>
    </w:p>
    <w:p w:rsidR="00B47E3D" w:rsidRDefault="00B47E3D">
      <w:pPr>
        <w:pStyle w:val="TOC2"/>
        <w:rPr>
          <w:rFonts w:eastAsiaTheme="minorEastAsia"/>
          <w:smallCaps w:val="0"/>
          <w:sz w:val="22"/>
        </w:rPr>
      </w:pPr>
      <w:hyperlink w:anchor="_Toc439056289" w:history="1">
        <w:r w:rsidRPr="002E07F2">
          <w:rPr>
            <w:rStyle w:val="Hyperlink"/>
          </w:rPr>
          <w:t>Core Infrastructure Server (CIS) Suite</w:t>
        </w:r>
        <w:r>
          <w:tab/>
        </w:r>
        <w:r>
          <w:fldChar w:fldCharType="begin"/>
        </w:r>
        <w:r>
          <w:instrText xml:space="preserve"> PAGEREF _Toc439056289 \h </w:instrText>
        </w:r>
        <w:r>
          <w:fldChar w:fldCharType="separate"/>
        </w:r>
        <w:r>
          <w:t>17</w:t>
        </w:r>
        <w:r>
          <w:fldChar w:fldCharType="end"/>
        </w:r>
      </w:hyperlink>
    </w:p>
    <w:p w:rsidR="00B47E3D" w:rsidRDefault="00B47E3D">
      <w:pPr>
        <w:pStyle w:val="TOC2"/>
        <w:rPr>
          <w:rFonts w:eastAsiaTheme="minorEastAsia"/>
          <w:smallCaps w:val="0"/>
          <w:sz w:val="22"/>
        </w:rPr>
      </w:pPr>
      <w:hyperlink w:anchor="_Toc439056290" w:history="1">
        <w:r w:rsidRPr="002E07F2">
          <w:rPr>
            <w:rStyle w:val="Hyperlink"/>
          </w:rPr>
          <w:t>Forefront</w:t>
        </w:r>
        <w:r>
          <w:tab/>
        </w:r>
        <w:r>
          <w:fldChar w:fldCharType="begin"/>
        </w:r>
        <w:r>
          <w:instrText xml:space="preserve"> PAGEREF _Toc439056290 \h </w:instrText>
        </w:r>
        <w:r>
          <w:fldChar w:fldCharType="separate"/>
        </w:r>
        <w:r>
          <w:t>19</w:t>
        </w:r>
        <w:r>
          <w:fldChar w:fldCharType="end"/>
        </w:r>
      </w:hyperlink>
    </w:p>
    <w:p w:rsidR="00B47E3D" w:rsidRDefault="00B47E3D">
      <w:pPr>
        <w:pStyle w:val="TOC2"/>
        <w:rPr>
          <w:rFonts w:eastAsiaTheme="minorEastAsia"/>
          <w:smallCaps w:val="0"/>
          <w:sz w:val="22"/>
        </w:rPr>
      </w:pPr>
      <w:hyperlink w:anchor="_Toc439056291" w:history="1">
        <w:r w:rsidRPr="002E07F2">
          <w:rPr>
            <w:rStyle w:val="Hyperlink"/>
          </w:rPr>
          <w:t>Microsoft Dynamics</w:t>
        </w:r>
        <w:r>
          <w:tab/>
        </w:r>
        <w:r>
          <w:fldChar w:fldCharType="begin"/>
        </w:r>
        <w:r>
          <w:instrText xml:space="preserve"> PAGEREF _Toc439056291 \h </w:instrText>
        </w:r>
        <w:r>
          <w:fldChar w:fldCharType="separate"/>
        </w:r>
        <w:r>
          <w:t>20</w:t>
        </w:r>
        <w:r>
          <w:fldChar w:fldCharType="end"/>
        </w:r>
      </w:hyperlink>
    </w:p>
    <w:p w:rsidR="00B47E3D" w:rsidRDefault="00B47E3D">
      <w:pPr>
        <w:pStyle w:val="TOC3"/>
        <w:rPr>
          <w:rFonts w:eastAsiaTheme="minorEastAsia"/>
          <w:smallCaps w:val="0"/>
          <w:sz w:val="22"/>
        </w:rPr>
      </w:pPr>
      <w:hyperlink w:anchor="_Toc439056292" w:history="1">
        <w:r w:rsidRPr="002E07F2">
          <w:rPr>
            <w:rStyle w:val="Hyperlink"/>
          </w:rPr>
          <w:t>Microsoft Dynamics AX</w:t>
        </w:r>
        <w:r>
          <w:tab/>
        </w:r>
        <w:r>
          <w:fldChar w:fldCharType="begin"/>
        </w:r>
        <w:r>
          <w:instrText xml:space="preserve"> PAGEREF _Toc439056292 \h </w:instrText>
        </w:r>
        <w:r>
          <w:fldChar w:fldCharType="separate"/>
        </w:r>
        <w:r>
          <w:t>20</w:t>
        </w:r>
        <w:r>
          <w:fldChar w:fldCharType="end"/>
        </w:r>
      </w:hyperlink>
    </w:p>
    <w:p w:rsidR="00B47E3D" w:rsidRDefault="00B47E3D">
      <w:pPr>
        <w:pStyle w:val="TOC3"/>
        <w:rPr>
          <w:rFonts w:eastAsiaTheme="minorEastAsia"/>
          <w:smallCaps w:val="0"/>
          <w:sz w:val="22"/>
        </w:rPr>
      </w:pPr>
      <w:hyperlink w:anchor="_Toc439056293" w:history="1">
        <w:r w:rsidRPr="002E07F2">
          <w:rPr>
            <w:rStyle w:val="Hyperlink"/>
          </w:rPr>
          <w:t>Microsoft Dynamics CRM</w:t>
        </w:r>
        <w:r>
          <w:tab/>
        </w:r>
        <w:r>
          <w:fldChar w:fldCharType="begin"/>
        </w:r>
        <w:r>
          <w:instrText xml:space="preserve"> PAGEREF _Toc439056293 \h </w:instrText>
        </w:r>
        <w:r>
          <w:fldChar w:fldCharType="separate"/>
        </w:r>
        <w:r>
          <w:t>21</w:t>
        </w:r>
        <w:r>
          <w:fldChar w:fldCharType="end"/>
        </w:r>
      </w:hyperlink>
    </w:p>
    <w:p w:rsidR="00B47E3D" w:rsidRDefault="00B47E3D">
      <w:pPr>
        <w:pStyle w:val="TOC2"/>
        <w:rPr>
          <w:rFonts w:eastAsiaTheme="minorEastAsia"/>
          <w:smallCaps w:val="0"/>
          <w:sz w:val="22"/>
        </w:rPr>
      </w:pPr>
      <w:hyperlink w:anchor="_Toc439056294" w:history="1">
        <w:r w:rsidRPr="002E07F2">
          <w:rPr>
            <w:rStyle w:val="Hyperlink"/>
          </w:rPr>
          <w:t>Microsoft Identity Manager</w:t>
        </w:r>
        <w:r>
          <w:tab/>
        </w:r>
        <w:r>
          <w:fldChar w:fldCharType="begin"/>
        </w:r>
        <w:r>
          <w:instrText xml:space="preserve"> PAGEREF _Toc439056294 \h </w:instrText>
        </w:r>
        <w:r>
          <w:fldChar w:fldCharType="separate"/>
        </w:r>
        <w:r>
          <w:t>23</w:t>
        </w:r>
        <w:r>
          <w:fldChar w:fldCharType="end"/>
        </w:r>
      </w:hyperlink>
    </w:p>
    <w:p w:rsidR="00B47E3D" w:rsidRDefault="00B47E3D">
      <w:pPr>
        <w:pStyle w:val="TOC2"/>
        <w:rPr>
          <w:rFonts w:eastAsiaTheme="minorEastAsia"/>
          <w:smallCaps w:val="0"/>
          <w:sz w:val="22"/>
        </w:rPr>
      </w:pPr>
      <w:hyperlink w:anchor="_Toc439056295" w:history="1">
        <w:r w:rsidRPr="002E07F2">
          <w:rPr>
            <w:rStyle w:val="Hyperlink"/>
          </w:rPr>
          <w:t>Office-Anwendungen</w:t>
        </w:r>
        <w:r>
          <w:tab/>
        </w:r>
        <w:r>
          <w:fldChar w:fldCharType="begin"/>
        </w:r>
        <w:r>
          <w:instrText xml:space="preserve"> PAGEREF _Toc439056295 \h </w:instrText>
        </w:r>
        <w:r>
          <w:fldChar w:fldCharType="separate"/>
        </w:r>
        <w:r>
          <w:t>23</w:t>
        </w:r>
        <w:r>
          <w:fldChar w:fldCharType="end"/>
        </w:r>
      </w:hyperlink>
    </w:p>
    <w:p w:rsidR="00B47E3D" w:rsidRDefault="00B47E3D">
      <w:pPr>
        <w:pStyle w:val="TOC3"/>
        <w:rPr>
          <w:rFonts w:eastAsiaTheme="minorEastAsia"/>
          <w:smallCaps w:val="0"/>
          <w:sz w:val="22"/>
        </w:rPr>
      </w:pPr>
      <w:hyperlink w:anchor="_Toc439056296" w:history="1">
        <w:r w:rsidRPr="002E07F2">
          <w:rPr>
            <w:rStyle w:val="Hyperlink"/>
          </w:rPr>
          <w:t>Office 365-Desktop-Anwendungen</w:t>
        </w:r>
        <w:r>
          <w:tab/>
        </w:r>
        <w:r>
          <w:fldChar w:fldCharType="begin"/>
        </w:r>
        <w:r>
          <w:instrText xml:space="preserve"> PAGEREF _Toc439056296 \h </w:instrText>
        </w:r>
        <w:r>
          <w:fldChar w:fldCharType="separate"/>
        </w:r>
        <w:r>
          <w:t>23</w:t>
        </w:r>
        <w:r>
          <w:fldChar w:fldCharType="end"/>
        </w:r>
      </w:hyperlink>
    </w:p>
    <w:p w:rsidR="00B47E3D" w:rsidRDefault="00B47E3D">
      <w:pPr>
        <w:pStyle w:val="TOC3"/>
        <w:rPr>
          <w:rFonts w:eastAsiaTheme="minorEastAsia"/>
          <w:smallCaps w:val="0"/>
          <w:sz w:val="22"/>
        </w:rPr>
      </w:pPr>
      <w:hyperlink w:anchor="_Toc439056297" w:history="1">
        <w:r w:rsidRPr="002E07F2">
          <w:rPr>
            <w:rStyle w:val="Hyperlink"/>
          </w:rPr>
          <w:t>Office für Mac</w:t>
        </w:r>
        <w:r>
          <w:tab/>
        </w:r>
        <w:r>
          <w:fldChar w:fldCharType="begin"/>
        </w:r>
        <w:r>
          <w:instrText xml:space="preserve"> PAGEREF _Toc439056297 \h </w:instrText>
        </w:r>
        <w:r>
          <w:fldChar w:fldCharType="separate"/>
        </w:r>
        <w:r>
          <w:t>25</w:t>
        </w:r>
        <w:r>
          <w:fldChar w:fldCharType="end"/>
        </w:r>
      </w:hyperlink>
    </w:p>
    <w:p w:rsidR="00B47E3D" w:rsidRDefault="00B47E3D">
      <w:pPr>
        <w:pStyle w:val="TOC2"/>
        <w:rPr>
          <w:rFonts w:eastAsiaTheme="minorEastAsia"/>
          <w:smallCaps w:val="0"/>
          <w:sz w:val="22"/>
        </w:rPr>
      </w:pPr>
      <w:hyperlink w:anchor="_Toc439056298" w:history="1">
        <w:r w:rsidRPr="002E07F2">
          <w:rPr>
            <w:rStyle w:val="Hyperlink"/>
          </w:rPr>
          <w:t>Office Servers</w:t>
        </w:r>
        <w:r>
          <w:tab/>
        </w:r>
        <w:r>
          <w:fldChar w:fldCharType="begin"/>
        </w:r>
        <w:r>
          <w:instrText xml:space="preserve"> PAGEREF _Toc439056298 \h </w:instrText>
        </w:r>
        <w:r>
          <w:fldChar w:fldCharType="separate"/>
        </w:r>
        <w:r>
          <w:t>26</w:t>
        </w:r>
        <w:r>
          <w:fldChar w:fldCharType="end"/>
        </w:r>
      </w:hyperlink>
    </w:p>
    <w:p w:rsidR="00B47E3D" w:rsidRDefault="00B47E3D">
      <w:pPr>
        <w:pStyle w:val="TOC3"/>
        <w:rPr>
          <w:rFonts w:eastAsiaTheme="minorEastAsia"/>
          <w:smallCaps w:val="0"/>
          <w:sz w:val="22"/>
        </w:rPr>
      </w:pPr>
      <w:hyperlink w:anchor="_Toc439056299" w:history="1">
        <w:r w:rsidRPr="002E07F2">
          <w:rPr>
            <w:rStyle w:val="Hyperlink"/>
          </w:rPr>
          <w:t>Exchange Server</w:t>
        </w:r>
        <w:r>
          <w:tab/>
        </w:r>
        <w:r>
          <w:fldChar w:fldCharType="begin"/>
        </w:r>
        <w:r>
          <w:instrText xml:space="preserve"> PAGEREF _Toc439056299 \h </w:instrText>
        </w:r>
        <w:r>
          <w:fldChar w:fldCharType="separate"/>
        </w:r>
        <w:r>
          <w:t>26</w:t>
        </w:r>
        <w:r>
          <w:fldChar w:fldCharType="end"/>
        </w:r>
      </w:hyperlink>
    </w:p>
    <w:p w:rsidR="00B47E3D" w:rsidRDefault="00B47E3D">
      <w:pPr>
        <w:pStyle w:val="TOC3"/>
        <w:rPr>
          <w:rFonts w:eastAsiaTheme="minorEastAsia"/>
          <w:smallCaps w:val="0"/>
          <w:sz w:val="22"/>
        </w:rPr>
      </w:pPr>
      <w:hyperlink w:anchor="_Toc439056300" w:history="1">
        <w:r w:rsidRPr="002E07F2">
          <w:rPr>
            <w:rStyle w:val="Hyperlink"/>
          </w:rPr>
          <w:t>Project Server</w:t>
        </w:r>
        <w:r>
          <w:tab/>
        </w:r>
        <w:r>
          <w:fldChar w:fldCharType="begin"/>
        </w:r>
        <w:r>
          <w:instrText xml:space="preserve"> PAGEREF _Toc439056300 \h </w:instrText>
        </w:r>
        <w:r>
          <w:fldChar w:fldCharType="separate"/>
        </w:r>
        <w:r>
          <w:t>27</w:t>
        </w:r>
        <w:r>
          <w:fldChar w:fldCharType="end"/>
        </w:r>
      </w:hyperlink>
    </w:p>
    <w:p w:rsidR="00B47E3D" w:rsidRDefault="00B47E3D">
      <w:pPr>
        <w:pStyle w:val="TOC3"/>
        <w:rPr>
          <w:rFonts w:eastAsiaTheme="minorEastAsia"/>
          <w:smallCaps w:val="0"/>
          <w:sz w:val="22"/>
        </w:rPr>
      </w:pPr>
      <w:hyperlink w:anchor="_Toc439056301" w:history="1">
        <w:r w:rsidRPr="002E07F2">
          <w:rPr>
            <w:rStyle w:val="Hyperlink"/>
          </w:rPr>
          <w:t>SharePoint Server</w:t>
        </w:r>
        <w:r>
          <w:tab/>
        </w:r>
        <w:r>
          <w:fldChar w:fldCharType="begin"/>
        </w:r>
        <w:r>
          <w:instrText xml:space="preserve"> PAGEREF _Toc439056301 \h </w:instrText>
        </w:r>
        <w:r>
          <w:fldChar w:fldCharType="separate"/>
        </w:r>
        <w:r>
          <w:t>28</w:t>
        </w:r>
        <w:r>
          <w:fldChar w:fldCharType="end"/>
        </w:r>
      </w:hyperlink>
    </w:p>
    <w:p w:rsidR="00B47E3D" w:rsidRDefault="00B47E3D">
      <w:pPr>
        <w:pStyle w:val="TOC3"/>
        <w:rPr>
          <w:rFonts w:eastAsiaTheme="minorEastAsia"/>
          <w:smallCaps w:val="0"/>
          <w:sz w:val="22"/>
        </w:rPr>
      </w:pPr>
      <w:hyperlink w:anchor="_Toc439056302" w:history="1">
        <w:r w:rsidRPr="002E07F2">
          <w:rPr>
            <w:rStyle w:val="Hyperlink"/>
          </w:rPr>
          <w:t>Skype for Business Server</w:t>
        </w:r>
        <w:r>
          <w:tab/>
        </w:r>
        <w:r>
          <w:fldChar w:fldCharType="begin"/>
        </w:r>
        <w:r>
          <w:instrText xml:space="preserve"> PAGEREF _Toc439056302 \h </w:instrText>
        </w:r>
        <w:r>
          <w:fldChar w:fldCharType="separate"/>
        </w:r>
        <w:r>
          <w:t>29</w:t>
        </w:r>
        <w:r>
          <w:fldChar w:fldCharType="end"/>
        </w:r>
      </w:hyperlink>
    </w:p>
    <w:p w:rsidR="00B47E3D" w:rsidRDefault="00B47E3D">
      <w:pPr>
        <w:pStyle w:val="TOC2"/>
        <w:rPr>
          <w:rFonts w:eastAsiaTheme="minorEastAsia"/>
          <w:smallCaps w:val="0"/>
          <w:sz w:val="22"/>
        </w:rPr>
      </w:pPr>
      <w:hyperlink w:anchor="_Toc439056303" w:history="1">
        <w:r w:rsidRPr="002E07F2">
          <w:rPr>
            <w:rStyle w:val="Hyperlink"/>
          </w:rPr>
          <w:t>R Server</w:t>
        </w:r>
        <w:r>
          <w:tab/>
        </w:r>
        <w:r>
          <w:fldChar w:fldCharType="begin"/>
        </w:r>
        <w:r>
          <w:instrText xml:space="preserve"> PAGEREF _Toc439056303 \h </w:instrText>
        </w:r>
        <w:r>
          <w:fldChar w:fldCharType="separate"/>
        </w:r>
        <w:r>
          <w:t>30</w:t>
        </w:r>
        <w:r>
          <w:fldChar w:fldCharType="end"/>
        </w:r>
      </w:hyperlink>
    </w:p>
    <w:p w:rsidR="00B47E3D" w:rsidRDefault="00B47E3D">
      <w:pPr>
        <w:pStyle w:val="TOC3"/>
        <w:rPr>
          <w:rFonts w:eastAsiaTheme="minorEastAsia"/>
          <w:smallCaps w:val="0"/>
          <w:sz w:val="22"/>
        </w:rPr>
      </w:pPr>
      <w:hyperlink w:anchor="_Toc439056304" w:history="1">
        <w:r w:rsidRPr="002E07F2">
          <w:rPr>
            <w:rStyle w:val="Hyperlink"/>
          </w:rPr>
          <w:t>2. Produktbedingungen</w:t>
        </w:r>
        <w:r>
          <w:tab/>
        </w:r>
        <w:r>
          <w:fldChar w:fldCharType="begin"/>
        </w:r>
        <w:r>
          <w:instrText xml:space="preserve"> PAGEREF _Toc439056304 \h </w:instrText>
        </w:r>
        <w:r>
          <w:fldChar w:fldCharType="separate"/>
        </w:r>
        <w:r>
          <w:t>30</w:t>
        </w:r>
        <w:r>
          <w:fldChar w:fldCharType="end"/>
        </w:r>
      </w:hyperlink>
    </w:p>
    <w:p w:rsidR="00B47E3D" w:rsidRDefault="00B47E3D">
      <w:pPr>
        <w:pStyle w:val="TOC3"/>
        <w:rPr>
          <w:rFonts w:eastAsiaTheme="minorEastAsia"/>
          <w:smallCaps w:val="0"/>
          <w:sz w:val="22"/>
        </w:rPr>
      </w:pPr>
      <w:hyperlink w:anchor="_Toc439056305" w:history="1">
        <w:r w:rsidRPr="002E07F2">
          <w:rPr>
            <w:rStyle w:val="Hyperlink"/>
          </w:rPr>
          <w:t>3. Nutzungsrechte</w:t>
        </w:r>
        <w:r>
          <w:tab/>
        </w:r>
        <w:r>
          <w:fldChar w:fldCharType="begin"/>
        </w:r>
        <w:r>
          <w:instrText xml:space="preserve"> PAGEREF _Toc439056305 \h </w:instrText>
        </w:r>
        <w:r>
          <w:fldChar w:fldCharType="separate"/>
        </w:r>
        <w:r>
          <w:t>30</w:t>
        </w:r>
        <w:r>
          <w:fldChar w:fldCharType="end"/>
        </w:r>
      </w:hyperlink>
    </w:p>
    <w:p w:rsidR="00B47E3D" w:rsidRDefault="00B47E3D">
      <w:pPr>
        <w:pStyle w:val="TOC3"/>
        <w:rPr>
          <w:rFonts w:eastAsiaTheme="minorEastAsia"/>
          <w:smallCaps w:val="0"/>
          <w:sz w:val="22"/>
        </w:rPr>
      </w:pPr>
      <w:hyperlink w:anchor="_Toc439056306" w:history="1">
        <w:r w:rsidRPr="002E07F2">
          <w:rPr>
            <w:rStyle w:val="Hyperlink"/>
          </w:rPr>
          <w:t>4. Software Assurance</w:t>
        </w:r>
        <w:r>
          <w:tab/>
        </w:r>
        <w:r>
          <w:fldChar w:fldCharType="begin"/>
        </w:r>
        <w:r>
          <w:instrText xml:space="preserve"> PAGEREF _Toc439056306 \h </w:instrText>
        </w:r>
        <w:r>
          <w:fldChar w:fldCharType="separate"/>
        </w:r>
        <w:r>
          <w:t>30</w:t>
        </w:r>
        <w:r>
          <w:fldChar w:fldCharType="end"/>
        </w:r>
      </w:hyperlink>
    </w:p>
    <w:p w:rsidR="00B47E3D" w:rsidRDefault="00B47E3D">
      <w:pPr>
        <w:pStyle w:val="TOC2"/>
        <w:rPr>
          <w:rFonts w:eastAsiaTheme="minorEastAsia"/>
          <w:smallCaps w:val="0"/>
          <w:sz w:val="22"/>
        </w:rPr>
      </w:pPr>
      <w:hyperlink w:anchor="_Toc439056307" w:history="1">
        <w:r w:rsidRPr="002E07F2">
          <w:rPr>
            <w:rStyle w:val="Hyperlink"/>
          </w:rPr>
          <w:t>Vermietungsrechte</w:t>
        </w:r>
        <w:r>
          <w:tab/>
        </w:r>
        <w:r>
          <w:fldChar w:fldCharType="begin"/>
        </w:r>
        <w:r>
          <w:instrText xml:space="preserve"> PAGEREF _Toc439056307 \h </w:instrText>
        </w:r>
        <w:r>
          <w:fldChar w:fldCharType="separate"/>
        </w:r>
        <w:r>
          <w:t>30</w:t>
        </w:r>
        <w:r>
          <w:fldChar w:fldCharType="end"/>
        </w:r>
      </w:hyperlink>
    </w:p>
    <w:p w:rsidR="00B47E3D" w:rsidRDefault="00B47E3D">
      <w:pPr>
        <w:pStyle w:val="TOC2"/>
        <w:rPr>
          <w:rFonts w:eastAsiaTheme="minorEastAsia"/>
          <w:smallCaps w:val="0"/>
          <w:sz w:val="22"/>
        </w:rPr>
      </w:pPr>
      <w:hyperlink w:anchor="_Toc439056308" w:history="1">
        <w:r w:rsidRPr="002E07F2">
          <w:rPr>
            <w:rStyle w:val="Hyperlink"/>
          </w:rPr>
          <w:t>SQL Server</w:t>
        </w:r>
        <w:r>
          <w:tab/>
        </w:r>
        <w:r>
          <w:fldChar w:fldCharType="begin"/>
        </w:r>
        <w:r>
          <w:instrText xml:space="preserve"> PAGEREF _Toc439056308 \h </w:instrText>
        </w:r>
        <w:r>
          <w:fldChar w:fldCharType="separate"/>
        </w:r>
        <w:r>
          <w:t>32</w:t>
        </w:r>
        <w:r>
          <w:fldChar w:fldCharType="end"/>
        </w:r>
      </w:hyperlink>
    </w:p>
    <w:p w:rsidR="00B47E3D" w:rsidRDefault="00B47E3D">
      <w:pPr>
        <w:pStyle w:val="TOC2"/>
        <w:rPr>
          <w:rFonts w:eastAsiaTheme="minorEastAsia"/>
          <w:smallCaps w:val="0"/>
          <w:sz w:val="22"/>
        </w:rPr>
      </w:pPr>
      <w:hyperlink w:anchor="_Toc439056309" w:history="1">
        <w:r w:rsidRPr="002E07F2">
          <w:rPr>
            <w:rStyle w:val="Hyperlink"/>
          </w:rPr>
          <w:t>System Center</w:t>
        </w:r>
        <w:r>
          <w:tab/>
        </w:r>
        <w:r>
          <w:fldChar w:fldCharType="begin"/>
        </w:r>
        <w:r>
          <w:instrText xml:space="preserve"> PAGEREF _Toc439056309 \h </w:instrText>
        </w:r>
        <w:r>
          <w:fldChar w:fldCharType="separate"/>
        </w:r>
        <w:r>
          <w:t>34</w:t>
        </w:r>
        <w:r>
          <w:fldChar w:fldCharType="end"/>
        </w:r>
      </w:hyperlink>
    </w:p>
    <w:p w:rsidR="00B47E3D" w:rsidRDefault="00B47E3D">
      <w:pPr>
        <w:pStyle w:val="TOC3"/>
        <w:rPr>
          <w:rFonts w:eastAsiaTheme="minorEastAsia"/>
          <w:smallCaps w:val="0"/>
          <w:sz w:val="22"/>
        </w:rPr>
      </w:pPr>
      <w:hyperlink w:anchor="_Toc439056310" w:history="1">
        <w:r w:rsidRPr="002E07F2">
          <w:rPr>
            <w:rStyle w:val="Hyperlink"/>
          </w:rPr>
          <w:t>System Center Server</w:t>
        </w:r>
        <w:r>
          <w:tab/>
        </w:r>
        <w:r>
          <w:fldChar w:fldCharType="begin"/>
        </w:r>
        <w:r>
          <w:instrText xml:space="preserve"> PAGEREF _Toc439056310 \h </w:instrText>
        </w:r>
        <w:r>
          <w:fldChar w:fldCharType="separate"/>
        </w:r>
        <w:r>
          <w:t>34</w:t>
        </w:r>
        <w:r>
          <w:fldChar w:fldCharType="end"/>
        </w:r>
      </w:hyperlink>
    </w:p>
    <w:p w:rsidR="00B47E3D" w:rsidRDefault="00B47E3D">
      <w:pPr>
        <w:pStyle w:val="TOC3"/>
        <w:rPr>
          <w:rFonts w:eastAsiaTheme="minorEastAsia"/>
          <w:smallCaps w:val="0"/>
          <w:sz w:val="22"/>
        </w:rPr>
      </w:pPr>
      <w:hyperlink w:anchor="_Toc439056311" w:history="1">
        <w:r w:rsidRPr="002E07F2">
          <w:rPr>
            <w:rStyle w:val="Hyperlink"/>
          </w:rPr>
          <w:t>System Center Client Management Suite</w:t>
        </w:r>
        <w:r>
          <w:tab/>
        </w:r>
        <w:r>
          <w:fldChar w:fldCharType="begin"/>
        </w:r>
        <w:r>
          <w:instrText xml:space="preserve"> PAGEREF _Toc439056311 \h </w:instrText>
        </w:r>
        <w:r>
          <w:fldChar w:fldCharType="separate"/>
        </w:r>
        <w:r>
          <w:t>35</w:t>
        </w:r>
        <w:r>
          <w:fldChar w:fldCharType="end"/>
        </w:r>
      </w:hyperlink>
    </w:p>
    <w:p w:rsidR="00B47E3D" w:rsidRDefault="00B47E3D">
      <w:pPr>
        <w:pStyle w:val="TOC3"/>
        <w:rPr>
          <w:rFonts w:eastAsiaTheme="minorEastAsia"/>
          <w:smallCaps w:val="0"/>
          <w:sz w:val="22"/>
        </w:rPr>
      </w:pPr>
      <w:hyperlink w:anchor="_Toc439056312" w:history="1">
        <w:r w:rsidRPr="002E07F2">
          <w:rPr>
            <w:rStyle w:val="Hyperlink"/>
          </w:rPr>
          <w:t>System Center Configuration Manager</w:t>
        </w:r>
        <w:r>
          <w:tab/>
        </w:r>
        <w:r>
          <w:fldChar w:fldCharType="begin"/>
        </w:r>
        <w:r>
          <w:instrText xml:space="preserve"> PAGEREF _Toc439056312 \h </w:instrText>
        </w:r>
        <w:r>
          <w:fldChar w:fldCharType="separate"/>
        </w:r>
        <w:r>
          <w:t>36</w:t>
        </w:r>
        <w:r>
          <w:fldChar w:fldCharType="end"/>
        </w:r>
      </w:hyperlink>
    </w:p>
    <w:p w:rsidR="00B47E3D" w:rsidRDefault="00B47E3D">
      <w:pPr>
        <w:pStyle w:val="TOC3"/>
        <w:rPr>
          <w:rFonts w:eastAsiaTheme="minorEastAsia"/>
          <w:smallCaps w:val="0"/>
          <w:sz w:val="22"/>
        </w:rPr>
      </w:pPr>
      <w:hyperlink w:anchor="_Toc439056313" w:history="1">
        <w:r w:rsidRPr="002E07F2">
          <w:rPr>
            <w:rStyle w:val="Hyperlink"/>
          </w:rPr>
          <w:t>System Center Data Protection Manager</w:t>
        </w:r>
        <w:r>
          <w:tab/>
        </w:r>
        <w:r>
          <w:fldChar w:fldCharType="begin"/>
        </w:r>
        <w:r>
          <w:instrText xml:space="preserve"> PAGEREF _Toc439056313 \h </w:instrText>
        </w:r>
        <w:r>
          <w:fldChar w:fldCharType="separate"/>
        </w:r>
        <w:r>
          <w:t>37</w:t>
        </w:r>
        <w:r>
          <w:fldChar w:fldCharType="end"/>
        </w:r>
      </w:hyperlink>
    </w:p>
    <w:p w:rsidR="00B47E3D" w:rsidRDefault="00B47E3D">
      <w:pPr>
        <w:pStyle w:val="TOC3"/>
        <w:rPr>
          <w:rFonts w:eastAsiaTheme="minorEastAsia"/>
          <w:smallCaps w:val="0"/>
          <w:sz w:val="22"/>
        </w:rPr>
      </w:pPr>
      <w:hyperlink w:anchor="_Toc439056314" w:history="1">
        <w:r w:rsidRPr="002E07F2">
          <w:rPr>
            <w:rStyle w:val="Hyperlink"/>
          </w:rPr>
          <w:t>System Center Operation Manager</w:t>
        </w:r>
        <w:r>
          <w:tab/>
        </w:r>
        <w:r>
          <w:fldChar w:fldCharType="begin"/>
        </w:r>
        <w:r>
          <w:instrText xml:space="preserve"> PAGEREF _Toc439056314 \h </w:instrText>
        </w:r>
        <w:r>
          <w:fldChar w:fldCharType="separate"/>
        </w:r>
        <w:r>
          <w:t>37</w:t>
        </w:r>
        <w:r>
          <w:fldChar w:fldCharType="end"/>
        </w:r>
      </w:hyperlink>
    </w:p>
    <w:p w:rsidR="00B47E3D" w:rsidRDefault="00B47E3D">
      <w:pPr>
        <w:pStyle w:val="TOC3"/>
        <w:rPr>
          <w:rFonts w:eastAsiaTheme="minorEastAsia"/>
          <w:smallCaps w:val="0"/>
          <w:sz w:val="22"/>
        </w:rPr>
      </w:pPr>
      <w:hyperlink w:anchor="_Toc439056315" w:history="1">
        <w:r w:rsidRPr="002E07F2">
          <w:rPr>
            <w:rStyle w:val="Hyperlink"/>
          </w:rPr>
          <w:t>System Center Server Management Suite</w:t>
        </w:r>
        <w:r>
          <w:tab/>
        </w:r>
        <w:r>
          <w:fldChar w:fldCharType="begin"/>
        </w:r>
        <w:r>
          <w:instrText xml:space="preserve"> PAGEREF _Toc439056315 \h </w:instrText>
        </w:r>
        <w:r>
          <w:fldChar w:fldCharType="separate"/>
        </w:r>
        <w:r>
          <w:t>37</w:t>
        </w:r>
        <w:r>
          <w:fldChar w:fldCharType="end"/>
        </w:r>
      </w:hyperlink>
    </w:p>
    <w:p w:rsidR="00B47E3D" w:rsidRDefault="00B47E3D">
      <w:pPr>
        <w:pStyle w:val="TOC3"/>
        <w:rPr>
          <w:rFonts w:eastAsiaTheme="minorEastAsia"/>
          <w:smallCaps w:val="0"/>
          <w:sz w:val="22"/>
        </w:rPr>
      </w:pPr>
      <w:hyperlink w:anchor="_Toc439056316" w:history="1">
        <w:r w:rsidRPr="002E07F2">
          <w:rPr>
            <w:rStyle w:val="Hyperlink"/>
          </w:rPr>
          <w:t>System Center Service Manager</w:t>
        </w:r>
        <w:r>
          <w:tab/>
        </w:r>
        <w:r>
          <w:fldChar w:fldCharType="begin"/>
        </w:r>
        <w:r>
          <w:instrText xml:space="preserve"> PAGEREF _Toc439056316 \h </w:instrText>
        </w:r>
        <w:r>
          <w:fldChar w:fldCharType="separate"/>
        </w:r>
        <w:r>
          <w:t>38</w:t>
        </w:r>
        <w:r>
          <w:fldChar w:fldCharType="end"/>
        </w:r>
      </w:hyperlink>
    </w:p>
    <w:p w:rsidR="00B47E3D" w:rsidRDefault="00B47E3D">
      <w:pPr>
        <w:pStyle w:val="TOC2"/>
        <w:rPr>
          <w:rFonts w:eastAsiaTheme="minorEastAsia"/>
          <w:smallCaps w:val="0"/>
          <w:sz w:val="22"/>
        </w:rPr>
      </w:pPr>
      <w:hyperlink w:anchor="_Toc439056317" w:history="1">
        <w:r w:rsidRPr="002E07F2">
          <w:rPr>
            <w:rStyle w:val="Hyperlink"/>
          </w:rPr>
          <w:t>Virtual Desktop Infrastructure (VDI) Suite</w:t>
        </w:r>
        <w:r>
          <w:tab/>
        </w:r>
        <w:r>
          <w:fldChar w:fldCharType="begin"/>
        </w:r>
        <w:r>
          <w:instrText xml:space="preserve"> PAGEREF _Toc439056317 \h </w:instrText>
        </w:r>
        <w:r>
          <w:fldChar w:fldCharType="separate"/>
        </w:r>
        <w:r>
          <w:t>38</w:t>
        </w:r>
        <w:r>
          <w:fldChar w:fldCharType="end"/>
        </w:r>
      </w:hyperlink>
    </w:p>
    <w:p w:rsidR="00B47E3D" w:rsidRDefault="00B47E3D">
      <w:pPr>
        <w:pStyle w:val="TOC2"/>
        <w:rPr>
          <w:rFonts w:eastAsiaTheme="minorEastAsia"/>
          <w:smallCaps w:val="0"/>
          <w:sz w:val="22"/>
        </w:rPr>
      </w:pPr>
      <w:hyperlink w:anchor="_Toc439056318" w:history="1">
        <w:r w:rsidRPr="002E07F2">
          <w:rPr>
            <w:rStyle w:val="Hyperlink"/>
          </w:rPr>
          <w:t>Visual Studio</w:t>
        </w:r>
        <w:r>
          <w:tab/>
        </w:r>
        <w:r>
          <w:fldChar w:fldCharType="begin"/>
        </w:r>
        <w:r>
          <w:instrText xml:space="preserve"> PAGEREF _Toc439056318 \h </w:instrText>
        </w:r>
        <w:r>
          <w:fldChar w:fldCharType="separate"/>
        </w:r>
        <w:r>
          <w:t>38</w:t>
        </w:r>
        <w:r>
          <w:fldChar w:fldCharType="end"/>
        </w:r>
      </w:hyperlink>
    </w:p>
    <w:p w:rsidR="00B47E3D" w:rsidRDefault="00B47E3D">
      <w:pPr>
        <w:pStyle w:val="TOC3"/>
        <w:rPr>
          <w:rFonts w:eastAsiaTheme="minorEastAsia"/>
          <w:smallCaps w:val="0"/>
          <w:sz w:val="22"/>
        </w:rPr>
      </w:pPr>
      <w:hyperlink w:anchor="_Toc439056319" w:history="1">
        <w:r w:rsidRPr="002E07F2">
          <w:rPr>
            <w:rStyle w:val="Hyperlink"/>
          </w:rPr>
          <w:t>Visual Studio</w:t>
        </w:r>
        <w:r>
          <w:tab/>
        </w:r>
        <w:r>
          <w:fldChar w:fldCharType="begin"/>
        </w:r>
        <w:r>
          <w:instrText xml:space="preserve"> PAGEREF _Toc439056319 \h </w:instrText>
        </w:r>
        <w:r>
          <w:fldChar w:fldCharType="separate"/>
        </w:r>
        <w:r>
          <w:t>38</w:t>
        </w:r>
        <w:r>
          <w:fldChar w:fldCharType="end"/>
        </w:r>
      </w:hyperlink>
    </w:p>
    <w:p w:rsidR="00B47E3D" w:rsidRDefault="00B47E3D">
      <w:pPr>
        <w:pStyle w:val="TOC3"/>
        <w:rPr>
          <w:rFonts w:eastAsiaTheme="minorEastAsia"/>
          <w:smallCaps w:val="0"/>
          <w:sz w:val="22"/>
        </w:rPr>
      </w:pPr>
      <w:hyperlink w:anchor="_Toc439056320" w:history="1">
        <w:r w:rsidRPr="002E07F2">
          <w:rPr>
            <w:rStyle w:val="Hyperlink"/>
          </w:rPr>
          <w:t>Visual Studio Team Foundation Server</w:t>
        </w:r>
        <w:r>
          <w:tab/>
        </w:r>
        <w:r>
          <w:fldChar w:fldCharType="begin"/>
        </w:r>
        <w:r>
          <w:instrText xml:space="preserve"> PAGEREF _Toc439056320 \h </w:instrText>
        </w:r>
        <w:r>
          <w:fldChar w:fldCharType="separate"/>
        </w:r>
        <w:r>
          <w:t>40</w:t>
        </w:r>
        <w:r>
          <w:fldChar w:fldCharType="end"/>
        </w:r>
      </w:hyperlink>
    </w:p>
    <w:p w:rsidR="00B47E3D" w:rsidRDefault="00B47E3D">
      <w:pPr>
        <w:pStyle w:val="TOC2"/>
        <w:rPr>
          <w:rFonts w:eastAsiaTheme="minorEastAsia"/>
          <w:smallCaps w:val="0"/>
          <w:sz w:val="22"/>
        </w:rPr>
      </w:pPr>
      <w:hyperlink w:anchor="_Toc439056321" w:history="1">
        <w:r w:rsidRPr="002E07F2">
          <w:rPr>
            <w:rStyle w:val="Hyperlink"/>
          </w:rPr>
          <w:t>Windows</w:t>
        </w:r>
        <w:r>
          <w:tab/>
        </w:r>
        <w:r>
          <w:fldChar w:fldCharType="begin"/>
        </w:r>
        <w:r>
          <w:instrText xml:space="preserve"> PAGEREF _Toc439056321 \h </w:instrText>
        </w:r>
        <w:r>
          <w:fldChar w:fldCharType="separate"/>
        </w:r>
        <w:r>
          <w:t>41</w:t>
        </w:r>
        <w:r>
          <w:fldChar w:fldCharType="end"/>
        </w:r>
      </w:hyperlink>
    </w:p>
    <w:p w:rsidR="00B47E3D" w:rsidRDefault="00B47E3D">
      <w:pPr>
        <w:pStyle w:val="TOC3"/>
        <w:rPr>
          <w:rFonts w:eastAsiaTheme="minorEastAsia"/>
          <w:smallCaps w:val="0"/>
          <w:sz w:val="22"/>
        </w:rPr>
      </w:pPr>
      <w:hyperlink w:anchor="_Toc439056322" w:history="1">
        <w:r w:rsidRPr="002E07F2">
          <w:rPr>
            <w:rStyle w:val="Hyperlink"/>
          </w:rPr>
          <w:t>Windows-Desktopbetriebssystem</w:t>
        </w:r>
        <w:r>
          <w:tab/>
        </w:r>
        <w:r>
          <w:fldChar w:fldCharType="begin"/>
        </w:r>
        <w:r>
          <w:instrText xml:space="preserve"> PAGEREF _Toc439056322 \h </w:instrText>
        </w:r>
        <w:r>
          <w:fldChar w:fldCharType="separate"/>
        </w:r>
        <w:r>
          <w:t>41</w:t>
        </w:r>
        <w:r>
          <w:fldChar w:fldCharType="end"/>
        </w:r>
      </w:hyperlink>
    </w:p>
    <w:p w:rsidR="00B47E3D" w:rsidRDefault="00B47E3D">
      <w:pPr>
        <w:pStyle w:val="TOC2"/>
        <w:rPr>
          <w:rFonts w:eastAsiaTheme="minorEastAsia"/>
          <w:smallCaps w:val="0"/>
          <w:sz w:val="22"/>
        </w:rPr>
      </w:pPr>
      <w:hyperlink w:anchor="_Toc439056323" w:history="1">
        <w:r w:rsidRPr="002E07F2">
          <w:rPr>
            <w:rStyle w:val="Hyperlink"/>
          </w:rPr>
          <w:t>Windows Server</w:t>
        </w:r>
        <w:r>
          <w:tab/>
        </w:r>
        <w:r>
          <w:fldChar w:fldCharType="begin"/>
        </w:r>
        <w:r>
          <w:instrText xml:space="preserve"> PAGEREF _Toc439056323 \h </w:instrText>
        </w:r>
        <w:r>
          <w:fldChar w:fldCharType="separate"/>
        </w:r>
        <w:r>
          <w:t>47</w:t>
        </w:r>
        <w:r>
          <w:fldChar w:fldCharType="end"/>
        </w:r>
      </w:hyperlink>
    </w:p>
    <w:p w:rsidR="00B47E3D" w:rsidRDefault="00B47E3D">
      <w:pPr>
        <w:pStyle w:val="TOC3"/>
        <w:rPr>
          <w:rFonts w:eastAsiaTheme="minorEastAsia"/>
          <w:smallCaps w:val="0"/>
          <w:sz w:val="22"/>
        </w:rPr>
      </w:pPr>
      <w:hyperlink w:anchor="_Toc439056324" w:history="1">
        <w:r w:rsidRPr="002E07F2">
          <w:rPr>
            <w:rStyle w:val="Hyperlink"/>
          </w:rPr>
          <w:t>Windows MultiPoint Server</w:t>
        </w:r>
        <w:r>
          <w:tab/>
        </w:r>
        <w:r>
          <w:fldChar w:fldCharType="begin"/>
        </w:r>
        <w:r>
          <w:instrText xml:space="preserve"> PAGEREF _Toc439056324 \h </w:instrText>
        </w:r>
        <w:r>
          <w:fldChar w:fldCharType="separate"/>
        </w:r>
        <w:r>
          <w:t>47</w:t>
        </w:r>
        <w:r>
          <w:fldChar w:fldCharType="end"/>
        </w:r>
      </w:hyperlink>
    </w:p>
    <w:p w:rsidR="00B47E3D" w:rsidRDefault="00B47E3D">
      <w:pPr>
        <w:pStyle w:val="TOC3"/>
        <w:rPr>
          <w:rFonts w:eastAsiaTheme="minorEastAsia"/>
          <w:smallCaps w:val="0"/>
          <w:sz w:val="22"/>
        </w:rPr>
      </w:pPr>
      <w:hyperlink w:anchor="_Toc439056325" w:history="1">
        <w:r w:rsidRPr="002E07F2">
          <w:rPr>
            <w:rStyle w:val="Hyperlink"/>
          </w:rPr>
          <w:t>Windows Server</w:t>
        </w:r>
        <w:r>
          <w:tab/>
        </w:r>
        <w:r>
          <w:fldChar w:fldCharType="begin"/>
        </w:r>
        <w:r>
          <w:instrText xml:space="preserve"> PAGEREF _Toc439056325 \h </w:instrText>
        </w:r>
        <w:r>
          <w:fldChar w:fldCharType="separate"/>
        </w:r>
        <w:r>
          <w:t>48</w:t>
        </w:r>
        <w:r>
          <w:fldChar w:fldCharType="end"/>
        </w:r>
      </w:hyperlink>
    </w:p>
    <w:p w:rsidR="00B47E3D" w:rsidRDefault="00B47E3D">
      <w:pPr>
        <w:pStyle w:val="TOC3"/>
        <w:rPr>
          <w:rFonts w:eastAsiaTheme="minorEastAsia"/>
          <w:smallCaps w:val="0"/>
          <w:sz w:val="22"/>
        </w:rPr>
      </w:pPr>
      <w:hyperlink w:anchor="_Toc439056326" w:history="1">
        <w:r w:rsidRPr="002E07F2">
          <w:rPr>
            <w:rStyle w:val="Hyperlink"/>
          </w:rPr>
          <w:t>Windows Small Business Server</w:t>
        </w:r>
        <w:r>
          <w:tab/>
        </w:r>
        <w:r>
          <w:fldChar w:fldCharType="begin"/>
        </w:r>
        <w:r>
          <w:instrText xml:space="preserve"> PAGEREF _Toc439056326 \h </w:instrText>
        </w:r>
        <w:r>
          <w:fldChar w:fldCharType="separate"/>
        </w:r>
        <w:r>
          <w:t>50</w:t>
        </w:r>
        <w:r>
          <w:fldChar w:fldCharType="end"/>
        </w:r>
      </w:hyperlink>
    </w:p>
    <w:p w:rsidR="00B47E3D" w:rsidRDefault="00B47E3D">
      <w:pPr>
        <w:pStyle w:val="TOC1"/>
        <w:rPr>
          <w:rFonts w:eastAsiaTheme="minorEastAsia"/>
          <w:b w:val="0"/>
          <w:caps w:val="0"/>
          <w:noProof/>
          <w:sz w:val="22"/>
          <w:szCs w:val="22"/>
        </w:rPr>
      </w:pPr>
      <w:hyperlink w:anchor="_Toc439056327" w:history="1">
        <w:r w:rsidRPr="002E07F2">
          <w:rPr>
            <w:rStyle w:val="Hyperlink"/>
            <w:noProof/>
          </w:rPr>
          <w:t>Onlinedienste</w:t>
        </w:r>
        <w:r>
          <w:rPr>
            <w:noProof/>
          </w:rPr>
          <w:tab/>
        </w:r>
        <w:r>
          <w:rPr>
            <w:noProof/>
          </w:rPr>
          <w:fldChar w:fldCharType="begin"/>
        </w:r>
        <w:r>
          <w:rPr>
            <w:noProof/>
          </w:rPr>
          <w:instrText xml:space="preserve"> PAGEREF _Toc439056327 \h </w:instrText>
        </w:r>
        <w:r>
          <w:rPr>
            <w:noProof/>
          </w:rPr>
        </w:r>
        <w:r>
          <w:rPr>
            <w:noProof/>
          </w:rPr>
          <w:fldChar w:fldCharType="separate"/>
        </w:r>
        <w:r>
          <w:rPr>
            <w:noProof/>
          </w:rPr>
          <w:t>52</w:t>
        </w:r>
        <w:r>
          <w:rPr>
            <w:noProof/>
          </w:rPr>
          <w:fldChar w:fldCharType="end"/>
        </w:r>
      </w:hyperlink>
    </w:p>
    <w:p w:rsidR="00B47E3D" w:rsidRDefault="00B47E3D">
      <w:pPr>
        <w:pStyle w:val="TOC2"/>
        <w:rPr>
          <w:rFonts w:eastAsiaTheme="minorEastAsia"/>
          <w:smallCaps w:val="0"/>
          <w:sz w:val="22"/>
        </w:rPr>
      </w:pPr>
      <w:hyperlink w:anchor="_Toc439056328" w:history="1">
        <w:r w:rsidRPr="002E07F2">
          <w:rPr>
            <w:rStyle w:val="Hyperlink"/>
          </w:rPr>
          <w:t>Regionale Verfügbarkeit von Onlinediensten</w:t>
        </w:r>
        <w:r>
          <w:tab/>
        </w:r>
        <w:r>
          <w:fldChar w:fldCharType="begin"/>
        </w:r>
        <w:r>
          <w:instrText xml:space="preserve"> PAGEREF _Toc439056328 \h </w:instrText>
        </w:r>
        <w:r>
          <w:fldChar w:fldCharType="separate"/>
        </w:r>
        <w:r>
          <w:t>52</w:t>
        </w:r>
        <w:r>
          <w:fldChar w:fldCharType="end"/>
        </w:r>
      </w:hyperlink>
    </w:p>
    <w:p w:rsidR="00B47E3D" w:rsidRDefault="00B47E3D">
      <w:pPr>
        <w:pStyle w:val="TOC2"/>
        <w:rPr>
          <w:rFonts w:eastAsiaTheme="minorEastAsia"/>
          <w:smallCaps w:val="0"/>
          <w:sz w:val="22"/>
        </w:rPr>
      </w:pPr>
      <w:hyperlink w:anchor="_Toc439056329" w:history="1">
        <w:r w:rsidRPr="002E07F2">
          <w:rPr>
            <w:rStyle w:val="Hyperlink"/>
          </w:rPr>
          <w:t>Regeln für den Erwerb von Onlinediensten</w:t>
        </w:r>
        <w:r>
          <w:tab/>
        </w:r>
        <w:r>
          <w:fldChar w:fldCharType="begin"/>
        </w:r>
        <w:r>
          <w:instrText xml:space="preserve"> PAGEREF _Toc439056329 \h </w:instrText>
        </w:r>
        <w:r>
          <w:fldChar w:fldCharType="separate"/>
        </w:r>
        <w:r>
          <w:t>52</w:t>
        </w:r>
        <w:r>
          <w:fldChar w:fldCharType="end"/>
        </w:r>
      </w:hyperlink>
    </w:p>
    <w:p w:rsidR="00B47E3D" w:rsidRDefault="00B47E3D">
      <w:pPr>
        <w:pStyle w:val="TOC2"/>
        <w:rPr>
          <w:rFonts w:eastAsiaTheme="minorEastAsia"/>
          <w:smallCaps w:val="0"/>
          <w:sz w:val="22"/>
        </w:rPr>
      </w:pPr>
      <w:hyperlink w:anchor="_Toc439056330" w:history="1">
        <w:r w:rsidRPr="002E07F2">
          <w:rPr>
            <w:rStyle w:val="Hyperlink"/>
          </w:rPr>
          <w:t>Add-On-Nutzer-Abonnementlizenz (AL)</w:t>
        </w:r>
        <w:r>
          <w:tab/>
        </w:r>
        <w:r>
          <w:fldChar w:fldCharType="begin"/>
        </w:r>
        <w:r>
          <w:instrText xml:space="preserve"> PAGEREF _Toc439056330 \h </w:instrText>
        </w:r>
        <w:r>
          <w:fldChar w:fldCharType="separate"/>
        </w:r>
        <w:r>
          <w:t>52</w:t>
        </w:r>
        <w:r>
          <w:fldChar w:fldCharType="end"/>
        </w:r>
      </w:hyperlink>
    </w:p>
    <w:p w:rsidR="00B47E3D" w:rsidRDefault="00B47E3D">
      <w:pPr>
        <w:pStyle w:val="TOC2"/>
        <w:rPr>
          <w:rFonts w:eastAsiaTheme="minorEastAsia"/>
          <w:smallCaps w:val="0"/>
          <w:sz w:val="22"/>
        </w:rPr>
      </w:pPr>
      <w:hyperlink w:anchor="_Toc439056331" w:history="1">
        <w:r w:rsidRPr="002E07F2">
          <w:rPr>
            <w:rStyle w:val="Hyperlink"/>
          </w:rPr>
          <w:t>Verlängerung von Onlinediensten</w:t>
        </w:r>
        <w:r>
          <w:tab/>
        </w:r>
        <w:r>
          <w:fldChar w:fldCharType="begin"/>
        </w:r>
        <w:r>
          <w:instrText xml:space="preserve"> PAGEREF _Toc439056331 \h </w:instrText>
        </w:r>
        <w:r>
          <w:fldChar w:fldCharType="separate"/>
        </w:r>
        <w:r>
          <w:t>52</w:t>
        </w:r>
        <w:r>
          <w:fldChar w:fldCharType="end"/>
        </w:r>
      </w:hyperlink>
    </w:p>
    <w:p w:rsidR="00B47E3D" w:rsidRDefault="00B47E3D">
      <w:pPr>
        <w:pStyle w:val="TOC2"/>
        <w:rPr>
          <w:rFonts w:eastAsiaTheme="minorEastAsia"/>
          <w:smallCaps w:val="0"/>
          <w:sz w:val="22"/>
        </w:rPr>
      </w:pPr>
      <w:hyperlink w:anchor="_Toc439056332" w:history="1">
        <w:r w:rsidRPr="002E07F2">
          <w:rPr>
            <w:rStyle w:val="Hyperlink"/>
          </w:rPr>
          <w:t>Microsoft Azure-Dienste</w:t>
        </w:r>
        <w:r>
          <w:tab/>
        </w:r>
        <w:r>
          <w:fldChar w:fldCharType="begin"/>
        </w:r>
        <w:r>
          <w:instrText xml:space="preserve"> PAGEREF _Toc439056332 \h </w:instrText>
        </w:r>
        <w:r>
          <w:fldChar w:fldCharType="separate"/>
        </w:r>
        <w:r>
          <w:t>52</w:t>
        </w:r>
        <w:r>
          <w:fldChar w:fldCharType="end"/>
        </w:r>
      </w:hyperlink>
    </w:p>
    <w:p w:rsidR="00B47E3D" w:rsidRDefault="00B47E3D">
      <w:pPr>
        <w:pStyle w:val="TOC3"/>
        <w:rPr>
          <w:rFonts w:eastAsiaTheme="minorEastAsia"/>
          <w:smallCaps w:val="0"/>
          <w:sz w:val="22"/>
        </w:rPr>
      </w:pPr>
      <w:hyperlink w:anchor="_Toc439056333" w:history="1">
        <w:r w:rsidRPr="002E07F2">
          <w:rPr>
            <w:rStyle w:val="Hyperlink"/>
          </w:rPr>
          <w:t>Microsoft Azure-Dienste</w:t>
        </w:r>
        <w:r>
          <w:tab/>
        </w:r>
        <w:r>
          <w:fldChar w:fldCharType="begin"/>
        </w:r>
        <w:r>
          <w:instrText xml:space="preserve"> PAGEREF _Toc439056333 \h </w:instrText>
        </w:r>
        <w:r>
          <w:fldChar w:fldCharType="separate"/>
        </w:r>
        <w:r>
          <w:t>54</w:t>
        </w:r>
        <w:r>
          <w:fldChar w:fldCharType="end"/>
        </w:r>
      </w:hyperlink>
    </w:p>
    <w:p w:rsidR="00B47E3D" w:rsidRDefault="00B47E3D">
      <w:pPr>
        <w:pStyle w:val="TOC3"/>
        <w:rPr>
          <w:rFonts w:eastAsiaTheme="minorEastAsia"/>
          <w:smallCaps w:val="0"/>
          <w:sz w:val="22"/>
        </w:rPr>
      </w:pPr>
      <w:hyperlink w:anchor="_Toc439056334" w:history="1">
        <w:r w:rsidRPr="002E07F2">
          <w:rPr>
            <w:rStyle w:val="Hyperlink"/>
          </w:rPr>
          <w:t>Microsoft Azure-Support (Plan)</w:t>
        </w:r>
        <w:r>
          <w:tab/>
        </w:r>
        <w:r>
          <w:fldChar w:fldCharType="begin"/>
        </w:r>
        <w:r>
          <w:instrText xml:space="preserve"> PAGEREF _Toc439056334 \h </w:instrText>
        </w:r>
        <w:r>
          <w:fldChar w:fldCharType="separate"/>
        </w:r>
        <w:r>
          <w:t>54</w:t>
        </w:r>
        <w:r>
          <w:fldChar w:fldCharType="end"/>
        </w:r>
      </w:hyperlink>
    </w:p>
    <w:p w:rsidR="00B47E3D" w:rsidRDefault="00B47E3D">
      <w:pPr>
        <w:pStyle w:val="TOC3"/>
        <w:rPr>
          <w:rFonts w:eastAsiaTheme="minorEastAsia"/>
          <w:smallCaps w:val="0"/>
          <w:sz w:val="22"/>
        </w:rPr>
      </w:pPr>
      <w:hyperlink w:anchor="_Toc439056335" w:history="1">
        <w:r w:rsidRPr="002E07F2">
          <w:rPr>
            <w:rStyle w:val="Hyperlink"/>
          </w:rPr>
          <w:t>Microsoft Azure-Standortwiederherstellung (Plan)</w:t>
        </w:r>
        <w:r>
          <w:tab/>
        </w:r>
        <w:r>
          <w:fldChar w:fldCharType="begin"/>
        </w:r>
        <w:r>
          <w:instrText xml:space="preserve"> PAGEREF _Toc439056335 \h </w:instrText>
        </w:r>
        <w:r>
          <w:fldChar w:fldCharType="separate"/>
        </w:r>
        <w:r>
          <w:t>55</w:t>
        </w:r>
        <w:r>
          <w:fldChar w:fldCharType="end"/>
        </w:r>
      </w:hyperlink>
    </w:p>
    <w:p w:rsidR="00B47E3D" w:rsidRDefault="00B47E3D">
      <w:pPr>
        <w:pStyle w:val="TOC3"/>
        <w:rPr>
          <w:rFonts w:eastAsiaTheme="minorEastAsia"/>
          <w:smallCaps w:val="0"/>
          <w:sz w:val="22"/>
        </w:rPr>
      </w:pPr>
      <w:hyperlink w:anchor="_Toc439056336" w:history="1">
        <w:r w:rsidRPr="002E07F2">
          <w:rPr>
            <w:rStyle w:val="Hyperlink"/>
          </w:rPr>
          <w:t>Enterprise Mobility Suite (Plan)</w:t>
        </w:r>
        <w:r>
          <w:tab/>
        </w:r>
        <w:r>
          <w:fldChar w:fldCharType="begin"/>
        </w:r>
        <w:r>
          <w:instrText xml:space="preserve"> PAGEREF _Toc439056336 \h </w:instrText>
        </w:r>
        <w:r>
          <w:fldChar w:fldCharType="separate"/>
        </w:r>
        <w:r>
          <w:t>55</w:t>
        </w:r>
        <w:r>
          <w:fldChar w:fldCharType="end"/>
        </w:r>
      </w:hyperlink>
    </w:p>
    <w:p w:rsidR="00B47E3D" w:rsidRDefault="00B47E3D">
      <w:pPr>
        <w:pStyle w:val="TOC3"/>
        <w:rPr>
          <w:rFonts w:eastAsiaTheme="minorEastAsia"/>
          <w:smallCaps w:val="0"/>
          <w:sz w:val="22"/>
        </w:rPr>
      </w:pPr>
      <w:hyperlink w:anchor="_Toc439056337" w:history="1">
        <w:r w:rsidRPr="002E07F2">
          <w:rPr>
            <w:rStyle w:val="Hyperlink"/>
          </w:rPr>
          <w:t>Azure Active Directory (Plan)</w:t>
        </w:r>
        <w:r>
          <w:tab/>
        </w:r>
        <w:r>
          <w:fldChar w:fldCharType="begin"/>
        </w:r>
        <w:r>
          <w:instrText xml:space="preserve"> PAGEREF _Toc439056337 \h </w:instrText>
        </w:r>
        <w:r>
          <w:fldChar w:fldCharType="separate"/>
        </w:r>
        <w:r>
          <w:t>56</w:t>
        </w:r>
        <w:r>
          <w:fldChar w:fldCharType="end"/>
        </w:r>
      </w:hyperlink>
    </w:p>
    <w:p w:rsidR="00B47E3D" w:rsidRDefault="00B47E3D">
      <w:pPr>
        <w:pStyle w:val="TOC3"/>
        <w:rPr>
          <w:rFonts w:eastAsiaTheme="minorEastAsia"/>
          <w:smallCaps w:val="0"/>
          <w:sz w:val="22"/>
        </w:rPr>
      </w:pPr>
      <w:hyperlink w:anchor="_Toc439056338" w:history="1">
        <w:r w:rsidRPr="002E07F2">
          <w:rPr>
            <w:rStyle w:val="Hyperlink"/>
          </w:rPr>
          <w:t>Azure-Rechteverwaltung (Plan)</w:t>
        </w:r>
        <w:r>
          <w:tab/>
        </w:r>
        <w:r>
          <w:fldChar w:fldCharType="begin"/>
        </w:r>
        <w:r>
          <w:instrText xml:space="preserve"> PAGEREF _Toc439056338 \h </w:instrText>
        </w:r>
        <w:r>
          <w:fldChar w:fldCharType="separate"/>
        </w:r>
        <w:r>
          <w:t>56</w:t>
        </w:r>
        <w:r>
          <w:fldChar w:fldCharType="end"/>
        </w:r>
      </w:hyperlink>
    </w:p>
    <w:p w:rsidR="00B47E3D" w:rsidRDefault="00B47E3D">
      <w:pPr>
        <w:pStyle w:val="TOC3"/>
        <w:rPr>
          <w:rFonts w:eastAsiaTheme="minorEastAsia"/>
          <w:smallCaps w:val="0"/>
          <w:sz w:val="22"/>
        </w:rPr>
      </w:pPr>
      <w:hyperlink w:anchor="_Toc439056339" w:history="1">
        <w:r w:rsidRPr="002E07F2">
          <w:rPr>
            <w:rStyle w:val="Hyperlink"/>
          </w:rPr>
          <w:t>Azure RemoteApp (Plan)</w:t>
        </w:r>
        <w:r>
          <w:tab/>
        </w:r>
        <w:r>
          <w:fldChar w:fldCharType="begin"/>
        </w:r>
        <w:r>
          <w:instrText xml:space="preserve"> PAGEREF _Toc439056339 \h </w:instrText>
        </w:r>
        <w:r>
          <w:fldChar w:fldCharType="separate"/>
        </w:r>
        <w:r>
          <w:t>57</w:t>
        </w:r>
        <w:r>
          <w:fldChar w:fldCharType="end"/>
        </w:r>
      </w:hyperlink>
    </w:p>
    <w:p w:rsidR="00B47E3D" w:rsidRDefault="00B47E3D">
      <w:pPr>
        <w:pStyle w:val="TOC3"/>
        <w:rPr>
          <w:rFonts w:eastAsiaTheme="minorEastAsia"/>
          <w:smallCaps w:val="0"/>
          <w:sz w:val="22"/>
        </w:rPr>
      </w:pPr>
      <w:hyperlink w:anchor="_Toc439056340" w:history="1">
        <w:r w:rsidRPr="002E07F2">
          <w:rPr>
            <w:rStyle w:val="Hyperlink"/>
          </w:rPr>
          <w:t>Operations Management Suite (Plan)</w:t>
        </w:r>
        <w:r>
          <w:tab/>
        </w:r>
        <w:r>
          <w:fldChar w:fldCharType="begin"/>
        </w:r>
        <w:r>
          <w:instrText xml:space="preserve"> PAGEREF _Toc439056340 \h </w:instrText>
        </w:r>
        <w:r>
          <w:fldChar w:fldCharType="separate"/>
        </w:r>
        <w:r>
          <w:t>57</w:t>
        </w:r>
        <w:r>
          <w:fldChar w:fldCharType="end"/>
        </w:r>
      </w:hyperlink>
    </w:p>
    <w:p w:rsidR="00B47E3D" w:rsidRDefault="00B47E3D">
      <w:pPr>
        <w:pStyle w:val="TOC3"/>
        <w:rPr>
          <w:rFonts w:eastAsiaTheme="minorEastAsia"/>
          <w:smallCaps w:val="0"/>
          <w:sz w:val="22"/>
        </w:rPr>
      </w:pPr>
      <w:hyperlink w:anchor="_Toc439056341" w:history="1">
        <w:r w:rsidRPr="002E07F2">
          <w:rPr>
            <w:rStyle w:val="Hyperlink"/>
          </w:rPr>
          <w:t>Microsoft Multi-Factor Authentication (Plan)</w:t>
        </w:r>
        <w:r>
          <w:tab/>
        </w:r>
        <w:r>
          <w:fldChar w:fldCharType="begin"/>
        </w:r>
        <w:r>
          <w:instrText xml:space="preserve"> PAGEREF _Toc439056341 \h </w:instrText>
        </w:r>
        <w:r>
          <w:fldChar w:fldCharType="separate"/>
        </w:r>
        <w:r>
          <w:t>58</w:t>
        </w:r>
        <w:r>
          <w:fldChar w:fldCharType="end"/>
        </w:r>
      </w:hyperlink>
    </w:p>
    <w:p w:rsidR="00B47E3D" w:rsidRDefault="00B47E3D">
      <w:pPr>
        <w:pStyle w:val="TOC2"/>
        <w:rPr>
          <w:rFonts w:eastAsiaTheme="minorEastAsia"/>
          <w:smallCaps w:val="0"/>
          <w:sz w:val="22"/>
        </w:rPr>
      </w:pPr>
      <w:hyperlink w:anchor="_Toc439056342" w:history="1">
        <w:r w:rsidRPr="002E07F2">
          <w:rPr>
            <w:rStyle w:val="Hyperlink"/>
          </w:rPr>
          <w:t>Enterprise Cloud Suite</w:t>
        </w:r>
        <w:r>
          <w:tab/>
        </w:r>
        <w:r>
          <w:fldChar w:fldCharType="begin"/>
        </w:r>
        <w:r>
          <w:instrText xml:space="preserve"> PAGEREF _Toc439056342 \h </w:instrText>
        </w:r>
        <w:r>
          <w:fldChar w:fldCharType="separate"/>
        </w:r>
        <w:r>
          <w:t>58</w:t>
        </w:r>
        <w:r>
          <w:fldChar w:fldCharType="end"/>
        </w:r>
      </w:hyperlink>
    </w:p>
    <w:p w:rsidR="00B47E3D" w:rsidRDefault="00B47E3D">
      <w:pPr>
        <w:pStyle w:val="TOC2"/>
        <w:rPr>
          <w:rFonts w:eastAsiaTheme="minorEastAsia"/>
          <w:smallCaps w:val="0"/>
          <w:sz w:val="22"/>
        </w:rPr>
      </w:pPr>
      <w:hyperlink w:anchor="_Toc439056343" w:history="1">
        <w:r w:rsidRPr="002E07F2">
          <w:rPr>
            <w:rStyle w:val="Hyperlink"/>
          </w:rPr>
          <w:t>Microsoft Intune</w:t>
        </w:r>
        <w:r>
          <w:tab/>
        </w:r>
        <w:r>
          <w:fldChar w:fldCharType="begin"/>
        </w:r>
        <w:r>
          <w:instrText xml:space="preserve"> PAGEREF _Toc439056343 \h </w:instrText>
        </w:r>
        <w:r>
          <w:fldChar w:fldCharType="separate"/>
        </w:r>
        <w:r>
          <w:t>58</w:t>
        </w:r>
        <w:r>
          <w:fldChar w:fldCharType="end"/>
        </w:r>
      </w:hyperlink>
    </w:p>
    <w:p w:rsidR="00B47E3D" w:rsidRDefault="00B47E3D">
      <w:pPr>
        <w:pStyle w:val="TOC2"/>
        <w:rPr>
          <w:rFonts w:eastAsiaTheme="minorEastAsia"/>
          <w:smallCaps w:val="0"/>
          <w:sz w:val="22"/>
        </w:rPr>
      </w:pPr>
      <w:hyperlink w:anchor="_Toc439056344" w:history="1">
        <w:r w:rsidRPr="002E07F2">
          <w:rPr>
            <w:rStyle w:val="Hyperlink"/>
          </w:rPr>
          <w:t>Microsoft Dynamics-Onlinedienste</w:t>
        </w:r>
        <w:r>
          <w:tab/>
        </w:r>
        <w:r>
          <w:fldChar w:fldCharType="begin"/>
        </w:r>
        <w:r>
          <w:instrText xml:space="preserve"> PAGEREF _Toc439056344 \h </w:instrText>
        </w:r>
        <w:r>
          <w:fldChar w:fldCharType="separate"/>
        </w:r>
        <w:r>
          <w:t>59</w:t>
        </w:r>
        <w:r>
          <w:fldChar w:fldCharType="end"/>
        </w:r>
      </w:hyperlink>
    </w:p>
    <w:p w:rsidR="00B47E3D" w:rsidRDefault="00B47E3D">
      <w:pPr>
        <w:pStyle w:val="TOC3"/>
        <w:rPr>
          <w:rFonts w:eastAsiaTheme="minorEastAsia"/>
          <w:smallCaps w:val="0"/>
          <w:sz w:val="22"/>
        </w:rPr>
      </w:pPr>
      <w:hyperlink w:anchor="_Toc439056345" w:history="1">
        <w:r w:rsidRPr="002E07F2">
          <w:rPr>
            <w:rStyle w:val="Hyperlink"/>
          </w:rPr>
          <w:t>Microsoft Dynamics CRM Online</w:t>
        </w:r>
        <w:r>
          <w:tab/>
        </w:r>
        <w:r>
          <w:fldChar w:fldCharType="begin"/>
        </w:r>
        <w:r>
          <w:instrText xml:space="preserve"> PAGEREF _Toc439056345 \h </w:instrText>
        </w:r>
        <w:r>
          <w:fldChar w:fldCharType="separate"/>
        </w:r>
        <w:r>
          <w:t>59</w:t>
        </w:r>
        <w:r>
          <w:fldChar w:fldCharType="end"/>
        </w:r>
      </w:hyperlink>
    </w:p>
    <w:p w:rsidR="00B47E3D" w:rsidRDefault="00B47E3D">
      <w:pPr>
        <w:pStyle w:val="TOC3"/>
        <w:rPr>
          <w:rFonts w:eastAsiaTheme="minorEastAsia"/>
          <w:smallCaps w:val="0"/>
          <w:sz w:val="22"/>
        </w:rPr>
      </w:pPr>
      <w:hyperlink w:anchor="_Toc439056346" w:history="1">
        <w:r w:rsidRPr="002E07F2">
          <w:rPr>
            <w:rStyle w:val="Hyperlink"/>
          </w:rPr>
          <w:t>Microsoft Dynamics Marketing</w:t>
        </w:r>
        <w:r>
          <w:tab/>
        </w:r>
        <w:r>
          <w:fldChar w:fldCharType="begin"/>
        </w:r>
        <w:r>
          <w:instrText xml:space="preserve"> PAGEREF _Toc439056346 \h </w:instrText>
        </w:r>
        <w:r>
          <w:fldChar w:fldCharType="separate"/>
        </w:r>
        <w:r>
          <w:t>60</w:t>
        </w:r>
        <w:r>
          <w:fldChar w:fldCharType="end"/>
        </w:r>
      </w:hyperlink>
    </w:p>
    <w:p w:rsidR="00B47E3D" w:rsidRDefault="00B47E3D">
      <w:pPr>
        <w:pStyle w:val="TOC3"/>
        <w:rPr>
          <w:rFonts w:eastAsiaTheme="minorEastAsia"/>
          <w:smallCaps w:val="0"/>
          <w:sz w:val="22"/>
        </w:rPr>
      </w:pPr>
      <w:hyperlink w:anchor="_Toc439056347" w:history="1">
        <w:r w:rsidRPr="002E07F2">
          <w:rPr>
            <w:rStyle w:val="Hyperlink"/>
          </w:rPr>
          <w:t>Microsoft Social Engagement</w:t>
        </w:r>
        <w:r>
          <w:tab/>
        </w:r>
        <w:r>
          <w:fldChar w:fldCharType="begin"/>
        </w:r>
        <w:r>
          <w:instrText xml:space="preserve"> PAGEREF _Toc439056347 \h </w:instrText>
        </w:r>
        <w:r>
          <w:fldChar w:fldCharType="separate"/>
        </w:r>
        <w:r>
          <w:t>60</w:t>
        </w:r>
        <w:r>
          <w:fldChar w:fldCharType="end"/>
        </w:r>
      </w:hyperlink>
    </w:p>
    <w:p w:rsidR="00B47E3D" w:rsidRDefault="00B47E3D">
      <w:pPr>
        <w:pStyle w:val="TOC3"/>
        <w:rPr>
          <w:rFonts w:eastAsiaTheme="minorEastAsia"/>
          <w:smallCaps w:val="0"/>
          <w:sz w:val="22"/>
        </w:rPr>
      </w:pPr>
      <w:hyperlink w:anchor="_Toc439056348" w:history="1">
        <w:r w:rsidRPr="002E07F2">
          <w:rPr>
            <w:rStyle w:val="Hyperlink"/>
          </w:rPr>
          <w:t>Parature, von Microsoft</w:t>
        </w:r>
        <w:r>
          <w:tab/>
        </w:r>
        <w:r>
          <w:fldChar w:fldCharType="begin"/>
        </w:r>
        <w:r>
          <w:instrText xml:space="preserve"> PAGEREF _Toc439056348 \h </w:instrText>
        </w:r>
        <w:r>
          <w:fldChar w:fldCharType="separate"/>
        </w:r>
        <w:r>
          <w:t>61</w:t>
        </w:r>
        <w:r>
          <w:fldChar w:fldCharType="end"/>
        </w:r>
      </w:hyperlink>
    </w:p>
    <w:p w:rsidR="00B47E3D" w:rsidRDefault="00B47E3D">
      <w:pPr>
        <w:pStyle w:val="TOC2"/>
        <w:rPr>
          <w:rFonts w:eastAsiaTheme="minorEastAsia"/>
          <w:smallCaps w:val="0"/>
          <w:sz w:val="22"/>
        </w:rPr>
      </w:pPr>
      <w:hyperlink w:anchor="_Toc439056349" w:history="1">
        <w:r w:rsidRPr="002E07F2">
          <w:rPr>
            <w:rStyle w:val="Hyperlink"/>
          </w:rPr>
          <w:t>Office 365-Dienste</w:t>
        </w:r>
        <w:r>
          <w:tab/>
        </w:r>
        <w:r>
          <w:fldChar w:fldCharType="begin"/>
        </w:r>
        <w:r>
          <w:instrText xml:space="preserve"> PAGEREF _Toc439056349 \h </w:instrText>
        </w:r>
        <w:r>
          <w:fldChar w:fldCharType="separate"/>
        </w:r>
        <w:r>
          <w:t>61</w:t>
        </w:r>
        <w:r>
          <w:fldChar w:fldCharType="end"/>
        </w:r>
      </w:hyperlink>
    </w:p>
    <w:p w:rsidR="00B47E3D" w:rsidRDefault="00B47E3D">
      <w:pPr>
        <w:pStyle w:val="TOC3"/>
        <w:rPr>
          <w:rFonts w:eastAsiaTheme="minorEastAsia"/>
          <w:smallCaps w:val="0"/>
          <w:sz w:val="22"/>
        </w:rPr>
      </w:pPr>
      <w:hyperlink w:anchor="_Toc439056350" w:history="1">
        <w:r w:rsidRPr="002E07F2">
          <w:rPr>
            <w:rStyle w:val="Hyperlink"/>
          </w:rPr>
          <w:t>Office 365-Anwendungen</w:t>
        </w:r>
        <w:r>
          <w:tab/>
        </w:r>
        <w:r>
          <w:fldChar w:fldCharType="begin"/>
        </w:r>
        <w:r>
          <w:instrText xml:space="preserve"> PAGEREF _Toc439056350 \h </w:instrText>
        </w:r>
        <w:r>
          <w:fldChar w:fldCharType="separate"/>
        </w:r>
        <w:r>
          <w:t>61</w:t>
        </w:r>
        <w:r>
          <w:fldChar w:fldCharType="end"/>
        </w:r>
      </w:hyperlink>
    </w:p>
    <w:p w:rsidR="00B47E3D" w:rsidRDefault="00B47E3D">
      <w:pPr>
        <w:pStyle w:val="TOC3"/>
        <w:rPr>
          <w:rFonts w:eastAsiaTheme="minorEastAsia"/>
          <w:smallCaps w:val="0"/>
          <w:sz w:val="22"/>
        </w:rPr>
      </w:pPr>
      <w:hyperlink w:anchor="_Toc439056351" w:history="1">
        <w:r w:rsidRPr="002E07F2">
          <w:rPr>
            <w:rStyle w:val="Hyperlink"/>
          </w:rPr>
          <w:t>Office 365 Suites</w:t>
        </w:r>
        <w:r>
          <w:tab/>
        </w:r>
        <w:r>
          <w:fldChar w:fldCharType="begin"/>
        </w:r>
        <w:r>
          <w:instrText xml:space="preserve"> PAGEREF _Toc439056351 \h </w:instrText>
        </w:r>
        <w:r>
          <w:fldChar w:fldCharType="separate"/>
        </w:r>
        <w:r>
          <w:t>63</w:t>
        </w:r>
        <w:r>
          <w:fldChar w:fldCharType="end"/>
        </w:r>
      </w:hyperlink>
    </w:p>
    <w:p w:rsidR="00B47E3D" w:rsidRDefault="00B47E3D">
      <w:pPr>
        <w:pStyle w:val="TOC3"/>
        <w:rPr>
          <w:rFonts w:eastAsiaTheme="minorEastAsia"/>
          <w:smallCaps w:val="0"/>
          <w:sz w:val="22"/>
        </w:rPr>
      </w:pPr>
      <w:hyperlink w:anchor="_Toc439056352" w:history="1">
        <w:r w:rsidRPr="002E07F2">
          <w:rPr>
            <w:rStyle w:val="Hyperlink"/>
          </w:rPr>
          <w:t>Office 365 Customer Lockbox</w:t>
        </w:r>
        <w:r>
          <w:tab/>
        </w:r>
        <w:r>
          <w:fldChar w:fldCharType="begin"/>
        </w:r>
        <w:r>
          <w:instrText xml:space="preserve"> PAGEREF _Toc439056352 \h </w:instrText>
        </w:r>
        <w:r>
          <w:fldChar w:fldCharType="separate"/>
        </w:r>
        <w:r>
          <w:t>65</w:t>
        </w:r>
        <w:r>
          <w:fldChar w:fldCharType="end"/>
        </w:r>
      </w:hyperlink>
    </w:p>
    <w:p w:rsidR="00B47E3D" w:rsidRDefault="00B47E3D">
      <w:pPr>
        <w:pStyle w:val="TOC3"/>
        <w:rPr>
          <w:rFonts w:eastAsiaTheme="minorEastAsia"/>
          <w:smallCaps w:val="0"/>
          <w:sz w:val="22"/>
        </w:rPr>
      </w:pPr>
      <w:hyperlink w:anchor="_Toc439056353" w:history="1">
        <w:r w:rsidRPr="002E07F2">
          <w:rPr>
            <w:rStyle w:val="Hyperlink"/>
          </w:rPr>
          <w:t>Office 365 Delve Analytics</w:t>
        </w:r>
        <w:r>
          <w:tab/>
        </w:r>
        <w:r>
          <w:fldChar w:fldCharType="begin"/>
        </w:r>
        <w:r>
          <w:instrText xml:space="preserve"> PAGEREF _Toc439056353 \h </w:instrText>
        </w:r>
        <w:r>
          <w:fldChar w:fldCharType="separate"/>
        </w:r>
        <w:r>
          <w:t>65</w:t>
        </w:r>
        <w:r>
          <w:fldChar w:fldCharType="end"/>
        </w:r>
      </w:hyperlink>
    </w:p>
    <w:p w:rsidR="00B47E3D" w:rsidRDefault="00B47E3D">
      <w:pPr>
        <w:pStyle w:val="TOC3"/>
        <w:rPr>
          <w:rFonts w:eastAsiaTheme="minorEastAsia"/>
          <w:smallCaps w:val="0"/>
          <w:sz w:val="22"/>
        </w:rPr>
      </w:pPr>
      <w:hyperlink w:anchor="_Toc439056354" w:history="1">
        <w:r w:rsidRPr="002E07F2">
          <w:rPr>
            <w:rStyle w:val="Hyperlink"/>
          </w:rPr>
          <w:t>Office 365 Advanced eDiscovery</w:t>
        </w:r>
        <w:r>
          <w:tab/>
        </w:r>
        <w:r>
          <w:fldChar w:fldCharType="begin"/>
        </w:r>
        <w:r>
          <w:instrText xml:space="preserve"> PAGEREF _Toc439056354 \h </w:instrText>
        </w:r>
        <w:r>
          <w:fldChar w:fldCharType="separate"/>
        </w:r>
        <w:r>
          <w:t>66</w:t>
        </w:r>
        <w:r>
          <w:fldChar w:fldCharType="end"/>
        </w:r>
      </w:hyperlink>
    </w:p>
    <w:p w:rsidR="00B47E3D" w:rsidRDefault="00B47E3D">
      <w:pPr>
        <w:pStyle w:val="TOC3"/>
        <w:rPr>
          <w:rFonts w:eastAsiaTheme="minorEastAsia"/>
          <w:smallCaps w:val="0"/>
          <w:sz w:val="22"/>
        </w:rPr>
      </w:pPr>
      <w:hyperlink w:anchor="_Toc439056355" w:history="1">
        <w:r w:rsidRPr="002E07F2">
          <w:rPr>
            <w:rStyle w:val="Hyperlink"/>
          </w:rPr>
          <w:t>Exchange Online</w:t>
        </w:r>
        <w:r>
          <w:tab/>
        </w:r>
        <w:r>
          <w:fldChar w:fldCharType="begin"/>
        </w:r>
        <w:r>
          <w:instrText xml:space="preserve"> PAGEREF _Toc439056355 \h </w:instrText>
        </w:r>
        <w:r>
          <w:fldChar w:fldCharType="separate"/>
        </w:r>
        <w:r>
          <w:t>66</w:t>
        </w:r>
        <w:r>
          <w:fldChar w:fldCharType="end"/>
        </w:r>
      </w:hyperlink>
    </w:p>
    <w:p w:rsidR="00B47E3D" w:rsidRDefault="00B47E3D">
      <w:pPr>
        <w:pStyle w:val="TOC3"/>
        <w:rPr>
          <w:rFonts w:eastAsiaTheme="minorEastAsia"/>
          <w:smallCaps w:val="0"/>
          <w:sz w:val="22"/>
        </w:rPr>
      </w:pPr>
      <w:hyperlink w:anchor="_Toc439056356" w:history="1">
        <w:r w:rsidRPr="002E07F2">
          <w:rPr>
            <w:rStyle w:val="Hyperlink"/>
          </w:rPr>
          <w:t>OneDrive for Business</w:t>
        </w:r>
        <w:r>
          <w:tab/>
        </w:r>
        <w:r>
          <w:fldChar w:fldCharType="begin"/>
        </w:r>
        <w:r>
          <w:instrText xml:space="preserve"> PAGEREF _Toc439056356 \h </w:instrText>
        </w:r>
        <w:r>
          <w:fldChar w:fldCharType="separate"/>
        </w:r>
        <w:r>
          <w:t>67</w:t>
        </w:r>
        <w:r>
          <w:fldChar w:fldCharType="end"/>
        </w:r>
      </w:hyperlink>
    </w:p>
    <w:p w:rsidR="00B47E3D" w:rsidRDefault="00B47E3D">
      <w:pPr>
        <w:pStyle w:val="TOC3"/>
        <w:rPr>
          <w:rFonts w:eastAsiaTheme="minorEastAsia"/>
          <w:smallCaps w:val="0"/>
          <w:sz w:val="22"/>
        </w:rPr>
      </w:pPr>
      <w:hyperlink w:anchor="_Toc439056357" w:history="1">
        <w:r w:rsidRPr="002E07F2">
          <w:rPr>
            <w:rStyle w:val="Hyperlink"/>
          </w:rPr>
          <w:t>Project Online</w:t>
        </w:r>
        <w:r>
          <w:tab/>
        </w:r>
        <w:r>
          <w:fldChar w:fldCharType="begin"/>
        </w:r>
        <w:r>
          <w:instrText xml:space="preserve"> PAGEREF _Toc439056357 \h </w:instrText>
        </w:r>
        <w:r>
          <w:fldChar w:fldCharType="separate"/>
        </w:r>
        <w:r>
          <w:t>67</w:t>
        </w:r>
        <w:r>
          <w:fldChar w:fldCharType="end"/>
        </w:r>
      </w:hyperlink>
    </w:p>
    <w:p w:rsidR="00B47E3D" w:rsidRDefault="00B47E3D">
      <w:pPr>
        <w:pStyle w:val="TOC3"/>
        <w:rPr>
          <w:rFonts w:eastAsiaTheme="minorEastAsia"/>
          <w:smallCaps w:val="0"/>
          <w:sz w:val="22"/>
        </w:rPr>
      </w:pPr>
      <w:hyperlink w:anchor="_Toc439056358" w:history="1">
        <w:r w:rsidRPr="002E07F2">
          <w:rPr>
            <w:rStyle w:val="Hyperlink"/>
          </w:rPr>
          <w:t>SharePoint Online</w:t>
        </w:r>
        <w:r>
          <w:tab/>
        </w:r>
        <w:r>
          <w:fldChar w:fldCharType="begin"/>
        </w:r>
        <w:r>
          <w:instrText xml:space="preserve"> PAGEREF _Toc439056358 \h </w:instrText>
        </w:r>
        <w:r>
          <w:fldChar w:fldCharType="separate"/>
        </w:r>
        <w:r>
          <w:t>67</w:t>
        </w:r>
        <w:r>
          <w:fldChar w:fldCharType="end"/>
        </w:r>
      </w:hyperlink>
    </w:p>
    <w:p w:rsidR="00B47E3D" w:rsidRDefault="00B47E3D">
      <w:pPr>
        <w:pStyle w:val="TOC3"/>
        <w:rPr>
          <w:rFonts w:eastAsiaTheme="minorEastAsia"/>
          <w:smallCaps w:val="0"/>
          <w:sz w:val="22"/>
        </w:rPr>
      </w:pPr>
      <w:hyperlink w:anchor="_Toc439056359" w:history="1">
        <w:r w:rsidRPr="002E07F2">
          <w:rPr>
            <w:rStyle w:val="Hyperlink"/>
          </w:rPr>
          <w:t>Skype for Business Online</w:t>
        </w:r>
        <w:r>
          <w:tab/>
        </w:r>
        <w:r>
          <w:fldChar w:fldCharType="begin"/>
        </w:r>
        <w:r>
          <w:instrText xml:space="preserve"> PAGEREF _Toc439056359 \h </w:instrText>
        </w:r>
        <w:r>
          <w:fldChar w:fldCharType="separate"/>
        </w:r>
        <w:r>
          <w:t>68</w:t>
        </w:r>
        <w:r>
          <w:fldChar w:fldCharType="end"/>
        </w:r>
      </w:hyperlink>
    </w:p>
    <w:p w:rsidR="00B47E3D" w:rsidRDefault="00B47E3D">
      <w:pPr>
        <w:pStyle w:val="TOC2"/>
        <w:rPr>
          <w:rFonts w:eastAsiaTheme="minorEastAsia"/>
          <w:smallCaps w:val="0"/>
          <w:sz w:val="22"/>
        </w:rPr>
      </w:pPr>
      <w:hyperlink w:anchor="_Toc439056360" w:history="1">
        <w:r w:rsidRPr="002E07F2">
          <w:rPr>
            <w:rStyle w:val="Hyperlink"/>
          </w:rPr>
          <w:t>Sonstige Onlinedienste</w:t>
        </w:r>
        <w:r>
          <w:tab/>
        </w:r>
        <w:r>
          <w:fldChar w:fldCharType="begin"/>
        </w:r>
        <w:r>
          <w:instrText xml:space="preserve"> PAGEREF _Toc439056360 \h </w:instrText>
        </w:r>
        <w:r>
          <w:fldChar w:fldCharType="separate"/>
        </w:r>
        <w:r>
          <w:t>68</w:t>
        </w:r>
        <w:r>
          <w:fldChar w:fldCharType="end"/>
        </w:r>
      </w:hyperlink>
    </w:p>
    <w:p w:rsidR="00B47E3D" w:rsidRDefault="00B47E3D">
      <w:pPr>
        <w:pStyle w:val="TOC3"/>
        <w:rPr>
          <w:rFonts w:eastAsiaTheme="minorEastAsia"/>
          <w:smallCaps w:val="0"/>
          <w:sz w:val="22"/>
        </w:rPr>
      </w:pPr>
      <w:hyperlink w:anchor="_Toc439056361" w:history="1">
        <w:r w:rsidRPr="002E07F2">
          <w:rPr>
            <w:rStyle w:val="Hyperlink"/>
          </w:rPr>
          <w:t>Bing Maps</w:t>
        </w:r>
        <w:r>
          <w:tab/>
        </w:r>
        <w:r>
          <w:fldChar w:fldCharType="begin"/>
        </w:r>
        <w:r>
          <w:instrText xml:space="preserve"> PAGEREF _Toc439056361 \h </w:instrText>
        </w:r>
        <w:r>
          <w:fldChar w:fldCharType="separate"/>
        </w:r>
        <w:r>
          <w:t>68</w:t>
        </w:r>
        <w:r>
          <w:fldChar w:fldCharType="end"/>
        </w:r>
      </w:hyperlink>
    </w:p>
    <w:p w:rsidR="00B47E3D" w:rsidRDefault="00B47E3D">
      <w:pPr>
        <w:pStyle w:val="TOC3"/>
        <w:rPr>
          <w:rFonts w:eastAsiaTheme="minorEastAsia"/>
          <w:smallCaps w:val="0"/>
          <w:sz w:val="22"/>
        </w:rPr>
      </w:pPr>
      <w:hyperlink w:anchor="_Toc439056362" w:history="1">
        <w:r w:rsidRPr="002E07F2">
          <w:rPr>
            <w:rStyle w:val="Hyperlink"/>
          </w:rPr>
          <w:t>Microsoft Learning</w:t>
        </w:r>
        <w:r>
          <w:tab/>
        </w:r>
        <w:r>
          <w:fldChar w:fldCharType="begin"/>
        </w:r>
        <w:r>
          <w:instrText xml:space="preserve"> PAGEREF _Toc439056362 \h </w:instrText>
        </w:r>
        <w:r>
          <w:fldChar w:fldCharType="separate"/>
        </w:r>
        <w:r>
          <w:t>69</w:t>
        </w:r>
        <w:r>
          <w:fldChar w:fldCharType="end"/>
        </w:r>
      </w:hyperlink>
    </w:p>
    <w:p w:rsidR="00B47E3D" w:rsidRDefault="00B47E3D">
      <w:pPr>
        <w:pStyle w:val="TOC3"/>
        <w:rPr>
          <w:rFonts w:eastAsiaTheme="minorEastAsia"/>
          <w:smallCaps w:val="0"/>
          <w:sz w:val="22"/>
        </w:rPr>
      </w:pPr>
      <w:hyperlink w:anchor="_Toc439056363" w:history="1">
        <w:r w:rsidRPr="002E07F2">
          <w:rPr>
            <w:rStyle w:val="Hyperlink"/>
          </w:rPr>
          <w:t>Microsoft Translator</w:t>
        </w:r>
        <w:r>
          <w:tab/>
        </w:r>
        <w:r>
          <w:fldChar w:fldCharType="begin"/>
        </w:r>
        <w:r>
          <w:instrText xml:space="preserve"> PAGEREF _Toc439056363 \h </w:instrText>
        </w:r>
        <w:r>
          <w:fldChar w:fldCharType="separate"/>
        </w:r>
        <w:r>
          <w:t>69</w:t>
        </w:r>
        <w:r>
          <w:fldChar w:fldCharType="end"/>
        </w:r>
      </w:hyperlink>
    </w:p>
    <w:p w:rsidR="00B47E3D" w:rsidRDefault="00B47E3D">
      <w:pPr>
        <w:pStyle w:val="TOC3"/>
        <w:rPr>
          <w:rFonts w:eastAsiaTheme="minorEastAsia"/>
          <w:smallCaps w:val="0"/>
          <w:sz w:val="22"/>
        </w:rPr>
      </w:pPr>
      <w:hyperlink w:anchor="_Toc439056364" w:history="1">
        <w:r w:rsidRPr="002E07F2">
          <w:rPr>
            <w:rStyle w:val="Hyperlink"/>
          </w:rPr>
          <w:t>Power BI Pro</w:t>
        </w:r>
        <w:r>
          <w:tab/>
        </w:r>
        <w:r>
          <w:fldChar w:fldCharType="begin"/>
        </w:r>
        <w:r>
          <w:instrText xml:space="preserve"> PAGEREF _Toc439056364 \h </w:instrText>
        </w:r>
        <w:r>
          <w:fldChar w:fldCharType="separate"/>
        </w:r>
        <w:r>
          <w:t>70</w:t>
        </w:r>
        <w:r>
          <w:fldChar w:fldCharType="end"/>
        </w:r>
      </w:hyperlink>
    </w:p>
    <w:p w:rsidR="00B47E3D" w:rsidRDefault="00B47E3D">
      <w:pPr>
        <w:pStyle w:val="TOC3"/>
        <w:rPr>
          <w:rFonts w:eastAsiaTheme="minorEastAsia"/>
          <w:smallCaps w:val="0"/>
          <w:sz w:val="22"/>
        </w:rPr>
      </w:pPr>
      <w:hyperlink w:anchor="_Toc439056365" w:history="1">
        <w:r w:rsidRPr="002E07F2">
          <w:rPr>
            <w:rStyle w:val="Hyperlink"/>
          </w:rPr>
          <w:t>System Center Endpoint Protection</w:t>
        </w:r>
        <w:r>
          <w:tab/>
        </w:r>
        <w:r>
          <w:fldChar w:fldCharType="begin"/>
        </w:r>
        <w:r>
          <w:instrText xml:space="preserve"> PAGEREF _Toc439056365 \h </w:instrText>
        </w:r>
        <w:r>
          <w:fldChar w:fldCharType="separate"/>
        </w:r>
        <w:r>
          <w:t>70</w:t>
        </w:r>
        <w:r>
          <w:fldChar w:fldCharType="end"/>
        </w:r>
      </w:hyperlink>
    </w:p>
    <w:p w:rsidR="00B47E3D" w:rsidRDefault="00B47E3D">
      <w:pPr>
        <w:pStyle w:val="TOC3"/>
        <w:rPr>
          <w:rFonts w:eastAsiaTheme="minorEastAsia"/>
          <w:smallCaps w:val="0"/>
          <w:sz w:val="22"/>
        </w:rPr>
      </w:pPr>
      <w:hyperlink w:anchor="_Toc439056366" w:history="1">
        <w:r w:rsidRPr="002E07F2">
          <w:rPr>
            <w:rStyle w:val="Hyperlink"/>
          </w:rPr>
          <w:t>Yammer Enterprise</w:t>
        </w:r>
        <w:r>
          <w:tab/>
        </w:r>
        <w:r>
          <w:fldChar w:fldCharType="begin"/>
        </w:r>
        <w:r>
          <w:instrText xml:space="preserve"> PAGEREF _Toc439056366 \h </w:instrText>
        </w:r>
        <w:r>
          <w:fldChar w:fldCharType="separate"/>
        </w:r>
        <w:r>
          <w:t>70</w:t>
        </w:r>
        <w:r>
          <w:fldChar w:fldCharType="end"/>
        </w:r>
      </w:hyperlink>
    </w:p>
    <w:p w:rsidR="00B47E3D" w:rsidRDefault="00B47E3D">
      <w:pPr>
        <w:pStyle w:val="TOC1"/>
        <w:rPr>
          <w:rFonts w:eastAsiaTheme="minorEastAsia"/>
          <w:b w:val="0"/>
          <w:caps w:val="0"/>
          <w:noProof/>
          <w:sz w:val="22"/>
          <w:szCs w:val="22"/>
        </w:rPr>
      </w:pPr>
      <w:hyperlink w:anchor="_Toc439056367" w:history="1">
        <w:r w:rsidRPr="002E07F2">
          <w:rPr>
            <w:rStyle w:val="Hyperlink"/>
            <w:noProof/>
          </w:rPr>
          <w:t>Glossar</w:t>
        </w:r>
        <w:r>
          <w:rPr>
            <w:noProof/>
          </w:rPr>
          <w:tab/>
        </w:r>
        <w:r>
          <w:rPr>
            <w:noProof/>
          </w:rPr>
          <w:fldChar w:fldCharType="begin"/>
        </w:r>
        <w:r>
          <w:rPr>
            <w:noProof/>
          </w:rPr>
          <w:instrText xml:space="preserve"> PAGEREF _Toc439056367 \h </w:instrText>
        </w:r>
        <w:r>
          <w:rPr>
            <w:noProof/>
          </w:rPr>
        </w:r>
        <w:r>
          <w:rPr>
            <w:noProof/>
          </w:rPr>
          <w:fldChar w:fldCharType="separate"/>
        </w:r>
        <w:r>
          <w:rPr>
            <w:noProof/>
          </w:rPr>
          <w:t>72</w:t>
        </w:r>
        <w:r>
          <w:rPr>
            <w:noProof/>
          </w:rPr>
          <w:fldChar w:fldCharType="end"/>
        </w:r>
      </w:hyperlink>
    </w:p>
    <w:p w:rsidR="00B47E3D" w:rsidRDefault="00B47E3D">
      <w:pPr>
        <w:pStyle w:val="TOC2"/>
        <w:rPr>
          <w:rFonts w:eastAsiaTheme="minorEastAsia"/>
          <w:smallCaps w:val="0"/>
          <w:sz w:val="22"/>
        </w:rPr>
      </w:pPr>
      <w:hyperlink w:anchor="_Toc439056368" w:history="1">
        <w:r w:rsidRPr="002E07F2">
          <w:rPr>
            <w:rStyle w:val="Hyperlink"/>
          </w:rPr>
          <w:t>Eigenschaften</w:t>
        </w:r>
        <w:r>
          <w:tab/>
        </w:r>
        <w:r>
          <w:fldChar w:fldCharType="begin"/>
        </w:r>
        <w:r>
          <w:instrText xml:space="preserve"> PAGEREF _Toc439056368 \h </w:instrText>
        </w:r>
        <w:r>
          <w:fldChar w:fldCharType="separate"/>
        </w:r>
        <w:r>
          <w:t>72</w:t>
        </w:r>
        <w:r>
          <w:fldChar w:fldCharType="end"/>
        </w:r>
      </w:hyperlink>
    </w:p>
    <w:p w:rsidR="00B47E3D" w:rsidRDefault="00B47E3D">
      <w:pPr>
        <w:pStyle w:val="TOC2"/>
        <w:rPr>
          <w:rFonts w:eastAsiaTheme="minorEastAsia"/>
          <w:smallCaps w:val="0"/>
          <w:sz w:val="22"/>
        </w:rPr>
      </w:pPr>
      <w:hyperlink w:anchor="_Toc439056369" w:history="1">
        <w:r w:rsidRPr="002E07F2">
          <w:rPr>
            <w:rStyle w:val="Hyperlink"/>
          </w:rPr>
          <w:t>Zellenwerte</w:t>
        </w:r>
        <w:r>
          <w:tab/>
        </w:r>
        <w:r>
          <w:fldChar w:fldCharType="begin"/>
        </w:r>
        <w:r>
          <w:instrText xml:space="preserve"> PAGEREF _Toc439056369 \h </w:instrText>
        </w:r>
        <w:r>
          <w:fldChar w:fldCharType="separate"/>
        </w:r>
        <w:r>
          <w:t>73</w:t>
        </w:r>
        <w:r>
          <w:fldChar w:fldCharType="end"/>
        </w:r>
      </w:hyperlink>
    </w:p>
    <w:p w:rsidR="00B47E3D" w:rsidRDefault="00B47E3D">
      <w:pPr>
        <w:pStyle w:val="TOC2"/>
        <w:rPr>
          <w:rFonts w:eastAsiaTheme="minorEastAsia"/>
          <w:smallCaps w:val="0"/>
          <w:sz w:val="22"/>
        </w:rPr>
      </w:pPr>
      <w:hyperlink w:anchor="_Toc439056370" w:history="1">
        <w:r w:rsidRPr="002E07F2">
          <w:rPr>
            <w:rStyle w:val="Hyperlink"/>
          </w:rPr>
          <w:t>Spaltenüberschriften</w:t>
        </w:r>
        <w:r>
          <w:tab/>
        </w:r>
        <w:r>
          <w:fldChar w:fldCharType="begin"/>
        </w:r>
        <w:r>
          <w:instrText xml:space="preserve"> PAGEREF _Toc439056370 \h </w:instrText>
        </w:r>
        <w:r>
          <w:fldChar w:fldCharType="separate"/>
        </w:r>
        <w:r>
          <w:t>74</w:t>
        </w:r>
        <w:r>
          <w:fldChar w:fldCharType="end"/>
        </w:r>
      </w:hyperlink>
    </w:p>
    <w:p w:rsidR="00B47E3D" w:rsidRDefault="00B47E3D">
      <w:pPr>
        <w:pStyle w:val="TOC2"/>
        <w:rPr>
          <w:rFonts w:eastAsiaTheme="minorEastAsia"/>
          <w:smallCaps w:val="0"/>
          <w:sz w:val="22"/>
        </w:rPr>
      </w:pPr>
      <w:hyperlink w:anchor="_Toc439056371" w:history="1">
        <w:r w:rsidRPr="002E07F2">
          <w:rPr>
            <w:rStyle w:val="Hyperlink"/>
          </w:rPr>
          <w:t>Definitionen</w:t>
        </w:r>
        <w:r>
          <w:tab/>
        </w:r>
        <w:r>
          <w:fldChar w:fldCharType="begin"/>
        </w:r>
        <w:r>
          <w:instrText xml:space="preserve"> PAGEREF _Toc439056371 \h </w:instrText>
        </w:r>
        <w:r>
          <w:fldChar w:fldCharType="separate"/>
        </w:r>
        <w:r>
          <w:t>74</w:t>
        </w:r>
        <w:r>
          <w:fldChar w:fldCharType="end"/>
        </w:r>
      </w:hyperlink>
    </w:p>
    <w:p w:rsidR="00B47E3D" w:rsidRDefault="00B47E3D">
      <w:pPr>
        <w:pStyle w:val="TOC1"/>
        <w:rPr>
          <w:rFonts w:eastAsiaTheme="minorEastAsia"/>
          <w:b w:val="0"/>
          <w:caps w:val="0"/>
          <w:noProof/>
          <w:sz w:val="22"/>
          <w:szCs w:val="22"/>
        </w:rPr>
      </w:pPr>
      <w:hyperlink w:anchor="_Toc439056372" w:history="1">
        <w:r w:rsidRPr="002E07F2">
          <w:rPr>
            <w:rStyle w:val="Hyperlink"/>
            <w:noProof/>
          </w:rPr>
          <w:t>Anhang A – CAL-/ML-äquivalente Lizenzen</w:t>
        </w:r>
        <w:r>
          <w:rPr>
            <w:noProof/>
          </w:rPr>
          <w:tab/>
        </w:r>
        <w:r>
          <w:rPr>
            <w:noProof/>
          </w:rPr>
          <w:fldChar w:fldCharType="begin"/>
        </w:r>
        <w:r>
          <w:rPr>
            <w:noProof/>
          </w:rPr>
          <w:instrText xml:space="preserve"> PAGEREF _Toc439056372 \h </w:instrText>
        </w:r>
        <w:r>
          <w:rPr>
            <w:noProof/>
          </w:rPr>
        </w:r>
        <w:r>
          <w:rPr>
            <w:noProof/>
          </w:rPr>
          <w:fldChar w:fldCharType="separate"/>
        </w:r>
        <w:r>
          <w:rPr>
            <w:noProof/>
          </w:rPr>
          <w:t>77</w:t>
        </w:r>
        <w:r>
          <w:rPr>
            <w:noProof/>
          </w:rPr>
          <w:fldChar w:fldCharType="end"/>
        </w:r>
      </w:hyperlink>
    </w:p>
    <w:p w:rsidR="00B47E3D" w:rsidRDefault="00B47E3D">
      <w:pPr>
        <w:pStyle w:val="TOC1"/>
        <w:rPr>
          <w:rFonts w:eastAsiaTheme="minorEastAsia"/>
          <w:b w:val="0"/>
          <w:caps w:val="0"/>
          <w:noProof/>
          <w:sz w:val="22"/>
          <w:szCs w:val="22"/>
        </w:rPr>
      </w:pPr>
      <w:hyperlink w:anchor="_Toc439056373" w:history="1">
        <w:r w:rsidRPr="002E07F2">
          <w:rPr>
            <w:rStyle w:val="Hyperlink"/>
            <w:noProof/>
          </w:rPr>
          <w:t>Anhang B – Software Assurance</w:t>
        </w:r>
        <w:r>
          <w:rPr>
            <w:noProof/>
          </w:rPr>
          <w:tab/>
        </w:r>
        <w:r>
          <w:rPr>
            <w:noProof/>
          </w:rPr>
          <w:fldChar w:fldCharType="begin"/>
        </w:r>
        <w:r>
          <w:rPr>
            <w:noProof/>
          </w:rPr>
          <w:instrText xml:space="preserve"> PAGEREF _Toc439056373 \h </w:instrText>
        </w:r>
        <w:r>
          <w:rPr>
            <w:noProof/>
          </w:rPr>
        </w:r>
        <w:r>
          <w:rPr>
            <w:noProof/>
          </w:rPr>
          <w:fldChar w:fldCharType="separate"/>
        </w:r>
        <w:r>
          <w:rPr>
            <w:noProof/>
          </w:rPr>
          <w:t>78</w:t>
        </w:r>
        <w:r>
          <w:rPr>
            <w:noProof/>
          </w:rPr>
          <w:fldChar w:fldCharType="end"/>
        </w:r>
      </w:hyperlink>
    </w:p>
    <w:p w:rsidR="00B47E3D" w:rsidRDefault="00B47E3D">
      <w:pPr>
        <w:pStyle w:val="TOC2"/>
        <w:rPr>
          <w:rFonts w:eastAsiaTheme="minorEastAsia"/>
          <w:smallCaps w:val="0"/>
          <w:sz w:val="22"/>
        </w:rPr>
      </w:pPr>
      <w:hyperlink w:anchor="_Toc439056374" w:history="1">
        <w:r w:rsidRPr="002E07F2">
          <w:rPr>
            <w:rStyle w:val="Hyperlink"/>
          </w:rPr>
          <w:t>Erwerb von Software Assurance</w:t>
        </w:r>
        <w:r>
          <w:tab/>
        </w:r>
        <w:r>
          <w:fldChar w:fldCharType="begin"/>
        </w:r>
        <w:r>
          <w:instrText xml:space="preserve"> PAGEREF _Toc439056374 \h </w:instrText>
        </w:r>
        <w:r>
          <w:fldChar w:fldCharType="separate"/>
        </w:r>
        <w:r>
          <w:t>78</w:t>
        </w:r>
        <w:r>
          <w:fldChar w:fldCharType="end"/>
        </w:r>
      </w:hyperlink>
    </w:p>
    <w:p w:rsidR="00B47E3D" w:rsidRDefault="00B47E3D">
      <w:pPr>
        <w:pStyle w:val="TOC2"/>
        <w:rPr>
          <w:rFonts w:eastAsiaTheme="minorEastAsia"/>
          <w:smallCaps w:val="0"/>
          <w:sz w:val="22"/>
        </w:rPr>
      </w:pPr>
      <w:hyperlink w:anchor="_Toc439056375" w:history="1">
        <w:r w:rsidRPr="002E07F2">
          <w:rPr>
            <w:rStyle w:val="Hyperlink"/>
          </w:rPr>
          <w:t>Verlängerung von Software Assurance</w:t>
        </w:r>
        <w:r>
          <w:tab/>
        </w:r>
        <w:r>
          <w:fldChar w:fldCharType="begin"/>
        </w:r>
        <w:r>
          <w:instrText xml:space="preserve"> PAGEREF _Toc439056375 \h </w:instrText>
        </w:r>
        <w:r>
          <w:fldChar w:fldCharType="separate"/>
        </w:r>
        <w:r>
          <w:t>78</w:t>
        </w:r>
        <w:r>
          <w:fldChar w:fldCharType="end"/>
        </w:r>
      </w:hyperlink>
    </w:p>
    <w:p w:rsidR="00B47E3D" w:rsidRDefault="00B47E3D">
      <w:pPr>
        <w:pStyle w:val="TOC2"/>
        <w:rPr>
          <w:rFonts w:eastAsiaTheme="minorEastAsia"/>
          <w:smallCaps w:val="0"/>
          <w:sz w:val="22"/>
        </w:rPr>
      </w:pPr>
      <w:hyperlink w:anchor="_Toc439056376" w:history="1">
        <w:r w:rsidRPr="002E07F2">
          <w:rPr>
            <w:rStyle w:val="Hyperlink"/>
          </w:rPr>
          <w:t>Migrationslizenz für Eingestellte Produkte oder Produkte mit Status End-Of-Life</w:t>
        </w:r>
        <w:r>
          <w:tab/>
        </w:r>
        <w:r>
          <w:fldChar w:fldCharType="begin"/>
        </w:r>
        <w:r>
          <w:instrText xml:space="preserve"> PAGEREF _Toc439056376 \h </w:instrText>
        </w:r>
        <w:r>
          <w:fldChar w:fldCharType="separate"/>
        </w:r>
        <w:r>
          <w:t>79</w:t>
        </w:r>
        <w:r>
          <w:fldChar w:fldCharType="end"/>
        </w:r>
      </w:hyperlink>
    </w:p>
    <w:p w:rsidR="00B47E3D" w:rsidRDefault="00B47E3D">
      <w:pPr>
        <w:pStyle w:val="TOC2"/>
        <w:rPr>
          <w:rFonts w:eastAsiaTheme="minorEastAsia"/>
          <w:smallCaps w:val="0"/>
          <w:sz w:val="22"/>
        </w:rPr>
      </w:pPr>
      <w:hyperlink w:anchor="_Toc439056377" w:history="1">
        <w:r w:rsidRPr="002E07F2">
          <w:rPr>
            <w:rStyle w:val="Hyperlink"/>
          </w:rPr>
          <w:t>Software Assurance-Vergünstigungen</w:t>
        </w:r>
        <w:r>
          <w:tab/>
        </w:r>
        <w:r>
          <w:fldChar w:fldCharType="begin"/>
        </w:r>
        <w:r>
          <w:instrText xml:space="preserve"> PAGEREF _Toc439056377 \h </w:instrText>
        </w:r>
        <w:r>
          <w:fldChar w:fldCharType="separate"/>
        </w:r>
        <w:r>
          <w:t>79</w:t>
        </w:r>
        <w:r>
          <w:fldChar w:fldCharType="end"/>
        </w:r>
      </w:hyperlink>
    </w:p>
    <w:p w:rsidR="00B47E3D" w:rsidRDefault="00B47E3D">
      <w:pPr>
        <w:pStyle w:val="TOC1"/>
        <w:rPr>
          <w:rFonts w:eastAsiaTheme="minorEastAsia"/>
          <w:b w:val="0"/>
          <w:caps w:val="0"/>
          <w:noProof/>
          <w:sz w:val="22"/>
          <w:szCs w:val="22"/>
        </w:rPr>
      </w:pPr>
      <w:hyperlink w:anchor="_Toc439056378" w:history="1">
        <w:r w:rsidRPr="002E07F2">
          <w:rPr>
            <w:rStyle w:val="Hyperlink"/>
            <w:noProof/>
          </w:rPr>
          <w:t>Anhang C – Professional Services</w:t>
        </w:r>
        <w:r>
          <w:rPr>
            <w:noProof/>
          </w:rPr>
          <w:tab/>
        </w:r>
        <w:r>
          <w:rPr>
            <w:noProof/>
          </w:rPr>
          <w:fldChar w:fldCharType="begin"/>
        </w:r>
        <w:r>
          <w:rPr>
            <w:noProof/>
          </w:rPr>
          <w:instrText xml:space="preserve"> PAGEREF _Toc439056378 \h </w:instrText>
        </w:r>
        <w:r>
          <w:rPr>
            <w:noProof/>
          </w:rPr>
        </w:r>
        <w:r>
          <w:rPr>
            <w:noProof/>
          </w:rPr>
          <w:fldChar w:fldCharType="separate"/>
        </w:r>
        <w:r>
          <w:rPr>
            <w:noProof/>
          </w:rPr>
          <w:t>91</w:t>
        </w:r>
        <w:r>
          <w:rPr>
            <w:noProof/>
          </w:rPr>
          <w:fldChar w:fldCharType="end"/>
        </w:r>
      </w:hyperlink>
    </w:p>
    <w:p w:rsidR="00B47E3D" w:rsidRDefault="00B47E3D">
      <w:pPr>
        <w:pStyle w:val="TOC2"/>
        <w:rPr>
          <w:rFonts w:eastAsiaTheme="minorEastAsia"/>
          <w:smallCaps w:val="0"/>
          <w:sz w:val="22"/>
        </w:rPr>
      </w:pPr>
      <w:hyperlink w:anchor="_Toc439056379" w:history="1">
        <w:r w:rsidRPr="002E07F2">
          <w:rPr>
            <w:rStyle w:val="Hyperlink"/>
          </w:rPr>
          <w:t>Microsoft Premier Support-Angebote</w:t>
        </w:r>
        <w:r>
          <w:tab/>
        </w:r>
        <w:r>
          <w:fldChar w:fldCharType="begin"/>
        </w:r>
        <w:r>
          <w:instrText xml:space="preserve"> PAGEREF _Toc439056379 \h </w:instrText>
        </w:r>
        <w:r>
          <w:fldChar w:fldCharType="separate"/>
        </w:r>
        <w:r>
          <w:t>91</w:t>
        </w:r>
        <w:r>
          <w:fldChar w:fldCharType="end"/>
        </w:r>
      </w:hyperlink>
    </w:p>
    <w:p w:rsidR="00B47E3D" w:rsidRDefault="00B47E3D">
      <w:pPr>
        <w:pStyle w:val="TOC2"/>
        <w:rPr>
          <w:rFonts w:eastAsiaTheme="minorEastAsia"/>
          <w:smallCaps w:val="0"/>
          <w:sz w:val="22"/>
        </w:rPr>
      </w:pPr>
      <w:hyperlink w:anchor="_Toc439056380" w:history="1">
        <w:r w:rsidRPr="002E07F2">
          <w:rPr>
            <w:rStyle w:val="Hyperlink"/>
          </w:rPr>
          <w:t>Microsoft Enterprise Strategy-Programmangebote</w:t>
        </w:r>
        <w:r>
          <w:tab/>
        </w:r>
        <w:r>
          <w:fldChar w:fldCharType="begin"/>
        </w:r>
        <w:r>
          <w:instrText xml:space="preserve"> PAGEREF _Toc439056380 \h </w:instrText>
        </w:r>
        <w:r>
          <w:fldChar w:fldCharType="separate"/>
        </w:r>
        <w:r>
          <w:t>92</w:t>
        </w:r>
        <w:r>
          <w:fldChar w:fldCharType="end"/>
        </w:r>
      </w:hyperlink>
    </w:p>
    <w:p w:rsidR="00B47E3D" w:rsidRDefault="00B47E3D">
      <w:pPr>
        <w:pStyle w:val="TOC2"/>
        <w:rPr>
          <w:rFonts w:eastAsiaTheme="minorEastAsia"/>
          <w:smallCaps w:val="0"/>
          <w:sz w:val="22"/>
        </w:rPr>
      </w:pPr>
      <w:hyperlink w:anchor="_Toc439056381" w:history="1">
        <w:r w:rsidRPr="002E07F2">
          <w:rPr>
            <w:rStyle w:val="Hyperlink"/>
          </w:rPr>
          <w:t>Sales Productivity Accelerator-Angebote</w:t>
        </w:r>
        <w:r>
          <w:tab/>
        </w:r>
        <w:r>
          <w:fldChar w:fldCharType="begin"/>
        </w:r>
        <w:r>
          <w:instrText xml:space="preserve"> PAGEREF _Toc439056381 \h </w:instrText>
        </w:r>
        <w:r>
          <w:fldChar w:fldCharType="separate"/>
        </w:r>
        <w:r>
          <w:t>92</w:t>
        </w:r>
        <w:r>
          <w:fldChar w:fldCharType="end"/>
        </w:r>
      </w:hyperlink>
    </w:p>
    <w:p w:rsidR="00B47E3D" w:rsidRDefault="00B47E3D">
      <w:pPr>
        <w:pStyle w:val="TOC1"/>
        <w:rPr>
          <w:rFonts w:eastAsiaTheme="minorEastAsia"/>
          <w:b w:val="0"/>
          <w:caps w:val="0"/>
          <w:noProof/>
          <w:sz w:val="22"/>
          <w:szCs w:val="22"/>
        </w:rPr>
      </w:pPr>
      <w:hyperlink w:anchor="_Toc439056382" w:history="1">
        <w:r w:rsidRPr="002E07F2">
          <w:rPr>
            <w:rStyle w:val="Hyperlink"/>
            <w:noProof/>
          </w:rPr>
          <w:t>Anhang D – Ergänzende Bestimmungen zum Programmvertrag</w:t>
        </w:r>
        <w:r>
          <w:rPr>
            <w:noProof/>
          </w:rPr>
          <w:tab/>
        </w:r>
        <w:r>
          <w:rPr>
            <w:noProof/>
          </w:rPr>
          <w:fldChar w:fldCharType="begin"/>
        </w:r>
        <w:r>
          <w:rPr>
            <w:noProof/>
          </w:rPr>
          <w:instrText xml:space="preserve"> PAGEREF _Toc439056382 \h </w:instrText>
        </w:r>
        <w:r>
          <w:rPr>
            <w:noProof/>
          </w:rPr>
        </w:r>
        <w:r>
          <w:rPr>
            <w:noProof/>
          </w:rPr>
          <w:fldChar w:fldCharType="separate"/>
        </w:r>
        <w:r>
          <w:rPr>
            <w:noProof/>
          </w:rPr>
          <w:t>94</w:t>
        </w:r>
        <w:r>
          <w:rPr>
            <w:noProof/>
          </w:rPr>
          <w:fldChar w:fldCharType="end"/>
        </w:r>
      </w:hyperlink>
    </w:p>
    <w:p w:rsidR="00B47E3D" w:rsidRDefault="00B47E3D">
      <w:pPr>
        <w:pStyle w:val="TOC2"/>
        <w:rPr>
          <w:rFonts w:eastAsiaTheme="minorEastAsia"/>
          <w:smallCaps w:val="0"/>
          <w:sz w:val="22"/>
        </w:rPr>
      </w:pPr>
      <w:hyperlink w:anchor="_Toc439056383" w:history="1">
        <w:r w:rsidRPr="002E07F2">
          <w:rPr>
            <w:rStyle w:val="Hyperlink"/>
          </w:rPr>
          <w:t>Ergänzende Bestimmungen zum Select Plus-Programm</w:t>
        </w:r>
        <w:r>
          <w:tab/>
        </w:r>
        <w:r>
          <w:fldChar w:fldCharType="begin"/>
        </w:r>
        <w:r>
          <w:instrText xml:space="preserve"> PAGEREF _Toc439056383 \h </w:instrText>
        </w:r>
        <w:r>
          <w:fldChar w:fldCharType="separate"/>
        </w:r>
        <w:r>
          <w:t>94</w:t>
        </w:r>
        <w:r>
          <w:fldChar w:fldCharType="end"/>
        </w:r>
      </w:hyperlink>
    </w:p>
    <w:p w:rsidR="00B47E3D" w:rsidRDefault="00B47E3D">
      <w:pPr>
        <w:pStyle w:val="TOC2"/>
        <w:rPr>
          <w:rFonts w:eastAsiaTheme="minorEastAsia"/>
          <w:smallCaps w:val="0"/>
          <w:sz w:val="22"/>
        </w:rPr>
      </w:pPr>
      <w:hyperlink w:anchor="_Toc439056384" w:history="1">
        <w:r w:rsidRPr="002E07F2">
          <w:rPr>
            <w:rStyle w:val="Hyperlink"/>
          </w:rPr>
          <w:t>Definition von Verwaltung für Qualifizierte Geräte</w:t>
        </w:r>
        <w:r>
          <w:tab/>
        </w:r>
        <w:r>
          <w:fldChar w:fldCharType="begin"/>
        </w:r>
        <w:r>
          <w:instrText xml:space="preserve"> PAGEREF _Toc439056384 \h </w:instrText>
        </w:r>
        <w:r>
          <w:fldChar w:fldCharType="separate"/>
        </w:r>
        <w:r>
          <w:t>94</w:t>
        </w:r>
        <w:r>
          <w:fldChar w:fldCharType="end"/>
        </w:r>
      </w:hyperlink>
    </w:p>
    <w:p w:rsidR="00B47E3D" w:rsidRDefault="00B47E3D">
      <w:pPr>
        <w:pStyle w:val="TOC2"/>
        <w:rPr>
          <w:rFonts w:eastAsiaTheme="minorEastAsia"/>
          <w:smallCaps w:val="0"/>
          <w:sz w:val="22"/>
        </w:rPr>
      </w:pPr>
      <w:hyperlink w:anchor="_Toc439056385" w:history="1">
        <w:r w:rsidRPr="002E07F2">
          <w:rPr>
            <w:rStyle w:val="Hyperlink"/>
          </w:rPr>
          <w:t>Onlinedienste in den Open-Programmen</w:t>
        </w:r>
        <w:r>
          <w:tab/>
        </w:r>
        <w:r>
          <w:fldChar w:fldCharType="begin"/>
        </w:r>
        <w:r>
          <w:instrText xml:space="preserve"> PAGEREF _Toc439056385 \h </w:instrText>
        </w:r>
        <w:r>
          <w:fldChar w:fldCharType="separate"/>
        </w:r>
        <w:r>
          <w:t>94</w:t>
        </w:r>
        <w:r>
          <w:fldChar w:fldCharType="end"/>
        </w:r>
      </w:hyperlink>
    </w:p>
    <w:p w:rsidR="00B47E3D" w:rsidRDefault="00B47E3D">
      <w:pPr>
        <w:pStyle w:val="TOC2"/>
        <w:rPr>
          <w:rFonts w:eastAsiaTheme="minorEastAsia"/>
          <w:smallCaps w:val="0"/>
          <w:sz w:val="22"/>
        </w:rPr>
      </w:pPr>
      <w:hyperlink w:anchor="_Toc439056386" w:history="1">
        <w:r w:rsidRPr="002E07F2">
          <w:rPr>
            <w:rStyle w:val="Hyperlink"/>
          </w:rPr>
          <w:t>Ergänzende Bestimmungen für Professional Services – Vorgängerverträge</w:t>
        </w:r>
        <w:r>
          <w:tab/>
        </w:r>
        <w:r>
          <w:fldChar w:fldCharType="begin"/>
        </w:r>
        <w:r>
          <w:instrText xml:space="preserve"> PAGEREF _Toc439056386 \h </w:instrText>
        </w:r>
        <w:r>
          <w:fldChar w:fldCharType="separate"/>
        </w:r>
        <w:r>
          <w:t>94</w:t>
        </w:r>
        <w:r>
          <w:fldChar w:fldCharType="end"/>
        </w:r>
      </w:hyperlink>
    </w:p>
    <w:p w:rsidR="00B47E3D" w:rsidRDefault="00B47E3D">
      <w:pPr>
        <w:pStyle w:val="TOC1"/>
        <w:rPr>
          <w:rFonts w:eastAsiaTheme="minorEastAsia"/>
          <w:b w:val="0"/>
          <w:caps w:val="0"/>
          <w:noProof/>
          <w:sz w:val="22"/>
          <w:szCs w:val="22"/>
        </w:rPr>
      </w:pPr>
      <w:hyperlink w:anchor="_Toc439056387" w:history="1">
        <w:r w:rsidRPr="002E07F2">
          <w:rPr>
            <w:rStyle w:val="Hyperlink"/>
            <w:noProof/>
          </w:rPr>
          <w:t>Anhang E – Promotions</w:t>
        </w:r>
        <w:r>
          <w:rPr>
            <w:noProof/>
          </w:rPr>
          <w:tab/>
        </w:r>
        <w:r>
          <w:rPr>
            <w:noProof/>
          </w:rPr>
          <w:fldChar w:fldCharType="begin"/>
        </w:r>
        <w:r>
          <w:rPr>
            <w:noProof/>
          </w:rPr>
          <w:instrText xml:space="preserve"> PAGEREF _Toc439056387 \h </w:instrText>
        </w:r>
        <w:r>
          <w:rPr>
            <w:noProof/>
          </w:rPr>
        </w:r>
        <w:r>
          <w:rPr>
            <w:noProof/>
          </w:rPr>
          <w:fldChar w:fldCharType="separate"/>
        </w:r>
        <w:r>
          <w:rPr>
            <w:noProof/>
          </w:rPr>
          <w:t>97</w:t>
        </w:r>
        <w:r>
          <w:rPr>
            <w:noProof/>
          </w:rPr>
          <w:fldChar w:fldCharType="end"/>
        </w:r>
      </w:hyperlink>
    </w:p>
    <w:p w:rsidR="00B47E3D" w:rsidRDefault="00B47E3D">
      <w:pPr>
        <w:pStyle w:val="TOC2"/>
        <w:rPr>
          <w:rFonts w:eastAsiaTheme="minorEastAsia"/>
          <w:smallCaps w:val="0"/>
          <w:sz w:val="22"/>
        </w:rPr>
      </w:pPr>
      <w:hyperlink w:anchor="_Toc439056388" w:history="1">
        <w:r w:rsidRPr="002E07F2">
          <w:rPr>
            <w:rStyle w:val="Hyperlink"/>
          </w:rPr>
          <w:t>Promotion für System Center Client Management Suite</w:t>
        </w:r>
        <w:r>
          <w:tab/>
        </w:r>
        <w:r>
          <w:fldChar w:fldCharType="begin"/>
        </w:r>
        <w:r>
          <w:instrText xml:space="preserve"> PAGEREF _Toc439056388 \h </w:instrText>
        </w:r>
        <w:r>
          <w:fldChar w:fldCharType="separate"/>
        </w:r>
        <w:r>
          <w:t>97</w:t>
        </w:r>
        <w:r>
          <w:fldChar w:fldCharType="end"/>
        </w:r>
      </w:hyperlink>
    </w:p>
    <w:p w:rsidR="00B47E3D" w:rsidRDefault="00B47E3D">
      <w:pPr>
        <w:pStyle w:val="TOC2"/>
        <w:rPr>
          <w:rFonts w:eastAsiaTheme="minorEastAsia"/>
          <w:smallCaps w:val="0"/>
          <w:sz w:val="22"/>
        </w:rPr>
      </w:pPr>
      <w:hyperlink w:anchor="_Toc439056389" w:history="1">
        <w:r w:rsidRPr="002E07F2">
          <w:rPr>
            <w:rStyle w:val="Hyperlink"/>
          </w:rPr>
          <w:t>Azure Compute Capacity Promotion</w:t>
        </w:r>
        <w:r>
          <w:tab/>
        </w:r>
        <w:r>
          <w:fldChar w:fldCharType="begin"/>
        </w:r>
        <w:r>
          <w:instrText xml:space="preserve"> PAGEREF _Toc439056389 \h </w:instrText>
        </w:r>
        <w:r>
          <w:fldChar w:fldCharType="separate"/>
        </w:r>
        <w:r>
          <w:t>97</w:t>
        </w:r>
        <w:r>
          <w:fldChar w:fldCharType="end"/>
        </w:r>
      </w:hyperlink>
    </w:p>
    <w:p w:rsidR="00B47E3D" w:rsidRDefault="00B47E3D">
      <w:pPr>
        <w:pStyle w:val="TOC1"/>
        <w:rPr>
          <w:rFonts w:eastAsiaTheme="minorEastAsia"/>
          <w:b w:val="0"/>
          <w:caps w:val="0"/>
          <w:noProof/>
          <w:sz w:val="22"/>
          <w:szCs w:val="22"/>
        </w:rPr>
      </w:pPr>
      <w:hyperlink w:anchor="_Toc439056390" w:history="1">
        <w:r w:rsidRPr="002E07F2">
          <w:rPr>
            <w:rStyle w:val="Hyperlink"/>
            <w:noProof/>
          </w:rPr>
          <w:t>Index</w:t>
        </w:r>
        <w:r>
          <w:rPr>
            <w:noProof/>
          </w:rPr>
          <w:tab/>
        </w:r>
        <w:r>
          <w:rPr>
            <w:noProof/>
          </w:rPr>
          <w:fldChar w:fldCharType="begin"/>
        </w:r>
        <w:r>
          <w:rPr>
            <w:noProof/>
          </w:rPr>
          <w:instrText xml:space="preserve"> PAGEREF _Toc439056390 \h </w:instrText>
        </w:r>
        <w:r>
          <w:rPr>
            <w:noProof/>
          </w:rPr>
        </w:r>
        <w:r>
          <w:rPr>
            <w:noProof/>
          </w:rPr>
          <w:fldChar w:fldCharType="separate"/>
        </w:r>
        <w:r>
          <w:rPr>
            <w:noProof/>
          </w:rPr>
          <w:t>98</w:t>
        </w:r>
        <w:r>
          <w:rPr>
            <w:noProof/>
          </w:rPr>
          <w:fldChar w:fldCharType="end"/>
        </w:r>
      </w:hyperlink>
    </w:p>
    <w:p w:rsidR="006514EF" w:rsidRDefault="00DD50AA">
      <w:pPr>
        <w:pStyle w:val="ProductList-Body"/>
        <w:sectPr w:rsidR="006514E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514EF" w:rsidRDefault="006514EF">
      <w:pPr>
        <w:pStyle w:val="ProductList-Body"/>
      </w:pPr>
    </w:p>
    <w:p w:rsidR="006514EF" w:rsidRDefault="006514EF">
      <w:pPr>
        <w:sectPr w:rsidR="006514EF">
          <w:headerReference w:type="default" r:id="rId20"/>
          <w:footerReference w:type="default" r:id="rId21"/>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2" w:name="_Sec531"/>
      <w:bookmarkEnd w:id="1"/>
      <w:r>
        <w:t>Einleitung</w:t>
      </w:r>
      <w:r>
        <w:fldChar w:fldCharType="begin"/>
      </w:r>
      <w:r>
        <w:instrText xml:space="preserve"> TC "</w:instrText>
      </w:r>
      <w:bookmarkStart w:id="3" w:name="_Toc439056269"/>
      <w:r>
        <w:instrText>Einleitung</w:instrText>
      </w:r>
      <w:bookmarkEnd w:id="3"/>
      <w:r>
        <w:instrText>" \l 1</w:instrText>
      </w:r>
      <w:r>
        <w:fldChar w:fldCharType="end"/>
      </w:r>
    </w:p>
    <w:p w:rsidR="006514EF" w:rsidRDefault="006514EF">
      <w:pPr>
        <w:pStyle w:val="ProductList-Body"/>
      </w:pPr>
    </w:p>
    <w:p w:rsidR="006514EF" w:rsidRDefault="00DD50AA">
      <w:pPr>
        <w:pStyle w:val="ProductList-Offering1Heading"/>
        <w:outlineLvl w:val="1"/>
      </w:pPr>
      <w:bookmarkStart w:id="4" w:name="_Sec532"/>
      <w:r>
        <w:t>Über dieses Dokument</w:t>
      </w:r>
      <w:bookmarkEnd w:id="4"/>
      <w:r>
        <w:fldChar w:fldCharType="begin"/>
      </w:r>
      <w:r>
        <w:instrText xml:space="preserve"> TC "</w:instrText>
      </w:r>
      <w:bookmarkStart w:id="5" w:name="_Toc439056270"/>
      <w:r>
        <w:instrText>Über dieses Dokument</w:instrText>
      </w:r>
      <w:bookmarkEnd w:id="5"/>
      <w:r>
        <w:instrText>" \l 2</w:instrText>
      </w:r>
      <w:r>
        <w:fldChar w:fldCharType="end"/>
      </w:r>
    </w:p>
    <w:p w:rsidR="006514EF" w:rsidRDefault="00DD50AA">
      <w:pPr>
        <w:pStyle w:val="ProductList-Body"/>
      </w:pPr>
      <w:r>
        <w:t>Zum 1. Juli 2015 ersetzen die Produktbestimmungen sowohl die Produktliste als auch die Produktbenutzungsrechte (PUR). Alle Verweise auf die Produktliste und PUR in den Volumenlizenzverträgen des Kunden beziehen sich auf die jeweiligen Abschnitte der Produk</w:t>
      </w:r>
      <w:r>
        <w:t xml:space="preserve">tbestimmungen. In den Produktbestimmungen werden die Verfügbarkeit von Produkten und Professional Services über die Microsoft-Volumenlizenzprogramme (dies traf früher auf die Produktliste zu) sowie die Nutzungsrechte für Softwareprodukte (dies traf früher </w:t>
      </w:r>
      <w:r>
        <w:t xml:space="preserve">auf die PUR zu) beschrieben. Die Vertragsbedingungen für die Onlinedienste, auf die in diesem Dokument verwiesen wird, werden in den Bestimmungen für Onlinedienste (OST) unter </w:t>
      </w:r>
      <w:hyperlink r:id="rId22">
        <w:r>
          <w:rPr>
            <w:color w:val="00467F"/>
            <w:u w:val="single"/>
          </w:rPr>
          <w:t>http://go.microsoft.c</w:t>
        </w:r>
        <w:r>
          <w:rPr>
            <w:color w:val="00467F"/>
            <w:u w:val="single"/>
          </w:rPr>
          <w:t>om/?linkid=9840733</w:t>
        </w:r>
      </w:hyperlink>
      <w:r>
        <w:t xml:space="preserve"> veröffentlicht.</w:t>
      </w:r>
    </w:p>
    <w:p w:rsidR="006514EF" w:rsidRDefault="006514EF">
      <w:pPr>
        <w:pStyle w:val="ProductList-Body"/>
      </w:pPr>
    </w:p>
    <w:p w:rsidR="006514EF" w:rsidRDefault="00DD50AA">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w:t>
      </w:r>
      <w:r>
        <w:t xml:space="preserve">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w:t>
      </w:r>
      <w:r>
        <w:t>etreuer wenden.</w:t>
      </w:r>
    </w:p>
    <w:p w:rsidR="006514EF" w:rsidRDefault="00DD50AA">
      <w:pPr>
        <w:pStyle w:val="ProductList-Offering1Heading"/>
        <w:outlineLvl w:val="1"/>
      </w:pPr>
      <w:bookmarkStart w:id="6" w:name="_Sec533"/>
      <w:r>
        <w:t>Inhalt dieses Dokuments</w:t>
      </w:r>
      <w:bookmarkEnd w:id="6"/>
      <w:r>
        <w:fldChar w:fldCharType="begin"/>
      </w:r>
      <w:r>
        <w:instrText xml:space="preserve"> TC "</w:instrText>
      </w:r>
      <w:bookmarkStart w:id="7" w:name="_Toc439056271"/>
      <w:r>
        <w:instrText>Inhalt dieses Dokuments</w:instrText>
      </w:r>
      <w:bookmarkEnd w:id="7"/>
      <w:r>
        <w:instrText>" \l 2</w:instrText>
      </w:r>
      <w:r>
        <w:fldChar w:fldCharType="end"/>
      </w:r>
    </w:p>
    <w:p w:rsidR="006514EF" w:rsidRDefault="00DD50AA">
      <w:pPr>
        <w:pStyle w:val="ProductList-Body"/>
      </w:pPr>
      <w:r>
        <w:t>Die Produktbestimmungen bestehen aus folgenden Abschnitten:</w:t>
      </w:r>
    </w:p>
    <w:p w:rsidR="006514EF" w:rsidRDefault="00DD50AA">
      <w:pPr>
        <w:pStyle w:val="ProductList-Bullet"/>
        <w:numPr>
          <w:ilvl w:val="0"/>
          <w:numId w:val="6"/>
        </w:numPr>
      </w:pPr>
      <w:hyperlink w:anchor="_Sec531">
        <w:r>
          <w:rPr>
            <w:color w:val="00467F"/>
            <w:u w:val="single"/>
          </w:rPr>
          <w:t>Einleitung</w:t>
        </w:r>
      </w:hyperlink>
      <w:r>
        <w:t>: enthält eine Liste aktueller Änderungen.</w:t>
      </w:r>
    </w:p>
    <w:p w:rsidR="006514EF" w:rsidRDefault="00DD50AA">
      <w:pPr>
        <w:pStyle w:val="ProductList-Bullet"/>
        <w:numPr>
          <w:ilvl w:val="0"/>
          <w:numId w:val="6"/>
        </w:numPr>
      </w:pPr>
      <w:hyperlink w:anchor="_Sec536">
        <w:r>
          <w:rPr>
            <w:color w:val="00467F"/>
            <w:u w:val="single"/>
          </w:rPr>
          <w:t>Lizenzb</w:t>
        </w:r>
        <w:r>
          <w:rPr>
            <w:color w:val="00467F"/>
            <w:u w:val="single"/>
          </w:rPr>
          <w:t>estimmungen</w:t>
        </w:r>
      </w:hyperlink>
      <w:r>
        <w:t>: enthalten die Universellen Lizenzbestimmungen und die Lizenzmodellbestimmungen, die für Softwareprodukte gelten.</w:t>
      </w:r>
    </w:p>
    <w:p w:rsidR="006514EF" w:rsidRDefault="00DD50AA">
      <w:pPr>
        <w:pStyle w:val="ProductList-Bullet"/>
        <w:numPr>
          <w:ilvl w:val="0"/>
          <w:numId w:val="6"/>
        </w:numPr>
      </w:pPr>
      <w:hyperlink w:anchor="_Sec547">
        <w:r>
          <w:rPr>
            <w:color w:val="00467F"/>
            <w:u w:val="single"/>
          </w:rPr>
          <w:t>Softwareprodukte</w:t>
        </w:r>
      </w:hyperlink>
      <w:r>
        <w:t>: enthält alle Softwareprodukteinträge.</w:t>
      </w:r>
    </w:p>
    <w:p w:rsidR="006514EF" w:rsidRDefault="00DD50AA">
      <w:pPr>
        <w:pStyle w:val="ProductList-Bullet"/>
        <w:numPr>
          <w:ilvl w:val="0"/>
          <w:numId w:val="6"/>
        </w:numPr>
      </w:pPr>
      <w:hyperlink w:anchor="_Sec548">
        <w:r>
          <w:rPr>
            <w:color w:val="00467F"/>
            <w:u w:val="single"/>
          </w:rPr>
          <w:t>Onlinedienstpr</w:t>
        </w:r>
        <w:r>
          <w:rPr>
            <w:color w:val="00467F"/>
            <w:u w:val="single"/>
          </w:rPr>
          <w:t>odukte</w:t>
        </w:r>
      </w:hyperlink>
      <w:r>
        <w:t>: enthält alle Onlinedienstprodukteinträge.</w:t>
      </w:r>
    </w:p>
    <w:p w:rsidR="006514EF" w:rsidRDefault="00DD50AA">
      <w:pPr>
        <w:pStyle w:val="ProductList-Bullet"/>
        <w:numPr>
          <w:ilvl w:val="0"/>
          <w:numId w:val="6"/>
        </w:numPr>
      </w:pPr>
      <w:hyperlink w:anchor="_Sec549">
        <w:r>
          <w:rPr>
            <w:color w:val="00467F"/>
            <w:u w:val="single"/>
          </w:rPr>
          <w:t>Glossar</w:t>
        </w:r>
      </w:hyperlink>
      <w:r>
        <w:t>: enthält Definitionen für Eigenschaften, Zellenwerte, Spaltenüberschriften und andere großgeschriebene, in den Produktbestimmungen verwendete Begriffe.</w:t>
      </w:r>
    </w:p>
    <w:p w:rsidR="006514EF" w:rsidRDefault="00DD50AA">
      <w:pPr>
        <w:pStyle w:val="ProductList-Bullet"/>
        <w:numPr>
          <w:ilvl w:val="0"/>
          <w:numId w:val="6"/>
        </w:numPr>
      </w:pPr>
      <w:r>
        <w:t>Anhänge:</w:t>
      </w:r>
    </w:p>
    <w:p w:rsidR="006514EF" w:rsidRDefault="00DD50AA">
      <w:pPr>
        <w:pStyle w:val="ProductList-Bullet"/>
        <w:numPr>
          <w:ilvl w:val="1"/>
          <w:numId w:val="6"/>
        </w:numPr>
      </w:pPr>
      <w:hyperlink w:anchor="_Sec591">
        <w:r>
          <w:rPr>
            <w:color w:val="00467F"/>
            <w:u w:val="single"/>
          </w:rPr>
          <w:t xml:space="preserve">Anhang A – Tabelle „CAL/ML-äquivalente </w:t>
        </w:r>
        <w:proofErr w:type="gramStart"/>
        <w:r>
          <w:rPr>
            <w:color w:val="00467F"/>
            <w:u w:val="single"/>
          </w:rPr>
          <w:t>Lizenzen“</w:t>
        </w:r>
        <w:proofErr w:type="gramEnd"/>
      </w:hyperlink>
      <w:r>
        <w:t>: enthält die CAL-Suites und Onlinedienst-Abonnementlizenzen, die zum Bereitstellen von Zugriff auf Serverprodukte verfügbar sind.</w:t>
      </w:r>
    </w:p>
    <w:p w:rsidR="006514EF" w:rsidRDefault="00DD50AA">
      <w:pPr>
        <w:pStyle w:val="ProductList-Bullet"/>
        <w:numPr>
          <w:ilvl w:val="1"/>
          <w:numId w:val="6"/>
        </w:numPr>
      </w:pPr>
      <w:hyperlink w:anchor="_Sec564">
        <w:r>
          <w:rPr>
            <w:color w:val="00467F"/>
            <w:u w:val="single"/>
          </w:rPr>
          <w:t>Anhang B – Software Assurance</w:t>
        </w:r>
      </w:hyperlink>
      <w:r>
        <w:t>: beschreibt die Regeln zum Erwerb von Software Assurance und zusätzlichen, Software Assurance-Kunden zur Verfügung stehenden Vergünstigungen.</w:t>
      </w:r>
    </w:p>
    <w:p w:rsidR="006514EF" w:rsidRDefault="00DD50AA">
      <w:pPr>
        <w:pStyle w:val="ProductList-Bullet"/>
        <w:numPr>
          <w:ilvl w:val="1"/>
          <w:numId w:val="6"/>
        </w:numPr>
      </w:pPr>
      <w:hyperlink w:anchor="_Sec562">
        <w:r>
          <w:rPr>
            <w:color w:val="00467F"/>
            <w:u w:val="single"/>
          </w:rPr>
          <w:t>Anhang C – Professional Services</w:t>
        </w:r>
      </w:hyperlink>
      <w:r>
        <w:t>: enthält die Professi</w:t>
      </w:r>
      <w:r>
        <w:t>onal Services, die über Microsoft-Volumenlizenzierung angeboten werden.</w:t>
      </w:r>
    </w:p>
    <w:p w:rsidR="006514EF" w:rsidRDefault="00DD50AA">
      <w:pPr>
        <w:pStyle w:val="ProductList-Bullet"/>
        <w:numPr>
          <w:ilvl w:val="1"/>
          <w:numId w:val="6"/>
        </w:numPr>
      </w:pPr>
      <w:hyperlink w:anchor="_Sec563">
        <w:r>
          <w:rPr>
            <w:color w:val="00467F"/>
            <w:u w:val="single"/>
          </w:rPr>
          <w:t>Anhang D – Ergänzende Bestimmungen zum Programmvertrag</w:t>
        </w:r>
      </w:hyperlink>
      <w:r>
        <w:t>: enthält zusätzliche Bestimmungen für Microsoft-Volumenlizenzprogramme.</w:t>
      </w:r>
    </w:p>
    <w:p w:rsidR="006514EF" w:rsidRDefault="00DD50AA">
      <w:pPr>
        <w:pStyle w:val="ProductList-Bullet"/>
        <w:numPr>
          <w:ilvl w:val="1"/>
          <w:numId w:val="6"/>
        </w:numPr>
      </w:pPr>
      <w:hyperlink w:anchor="_Sec572">
        <w:r>
          <w:rPr>
            <w:color w:val="00467F"/>
            <w:u w:val="single"/>
          </w:rPr>
          <w:t>Anhang E – Product Promotions</w:t>
        </w:r>
      </w:hyperlink>
      <w:r>
        <w:t>: enthält die Product Promotions, die nicht auf der Preisliste angegeben sind.</w:t>
      </w:r>
    </w:p>
    <w:p w:rsidR="006514EF" w:rsidRDefault="00DD50AA">
      <w:pPr>
        <w:pStyle w:val="ProductList-Bullet"/>
        <w:numPr>
          <w:ilvl w:val="0"/>
          <w:numId w:val="6"/>
        </w:numPr>
      </w:pPr>
      <w:hyperlink w:anchor="_Sec844">
        <w:r>
          <w:rPr>
            <w:color w:val="00467F"/>
            <w:u w:val="single"/>
          </w:rPr>
          <w:t>Index</w:t>
        </w:r>
      </w:hyperlink>
      <w:r>
        <w:t>: enthält alle Produkte, auf die in den Produktbestimmungen verwiesen wird, und gibt an, wo diese zu finden si</w:t>
      </w:r>
      <w:r>
        <w:t>nd.</w:t>
      </w:r>
    </w:p>
    <w:p w:rsidR="006514EF" w:rsidRDefault="00DD50AA">
      <w:pPr>
        <w:pStyle w:val="ProductList-Offering1Heading"/>
        <w:outlineLvl w:val="1"/>
      </w:pPr>
      <w:bookmarkStart w:id="8" w:name="_Sec534"/>
      <w:r>
        <w:t>Aufbau von Produkteinträgen</w:t>
      </w:r>
      <w:bookmarkEnd w:id="8"/>
      <w:r>
        <w:fldChar w:fldCharType="begin"/>
      </w:r>
      <w:r>
        <w:instrText xml:space="preserve"> TC "</w:instrText>
      </w:r>
      <w:bookmarkStart w:id="9" w:name="_Toc439056272"/>
      <w:r>
        <w:instrText>Aufbau von Produkteinträgen</w:instrText>
      </w:r>
      <w:bookmarkEnd w:id="9"/>
      <w:r>
        <w:instrText>" \l 2</w:instrText>
      </w:r>
      <w:r>
        <w:fldChar w:fldCharType="end"/>
      </w:r>
    </w:p>
    <w:p w:rsidR="006514EF" w:rsidRDefault="00DD50AA">
      <w:pPr>
        <w:pStyle w:val="ProductList-Body"/>
      </w:pPr>
      <w:r>
        <w:t>Jeder Softwareprodukteintrag besteht aus vier Abschnitten: Programmverfügbarkeit, Produktbedingungen, Nutzungsrechte und Software Assurance.</w:t>
      </w:r>
    </w:p>
    <w:p w:rsidR="006514EF" w:rsidRDefault="00DD50AA">
      <w:pPr>
        <w:pStyle w:val="ProductList-Body"/>
      </w:pPr>
      <w:r>
        <w:t>Jeder Onlinedienst-Produkteintrag besteht a</w:t>
      </w:r>
      <w:r>
        <w:t>us zwei Abschnitten: Produktverfügbarkeit und Produktbedingungen.</w:t>
      </w:r>
    </w:p>
    <w:p w:rsidR="006514EF" w:rsidRDefault="006514EF">
      <w:pPr>
        <w:pStyle w:val="ProductList-Body"/>
      </w:pPr>
    </w:p>
    <w:p w:rsidR="006514EF" w:rsidRDefault="00DD50AA">
      <w:pPr>
        <w:pStyle w:val="ProductList-Body"/>
      </w:pPr>
      <w:r>
        <w:rPr>
          <w:b/>
          <w:color w:val="00188F"/>
        </w:rPr>
        <w:t>1. Unter „</w:t>
      </w:r>
      <w:proofErr w:type="gramStart"/>
      <w:r>
        <w:rPr>
          <w:b/>
          <w:color w:val="00188F"/>
        </w:rPr>
        <w:t xml:space="preserve">Programmverfügbarkeit“ </w:t>
      </w:r>
      <w:r>
        <w:t>wird</w:t>
      </w:r>
      <w:proofErr w:type="gramEnd"/>
      <w:r>
        <w:t xml:space="preserve"> für jedes Produkt der Angebotstyp, ggf. die Punktzahl sowie die Verfügbarkeit im Rahmen der Volumenlizenzprogramme angegeben.</w:t>
      </w:r>
    </w:p>
    <w:p w:rsidR="006514EF" w:rsidRDefault="00DD50AA">
      <w:pPr>
        <w:pStyle w:val="ProductList-Body"/>
      </w:pPr>
      <w:r>
        <w:rPr>
          <w:noProof/>
        </w:rPr>
        <w:drawing>
          <wp:inline distT="0" distB="0" distL="0" distR="0" wp14:anchorId="585EFAE3" wp14:editId="4ECBB1F4">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6514EF" w:rsidRDefault="006514EF">
      <w:pPr>
        <w:pStyle w:val="ProductList-Body"/>
      </w:pPr>
    </w:p>
    <w:p w:rsidR="006514EF" w:rsidRDefault="00DD50AA">
      <w:pPr>
        <w:pStyle w:val="ProductList-Body"/>
      </w:pPr>
      <w:r>
        <w:rPr>
          <w:b/>
          <w:color w:val="00188F"/>
        </w:rPr>
        <w:t>2. Unter „</w:t>
      </w:r>
      <w:proofErr w:type="gramStart"/>
      <w:r>
        <w:rPr>
          <w:b/>
          <w:color w:val="00188F"/>
        </w:rPr>
        <w:t>Produktbedin</w:t>
      </w:r>
      <w:r>
        <w:rPr>
          <w:b/>
          <w:color w:val="00188F"/>
        </w:rPr>
        <w:t xml:space="preserve">gungen“ </w:t>
      </w:r>
      <w:r>
        <w:t>werden</w:t>
      </w:r>
      <w:proofErr w:type="gramEnd"/>
      <w:r>
        <w:t xml:space="preserve"> zusätzliche Informationen zum Erwerb des Produkts bereitgestellt, beispielsweise zu den Kaufvoraussetzungen, zu früheren Versionen und zum entsprechenden Produkt-Pool.</w:t>
      </w:r>
    </w:p>
    <w:p w:rsidR="006514EF" w:rsidRDefault="00DD50AA">
      <w:pPr>
        <w:pStyle w:val="ProductList-Body"/>
      </w:pPr>
      <w:r>
        <w:rPr>
          <w:noProof/>
        </w:rPr>
        <w:drawing>
          <wp:inline distT="0" distB="0" distL="0" distR="0" wp14:anchorId="7776AF29" wp14:editId="1F2AA9B7">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6514EF" w:rsidRDefault="006514EF">
      <w:pPr>
        <w:pStyle w:val="ProductList-Body"/>
      </w:pPr>
    </w:p>
    <w:p w:rsidR="006514EF" w:rsidRDefault="00DD50AA">
      <w:pPr>
        <w:pStyle w:val="ProductList-Body"/>
      </w:pPr>
      <w:r>
        <w:rPr>
          <w:b/>
          <w:color w:val="00188F"/>
        </w:rPr>
        <w:t>3. Unter „</w:t>
      </w:r>
      <w:proofErr w:type="gramStart"/>
      <w:r>
        <w:rPr>
          <w:b/>
          <w:color w:val="00188F"/>
        </w:rPr>
        <w:t xml:space="preserve">Nutzungsrechte“ </w:t>
      </w:r>
      <w:r>
        <w:t>werden</w:t>
      </w:r>
      <w:proofErr w:type="gramEnd"/>
      <w:r>
        <w:t xml:space="preserve"> die Lizenzbedingungen für jedes Softwareprodukt angegeben, darunter die Universellen Lizenzbedingungen, das jeweilige Lizenzmodell und etwaige Produktspezifische Lizenzbedingungen. Verweise auf die „</w:t>
      </w:r>
      <w:proofErr w:type="gramStart"/>
      <w:r>
        <w:t>Produktbenutzungsrechte“ im</w:t>
      </w:r>
      <w:proofErr w:type="gramEnd"/>
      <w:r>
        <w:t xml:space="preserve"> Volumenlizenzvertrag d</w:t>
      </w:r>
      <w:r>
        <w:t>es Kunden beziehen sich auf die Bestimmungen im Abschnitt „Nutzungsrechte“ der jeweiligen Softwareprodukteinträge. Bestimmungen für Onlinedienste sind in den OST zu finden.</w:t>
      </w:r>
    </w:p>
    <w:p w:rsidR="006514EF" w:rsidRDefault="00DD50AA">
      <w:pPr>
        <w:pStyle w:val="ProductList-Body"/>
      </w:pPr>
      <w:r>
        <w:rPr>
          <w:noProof/>
        </w:rPr>
        <w:drawing>
          <wp:inline distT="0" distB="0" distL="0" distR="0" wp14:anchorId="42BD81A9" wp14:editId="7B24025D">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6514EF" w:rsidRDefault="006514EF">
      <w:pPr>
        <w:pStyle w:val="ProductList-Body"/>
      </w:pPr>
    </w:p>
    <w:p w:rsidR="006514EF" w:rsidRDefault="00DD50AA">
      <w:pPr>
        <w:pStyle w:val="ProductList-Body"/>
      </w:pPr>
      <w:r>
        <w:rPr>
          <w:b/>
          <w:color w:val="00188F"/>
        </w:rPr>
        <w:t xml:space="preserve">4. Unter „Software </w:t>
      </w:r>
      <w:proofErr w:type="gramStart"/>
      <w:r>
        <w:rPr>
          <w:b/>
          <w:color w:val="00188F"/>
        </w:rPr>
        <w:t xml:space="preserve">Assurance“ </w:t>
      </w:r>
      <w:r>
        <w:t>werden</w:t>
      </w:r>
      <w:proofErr w:type="gramEnd"/>
      <w:r>
        <w:t xml:space="preserve"> die Bestimmungen im Zusammenhang mit Softwa</w:t>
      </w:r>
      <w:r>
        <w:t>re Assurance aufgeführt.</w:t>
      </w:r>
    </w:p>
    <w:p w:rsidR="006514EF" w:rsidRDefault="00DD50AA">
      <w:pPr>
        <w:pStyle w:val="ProductList-Body"/>
      </w:pPr>
      <w:r>
        <w:rPr>
          <w:noProof/>
        </w:rPr>
        <w:drawing>
          <wp:inline distT="0" distB="0" distL="0" distR="0" wp14:anchorId="2F7B9F0D" wp14:editId="3491738A">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6514EF" w:rsidRDefault="00DD50AA">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39056273"/>
      <w:r>
        <w:instrText>Verdeutlichungen und Zusammenfassung der Änderungen an diesem Dokument</w:instrText>
      </w:r>
      <w:bookmarkEnd w:id="11"/>
      <w:r>
        <w:instrText>" \l 2</w:instrText>
      </w:r>
      <w:r>
        <w:fldChar w:fldCharType="end"/>
      </w:r>
    </w:p>
    <w:p w:rsidR="006514EF" w:rsidRDefault="00DD50AA">
      <w:pPr>
        <w:pStyle w:val="ProductList-Body"/>
      </w:pPr>
      <w:r>
        <w:t xml:space="preserve">Nachfolgend werden Hinzufügungen, Streichungen und sonstige Änderungen </w:t>
      </w:r>
      <w:proofErr w:type="gramStart"/>
      <w:r>
        <w:t>an</w:t>
      </w:r>
      <w:proofErr w:type="gramEnd"/>
      <w:r>
        <w:t xml:space="preserve"> d</w:t>
      </w:r>
      <w:r>
        <w:t>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Streichungen</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 Server 2016 für Hadoop auf Red Hat</w:t>
            </w:r>
          </w:p>
        </w:tc>
        <w:tc>
          <w:tcPr>
            <w:tcW w:w="612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 Server 2016 für Red Hat Lin</w:t>
            </w:r>
            <w:r>
              <w:t>ux</w:t>
            </w:r>
          </w:p>
        </w:tc>
        <w:tc>
          <w:tcPr>
            <w:tcW w:w="612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 Server 2016 für SUSE Linux</w:t>
            </w:r>
          </w:p>
        </w:tc>
        <w:tc>
          <w:tcPr>
            <w:tcW w:w="612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 Server 2016 für Teradata DB</w:t>
            </w:r>
          </w:p>
        </w:tc>
        <w:tc>
          <w:tcPr>
            <w:tcW w:w="612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2"/>
      </w:pPr>
      <w:r>
        <w:t>Software</w:t>
      </w:r>
    </w:p>
    <w:p w:rsidR="006514EF" w:rsidRDefault="00DD50AA">
      <w:pPr>
        <w:pStyle w:val="ProductList-Body"/>
      </w:pPr>
      <w:hyperlink w:anchor="_Sec826">
        <w:r>
          <w:rPr>
            <w:color w:val="00467F"/>
            <w:u w:val="single"/>
          </w:rPr>
          <w:t>SQL Server</w:t>
        </w:r>
      </w:hyperlink>
      <w:r>
        <w:t>: Das Recht zur Nutzung von RRE für Windows auf Servern, die für die Ausführung von SQL Server Enterprise Core mit Software Assurance oder SQL Server Enterprise mit Software Assurance lizenziert sind, wurde hinzugefügt.</w:t>
      </w:r>
    </w:p>
    <w:p w:rsidR="006514EF" w:rsidRDefault="006514EF">
      <w:pPr>
        <w:pStyle w:val="ProductList-Body"/>
      </w:pPr>
    </w:p>
    <w:p w:rsidR="006514EF" w:rsidRDefault="00DD50AA">
      <w:pPr>
        <w:pStyle w:val="ProductList-Body"/>
      </w:pPr>
      <w:hyperlink w:anchor="_Sec768">
        <w:r>
          <w:rPr>
            <w:color w:val="00467F"/>
            <w:u w:val="single"/>
          </w:rPr>
          <w:t>Enterprise Cloud Suite</w:t>
        </w:r>
      </w:hyperlink>
      <w:r>
        <w:t>: Abschnitt 2.2. Umstellungen auf Nutzer-ALs aus SA, sodass der Kunde bei der Umstellung auf Nutzer-ALs aus SA Geräte nach Bedarf hinzufügen muss, um die Primären Nutzungsbedingungen im Abschnitt Windows-Desktopbetriebssystem zu erfül</w:t>
      </w:r>
      <w:r>
        <w:t>len.</w:t>
      </w:r>
    </w:p>
    <w:p w:rsidR="006514EF" w:rsidRDefault="006514EF">
      <w:pPr>
        <w:pStyle w:val="ProductList-Body"/>
      </w:pPr>
    </w:p>
    <w:p w:rsidR="006514EF" w:rsidRDefault="00DD50AA">
      <w:pPr>
        <w:pStyle w:val="ProductList-ClauseHeading"/>
        <w:outlineLvl w:val="2"/>
      </w:pPr>
      <w:r>
        <w:t>Anhang B – Software Assurance</w:t>
      </w:r>
    </w:p>
    <w:p w:rsidR="006514EF" w:rsidRDefault="00DD50AA">
      <w:pPr>
        <w:pStyle w:val="ProductList-Body"/>
      </w:pPr>
      <w:hyperlink w:anchor="_Sec574">
        <w:r>
          <w:rPr>
            <w:color w:val="00467F"/>
            <w:u w:val="single"/>
          </w:rPr>
          <w:t>Verlängerung von Software Assurance</w:t>
        </w:r>
      </w:hyperlink>
      <w:r>
        <w:t xml:space="preserve">: Der Abschnitt „Verlängerung im Rahmen eines separaten </w:t>
      </w:r>
      <w:proofErr w:type="gramStart"/>
      <w:r>
        <w:t>Vertrages“ wurde</w:t>
      </w:r>
      <w:proofErr w:type="gramEnd"/>
      <w:r>
        <w:t xml:space="preserve"> dahingehend aktualisiert, dass Software Assurance für nach unternehmensweiten Abde</w:t>
      </w:r>
      <w:r>
        <w:t>ckungsanforderungen erworbene Konzernprodukte für die Produkte unter einem MPSA verlängert werden kann.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6514EF">
      <w:pPr>
        <w:sectPr w:rsidR="006514EF">
          <w:headerReference w:type="default" r:id="rId29"/>
          <w:footerReference w:type="default" r:id="rId30"/>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12" w:name="_Sec536"/>
      <w:bookmarkEnd w:id="2"/>
      <w:r>
        <w:t>Lizenzbestimmungen</w:t>
      </w:r>
      <w:r>
        <w:fldChar w:fldCharType="begin"/>
      </w:r>
      <w:r>
        <w:instrText xml:space="preserve"> TC "</w:instrText>
      </w:r>
      <w:bookmarkStart w:id="13" w:name="_Toc439056274"/>
      <w:r>
        <w:instrText>Lizenzbestimmungen</w:instrText>
      </w:r>
      <w:bookmarkEnd w:id="13"/>
      <w:r>
        <w:instrText>" \l 1</w:instrText>
      </w:r>
      <w:r>
        <w:fldChar w:fldCharType="end"/>
      </w:r>
    </w:p>
    <w:p w:rsidR="006514EF" w:rsidRDefault="00DD50AA">
      <w:pPr>
        <w:pStyle w:val="ProductList-Body"/>
      </w:pPr>
      <w:r>
        <w:t>Alle Verweise auf die „</w:t>
      </w:r>
      <w:proofErr w:type="gramStart"/>
      <w:r>
        <w:t>Produktben</w:t>
      </w:r>
      <w:r>
        <w:t>utzungsrechte“ im</w:t>
      </w:r>
      <w:proofErr w:type="gramEnd"/>
      <w:r>
        <w:t xml:space="preserve"> Volumenlizenzvertrag des Kunden beziehen sich auf die Bestimmungen im Abschnitt „Nutzungsrechte“ der jeweiligen Produkteinträge. Bei jedem Produkt umfasst dies die Universellen Lizenzbestimmungen, die entsprechenden Lizenzmodellbestimmung</w:t>
      </w:r>
      <w:r>
        <w:t>en und alle Produktspezifischen Lizenzbestimmungen im Produkteintrag.</w:t>
      </w:r>
    </w:p>
    <w:p w:rsidR="006514EF" w:rsidRDefault="006514EF">
      <w:pPr>
        <w:pStyle w:val="ProductList-Body"/>
      </w:pPr>
    </w:p>
    <w:p w:rsidR="006514EF" w:rsidRDefault="00DD50AA">
      <w:pPr>
        <w:pStyle w:val="ProductList-Body"/>
      </w:pPr>
      <w:r>
        <w:t>Bei Onlinediensten beziehen sich alle Verweise auf „</w:t>
      </w:r>
      <w:proofErr w:type="gramStart"/>
      <w:r>
        <w:t>Produktbenutzungsrechte“ im</w:t>
      </w:r>
      <w:proofErr w:type="gramEnd"/>
      <w:r>
        <w:t xml:space="preserve"> Volumenlizenzvertrag des Kunden auf die OST. Falls ein Softwareprodukt sowohl Software als auch Onlinedie</w:t>
      </w:r>
      <w:r>
        <w:t>nste umfasst, unterliegen die Onlinedienste den OST und unterliegt die Software den vorliegenden Lizenzbestimmungen.</w:t>
      </w:r>
    </w:p>
    <w:p w:rsidR="006514EF" w:rsidRDefault="00DD50AA">
      <w:pPr>
        <w:pStyle w:val="ProductList-OfferingGroupHeading"/>
        <w:outlineLvl w:val="1"/>
      </w:pPr>
      <w:bookmarkStart w:id="14" w:name="_Sec537"/>
      <w:r>
        <w:t>Universelle Lizenzbestimmungen</w:t>
      </w:r>
      <w:bookmarkEnd w:id="14"/>
      <w:r>
        <w:fldChar w:fldCharType="begin"/>
      </w:r>
      <w:r>
        <w:instrText xml:space="preserve"> TC "</w:instrText>
      </w:r>
      <w:bookmarkStart w:id="15" w:name="_Toc439056275"/>
      <w:r>
        <w:instrText>Universelle Lizenzbestimmungen</w:instrText>
      </w:r>
      <w:bookmarkEnd w:id="15"/>
      <w:r>
        <w:instrText>" \l 2</w:instrText>
      </w:r>
      <w:r>
        <w:fldChar w:fldCharType="end"/>
      </w:r>
    </w:p>
    <w:p w:rsidR="006514EF" w:rsidRDefault="00DD50AA">
      <w:pPr>
        <w:pStyle w:val="ProductList-Body"/>
      </w:pPr>
      <w:r>
        <w:t>Die Universellen Lizenzbestimmungen gelten für alle Softwareprodu</w:t>
      </w:r>
      <w:r>
        <w:t>kte, die im Rahmen der Microsoft-Volumenlizenzierung lizenziert werden (sofern nicht ausdrücklich in den Lizenzmodellbestimmungen und/oder Produktspezifischen Lizenzbestimmungen andere Festlegungen getroffen werden).</w:t>
      </w:r>
    </w:p>
    <w:p w:rsidR="006514EF" w:rsidRDefault="006514EF">
      <w:pPr>
        <w:pStyle w:val="ProductList-Body"/>
      </w:pPr>
    </w:p>
    <w:p w:rsidR="006514EF" w:rsidRDefault="00DD50AA">
      <w:pPr>
        <w:pStyle w:val="ProductList-ClauseHeading"/>
        <w:outlineLvl w:val="2"/>
      </w:pPr>
      <w:r>
        <w:t>1. Definitionen</w:t>
      </w:r>
    </w:p>
    <w:p w:rsidR="006514EF" w:rsidRDefault="00DD50AA">
      <w:pPr>
        <w:pStyle w:val="ProductList-Body"/>
      </w:pPr>
      <w:r>
        <w:t>In den Produktbestimmu</w:t>
      </w:r>
      <w:r>
        <w:t xml:space="preserve">ngen verwendete Begriffe, die im </w:t>
      </w:r>
      <w:hyperlink w:anchor="_Sec549">
        <w:r>
          <w:rPr>
            <w:color w:val="00467F"/>
            <w:u w:val="single"/>
          </w:rPr>
          <w:t>Glossar</w:t>
        </w:r>
      </w:hyperlink>
      <w:r>
        <w:t xml:space="preserve"> nicht definiert werden, haben die gleiche Bedeutung wie im Volumenlizenzvertrag des Kunden.</w:t>
      </w:r>
    </w:p>
    <w:p w:rsidR="006514EF" w:rsidRDefault="006514EF">
      <w:pPr>
        <w:pStyle w:val="ProductList-Body"/>
      </w:pPr>
    </w:p>
    <w:p w:rsidR="006514EF" w:rsidRDefault="00DD50AA">
      <w:pPr>
        <w:pStyle w:val="ProductList-ClauseHeading"/>
        <w:outlineLvl w:val="2"/>
      </w:pPr>
      <w:r>
        <w:t>2. Nutzungsrechte des Kunden</w:t>
      </w:r>
    </w:p>
    <w:p w:rsidR="006514EF" w:rsidRDefault="00DD50AA">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w:instrText>
      </w:r>
      <w:r>
        <w:instrText xml:space="preserve">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6514EF" w:rsidRDefault="006514EF">
      <w:pPr>
        <w:pStyle w:val="ProductList-Body"/>
      </w:pPr>
    </w:p>
    <w:p w:rsidR="006514EF" w:rsidRDefault="00DD50AA">
      <w:pPr>
        <w:pStyle w:val="ProductList-ClauseHeading"/>
        <w:outlineLvl w:val="2"/>
      </w:pPr>
      <w:r>
        <w:t xml:space="preserve">3. Rechte zur Nutzung anderer und niedrigerer </w:t>
      </w:r>
      <w:r>
        <w:t>Versionen</w:t>
      </w:r>
    </w:p>
    <w:p w:rsidR="006514EF" w:rsidRDefault="00DD50AA">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w:instrText>
      </w:r>
      <w:r>
        <w:instrText xml:space="preserve">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w:t>
      </w:r>
      <w:r>
        <w:t>installieren, auszuführen oder auf diese zuzugreifen. Es gelten nach wie vor die Nutzungsrechte für die lizenzierte Version. Lizenzen für frühere Versionen und niedrigere Editionen erfüllen nicht die Lizenzanforderungen für ein Produkt.</w:t>
      </w:r>
    </w:p>
    <w:p w:rsidR="006514EF" w:rsidRDefault="006514EF">
      <w:pPr>
        <w:pStyle w:val="ProductList-Body"/>
      </w:pPr>
    </w:p>
    <w:p w:rsidR="006514EF" w:rsidRDefault="00DD50AA">
      <w:pPr>
        <w:pStyle w:val="ProductList-ClauseHeading"/>
        <w:outlineLvl w:val="2"/>
      </w:pPr>
      <w:r>
        <w:t>4. Drittanbieterso</w:t>
      </w:r>
      <w:r>
        <w:t>ftware</w:t>
      </w:r>
    </w:p>
    <w:p w:rsidR="006514EF" w:rsidRDefault="00DD50AA">
      <w:pPr>
        <w:pStyle w:val="ProductList-Body"/>
      </w:pPr>
      <w:r>
        <w:t>Die Software kann proprietäre Drittanbieterprogramme oder Komponenten enthalten, die unter separaten Bestimmungen lizenziert werden, die dem Kunden während der Installation oder in der der Software beiliegenden Datei „</w:t>
      </w:r>
      <w:proofErr w:type="gramStart"/>
      <w:r>
        <w:t>ThirdPartyNotices“ angezeigt</w:t>
      </w:r>
      <w:proofErr w:type="gramEnd"/>
      <w:r>
        <w:t xml:space="preserve"> we</w:t>
      </w:r>
      <w:r>
        <w:t xml:space="preserve">rden. Die Software kann auch Open Source-Programme von Dritten enthalten, die Microsoft, nicht der Dritte, unter Lizenzbestimmungen von Microsoft </w:t>
      </w:r>
      <w:proofErr w:type="gramStart"/>
      <w:r>
        <w:t>an</w:t>
      </w:r>
      <w:proofErr w:type="gramEnd"/>
      <w:r>
        <w:t xml:space="preserve"> den Kunden lizenziert.</w:t>
      </w:r>
    </w:p>
    <w:p w:rsidR="006514EF" w:rsidRDefault="006514EF">
      <w:pPr>
        <w:pStyle w:val="ProductList-Body"/>
      </w:pPr>
    </w:p>
    <w:p w:rsidR="006514EF" w:rsidRDefault="00DD50AA">
      <w:pPr>
        <w:pStyle w:val="ProductList-ClauseHeading"/>
        <w:outlineLvl w:val="2"/>
      </w:pPr>
      <w:r>
        <w:t>5. Vorabversionscode, Updates oder Ergänzungen, Zusätzliche Funktionalität</w:t>
      </w:r>
    </w:p>
    <w:p w:rsidR="006514EF" w:rsidRDefault="00DD50AA">
      <w:pPr>
        <w:pStyle w:val="ProductList-Body"/>
      </w:pPr>
      <w:r>
        <w:t xml:space="preserve">Microsoft ist berechtigt, Updates oder Ergänzungen zu den Produkten anzubieten. Der Kunde ist berechtigt, die Updates oder Ergänzungen zu den Produkten, den Vorabversionscode, zusätzliche Funktionen und optionale Add-On-Dienste für die Produkte zu nutzen, </w:t>
      </w:r>
      <w:r>
        <w:t>wobei diese Nutzung ggf. den jeweils beiliegenden spezifischen Bestimmungen unterliegt. Bei manchen Produkten sind automatische Updates erforderlich, wie in den Produktspezifischen Lizenzbestimmungen beschrieben.</w:t>
      </w:r>
    </w:p>
    <w:p w:rsidR="006514EF" w:rsidRDefault="006514EF">
      <w:pPr>
        <w:pStyle w:val="ProductList-Body"/>
      </w:pPr>
    </w:p>
    <w:p w:rsidR="006514EF" w:rsidRDefault="00DD50AA">
      <w:pPr>
        <w:pStyle w:val="ProductList-ClauseHeading"/>
        <w:outlineLvl w:val="2"/>
      </w:pPr>
      <w:r>
        <w:t>6. Beschränkungen</w:t>
      </w:r>
    </w:p>
    <w:p w:rsidR="006514EF" w:rsidRDefault="00DD50AA">
      <w:pPr>
        <w:pStyle w:val="ProductList-Body"/>
      </w:pPr>
      <w:r>
        <w:t>Dem Kunden ist es unters</w:t>
      </w:r>
      <w:r>
        <w:t>agt (und der Kunde ist nicht dazu lizenziert), die Produkte zu nutzen, um Dritten kommerzielle Hostingdienste anzubieten, technische Beschränkungen in den Produkten oder in der Produktdokumentation zu umgehen oder die Software zu trennen, um sie in mehrere</w:t>
      </w:r>
      <w:r>
        <w:t xml:space="preserv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w:t>
      </w:r>
      <w:r>
        <w:t>er einzigen Lizenz zu nutzen (dies gilt auch dann, wenn sich die OSEs in demselben physischen Hardwaresystem befinden), es sei denn, dies wird von Microsoft ausdrücklich gestattet. Rechte zum Zugriff auf die Software auf einem Gerät geben dem Kunden kein R</w:t>
      </w:r>
      <w:r>
        <w:t>echt, Patente von Microsoft oder anderes geistiges Eigentum von Microsoft in das Gerät selbst oder in andere Software oder Geräte zu implementieren.</w:t>
      </w:r>
    </w:p>
    <w:p w:rsidR="006514EF" w:rsidRDefault="006514EF">
      <w:pPr>
        <w:pStyle w:val="ProductList-Body"/>
      </w:pPr>
    </w:p>
    <w:p w:rsidR="006514EF" w:rsidRDefault="00DD50AA">
      <w:pPr>
        <w:pStyle w:val="ProductList-ClauseHeading"/>
        <w:outlineLvl w:val="2"/>
      </w:pPr>
      <w:r>
        <w:t>7. Software Assurance</w:t>
      </w:r>
    </w:p>
    <w:p w:rsidR="006514EF" w:rsidRDefault="00DD50AA">
      <w:pPr>
        <w:pStyle w:val="ProductList-Body"/>
      </w:pPr>
      <w:r>
        <w:t>Möglicherweise erhält der Kunde durch Software Assurance zusätzliche Nutzungsrechte.</w:t>
      </w:r>
      <w:r>
        <w:t xml:space="preserv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w:t>
      </w:r>
      <w:r>
        <w:t>reibung der Vergünstigung wird etwas anderes festgelegt.</w:t>
      </w:r>
    </w:p>
    <w:p w:rsidR="006514EF" w:rsidRDefault="006514EF">
      <w:pPr>
        <w:pStyle w:val="ProductList-Body"/>
      </w:pPr>
    </w:p>
    <w:p w:rsidR="006514EF" w:rsidRDefault="00DD50AA">
      <w:pPr>
        <w:pStyle w:val="ProductList-ClauseHeading"/>
        <w:outlineLvl w:val="2"/>
      </w:pPr>
      <w:r>
        <w:t>8. Outsourcing von Software Management</w:t>
      </w:r>
    </w:p>
    <w:p w:rsidR="006514EF" w:rsidRDefault="00DD50AA">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w:instrText>
      </w:r>
      <w:r>
        <w:instrText xml:space="preserve">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w:t>
      </w:r>
      <w:r>
        <w:t xml:space="preserve"> auch. Ungeachtet des physischen Standorts der Hardware, auf welcher die Software genutzt wird, trägt der Kunde die Verantwortung für alle Verpflichtungen unter seinem Volumenlizenzvertrag.</w:t>
      </w:r>
    </w:p>
    <w:p w:rsidR="006514EF" w:rsidRDefault="006514EF">
      <w:pPr>
        <w:pStyle w:val="ProductList-Body"/>
      </w:pPr>
    </w:p>
    <w:p w:rsidR="006514EF" w:rsidRDefault="00DD50AA">
      <w:pPr>
        <w:pStyle w:val="ProductList-ClauseHeading"/>
        <w:outlineLvl w:val="2"/>
      </w:pPr>
      <w:r>
        <w:t>9. Zuweisung und Neuzuweisung von Lizenzen</w:t>
      </w:r>
    </w:p>
    <w:p w:rsidR="006514EF" w:rsidRDefault="00DD50AA">
      <w:pPr>
        <w:pStyle w:val="ProductList-Body"/>
      </w:pPr>
      <w:r>
        <w:t>Bevor der Kunde Softwa</w:t>
      </w:r>
      <w:r>
        <w:t xml:space="preserve">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w:instrText>
      </w:r>
      <w:r>
        <w:instrText xml:space="preserve">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w:instrText>
      </w:r>
      <w:r>
        <w:instrText xml:space="preserve">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w:instrText>
      </w:r>
      <w:r>
        <w:instrText xml:space="preserve">s Recht, ein Produkt herunterzuladen, zu installieren, darauf zuzugreifen und es zu verwenden." </w:instrText>
      </w:r>
      <w:r>
        <w:fldChar w:fldCharType="separate"/>
      </w:r>
      <w:r>
        <w:rPr>
          <w:color w:val="0563C1"/>
        </w:rPr>
        <w:t>Lizenz</w:t>
      </w:r>
      <w:r>
        <w:fldChar w:fldCharType="end"/>
      </w:r>
      <w:r>
        <w:t>, es sei denn, die Neuzuweisung wird aufgrund (i) eines dauerhaften Hardwarefehlers oder -verlusts, (ii) der Beendigung des Beschäftigungsverhältnisses</w:t>
      </w:r>
      <w:r>
        <w:t xml:space="preserve">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w:instrText>
      </w:r>
      <w:r>
        <w:instrText xml:space="preserv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w:t>
      </w:r>
      <w:r>
        <w:t>nutzbarkeit eines außer Betrieb genommenen Geräts durchgeführt. Der Kunde muss die Software aus dem bisherigen Gerät oder dem Gerät des bisherigen Nutzers entfernen oder den Zugriff von dem bisherigen Gerät oder dem Gerät des bisherigen Nutzers sperren. So</w:t>
      </w:r>
      <w:r>
        <w:t xml:space="preserve">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w:instrText>
      </w:r>
      <w:r>
        <w:instrText xml:space="preserve">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w:t>
        </w:r>
        <w:r>
          <w:rPr>
            <w:color w:val="00467F"/>
            <w:u w:val="single"/>
          </w:rPr>
          <w:t>ndows</w:t>
        </w:r>
      </w:hyperlink>
      <w:r>
        <w:t xml:space="preserve"> aufgeführt werden.</w:t>
      </w:r>
    </w:p>
    <w:p w:rsidR="006514EF" w:rsidRDefault="006514EF">
      <w:pPr>
        <w:pStyle w:val="ProductList-Body"/>
      </w:pPr>
    </w:p>
    <w:p w:rsidR="006514EF" w:rsidRDefault="00DD50AA">
      <w:pPr>
        <w:pStyle w:val="ProductList-ClauseHeading"/>
        <w:outlineLvl w:val="2"/>
      </w:pPr>
      <w:r>
        <w:t>10. Technische Maßnahmen</w:t>
      </w:r>
    </w:p>
    <w:p w:rsidR="006514EF" w:rsidRDefault="00DD50AA">
      <w:pPr>
        <w:pStyle w:val="ProductList-Body"/>
      </w:pPr>
      <w:r>
        <w:t>Microsoft ist berechtigt, technische Maßnahmen zu ergreifen, die die Nutzung bestimmter Versionen des Produkts beschränken, und die Einhaltung dieser Bestimmungen wie im Volumenlizenzvertrag des Kunden vor</w:t>
      </w:r>
      <w:r>
        <w:t>gesehen zu überprüfen. Einige Produkte sind durch technische Maßnahmen geschützt und machen die Aktivierung oder Überprüfung sowie einen Product Key erforderlich, um sie zu installieren oder auf sie zuzugreifen.</w:t>
      </w:r>
    </w:p>
    <w:p w:rsidR="006514EF" w:rsidRDefault="006514EF">
      <w:pPr>
        <w:pStyle w:val="ProductList-Body"/>
      </w:pPr>
    </w:p>
    <w:p w:rsidR="006514EF" w:rsidRDefault="00DD50AA">
      <w:pPr>
        <w:pStyle w:val="ProductList-SubClauseHeading"/>
        <w:outlineLvl w:val="3"/>
      </w:pPr>
      <w:r>
        <w:t>10.1 Aktivierung und Überprüfung</w:t>
      </w:r>
    </w:p>
    <w:p w:rsidR="006514EF" w:rsidRDefault="00DD50AA">
      <w:pPr>
        <w:pStyle w:val="ProductList-BodyIndented"/>
      </w:pPr>
      <w:r>
        <w:t>Anhand ein</w:t>
      </w:r>
      <w:r>
        <w:t xml:space="preserve">er Aktivierung oder Überprüfung wird bestätigt, dass ein Softwareprodukt korrekt installiert wurde, der Product Key nicht gestohlen wurde und dass keine Änderungen </w:t>
      </w:r>
      <w:proofErr w:type="gramStart"/>
      <w:r>
        <w:t>an</w:t>
      </w:r>
      <w:proofErr w:type="gramEnd"/>
      <w:r>
        <w:t xml:space="preserve"> den Überprüfungs-, Lizenzierungs- oder Aktivierungsfunktionen der Software vorgenommen wu</w:t>
      </w:r>
      <w:r>
        <w:t>rden. Das Recht des Kunden zur Verwendung der Software nach der im Softwareprodukt angegebenen Zeit ist beschränkt, es sei denn, sie wird aktiviert. Der Kunde ist nicht mehr für die Verwendung der Software lizenziert, wenn er erfolglos versucht hat, sie zu</w:t>
      </w:r>
      <w:r>
        <w:t xml:space="preserve"> aktivieren. Jedes Gerät, das nicht über einen Key Management Service (KMS) aktiviert wurde, muss einen Multiple Activation Key (MAK) verwenden. Dem Kunden ist es untersagt, die Aktivierung oder Überprüfung zu umgehen.</w:t>
      </w:r>
    </w:p>
    <w:p w:rsidR="006514EF" w:rsidRDefault="006514EF">
      <w:pPr>
        <w:pStyle w:val="ProductList-BodyIndented"/>
      </w:pPr>
    </w:p>
    <w:p w:rsidR="006514EF" w:rsidRDefault="00DD50AA">
      <w:pPr>
        <w:pStyle w:val="ProductList-SubClauseHeading"/>
        <w:outlineLvl w:val="3"/>
      </w:pPr>
      <w:r>
        <w:t>10.2 Product Keys</w:t>
      </w:r>
    </w:p>
    <w:p w:rsidR="006514EF" w:rsidRDefault="00DD50AA">
      <w:pPr>
        <w:pStyle w:val="ProductList-BodyIndented"/>
      </w:pPr>
      <w:r>
        <w:t xml:space="preserve">Für die lizenzierte Nutzung der Software ist ein zugewiesener Product Key erforderlich. Bei allen Product Keys handelt es sich um Vertrauliche Informationen von Microsoft. Ungeachtet gegenteiliger Bestimmungen im Volumenlizenzvertrag des Kunden ist es dem </w:t>
      </w:r>
      <w:r>
        <w:t>Kunden untersagt, Product Keys an Dritter weiterzugeben. Der Kunde ist nicht berechtigt, einen nicht gesicherten Zugriff auf seine Key Management Services KMS-Computer über ein unkontrolliertes Netzwerk bereitzustellen. Im Falle einer unbefugten Nutzung od</w:t>
      </w:r>
      <w:r>
        <w:t>er Offenlegung von Product Keys oder KMS-Keys kann Microsoft weitere Aktivierungen unterbinden, Product Keys deaktivieren, die Aktivierung oder Überprüfung von Product Keys blockieren und weitere geeignete Maßnahmen ergreifen.</w:t>
      </w:r>
    </w:p>
    <w:p w:rsidR="006514EF" w:rsidRDefault="006514EF">
      <w:pPr>
        <w:pStyle w:val="ProductList-BodyIndented"/>
      </w:pPr>
    </w:p>
    <w:p w:rsidR="006514EF" w:rsidRDefault="00DD50AA">
      <w:pPr>
        <w:pStyle w:val="ProductList-ClauseHeading"/>
        <w:outlineLvl w:val="2"/>
      </w:pPr>
      <w:r>
        <w:t>11. Hinweise</w:t>
      </w:r>
    </w:p>
    <w:p w:rsidR="006514EF" w:rsidRDefault="00DD50AA">
      <w:pPr>
        <w:pStyle w:val="ProductList-Body"/>
      </w:pPr>
      <w:r>
        <w:t>Die folgenden H</w:t>
      </w:r>
      <w:r>
        <w:t>inweise sind anwendbar, sofern dies im Abschnitt „</w:t>
      </w:r>
      <w:proofErr w:type="gramStart"/>
      <w:r>
        <w:t>Nutzungsrechte“ des</w:t>
      </w:r>
      <w:proofErr w:type="gramEnd"/>
      <w:r>
        <w:t xml:space="preserve"> jeweiligen Produkteintrags vermerkt wird:</w:t>
      </w:r>
    </w:p>
    <w:p w:rsidR="006514EF" w:rsidRDefault="006514EF">
      <w:pPr>
        <w:pStyle w:val="ProductList-Body"/>
      </w:pPr>
    </w:p>
    <w:p w:rsidR="006514EF" w:rsidRDefault="00DD50AA">
      <w:pPr>
        <w:pStyle w:val="ProductList-SubClauseHeading"/>
        <w:outlineLvl w:val="3"/>
      </w:pPr>
      <w:r>
        <w:t>11. 1 Internetbasierte Features</w:t>
      </w:r>
    </w:p>
    <w:p w:rsidR="006514EF" w:rsidRDefault="00DD50AA">
      <w:pPr>
        <w:pStyle w:val="ProductList-BodyIndented"/>
      </w:pPr>
      <w:r>
        <w:t xml:space="preserve">Softwareprodukte enthalten möglicherweise Funktionen, über die Informationen über das Internet an die Systeme von Microsoft oder deren Verbundenen Unternehmen und Serviceprovider versendet werden, ohne dass der Kunde darüber gesondert benachrichtigt wird. </w:t>
      </w:r>
      <w:r>
        <w:t>Die Verwendung solcher Informationen wird in der Datenschutzerklärung zum jeweiligen Softwareprodukt beschrieben.</w:t>
      </w:r>
    </w:p>
    <w:p w:rsidR="006514EF" w:rsidRDefault="006514EF">
      <w:pPr>
        <w:pStyle w:val="ProductList-BodyIndented"/>
      </w:pPr>
    </w:p>
    <w:p w:rsidR="006514EF" w:rsidRDefault="00DD50AA">
      <w:pPr>
        <w:pStyle w:val="ProductList-SubClauseHeading"/>
        <w:outlineLvl w:val="3"/>
      </w:pPr>
      <w:r>
        <w:t>11.2 Bing Maps</w:t>
      </w:r>
    </w:p>
    <w:p w:rsidR="006514EF" w:rsidRDefault="00DD50AA">
      <w:pPr>
        <w:pStyle w:val="ProductList-BodyIndented"/>
      </w:pPr>
      <w:r>
        <w:t>Das Produkt nutzt Bing Maps. Über Bing Maps zur Verfügung gestellte Inhalte, einschließlich Geocodes, können nur innerhalb des</w:t>
      </w:r>
      <w:r>
        <w:t xml:space="preserve"> Produktes, über das die Inhalte verfügbar sind, genutzt werden. Die Nutzung von Bing Maps durch den Kunden unterliegt den Bing Maps-Nutzungsbestimmungen für Endbenutzer unter </w:t>
      </w:r>
      <w:hyperlink r:id="rId31">
        <w:r>
          <w:rPr>
            <w:color w:val="00467F"/>
            <w:u w:val="single"/>
          </w:rPr>
          <w:t>http://go.microsoft.c</w:t>
        </w:r>
        <w:r>
          <w:rPr>
            <w:color w:val="00467F"/>
            <w:u w:val="single"/>
          </w:rPr>
          <w:t>om/?linkid=9710837</w:t>
        </w:r>
      </w:hyperlink>
      <w:r>
        <w:t xml:space="preserve"> und der Bing Maps-Datenschutzerklärung unter </w:t>
      </w:r>
      <w:hyperlink r:id="rId32">
        <w:r>
          <w:rPr>
            <w:color w:val="00467F"/>
            <w:u w:val="single"/>
          </w:rPr>
          <w:t>http://go.microsoft.com/fwlink/?LinkID=248686</w:t>
        </w:r>
      </w:hyperlink>
      <w:r>
        <w:t>.</w:t>
      </w:r>
    </w:p>
    <w:p w:rsidR="006514EF" w:rsidRDefault="006514EF">
      <w:pPr>
        <w:pStyle w:val="ProductList-BodyIndented"/>
      </w:pPr>
    </w:p>
    <w:p w:rsidR="006514EF" w:rsidRDefault="00DD50AA">
      <w:pPr>
        <w:pStyle w:val="ProductList-SubClauseHeading"/>
        <w:outlineLvl w:val="3"/>
      </w:pPr>
      <w:r>
        <w:t>11.3 Hinweis zum H.264/AVC Visual Standard, dem VC-1 Video Standard und dem MPE</w:t>
      </w:r>
      <w:r>
        <w:t>G-4 Part 2 Visual Standard</w:t>
      </w:r>
    </w:p>
    <w:p w:rsidR="006514EF" w:rsidRDefault="00DD50AA">
      <w:pPr>
        <w:pStyle w:val="ProductList-BodyIndented"/>
      </w:pPr>
      <w:r>
        <w:t>Diese Software enthält möglicherweise die Bildkomprimierungstechnologien H.264/AVC, VC-1 und MPEG-4 Part 2. MPEG LA, L.L.C. verlangt den folgenden Hinweis: DIESES PRODUKT WIRD UNTER DEN AVC-, VC-1- und MPEG-4 PART 2 VISUAL-PATENT</w:t>
      </w:r>
      <w:r>
        <w:t xml:space="preserve"> PORTFOLIO-LIZENZEN FÜR DIE PERSÖNLICHE UND NICHTKOMMERZIELLE NUTZUNG DURCH EINEN VERBRAUCHER ZUR (i) CODIERUNG VON VIDEO IN ÜBEREINSTIMMUNG MIT DEN OBEN GENANNTEN STANDARDS („VIDEOSTANDARDS“) UND/ODER (ii) DECODIERUNG VON AVC-, VC-1- oder MPEG-4 PART 2, D</w:t>
      </w:r>
      <w:r>
        <w:t>AS VON EINEM PERSÖNLICHEN UND NICHTKOMMERZIELLEN AKTIVITÄTEN NACHGEHENDEN VERBRAUCHER CODIERT WURDE UND/ODER VON EINEM ZUM ANBIETEN DIESER VIDEOFORMATE LIZENZIERTEN VIDEOANBIETER ERHALTEN WURDE, LIZENZIERT. Für eine andere Verwendung wird keine Lizenz, wed</w:t>
      </w:r>
      <w:r>
        <w:t xml:space="preserve">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w:t>
      </w:r>
      <w:r>
        <w:t>r Software zu normalen Geschäftszwecken, die auf dieses Geschäft beschränkt sind und nicht den (i) Vertrieb der Software an Dritte oder (ii) die Erstellung von Inhalten mit Technologien, die den VIDEOSTANDARDS entsprechen, für den Vertrieb an Dritte umfass</w:t>
      </w:r>
      <w:r>
        <w:t>en, weder einschränkt noch untersagt.</w:t>
      </w:r>
    </w:p>
    <w:p w:rsidR="006514EF" w:rsidRDefault="006514EF">
      <w:pPr>
        <w:pStyle w:val="ProductList-BodyIndented"/>
      </w:pPr>
    </w:p>
    <w:p w:rsidR="006514EF" w:rsidRDefault="00DD50AA">
      <w:pPr>
        <w:pStyle w:val="ProductList-ClauseHeading"/>
        <w:outlineLvl w:val="2"/>
      </w:pPr>
      <w:r>
        <w:t>12. Schriftartkomponenten, Bilder und Ton</w:t>
      </w:r>
    </w:p>
    <w:p w:rsidR="006514EF" w:rsidRDefault="00DD50AA">
      <w:pPr>
        <w:pStyle w:val="ProductList-Body"/>
      </w:pPr>
      <w:r>
        <w:t>Während der Kunde die Software ausführt, ist er berechtigt, auf Symbole, Bilder, Töne und Medien, die in der Software enthalten sind, zuzugreifen und diese zu nutzen, jedoch n</w:t>
      </w:r>
      <w:r>
        <w:t xml:space="preserve">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w:t>
      </w:r>
      <w:r>
        <w:rPr>
          <w:color w:val="0563C1"/>
        </w:rPr>
        <w:t xml:space="preserve">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w:t>
      </w:r>
      <w:r>
        <w:t xml:space="preserve"> in Inhalte einbetten und sie vorübergehend auf einen Drucker oder ein anderes Ausgabegerät herunterladen, um Inhalte zu drucken.</w:t>
      </w:r>
    </w:p>
    <w:p w:rsidR="006514EF" w:rsidRDefault="006514EF">
      <w:pPr>
        <w:pStyle w:val="ProductList-Body"/>
      </w:pPr>
    </w:p>
    <w:p w:rsidR="006514EF" w:rsidRDefault="00DD50AA">
      <w:pPr>
        <w:pStyle w:val="ProductList-ClauseHeading"/>
        <w:outlineLvl w:val="2"/>
      </w:pPr>
      <w:r>
        <w:t>13. Enthaltene Technologien</w:t>
      </w:r>
    </w:p>
    <w:p w:rsidR="006514EF" w:rsidRDefault="00DD50AA">
      <w:pPr>
        <w:pStyle w:val="ProductList-Body"/>
      </w:pPr>
      <w:r>
        <w:t>Produkte enthalten möglicherweise andere Komponenten von Microsoft-Technologien, die ihren eigene</w:t>
      </w:r>
      <w:r>
        <w:t>n Lizenzbestimmungen unterliegen; darauf wird jeweils im Abschnitt „</w:t>
      </w:r>
      <w:proofErr w:type="gramStart"/>
      <w:r>
        <w:t>Nutzungsrechte“ des</w:t>
      </w:r>
      <w:proofErr w:type="gramEnd"/>
      <w:r>
        <w:t xml:space="preserve"> jeweiligen Produkteintrags hingewiesen. Falls die Produktspezifischen Lizenzbestimmungen keine Angaben zu separaten Bestimmungen zu diesen Komponenten enthalten, finden</w:t>
      </w:r>
      <w:r>
        <w:t xml:space="preserve"> sich diese in einem separaten Ordner im Installationsverzeichnis des Produkts oder über das einheitliche Installationsprogramm der Software.</w:t>
      </w:r>
    </w:p>
    <w:p w:rsidR="006514EF" w:rsidRDefault="006514EF">
      <w:pPr>
        <w:pStyle w:val="ProductList-Body"/>
      </w:pPr>
    </w:p>
    <w:p w:rsidR="006514EF" w:rsidRDefault="00DD50AA">
      <w:pPr>
        <w:pStyle w:val="ProductList-ClauseHeading"/>
        <w:outlineLvl w:val="2"/>
      </w:pPr>
      <w:r>
        <w:t>14. Vergleichstests</w:t>
      </w:r>
    </w:p>
    <w:p w:rsidR="006514EF" w:rsidRDefault="00DD50AA">
      <w:pPr>
        <w:pStyle w:val="ProductList-Body"/>
      </w:pPr>
      <w:r>
        <w:t xml:space="preserve">Für die Offenlegung von Ergebnissen von Vergleichstests mit jeglichem </w:t>
      </w:r>
      <w:r>
        <w:fldChar w:fldCharType="begin"/>
      </w:r>
      <w:r>
        <w:instrText xml:space="preserve"> AutoTextList   \s NoSt</w:instrText>
      </w:r>
      <w:r>
        <w:instrText xml:space="preserve">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w:t>
      </w:r>
      <w:r>
        <w:t>t für Windows Server.</w:t>
      </w:r>
    </w:p>
    <w:p w:rsidR="006514EF" w:rsidRDefault="006514EF">
      <w:pPr>
        <w:pStyle w:val="ProductList-Body"/>
      </w:pPr>
    </w:p>
    <w:p w:rsidR="006514EF" w:rsidRDefault="00DD50AA">
      <w:pPr>
        <w:pStyle w:val="ProductList-ClauseHeading"/>
        <w:outlineLvl w:val="2"/>
      </w:pPr>
      <w:r>
        <w:t>15. Multiplexing</w:t>
      </w:r>
    </w:p>
    <w:p w:rsidR="006514EF" w:rsidRDefault="00DD50AA">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w:instrText>
      </w:r>
      <w:r>
        <w:instrText xml:space="preserve">, zu installieren, darauf zuzugreifen und es zu verwenden." </w:instrText>
      </w:r>
      <w:r>
        <w:fldChar w:fldCharType="separate"/>
      </w:r>
      <w:r>
        <w:rPr>
          <w:color w:val="0563C1"/>
        </w:rPr>
        <w:t>Lizenzen</w:t>
      </w:r>
      <w:r>
        <w:fldChar w:fldCharType="end"/>
      </w:r>
      <w:r>
        <w:t xml:space="preserve"> reduziert.</w:t>
      </w:r>
    </w:p>
    <w:p w:rsidR="006514EF" w:rsidRDefault="006514EF">
      <w:pPr>
        <w:pStyle w:val="ProductList-Body"/>
      </w:pPr>
    </w:p>
    <w:p w:rsidR="006514EF" w:rsidRDefault="00DD50AA">
      <w:pPr>
        <w:pStyle w:val="ProductList-ClauseHeading"/>
        <w:outlineLvl w:val="2"/>
      </w:pPr>
      <w:r>
        <w:t>16. Verwaltungs- und Supportrechte.</w:t>
      </w:r>
    </w:p>
    <w:p w:rsidR="006514EF" w:rsidRDefault="00DD50AA">
      <w:pPr>
        <w:pStyle w:val="ProductList-Body"/>
      </w:pPr>
      <w:r>
        <w:t xml:space="preserve">Der Kunde darf ausschließlich zu Administrationszwecken zwei Nutzern ohne CALs den Zugriff auf in zulässigen </w:t>
      </w:r>
      <w:r>
        <w:fldChar w:fldCharType="begin"/>
      </w:r>
      <w:r>
        <w:instrText xml:space="preserve"> AutoTextList   \s NoStyle </w:instrText>
      </w:r>
      <w:r>
        <w:instrText xml:space="preserve">\t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w:t>
      </w:r>
      <w:r>
        <w:t xml:space="preserve">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w:instrText>
      </w:r>
      <w:r>
        <w:instrText xml:space="preserve">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w:instrText>
      </w:r>
      <w:r>
        <w:instrText xml:space="preserve">rachtet." </w:instrText>
      </w:r>
      <w:r>
        <w:fldChar w:fldCharType="separate"/>
      </w:r>
      <w:r>
        <w:rPr>
          <w:color w:val="0563C1"/>
        </w:rPr>
        <w:t>Lizenzierten Geräten</w:t>
      </w:r>
      <w:r>
        <w:fldChar w:fldCharType="end"/>
      </w:r>
      <w:r>
        <w:t xml:space="preserve"> zu erbringen.</w:t>
      </w:r>
    </w:p>
    <w:p w:rsidR="006514EF" w:rsidRDefault="006514EF">
      <w:pPr>
        <w:pStyle w:val="ProductList-Body"/>
      </w:pPr>
    </w:p>
    <w:p w:rsidR="006514EF" w:rsidRDefault="00DD50AA">
      <w:pPr>
        <w:pStyle w:val="ProductList-ClauseHeading"/>
        <w:outlineLvl w:val="2"/>
      </w:pPr>
      <w:r>
        <w:t>17. Vertreibbarer Code</w:t>
      </w:r>
    </w:p>
    <w:p w:rsidR="006514EF" w:rsidRDefault="00DD50AA">
      <w:pPr>
        <w:pStyle w:val="ProductList-Body"/>
      </w:pPr>
      <w:r>
        <w:t xml:space="preserve">Die Software enthält möglicherweise Code, den der Kunde in von ihm entwickelten Programmen vertreiben darf, wenn er die nachfolgenden Bestimmungen einhält. </w:t>
      </w:r>
    </w:p>
    <w:p w:rsidR="006514EF" w:rsidRDefault="006514EF">
      <w:pPr>
        <w:pStyle w:val="ProductList-Body"/>
      </w:pPr>
    </w:p>
    <w:p w:rsidR="006514EF" w:rsidRDefault="00DD50AA">
      <w:pPr>
        <w:pStyle w:val="ProductList-SubClauseHeading"/>
        <w:outlineLvl w:val="3"/>
      </w:pPr>
      <w:r>
        <w:t>17.1 Recht zur Nutzung und</w:t>
      </w:r>
      <w:r>
        <w:t xml:space="preserve"> zum Vertrieb</w:t>
      </w:r>
    </w:p>
    <w:p w:rsidR="006514EF" w:rsidRDefault="00DD50AA">
      <w:pPr>
        <w:pStyle w:val="ProductList-BodyIndented"/>
      </w:pPr>
      <w:r>
        <w:t xml:space="preserve">Bei dem nachfolgend aufgelisteten Code und den nachfolgend aufgelisteten Textdateien handelt es sich um „Vertreibbaren </w:t>
      </w:r>
      <w:proofErr w:type="gramStart"/>
      <w:r>
        <w:t>Code“</w:t>
      </w:r>
      <w:proofErr w:type="gramEnd"/>
      <w:r>
        <w:t xml:space="preserve">. </w:t>
      </w:r>
    </w:p>
    <w:p w:rsidR="006514EF" w:rsidRDefault="00DD50AA">
      <w:pPr>
        <w:pStyle w:val="ProductList-Bullet"/>
        <w:numPr>
          <w:ilvl w:val="1"/>
          <w:numId w:val="7"/>
        </w:numPr>
      </w:pPr>
      <w:r>
        <w:t>Dateien namens REDIST.TXT: Der Kunde ist berechtigt, die Objektcodeform des in REDIST.TXT- und OTHER-DIST.TXT-Dateien aufgeführten Codes sowie jeglichen als „Silverlight-</w:t>
      </w:r>
      <w:proofErr w:type="gramStart"/>
      <w:r>
        <w:t>Bibliotheken“</w:t>
      </w:r>
      <w:proofErr w:type="gramEnd"/>
      <w:r>
        <w:t xml:space="preserve">, Silverlight-„Client-Bibliotheken“ und Silverlight-„Serverbibliotheken“ </w:t>
      </w:r>
      <w:r>
        <w:t>gekennzeichneten Codes zu kopieren und zu vertreiben.</w:t>
      </w:r>
    </w:p>
    <w:p w:rsidR="006514EF" w:rsidRDefault="00DD50AA">
      <w:pPr>
        <w:pStyle w:val="ProductList-Bullet"/>
        <w:numPr>
          <w:ilvl w:val="1"/>
          <w:numId w:val="7"/>
        </w:numPr>
      </w:pPr>
      <w:r>
        <w:t>Mustercode, Vorlagen und Formatvorlagen: Der Kunde ist berechtigt, die Quell- und Objektcodeform des als „</w:t>
      </w:r>
      <w:proofErr w:type="gramStart"/>
      <w:r>
        <w:t>Muster“</w:t>
      </w:r>
      <w:proofErr w:type="gramEnd"/>
      <w:r>
        <w:t>, „Vorlage“, „Simple Styles“ oder „Sketch Styles“ gekennzeichneten Codes zu ändern, zu ko</w:t>
      </w:r>
      <w:r>
        <w:t xml:space="preserve">pieren und zu vertreiben. </w:t>
      </w:r>
    </w:p>
    <w:p w:rsidR="006514EF" w:rsidRDefault="00DD50AA">
      <w:pPr>
        <w:pStyle w:val="ProductList-Bullet"/>
        <w:numPr>
          <w:ilvl w:val="1"/>
          <w:numId w:val="7"/>
        </w:numPr>
      </w:pPr>
      <w:r>
        <w:t>Vertrieb durch Dritte: Der Kunde ist berechtigt, Distributoren seiner Programme zu erlauben, den Vertreibbaren Code als Teil dieser Programme zu kopieren und zu vertreiben.</w:t>
      </w:r>
    </w:p>
    <w:p w:rsidR="006514EF" w:rsidRDefault="00DD50AA">
      <w:pPr>
        <w:pStyle w:val="ProductList-Bullet"/>
        <w:numPr>
          <w:ilvl w:val="1"/>
          <w:numId w:val="7"/>
        </w:numPr>
      </w:pPr>
      <w:r>
        <w:t>Bildbibliothek: Der Kunde ist berechtigt, die Bilder, Gr</w:t>
      </w:r>
      <w:r>
        <w:t>afiken und Animationen in der Bildbibliothek wie in der Dokumentation der Software beschrieben zu kopieren und zu vertreiben.</w:t>
      </w:r>
    </w:p>
    <w:p w:rsidR="006514EF" w:rsidRDefault="006514EF">
      <w:pPr>
        <w:pStyle w:val="ProductList-BodyIndented"/>
      </w:pPr>
    </w:p>
    <w:p w:rsidR="006514EF" w:rsidRDefault="00DD50AA">
      <w:pPr>
        <w:pStyle w:val="ProductList-SubClauseHeading"/>
        <w:outlineLvl w:val="3"/>
      </w:pPr>
      <w:r>
        <w:t>17.2 Vertriebsbedingungen</w:t>
      </w:r>
    </w:p>
    <w:p w:rsidR="006514EF" w:rsidRDefault="00DD50AA">
      <w:pPr>
        <w:pStyle w:val="ProductList-BodyIndented"/>
      </w:pPr>
      <w:r>
        <w:t>Wenn der Kunde Vertreibbaren Code vertreibt. Der Kunde ist verpflichtet:</w:t>
      </w:r>
    </w:p>
    <w:p w:rsidR="006514EF" w:rsidRDefault="00DD50AA">
      <w:pPr>
        <w:pStyle w:val="ProductList-Bullet"/>
        <w:numPr>
          <w:ilvl w:val="1"/>
          <w:numId w:val="8"/>
        </w:numPr>
      </w:pPr>
      <w:r>
        <w:t>den Vertreibbaren Code nur mit</w:t>
      </w:r>
      <w:r>
        <w:t xml:space="preserve"> seinen Programmen zu vertreiben, wenn diese Programme dem Vertreibbaren Code wesentliche primäre Funktionalität hinzufügen,</w:t>
      </w:r>
    </w:p>
    <w:p w:rsidR="006514EF" w:rsidRDefault="00DD50AA">
      <w:pPr>
        <w:pStyle w:val="ProductList-Bullet"/>
        <w:numPr>
          <w:ilvl w:val="1"/>
          <w:numId w:val="8"/>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6514EF" w:rsidRDefault="00DD50AA">
      <w:pPr>
        <w:pStyle w:val="ProductList-Bullet"/>
        <w:numPr>
          <w:ilvl w:val="1"/>
          <w:numId w:val="8"/>
        </w:numPr>
      </w:pPr>
      <w:r>
        <w:t>Microsof</w:t>
      </w:r>
      <w:r>
        <w:t>t von allen Ansprüchen freizustellen und gegen alle Ansprüche zu verteidigen, einschließlich Anwaltsgebühren, die mit dem Vertrieb oder der Verwendung der Programme des Kunden in Zusammenhang stehen, es sei denn, ein Anspruch basiert ausschließlich auf dem</w:t>
      </w:r>
      <w:r>
        <w:t xml:space="preserve"> in den Programmen des Kunden enthaltenen Vertreibbaren Code.</w:t>
      </w:r>
    </w:p>
    <w:p w:rsidR="006514EF" w:rsidRDefault="006514EF">
      <w:pPr>
        <w:pStyle w:val="ProductList-BodyIndented"/>
      </w:pPr>
    </w:p>
    <w:p w:rsidR="006514EF" w:rsidRDefault="00DD50AA">
      <w:pPr>
        <w:pStyle w:val="ProductList-SubClauseHeading"/>
        <w:outlineLvl w:val="3"/>
      </w:pPr>
      <w:r>
        <w:t>17.3 Vertriebsbeschränkungen</w:t>
      </w:r>
    </w:p>
    <w:p w:rsidR="006514EF" w:rsidRDefault="00DD50AA">
      <w:pPr>
        <w:pStyle w:val="ProductList-BodyIndented"/>
      </w:pPr>
      <w:r>
        <w:t>Der Kunde ist nicht berechtigt:</w:t>
      </w:r>
    </w:p>
    <w:p w:rsidR="006514EF" w:rsidRDefault="00DD50AA">
      <w:pPr>
        <w:pStyle w:val="ProductList-Bullet"/>
        <w:numPr>
          <w:ilvl w:val="1"/>
          <w:numId w:val="9"/>
        </w:numPr>
      </w:pPr>
      <w:r>
        <w:t xml:space="preserve">Urheberrechts-, Markenrechts- oder Patenthinweise im vertreibbaren Code zu ändern </w:t>
      </w:r>
    </w:p>
    <w:p w:rsidR="006514EF" w:rsidRDefault="00DD50AA">
      <w:pPr>
        <w:pStyle w:val="ProductList-Bullet"/>
        <w:numPr>
          <w:ilvl w:val="1"/>
          <w:numId w:val="9"/>
        </w:numPr>
      </w:pPr>
      <w:r>
        <w:t>die Marken von Microsoft in den Namen der Program</w:t>
      </w:r>
      <w:r>
        <w:t xml:space="preserve">me des Kunden oder auf eine Weise zu verwenden, die nahe legt, dass seine Programme von Microsoft stammen oder von Microsoft empfohlen werden, </w:t>
      </w:r>
    </w:p>
    <w:p w:rsidR="006514EF" w:rsidRDefault="00DD50AA">
      <w:pPr>
        <w:pStyle w:val="ProductList-Bullet"/>
        <w:numPr>
          <w:ilvl w:val="1"/>
          <w:numId w:val="9"/>
        </w:numPr>
      </w:pPr>
      <w:r>
        <w:t>Vertreibbaren Code mit oder in bösartigen, täuschenden oder rechtswidrigen Programmen zu vertreiben oder</w:t>
      </w:r>
    </w:p>
    <w:p w:rsidR="006514EF" w:rsidRDefault="00DD50AA">
      <w:pPr>
        <w:pStyle w:val="ProductList-Bullet"/>
        <w:numPr>
          <w:ilvl w:val="1"/>
          <w:numId w:val="9"/>
        </w:numPr>
      </w:pPr>
      <w:r>
        <w:t>den Que</w:t>
      </w:r>
      <w:r>
        <w:t xml:space="preserve">llcode von vertreibbarem Code so zu ändern oder zu vertreiben, dass irgendein Teil von ihm einer „ausgeschlossenen </w:t>
      </w:r>
      <w:proofErr w:type="gramStart"/>
      <w:r>
        <w:t>Lizenz“ unterliegt</w:t>
      </w:r>
      <w:proofErr w:type="gramEnd"/>
      <w:r>
        <w:t>. Eine Ausgeschlossene Lizenz ist eine Lizenz, die als Bedingung für eine Verwendung, eine Änderung oder einen Vertrieb erf</w:t>
      </w:r>
      <w:r>
        <w:t xml:space="preserve">ordert, dass der Code in Quellcodeform offengelegt oder vertrieben wird oder andere das Recht haben, ihn zu ändern. </w:t>
      </w:r>
    </w:p>
    <w:p w:rsidR="006514EF" w:rsidRDefault="006514EF">
      <w:pPr>
        <w:pStyle w:val="ProductList-BodyIndented"/>
      </w:pPr>
    </w:p>
    <w:p w:rsidR="006514EF" w:rsidRDefault="00DD50AA">
      <w:pPr>
        <w:pStyle w:val="ProductList-ClauseHeading"/>
        <w:outlineLvl w:val="2"/>
      </w:pPr>
      <w:r>
        <w:t>18. Software plus Services</w:t>
      </w:r>
    </w:p>
    <w:p w:rsidR="006514EF" w:rsidRDefault="00DD50AA">
      <w:pPr>
        <w:pStyle w:val="ProductList-Body"/>
      </w:pPr>
      <w:r>
        <w:t>Microsoft kann Dienste mit Produkten über Software-Features anbieten, die über das Internet eine Verbindung mit</w:t>
      </w:r>
      <w:r>
        <w:t xml:space="preserve"> Computersystemen von Microsoft oder von Serviceprovidern herstellen. Microsoft ist berechtigt, die Dienste jederzeit zu ändern oder zu kündigen. Der Kunde ist nicht berechtigt, die Dienste auf eine Weise zu verwenden, die diese Dienste beschädigen oder ih</w:t>
      </w:r>
      <w:r>
        <w:t>re Verwendung durch andere beeinträchtigen könnte. Der Kunde ist nicht berechtigt, die Dienste zu verwenden, um zu versuchen, auf irgendeine Weise nicht autorisierten Zugriff auf Dienste, Daten, Accounts oder Netzwerke zu erlangen.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6" w:name="_Sec538"/>
      <w:r>
        <w:t>Lizenzmodellbestimmungen</w:t>
      </w:r>
      <w:bookmarkEnd w:id="16"/>
      <w:r>
        <w:fldChar w:fldCharType="begin"/>
      </w:r>
      <w:r>
        <w:instrText xml:space="preserve"> TC "</w:instrText>
      </w:r>
      <w:bookmarkStart w:id="17" w:name="_Toc439056276"/>
      <w:r>
        <w:instrText>Lizenzmodellbestimmungen</w:instrText>
      </w:r>
      <w:bookmarkEnd w:id="17"/>
      <w:r>
        <w:instrText>" \l 2</w:instrText>
      </w:r>
      <w:r>
        <w:fldChar w:fldCharType="end"/>
      </w:r>
    </w:p>
    <w:p w:rsidR="006514EF" w:rsidRDefault="00DD50AA">
      <w:pPr>
        <w:pStyle w:val="ProductList-Body"/>
      </w:pPr>
      <w:r>
        <w:t>Das Lizenzmodell für jedes Produkt wird im Abschnitt „</w:t>
      </w:r>
      <w:proofErr w:type="gramStart"/>
      <w:r>
        <w:t>Nutzungsrechte“ des</w:t>
      </w:r>
      <w:proofErr w:type="gramEnd"/>
      <w:r>
        <w:t xml:space="preserve"> Produkteintrags angegeben. Lizenzmodellbestimmungen gelten für alle Softwareprodukte, die unter dem jeweiligen Lizenzmodell lizenziert werden, wie im Produkteintrag ausgeführt, und u</w:t>
      </w:r>
      <w:r>
        <w:t>nterliegen Ausnahmen und sonstigen Bestimmungen, die in den Produktspezifischen Lizenzbestimmungen angegeben werden.</w:t>
      </w:r>
    </w:p>
    <w:p w:rsidR="006514EF" w:rsidRDefault="00DD50AA">
      <w:pPr>
        <w:pStyle w:val="ProductList-Offering2Heading"/>
        <w:outlineLvl w:val="2"/>
      </w:pPr>
      <w:bookmarkStart w:id="18" w:name="_Sec539"/>
      <w:r>
        <w:t>Desktop-Anwendungen</w:t>
      </w:r>
      <w:bookmarkEnd w:id="18"/>
      <w:r>
        <w:fldChar w:fldCharType="begin"/>
      </w:r>
      <w:r>
        <w:instrText xml:space="preserve"> TC "</w:instrText>
      </w:r>
      <w:bookmarkStart w:id="19" w:name="_Toc439056277"/>
      <w:r>
        <w:instrText>Desktop-Anwendungen</w:instrText>
      </w:r>
      <w:bookmarkEnd w:id="19"/>
      <w:r>
        <w:instrText>" \l 3</w:instrText>
      </w:r>
      <w:r>
        <w:fldChar w:fldCharType="end"/>
      </w:r>
    </w:p>
    <w:p w:rsidR="006514EF" w:rsidRDefault="00DD50AA">
      <w:pPr>
        <w:pStyle w:val="ProductList-ClauseHeading"/>
        <w:outlineLvl w:val="3"/>
      </w:pPr>
      <w:r>
        <w:t>Gerätelizenz</w:t>
      </w:r>
    </w:p>
    <w:p w:rsidR="006514EF" w:rsidRDefault="00DD50AA">
      <w:pPr>
        <w:pStyle w:val="ProductList-Bullet"/>
        <w:numPr>
          <w:ilvl w:val="0"/>
          <w:numId w:val="10"/>
        </w:numPr>
      </w:pPr>
      <w:r>
        <w:t xml:space="preserve">Der Kunde ist bei jeder erworbenen </w:t>
      </w:r>
      <w:r>
        <w:fldChar w:fldCharType="begin"/>
      </w:r>
      <w:r>
        <w:instrText xml:space="preserve"> AutoTextList   \s NoStyle \t "Lizenz b</w:instrText>
      </w:r>
      <w:r>
        <w:instrText xml:space="preserve">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w:instrText>
      </w:r>
      <w:r>
        <w:instrText xml:space="preserve">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instrText>
      </w:r>
      <w:r>
        <w:instrText xml:space="preserve">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6514EF" w:rsidRDefault="00DD50AA">
      <w:pPr>
        <w:pStyle w:val="ProductList-Bullet"/>
        <w:numPr>
          <w:ilvl w:val="0"/>
          <w:numId w:val="10"/>
        </w:numPr>
      </w:pPr>
      <w:r>
        <w:t>Wenn der Kunde die Software nicht als Konzernprodukt oder auf unternehmensweiter Basis lizenziert, ist er außerdem berechti</w:t>
      </w:r>
      <w:r>
        <w:t xml:space="preserve">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w:instrText>
      </w:r>
      <w:r>
        <w:instrText xml:space="preserve">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r>
        <w:t xml:space="preserve"> </w:t>
      </w:r>
    </w:p>
    <w:p w:rsidR="006514EF" w:rsidRDefault="00DD50AA">
      <w:pPr>
        <w:pStyle w:val="ProductList-Bullet"/>
        <w:numPr>
          <w:ilvl w:val="0"/>
          <w:numId w:val="10"/>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w:instrText>
      </w:r>
      <w:r>
        <w:instrText xml:space="preserve">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6514EF" w:rsidRDefault="00DD50AA">
      <w:pPr>
        <w:pStyle w:val="ProductList-Bullet"/>
        <w:numPr>
          <w:ilvl w:val="0"/>
          <w:numId w:val="10"/>
        </w:numPr>
      </w:pPr>
      <w:r>
        <w:t xml:space="preserve">Die Remoteverwendung der Software, die auf einem </w:t>
      </w:r>
      <w:r>
        <w:fldChar w:fldCharType="begin"/>
      </w:r>
      <w:r>
        <w:instrText xml:space="preserve"> AutoTextList   \s NoStyle \t "Lizenziert</w:instrText>
      </w:r>
      <w:r>
        <w:instrText xml:space="preserve">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w:instrText>
      </w:r>
      <w:r>
        <w:instrText xml:space="preserve">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w:instrText>
      </w:r>
      <w:r>
        <w:instrText xml:space="preserve">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6514EF" w:rsidRDefault="00DD50AA">
      <w:pPr>
        <w:pStyle w:val="ProductList-Bullet"/>
        <w:numPr>
          <w:ilvl w:val="0"/>
          <w:numId w:val="10"/>
        </w:numPr>
      </w:pPr>
      <w:r>
        <w:t>Die Remotenutzung der Software, di</w:t>
      </w:r>
      <w:r>
        <w:t xml:space="preserve">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w:instrText>
      </w:r>
      <w:r>
        <w:instrText xml:space="preserve">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6514EF" w:rsidRDefault="006514EF">
      <w:pPr>
        <w:pStyle w:val="ProductList-Body"/>
      </w:pPr>
    </w:p>
    <w:p w:rsidR="006514EF" w:rsidRDefault="00DD50AA">
      <w:pPr>
        <w:pStyle w:val="ProductList-ClauseHeading"/>
        <w:outlineLvl w:val="3"/>
      </w:pPr>
      <w:r>
        <w:t>Medienelemente und Vorla</w:t>
      </w:r>
      <w:r>
        <w:t>gen</w:t>
      </w:r>
    </w:p>
    <w:p w:rsidR="006514EF" w:rsidRDefault="00DD50AA">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w:t>
      </w:r>
      <w:r>
        <w:t>ojekten und Dokumenten enthalten sind, mit der Ausnahme, dass es dem Kunden nicht gestattet ist, Kopien von Medienelementen allein oder als Produkt zu verkaufen, zu lizenzieren oder zu verteilen, wenn der primäre Wert des Produktes in den Medienelementen b</w:t>
      </w:r>
      <w:r>
        <w:t>esteht.</w:t>
      </w:r>
    </w:p>
    <w:p w:rsidR="006514EF" w:rsidRDefault="00DD50AA">
      <w:pPr>
        <w:pStyle w:val="ProductList-Offering2Heading"/>
        <w:outlineLvl w:val="2"/>
      </w:pPr>
      <w:bookmarkStart w:id="20" w:name="_Sec540"/>
      <w:r>
        <w:t>Desktopbetriebssysteme</w:t>
      </w:r>
      <w:bookmarkEnd w:id="20"/>
      <w:r>
        <w:fldChar w:fldCharType="begin"/>
      </w:r>
      <w:r>
        <w:instrText xml:space="preserve"> TC "</w:instrText>
      </w:r>
      <w:bookmarkStart w:id="21" w:name="_Toc439056278"/>
      <w:r>
        <w:instrText>Desktopbetriebssysteme</w:instrText>
      </w:r>
      <w:bookmarkEnd w:id="21"/>
      <w:r>
        <w:instrText>" \l 3</w:instrText>
      </w:r>
      <w:r>
        <w:fldChar w:fldCharType="end"/>
      </w:r>
    </w:p>
    <w:p w:rsidR="006514EF" w:rsidRDefault="00DD50AA">
      <w:pPr>
        <w:pStyle w:val="ProductList-ClauseHeading"/>
        <w:outlineLvl w:val="3"/>
      </w:pPr>
      <w:r>
        <w:t>Gerätelizenz</w:t>
      </w:r>
    </w:p>
    <w:p w:rsidR="006514EF" w:rsidRDefault="00DD50AA">
      <w:pPr>
        <w:pStyle w:val="ProductList-Bullet"/>
        <w:numPr>
          <w:ilvl w:val="0"/>
          <w:numId w:val="11"/>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w:t>
      </w:r>
      <w:r>
        <w:rPr>
          <w:color w:val="0563C1"/>
        </w:rPr>
        <w:t>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w:instrText>
      </w:r>
      <w:r>
        <w:instrText xml:space="preserv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w:instrText>
      </w:r>
      <w:r>
        <w:instrText xml:space="preserve">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6514EF" w:rsidRDefault="00DD50AA">
      <w:pPr>
        <w:pStyle w:val="ProductList-Bullet"/>
        <w:numPr>
          <w:ilvl w:val="0"/>
          <w:numId w:val="11"/>
        </w:numPr>
      </w:pPr>
      <w:r>
        <w:t>Der Kunde ist berechtigt, die Software auf bis zu zwei Prozessoren zu verwenden.</w:t>
      </w:r>
    </w:p>
    <w:p w:rsidR="006514EF" w:rsidRDefault="00DD50AA">
      <w:pPr>
        <w:pStyle w:val="ProductList-Bullet"/>
        <w:numPr>
          <w:ilvl w:val="0"/>
          <w:numId w:val="11"/>
        </w:numPr>
      </w:pPr>
      <w:r>
        <w:t>Die lokale Nutzung ist für jeden Nutzer gestat</w:t>
      </w:r>
      <w:r>
        <w:t>tet.</w:t>
      </w:r>
    </w:p>
    <w:p w:rsidR="006514EF" w:rsidRDefault="00DD50AA">
      <w:pPr>
        <w:pStyle w:val="ProductList-Bullet"/>
        <w:numPr>
          <w:ilvl w:val="0"/>
          <w:numId w:val="11"/>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w:instrText>
      </w:r>
      <w:r>
        <w:instrText xml:space="preserve">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w:instrText>
      </w:r>
      <w:r>
        <w:instrText xml:space="preserve">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w:t>
      </w:r>
      <w:r>
        <w:t xml:space="preserve">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6514EF" w:rsidRDefault="00DD50AA">
      <w:pPr>
        <w:pStyle w:val="ProductList-Bullet"/>
        <w:numPr>
          <w:ilvl w:val="0"/>
          <w:numId w:val="11"/>
        </w:numPr>
      </w:pPr>
      <w:r>
        <w:t>Nur ein Nutzer ist jeweils berechtigt, auf die Software zuzugreifen und sie zu verwenden.</w:t>
      </w:r>
    </w:p>
    <w:p w:rsidR="006514EF" w:rsidRDefault="00DD50AA">
      <w:pPr>
        <w:pStyle w:val="ProductList-Bullet"/>
        <w:numPr>
          <w:ilvl w:val="0"/>
          <w:numId w:val="11"/>
        </w:numPr>
      </w:pPr>
      <w:r>
        <w:t xml:space="preserve">Der Kunde ist berechtigt, bis zu 20 andere Geräte mit dem </w:t>
      </w:r>
      <w:r>
        <w:fldChar w:fldCharType="begin"/>
      </w:r>
      <w:r>
        <w:instrText xml:space="preserve"> AutoTextList   \s NoStyle \t "Lizenziertes Gerät ist ein einzelnes physisches H</w:instrText>
      </w:r>
      <w:r>
        <w:instrText xml:space="preserve">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w:t>
      </w:r>
      <w:r>
        <w:t>te für die gemeinsame Nutzung der Internetverbindung und Telefoniedienste zu verwenden.</w:t>
      </w:r>
    </w:p>
    <w:p w:rsidR="006514EF" w:rsidRDefault="00DD50AA">
      <w:pPr>
        <w:pStyle w:val="ProductList-Bullet"/>
        <w:numPr>
          <w:ilvl w:val="0"/>
          <w:numId w:val="11"/>
        </w:numPr>
      </w:pPr>
      <w:r>
        <w:t>Für KMS-Aktivierung oder eine ähnliche Technologie ist eine unbegrenzte Anzahl von Verbindungen zulässig.</w:t>
      </w:r>
    </w:p>
    <w:p w:rsidR="006514EF" w:rsidRDefault="006514EF">
      <w:pPr>
        <w:pStyle w:val="ProductList-Body"/>
      </w:pPr>
    </w:p>
    <w:p w:rsidR="006514EF" w:rsidRDefault="00DD50AA">
      <w:pPr>
        <w:pStyle w:val="ProductList-ClauseHeading"/>
        <w:outlineLvl w:val="3"/>
      </w:pPr>
      <w:r>
        <w:t>Adobe Flash Player</w:t>
      </w:r>
    </w:p>
    <w:p w:rsidR="006514EF" w:rsidRDefault="00DD50AA">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6514EF" w:rsidRDefault="00DD50AA">
      <w:pPr>
        <w:pStyle w:val="ProductList-Offering2Heading"/>
        <w:outlineLvl w:val="2"/>
      </w:pPr>
      <w:bookmarkStart w:id="22" w:name="_Sec541"/>
      <w:r>
        <w:t>Prozessor/CAL</w:t>
      </w:r>
      <w:bookmarkEnd w:id="22"/>
      <w:r>
        <w:fldChar w:fldCharType="begin"/>
      </w:r>
      <w:r>
        <w:instrText xml:space="preserve"> TC "</w:instrText>
      </w:r>
      <w:bookmarkStart w:id="23" w:name="_Toc439056279"/>
      <w:r>
        <w:instrText>Prozessor/</w:instrText>
      </w:r>
      <w:r>
        <w:instrText>CAL</w:instrText>
      </w:r>
      <w:bookmarkEnd w:id="23"/>
      <w:r>
        <w:instrText>" \l 3</w:instrText>
      </w:r>
      <w:r>
        <w:fldChar w:fldCharType="end"/>
      </w:r>
    </w:p>
    <w:p w:rsidR="006514EF" w:rsidRDefault="00DD50AA">
      <w:pPr>
        <w:pStyle w:val="ProductList-ClauseHeading"/>
        <w:outlineLvl w:val="3"/>
      </w:pPr>
      <w:r>
        <w:t>Serverlizenzen (pro Prozessor)</w:t>
      </w:r>
    </w:p>
    <w:p w:rsidR="006514EF" w:rsidRDefault="00DD50AA">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w:instrText>
      </w:r>
      <w:r>
        <w:instrText xml:space="preserv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w:instrText>
      </w:r>
      <w:r>
        <w:instrText xml:space="preserve">software auszuführen." </w:instrText>
      </w:r>
      <w:r>
        <w:fldChar w:fldCharType="separate"/>
      </w:r>
      <w:r>
        <w:rPr>
          <w:color w:val="0563C1"/>
        </w:rPr>
        <w:t>Server</w:t>
      </w:r>
      <w:r>
        <w:fldChar w:fldCharType="end"/>
      </w:r>
      <w:r>
        <w:t>lizenzen erwirbt (siehe unten).</w:t>
      </w:r>
    </w:p>
    <w:p w:rsidR="006514EF" w:rsidRDefault="00DD50AA">
      <w:pPr>
        <w:pStyle w:val="ProductList-Bullet"/>
        <w:numPr>
          <w:ilvl w:val="0"/>
          <w:numId w:val="12"/>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w:instrText>
      </w:r>
      <w:r>
        <w:instrText xml:space="preserve">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w:t>
      </w:r>
      <w:r>
        <w:t xml:space="preserv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6514EF" w:rsidRDefault="00DD50AA">
      <w:pPr>
        <w:pStyle w:val="ProductList-Bullet"/>
        <w:numPr>
          <w:ilvl w:val="0"/>
          <w:numId w:val="12"/>
        </w:numPr>
      </w:pPr>
      <w:r>
        <w:t>Jede Standard</w:t>
      </w:r>
      <w:r>
        <w:fldChar w:fldCharType="begin"/>
      </w:r>
      <w:r>
        <w:instrText xml:space="preserve"> AutoTextList   \s NoStyle \t "Lizenz bedeutet das Recht, ein Produkt</w:instrText>
      </w:r>
      <w:r>
        <w:instrText xml:space="preserve">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w:instrText>
      </w:r>
      <w:r>
        <w:instrText xml:space="preserve">derweitig emulierte) Betriebssysteminstanz als Ganzes oder in Teilen … (Siehe vollständige Definition im Glossar)" </w:instrText>
      </w:r>
      <w:r>
        <w:fldChar w:fldCharType="separate"/>
      </w:r>
      <w:r>
        <w:rPr>
          <w:color w:val="0563C1"/>
        </w:rPr>
        <w:t>OSEs</w:t>
      </w:r>
      <w:r>
        <w:fldChar w:fldCharType="end"/>
      </w:r>
      <w:r>
        <w:t xml:space="preserve">. </w:t>
      </w:r>
    </w:p>
    <w:p w:rsidR="006514EF" w:rsidRDefault="00DD50AA">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w:instrText>
      </w:r>
      <w:r>
        <w:instrText xml:space="preserve">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w:instrText>
      </w:r>
      <w:r>
        <w:instrText xml:space="preserv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6514EF" w:rsidRDefault="00DD50AA">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w:t>
      </w:r>
      <w:r>
        <w:t xml:space="preserve">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w:instrText>
      </w:r>
      <w:r>
        <w:instrText xml:space="preserve">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w:instrText>
      </w:r>
      <w:r>
        <w:instrText xml:space="preserve">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w:instrText>
      </w:r>
      <w:r>
        <w:instrText xml:space="preserv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w:instrText>
      </w:r>
      <w:r>
        <w:instrText xml:space="preserve">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6514EF" w:rsidRDefault="00DD50AA">
      <w:pPr>
        <w:pStyle w:val="ProductList-Bullet"/>
        <w:numPr>
          <w:ilvl w:val="0"/>
          <w:numId w:val="12"/>
        </w:numPr>
      </w:pPr>
      <w:r>
        <w:t xml:space="preserve">Datacenter-Lizenzen berechtigen zur Nutzung der Serversoftware in einer beliebigen Anzahl </w:t>
      </w:r>
      <w:r>
        <w:t xml:space="preserve">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6514EF" w:rsidRDefault="00DD50AA">
      <w:pPr>
        <w:pStyle w:val="ProductList-Bullet"/>
        <w:numPr>
          <w:ilvl w:val="0"/>
          <w:numId w:val="12"/>
        </w:numPr>
      </w:pPr>
      <w:r>
        <w:t>Solange</w:t>
      </w:r>
      <w:r>
        <w:t xml:space="preserv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w:instrText>
      </w:r>
      <w:r>
        <w:instrText xml:space="preserve">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6514EF" w:rsidRDefault="00DD50AA">
      <w:pPr>
        <w:pStyle w:val="ProductList-Bullet"/>
        <w:numPr>
          <w:ilvl w:val="0"/>
          <w:numId w:val="12"/>
        </w:numPr>
      </w:pPr>
      <w:r>
        <w:t>Als einmalige Alternative zum Zuweisen von Basis-</w:t>
      </w:r>
      <w:r>
        <w:fldChar w:fldCharType="begin"/>
      </w:r>
      <w:r>
        <w:instrText xml:space="preserve"> AutoTextList   \s NoStyle \t </w:instrText>
      </w:r>
      <w:r>
        <w:instrText xml:space="preserve">"CAL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w:instrText>
      </w:r>
      <w:r>
        <w:instrText xml:space="preserve">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w:instrText>
      </w:r>
      <w:r>
        <w:instrText xml:space="preserve">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w:t>
      </w:r>
      <w:r>
        <w:t xml:space="preserve">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w:instrText>
      </w:r>
      <w:r>
        <w:instrText xml:space="preserve">stanz erstellt wird." </w:instrText>
      </w:r>
      <w:r>
        <w:fldChar w:fldCharType="separate"/>
      </w:r>
      <w:r>
        <w:rPr>
          <w:color w:val="0563C1"/>
        </w:rPr>
        <w:t>Instanz</w:t>
      </w:r>
      <w:r>
        <w:fldChar w:fldCharType="end"/>
      </w:r>
      <w:r>
        <w:t xml:space="preserve"> zugreifen darf.</w:t>
      </w:r>
    </w:p>
    <w:p w:rsidR="006514EF" w:rsidRDefault="006514EF">
      <w:pPr>
        <w:pStyle w:val="ProductList-Body"/>
      </w:pPr>
    </w:p>
    <w:p w:rsidR="006514EF" w:rsidRDefault="00DD50AA">
      <w:pPr>
        <w:pStyle w:val="ProductList-ClauseHeading"/>
        <w:outlineLvl w:val="3"/>
      </w:pPr>
      <w:r>
        <w:t>Zugriffslizenzen</w:t>
      </w:r>
    </w:p>
    <w:p w:rsidR="006514EF" w:rsidRDefault="00DD50AA">
      <w:pPr>
        <w:pStyle w:val="ProductList-Bullet"/>
        <w:numPr>
          <w:ilvl w:val="0"/>
          <w:numId w:val="13"/>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w:instrText>
      </w:r>
      <w:r>
        <w:instrText xml:space="preserv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w:instrText>
      </w:r>
      <w:r>
        <w:instrText xml:space="preserv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w:instrText>
      </w:r>
      <w:r>
        <w:instrText xml:space="preserv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6514EF" w:rsidRDefault="00DD50AA">
      <w:pPr>
        <w:pStyle w:val="ProductList-Bullet"/>
        <w:numPr>
          <w:ilvl w:val="0"/>
          <w:numId w:val="13"/>
        </w:numPr>
      </w:pPr>
      <w:r>
        <w:fldChar w:fldCharType="begin"/>
      </w:r>
      <w:r>
        <w:instrText xml:space="preserve"> AutoTextList   \s NoStyle \t "CAL ist</w:instrText>
      </w:r>
      <w:r>
        <w:instrText xml:space="preserve">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w:instrText>
      </w:r>
      <w:r>
        <w:instrText xml:space="preserve">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6514EF" w:rsidRDefault="00DD50AA">
      <w:pPr>
        <w:pStyle w:val="ProductList-Bullet"/>
        <w:numPr>
          <w:ilvl w:val="0"/>
          <w:numId w:val="13"/>
        </w:numPr>
      </w:pPr>
      <w:r>
        <w:t xml:space="preserve">  Für den Zugriff auf Serversoftware, die ei</w:t>
      </w:r>
      <w:r>
        <w:t xml:space="preserve">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w:t>
      </w:r>
      <w:r>
        <w:t xml:space="preserv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w:instrText>
      </w:r>
      <w:r>
        <w:instrText xml:space="preserve">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6514EF" w:rsidRDefault="00DD50AA">
      <w:pPr>
        <w:pStyle w:val="ProductList-Bullet"/>
        <w:numPr>
          <w:ilvl w:val="0"/>
          <w:numId w:val="13"/>
        </w:numPr>
      </w:pPr>
      <w:r>
        <w:t xml:space="preserve">  Für den Zugriff in einer </w:t>
      </w:r>
      <w:r>
        <w:fldChar w:fldCharType="begin"/>
      </w:r>
      <w:r>
        <w:instrText xml:space="preserve"> AutoTextList   \s NoStyle \t "Physische OSE ist eine OS</w:instrText>
      </w:r>
      <w:r>
        <w:instrText>E, die so konfiguriert ist, dass sie direkt auf einem physischen Hardwaresystem ausgeführt wird. Die Betriebssysteminstanz, die für die Ausführung der Hardware-Virtualisierungssoftware oder zur Bereitstellung von Hardware-Virtualisierungsdiensten verwendet</w:instrText>
      </w:r>
      <w:r>
        <w:instrText xml:space="preserve">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w:t>
      </w:r>
      <w:r>
        <w:rPr>
          <w:color w:val="0563C1"/>
        </w:rPr>
        <w: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6514EF" w:rsidRDefault="00DD50AA">
      <w:pPr>
        <w:pStyle w:val="ProductList-Offering2Heading"/>
        <w:outlineLvl w:val="2"/>
      </w:pPr>
      <w:bookmarkStart w:id="24" w:name="_Sec542"/>
      <w:r>
        <w:t>Server/CAL</w:t>
      </w:r>
      <w:bookmarkEnd w:id="24"/>
      <w:r>
        <w:fldChar w:fldCharType="begin"/>
      </w:r>
      <w:r>
        <w:instrText xml:space="preserve"> TC "</w:instrText>
      </w:r>
      <w:bookmarkStart w:id="25" w:name="_Toc439056280"/>
      <w:r>
        <w:instrText>Server/CAL</w:instrText>
      </w:r>
      <w:bookmarkEnd w:id="25"/>
      <w:r>
        <w:instrText>" \l 3</w:instrText>
      </w:r>
      <w:r>
        <w:fldChar w:fldCharType="end"/>
      </w:r>
    </w:p>
    <w:p w:rsidR="006514EF" w:rsidRDefault="00DD50AA">
      <w:pPr>
        <w:pStyle w:val="ProductList-ClauseHeading"/>
        <w:outlineLvl w:val="3"/>
      </w:pPr>
      <w:r>
        <w:t>Serve</w:t>
      </w:r>
      <w:r>
        <w:t>rlizenzen (pro Instanz)</w:t>
      </w:r>
    </w:p>
    <w:p w:rsidR="006514EF" w:rsidRDefault="00DD50AA">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w:t>
      </w:r>
      <w:r>
        <w:t xml:space="preserve">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w:instrText>
      </w:r>
      <w:r>
        <w:instrText xml:space="preserve">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w:instrText>
      </w:r>
      <w:r>
        <w:instrText xml:space="preserve">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w:instrText>
      </w:r>
      <w:r>
        <w:instrText xml:space="preserve">nition wird eine Hardwarepartition oder ein Blade als separater Server betrachtet." </w:instrText>
      </w:r>
      <w:r>
        <w:fldChar w:fldCharType="separate"/>
      </w:r>
      <w:r>
        <w:rPr>
          <w:color w:val="0563C1"/>
        </w:rPr>
        <w:t>Lizenzierten Server</w:t>
      </w:r>
      <w:r>
        <w:fldChar w:fldCharType="end"/>
      </w:r>
      <w:r>
        <w:t xml:space="preserve"> auszuführen.</w:t>
      </w:r>
    </w:p>
    <w:p w:rsidR="006514EF" w:rsidRDefault="006514EF">
      <w:pPr>
        <w:pStyle w:val="ProductList-Body"/>
      </w:pPr>
    </w:p>
    <w:p w:rsidR="006514EF" w:rsidRDefault="00DD50AA">
      <w:pPr>
        <w:pStyle w:val="ProductList-ClauseHeading"/>
        <w:outlineLvl w:val="3"/>
      </w:pPr>
      <w:r>
        <w:t>Zugriffslizenzen</w:t>
      </w:r>
    </w:p>
    <w:p w:rsidR="006514EF" w:rsidRDefault="00DD50AA">
      <w:pPr>
        <w:pStyle w:val="ProductList-Bullet"/>
        <w:numPr>
          <w:ilvl w:val="0"/>
          <w:numId w:val="14"/>
        </w:numPr>
      </w:pPr>
      <w:r>
        <w:t xml:space="preserve">Außer wie hierin beschrieben und in den </w:t>
      </w:r>
      <w:r>
        <w:fldChar w:fldCharType="begin"/>
      </w:r>
      <w:r>
        <w:instrText xml:space="preserve"> AutoTextList   \s NoStyle \t "Produktspezifische Lizenzbestimmungen: gibt an,</w:instrText>
      </w:r>
      <w:r>
        <w:instrText xml:space="preserve">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w:instrText>
      </w:r>
      <w:r>
        <w:instrText xml:space="preserve">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w:instrText>
      </w:r>
      <w:r>
        <w:instrText xml:space="preserve">-Lizenz,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w:t>
      </w:r>
      <w:r>
        <w:rPr>
          <w:color w:val="0563C1"/>
        </w:rPr>
        <w:t>uivalenten Lizenzen</w:t>
      </w:r>
      <w:r>
        <w:fldChar w:fldCharType="end"/>
      </w:r>
      <w:r>
        <w:t xml:space="preserve"> erfolgen.</w:t>
      </w:r>
    </w:p>
    <w:p w:rsidR="006514EF" w:rsidRDefault="00DD50AA">
      <w:pPr>
        <w:pStyle w:val="ProductList-Bullet"/>
        <w:numPr>
          <w:ilvl w:val="0"/>
          <w:numId w:val="14"/>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w:instrText>
      </w:r>
      <w:r>
        <w:instrText xml:space="preserve">et." </w:instrText>
      </w:r>
      <w:r>
        <w:fldChar w:fldCharType="separate"/>
      </w:r>
      <w:r>
        <w:rPr>
          <w:color w:val="0563C1"/>
        </w:rPr>
        <w:t>Lizenzierten Server</w:t>
      </w:r>
      <w:r>
        <w:fldChar w:fldCharType="end"/>
      </w:r>
      <w:r>
        <w:t xml:space="preserve"> nicht erforderlich.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
        <w:outlineLvl w:val="2"/>
      </w:pPr>
      <w:bookmarkStart w:id="26" w:name="_Sec543"/>
      <w:r>
        <w:t>Pro Core</w:t>
      </w:r>
      <w:bookmarkEnd w:id="26"/>
      <w:r>
        <w:fldChar w:fldCharType="begin"/>
      </w:r>
      <w:r>
        <w:instrText xml:space="preserve"> TC "</w:instrText>
      </w:r>
      <w:bookmarkStart w:id="27" w:name="_Toc439056281"/>
      <w:r>
        <w:instrText>Pro Core</w:instrText>
      </w:r>
      <w:bookmarkEnd w:id="27"/>
      <w:r>
        <w:instrText>" \l 3</w:instrText>
      </w:r>
      <w:r>
        <w:fldChar w:fldCharType="end"/>
      </w:r>
    </w:p>
    <w:p w:rsidR="006514EF" w:rsidRDefault="00DD50AA">
      <w:pPr>
        <w:pStyle w:val="ProductList-Body"/>
      </w:pPr>
      <w:r>
        <w:t>Bei Produkten unter dem Lizenzmodell „Pro Core“ muss der Ku</w:t>
      </w:r>
      <w:r>
        <w:t xml:space="preserve">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w:instrText>
      </w:r>
      <w:r>
        <w:instrText xml:space="preserve">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w:t>
      </w:r>
      <w:r>
        <w:t>tionen sind nachstehend dargelegt.</w:t>
      </w:r>
    </w:p>
    <w:p w:rsidR="006514EF" w:rsidRDefault="006514EF">
      <w:pPr>
        <w:pStyle w:val="ProductList-Body"/>
      </w:pPr>
    </w:p>
    <w:p w:rsidR="006514EF" w:rsidRDefault="00DD50AA">
      <w:pPr>
        <w:pStyle w:val="ProductList-ClauseHeading"/>
        <w:outlineLvl w:val="3"/>
      </w:pPr>
      <w:r>
        <w:t>Serverlizenzen (pro Core) – Lizenzierung nach Physischen Cores auf einem Server</w:t>
      </w:r>
    </w:p>
    <w:p w:rsidR="006514EF" w:rsidRDefault="00DD50AA">
      <w:pPr>
        <w:pStyle w:val="ProductList-Bullet"/>
        <w:numPr>
          <w:ilvl w:val="0"/>
          <w:numId w:val="15"/>
        </w:numPr>
      </w:pPr>
      <w:r>
        <w:t xml:space="preserve">Der Kunde darf die Serversoftware auf einem </w:t>
      </w:r>
      <w:r>
        <w:fldChar w:fldCharType="begin"/>
      </w:r>
      <w:r>
        <w:instrText xml:space="preserve"> AutoTextList   \s NoStyle \t "Lizenzierter Server ist ein einzelner, für die Nutzung durch den </w:instrText>
      </w:r>
      <w:r>
        <w:instrText xml:space="preserve">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w:instrText>
      </w:r>
      <w:r>
        <w:instrText xml:space="preserve">Style \t "Server ist ein physisches Hardwaresystem, das fähig ist, Serversoftware auszuführen." </w:instrText>
      </w:r>
      <w:r>
        <w:fldChar w:fldCharType="separate"/>
      </w:r>
      <w:r>
        <w:rPr>
          <w:color w:val="0563C1"/>
        </w:rPr>
        <w:t>Server</w:t>
      </w:r>
      <w:r>
        <w:fldChar w:fldCharType="end"/>
      </w:r>
      <w:r>
        <w:t>lizenzen erwirbt (siehe unten).</w:t>
      </w:r>
    </w:p>
    <w:p w:rsidR="006514EF" w:rsidRDefault="00DD50AA">
      <w:pPr>
        <w:pStyle w:val="ProductList-Bullet"/>
        <w:numPr>
          <w:ilvl w:val="0"/>
          <w:numId w:val="15"/>
        </w:numPr>
      </w:pPr>
      <w:r>
        <w:t xml:space="preserve">Die Anzahl der erforderlichen Lizenzen entspricht der Anzahl </w:t>
      </w:r>
      <w:r>
        <w:fldChar w:fldCharType="begin"/>
      </w:r>
      <w:r>
        <w:instrText xml:space="preserve"> AutoTextList   \s NoStyle \t "Physischer Core ist ein Cor</w:instrText>
      </w:r>
      <w:r>
        <w:instrText xml:space="preserve">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w:instrText>
      </w:r>
      <w:r>
        <w:instrText xml:space="preserve">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w:instrText>
      </w:r>
      <w:r>
        <w:instrText xml:space="preserve">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5">
        <w:r>
          <w:rPr>
            <w:color w:val="00467F"/>
            <w:u w:val="single"/>
          </w:rPr>
          <w:t>http://go.microsoft.com/fwlink/?LinkID=229882</w:t>
        </w:r>
      </w:hyperlink>
      <w:r>
        <w:t>.</w:t>
      </w:r>
    </w:p>
    <w:p w:rsidR="006514EF" w:rsidRDefault="00DD50AA">
      <w:pPr>
        <w:pStyle w:val="ProductList-Bullet"/>
        <w:numPr>
          <w:ilvl w:val="0"/>
          <w:numId w:val="15"/>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w:instrText>
      </w:r>
      <w:r>
        <w:instrText xml:space="preserv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w:instrText>
      </w:r>
      <w:r>
        <w:instrText xml:space="preserve">,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w:instrText>
      </w:r>
      <w:r>
        <w:instrText xml:space="preserve"> ist, dass sie direkt auf einem physischen Hardwaresystem ausgeführt wird. Die Betriebssysteminstanz, die für die Ausführung der Hardware-Virtualisierungssoftware oder zur Bereitstellung von Hardware-Virtualisierungsdiensten verwendet wird, gilt als Bestan</w:instrText>
      </w:r>
      <w:r>
        <w:instrText xml:space="preserve">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w:t>
      </w:r>
      <w:r>
        <w:t>zenzen entspricht.</w:t>
      </w:r>
    </w:p>
    <w:p w:rsidR="006514EF" w:rsidRDefault="00DD50AA">
      <w:pPr>
        <w:pStyle w:val="ProductList-Bullet"/>
        <w:numPr>
          <w:ilvl w:val="0"/>
          <w:numId w:val="15"/>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der Kunde über die nach Absatz 2 erfo</w:t>
      </w:r>
      <w:r>
        <w:t xml:space="preserve">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w:t>
      </w:r>
      <w:r>
        <w:t xml:space="preserve">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w:t>
      </w:r>
      <w:r>
        <w:t xml:space="preserve">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w:instrText>
      </w:r>
      <w:r>
        <w:instrText xml:space="preserve">trachtet." </w:instrText>
      </w:r>
      <w:r>
        <w:fldChar w:fldCharType="separate"/>
      </w:r>
      <w:r>
        <w:rPr>
          <w:color w:val="0563C1"/>
        </w:rPr>
        <w:t>Lizenzierten Server</w:t>
      </w:r>
      <w:r>
        <w:fldChar w:fldCharType="end"/>
      </w:r>
      <w:r>
        <w:t xml:space="preserve"> zu verwenden.</w:t>
      </w:r>
    </w:p>
    <w:p w:rsidR="006514EF" w:rsidRDefault="00DD50AA">
      <w:pPr>
        <w:pStyle w:val="ProductList-Bullet"/>
        <w:numPr>
          <w:ilvl w:val="0"/>
          <w:numId w:val="15"/>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w:instrText>
      </w:r>
      <w:r>
        <w:instrText xml:space="preserve">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w:instrText>
      </w:r>
      <w:r>
        <w:instrText>direkt auf einem physischen Hardwaresystem ausgeführt wird. Die Betriebssysteminstanz, die für die Ausführung der Hardware-Virtualisierungssoftware oder zur Bereitstellung von Hardware-Virtualisierungsdiensten verwendet wird, gilt als Bestandteil der Physi</w:instrText>
      </w:r>
      <w:r>
        <w:instrText xml:space="preserve">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w:instrText>
      </w:r>
      <w:r>
        <w:instrText xml:space="preserve">in Blade als separater Server betrachtet." </w:instrText>
      </w:r>
      <w:r>
        <w:fldChar w:fldCharType="separate"/>
      </w:r>
      <w:r>
        <w:rPr>
          <w:color w:val="0563C1"/>
        </w:rPr>
        <w:t>Lizenzierten Server</w:t>
      </w:r>
      <w:r>
        <w:fldChar w:fldCharType="end"/>
      </w:r>
      <w:r>
        <w:t xml:space="preserve"> zu verwenden.</w:t>
      </w:r>
    </w:p>
    <w:p w:rsidR="006514EF" w:rsidRDefault="006514EF">
      <w:pPr>
        <w:pStyle w:val="ProductList-Body"/>
      </w:pPr>
    </w:p>
    <w:p w:rsidR="006514EF" w:rsidRDefault="00DD50AA">
      <w:pPr>
        <w:pStyle w:val="ProductList-ClauseHeading"/>
        <w:outlineLvl w:val="3"/>
      </w:pPr>
      <w:r>
        <w:t>Serverlizenzen (pro Core) – Lizenzierung nach Einzelner Virtueller OSE</w:t>
      </w:r>
    </w:p>
    <w:p w:rsidR="006514EF" w:rsidRDefault="00DD50AA">
      <w:pPr>
        <w:pStyle w:val="ProductList-Bullet"/>
        <w:numPr>
          <w:ilvl w:val="0"/>
          <w:numId w:val="16"/>
        </w:numPr>
      </w:pPr>
      <w:r>
        <w:t xml:space="preserve">Der Kunde ist berechtigt, eine beliebige Anzahl von </w:t>
      </w:r>
      <w:r>
        <w:fldChar w:fldCharType="begin"/>
      </w:r>
      <w:r>
        <w:instrText xml:space="preserve"> AutoTextList   \s NoStyle \t "Ausgeführte Instanz i</w:instrText>
      </w:r>
      <w:r>
        <w:instrText xml:space="preserve">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w:instrText>
      </w:r>
      <w:r>
        <w:instrText xml:space="preserve">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w:instrText>
      </w:r>
      <w:r>
        <w:instrText xml:space="preserv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w:instrText>
      </w:r>
      <w:r>
        <w:instrText xml:space="preserv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6514EF" w:rsidRDefault="00DD50AA">
      <w:pPr>
        <w:pStyle w:val="ProductList-Bullet"/>
        <w:numPr>
          <w:ilvl w:val="0"/>
          <w:numId w:val="16"/>
        </w:numPr>
      </w:pPr>
      <w:r>
        <w:t xml:space="preserve">Die Anzahl der erforderlichen </w:t>
      </w:r>
      <w:r>
        <w:fldChar w:fldCharType="begin"/>
      </w:r>
      <w:r>
        <w:instrText xml:space="preserve"> AutoTextList   \s NoStyle \t "Lizenz bedeutet das Recht, ein Produkt herunterzuladen,</w:instrText>
      </w:r>
      <w:r>
        <w:instrText xml:space="preserve">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w:instrText>
      </w:r>
      <w:r>
        <w:instrText xml:space="preserv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unter Berücksic</w:t>
      </w:r>
      <w:r>
        <w:t xml:space="preserve">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w:instrText>
      </w:r>
      <w:r>
        <w:instrText xml:space="preserve"> OSE, die für die Ausführung in einem virtuellen Hardwaresystem konfiguriert ist." </w:instrText>
      </w:r>
      <w:r>
        <w:fldChar w:fldCharType="separate"/>
      </w:r>
      <w:r>
        <w:rPr>
          <w:color w:val="0563C1"/>
        </w:rPr>
        <w:t>Virtueller OSE</w:t>
      </w:r>
      <w:r>
        <w:fldChar w:fldCharType="end"/>
      </w:r>
      <w:r>
        <w:t>.</w:t>
      </w:r>
    </w:p>
    <w:p w:rsidR="006514EF" w:rsidRDefault="00DD50AA">
      <w:pPr>
        <w:pStyle w:val="ProductList-Bullet"/>
        <w:numPr>
          <w:ilvl w:val="0"/>
          <w:numId w:val="16"/>
        </w:numPr>
      </w:pPr>
      <w:r>
        <w:t xml:space="preserve">Wenn einer dieser </w:t>
      </w:r>
      <w:r>
        <w:fldChar w:fldCharType="begin"/>
      </w:r>
      <w:r>
        <w:instrText xml:space="preserve"> AutoTextList   \s NoStyle \t "Virtueller Core ist die Einheit der Verarbeitungsleistung in einem virtuellen Hardwaresystem. Ein Virtuel</w:instrText>
      </w:r>
      <w:r>
        <w:instrText xml:space="preserve">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w:t>
      </w:r>
      <w:r>
        <w:rPr>
          <w:color w:val="0563C1"/>
        </w:rPr>
        <w:t>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dem er zugewie</w:t>
      </w:r>
      <w:r>
        <w:t xml:space="preserve">sen ist. </w:t>
      </w:r>
    </w:p>
    <w:p w:rsidR="006514EF" w:rsidRDefault="00DD50AA">
      <w:pPr>
        <w:pStyle w:val="ProductList-Offering2Heading"/>
        <w:outlineLvl w:val="2"/>
      </w:pPr>
      <w:bookmarkStart w:id="28" w:name="_Sec544"/>
      <w:r>
        <w:t>Management Server</w:t>
      </w:r>
      <w:bookmarkEnd w:id="28"/>
      <w:r>
        <w:fldChar w:fldCharType="begin"/>
      </w:r>
      <w:r>
        <w:instrText xml:space="preserve"> TC "</w:instrText>
      </w:r>
      <w:bookmarkStart w:id="29" w:name="_Toc439056282"/>
      <w:r>
        <w:instrText>Management Server</w:instrText>
      </w:r>
      <w:bookmarkEnd w:id="29"/>
      <w:r>
        <w:instrText>" \l 3</w:instrText>
      </w:r>
      <w:r>
        <w:fldChar w:fldCharType="end"/>
      </w:r>
    </w:p>
    <w:p w:rsidR="006514EF" w:rsidRDefault="00DD50AA">
      <w:pPr>
        <w:pStyle w:val="ProductList-ClauseHeading"/>
        <w:outlineLvl w:val="3"/>
      </w:pPr>
      <w:r>
        <w:t>Management-Lizenzen</w:t>
      </w:r>
    </w:p>
    <w:p w:rsidR="006514EF" w:rsidRDefault="00DD50AA">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6514EF" w:rsidRDefault="006514EF">
      <w:pPr>
        <w:pStyle w:val="ProductList-Body"/>
      </w:pPr>
    </w:p>
    <w:p w:rsidR="006514EF" w:rsidRDefault="00DD50AA">
      <w:pPr>
        <w:pStyle w:val="ProductList-ClauseHeading"/>
        <w:outlineLvl w:val="3"/>
      </w:pPr>
      <w:r>
        <w:t>Server-Management-Lizenzen (pro Pr</w:t>
      </w:r>
      <w:r>
        <w:t>ozessor)</w:t>
      </w:r>
    </w:p>
    <w:p w:rsidR="006514EF" w:rsidRDefault="00DD50AA">
      <w:pPr>
        <w:pStyle w:val="ProductList-Bullet"/>
        <w:numPr>
          <w:ilvl w:val="0"/>
          <w:numId w:val="17"/>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w:instrText>
      </w:r>
      <w:r>
        <w:instrText xml:space="preserve">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nstrText>
      </w:r>
      <w:r>
        <w:instrText xml:space="preserv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w:instrText>
      </w:r>
      <w:r>
        <w:instrText xml:space="preserve">rdwaresystem, das fähig ist, Serversoftware auszuführen." </w:instrText>
      </w:r>
      <w:r>
        <w:fldChar w:fldCharType="separate"/>
      </w:r>
      <w:r>
        <w:rPr>
          <w:color w:val="0563C1"/>
        </w:rPr>
        <w:t>Serverlizenzen</w:t>
      </w:r>
      <w:r>
        <w:fldChar w:fldCharType="end"/>
      </w:r>
      <w:r>
        <w:t xml:space="preserve"> erwirbt (siehe unten).</w:t>
      </w:r>
    </w:p>
    <w:p w:rsidR="006514EF" w:rsidRDefault="00DD50AA">
      <w:pPr>
        <w:pStyle w:val="ProductList-Bullet"/>
        <w:numPr>
          <w:ilvl w:val="0"/>
          <w:numId w:val="17"/>
        </w:numPr>
      </w:pPr>
      <w:r>
        <w:t xml:space="preserve">  Für </w:t>
      </w:r>
      <w:r>
        <w:fldChar w:fldCharType="begin"/>
      </w:r>
      <w:r>
        <w:instrText xml:space="preserve"> AutoTextList   \s NoStyle \t "OSE ist eine Betriebssysteminstanz als Ganzes oder in Teilen oder eine virtuelle (oder anderweitig emulierte) Betriebssy</w:instrText>
      </w:r>
      <w:r>
        <w:instrText xml:space="preserve">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-Betriebssysteme ausgeführt </w:t>
      </w:r>
      <w:r>
        <w:t>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w:instrText>
      </w:r>
      <w:r>
        <w:instrText xml:space="preserve">ige Definition im Glossar)" </w:instrText>
      </w:r>
      <w:r>
        <w:fldChar w:fldCharType="separate"/>
      </w:r>
      <w:r>
        <w:rPr>
          <w:color w:val="0563C1"/>
        </w:rPr>
        <w:t>Management-Lizenzen</w:t>
      </w:r>
      <w:r>
        <w:fldChar w:fldCharType="end"/>
      </w:r>
      <w:r>
        <w:t xml:space="preserve"> erforderlich.</w:t>
      </w:r>
    </w:p>
    <w:p w:rsidR="006514EF" w:rsidRDefault="00DD50AA">
      <w:pPr>
        <w:pStyle w:val="ProductList-Bullet"/>
        <w:numPr>
          <w:ilvl w:val="0"/>
          <w:numId w:val="17"/>
        </w:numPr>
      </w:pPr>
      <w:r>
        <w:t>Für zwei Prozessoren auf dem Lizenzierten Server ist jeweils eine Lizenz erforderlich.</w:t>
      </w:r>
    </w:p>
    <w:p w:rsidR="006514EF" w:rsidRDefault="00DD50AA">
      <w:pPr>
        <w:pStyle w:val="ProductList-Bullet"/>
        <w:numPr>
          <w:ilvl w:val="0"/>
          <w:numId w:val="17"/>
        </w:numPr>
      </w:pPr>
      <w:r>
        <w:t xml:space="preserve">Jede </w:t>
      </w:r>
      <w:r>
        <w:fldChar w:fldCharType="begin"/>
      </w:r>
      <w:r>
        <w:instrText xml:space="preserve"> AutoTextList   \s NoStyle \t "Lizenz bedeutet das Recht, ein Produkt herunterzuladen, zu installie</w:instrText>
      </w:r>
      <w:r>
        <w:instrText xml:space="preserv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w:instrText>
      </w:r>
      <w:r>
        <w:instrText xml:space="preserve">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w:instrText>
      </w:r>
      <w:r>
        <w:instrText xml:space="preserve">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6514EF" w:rsidRDefault="00DD50AA">
      <w:pPr>
        <w:pStyle w:val="ProductList-Bullet"/>
        <w:numPr>
          <w:ilvl w:val="0"/>
          <w:numId w:val="17"/>
        </w:numPr>
      </w:pPr>
      <w:r>
        <w:t xml:space="preserve">Lizenzen der Standard-Edition gestatten das Verwalten der </w:t>
      </w:r>
      <w:r>
        <w:fldChar w:fldCharType="begin"/>
      </w:r>
      <w:r>
        <w:instrText xml:space="preserve"> AutoTextList   \s NoSty</w:instrText>
      </w:r>
      <w:r>
        <w:instrText>le \t "Physische OSE ist eine OSE, die so konfiguriert ist, dass sie direkt auf einem physischen Hardwaresystem ausgeführt wird. Die Betriebssysteminstanz, die für die Ausführung der Hardware-Virtualisierungssoftware oder zur Bereitstellung von Hardware-Vi</w:instrText>
      </w:r>
      <w:r>
        <w:instrText xml:space="preserve">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w:instrText>
      </w:r>
      <w:r>
        <w:instrText xml:space="preserv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w:instrText>
      </w:r>
      <w:r>
        <w:instrText xml:space="preserve">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w:instrText>
      </w:r>
      <w:r>
        <w:instrText>irekt auf einem physischen Hardwaresystem ausgeführt wird. Die Betriebssysteminstanz, die für die Ausführung der Hardware-Virtualisierungssoftware oder zur Bereitstellung von Hardware-Virtualisierungsdiensten verwendet wird, gilt als Bestandteil der Physis</w:instrText>
      </w:r>
      <w:r>
        <w:instrText xml:space="preserve">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6514EF" w:rsidRDefault="00DD50AA">
      <w:pPr>
        <w:pStyle w:val="ProductList-Bullet"/>
        <w:numPr>
          <w:ilvl w:val="0"/>
          <w:numId w:val="17"/>
        </w:numPr>
      </w:pPr>
      <w:r>
        <w:t>Der Kunde ist berechtigt, sein</w:t>
      </w:r>
      <w:r>
        <w:t xml:space="preserve">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w:instrText>
      </w:r>
      <w:r>
        <w:instrText xml:space="preserve">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w:instrText>
      </w:r>
      <w:r>
        <w:instrText xml:space="preserve">steminstanz als Ganzes oder in Teilen … (Siehe vollständige Definition im Glossar)" </w:instrText>
      </w:r>
      <w:r>
        <w:fldChar w:fldCharType="separate"/>
      </w:r>
      <w:r>
        <w:rPr>
          <w:color w:val="0563C1"/>
        </w:rPr>
        <w:t>OSEs</w:t>
      </w:r>
      <w:r>
        <w:fldChar w:fldCharType="end"/>
      </w:r>
      <w:r>
        <w:t xml:space="preserve"> pro Lizenz zu Verwalten.</w:t>
      </w:r>
    </w:p>
    <w:p w:rsidR="006514EF" w:rsidRDefault="00DD50AA">
      <w:pPr>
        <w:pStyle w:val="ProductList-Bullet"/>
        <w:numPr>
          <w:ilvl w:val="0"/>
          <w:numId w:val="17"/>
        </w:numPr>
      </w:pPr>
      <w:r>
        <w:fldChar w:fldCharType="begin"/>
      </w:r>
      <w:r>
        <w:instrText xml:space="preserve"> AutoTextList   \s NoStyle \t "Lizenz bedeutet das Recht, ein Produkt herunterzuladen, zu installieren, darauf zuzugreifen und es zu verwen</w:instrText>
      </w:r>
      <w:r>
        <w:instrText xml:space="preserve">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w:instrText>
      </w:r>
      <w:r>
        <w:instrText xml:space="preserve">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w:instrText>
      </w:r>
      <w:r>
        <w:instrText xml:space="preserve">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6514EF" w:rsidRDefault="006514EF">
      <w:pPr>
        <w:pStyle w:val="ProductList-Body"/>
      </w:pPr>
    </w:p>
    <w:p w:rsidR="006514EF" w:rsidRDefault="00DD50AA">
      <w:pPr>
        <w:pStyle w:val="ProductList-ClauseHeading"/>
        <w:outlineLvl w:val="3"/>
      </w:pPr>
      <w:r>
        <w:t>Client-Management-Lizenzen (pro OSE oder Nutzer)</w:t>
      </w:r>
    </w:p>
    <w:p w:rsidR="006514EF" w:rsidRDefault="00DD50AA">
      <w:pPr>
        <w:pStyle w:val="ProductList-Bullet"/>
        <w:numPr>
          <w:ilvl w:val="0"/>
          <w:numId w:val="18"/>
        </w:numPr>
      </w:pPr>
      <w:r>
        <w:t>Der Kunde ist je erworbener Client-Management-Lizenz berecht</w:t>
      </w:r>
      <w:r>
        <w:t xml:space="preserve">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w:instrText>
      </w:r>
      <w:r>
        <w:instrText xml:space="preserve">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w:instrText>
      </w:r>
      <w:r>
        <w:instrText xml:space="preserv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w:instrText>
      </w:r>
      <w:r>
        <w:instrText xml:space="preserve">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6514EF" w:rsidRDefault="00DD50AA">
      <w:pPr>
        <w:pStyle w:val="ProductList-Bullet"/>
        <w:numPr>
          <w:ilvl w:val="0"/>
          <w:numId w:val="18"/>
        </w:numPr>
      </w:pPr>
      <w:r>
        <w:fldChar w:fldCharType="begin"/>
      </w:r>
      <w:r>
        <w:instrText xml:space="preserve"> AutoTextList   \s NoStyle \t "OSE ist eine Betrie</w:instrText>
      </w:r>
      <w:r>
        <w:instrText xml:space="preserv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w:instrText>
      </w:r>
      <w:r>
        <w:instrText xml:space="preserve">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w:instrText>
      </w:r>
      <w:r>
        <w:instrText xml:space="preserve">angegebenen wird. (Siehe vollständige Definition im Glossar)" </w:instrText>
      </w:r>
      <w:r>
        <w:fldChar w:fldCharType="separate"/>
      </w:r>
      <w:r>
        <w:rPr>
          <w:color w:val="0563C1"/>
        </w:rPr>
        <w:t>Management-Lizenz-äquivalente Lizenzen</w:t>
      </w:r>
      <w:r>
        <w:fldChar w:fldCharType="end"/>
      </w:r>
      <w:r>
        <w:t>.</w:t>
      </w:r>
    </w:p>
    <w:p w:rsidR="006514EF" w:rsidRDefault="00DD50AA">
      <w:pPr>
        <w:pStyle w:val="ProductList-Bullet"/>
        <w:numPr>
          <w:ilvl w:val="0"/>
          <w:numId w:val="18"/>
        </w:numPr>
      </w:pPr>
      <w:r>
        <w:t xml:space="preserve">Die Anzahl der erforderlichen Client-Management-Lizenzen hängt vom zugewiesenen </w:t>
      </w:r>
      <w:r>
        <w:fldChar w:fldCharType="begin"/>
      </w:r>
      <w:r>
        <w:instrText xml:space="preserve"> AutoTextList   \s NoStyle \t "Lizenz bedeutet das Recht, ein Produkt h</w:instrText>
      </w:r>
      <w:r>
        <w:instrText xml:space="preserve">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w:instrText>
      </w:r>
      <w:r>
        <w:instrText xml:space="preserve">ls Ganzes oder in Teilen ... (Siehe vollständige Definition im Glossar)" </w:instrText>
      </w:r>
      <w:r>
        <w:fldChar w:fldCharType="separate"/>
      </w:r>
      <w:r>
        <w:rPr>
          <w:color w:val="0563C1"/>
        </w:rPr>
        <w:t>OSE</w:t>
      </w:r>
      <w:r>
        <w:fldChar w:fldCharType="end"/>
      </w:r>
      <w:r>
        <w:t xml:space="preserve"> oder Nutzer) ab.</w:t>
      </w:r>
    </w:p>
    <w:p w:rsidR="006514EF" w:rsidRDefault="00DD50AA">
      <w:pPr>
        <w:pStyle w:val="ProductList-Bullet"/>
        <w:numPr>
          <w:ilvl w:val="0"/>
          <w:numId w:val="18"/>
        </w:numPr>
      </w:pPr>
      <w:r>
        <w:t xml:space="preserve">Für die Verwaltung einer </w:t>
      </w:r>
      <w:r>
        <w:fldChar w:fldCharType="begin"/>
      </w:r>
      <w:r>
        <w:instrText xml:space="preserve"> AutoTextList   \s NoStyle \t "OSE ist eine Betriebssysteminstanz als Ganzes oder in Teilen oder eine virtuelle (oder anderweitig emul</w:instrText>
      </w:r>
      <w:r>
        <w:instrText xml:space="preserve">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6514EF" w:rsidRDefault="006514EF">
      <w:pPr>
        <w:pStyle w:val="ProductList-Body"/>
      </w:pPr>
    </w:p>
    <w:p w:rsidR="006514EF" w:rsidRDefault="00DD50AA">
      <w:pPr>
        <w:pStyle w:val="ProductList-ClauseHeading"/>
        <w:outlineLvl w:val="3"/>
      </w:pPr>
      <w:r>
        <w:t>Management-Lizenzen sind nicht erforderlich für:</w:t>
      </w:r>
    </w:p>
    <w:p w:rsidR="006514EF" w:rsidRDefault="00DD50AA">
      <w:pPr>
        <w:pStyle w:val="ProductList-Bullet"/>
        <w:numPr>
          <w:ilvl w:val="0"/>
          <w:numId w:val="19"/>
        </w:numPr>
      </w:pPr>
      <w:r>
        <w:fldChar w:fldCharType="begin"/>
      </w:r>
      <w:r>
        <w:instrText xml:space="preserve"> AutoTextList   \s NoStyle \t "OSE ist eine Betriebssysteminstanz als Ganzes oder in Teilen oder eine virtuelle (oder anderweitig emulierte) Betriebssysteminstanz als Ganzes oder in Teilen … (Siehe vollstän</w:instrText>
      </w:r>
      <w:r>
        <w:instrText xml:space="preserve">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w:instrText>
      </w:r>
      <w:r>
        <w:instrText xml:space="preserve">tändige Definition im Glossar)" </w:instrText>
      </w:r>
      <w:r>
        <w:fldChar w:fldCharType="separate"/>
      </w:r>
      <w:r>
        <w:rPr>
          <w:color w:val="0563C1"/>
        </w:rPr>
        <w:t>Ausgeführten Instanzen</w:t>
      </w:r>
      <w:r>
        <w:fldChar w:fldCharType="end"/>
      </w:r>
      <w:r>
        <w:t xml:space="preserve"> der Software befinden,</w:t>
      </w:r>
    </w:p>
    <w:p w:rsidR="006514EF" w:rsidRDefault="00DD50AA">
      <w:pPr>
        <w:pStyle w:val="ProductList-Bullet"/>
        <w:numPr>
          <w:ilvl w:val="0"/>
          <w:numId w:val="19"/>
        </w:numPr>
      </w:pPr>
      <w:r>
        <w:t>Netzwerkinfrastrukturgeräte des Kunden, die ausschließlich der Übertragung von Netzwerkdaten und nicht der Ausführung von Windows-Serversoftware dienen,</w:t>
      </w:r>
    </w:p>
    <w:p w:rsidR="006514EF" w:rsidRDefault="00DD50AA">
      <w:pPr>
        <w:pStyle w:val="ProductList-Bullet"/>
        <w:numPr>
          <w:ilvl w:val="0"/>
          <w:numId w:val="19"/>
        </w:numPr>
      </w:pPr>
      <w:r>
        <w:t xml:space="preserve">Konvertierung von </w:t>
      </w:r>
      <w:r>
        <w:fldChar w:fldCharType="begin"/>
      </w:r>
      <w:r>
        <w:instrText xml:space="preserve"> Aut</w:instrText>
      </w:r>
      <w:r>
        <w:instrText xml:space="preserve">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w:t>
      </w:r>
      <w:r>
        <w:t>irtuell oder</w:t>
      </w:r>
    </w:p>
    <w:p w:rsidR="006514EF" w:rsidRDefault="00DD50AA">
      <w:pPr>
        <w:pStyle w:val="ProductList-Bullet"/>
        <w:numPr>
          <w:ilvl w:val="0"/>
          <w:numId w:val="19"/>
        </w:numPr>
      </w:pPr>
      <w:r>
        <w:t>Geräte, die ausschließlich auf den Status ihrer Hardwarekomponenten im Hinblick auf Systemtemperatur, Lüftergeschwindigkeit, Netzschalter, Zurücksetzen des Systems oder CPU-Verfügbarkeit überwacht oder verwaltet werden</w:t>
      </w:r>
    </w:p>
    <w:p w:rsidR="006514EF" w:rsidRDefault="006514EF">
      <w:pPr>
        <w:pStyle w:val="ProductList-Body"/>
      </w:pPr>
    </w:p>
    <w:p w:rsidR="006514EF" w:rsidRDefault="00DD50AA">
      <w:pPr>
        <w:pStyle w:val="ProductList-ClauseHeading"/>
        <w:outlineLvl w:val="3"/>
      </w:pPr>
      <w:r>
        <w:t>Datasets</w:t>
      </w:r>
    </w:p>
    <w:p w:rsidR="006514EF" w:rsidRDefault="00DD50AA">
      <w:pPr>
        <w:pStyle w:val="ProductList-Body"/>
      </w:pPr>
      <w:r>
        <w:t xml:space="preserve">Der Kunde ist </w:t>
      </w:r>
      <w:r>
        <w:t>nicht berechtigt, in der Software enthaltene Datasets (oder Teile von Datasets) zu kopieren oder zu vertreiben.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
        <w:outlineLvl w:val="2"/>
      </w:pPr>
      <w:bookmarkStart w:id="30" w:name="_Sec545"/>
      <w:r>
        <w:t>Spezialserver</w:t>
      </w:r>
      <w:bookmarkEnd w:id="30"/>
      <w:r>
        <w:fldChar w:fldCharType="begin"/>
      </w:r>
      <w:r>
        <w:instrText xml:space="preserve"> TC "</w:instrText>
      </w:r>
      <w:bookmarkStart w:id="31" w:name="_Toc439056283"/>
      <w:r>
        <w:instrText>Spezialserver</w:instrText>
      </w:r>
      <w:bookmarkEnd w:id="31"/>
      <w:r>
        <w:instrText>" \l 3</w:instrText>
      </w:r>
      <w:r>
        <w:fldChar w:fldCharType="end"/>
      </w:r>
    </w:p>
    <w:p w:rsidR="006514EF" w:rsidRDefault="00DD50AA">
      <w:pPr>
        <w:pStyle w:val="ProductList-ClauseHeading"/>
        <w:outlineLvl w:val="3"/>
      </w:pPr>
      <w:r>
        <w:t>Serverlizenzen (pro Instanz)</w:t>
      </w:r>
    </w:p>
    <w:p w:rsidR="006514EF" w:rsidRDefault="00DD50AA">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w:instrText>
      </w:r>
      <w:r>
        <w:instrText xml:space="preserve">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w:instrText>
      </w:r>
      <w:r>
        <w:instrText xml:space="preserve">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w:instrText>
      </w:r>
      <w:r>
        <w:instrText xml:space="preserve">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w:instrText>
      </w:r>
      <w:r>
        <w:instrText xml:space="preserve">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w:instrText>
      </w:r>
      <w:r>
        <w:instrText xml:space="preserve">ysisches Hardwaresystem, das fähig ist, Serversoftware auszuführen." </w:instrText>
      </w:r>
      <w:r>
        <w:fldChar w:fldCharType="separate"/>
      </w:r>
      <w:r>
        <w:rPr>
          <w:color w:val="0563C1"/>
        </w:rPr>
        <w:t>Server</w:t>
      </w:r>
      <w:r>
        <w:fldChar w:fldCharType="end"/>
      </w:r>
      <w:r>
        <w:t>lizenz auszuführen.</w:t>
      </w:r>
    </w:p>
    <w:p w:rsidR="006514EF" w:rsidRDefault="00DD50AA">
      <w:pPr>
        <w:pStyle w:val="ProductList-Offering2Heading"/>
        <w:outlineLvl w:val="2"/>
      </w:pPr>
      <w:bookmarkStart w:id="32" w:name="_Sec546"/>
      <w:r>
        <w:t>Entwicklertools</w:t>
      </w:r>
      <w:bookmarkEnd w:id="32"/>
      <w:r>
        <w:fldChar w:fldCharType="begin"/>
      </w:r>
      <w:r>
        <w:instrText xml:space="preserve"> TC "</w:instrText>
      </w:r>
      <w:bookmarkStart w:id="33" w:name="_Toc439056284"/>
      <w:r>
        <w:instrText>Entwicklertools</w:instrText>
      </w:r>
      <w:bookmarkEnd w:id="33"/>
      <w:r>
        <w:instrText>" \l 3</w:instrText>
      </w:r>
      <w:r>
        <w:fldChar w:fldCharType="end"/>
      </w:r>
    </w:p>
    <w:p w:rsidR="006514EF" w:rsidRDefault="00DD50AA">
      <w:pPr>
        <w:pStyle w:val="ProductList-ClauseHeading"/>
        <w:outlineLvl w:val="3"/>
      </w:pPr>
      <w:r>
        <w:t>Nutzerlizenzen</w:t>
      </w:r>
    </w:p>
    <w:p w:rsidR="006514EF" w:rsidRDefault="00DD50AA">
      <w:pPr>
        <w:pStyle w:val="ProductList-Bullet"/>
        <w:numPr>
          <w:ilvl w:val="0"/>
          <w:numId w:val="20"/>
        </w:numPr>
      </w:pPr>
      <w:r>
        <w:t xml:space="preserve">Ein </w:t>
      </w:r>
      <w:r>
        <w:fldChar w:fldCharType="begin"/>
      </w:r>
      <w:r>
        <w:instrText xml:space="preserve"> AutoTextList   \s NoStyle \t "Lizenzierter Nutzer ist die jeweilige Person, der eine Lizenz zu</w:instrText>
      </w:r>
      <w:r>
        <w:instrText xml:space="preserve">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6514EF" w:rsidRDefault="00DD50AA">
      <w:pPr>
        <w:pStyle w:val="ProductList-Bullet"/>
        <w:numPr>
          <w:ilvl w:val="0"/>
          <w:numId w:val="20"/>
        </w:numPr>
      </w:pPr>
      <w:r>
        <w:fldChar w:fldCharType="begin"/>
      </w:r>
      <w:r>
        <w:instrText xml:space="preserve"> AutoTextList   \s NoStyle </w:instrText>
      </w:r>
      <w:r>
        <w:instrText xml:space="preserve">\t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w:t>
      </w:r>
      <w:r>
        <w:t xml:space="preserve"> die in Verbindung mit seinen Programmen auftreten.</w:t>
      </w:r>
    </w:p>
    <w:p w:rsidR="006514EF" w:rsidRDefault="00DD50AA">
      <w:pPr>
        <w:pStyle w:val="ProductList-Bullet"/>
        <w:numPr>
          <w:ilvl w:val="0"/>
          <w:numId w:val="20"/>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w:instrText>
      </w:r>
      <w:r>
        <w:instrText xml:space="preserve">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6514EF" w:rsidRDefault="006514EF">
      <w:pPr>
        <w:pStyle w:val="ProductList-Body"/>
      </w:pPr>
    </w:p>
    <w:p w:rsidR="006514EF" w:rsidRDefault="00DD50AA">
      <w:pPr>
        <w:pStyle w:val="ProductList-ClauseHeading"/>
        <w:outlineLvl w:val="3"/>
      </w:pPr>
      <w:r>
        <w:t>Zusätzliche Lizenzbestimmungen für MSDN-Abonne</w:t>
      </w:r>
      <w:r>
        <w:t>ments</w:t>
      </w:r>
    </w:p>
    <w:p w:rsidR="006514EF" w:rsidRDefault="00DD50AA">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w:instrText>
      </w:r>
      <w:r>
        <w:instrText xml:space="preserve">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6514EF" w:rsidRDefault="006514EF">
      <w:pPr>
        <w:pStyle w:val="ProductList-Body"/>
      </w:pPr>
    </w:p>
    <w:p w:rsidR="006514EF" w:rsidRDefault="00DD50AA">
      <w:pPr>
        <w:pStyle w:val="ProductList-SubClauseHeading"/>
        <w:outlineLvl w:val="4"/>
      </w:pPr>
      <w:r>
        <w:t>Ausführung der Software auf Microsoft Azur</w:t>
      </w:r>
      <w:r>
        <w:t>e Platform-Diensten</w:t>
      </w:r>
    </w:p>
    <w:p w:rsidR="006514EF" w:rsidRDefault="00DD50AA">
      <w:pPr>
        <w:pStyle w:val="ProductList-Bullet"/>
        <w:numPr>
          <w:ilvl w:val="1"/>
          <w:numId w:val="21"/>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w:t>
      </w:r>
      <w:r>
        <w:t>-Diensten auszuführen.</w:t>
      </w:r>
    </w:p>
    <w:p w:rsidR="006514EF" w:rsidRDefault="00DD50AA">
      <w:pPr>
        <w:pStyle w:val="ProductList-Bullet"/>
        <w:numPr>
          <w:ilvl w:val="1"/>
          <w:numId w:val="21"/>
        </w:numPr>
      </w:pPr>
      <w:r>
        <w:t>Die Nutzung der Software unterliegt weiterhin den Bestimmungen des Volumenlizenzvertrages des Kunden sowie etwaigen der Software beiliegenden Bestimmungen.</w:t>
      </w:r>
    </w:p>
    <w:p w:rsidR="006514EF" w:rsidRDefault="00DD50AA">
      <w:pPr>
        <w:pStyle w:val="ProductList-Bullet"/>
        <w:numPr>
          <w:ilvl w:val="1"/>
          <w:numId w:val="21"/>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"Lizenzierter Nutzer ist die jeweilige Person, der eine Lizenz zugew</w:instrText>
      </w:r>
      <w:r>
        <w:instrText xml:space="preserve">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w:t>
      </w:r>
      <w:r>
        <w:t xml:space="preserve">tionsverwendung berechtigt ist. </w:t>
      </w:r>
    </w:p>
    <w:p w:rsidR="006514EF" w:rsidRDefault="006514EF">
      <w:pPr>
        <w:pStyle w:val="ProductList-BodyIndented"/>
      </w:pPr>
    </w:p>
    <w:p w:rsidR="006514EF" w:rsidRDefault="00DD50AA">
      <w:pPr>
        <w:pStyle w:val="ProductList-SubClauseHeading"/>
        <w:outlineLvl w:val="4"/>
      </w:pPr>
      <w:r>
        <w:t>Zusätzliche Anforderungen</w:t>
      </w:r>
    </w:p>
    <w:p w:rsidR="006514EF" w:rsidRDefault="00DD50AA">
      <w:pPr>
        <w:pStyle w:val="ProductList-BodyIndented"/>
      </w:pPr>
      <w:r>
        <w:t>Um Software auf Microsoft Azure Platform-Diensten ausführen zu können, muss der Kunde sein MSDN-Abonnement aktivieren, indem er sein Microsoft-Account mit dem MSDN-Abonnement verknüpft.</w:t>
      </w:r>
    </w:p>
    <w:p w:rsidR="006514EF" w:rsidRDefault="006514EF">
      <w:pPr>
        <w:pStyle w:val="ProductList-BodyIndented"/>
      </w:pPr>
    </w:p>
    <w:p w:rsidR="006514EF" w:rsidRDefault="00DD50AA">
      <w:pPr>
        <w:pStyle w:val="ProductList-SubClauseHeading"/>
        <w:outlineLvl w:val="4"/>
      </w:pPr>
      <w:r>
        <w:t>Akzeptanz</w:t>
      </w:r>
      <w:r>
        <w:t>tests und Feedback</w:t>
      </w:r>
    </w:p>
    <w:p w:rsidR="006514EF" w:rsidRDefault="00DD50AA">
      <w:pPr>
        <w:pStyle w:val="ProductList-BodyIndented"/>
      </w:pPr>
      <w:r>
        <w:t>Die Endbenutzer des Kunden sind berechtigt, auf die Software zuzugreifen, um Akzeptanztests durchzuführen oder Feedback zu seinen Programmen zu geben.</w:t>
      </w:r>
    </w:p>
    <w:p w:rsidR="006514EF" w:rsidRDefault="006514EF">
      <w:pPr>
        <w:pStyle w:val="ProductList-BodyIndented"/>
      </w:pPr>
    </w:p>
    <w:p w:rsidR="006514EF" w:rsidRDefault="00DD50AA">
      <w:pPr>
        <w:pStyle w:val="ProductList-SubClauseHeading"/>
        <w:outlineLvl w:val="4"/>
      </w:pPr>
      <w:r>
        <w:t>Windows Server 2012 R2-Remotedesktopdienste</w:t>
      </w:r>
    </w:p>
    <w:p w:rsidR="006514EF" w:rsidRDefault="00DD50AA">
      <w:pPr>
        <w:pStyle w:val="ProductList-BodyIndented"/>
      </w:pPr>
      <w:r>
        <w:t>Bis zu 200 anonyme Nutzer sind gleichzeit</w:t>
      </w:r>
      <w:r>
        <w:t>ig berechtigt, das Feature „Remotedesktopdienste“ der Windows Server-Software zum Zugriff auf Onlinedemonstrationen der Programme des Kunden zu verwenden.</w:t>
      </w:r>
    </w:p>
    <w:p w:rsidR="006514EF" w:rsidRDefault="006514EF">
      <w:pPr>
        <w:pStyle w:val="ProductList-BodyIndented"/>
      </w:pPr>
    </w:p>
    <w:p w:rsidR="006514EF" w:rsidRDefault="00DD50AA">
      <w:pPr>
        <w:pStyle w:val="ProductList-SubClauseHeading"/>
        <w:outlineLvl w:val="4"/>
      </w:pPr>
      <w:r>
        <w:t>Windows Embedded-Produkte</w:t>
      </w:r>
    </w:p>
    <w:p w:rsidR="006514EF" w:rsidRDefault="00DD50AA">
      <w:pPr>
        <w:pStyle w:val="ProductList-BodyIndented"/>
      </w:pPr>
      <w:r>
        <w:t>Jedes Windows Embedded-Produkt wird unter den dazugehörigen Bestimmungen l</w:t>
      </w:r>
      <w:r>
        <w:t>izenziert, einschließlich Verpflichtungen von Microsoft im Zusammenhang mit der Verteidigung gegen Ansprüche wegen Schutzrechtsverletzung und widerrechtlicher Verwendung. Diese Bestimmungen ersetzen die entsprechenden Bestimmungen im Volumenlizenzvertrag d</w:t>
      </w:r>
      <w:r>
        <w:t xml:space="preserve">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w:t>
      </w:r>
      <w:r>
        <w:t>rät zu installieren und zu nutzen.</w:t>
      </w:r>
    </w:p>
    <w:p w:rsidR="006514EF" w:rsidRDefault="006514EF">
      <w:pPr>
        <w:pStyle w:val="ProductList-BodyIndented"/>
        <w:jc w:val="right"/>
      </w:pPr>
    </w:p>
    <w:tbl>
      <w:tblPr>
        <w:tblStyle w:val="PURTable0"/>
        <w:tblW w:w="0" w:type="dxa"/>
        <w:tblLook w:val="04A0" w:firstRow="1" w:lastRow="0" w:firstColumn="1" w:lastColumn="0" w:noHBand="0" w:noVBand="1"/>
      </w:tblPr>
      <w:tblGrid>
        <w:gridCol w:w="1044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Indented"/>
      </w:pPr>
    </w:p>
    <w:p w:rsidR="006514EF" w:rsidRDefault="006514EF">
      <w:pPr>
        <w:sectPr w:rsidR="006514EF">
          <w:headerReference w:type="default" r:id="rId36"/>
          <w:footerReference w:type="default" r:id="rId37"/>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34" w:name="_Sec547"/>
      <w:bookmarkEnd w:id="12"/>
      <w:r>
        <w:t>Software</w:t>
      </w:r>
      <w:r>
        <w:fldChar w:fldCharType="begin"/>
      </w:r>
      <w:r>
        <w:instrText xml:space="preserve"> </w:instrText>
      </w:r>
      <w:r>
        <w:instrText>TC "</w:instrText>
      </w:r>
      <w:bookmarkStart w:id="35" w:name="_Toc439056285"/>
      <w:r>
        <w:instrText>Software</w:instrText>
      </w:r>
      <w:bookmarkEnd w:id="35"/>
      <w:r>
        <w:instrText>" \l 1</w:instrText>
      </w:r>
      <w:r>
        <w:fldChar w:fldCharType="end"/>
      </w:r>
    </w:p>
    <w:p w:rsidR="006514EF" w:rsidRDefault="00DD50AA">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56286"/>
      <w:r>
        <w:instrText>Advanced Threat Analytics</w:instrText>
      </w:r>
      <w:bookmarkEnd w:id="37"/>
      <w:r>
        <w:instrText>" \l 2</w:instrText>
      </w:r>
      <w:r>
        <w:fldChar w:fldCharType="end"/>
      </w:r>
    </w:p>
    <w:p w:rsidR="006514EF" w:rsidRDefault="00DD50AA">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Client-Management-Lizenz für Advanced Threat Analytics 2016 pro OSE</w:t>
            </w:r>
            <w:r>
              <w:fldChar w:fldCharType="begin"/>
            </w:r>
            <w:r>
              <w:instrText xml:space="preserve"> XE "</w:instrText>
            </w:r>
            <w:r>
              <w:instrText xml:space="preserve">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Client-Management-Lizenz für Advanced Threat Analytics 2016 pro Nutzer</w:t>
            </w:r>
            <w:r>
              <w:fldChar w:fldCharType="begin"/>
            </w:r>
            <w:r>
              <w:instrText xml:space="preserve"> XE "</w:instrText>
            </w:r>
            <w:r>
              <w:instrText xml:space="preserve">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w:instrText>
            </w:r>
            <w:r>
              <w:instrText xml:space="preserve">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21. Beschränkungen für einzelne Länder</w:t>
      </w:r>
    </w:p>
    <w:p w:rsidR="006514EF" w:rsidRDefault="00DD50AA">
      <w:pPr>
        <w:pStyle w:val="ProductList-Body"/>
      </w:pPr>
      <w:r>
        <w:t>Der Kunde ist nicht nicht berechtigt, Advanced Threat Analytics 2016 zur Verwendung oder zum Vertrieb in der Volksrepublik China herunterzuladen.</w:t>
      </w:r>
    </w:p>
    <w:p w:rsidR="006514EF" w:rsidRDefault="00DD50AA">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w:instrText>
            </w:r>
            <w:r>
              <w:instrText xml:space="preserve">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8">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xml:space="preserve">: </w:t>
            </w:r>
            <w:r>
              <w:t>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 xml:space="preserve">3.1 </w:t>
      </w:r>
      <w:r>
        <w:t>Management-Lizenzen</w:t>
      </w:r>
    </w:p>
    <w:tbl>
      <w:tblPr>
        <w:tblStyle w:val="PURTable"/>
        <w:tblW w:w="0" w:type="dxa"/>
        <w:tblLook w:val="04A0" w:firstRow="1" w:lastRow="0" w:firstColumn="1" w:lastColumn="0" w:noHBand="0" w:noVBand="1"/>
      </w:tblPr>
      <w:tblGrid>
        <w:gridCol w:w="3610"/>
        <w:gridCol w:w="3570"/>
        <w:gridCol w:w="3610"/>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 xml:space="preserve">Management-Lizenz-äquivalente Lizenz (siehe </w:t>
            </w:r>
            <w:hyperlink w:anchor="_Sec591">
              <w:r>
                <w:rPr>
                  <w:color w:val="00467F"/>
                  <w:u w:val="single"/>
                </w:rPr>
                <w:t>Anhang A</w:t>
              </w:r>
            </w:hyperlink>
            <w:r>
              <w:t>)</w:t>
            </w:r>
          </w:p>
        </w:tc>
      </w:tr>
    </w:tbl>
    <w:p w:rsidR="006514EF" w:rsidRDefault="006514EF">
      <w:pPr>
        <w:pStyle w:val="ProductList-Body"/>
      </w:pPr>
    </w:p>
    <w:p w:rsidR="006514EF" w:rsidRDefault="00DD50AA">
      <w:pPr>
        <w:pStyle w:val="ProductList-ClauseHeading"/>
        <w:outlineLvl w:val="3"/>
      </w:pPr>
      <w:r>
        <w:t>3.2 Nutzung erfordert eine Management-Lizenz</w:t>
      </w:r>
    </w:p>
    <w:p w:rsidR="006514EF" w:rsidRDefault="00DD50AA">
      <w:pPr>
        <w:pStyle w:val="ProductList-Body"/>
      </w:pPr>
      <w:r>
        <w:fldChar w:fldCharType="begin"/>
      </w:r>
      <w:r>
        <w:instrText xml:space="preserve"> AutoTextList   \s NoStyle</w:instrText>
      </w:r>
      <w:r>
        <w:instrText xml:space="preserv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w:instrText>
      </w:r>
      <w:r>
        <w:instrText xml:space="preserve">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w:instrText>
      </w:r>
      <w:r>
        <w:instrText xml:space="preserv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w:instrText>
      </w:r>
      <w:r>
        <w:instrText xml:space="preserv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w:t>
      </w:r>
      <w:r>
        <w:t>n wird, die durch ein Active Directory authentifiziert werden, das von Advanced Threat Analytics verwaltet wird.</w:t>
      </w:r>
    </w:p>
    <w:p w:rsidR="006514EF" w:rsidRDefault="006514EF">
      <w:pPr>
        <w:pStyle w:val="ProductList-Body"/>
      </w:pPr>
    </w:p>
    <w:p w:rsidR="006514EF" w:rsidRDefault="00DD50AA">
      <w:pPr>
        <w:pStyle w:val="ProductList-ClauseHeading"/>
        <w:outlineLvl w:val="3"/>
      </w:pPr>
      <w:r>
        <w:t>3.3 Bibliotheken mit GNU Lesser General Public-Lizenz</w:t>
      </w:r>
    </w:p>
    <w:p w:rsidR="006514EF" w:rsidRDefault="00DD50A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w:t>
      </w:r>
      <w:r>
        <w:t>disassemblieren oder anderweitig zu versuchen, den Quellcode der Software Advanced Threat Analytics Server abzuleiten, und zwar ausschließlich in dem zum Debuggen von Änderungen an Bibliotheken erforderlichen Umfang, die unter der GNU Lesser General Public</w:t>
      </w:r>
      <w:r>
        <w:t>-Lizenz lizenziert und in der Software enthalten sind und von dieser verlinkt werden.</w:t>
      </w:r>
    </w:p>
    <w:p w:rsidR="006514EF" w:rsidRDefault="00DD50A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w:instrText>
            </w:r>
            <w:r>
              <w:instrText xml:space="preserve">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w:instrText>
            </w:r>
            <w:r>
              <w:instrText xml:space="preserve">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w:t>
            </w:r>
            <w: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Näheres </w:instrText>
            </w:r>
            <w:r>
              <w:instrText xml:space="preserve">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42" w:name="_Sec592"/>
      <w:r>
        <w:t>BizTalk</w:t>
      </w:r>
      <w:bookmarkEnd w:id="42"/>
      <w:r>
        <w:fldChar w:fldCharType="begin"/>
      </w:r>
      <w:r>
        <w:instrText xml:space="preserve"> TC "</w:instrText>
      </w:r>
      <w:bookmarkStart w:id="43" w:name="_Toc439056287"/>
      <w:r>
        <w:instrText>BizTalk</w:instrText>
      </w:r>
      <w:bookmarkEnd w:id="43"/>
      <w:r>
        <w:instrText>" \l 2</w:instrText>
      </w:r>
      <w:r>
        <w:fldChar w:fldCharType="end"/>
      </w:r>
    </w:p>
    <w:p w:rsidR="006514EF" w:rsidRDefault="00DD50AA">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w:instrText>
            </w:r>
            <w:r>
              <w:instrText xml:space="preserve">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514EF" w:rsidRDefault="00DD50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 xml:space="preserve">BizTalk Server 2013 </w:t>
            </w:r>
            <w:r>
              <w:rPr>
                <w:color w:val="000000"/>
              </w:rPr>
              <w:t>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4EF" w:rsidRDefault="00DD50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w:instrText>
            </w:r>
            <w:r>
              <w:instrText xml:space="preserve">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14EF" w:rsidRDefault="00DD50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6E6E6E"/>
              <w:right w:val="none" w:sz="4" w:space="0" w:color="6E6E6E"/>
            </w:tcBorders>
          </w:tcPr>
          <w:p w:rsidR="006514EF" w:rsidRDefault="00DD50AA">
            <w:pPr>
              <w:pStyle w:val="ProductList-TableBody"/>
            </w:pPr>
            <w:r>
              <w:rPr>
                <w:color w:val="000000"/>
              </w:rPr>
              <w:t xml:space="preserve">BizTalk </w:t>
            </w:r>
            <w:r>
              <w:rPr>
                <w:color w:val="000000"/>
              </w:rPr>
              <w:t>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4EF" w:rsidRDefault="00DD50A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14EF" w:rsidRDefault="006514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w:instrText>
            </w:r>
            <w:r>
              <w:instrText xml:space="preserve">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w:instrText>
            </w:r>
            <w:r>
              <w:instrText xml:space="preserve">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w:instrText>
            </w:r>
            <w:r>
              <w:instrText xml:space="preserve">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w:instrText>
            </w:r>
            <w:r>
              <w:instrText xml:space="preserve">Serversoftware berechtigt ist." </w:instrText>
            </w:r>
            <w:r>
              <w:fldChar w:fldCharType="separate"/>
            </w:r>
            <w:r>
              <w:rPr>
                <w:color w:val="0563C1"/>
              </w:rPr>
              <w:t>Zusätzliche Software</w:t>
            </w:r>
            <w:r>
              <w:fldChar w:fldCharType="end"/>
            </w:r>
            <w:r>
              <w:t>: alle Editionen (außer Developer)</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w:instrText>
            </w:r>
            <w:r>
              <w:instrText xml:space="preserve">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 xml:space="preserve">3.1 BizTalk </w:t>
      </w:r>
      <w:r>
        <w:t>Server 2013 R2 Branch und Standard Edition</w:t>
      </w:r>
    </w:p>
    <w:p w:rsidR="006514EF" w:rsidRDefault="00DD50AA">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w:t>
      </w:r>
      <w:r>
        <w:t xml:space="preserve">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w:instrText>
      </w:r>
      <w:r>
        <w:instrText xml:space="preserve">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w:instrText>
      </w:r>
      <w:r>
        <w:instrText xml:space="preserve">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6514EF" w:rsidRDefault="006514EF">
      <w:pPr>
        <w:pStyle w:val="ProductList-Body"/>
      </w:pPr>
    </w:p>
    <w:p w:rsidR="006514EF" w:rsidRDefault="00DD50AA">
      <w:pPr>
        <w:pStyle w:val="ProductList-ClauseHeading"/>
        <w:outlineLvl w:val="3"/>
      </w:pPr>
      <w:r>
        <w:t>3.2 BizTalk Server 2013 R2 Branch Edition</w:t>
      </w:r>
    </w:p>
    <w:p w:rsidR="006514EF" w:rsidRDefault="00DD50AA">
      <w:pPr>
        <w:pStyle w:val="ProductList-Body"/>
      </w:pPr>
      <w:r>
        <w:t xml:space="preserve">Der Kunde ist </w:t>
      </w:r>
      <w:r>
        <w:t xml:space="preserve">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w:t>
      </w:r>
      <w:r>
        <w:rPr>
          <w:color w:val="0563C1"/>
        </w:rPr>
        <w:t>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w:instrText>
      </w:r>
      <w:r>
        <w:instrText xml:space="preserv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w:t>
      </w:r>
      <w:r>
        <w:t xml:space="preserve">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w:instrText>
      </w:r>
      <w:r>
        <w:instrText xml:space="preserve">r Server betrachtet." </w:instrText>
      </w:r>
      <w:r>
        <w:fldChar w:fldCharType="separate"/>
      </w:r>
      <w:r>
        <w:rPr>
          <w:color w:val="0563C1"/>
        </w:rPr>
        <w:t>Lizenzierte Server</w:t>
      </w:r>
      <w:r>
        <w:fldChar w:fldCharType="end"/>
      </w:r>
      <w:r>
        <w:t xml:space="preserve"> ist nicht berechtigt:</w:t>
      </w:r>
    </w:p>
    <w:p w:rsidR="006514EF" w:rsidRDefault="00DD50AA">
      <w:pPr>
        <w:pStyle w:val="ProductList-Bullet"/>
        <w:numPr>
          <w:ilvl w:val="0"/>
          <w:numId w:val="22"/>
        </w:numPr>
      </w:pPr>
      <w:r>
        <w:t xml:space="preserve">als zentraler Knoten in einem „Hub-and-Spoke“-Netzwerkmodell zu fungieren, </w:t>
      </w:r>
    </w:p>
    <w:p w:rsidR="006514EF" w:rsidRDefault="00DD50AA">
      <w:pPr>
        <w:pStyle w:val="ProductList-Bullet"/>
        <w:numPr>
          <w:ilvl w:val="0"/>
          <w:numId w:val="22"/>
        </w:numPr>
      </w:pPr>
      <w:r>
        <w:t xml:space="preserve">die unternehmensweite Kommunikation mit anderen Servern oder Geräten zu zentralisieren oder </w:t>
      </w:r>
    </w:p>
    <w:p w:rsidR="006514EF" w:rsidRDefault="00DD50AA">
      <w:pPr>
        <w:pStyle w:val="ProductList-Bullet"/>
        <w:numPr>
          <w:ilvl w:val="0"/>
          <w:numId w:val="22"/>
        </w:numPr>
      </w:pPr>
      <w:r>
        <w:t>Geschäftsprozesse übe</w:t>
      </w:r>
      <w:r>
        <w:t>r Betriebseinheiten, Geschäftsbereiche oder Zweigstellen hinweg zu automatisieren.</w:t>
      </w:r>
    </w:p>
    <w:p w:rsidR="006514EF" w:rsidRDefault="006514EF">
      <w:pPr>
        <w:pStyle w:val="ProductList-Body"/>
      </w:pPr>
    </w:p>
    <w:p w:rsidR="006514EF" w:rsidRDefault="00DD50AA">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Schemas und Vorlagen im Zusammenhang mit BizTalk Server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BAM Ereignis-APIs und Interceptors &amp; Administrations-Tools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Entwicklungstools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MQHelper.dll</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SOAP-Empfangsadapter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UDDI</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2"/>
      </w:pPr>
      <w:bookmarkStart w:id="47" w:name="_Sec596"/>
      <w:r>
        <w:t xml:space="preserve">4. Software </w:t>
      </w:r>
      <w:r>
        <w:t>Assurance</w:t>
      </w:r>
      <w:bookmarkEnd w:id="47"/>
    </w:p>
    <w:p w:rsidR="006514EF" w:rsidRDefault="006514EF">
      <w:pPr>
        <w:pStyle w:val="ProductList-Body"/>
      </w:pPr>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w:instrText>
            </w:r>
            <w:r>
              <w:instrText xml:space="preserve">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w:instrText>
            </w:r>
            <w:r>
              <w:instrText xml:space="preserve">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w:instrText>
            </w:r>
            <w:r>
              <w:instrText>ität: Rechte von SA-Kunden entweder zum Zuweisen von Lizenzen außerhalb der Standardzeiträume oder zur Nutzung von Produkten auf mehrinstanzenfähigen Servern außerhalb ihrer eigenen Rechenzentren; weitere Informationen erhalten Sie in Anhang B im Abschnitt</w:instrText>
            </w:r>
            <w:r>
              <w:instrText xml:space="preserve">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w:instrText>
            </w:r>
            <w:r>
              <w:instrText xml:space="preserve">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4.1 Biz Talk Server 2013 R2 Enterprise – Unbegrenzte Virtualisierung</w:t>
      </w:r>
    </w:p>
    <w:p w:rsidR="006514EF" w:rsidRDefault="00DD50AA">
      <w:pPr>
        <w:pStyle w:val="ProductList-Body"/>
      </w:pPr>
      <w:r>
        <w:t xml:space="preserve">Der Kunde ist berechtigt, eine beliebige Anzahl von </w:t>
      </w:r>
      <w:r>
        <w:fldChar w:fldCharType="begin"/>
      </w:r>
      <w:r>
        <w:instrText xml:space="preserve"> AutoTextList   \s NoStyle \t "Instanz ist ein Software-Image, das durch d</w:instrText>
      </w:r>
      <w:r>
        <w:instrText xml:space="preserve">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w:instrText>
      </w:r>
      <w:r>
        <w:instrText xml:space="preserve">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w:instrText>
      </w:r>
      <w:r>
        <w:instrText xml:space="preserve">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w:t>
      </w:r>
      <w:r>
        <w:t xml:space="preserve">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w:instrText>
      </w:r>
      <w:r>
        <w:instrText xml:space="preserve">nstallieren, darauf zuzugreifen und es zu verwenden." </w:instrText>
      </w:r>
      <w:r>
        <w:fldChar w:fldCharType="separate"/>
      </w:r>
      <w:r>
        <w:rPr>
          <w:color w:val="0563C1"/>
        </w:rPr>
        <w:t>lizenzen</w:t>
      </w:r>
      <w:r>
        <w:fldChar w:fldCharType="end"/>
      </w:r>
      <w:r>
        <w:t xml:space="preserve"> für den Server verfügt.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48" w:name="_Sec597"/>
      <w:r>
        <w:t>CAL-Suites</w:t>
      </w:r>
      <w:bookmarkEnd w:id="48"/>
      <w:r>
        <w:fldChar w:fldCharType="begin"/>
      </w:r>
      <w:r>
        <w:instrText xml:space="preserve"> TC "</w:instrText>
      </w:r>
      <w:bookmarkStart w:id="49" w:name="_Toc439056288"/>
      <w:r>
        <w:instrText>CAL-Suites</w:instrText>
      </w:r>
      <w:bookmarkEnd w:id="49"/>
      <w:r>
        <w:instrText>" \l 2</w:instrText>
      </w:r>
      <w:r>
        <w:fldChar w:fldCharType="end"/>
      </w:r>
    </w:p>
    <w:p w:rsidR="006514EF" w:rsidRDefault="00DD50AA">
      <w:pPr>
        <w:pStyle w:val="ProductList-Offering1SubSection"/>
        <w:outlineLvl w:val="2"/>
      </w:pPr>
      <w:bookmarkStart w:id="50" w:name="_Sec868"/>
      <w:r>
        <w:t xml:space="preserve">1. </w:t>
      </w:r>
      <w:r>
        <w:t>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w:t>
            </w:r>
            <w:r>
              <w:rPr>
                <w:color w:val="FFFFFF"/>
              </w:rPr>
              <w:t>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Core CAL Suite Bridge für Office 365 und Microsoft Intune</w:t>
            </w:r>
            <w:r>
              <w:fldChar w:fldCharType="begin"/>
            </w:r>
            <w:r>
              <w:instrText xml:space="preserve"> XE "</w:instrText>
            </w:r>
            <w:r>
              <w:instrText xml:space="preserve">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w:instrText>
            </w:r>
            <w:r>
              <w:instrText xml:space="preserve">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Suite Bridge für Office 365 und Microsoft Intune</w:t>
            </w:r>
            <w:r>
              <w:fldChar w:fldCharType="begin"/>
            </w:r>
            <w:r>
              <w:instrText xml:space="preserve"> XE "</w:instrText>
            </w:r>
            <w:r>
              <w:instrText xml:space="preserve">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Enterprise CAL Bridge für Enterprise Mobility Suite von SA</w:t>
            </w:r>
            <w:r>
              <w:fldChar w:fldCharType="begin"/>
            </w:r>
            <w:r>
              <w:instrText xml:space="preserve"> XE "Enterprise CAL Bridge für Enterprise Mobility Suite</w:instrText>
            </w:r>
            <w:r>
              <w:instrText xml:space="preserv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6514EF">
      <w:pPr>
        <w:pStyle w:val="ProductList-Body"/>
      </w:pPr>
    </w:p>
    <w:p w:rsidR="006514EF" w:rsidRDefault="00DD50AA">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w:instrText>
            </w:r>
            <w:r>
              <w:instrText xml:space="preserve">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 xml:space="preserve">2.1 Vorgang </w:t>
      </w:r>
      <w:r>
        <w:t>zur Bestimmung der für CAL-Suites geltenden Nutzungsrechte</w:t>
      </w:r>
    </w:p>
    <w:p w:rsidR="006514EF" w:rsidRDefault="00DD50AA">
      <w:pPr>
        <w:pStyle w:val="ProductList-Body"/>
      </w:pPr>
      <w:r>
        <w:t>Eine Lizenz für CAL-Suite hat keine Versionsnummer, und die Zugriffsrechte hängen vom Status der SA dafür ab. Falls Software Assurance ausläuft, hängen die Zugriffsrechte im Rahmen zeitlich unbesch</w:t>
      </w:r>
      <w:r>
        <w:t>ränkter Lizenzen von den Nutzungsrechten für die Versionen ab, die vor der Unterbrechung galten.</w:t>
      </w:r>
    </w:p>
    <w:p w:rsidR="006514EF" w:rsidRDefault="006514EF">
      <w:pPr>
        <w:pStyle w:val="ProductList-Body"/>
      </w:pPr>
    </w:p>
    <w:p w:rsidR="006514EF" w:rsidRDefault="00DD50AA">
      <w:pPr>
        <w:pStyle w:val="ProductList-ClauseHeading"/>
        <w:outlineLvl w:val="3"/>
      </w:pPr>
      <w:r>
        <w:t>2.2 Komponenten von CAL Suite</w:t>
      </w:r>
    </w:p>
    <w:p w:rsidR="006514EF" w:rsidRDefault="00DD50AA">
      <w:pPr>
        <w:pStyle w:val="ProductList-Body"/>
      </w:pPr>
      <w:r>
        <w:t>Die aktuellen Komponenten der Core CAL Suite und der Enterprise CAL Suite finden Sie im Diagramm „CAL-/Management-Lizenz-äquival</w:t>
      </w:r>
      <w:r>
        <w:t xml:space="preserve">ente Lizenzen“ in </w:t>
      </w:r>
      <w:hyperlink w:anchor="_Sec591">
        <w:r>
          <w:rPr>
            <w:color w:val="00467F"/>
            <w:u w:val="single"/>
          </w:rPr>
          <w:t>Anhang A</w:t>
        </w:r>
      </w:hyperlink>
      <w:r>
        <w:t>.</w:t>
      </w:r>
    </w:p>
    <w:p w:rsidR="006514EF" w:rsidRDefault="006514EF">
      <w:pPr>
        <w:pStyle w:val="ProductList-Body"/>
      </w:pPr>
    </w:p>
    <w:p w:rsidR="006514EF" w:rsidRDefault="00DD50AA">
      <w:pPr>
        <w:pStyle w:val="ProductList-ClauseHeading"/>
        <w:outlineLvl w:val="3"/>
      </w:pPr>
      <w:r>
        <w:t>2.3 In Enterprise CAL Suite enthaltene Onlinedienste</w:t>
      </w:r>
    </w:p>
    <w:p w:rsidR="006514EF" w:rsidRDefault="00DD50AA">
      <w:pPr>
        <w:pStyle w:val="ProductList-Body"/>
      </w:pPr>
      <w:r>
        <w:t>Enterprise CAL Suite mit aktiver Software Assurance beinhaltet außerdem die Rechte zur Exchange Online-Archivierung für Exchange Server</w:t>
      </w:r>
      <w:r>
        <w:fldChar w:fldCharType="begin"/>
      </w:r>
      <w:r>
        <w:instrText xml:space="preserve"> XE "Exch</w:instrText>
      </w:r>
      <w:r>
        <w:instrText xml:space="preserve">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w:t>
      </w:r>
      <w:r>
        <w:t>nd die Nutzung der in Enterprise CAL Suite enthaltenen Onlinedienste den Ergänzenden Bestimmungen für mit der Software verwendete Onlinedienste – ältere Verträge finden Sie in Anhang A – genauer den ergänzenden Bestimmungen des Programmvertrags in der Prod</w:t>
      </w:r>
      <w:r>
        <w:t>uktliste Juni 2015 (</w:t>
      </w:r>
      <w:hyperlink r:id="rId40">
        <w:r>
          <w:rPr>
            <w:color w:val="00467F"/>
            <w:u w:val="single"/>
          </w:rPr>
          <w:t>http://go.microsoft.com/?linkid=9839207</w:t>
        </w:r>
      </w:hyperlink>
      <w:r>
        <w:t>).</w:t>
      </w:r>
    </w:p>
    <w:p w:rsidR="006514EF" w:rsidRDefault="006514EF">
      <w:pPr>
        <w:pStyle w:val="ProductList-Body"/>
      </w:pPr>
    </w:p>
    <w:p w:rsidR="006514EF" w:rsidRDefault="00DD50AA">
      <w:pPr>
        <w:pStyle w:val="ProductList-ClauseHeading"/>
        <w:outlineLvl w:val="3"/>
      </w:pPr>
      <w:r>
        <w:t>2.4 CAL Suite Bridge für O365, für O365 &amp; Intune und für Intune</w:t>
      </w:r>
    </w:p>
    <w:p w:rsidR="006514EF" w:rsidRDefault="00DD50AA">
      <w:pPr>
        <w:pStyle w:val="ProductList-SubClauseHeading"/>
        <w:outlineLvl w:val="4"/>
      </w:pPr>
      <w:r>
        <w:t>2.4.1 Anforderungen für CAL Suite Bridges</w:t>
      </w:r>
    </w:p>
    <w:p w:rsidR="006514EF" w:rsidRDefault="00DD50AA">
      <w:pPr>
        <w:pStyle w:val="ProductList-BodyIndented"/>
      </w:pPr>
      <w:r>
        <w:t>Eine CAL Suite Bridge ist mö</w:t>
      </w:r>
      <w:r>
        <w:t>glicherweise bei einem Übergang von einer CAL-Suite zu einer vergleichbaren Kombination aus Software und Onlinediensten erforderlich. Wenn für einen Übergang eine CAL Suite Bridge erforderlich ist, muss die Anzahl der Nutzer-ALs für CAL Suite Bridges der A</w:t>
      </w:r>
      <w:r>
        <w:t>nzahl der Nutzer-ALs für den qualifizierenden Onlinedienst entsprechen.</w:t>
      </w:r>
    </w:p>
    <w:p w:rsidR="006514EF" w:rsidRDefault="006514EF">
      <w:pPr>
        <w:pStyle w:val="ProductList-BodyIndented"/>
      </w:pPr>
    </w:p>
    <w:p w:rsidR="006514EF" w:rsidRDefault="00DD50AA">
      <w:pPr>
        <w:pStyle w:val="ProductList-BodyIndented"/>
      </w:pPr>
      <w:r>
        <w:t>Eine CAL Suite Bridge ist ein Konzernprodukt und darf nur in Verbindung mit ihrem qualifizierenden Onlinedienst lizenziert werden, um die organisationsweite Anforderung dieser CAL Sui</w:t>
      </w:r>
      <w:r>
        <w:t>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Onlinedienste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E1</w:t>
            </w:r>
            <w:r>
              <w:fldChar w:fldCharType="begin"/>
            </w:r>
            <w:r>
              <w:instrText xml:space="preserve"> XE "Office 365 Enterprise E1" </w:instrText>
            </w:r>
            <w:r>
              <w:fldChar w:fldCharType="end"/>
            </w:r>
            <w:r>
              <w:t xml:space="preserve"> oder </w:t>
            </w:r>
            <w:r>
              <w:t>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E1 und Microsoft Intune</w:t>
            </w:r>
            <w:r>
              <w:fldChar w:fldCharType="begin"/>
            </w:r>
            <w:r>
              <w:instrText xml:space="preserve"> XE "Office 365 En</w:instrText>
            </w:r>
            <w:r>
              <w:instrText xml:space="preserve">terprise E1 und Microsoft Intune" </w:instrText>
            </w:r>
            <w:r>
              <w:fldChar w:fldCharType="end"/>
            </w:r>
            <w:r>
              <w:t xml:space="preserve"> oder</w:t>
            </w:r>
          </w:p>
          <w:p w:rsidR="006514EF" w:rsidRDefault="00DD50A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6514EF" w:rsidRDefault="00DD50AA">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w:t>
            </w:r>
            <w:r>
              <w:t xml:space="preserve">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Intune</w:t>
            </w:r>
            <w:r>
              <w:fldChar w:fldCharType="begin"/>
            </w:r>
            <w:r>
              <w:instrText xml:space="preserve"> XE "Microsoft Intune"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Mobility Suite</w:t>
            </w:r>
            <w:r>
              <w:fldChar w:fldCharType="begin"/>
            </w:r>
            <w:r>
              <w:instrText xml:space="preserve"> XE "Enterprise Mobility Suite"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Of</w:t>
            </w:r>
            <w:r>
              <w:t>fice 365*</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E3</w:t>
            </w:r>
            <w:r>
              <w:fldChar w:fldCharType="begin"/>
            </w:r>
            <w:r>
              <w:instrText xml:space="preserve"> XE "Office 365 Enterprise E3" </w:instrText>
            </w:r>
            <w:r>
              <w:fldChar w:fldCharType="end"/>
            </w:r>
            <w:r>
              <w:t xml:space="preserve"> oder</w:t>
            </w:r>
          </w:p>
          <w:p w:rsidR="006514EF" w:rsidRDefault="00DD50AA">
            <w:pPr>
              <w:pStyle w:val="ProductList-TableBody"/>
            </w:pPr>
            <w:r>
              <w:t>Office 365 Enterprise E4</w:t>
            </w:r>
            <w:r>
              <w:fldChar w:fldCharType="begin"/>
            </w:r>
            <w:r>
              <w:instrText xml:space="preserve"> XE "Office 365 Enterprise E4"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6514EF" w:rsidRDefault="00DD50AA">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w:t>
            </w:r>
            <w:r>
              <w:t>nterprise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Intune</w:t>
            </w:r>
            <w:r>
              <w:fldChar w:fldCharType="begin"/>
            </w:r>
            <w:r>
              <w:instrText xml:space="preserve"> XE "Microsoft Intune" </w:instrText>
            </w:r>
            <w:r>
              <w:fldChar w:fldCharType="end"/>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Mobility Suite</w:t>
            </w:r>
            <w:r>
              <w:fldChar w:fldCharType="begin"/>
            </w:r>
            <w:r>
              <w:instrText xml:space="preserve"> XE "Enterprise Mobility Suite" </w:instrText>
            </w:r>
            <w:r>
              <w:fldChar w:fldCharType="end"/>
            </w:r>
          </w:p>
        </w:tc>
      </w:tr>
    </w:tbl>
    <w:p w:rsidR="006514EF" w:rsidRDefault="00DD50AA">
      <w:pPr>
        <w:pStyle w:val="ProductList-BodyIndented"/>
      </w:pPr>
      <w:r>
        <w:rPr>
          <w:i/>
        </w:rPr>
        <w:t>*Für Nutzer-ALs aus SA für CAL Suite Bridge ist eine</w:t>
      </w:r>
      <w:r>
        <w:rPr>
          <w:i/>
        </w:rPr>
        <w:t xml:space="preserve"> vollständig bezahlte, zeitlich unbeschränkte Lizenz mit aktiver SA für die äquivalente übergeordnete CAL Suite erforderlich.</w:t>
      </w:r>
    </w:p>
    <w:p w:rsidR="006514EF" w:rsidRDefault="006514EF">
      <w:pPr>
        <w:pStyle w:val="ProductList-BodyIndented"/>
      </w:pPr>
    </w:p>
    <w:p w:rsidR="006514EF" w:rsidRDefault="00DD50AA">
      <w:pPr>
        <w:pStyle w:val="ProductList-SubClauseHeading"/>
        <w:outlineLvl w:val="4"/>
      </w:pPr>
      <w:r>
        <w:t>2.4.2 CALs für Studenten (Open- und Select-Lizenz für Forschung &amp; Lehre)</w:t>
      </w:r>
    </w:p>
    <w:p w:rsidR="006514EF" w:rsidRDefault="00DD50AA">
      <w:pPr>
        <w:pStyle w:val="ProductList-BodyIndented"/>
      </w:pPr>
      <w:r>
        <w:t xml:space="preserve">CALs für Studenten dienen nur der Lizenzierung von PCs, </w:t>
      </w:r>
      <w:r>
        <w:t>die Studenten oder Einrichtungen gehören und die ausschließlich für die individuelle studentische Nutzung und nicht für die Nutzung in einem Labor oder Hörsaal bestimmt sind.</w:t>
      </w:r>
    </w:p>
    <w:p w:rsidR="006514EF" w:rsidRDefault="006514EF">
      <w:pPr>
        <w:pStyle w:val="ProductList-BodyIndented"/>
      </w:pPr>
    </w:p>
    <w:p w:rsidR="006514EF" w:rsidRDefault="00DD50AA">
      <w:pPr>
        <w:pStyle w:val="ProductList-SubClauseHeading"/>
        <w:outlineLvl w:val="4"/>
      </w:pPr>
      <w:r>
        <w:t>2.4.3 Übergänge</w:t>
      </w:r>
    </w:p>
    <w:p w:rsidR="006514EF" w:rsidRDefault="00DD50AA">
      <w:pPr>
        <w:pStyle w:val="ProductList-BodyIndented"/>
      </w:pPr>
      <w:r>
        <w:t xml:space="preserve">Nachstehend werden Übergangsoptionen für Kunden aufgeführt, die </w:t>
      </w:r>
      <w:r>
        <w:t xml:space="preserve">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170"/>
        <w:gridCol w:w="5260"/>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Gültige Übergangsoptionen</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und Government E1, E3, E4)*, Microsoft Intune, Enterprise Mobility Suite</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und Government E3, E4)*, Microsoft Intune, Enterprise Mobility Suite</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w:t>
            </w:r>
            <w:r>
              <w:t>ffice 365 (Enterprise &amp; Government E3, E4)*</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&amp; Government E3, E4)*</w:t>
            </w:r>
          </w:p>
        </w:tc>
      </w:tr>
    </w:tbl>
    <w:p w:rsidR="006514EF" w:rsidRDefault="00DD50AA">
      <w:pPr>
        <w:pStyle w:val="ProductList-BodyIndented"/>
      </w:pPr>
      <w:r>
        <w:rPr>
          <w:i/>
        </w:rPr>
        <w:t>* Dieser Übergang erfordert die entsprechende CAL Suite Bridge.</w:t>
      </w:r>
    </w:p>
    <w:p w:rsidR="006514EF" w:rsidRDefault="00DD50AA">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w:instrText>
            </w:r>
            <w:r>
              <w:instrText xml:space="preserve">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w:instrText>
            </w:r>
            <w:r>
              <w:instrText xml:space="preserve">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w:t>
            </w:r>
            <w:r>
              <w:rPr>
                <w:color w:val="404040"/>
              </w:rPr>
              <w:t>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p w:rsidR="006514EF" w:rsidRDefault="00DD50AA">
      <w:pPr>
        <w:pStyle w:val="ProductList-ClauseHeading"/>
        <w:outlineLvl w:val="3"/>
      </w:pPr>
      <w:r>
        <w:t>4.1 Erweiterte Nutzungsrechte für Enterprise Cloud Suite-Kunden</w:t>
      </w:r>
    </w:p>
    <w:p w:rsidR="006514EF" w:rsidRDefault="00DD50AA">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w:t>
      </w:r>
      <w:r>
        <w:t>eitritts- oder Konzern-Abonnementbeitrittskunden, die zum 30. November 2014 über aktive Software Assurance für die Enterprise CAL Suite verfügen.</w:t>
      </w:r>
    </w:p>
    <w:p w:rsidR="006514EF" w:rsidRDefault="006514EF">
      <w:pPr>
        <w:pStyle w:val="ProductList-Body"/>
      </w:pPr>
    </w:p>
    <w:p w:rsidR="006514EF" w:rsidRDefault="00DD50AA">
      <w:pPr>
        <w:pStyle w:val="ProductList-Body"/>
      </w:pPr>
      <w:r>
        <w:t>Wenn ein qualifizierter Kunde einen Übergang für alle seine CAL Enterprise Suite-Lizenzen durchführt, sind Nu</w:t>
      </w:r>
      <w:r>
        <w:t>tzer, die für Enterprise Cloud Suite oder die Kombination aus Office 365 und Enterprise Mobility Suite lizenziert sind, berechtigt, weiterhin auf Exchange Online-Archivierung für Exchange Server zuzugreifen.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56289"/>
      <w:r>
        <w:instrText>Core Infrastructure Server (CIS) Suite</w:instrText>
      </w:r>
      <w:bookmarkEnd w:id="55"/>
      <w:r>
        <w:instrText>" \l 2</w:instrText>
      </w:r>
      <w:r>
        <w:fldChar w:fldCharType="end"/>
      </w:r>
    </w:p>
    <w:p w:rsidR="006514EF" w:rsidRDefault="00DD50AA">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Core Infrastructure Server Suite Standard</w:t>
            </w:r>
            <w:r>
              <w:fldChar w:fldCharType="begin"/>
            </w:r>
            <w:r>
              <w:instrText xml:space="preserve"> XE "Co</w:instrText>
            </w:r>
            <w:r>
              <w:instrText xml:space="preserve">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2"/>
      </w:pPr>
      <w:bookmarkStart w:id="57" w:name="_Sec604"/>
      <w:r>
        <w:t xml:space="preserve">2. </w:t>
      </w:r>
      <w:r>
        <w:t>Produktbedingungen</w:t>
      </w:r>
      <w:bookmarkEnd w:id="57"/>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w:instrText>
            </w:r>
            <w:r>
              <w:instrText xml:space="preserve">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w:instrText>
            </w:r>
            <w:r>
              <w:instrText xml:space="preserve">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3.1 Anwendbare Nutzungsrechte</w:t>
      </w:r>
    </w:p>
    <w:p w:rsidR="006514EF" w:rsidRDefault="00DD50AA">
      <w:pPr>
        <w:pStyle w:val="ProductList-Body"/>
      </w:pPr>
      <w:r>
        <w:t>Für den Zugriff und die Verwendung von CIS-Software durch den Kunden gelten die anwendbaren Lizenzbestimmungen für die e</w:t>
      </w:r>
      <w:r>
        <w:t xml:space="preserv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w:t>
      </w:r>
      <w:r>
        <w:t xml:space="preserve">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w:instrText>
      </w:r>
      <w:r>
        <w:instrText xml:space="preserve">n physisches Hardwaresystem, das fähig ist, Serversoftware auszuführen." </w:instrText>
      </w:r>
      <w:r>
        <w:fldChar w:fldCharType="separate"/>
      </w:r>
      <w:r>
        <w:rPr>
          <w:color w:val="0563C1"/>
        </w:rPr>
        <w:t>Server</w:t>
      </w:r>
      <w:r>
        <w:fldChar w:fldCharType="end"/>
      </w:r>
      <w:r>
        <w:t>, auf dem er die CIS-Software ausführt, lizenzieren.</w:t>
      </w:r>
    </w:p>
    <w:p w:rsidR="006514EF" w:rsidRDefault="006514EF">
      <w:pPr>
        <w:pStyle w:val="ProductList-Body"/>
      </w:pPr>
    </w:p>
    <w:p w:rsidR="006514EF" w:rsidRDefault="00DD50AA">
      <w:pPr>
        <w:pStyle w:val="ProductList-ClauseHeading"/>
        <w:outlineLvl w:val="3"/>
      </w:pPr>
      <w:r>
        <w:t>3.2 In CIS Suite Standard enthaltene Software</w:t>
      </w:r>
    </w:p>
    <w:p w:rsidR="006514EF" w:rsidRDefault="00DD50AA">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w:instrText>
      </w:r>
      <w:r>
        <w:instrText xml:space="preserv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w:instrText>
      </w:r>
      <w:r>
        <w:instrText xml:space="preserve">rdwarepartition oder ein Blade als separater Server betrachtet." </w:instrText>
      </w:r>
      <w:r>
        <w:fldChar w:fldCharType="separate"/>
      </w:r>
      <w:r>
        <w:rPr>
          <w:color w:val="0563C1"/>
        </w:rPr>
        <w:t>Lizenzierten Server</w:t>
      </w:r>
      <w:r>
        <w:fldChar w:fldCharType="end"/>
      </w:r>
      <w:r>
        <w:t xml:space="preserve"> gleichzeitig Folgendes ausführen: </w:t>
      </w:r>
    </w:p>
    <w:p w:rsidR="006514EF" w:rsidRDefault="00DD50AA">
      <w:pPr>
        <w:pStyle w:val="ProductList-Bullet"/>
        <w:numPr>
          <w:ilvl w:val="0"/>
          <w:numId w:val="23"/>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w:instrText>
      </w:r>
      <w:r>
        <w:instrText xml:space="preserve">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6514EF" w:rsidRDefault="00DD50AA">
      <w:pPr>
        <w:pStyle w:val="ProductList-Bullet"/>
        <w:numPr>
          <w:ilvl w:val="0"/>
          <w:numId w:val="23"/>
        </w:numPr>
      </w:pPr>
      <w:r>
        <w:t xml:space="preserve">eine Instanz von Windows Server Standard in jeweils bis zu zwei </w:t>
      </w:r>
      <w:r>
        <w:fldChar w:fldCharType="begin"/>
      </w:r>
      <w:r>
        <w:instrText xml:space="preserve"> AutoTextList   \s NoStyle \t "Virtuelle OSE ist eine OSE, die f</w:instrText>
      </w:r>
      <w:r>
        <w:instrText xml:space="preserve">ür die Ausführung in einem virtuellen Hardwaresystem konfiguriert ist." </w:instrText>
      </w:r>
      <w:r>
        <w:fldChar w:fldCharType="separate"/>
      </w:r>
      <w:r>
        <w:rPr>
          <w:color w:val="0563C1"/>
        </w:rPr>
        <w:t>Virtuellen OSEs</w:t>
      </w:r>
      <w:r>
        <w:fldChar w:fldCharType="end"/>
      </w:r>
    </w:p>
    <w:p w:rsidR="006514EF" w:rsidRDefault="00DD50AA">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w:instrText>
      </w:r>
      <w:r>
        <w:instrText xml:space="preserv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w:instrText>
      </w:r>
      <w:r>
        <w:instrText>t ist, dass sie direkt auf einem physischen Hardwaresystem ausgeführt wird. Die Betriebssysteminstanz, die für die Ausführung der Hardware-Virtualisierungssoftware oder zur Bereitstellung von Hardware-Virtualisierungsdiensten verwendet wird, gilt als Besta</w:instrText>
      </w:r>
      <w:r>
        <w:instrText xml:space="preserve">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w:t>
      </w:r>
      <w:r>
        <w:t>ndet werden.</w:t>
      </w:r>
    </w:p>
    <w:p w:rsidR="006514EF" w:rsidRDefault="006514EF">
      <w:pPr>
        <w:pStyle w:val="ProductList-Body"/>
      </w:pPr>
    </w:p>
    <w:p w:rsidR="006514EF" w:rsidRDefault="00DD50AA">
      <w:pPr>
        <w:pStyle w:val="ProductList-ClauseHeading"/>
        <w:outlineLvl w:val="3"/>
      </w:pPr>
      <w:r>
        <w:t>3.3 In CIS Suite Datacenter enthaltene Software</w:t>
      </w:r>
    </w:p>
    <w:p w:rsidR="006514EF" w:rsidRDefault="00DD50AA">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w:instrText>
      </w:r>
      <w:r>
        <w:instrText xml:space="preserve">"Ausgeführte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w:t>
      </w:r>
      <w:r>
        <w:t xml:space="preserve">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w:instrText>
      </w:r>
      <w:r>
        <w:instrText xml:space="preserve">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w:instrText>
      </w:r>
      <w:r>
        <w:instrText xml:space="preserve">ls separater Server betrachtet." </w:instrText>
      </w:r>
      <w:r>
        <w:fldChar w:fldCharType="separate"/>
      </w:r>
      <w:r>
        <w:rPr>
          <w:color w:val="0563C1"/>
        </w:rPr>
        <w:t>Lizenzierten Server</w:t>
      </w:r>
      <w:r>
        <w:fldChar w:fldCharType="end"/>
      </w:r>
      <w:r>
        <w:t xml:space="preserve"> mit CIS Suite Datacenter zu verwenden.</w:t>
      </w:r>
    </w:p>
    <w:p w:rsidR="006514EF" w:rsidRDefault="006514EF">
      <w:pPr>
        <w:pStyle w:val="ProductList-Body"/>
      </w:pPr>
    </w:p>
    <w:p w:rsidR="006514EF" w:rsidRDefault="00DD50AA">
      <w:pPr>
        <w:pStyle w:val="ProductList-ClauseHeading"/>
        <w:outlineLvl w:val="3"/>
      </w:pPr>
      <w:r>
        <w:t>3.4 Management-Lizenzen</w:t>
      </w:r>
    </w:p>
    <w:p w:rsidR="006514EF" w:rsidRDefault="00DD50AA">
      <w:pPr>
        <w:pStyle w:val="ProductList-Body"/>
      </w:pPr>
      <w:r>
        <w:t>Im Sinne der Anwendung der Lizenzbestimmungen für System Center auf die Verwendung der CIS-Software durch den Kunden wird davon ausgegan</w:t>
      </w:r>
      <w:r>
        <w:t>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w:instrText>
      </w:r>
      <w:r>
        <w:instrText xml:space="preserve">uzugreifen und es zu verwenden." </w:instrText>
      </w:r>
      <w:r>
        <w:fldChar w:fldCharType="separate"/>
      </w:r>
      <w:r>
        <w:rPr>
          <w:color w:val="0563C1"/>
        </w:rPr>
        <w:t>Lizenzen</w:t>
      </w:r>
      <w:r>
        <w:fldChar w:fldCharType="end"/>
      </w:r>
      <w:r>
        <w:t xml:space="preserve"> entsprechen.</w:t>
      </w:r>
    </w:p>
    <w:p w:rsidR="006514EF" w:rsidRDefault="006514EF">
      <w:pPr>
        <w:pStyle w:val="ProductList-Body"/>
      </w:pPr>
    </w:p>
    <w:p w:rsidR="006514EF" w:rsidRDefault="00DD50AA">
      <w:pPr>
        <w:pStyle w:val="ProductList-ClauseHeading"/>
        <w:outlineLvl w:val="3"/>
      </w:pPr>
      <w:r>
        <w:t>3.5 Zusätzliche Bestimmungen</w:t>
      </w:r>
    </w:p>
    <w:p w:rsidR="006514EF" w:rsidRDefault="00DD50AA">
      <w:pPr>
        <w:pStyle w:val="ProductList-Body"/>
      </w:pPr>
      <w:r>
        <w:t>Der Kunde ist berechtigt, eine frühere Version oder eine Down-Edition der in der CIS Suite enthaltenen einzelnen Produkte wie in den Lizenzbestimmungen für das jeweilig</w:t>
      </w:r>
      <w:r>
        <w:t>e Produkt gemäß den Produktbestimmungen vorgesehen auszuführen.</w:t>
      </w:r>
    </w:p>
    <w:p w:rsidR="006514EF" w:rsidRDefault="006514EF">
      <w:pPr>
        <w:pStyle w:val="ProductList-Body"/>
      </w:pPr>
    </w:p>
    <w:p w:rsidR="006514EF" w:rsidRDefault="00DD50AA">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w:instrText>
      </w:r>
      <w:r>
        <w:instrText xml:space="preserve">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w:instrText>
      </w:r>
      <w:r>
        <w:instrText xml:space="preserve">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w:instrText>
      </w:r>
      <w:r>
        <w:instrText xml:space="preserve">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6514EF" w:rsidRDefault="006514EF">
      <w:pPr>
        <w:pStyle w:val="ProductList-Body"/>
      </w:pPr>
    </w:p>
    <w:p w:rsidR="006514EF" w:rsidRDefault="00DD50AA">
      <w:pPr>
        <w:pStyle w:val="ProductList-ClauseHeading"/>
        <w:outlineLvl w:val="3"/>
      </w:pPr>
      <w:r>
        <w:t>3.6 Besonderes Dow</w:t>
      </w:r>
      <w:r>
        <w:t>ngraderecht – Core Infrastructure Server Suite Standard</w:t>
      </w:r>
    </w:p>
    <w:p w:rsidR="006514EF" w:rsidRDefault="00DD50AA">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w:instrText>
      </w:r>
      <w:r>
        <w:instrText xml:space="preserv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w:instrText>
      </w:r>
      <w:r>
        <w:instrText xml:space="preserve"> Standard" </w:instrText>
      </w:r>
      <w:r>
        <w:fldChar w:fldCharType="end"/>
      </w:r>
      <w:r>
        <w:t xml:space="preserve"> auszuführen.</w:t>
      </w:r>
    </w:p>
    <w:p w:rsidR="006514EF" w:rsidRDefault="00DD50A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w:instrText>
            </w:r>
            <w:r>
              <w:instrText xml:space="preserve">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w:instrText>
            </w:r>
            <w:r>
              <w:instrText xml:space="preserv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 xml:space="preserve">4.1 Verlängerungsangebot für Software Assurance für Windows </w:t>
      </w:r>
      <w:r>
        <w:t>Server und System Center</w:t>
      </w:r>
    </w:p>
    <w:p w:rsidR="006514EF" w:rsidRDefault="00DD50AA">
      <w:pPr>
        <w:pStyle w:val="ProductList-Body"/>
      </w:pPr>
      <w:r>
        <w:t>Kunden, die über Lizenzen mit aktiver SA für Produkte in Spalte A der nachfolgenden Tabelle verfügen, sind berechtigt, nach Ablauf dieser SA Software Assurance für die entsprechende CIS Suite in Spalte B zu erwerben, ohne die zugru</w:t>
      </w:r>
      <w:r>
        <w:t xml:space="preserve">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Spalte B</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Server Standard</w:t>
            </w:r>
            <w:r>
              <w:fldChar w:fldCharType="begin"/>
            </w:r>
            <w:r>
              <w:instrText xml:space="preserve"> XE "Windows Server</w:instrText>
            </w:r>
            <w:r>
              <w:instrText xml:space="preserve"> Standard" </w:instrText>
            </w:r>
            <w:r>
              <w:fldChar w:fldCharType="end"/>
            </w:r>
          </w:p>
          <w:p w:rsidR="006514EF" w:rsidRDefault="00DD50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Suite Standard</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Server Datacenter</w:t>
            </w:r>
            <w:r>
              <w:fldChar w:fldCharType="begin"/>
            </w:r>
            <w:r>
              <w:instrText xml:space="preserve"> XE "Windows Server Datacenter" </w:instrText>
            </w:r>
            <w:r>
              <w:fldChar w:fldCharType="end"/>
            </w:r>
          </w:p>
          <w:p w:rsidR="006514EF" w:rsidRDefault="00DD50A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Suite Datacenter</w:t>
            </w:r>
          </w:p>
        </w:tc>
      </w:tr>
    </w:tbl>
    <w:p w:rsidR="006514EF" w:rsidRDefault="00DD50AA">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w:t>
      </w:r>
      <w:r>
        <w:t xml:space="preserve">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w:instrText>
      </w:r>
      <w:r>
        <w:instrText xml:space="preserve">"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w:instrText>
      </w:r>
      <w:r>
        <w:instrText xml:space="preserv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w:instrText>
      </w:r>
      <w:r>
        <w:instrText xml:space="preserve">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6514EF" w:rsidRDefault="006514EF">
      <w:pPr>
        <w:pStyle w:val="ProductList-Body"/>
      </w:pPr>
    </w:p>
    <w:p w:rsidR="006514EF" w:rsidRDefault="00DD50AA">
      <w:pPr>
        <w:pStyle w:val="ProductList-ClauseHeading"/>
        <w:outlineLvl w:val="3"/>
      </w:pPr>
      <w:r>
        <w:t>4.2 Software Assurance-Rechte und -Vergünstigungen für Abonnementlizenzen</w:t>
      </w:r>
    </w:p>
    <w:p w:rsidR="006514EF" w:rsidRDefault="00DD50AA">
      <w:pPr>
        <w:pStyle w:val="ProductList-Body"/>
      </w:pPr>
      <w:r>
        <w:t>Jede Abonnementlizenz, die der Kunde unter einem Ser</w:t>
      </w:r>
      <w:r>
        <w:t>ver- und Cloud-Beitritt erwirbt, gewährt dieselben SA-Rechte und -Vergünstigungen wie die Lizenzen mit Software Assurance während der Abonnementlaufzeit.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60" w:name="_Sec862"/>
      <w:r>
        <w:t>Forefront</w:t>
      </w:r>
      <w:bookmarkEnd w:id="60"/>
      <w:r>
        <w:fldChar w:fldCharType="begin"/>
      </w:r>
      <w:r>
        <w:instrText xml:space="preserve"> TC "</w:instrText>
      </w:r>
      <w:bookmarkStart w:id="61" w:name="_Toc439056290"/>
      <w:r>
        <w:instrText>Forefront</w:instrText>
      </w:r>
      <w:bookmarkEnd w:id="61"/>
      <w:r>
        <w:instrText>" \l 2</w:instrText>
      </w:r>
      <w:r>
        <w:fldChar w:fldCharType="end"/>
      </w:r>
    </w:p>
    <w:p w:rsidR="006514EF" w:rsidRDefault="00DD50AA">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14EF" w:rsidRDefault="00DD50AA">
            <w:pPr>
              <w:pStyle w:val="ProductList-TableBody"/>
              <w:jc w:val="center"/>
            </w:pPr>
            <w:r>
              <w:fldChar w:fldCharType="begin"/>
            </w:r>
            <w:r>
              <w:instrText xml:space="preserve"> AutoTextLi</w:instrText>
            </w:r>
            <w:r>
              <w:instrText xml:space="preserve">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BFBFBF"/>
              <w:bottom w:val="none" w:sz="4" w:space="0" w:color="BFBFBF"/>
              <w:right w:val="none" w:sz="4" w:space="0" w:color="6E6E6E"/>
            </w:tcBorders>
          </w:tcPr>
          <w:p w:rsidR="006514EF" w:rsidRDefault="00DD50A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w:instrText>
            </w:r>
            <w:r>
              <w:instrText xml:space="preserve">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2.1 Forefront Identity Manager 2010 – Windows Live Edition</w:t>
      </w:r>
    </w:p>
    <w:p w:rsidR="006514EF" w:rsidRDefault="00DD50AA">
      <w:pPr>
        <w:pStyle w:val="ProductList-Body"/>
      </w:pPr>
      <w:r>
        <w:t>Forefront Identity Manager 2010 – Windows Live Edition ist die nächste Version von Identity Lifecycle Manager 2007 – Windows Live Edition.</w:t>
      </w:r>
    </w:p>
    <w:p w:rsidR="006514EF" w:rsidRDefault="00DD50AA">
      <w:pPr>
        <w:pStyle w:val="ProductList-Offering1SubSection"/>
        <w:outlineLvl w:val="2"/>
      </w:pPr>
      <w:bookmarkStart w:id="64" w:name="_Sec865"/>
      <w:r>
        <w:t>3. Nut</w:t>
      </w:r>
      <w:r>
        <w:t>zungsrechte</w:t>
      </w:r>
      <w:bookmarkEnd w:id="64"/>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w:instrText>
            </w:r>
            <w:r>
              <w:instrText xml:space="preserve">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w:instrText>
            </w:r>
            <w:r>
              <w:instrText xml:space="preserve">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3.1 Importieren von Identitätsdaten: Forefront Identity Manager 2010 R2 – Windows Live Edition</w:t>
      </w:r>
    </w:p>
    <w:p w:rsidR="006514EF" w:rsidRDefault="00DD50AA">
      <w:pPr>
        <w:pStyle w:val="ProductList-Body"/>
      </w:pPr>
      <w:r>
        <w:t>Der Kunde ist bere</w:t>
      </w:r>
      <w:r>
        <w:t>chtigt, die Software für das Importieren von Identitätsdaten und Änderungen an diesen Daten aus einer oder mehreren angeschlossenen Datenquellen sowie für das Erleichtern der Synchronisierung und Übertragung dieser Daten zwischen den angeschlossenen Datenq</w:t>
      </w:r>
      <w:r>
        <w:t>uellen des Kunden und dem Microsoft Passport-Netzwerk/Windows Live ID-Dienst zu nutzen. Der Kunde ist nicht berechtigt, die Software für irgendeinen anderen Zweck zu verwenden.</w:t>
      </w:r>
    </w:p>
    <w:p w:rsidR="006514EF" w:rsidRDefault="006514EF">
      <w:pPr>
        <w:pStyle w:val="ProductList-Body"/>
      </w:pPr>
    </w:p>
    <w:p w:rsidR="006514EF" w:rsidRDefault="00DD50AA">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66" w:name="_Sec608"/>
      <w:r>
        <w:t>Microsoft Dynamics</w:t>
      </w:r>
      <w:bookmarkEnd w:id="66"/>
      <w:r>
        <w:fldChar w:fldCharType="begin"/>
      </w:r>
      <w:r>
        <w:instrText xml:space="preserve"> TC "</w:instrText>
      </w:r>
      <w:bookmarkStart w:id="67" w:name="_Toc439056291"/>
      <w:r>
        <w:instrText>Microsoft Dynamics</w:instrText>
      </w:r>
      <w:bookmarkEnd w:id="67"/>
      <w:r>
        <w:instrText>" \l 2</w:instrText>
      </w:r>
      <w:r>
        <w:fldChar w:fldCharType="end"/>
      </w:r>
    </w:p>
    <w:p w:rsidR="006514EF" w:rsidRDefault="00DD50AA">
      <w:pPr>
        <w:pStyle w:val="ProductList-Offering2HeadingNoBorder"/>
        <w:outlineLvl w:val="2"/>
      </w:pPr>
      <w:bookmarkStart w:id="68" w:name="_Sec609"/>
      <w:r>
        <w:t>Microsoft Dynamics AX</w:t>
      </w:r>
      <w:bookmarkEnd w:id="68"/>
      <w:r>
        <w:fldChar w:fldCharType="begin"/>
      </w:r>
      <w:r>
        <w:instrText xml:space="preserve"> TC "</w:instrText>
      </w:r>
      <w:bookmarkStart w:id="69" w:name="_Toc439056292"/>
      <w:r>
        <w:instrText>Microsoft Dynamics AX</w:instrText>
      </w:r>
      <w:bookmarkEnd w:id="69"/>
      <w:r>
        <w:instrText>" \l 3</w:instrText>
      </w:r>
      <w:r>
        <w:fldChar w:fldCharType="end"/>
      </w:r>
    </w:p>
    <w:p w:rsidR="006514EF" w:rsidRDefault="00DD50AA">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w:t>
            </w:r>
            <w:r>
              <w:t>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Zusätzliche Funktions-CAL für Microsoft Dynamics AX 2012 R3</w:t>
            </w:r>
            <w:r>
              <w:fldChar w:fldCharType="begin"/>
            </w:r>
            <w:r>
              <w:instrText xml:space="preserve"> XE "</w:instrText>
            </w:r>
            <w:r>
              <w:instrText xml:space="preserve">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w:instrText>
            </w:r>
            <w:r>
              <w:instrText xml:space="preserve">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w:instrText>
            </w:r>
            <w:r>
              <w:instrText xml:space="preserve">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w:instrText>
            </w:r>
            <w:r>
              <w:instrText xml:space="preserve">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weist darauf hin, dass spez</w:instrText>
            </w:r>
            <w:r>
              <w:instrText xml:space="preserve">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p w:rsidR="006514EF" w:rsidRDefault="00DD50AA">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86"/>
        <w:gridCol w:w="3594"/>
        <w:gridCol w:w="3510"/>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B</w:t>
            </w:r>
            <w:r>
              <w:t>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SubClauseHeading"/>
        <w:outlineLvl w:val="5"/>
      </w:pPr>
      <w:r>
        <w:t>3.1.1 Aufgaben-CAL für zusätzliche Funktionen in Zusammenhang mit Microsoft Dynamics AX 2012 R3</w:t>
      </w:r>
    </w:p>
    <w:p w:rsidR="006514EF" w:rsidRDefault="00DD50AA">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387"/>
        <w:gridCol w:w="3533"/>
        <w:gridCol w:w="3510"/>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Aufgabenv</w:t>
            </w:r>
            <w:r>
              <w:t>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Zusätzliche CAL zur Aufgabenverwendung von Microsoft Dynamics AX 2012 R3</w:t>
            </w:r>
          </w:p>
        </w:tc>
      </w:tr>
    </w:tbl>
    <w:p w:rsidR="006514EF" w:rsidRDefault="006514EF">
      <w:pPr>
        <w:pStyle w:val="ProductList-BodyIndented"/>
      </w:pPr>
    </w:p>
    <w:p w:rsidR="006514EF" w:rsidRDefault="00DD50AA">
      <w:pPr>
        <w:pStyle w:val="ProductList-SubClauseHeading"/>
        <w:outlineLvl w:val="5"/>
      </w:pPr>
      <w:r>
        <w:t>3.1.2 Funktions-CAL für zusätzliche Funktionen in Zusammenhang mit Microsoft Dynamics AX 2012 R3</w:t>
      </w:r>
    </w:p>
    <w:p w:rsidR="006514EF" w:rsidRDefault="00DD50AA">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w:t>
      </w:r>
      <w:r>
        <w:t>n im Zusammenhang mit Aufgaben und Self-Service genehmigen.</w:t>
      </w:r>
    </w:p>
    <w:tbl>
      <w:tblPr>
        <w:tblStyle w:val="PURTable0"/>
        <w:tblW w:w="0" w:type="dxa"/>
        <w:tblLook w:val="04A0" w:firstRow="1" w:lastRow="0" w:firstColumn="1" w:lastColumn="0" w:noHBand="0" w:noVBand="1"/>
      </w:tblPr>
      <w:tblGrid>
        <w:gridCol w:w="3478"/>
        <w:gridCol w:w="3476"/>
        <w:gridCol w:w="347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Zusätzliche CAL zur funktionalen Verwendung von Microsoft Dynamics AX 2012 R3</w:t>
            </w:r>
          </w:p>
        </w:tc>
      </w:tr>
    </w:tbl>
    <w:p w:rsidR="006514EF" w:rsidRDefault="006514EF">
      <w:pPr>
        <w:pStyle w:val="ProductList-BodyIndented"/>
      </w:pPr>
    </w:p>
    <w:p w:rsidR="006514EF" w:rsidRDefault="00DD50AA">
      <w:pPr>
        <w:pStyle w:val="ProductList-SubClauseHeading"/>
        <w:outlineLvl w:val="5"/>
      </w:pPr>
      <w:r>
        <w:t>3.1.3 Enterprise CAL für</w:t>
      </w:r>
      <w:r>
        <w:t xml:space="preserve"> zusätzliche Funktionen in Zusammenhang mit Microsoft Dynamics AX 2012 R3</w:t>
      </w:r>
    </w:p>
    <w:p w:rsidR="006514EF" w:rsidRDefault="00DD50AA">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72"/>
        <w:gridCol w:w="3489"/>
        <w:gridCol w:w="3469"/>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Enterprise-Verwendungs-CAL für Microsof</w:t>
            </w:r>
            <w:r>
              <w:t>t Dynamics AX 2012 R3</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Zusätzliche CAL zur Enterprise-Verwendung von Microsoft Dynamics AX 2012 R3</w:t>
            </w:r>
          </w:p>
        </w:tc>
      </w:tr>
    </w:tbl>
    <w:p w:rsidR="006514EF" w:rsidRDefault="006514EF">
      <w:pPr>
        <w:pStyle w:val="ProductList-BodyIndented"/>
      </w:pPr>
    </w:p>
    <w:p w:rsidR="006514EF" w:rsidRDefault="00DD50AA">
      <w:pPr>
        <w:pStyle w:val="ProductList-ClauseHeading"/>
        <w:outlineLvl w:val="4"/>
      </w:pPr>
      <w:r>
        <w:t>3.2 Recht auf Änderung</w:t>
      </w:r>
    </w:p>
    <w:p w:rsidR="006514EF" w:rsidRDefault="00DD50AA">
      <w:pPr>
        <w:pStyle w:val="ProductList-Body"/>
      </w:pPr>
      <w:r>
        <w:t>Die Software kann Plug-Ins, Laufzeit und andere Komponenten enthalten, die in der gedruckten oder der Online-Dokumentation beschriebe</w:t>
      </w:r>
      <w:r>
        <w:t xml:space="preserve">n sind, die es dem Kunden ermöglichen, die Funktionalität zu erweitern. Der Kunde ist berechtigt, Bearbeitungen dieser Komponenten zu verändern oder zu erstellen, und diese Bearbeitungen, jedoch nur mit der Software und zu den internen Zwecken des Kunden, </w:t>
      </w:r>
      <w:r>
        <w:t>zu nutzen.</w:t>
      </w:r>
    </w:p>
    <w:p w:rsidR="006514EF" w:rsidRDefault="006514EF">
      <w:pPr>
        <w:pStyle w:val="ProductList-Body"/>
      </w:pPr>
    </w:p>
    <w:p w:rsidR="006514EF" w:rsidRDefault="00DD50AA">
      <w:pPr>
        <w:pStyle w:val="ProductList-ClauseHeading"/>
        <w:outlineLvl w:val="4"/>
      </w:pPr>
      <w:r>
        <w:t>3.3 Zusätzliche Software</w:t>
      </w:r>
    </w:p>
    <w:tbl>
      <w:tblPr>
        <w:tblStyle w:val="PURTable"/>
        <w:tblW w:w="0" w:type="dxa"/>
        <w:tblLook w:val="04A0" w:firstRow="1" w:lastRow="0" w:firstColumn="1" w:lastColumn="0" w:noHBand="0" w:noVBand="1"/>
      </w:tblPr>
      <w:tblGrid>
        <w:gridCol w:w="3644"/>
        <w:gridCol w:w="3613"/>
        <w:gridCol w:w="353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w:instrText>
            </w:r>
            <w:r>
              <w:instrText xml:space="preserve">Ereignis erwartet wird. (Siehe vollständige Definition im Glossar)" </w:instrText>
            </w:r>
            <w:r>
              <w:fldChar w:fldCharType="separate"/>
            </w:r>
            <w:r>
              <w:rPr>
                <w:color w:val="0563C1"/>
              </w:rPr>
              <w:t>Failoverrechte</w:t>
            </w:r>
            <w:r>
              <w:fldChar w:fldCharType="end"/>
            </w:r>
            <w:r>
              <w:t>: alle Editionen (nur Server- und Core-Lizenzen)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w:instrText>
            </w:r>
            <w:r>
              <w:instrText xml:space="preserve">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w:t>
            </w:r>
            <w:r>
              <w:t>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w:instrText>
            </w:r>
            <w:r>
              <w:instrText xml:space="preserve">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Lokalisierung und Updates</w:t>
      </w:r>
    </w:p>
    <w:p w:rsidR="006514EF" w:rsidRDefault="00DD50AA">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w:instrText>
      </w:r>
      <w:r>
        <w:instrText xml:space="preserv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w:instrText>
      </w:r>
      <w:r>
        <w:instrText xml:space="preserve">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74" w:name="_Sec610"/>
      <w:r>
        <w:t>Microsoft Dynamics CRM</w:t>
      </w:r>
      <w:bookmarkEnd w:id="74"/>
      <w:r>
        <w:fldChar w:fldCharType="begin"/>
      </w:r>
      <w:r>
        <w:instrText xml:space="preserve"> TC "</w:instrText>
      </w:r>
      <w:bookmarkStart w:id="75" w:name="_Toc439056293"/>
      <w:r>
        <w:instrText>Microsoft Dynamics CRM</w:instrText>
      </w:r>
      <w:bookmarkEnd w:id="75"/>
      <w:r>
        <w:instrText>" \l 3</w:instrText>
      </w:r>
      <w:r>
        <w:fldChar w:fldCharType="end"/>
      </w:r>
    </w:p>
    <w:p w:rsidR="006514EF" w:rsidRDefault="00DD50AA">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CAL für Microsoft Dyna</w:t>
            </w:r>
            <w:r>
              <w:t xml:space="preserve">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Zusätzliche CAL für</w:t>
            </w:r>
            <w:r>
              <w:t xml:space="preserve">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Zusätzliche CAL für Microsoft Dynamics CRM 2016 Professional</w:t>
            </w:r>
            <w:r>
              <w:fldChar w:fldCharType="begin"/>
            </w:r>
            <w:r>
              <w:instrText xml:space="preserve"> XE "Zusätzliche CAL für Microsoft Dynamics CRM 2016 Professional</w:instrText>
            </w:r>
            <w:r>
              <w:instrText xml:space="preserve">"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w:instrText>
            </w:r>
            <w:r>
              <w:instrText xml:space="preserve">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w:instrText>
            </w:r>
            <w:r>
              <w:instrText xml:space="preserve">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w:t>
            </w:r>
            <w:r>
              <w:rPr>
                <w:color w:val="404040"/>
              </w:rPr>
              <w:t>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w:instrText>
            </w:r>
            <w:r>
              <w:instrText xml:space="preserve">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78" w:name="_Sec790"/>
      <w:r>
        <w:t xml:space="preserve">3. </w:t>
      </w:r>
      <w:r>
        <w:t>Nutzungsrechte</w:t>
      </w:r>
      <w:bookmarkEnd w:id="78"/>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w:instrText>
            </w:r>
            <w:r>
              <w:instrText xml:space="preserve">."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w:instrText>
            </w:r>
            <w:r>
              <w:instrText xml:space="preserve">erechtigt ist." </w:instrText>
            </w:r>
            <w:r>
              <w:fldChar w:fldCharType="separate"/>
            </w:r>
            <w:r>
              <w:rPr>
                <w:color w:val="0563C1"/>
              </w:rPr>
              <w:t>Zusätzliche Software</w:t>
            </w:r>
            <w:r>
              <w:fldChar w:fldCharType="end"/>
            </w:r>
            <w:r>
              <w:t>: alle 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w:t>
            </w:r>
            <w:r>
              <w:rPr>
                <w:color w:val="0563C1"/>
              </w:rPr>
              <w:t>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w:t>
            </w:r>
            <w:r>
              <w:rPr>
                <w:color w:val="404040"/>
              </w:rPr>
              <w:t>ologien: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p w:rsidR="006514EF" w:rsidRDefault="00DD50AA">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Microsoft Dynamics CRM Online Essential (Nutzer-AL)</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Microsoft Dynamics CRM Online Professional (Nutzer-AL)</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SubClauseHeading"/>
        <w:outlineLvl w:val="5"/>
      </w:pPr>
      <w:r>
        <w:t xml:space="preserve">3.1.1 Zusätzliche Funktionen im Zusammenhang mit der Zusätzlichen CAL zur Grundlegenden </w:t>
      </w:r>
      <w:r>
        <w:t>Verwendung von Microsoft Dynamics CRM 2016</w:t>
      </w:r>
    </w:p>
    <w:p w:rsidR="006514EF" w:rsidRDefault="00DD50AA">
      <w:pPr>
        <w:pStyle w:val="ProductList-BodyIndented"/>
      </w:pPr>
      <w:r>
        <w:t>Vollständige Zugriffsrechte für Konten, Kontakte, Fälle, Leads, Benutzerberichte, Dashboards und Diagramme. Nur Lesezugriff/beschränkte Zugriffsrechte für Systemberichte, Systemdiagramme, Systemdashboards, CRM-Anw</w:t>
      </w:r>
      <w:r>
        <w:t>endungsdaten, Dienste, Ressourcen, Arbeitsstunden, Standort, Ausstattung, Artikel, Werbekampagnen, Schnellkampagnen, Marketinglisten, Preislisten, Produktlisten, Chancen, Ziele, Verträge, Angebote, Bestellungen, Rechnungen, Wettbewerber, Workflows ausführe</w:t>
      </w:r>
      <w:r>
        <w:t>n</w:t>
      </w:r>
    </w:p>
    <w:tbl>
      <w:tblPr>
        <w:tblStyle w:val="PURTable0"/>
        <w:tblW w:w="0" w:type="dxa"/>
        <w:tblLook w:val="04A0" w:firstRow="1" w:lastRow="0" w:firstColumn="1" w:lastColumn="0" w:noHBand="0" w:noVBand="1"/>
      </w:tblPr>
      <w:tblGrid>
        <w:gridCol w:w="3487"/>
        <w:gridCol w:w="3465"/>
        <w:gridCol w:w="347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Microsoft Dynamics CRM Online Basic (Nutzer-AL)</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Microsoft Dynamics CRM Online Professional (Nutzer-AL)</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SubClauseHeading"/>
        <w:outlineLvl w:val="5"/>
      </w:pPr>
      <w:r>
        <w:t>3.1.2 Zusätzliche Funktionen im Zusammenhang mit der Zusätzlichen CAL zur Professionellen Verwendung von Microsoft Dynamics CRM 2016</w:t>
      </w:r>
    </w:p>
    <w:p w:rsidR="006514EF" w:rsidRDefault="00DD50AA">
      <w:pPr>
        <w:pStyle w:val="ProductList-BodyIndented"/>
      </w:pPr>
      <w:r>
        <w:t>Vollständige Zugriffsrechte auf Systemberichte, Systemdiagramme, Sy</w:t>
      </w:r>
      <w:r>
        <w:t>stemdashboards, CRM-Anwendungsdaten; Services, Ressourcen, Arbeitsstunden, Standort, Ausstattung, Artikel; Werbekampagnen, Schnellkampagnen, Marketinglisten, Preislisten, Produktlisten; Chancen, Ziele, Verträge, Angebote, Bestellungen, Rechnungen, Wettbewe</w:t>
      </w:r>
      <w:r>
        <w:t>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Microsoft Dynamics CRM Online Professional (Nut</w:t>
            </w:r>
            <w:r>
              <w:t>zer-AL)</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Online Enterprise (Nutzer-AL)</w:t>
            </w:r>
          </w:p>
        </w:tc>
      </w:tr>
    </w:tbl>
    <w:p w:rsidR="006514EF" w:rsidRDefault="006514EF">
      <w:pPr>
        <w:pStyle w:val="ProductList-BodyIndented"/>
      </w:pPr>
    </w:p>
    <w:p w:rsidR="006514EF" w:rsidRDefault="00DD50AA">
      <w:pPr>
        <w:pStyle w:val="ProductList-ClauseHeading"/>
        <w:outlineLvl w:val="4"/>
      </w:pPr>
      <w:r>
        <w:t>3.2 Yammer</w:t>
      </w:r>
    </w:p>
    <w:p w:rsidR="006514EF" w:rsidRDefault="00DD50AA">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6514EF" w:rsidRDefault="006514EF">
      <w:pPr>
        <w:pStyle w:val="ProductList-Body"/>
      </w:pPr>
    </w:p>
    <w:p w:rsidR="006514EF" w:rsidRDefault="00DD50AA">
      <w:pPr>
        <w:pStyle w:val="ProductList-ClauseHeading"/>
        <w:outlineLvl w:val="4"/>
      </w:pPr>
      <w:r>
        <w:t>3.3 Failoverrechte</w:t>
      </w:r>
    </w:p>
    <w:p w:rsidR="006514EF" w:rsidRDefault="00DD50AA">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w:t>
      </w:r>
      <w:r>
        <w:rPr>
          <w:color w:val="0563C1"/>
        </w:rPr>
        <w:t>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w:t>
      </w:r>
      <w:r>
        <w:rPr>
          <w:color w:val="0563C1"/>
        </w:rPr>
        <w:t>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w:instrText>
      </w:r>
      <w:r>
        <w:instrText xml:space="preserve">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w:instrText>
      </w:r>
      <w:r>
        <w:instrText xml:space="preserve">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w:instrText>
      </w:r>
      <w:r>
        <w:instrText xml:space="preserve">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6514EF" w:rsidRDefault="006514EF">
      <w:pPr>
        <w:pStyle w:val="ProductList-Body"/>
      </w:pPr>
    </w:p>
    <w:p w:rsidR="006514EF" w:rsidRDefault="00DD50AA">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MarketingPilot Connector für Microsoft Dynamics CRM (nur Workgroup Se</w:t>
            </w:r>
            <w:r>
              <w:t>rver 2016)</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Microsoft Dynamics CRM 2016 Microsoft Office Outlook</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w:t>
            </w:r>
            <w:r>
              <w:t>namics CRM Reporting-Erweiterungen für Microsoft Dynamics CRM 2016</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Marketing Connector für Microso</w:t>
            </w:r>
            <w:r>
              <w:t>ft Dynamics CRM (nicht Workgroup Server)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w:instrText>
            </w:r>
            <w:r>
              <w:instrText xml:space="preserve">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w:instrText>
            </w:r>
            <w:r>
              <w:instrText xml:space="preserve">  \s NoStyle \t "Migrationsrechte: Kunden können möglicherweise unter bestimmten Bedingungen, die im Produkteintrag oder in der Produktliste aufgeführt werden, Upgrades von früheren Versionen der Software oder anderen Produkten durchführen. (Siehe vollstän</w:instrText>
            </w:r>
            <w:r>
              <w:instrText xml:space="preserve">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Zusätzliche CAL für Microsoft Dynamics CRM 2016 Professional – Unified Service Desk</w:t>
      </w:r>
    </w:p>
    <w:p w:rsidR="006514EF" w:rsidRDefault="00DD50AA">
      <w:pPr>
        <w:pStyle w:val="ProductList-Body"/>
      </w:pPr>
      <w:r>
        <w:t>Für jede Zusätzliche CAL für Microsoft Dynamics CRM 2016 Professional, für die der Kunde über Software Assurance verfü</w:t>
      </w:r>
      <w:r>
        <w:t xml:space="preserve">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w:instrText>
      </w:r>
      <w:r>
        <w:instrText xml:space="preserv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w:instrText>
      </w:r>
      <w:r>
        <w:instrText xml:space="preserve">lizenz, die nach Nutzer oder Gerät zugewiesen wird. (Siehe vollständige Definition im Glossar)" </w:instrText>
      </w:r>
      <w:r>
        <w:fldChar w:fldCharType="separate"/>
      </w:r>
      <w:r>
        <w:rPr>
          <w:color w:val="0563C1"/>
        </w:rPr>
        <w:t>CAL</w:t>
      </w:r>
      <w:r>
        <w:fldChar w:fldCharType="end"/>
      </w:r>
      <w:r>
        <w:t xml:space="preserve"> zugewiesen ist.</w:t>
      </w:r>
    </w:p>
    <w:p w:rsidR="006514EF" w:rsidRDefault="006514EF">
      <w:pPr>
        <w:pStyle w:val="ProductList-Body"/>
      </w:pPr>
    </w:p>
    <w:p w:rsidR="006514EF" w:rsidRDefault="00DD50AA">
      <w:pPr>
        <w:pStyle w:val="ProductList-ClauseHeading"/>
        <w:outlineLvl w:val="4"/>
      </w:pPr>
      <w:r>
        <w:t>4.2 Microsoft Dynamics CustomerSource</w:t>
      </w:r>
    </w:p>
    <w:p w:rsidR="006514EF" w:rsidRDefault="00DD50AA">
      <w:pPr>
        <w:pStyle w:val="ProductList-Body"/>
      </w:pPr>
      <w:r>
        <w:t>Microsoft Dynamics-Kunden mit aktiver Software Assurance oder einem Onlineabonnement haben Zugriff</w:t>
      </w:r>
      <w:r>
        <w:t xml:space="preserve"> auf CustomerSource. </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56294"/>
      <w:r>
        <w:instrText>Microsoft Identity Manager</w:instrText>
      </w:r>
      <w:bookmarkEnd w:id="81"/>
      <w:r>
        <w:instrText>" \l 2</w:instrText>
      </w:r>
      <w:r>
        <w:fldChar w:fldCharType="end"/>
      </w:r>
    </w:p>
    <w:p w:rsidR="006514EF" w:rsidRDefault="00DD50AA">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BFBFBF"/>
              <w:bottom w:val="dashed" w:sz="4" w:space="0" w:color="BFBFBF"/>
              <w:right w:val="none" w:sz="4" w:space="0" w:color="6E6E6E"/>
            </w:tcBorders>
          </w:tcPr>
          <w:p w:rsidR="006514EF" w:rsidRDefault="00DD50AA">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BFBFBF"/>
              <w:bottom w:val="none" w:sz="4" w:space="0" w:color="BFBFBF"/>
              <w:right w:val="none" w:sz="4" w:space="0" w:color="6E6E6E"/>
            </w:tcBorders>
          </w:tcPr>
          <w:p w:rsidR="006514EF" w:rsidRDefault="00DD50AA">
            <w:pPr>
              <w:pStyle w:val="ProductList-TableBody"/>
            </w:pPr>
            <w:r>
              <w:rPr>
                <w:color w:val="000000"/>
              </w:rPr>
              <w:t>Externer Connector für Microsoft Identity Manager 2016</w:t>
            </w:r>
            <w:r>
              <w:fldChar w:fldCharType="begin"/>
            </w:r>
            <w:r>
              <w:instrText xml:space="preserve"> XE "</w:instrText>
            </w:r>
            <w:r>
              <w:instrText xml:space="preserve">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w:t>
            </w:r>
            <w:r>
              <w:rPr>
                <w:color w:val="0563C1"/>
              </w:rPr>
              <w:t>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w:instrText>
            </w:r>
            <w:r>
              <w:instrText xml:space="preserve">t ist." </w:instrText>
            </w:r>
            <w:r>
              <w:fldChar w:fldCharType="separate"/>
            </w:r>
            <w:r>
              <w:rPr>
                <w:color w:val="0563C1"/>
              </w:rPr>
              <w:t>Zusätzliche Software</w:t>
            </w:r>
            <w:r>
              <w:fldChar w:fldCharType="end"/>
            </w:r>
            <w:r>
              <w:t>: Ja</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14EF" w:rsidRDefault="006514EF">
            <w:pPr>
              <w:pStyle w:val="ProductList-TableBody"/>
            </w:pPr>
          </w:p>
        </w:tc>
      </w:tr>
    </w:tbl>
    <w:p w:rsidR="006514EF" w:rsidRDefault="00DD50A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86" w:name="_Sec611"/>
      <w:r>
        <w:t>Office-Anwendungen</w:t>
      </w:r>
      <w:bookmarkEnd w:id="86"/>
      <w:r>
        <w:fldChar w:fldCharType="begin"/>
      </w:r>
      <w:r>
        <w:instrText xml:space="preserve"> TC "</w:instrText>
      </w:r>
      <w:bookmarkStart w:id="87" w:name="_Toc439056295"/>
      <w:r>
        <w:instrText>Office-Anwendungen</w:instrText>
      </w:r>
      <w:bookmarkEnd w:id="87"/>
      <w:r>
        <w:instrText>" \l 2</w:instrText>
      </w:r>
      <w:r>
        <w:fldChar w:fldCharType="end"/>
      </w:r>
    </w:p>
    <w:p w:rsidR="006514EF" w:rsidRDefault="00DD50AA">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39056296"/>
      <w:r>
        <w:instrText>Office 365-Desktop-Anwendungen</w:instrText>
      </w:r>
      <w:bookmarkEnd w:id="89"/>
      <w:r>
        <w:instrText>" \l 3</w:instrText>
      </w:r>
      <w:r>
        <w:fldChar w:fldCharType="end"/>
      </w:r>
    </w:p>
    <w:p w:rsidR="006514EF" w:rsidRDefault="00DD50AA">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w:instrText>
            </w:r>
            <w:r>
              <w:instrText xml:space="preserve">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w:instrText>
            </w:r>
            <w:r>
              <w:instrText xml:space="preserve">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000000"/>
              <w:bottom w:val="dashed" w:sz="4" w:space="0" w:color="BFBFBF"/>
              <w:right w:val="single" w:sz="6" w:space="0" w:color="FFFFFF"/>
            </w:tcBorders>
          </w:tcPr>
          <w:p w:rsidR="006514EF" w:rsidRDefault="00DD50A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w:instrText>
            </w:r>
            <w:r>
              <w:instrText xml:space="preserve">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w:instrText>
            </w:r>
            <w:r>
              <w:instrText xml:space="preserve">\s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w:instrText>
            </w:r>
            <w:r>
              <w:instrText xml:space="preserve">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dashed" w:sz="4" w:space="0" w:color="BFBFBF"/>
              <w:right w:val="single" w:sz="6" w:space="0" w:color="FFFFFF"/>
            </w:tcBorders>
          </w:tcPr>
          <w:p w:rsidR="006514EF" w:rsidRDefault="00DD50AA">
            <w:pPr>
              <w:pStyle w:val="ProductList-TableBody"/>
            </w:pPr>
            <w:r>
              <w:rPr>
                <w:color w:val="000000"/>
              </w:rPr>
              <w:t>Work-at-Home-Lizenz für Office Standard 2016</w:t>
            </w:r>
            <w:r>
              <w:fldChar w:fldCharType="begin"/>
            </w:r>
            <w:r>
              <w:instrText xml:space="preserve"> XE "</w:instrText>
            </w:r>
            <w:r>
              <w:instrText xml:space="preserve">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14EF" w:rsidRDefault="006514E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000000"/>
              <w:bottom w:val="none" w:sz="4" w:space="0" w:color="BFBFBF"/>
              <w:right w:val="single" w:sz="6" w:space="0" w:color="FFFFFF"/>
            </w:tcBorders>
          </w:tcPr>
          <w:p w:rsidR="006514EF" w:rsidRDefault="00DD50AA">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514EF" w:rsidRDefault="00DD50A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514EF" w:rsidRDefault="006514E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w:instrText>
            </w:r>
            <w:r>
              <w:instrText xml:space="preserve">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w:instrText>
            </w:r>
            <w:r>
              <w:instrText xml:space="preserve">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w:instrText>
            </w:r>
            <w:r>
              <w:instrText xml:space="preserve">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 UTD-Nachlass: Hierbei handelt es sich um einen für Open Value Subscription-Kunden verfügbaren Nachlass, der greift, </w:instrText>
            </w:r>
            <w:r>
              <w:instrText xml:space="preserve">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2.1 Project Professional 2016</w:t>
      </w:r>
    </w:p>
    <w:p w:rsidR="006514EF" w:rsidRDefault="00DD50AA">
      <w:pPr>
        <w:pStyle w:val="ProductList-Body"/>
      </w:pPr>
      <w:r>
        <w:t>Kunden, die Project Professional 2016 lizenzieren, erhalten für jede Lizenz für Project Professional 2016 eine Geräte-CAL für Project Server 2016</w:t>
      </w:r>
      <w:r>
        <w:fldChar w:fldCharType="begin"/>
      </w:r>
      <w:r>
        <w:instrText xml:space="preserve"> XE "</w:instrText>
      </w:r>
      <w:r>
        <w:instrText xml:space="preserve">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w:instrText>
      </w:r>
      <w:r>
        <w:instrText xml:space="preserve">im Glossar)" </w:instrText>
      </w:r>
      <w:r>
        <w:fldChar w:fldCharType="separate"/>
      </w:r>
      <w:r>
        <w:rPr>
          <w:color w:val="0563C1"/>
        </w:rPr>
        <w:t>CAL</w:t>
      </w:r>
      <w:r>
        <w:fldChar w:fldCharType="end"/>
      </w:r>
      <w:r>
        <w:t xml:space="preserve"> zuzugreifen, gilt bis zum Ablauf der zugehörigen Project Professional 2016-Lizenz.</w:t>
      </w:r>
    </w:p>
    <w:p w:rsidR="006514EF" w:rsidRDefault="006514EF">
      <w:pPr>
        <w:pStyle w:val="ProductList-Body"/>
      </w:pPr>
    </w:p>
    <w:p w:rsidR="006514EF" w:rsidRDefault="00DD50AA">
      <w:pPr>
        <w:pStyle w:val="ProductList-ClauseHeading"/>
        <w:outlineLvl w:val="4"/>
      </w:pPr>
      <w:r>
        <w:t>2.2 Work at Home</w:t>
      </w:r>
    </w:p>
    <w:p w:rsidR="006514EF" w:rsidRDefault="00DD50AA">
      <w:pPr>
        <w:pStyle w:val="ProductList-Body"/>
      </w:pPr>
      <w:r>
        <w:t xml:space="preserve">Bei einer Work-at-Home-Lizenz handelt es sich um eine optionale Lizenz, die nur in Verbindung mit einer </w:t>
      </w:r>
      <w:r>
        <w:fldChar w:fldCharType="begin"/>
      </w:r>
      <w:r>
        <w:instrText xml:space="preserve"> AutoTextList   \s NoStyle \t "</w:instrText>
      </w:r>
      <w:r>
        <w:instrText xml:space="preserve">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w:instrText>
      </w:r>
      <w:r>
        <w:instrText xml:space="preserve">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w:t>
      </w:r>
      <w:r>
        <w:t>erbundenen Unternehmen (z. B. zu Hause) zu installieren und zu nutzen.</w:t>
      </w:r>
    </w:p>
    <w:p w:rsidR="006514EF" w:rsidRDefault="006514EF">
      <w:pPr>
        <w:pStyle w:val="ProductList-Body"/>
      </w:pPr>
    </w:p>
    <w:p w:rsidR="006514EF" w:rsidRDefault="00DD50AA">
      <w:pPr>
        <w:pStyle w:val="ProductList-ClauseHeading"/>
        <w:outlineLvl w:val="4"/>
      </w:pPr>
      <w:r>
        <w:t>2.3 Übergänge</w:t>
      </w:r>
    </w:p>
    <w:p w:rsidR="006514EF" w:rsidRDefault="00DD50AA">
      <w:pPr>
        <w:pStyle w:val="ProductList-Body"/>
      </w:pPr>
      <w:r>
        <w:t>Nachstehend werden Übergangsoptionen für Kunden aufgeführt, die wie ausführlicher in ihren Volumenlizenzverträgen beschrieben berechtigt sind, auf Onlinedienste umzustell</w:t>
      </w:r>
      <w:r>
        <w:t>en.</w:t>
      </w:r>
    </w:p>
    <w:tbl>
      <w:tblPr>
        <w:tblStyle w:val="PURTable"/>
        <w:tblW w:w="0" w:type="dxa"/>
        <w:tblLook w:val="04A0" w:firstRow="1" w:lastRow="0" w:firstColumn="1" w:lastColumn="0" w:noHBand="0" w:noVBand="1"/>
      </w:tblPr>
      <w:tblGrid>
        <w:gridCol w:w="5359"/>
        <w:gridCol w:w="5431"/>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Gültige Übergangsoptionen (Onlinedienste)</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w:t>
            </w:r>
            <w:r>
              <w:t>al Plus und Core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&amp; Government E3, E4)*</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&amp; Government E3, E4)*</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 für Office 365</w:t>
            </w:r>
            <w:r>
              <w:fldChar w:fldCharType="begin"/>
            </w:r>
            <w:r>
              <w:instrText xml:space="preserve"> XE "Project Pro für Office 365" </w:instrText>
            </w:r>
            <w:r>
              <w:fldChar w:fldCharType="end"/>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 für Office 365</w:t>
            </w:r>
            <w:r>
              <w:fldChar w:fldCharType="begin"/>
            </w:r>
            <w:r>
              <w:instrText xml:space="preserve"> XE "Visio Pro für Office 365" </w:instrText>
            </w:r>
            <w:r>
              <w:fldChar w:fldCharType="end"/>
            </w:r>
          </w:p>
        </w:tc>
      </w:tr>
    </w:tbl>
    <w:p w:rsidR="006514EF" w:rsidRDefault="00DD50AA">
      <w:pPr>
        <w:pStyle w:val="ProductList-Body"/>
      </w:pPr>
      <w:r>
        <w:rPr>
          <w:i/>
        </w:rPr>
        <w:t>* Diese Übergangsoption erfordert die entsprechende CAL Suite Bridge.</w:t>
      </w:r>
    </w:p>
    <w:p w:rsidR="006514EF" w:rsidRDefault="006514EF">
      <w:pPr>
        <w:pStyle w:val="ProductList-Body"/>
      </w:pPr>
    </w:p>
    <w:p w:rsidR="006514EF" w:rsidRDefault="00DD50AA">
      <w:pPr>
        <w:pStyle w:val="ProductList-ClauseHeading"/>
        <w:outlineLvl w:val="4"/>
      </w:pPr>
      <w:r>
        <w:t>2.4 Plattformunabhängige Lizenzen</w:t>
      </w:r>
    </w:p>
    <w:p w:rsidR="006514EF" w:rsidRDefault="00DD50AA">
      <w:pPr>
        <w:pStyle w:val="ProductList-Body"/>
      </w:pPr>
      <w:r>
        <w:t>Der Kunde kann entweder die lizenzierte Version oder eine andere Plattfor</w:t>
      </w:r>
      <w:r>
        <w:t>mversion ausführen, sofern die andere Plattformversion zur selben Zeit wie die ursprünglich lizenzierte Version verfügbar war. Wenn die Komponenten einer Produktsuite je nach Plattformversion unterschiedlich sind, darf der Kunde ausschließlich die Komponen</w:t>
      </w:r>
      <w:r>
        <w:t>ten der Suite verwenden, zu deren Bereitstellung er sich entschlossen hat. Ein Mischen der Komponenten über Plattformversionen hinweg ist nicht zulässig. Software Assurance für eine plattformunabhängige Lizenz berechtigt den Kunden, anstatt des lizenzierte</w:t>
      </w:r>
      <w:r>
        <w:t>n Produkts die aktuellste Version der jeweiligen Plattformversion des Produkts, das während der Software Assurance-Laufzeit verfügbar wird, zu verwenden.</w:t>
      </w:r>
    </w:p>
    <w:p w:rsidR="006514EF" w:rsidRDefault="006514EF">
      <w:pPr>
        <w:pStyle w:val="ProductList-Body"/>
      </w:pPr>
    </w:p>
    <w:p w:rsidR="006514EF" w:rsidRDefault="00DD50AA">
      <w:pPr>
        <w:pStyle w:val="ProductList-ClauseHeading"/>
        <w:outlineLvl w:val="4"/>
      </w:pPr>
      <w:r>
        <w:t>2.5 Folgeversionen</w:t>
      </w:r>
    </w:p>
    <w:p w:rsidR="006514EF" w:rsidRDefault="00DD50AA">
      <w:pPr>
        <w:pStyle w:val="ProductList-Body"/>
      </w:pPr>
      <w:r>
        <w:t>Skype for Business 2016 ist die Folgeversion von Lync 2013.</w:t>
      </w:r>
    </w:p>
    <w:p w:rsidR="006514EF" w:rsidRDefault="00DD50AA">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w:instrText>
            </w:r>
            <w:r>
              <w:instrText xml:space="preserve">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w:instrText>
            </w:r>
            <w:r>
              <w:instrText xml:space="preserve">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Office Web Apps Server 2013 (nur Office-Suites)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3.1 Kommerzielle Nutzungsrechte für Office Home &amp; Student 2013 </w:t>
      </w:r>
      <w:r>
        <w:t>RT</w:t>
      </w:r>
    </w:p>
    <w:p w:rsidR="006514EF" w:rsidRDefault="00DD50AA">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w:t>
      </w:r>
      <w:r>
        <w:t>t der Kunde ungeachtet gegenteiliger Bestimmungen in den Lizenzbestimmungen von Office Home &amp; Student 2013 RT berechtigt, die Software Office Home &amp; Student gewerblich zu nutzen.</w:t>
      </w:r>
    </w:p>
    <w:p w:rsidR="006514EF" w:rsidRDefault="006514EF">
      <w:pPr>
        <w:pStyle w:val="ProductList-Body"/>
      </w:pPr>
    </w:p>
    <w:p w:rsidR="006514EF" w:rsidRDefault="00DD50AA">
      <w:pPr>
        <w:pStyle w:val="ProductList-ClauseHeading"/>
        <w:outlineLvl w:val="4"/>
      </w:pPr>
      <w:r>
        <w:t>3.2 Office Professional Plus 2016 und Office Standard 2016 – Kommerzielle Nu</w:t>
      </w:r>
      <w:r>
        <w:t>tzung von Office Home &amp; Student 2013 RT</w:t>
      </w:r>
    </w:p>
    <w:p w:rsidR="006514EF" w:rsidRDefault="00DD50AA">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w:instrText>
      </w:r>
      <w:r>
        <w:instrText xml:space="preserve">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w:t>
      </w:r>
      <w:r>
        <w:t xml:space="preserve"> Office Standard 2013 ausgeführt wird, ist ungeachtet gegenteiliger Bestimmungen in den Lizenzbestimmungen von Office Home &amp; Student 2013 RT berechtigt, die unter einer Lizenz für Office Home &amp; Student 2013 RT separat lizenzierte Software gewerblich zu nut</w:t>
      </w:r>
      <w:r>
        <w:t>zen.</w:t>
      </w:r>
    </w:p>
    <w:p w:rsidR="006514EF" w:rsidRDefault="00DD50A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w:instrText>
            </w:r>
            <w:r>
              <w:instrText xml:space="preserve">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w:instrText>
            </w:r>
            <w:r>
              <w:instrText xml:space="preserv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"Roamingrechte: Eine SA-Vergünstigung, die dem Hauptnutzer eines Lizenzierten Geräts bestimmte Remotezugriffs- u</w:instrText>
            </w:r>
            <w:r>
              <w:instrText xml:space="preserve">nd Nutzungsrechte einräumt. (Siehe vollständige Definition im Glossar)" </w:instrText>
            </w:r>
            <w:r>
              <w:fldChar w:fldCharType="separate"/>
            </w:r>
            <w:r>
              <w:rPr>
                <w:color w:val="0563C1"/>
              </w:rPr>
              <w:t>Roamingrechte</w:t>
            </w:r>
            <w:r>
              <w:fldChar w:fldCharType="end"/>
            </w:r>
            <w:r>
              <w:t>: Office, Project und Visio</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Project Professional 2016</w:t>
      </w:r>
    </w:p>
    <w:p w:rsidR="006514EF" w:rsidRDefault="00DD50AA">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94" w:name="_Sec680"/>
      <w:r>
        <w:t>Office für Mac</w:t>
      </w:r>
      <w:bookmarkEnd w:id="94"/>
      <w:r>
        <w:fldChar w:fldCharType="begin"/>
      </w:r>
      <w:r>
        <w:instrText xml:space="preserve"> TC "</w:instrText>
      </w:r>
      <w:bookmarkStart w:id="95" w:name="_Toc439056297"/>
      <w:r>
        <w:instrText>Office für Mac</w:instrText>
      </w:r>
      <w:bookmarkEnd w:id="95"/>
      <w:r>
        <w:instrText>" \l 3</w:instrText>
      </w:r>
      <w:r>
        <w:fldChar w:fldCharType="end"/>
      </w:r>
    </w:p>
    <w:p w:rsidR="006514EF" w:rsidRDefault="00DD50AA">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97" w:name="_Sec737"/>
      <w:r>
        <w:t xml:space="preserve">2. </w:t>
      </w:r>
      <w:r>
        <w:t>Produktbedingungen</w:t>
      </w:r>
      <w:bookmarkEnd w:id="97"/>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w:instrText>
            </w:r>
            <w:r>
              <w:instrText xml:space="preserve">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w:t>
            </w:r>
            <w:r>
              <w:t>e-Lizenz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2.1 Folgeversionen</w:t>
      </w:r>
    </w:p>
    <w:p w:rsidR="006514EF" w:rsidRDefault="00DD50AA">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6514EF" w:rsidRDefault="006514EF">
      <w:pPr>
        <w:pStyle w:val="ProductList-Body"/>
      </w:pPr>
    </w:p>
    <w:p w:rsidR="006514EF" w:rsidRDefault="00DD50AA">
      <w:pPr>
        <w:pStyle w:val="ProductList-ClauseHeading"/>
        <w:outlineLvl w:val="4"/>
      </w:pPr>
      <w:r>
        <w:t>2.2 Work a</w:t>
      </w:r>
      <w:r>
        <w:t>t Home</w:t>
      </w:r>
    </w:p>
    <w:p w:rsidR="006514EF" w:rsidRDefault="00DD50AA">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nur in Verbindung mit ein</w:t>
      </w:r>
      <w:r>
        <w:t xml:space="preserve">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w:instrText>
      </w:r>
      <w:r>
        <w:instrText xml:space="preserve">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w:t>
      </w:r>
      <w:r>
        <w:t>r Verbundenen Unternehmen (z. B. zu Hause) zu installieren und zu nutzen.</w:t>
      </w:r>
    </w:p>
    <w:p w:rsidR="006514EF" w:rsidRDefault="006514EF">
      <w:pPr>
        <w:pStyle w:val="ProductList-Body"/>
      </w:pPr>
    </w:p>
    <w:p w:rsidR="006514EF" w:rsidRDefault="00DD50AA">
      <w:pPr>
        <w:pStyle w:val="ProductList-ClauseHeading"/>
        <w:outlineLvl w:val="4"/>
      </w:pPr>
      <w:r>
        <w:t>2.3 Plattformunabhängige Lizenzen</w:t>
      </w:r>
    </w:p>
    <w:p w:rsidR="006514EF" w:rsidRDefault="00DD50AA">
      <w:pPr>
        <w:pStyle w:val="ProductList-Body"/>
      </w:pPr>
      <w:r>
        <w:t>Der Kunde kann entweder die lizenzierte Version oder eine andere Plattformversion ausführen, sofern die andere Plattformversion zur selben Zeit wie</w:t>
      </w:r>
      <w:r>
        <w:t xml:space="preserve"> die ursprünglich lizenzierte Version verfügbar war. Wenn die Komponenten einer Produktsuite je nach Plattformversion unterschiedlich sind, darf der Kunde ausschließlich die Komponenten der Suite verwenden, zu deren Bereitstellung er sich entschlossen hat.</w:t>
      </w:r>
      <w:r>
        <w:t xml:space="preserve">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w:instrText>
      </w:r>
      <w:r>
        <w:instrText xml:space="preserve">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6514EF" w:rsidRDefault="00DD50AA">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w:instrText>
            </w:r>
            <w:r>
              <w:instrText xml:space="preserve">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w:instrText>
            </w:r>
            <w:r>
              <w:instrText xml:space="preserve">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w:instrText>
            </w:r>
            <w:r>
              <w:instrText xml:space="preserve">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3.1 Kommerzielle </w:t>
      </w:r>
      <w:r>
        <w:t>Nutzung von Office Home &amp; Student 2013 RT</w:t>
      </w:r>
    </w:p>
    <w:p w:rsidR="006514EF" w:rsidRDefault="00DD50AA">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w:instrText>
      </w:r>
      <w:r>
        <w:instrText xml:space="preserve">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w:t>
      </w:r>
      <w:r>
        <w:t>htet gegenteiliger Bestimmungen in den Lizenzbestimmungen von Office Home &amp; Student 2013 RT berechtigt, die unter einer Lizenz für Office Home &amp; Student 2013 RT separat lizenzierte Software gewerblich zu nutzen.</w:t>
      </w:r>
    </w:p>
    <w:p w:rsidR="006514EF" w:rsidRDefault="00DD50A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w:instrText>
            </w:r>
            <w:r>
              <w:instrText xml:space="preserve">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w:t>
            </w:r>
            <w:r>
              <w:rPr>
                <w:color w:val="0563C1"/>
              </w:rPr>
              <w:t>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w:instrText>
            </w:r>
            <w:r>
              <w:instrText xml:space="preserve">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w:t>
              </w:r>
              <w:r>
                <w:rPr>
                  <w:color w:val="00467F"/>
                  <w:u w:val="single"/>
                </w:rPr>
                <w:t xml:space="preserv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00" w:name="_Sec612"/>
      <w:r>
        <w:t>Office Servers</w:t>
      </w:r>
      <w:bookmarkEnd w:id="100"/>
      <w:r>
        <w:fldChar w:fldCharType="begin"/>
      </w:r>
      <w:r>
        <w:instrText xml:space="preserve"> TC "</w:instrText>
      </w:r>
      <w:bookmarkStart w:id="101" w:name="_Toc439056298"/>
      <w:r>
        <w:instrText>Office Servers</w:instrText>
      </w:r>
      <w:bookmarkEnd w:id="101"/>
      <w:r>
        <w:instrText>" \l 2</w:instrText>
      </w:r>
      <w:r>
        <w:fldChar w:fldCharType="end"/>
      </w:r>
    </w:p>
    <w:p w:rsidR="006514EF" w:rsidRDefault="00DD50AA">
      <w:pPr>
        <w:pStyle w:val="ProductList-Offering2HeadingNoBorder"/>
        <w:outlineLvl w:val="2"/>
      </w:pPr>
      <w:bookmarkStart w:id="102" w:name="_Sec638"/>
      <w:r>
        <w:t>Exchange Server</w:t>
      </w:r>
      <w:bookmarkEnd w:id="102"/>
      <w:r>
        <w:fldChar w:fldCharType="begin"/>
      </w:r>
      <w:r>
        <w:instrText xml:space="preserve"> TC "</w:instrText>
      </w:r>
      <w:bookmarkStart w:id="103" w:name="_Toc439056299"/>
      <w:r>
        <w:instrText>Exchange Server</w:instrText>
      </w:r>
      <w:bookmarkEnd w:id="103"/>
      <w:r>
        <w:instrText>" \l 3</w:instrText>
      </w:r>
      <w:r>
        <w:fldChar w:fldCharType="end"/>
      </w:r>
    </w:p>
    <w:p w:rsidR="006514EF" w:rsidRDefault="00DD50AA">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w:instrText>
            </w:r>
            <w:r>
              <w:instrText xml:space="preserve">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Ex</w:t>
            </w:r>
            <w:r>
              <w:rPr>
                <w:color w:val="000000"/>
              </w:rPr>
              <w:t>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w:instrText>
            </w:r>
            <w:r>
              <w:instrText xml:space="preserve"> \t "Down-Editionen: Zulässige niedrigere Editionen, die bestimmten höheren Editionen entsprechen. Der Kunde ist wie jeweils in den Universellen Lizenzbestimmungen festgelegt berechtigt, die zulässige niedrigere Edition anstelle einer lizenzierten höheren </w:instrText>
            </w:r>
            <w:r>
              <w:instrText xml:space="preserve">Edition zu nutzen." </w:instrText>
            </w:r>
            <w:r>
              <w:fldChar w:fldCharType="separate"/>
            </w:r>
            <w:r>
              <w:rPr>
                <w:color w:val="0563C1"/>
              </w:rPr>
              <w:t>Down-Editionen</w:t>
            </w:r>
            <w:r>
              <w:fldChar w:fldCharType="end"/>
            </w:r>
            <w:r>
              <w:t>: Enterprise zu Standard</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w:instrText>
            </w:r>
            <w:r>
              <w:instrText xml:space="preserve">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w:instrText>
            </w:r>
            <w:r>
              <w:instrText xml:space="preserv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w:instrText>
            </w:r>
            <w:r>
              <w:instrText xml:space="preserve">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w:instrText>
            </w:r>
            <w:r>
              <w:instrText xml:space="preserve">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w:t>
            </w:r>
            <w:r>
              <w:t>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w:t>
            </w:r>
            <w:r>
              <w:t>r Exchange Online Plan 1</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Exchange Online Plan 2</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Exchange Online Plan 2G</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SubClauseHeading"/>
        <w:outlineLvl w:val="5"/>
      </w:pPr>
      <w:r>
        <w:t>3.1.1 Enterprise CAL für zusätzliche Funktionen in Zusammenhang mit Exchange</w:t>
      </w:r>
    </w:p>
    <w:p w:rsidR="006514EF" w:rsidRDefault="00DD50AA">
      <w:pPr>
        <w:pStyle w:val="ProductList-BodyIndented"/>
      </w:pPr>
      <w:r>
        <w:t>In-Place-Archiv, In-Place-Sperren (Auf unbestimmte Zeit, Abfragebasiert, Zeitlich), Erweiterte Richtlinien</w:t>
      </w:r>
      <w:r>
        <w:t xml:space="preserve">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Exchange Online Plan 2</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Exchange Online Plan 2G</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w:instrText>
            </w:r>
            <w:r>
              <w:instrText xml:space="preserve">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w:t>
            </w:r>
            <w:r>
              <w:rPr>
                <w:color w:val="0563C1"/>
              </w:rPr>
              <w:t>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w:instrText>
            </w:r>
            <w:r>
              <w:instrText xml:space="preserve">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w:instrText>
            </w:r>
            <w:r>
              <w:instrText xml:space="preserve">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Ergänzende Bestimmungen für Exchange Enterprise CAL mit Diensten 2016</w:t>
      </w:r>
    </w:p>
    <w:p w:rsidR="006514EF" w:rsidRDefault="00DD50AA">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w:t>
      </w:r>
      <w:r>
        <w:t xml:space="preserve"> Erwerb und die Nutzung der in der Enterprise CAL für Exchange mit Diensten 2016 enthaltenen Onlinedienste den Ergänzenden Bestimmungen für mit der Software verwendete Onlinedienste – ältere Verträge finden Sie in Anhang A – genauer den ergänzenden Bestimm</w:t>
      </w:r>
      <w:r>
        <w:t>ungen des Programmvertrags in der Produktliste Juni 2015 (</w:t>
      </w:r>
      <w:hyperlink r:id="rId49">
        <w:r>
          <w:rPr>
            <w:color w:val="00467F"/>
            <w:u w:val="single"/>
          </w:rPr>
          <w:t>http://go.microsoft.com/?linkid=9839207</w:t>
        </w:r>
      </w:hyperlink>
      <w:r>
        <w:t>).</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08" w:name="_Sec639"/>
      <w:r>
        <w:t>Project Server</w:t>
      </w:r>
      <w:bookmarkEnd w:id="108"/>
      <w:r>
        <w:fldChar w:fldCharType="begin"/>
      </w:r>
      <w:r>
        <w:instrText xml:space="preserve"> TC "</w:instrText>
      </w:r>
      <w:bookmarkStart w:id="109" w:name="_Toc439056300"/>
      <w:r>
        <w:instrText>Project Server</w:instrText>
      </w:r>
      <w:bookmarkEnd w:id="109"/>
      <w:r>
        <w:instrText>" \l 3</w:instrText>
      </w:r>
      <w:r>
        <w:fldChar w:fldCharType="end"/>
      </w:r>
    </w:p>
    <w:p w:rsidR="006514EF" w:rsidRDefault="00DD50AA">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w:instrText>
            </w:r>
            <w:r>
              <w:instrText xml:space="preserv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w:instrText>
            </w:r>
            <w:r>
              <w:instrText xml:space="preserve">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3.1 </w:t>
      </w:r>
      <w:r>
        <w:t>Serversoftwarezugriff</w:t>
      </w:r>
    </w:p>
    <w:tbl>
      <w:tblPr>
        <w:tblStyle w:val="PURTable"/>
        <w:tblW w:w="0" w:type="dxa"/>
        <w:tblLook w:val="04A0" w:firstRow="1" w:lastRow="0" w:firstColumn="1" w:lastColumn="0" w:noHBand="0" w:noVBand="1"/>
      </w:tblPr>
      <w:tblGrid>
        <w:gridCol w:w="3674"/>
        <w:gridCol w:w="3558"/>
        <w:gridCol w:w="355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Project Lite</w:t>
            </w:r>
            <w:r>
              <w:fldChar w:fldCharType="begin"/>
            </w:r>
            <w:r>
              <w:instrText xml:space="preserve"> XE "Project Lite" </w:instrText>
            </w:r>
            <w:r>
              <w:fldChar w:fldCharType="end"/>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514EF" w:rsidRDefault="00DD50AA">
            <w:pPr>
              <w:pStyle w:val="ProductList-TableBody"/>
            </w:pPr>
            <w:r>
              <w:t>Nutzer-AL für Project Pro für Office 365</w:t>
            </w:r>
            <w:r>
              <w:fldChar w:fldCharType="begin"/>
            </w:r>
            <w:r>
              <w:instrText xml:space="preserve"> XE "Project Pro für Office 365" </w:instrText>
            </w:r>
            <w:r>
              <w:fldChar w:fldCharType="end"/>
            </w:r>
          </w:p>
        </w:tc>
      </w:tr>
    </w:tbl>
    <w:p w:rsidR="006514EF" w:rsidRDefault="006514EF">
      <w:pPr>
        <w:pStyle w:val="ProductList-Body"/>
      </w:pPr>
    </w:p>
    <w:p w:rsidR="006514EF" w:rsidRDefault="00DD50AA">
      <w:pPr>
        <w:pStyle w:val="ProductList-ClauseHeading"/>
        <w:outlineLvl w:val="4"/>
      </w:pPr>
      <w:r>
        <w:t xml:space="preserve">3.2 </w:t>
      </w:r>
      <w:r>
        <w:t>Zusätzliche Software</w:t>
      </w:r>
    </w:p>
    <w:tbl>
      <w:tblPr>
        <w:tblStyle w:val="PURTable"/>
        <w:tblW w:w="0" w:type="dxa"/>
        <w:tblLook w:val="04A0" w:firstRow="1" w:lastRow="0" w:firstColumn="1" w:lastColumn="0" w:noHBand="0" w:noVBand="1"/>
      </w:tblPr>
      <w:tblGrid>
        <w:gridCol w:w="3666"/>
        <w:gridCol w:w="3562"/>
        <w:gridCol w:w="356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w:instrText>
            </w:r>
            <w:r>
              <w:instrText xml:space="preserve">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w:instrText>
            </w:r>
            <w:r>
              <w:instrText xml:space="preserve">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14" w:name="_Sec640"/>
      <w:r>
        <w:t>SharePoint Server</w:t>
      </w:r>
      <w:bookmarkEnd w:id="114"/>
      <w:r>
        <w:fldChar w:fldCharType="begin"/>
      </w:r>
      <w:r>
        <w:instrText xml:space="preserve"> TC "</w:instrText>
      </w:r>
      <w:bookmarkStart w:id="115" w:name="_Toc439056301"/>
      <w:r>
        <w:instrText>SharePoint Server</w:instrText>
      </w:r>
      <w:bookmarkEnd w:id="115"/>
      <w:r>
        <w:instrText>" \l 3</w:instrText>
      </w:r>
      <w:r>
        <w:fldChar w:fldCharType="end"/>
      </w:r>
    </w:p>
    <w:p w:rsidR="006514EF" w:rsidRDefault="00DD50AA">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w:instrText>
            </w:r>
            <w:r>
              <w:instrText xml:space="preserv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Microsoft Office Audit and Control Management Server 2013</w:t>
            </w:r>
            <w:r>
              <w:fldChar w:fldCharType="begin"/>
            </w:r>
            <w:r>
              <w:instrText xml:space="preserve"> XE "Microsoft Office Audit and Control Mana</w:instrText>
            </w:r>
            <w:r>
              <w:instrText xml:space="preserve">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w:instrText>
            </w:r>
            <w:r>
              <w:instrText xml:space="preserve">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 xml:space="preserve">Enterprise CAL für SharePoint Server 2013 </w:t>
            </w:r>
            <w:r>
              <w:fldChar w:fldCharType="begin"/>
            </w:r>
            <w:r>
              <w:instrText xml:space="preserve"> XE "</w:instrText>
            </w:r>
            <w:r>
              <w:instrText xml:space="preserve">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w:t>
            </w:r>
            <w:r>
              <w:t>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w:t>
            </w:r>
            <w:r>
              <w:rPr>
                <w:color w:val="404040"/>
              </w:rPr>
              <w:t>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w:instrText>
            </w:r>
            <w:r>
              <w:instrText xml:space="preserve">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w:instrText>
            </w:r>
            <w:r>
              <w:instrText xml:space="preserve">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Mitteilungen: n. </w:t>
            </w:r>
            <w:r>
              <w:rPr>
                <w:color w:val="404040"/>
              </w:rPr>
              <w:t>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SharePoint Online Plan 2</w:t>
            </w:r>
            <w:r>
              <w:fldChar w:fldCharType="begin"/>
            </w:r>
            <w:r>
              <w:instrText xml:space="preserve"> XE "</w:instrText>
            </w:r>
            <w:r>
              <w:instrText xml:space="preserve">SharePoint Online Plan 2" </w:instrText>
            </w:r>
            <w:r>
              <w:fldChar w:fldCharType="end"/>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r:id="rId50">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DD50AA">
            <w:pPr>
              <w:pStyle w:val="ProductList-TableBody"/>
            </w:pPr>
            <w:r>
              <w:t>Nutzer-AL für SharePoint Online Plan 2</w:t>
            </w:r>
          </w:p>
        </w:tc>
      </w:tr>
    </w:tbl>
    <w:p w:rsidR="006514EF" w:rsidRDefault="006514EF">
      <w:pPr>
        <w:pStyle w:val="ProductList-Body"/>
      </w:pPr>
    </w:p>
    <w:p w:rsidR="006514EF" w:rsidRDefault="00DD50AA">
      <w:pPr>
        <w:pStyle w:val="ProductList-SubClauseHeading"/>
        <w:outlineLvl w:val="5"/>
      </w:pPr>
      <w:r>
        <w:t>3.2.1 Zusätzliche SharePoint Server-Funktionen im Zusammenhang mit SharePoint Enterprise CAL</w:t>
      </w:r>
    </w:p>
    <w:p w:rsidR="006514EF" w:rsidRDefault="00DD50AA">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w:t>
      </w:r>
      <w:r>
        <w:t>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SharePoint Online Plan 2</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ClauseHeading"/>
        <w:outlineLvl w:val="4"/>
      </w:pPr>
      <w:r>
        <w:t>3.3 CAL-Verzicht für Nutzer, die auf öffentlich verfügbare Inhalte zugreifen</w:t>
      </w:r>
    </w:p>
    <w:p w:rsidR="006514EF" w:rsidRDefault="00DD50AA">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w:t>
      </w:r>
      <w:r>
        <w:t>nicht für den Zugriff auf Inhalte, Informationen und Anwendungen erforderlich, die der Kunde den Nutzern über das Internet öffentlich bereitstellt (wobei der Zugriff also nicht auf Intranet- oder Extranet-Szenarien beschränkt ist).</w:t>
      </w:r>
    </w:p>
    <w:p w:rsidR="006514EF" w:rsidRDefault="006514EF">
      <w:pPr>
        <w:pStyle w:val="ProductList-Body"/>
      </w:pPr>
    </w:p>
    <w:p w:rsidR="006514EF" w:rsidRDefault="00DD50AA">
      <w:pPr>
        <w:pStyle w:val="ProductList-ClauseHeading"/>
        <w:outlineLvl w:val="4"/>
      </w:pPr>
      <w:r>
        <w:t xml:space="preserve">3.4 Zusätzliche </w:t>
      </w:r>
      <w:r>
        <w:t>Software</w:t>
      </w:r>
    </w:p>
    <w:tbl>
      <w:tblPr>
        <w:tblStyle w:val="PURTable"/>
        <w:tblW w:w="0" w:type="dxa"/>
        <w:tblLook w:val="04A0" w:firstRow="1" w:lastRow="0" w:firstColumn="1" w:lastColumn="0" w:noHBand="0" w:noVBand="1"/>
      </w:tblPr>
      <w:tblGrid>
        <w:gridCol w:w="3666"/>
        <w:gridCol w:w="3562"/>
        <w:gridCol w:w="356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w:instrText>
            </w:r>
            <w:r>
              <w:instrText xml:space="preserve">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w:instrText>
            </w:r>
            <w:r>
              <w:instrText xml:space="preserve">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w:t>
            </w:r>
            <w:r>
              <w:t>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w:instrText>
            </w:r>
            <w:r>
              <w:instrText xml:space="preserve">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w:instrText>
            </w:r>
            <w:r>
              <w:instrText xml:space="preserve">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w:t>
            </w:r>
            <w:r>
              <w:rPr>
                <w:color w:val="0563C1"/>
              </w:rPr>
              <w: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6302"/>
      <w:r>
        <w:instrText>Skype for Business Server</w:instrText>
      </w:r>
      <w:bookmarkEnd w:id="121"/>
      <w:r>
        <w:instrText>" \l 3</w:instrText>
      </w:r>
      <w:r>
        <w:fldChar w:fldCharType="end"/>
      </w:r>
    </w:p>
    <w:p w:rsidR="006514EF" w:rsidRDefault="00DD50AA">
      <w:pPr>
        <w:pStyle w:val="ProductList-Offering1SubSection"/>
        <w:outlineLvl w:val="3"/>
      </w:pPr>
      <w:bookmarkStart w:id="122" w:name="_Sec686"/>
      <w:r>
        <w:t>1. Programmverfügbarkeit</w:t>
      </w:r>
      <w:bookmarkEnd w:id="122"/>
    </w:p>
    <w:p w:rsidR="006514EF" w:rsidRDefault="006514E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Skype für Business Server 2015</w:t>
            </w:r>
            <w:r>
              <w:fldChar w:fldCharType="begin"/>
            </w:r>
            <w:r>
              <w:instrText xml:space="preserve"> XE "</w:instrText>
            </w:r>
            <w:r>
              <w:instrText xml:space="preserve">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w:instrText>
            </w:r>
            <w:r>
              <w:instrText xml:space="preserv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w:instrText>
            </w:r>
            <w:r>
              <w:instrText xml:space="preserve">e auf einem Gerät nutzen darf." </w:instrText>
            </w:r>
            <w:r>
              <w:fldChar w:fldCharType="separate"/>
            </w:r>
            <w:r>
              <w:rPr>
                <w:color w:val="0563C1"/>
              </w:rPr>
              <w:t>Zusätzliche Software</w:t>
            </w:r>
            <w:r>
              <w:fldChar w:fldCharType="end"/>
            </w:r>
            <w:r>
              <w:t>: Ja</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w:instrText>
            </w:r>
            <w:r>
              <w:instrText xml:space="preserve">" </w:instrText>
            </w:r>
            <w:r>
              <w:fldChar w:fldCharType="separate"/>
            </w:r>
            <w:r>
              <w:rPr>
                <w:color w:val="0563C1"/>
              </w:rPr>
              <w:t>Enthaltene Technologien</w:t>
            </w:r>
            <w:r>
              <w:fldChar w:fldCharType="end"/>
            </w:r>
            <w:r>
              <w:t>: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Skype for Business Online Plan 1</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Skype for Business Online Plan 2</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Skype for Business Online Plan 2G</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SubClauseHeading"/>
        <w:outlineLvl w:val="5"/>
      </w:pPr>
      <w:r>
        <w:t>3.1.1 Enterprise CAL für zusätzliche Funktionen in Zusammenhang mit Skype für Business Server</w:t>
      </w:r>
    </w:p>
    <w:p w:rsidR="006514EF" w:rsidRDefault="00DD50AA">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Skype for Business Online Plan 2</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Skype for Business Online Plan 2G</w:t>
            </w:r>
          </w:p>
        </w:tc>
      </w:tr>
      <w:tr w:rsidR="00651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14EF" w:rsidRDefault="00DD50AA">
            <w:pPr>
              <w:pStyle w:val="ProductList-TableBody"/>
            </w:pPr>
            <w:r>
              <w:t xml:space="preserve">Nutzer-AL für </w:t>
            </w:r>
            <w:r>
              <w:t>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514EF" w:rsidRDefault="00DD50AA">
            <w:pPr>
              <w:pStyle w:val="ProductList-TableBody"/>
            </w:pPr>
            <w:r>
              <w:t>Nutzer-AL für Live Meeting Professional</w:t>
            </w:r>
            <w:r>
              <w:fldChar w:fldCharType="begin"/>
            </w:r>
            <w:r>
              <w:instrText xml:space="preserve"> XE "Live Meeting Professional" </w:instrText>
            </w:r>
            <w:r>
              <w:fldChar w:fldCharType="end"/>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SubClauseHeading"/>
        <w:outlineLvl w:val="5"/>
      </w:pPr>
      <w:r>
        <w:t xml:space="preserve">3.1.2 Enterprise CAL für zusätzliche Funktionen in </w:t>
      </w:r>
      <w:r>
        <w:t>Zusammenhang mit Skype für Business Server Plus</w:t>
      </w:r>
    </w:p>
    <w:p w:rsidR="006514EF" w:rsidRDefault="00DD50AA">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Nutzer-AL für Skype for Bu</w:t>
            </w:r>
            <w:r>
              <w:t>siness Online Cloud PBX</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Rolle als Audio-Video-Konferenzserver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Director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Mediation Server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Lync Server 2013 Gruppenchat-Verwaltungstool</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L</w:t>
            </w:r>
            <w:r>
              <w:t>ync-Webanwendung</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PowerShell Snap-in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Survivable Branch Appliance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w:t>
            </w:r>
            <w:r>
              <w:t xml:space="preserve"> als Video Interop-Server</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w:instrText>
            </w:r>
            <w:r>
              <w:instrText>A-Kunden entweder zum Zuweisen von Lizenzen außerhalb der Standardzeiträume oder zur Nutzung von Produkten auf mehrinstanzenfähigen Servern außerhalb ihrer eigenen Rechenzentren; weitere Informationen erhalten Sie in Anhang B im Abschnitt „Lizenzmobilität“</w:instrText>
            </w:r>
            <w:r>
              <w:instrText xml:space="preserve">."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instrText>
            </w:r>
            <w:r>
              <w:instrText xml:space="preserve">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26" w:name="_Sec883"/>
      <w:r>
        <w:t>R Server</w:t>
      </w:r>
      <w:bookmarkEnd w:id="126"/>
      <w:r>
        <w:fldChar w:fldCharType="begin"/>
      </w:r>
      <w:r>
        <w:instrText xml:space="preserve"> TC "</w:instrText>
      </w:r>
      <w:bookmarkStart w:id="127" w:name="_Toc439056303"/>
      <w:r>
        <w:instrText>R Server</w:instrText>
      </w:r>
      <w:bookmarkEnd w:id="127"/>
      <w:r>
        <w:instrText xml:space="preserve"> " \l 2</w:instrText>
      </w:r>
      <w:r>
        <w:fldChar w:fldCharType="end"/>
      </w:r>
    </w:p>
    <w:p w:rsidR="006514EF" w:rsidRDefault="00DD50AA">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none" w:sz="4" w:space="0" w:color="FFFFFF"/>
              <w:left w:val="none" w:sz="4" w:space="0" w:color="FFFFFF"/>
              <w:bottom w:val="dashed" w:sz="4" w:space="0" w:color="BFBFBF"/>
              <w:right w:val="none" w:sz="4" w:space="0" w:color="FFFFFF"/>
            </w:tcBorders>
          </w:tcPr>
          <w:p w:rsidR="006514EF" w:rsidRDefault="00DD50AA">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2HeadingNoBorder"/>
        <w:outlineLvl w:val="2"/>
      </w:pPr>
      <w:bookmarkStart w:id="129" w:name="_Sec885"/>
      <w:r>
        <w:t>2. Produktbedingungen</w:t>
      </w:r>
      <w:bookmarkEnd w:id="129"/>
      <w:r>
        <w:fldChar w:fldCharType="begin"/>
      </w:r>
      <w:r>
        <w:instrText xml:space="preserve"> TC "</w:instrText>
      </w:r>
      <w:bookmarkStart w:id="130" w:name="_Toc439056304"/>
      <w:r>
        <w:instrText>2. Produktbedingungen</w:instrText>
      </w:r>
      <w:bookmarkEnd w:id="130"/>
      <w:r>
        <w:instrText>" \l 3</w:instrText>
      </w:r>
      <w:r>
        <w:fldChar w:fldCharType="end"/>
      </w:r>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Anhang B</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w:instrText>
            </w:r>
            <w:r>
              <w:instrText xml:space="preserv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2HeadingNoBorder"/>
        <w:outlineLvl w:val="2"/>
      </w:pPr>
      <w:bookmarkStart w:id="131" w:name="_Sec886"/>
      <w:r>
        <w:t>3. Nutzungsrechte</w:t>
      </w:r>
      <w:bookmarkEnd w:id="131"/>
      <w:r>
        <w:fldChar w:fldCharType="begin"/>
      </w:r>
      <w:r>
        <w:instrText xml:space="preserve"> TC "</w:instrText>
      </w:r>
      <w:bookmarkStart w:id="132" w:name="_Toc439056305"/>
      <w:r>
        <w:instrText>3. Nutzungsrechte</w:instrText>
      </w:r>
      <w:bookmarkEnd w:id="132"/>
      <w:r>
        <w:instrText>" \l 3</w:instrText>
      </w:r>
      <w:r>
        <w:fldChar w:fldCharType="end"/>
      </w:r>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3">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w:instrText>
            </w:r>
            <w:r>
              <w:instrText xml:space="preserv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w:t>
            </w:r>
            <w:r>
              <w:rPr>
                <w:color w:val="404040"/>
              </w:rPr>
              <w:t>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Offering1SubSection"/>
        <w:outlineLvl w:val="3"/>
      </w:pPr>
      <w:r>
        <w:t>3.1 R Server 2016 für Hadoop auf Red Hat und R Server für Teradata DB</w:t>
      </w:r>
    </w:p>
    <w:p w:rsidR="006514EF" w:rsidRDefault="00DD50AA">
      <w:pPr>
        <w:pStyle w:val="ProductList-Body"/>
      </w:pPr>
      <w:r>
        <w:t xml:space="preserve">Jede Serverlizenz </w:t>
      </w:r>
      <w:r>
        <w:t xml:space="preserve">für R Server 2016 für Hadoop auf Red Hat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w:instrText>
      </w:r>
      <w:r>
        <w:instrText xml:space="preserv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6514EF" w:rsidRDefault="00DD50AA">
      <w:pPr>
        <w:pStyle w:val="ProductList-Offering2HeadingNoBorder"/>
        <w:outlineLvl w:val="2"/>
      </w:pPr>
      <w:bookmarkStart w:id="133" w:name="_Sec887"/>
      <w:r>
        <w:t>4. Software Assurance</w:t>
      </w:r>
      <w:bookmarkEnd w:id="133"/>
      <w:r>
        <w:fldChar w:fldCharType="begin"/>
      </w:r>
      <w:r>
        <w:instrText xml:space="preserve"> TC "</w:instrText>
      </w:r>
      <w:bookmarkStart w:id="134" w:name="_Toc439056306"/>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HeadingNoBorder"/>
        <w:outlineLvl w:val="1"/>
      </w:pPr>
      <w:bookmarkStart w:id="135" w:name="_Sec613"/>
      <w:r>
        <w:t>Vermietungsrechte</w:t>
      </w:r>
      <w:bookmarkEnd w:id="135"/>
      <w:r>
        <w:fldChar w:fldCharType="begin"/>
      </w:r>
      <w:r>
        <w:instrText xml:space="preserve"> TC "</w:instrText>
      </w:r>
      <w:bookmarkStart w:id="136" w:name="_Toc439056307"/>
      <w:r>
        <w:instrText>Vermietungsrechte</w:instrText>
      </w:r>
      <w:bookmarkEnd w:id="136"/>
      <w:r>
        <w:instrText>" \l 2</w:instrText>
      </w:r>
      <w:r>
        <w:fldChar w:fldCharType="end"/>
      </w:r>
    </w:p>
    <w:p w:rsidR="006514EF" w:rsidRDefault="00DD50AA">
      <w:pPr>
        <w:pStyle w:val="ProductList-Offering1SubSection"/>
        <w:outlineLvl w:val="2"/>
      </w:pPr>
      <w:bookmarkStart w:id="137" w:name="_Sec687"/>
      <w:r>
        <w:t>1. Programmverfügbarkeit</w:t>
      </w:r>
      <w:bookmarkEnd w:id="137"/>
    </w:p>
    <w:tbl>
      <w:tblPr>
        <w:tblStyle w:val="PURTable"/>
        <w:tblW w:w="0" w:type="dxa"/>
        <w:tblLook w:val="04A0" w:firstRow="1" w:lastRow="0" w:firstColumn="1" w:lastColumn="0" w:noHBand="0" w:noVBand="1"/>
      </w:tblPr>
      <w:tblGrid>
        <w:gridCol w:w="4049"/>
        <w:gridCol w:w="608"/>
        <w:gridCol w:w="603"/>
        <w:gridCol w:w="611"/>
        <w:gridCol w:w="606"/>
        <w:gridCol w:w="607"/>
        <w:gridCol w:w="611"/>
        <w:gridCol w:w="615"/>
        <w:gridCol w:w="634"/>
        <w:gridCol w:w="619"/>
        <w:gridCol w:w="612"/>
        <w:gridCol w:w="60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2"/>
      </w:pPr>
      <w:bookmarkStart w:id="138" w:name="_Sec742"/>
      <w:r>
        <w:t>2. Produktbedingungen</w:t>
      </w:r>
      <w:bookmarkEnd w:id="138"/>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w:t>
            </w:r>
            <w:r>
              <w:t>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(Software Assurance):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2.1 Vermietungsrechte</w:t>
      </w:r>
    </w:p>
    <w:p w:rsidR="006514EF" w:rsidRDefault="00DD50AA">
      <w:pPr>
        <w:pStyle w:val="ProductList-Body"/>
      </w:pPr>
      <w:r>
        <w:t>Die unter diesen Programmen gewährten Vermietungsrechtelizenzen sind Add-On-</w:t>
      </w:r>
      <w:r>
        <w:fldChar w:fldCharType="begin"/>
      </w:r>
      <w:r>
        <w:instrText xml:space="preserve"> AutoTextList   \s NoStyle \t "Lizenz bedeutet das Recht, e</w:instrText>
      </w:r>
      <w:r>
        <w:instrText xml:space="preserv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w:instrText>
      </w:r>
      <w:r>
        <w:instrText xml:space="preserve">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w:instrText>
      </w:r>
      <w:r>
        <w:instrText xml:space="preserv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w:instrText>
      </w:r>
      <w:r>
        <w:instrText xml:space="preserve">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rsidR="006514EF" w:rsidRDefault="006514EF">
      <w:pPr>
        <w:pStyle w:val="ProductList-Body"/>
      </w:pPr>
    </w:p>
    <w:p w:rsidR="006514EF" w:rsidRDefault="00DD50AA">
      <w:pPr>
        <w:pStyle w:val="ProductList-ClauseHeading"/>
        <w:outlineLvl w:val="3"/>
      </w:pPr>
      <w:r>
        <w:t>2.2 Qualifizierende Anwendungen für Vermietungsrechte – Office</w:t>
      </w:r>
    </w:p>
    <w:p w:rsidR="006514EF" w:rsidRDefault="00DD50AA">
      <w:pPr>
        <w:pStyle w:val="ProductList-Body"/>
      </w:pPr>
      <w:r>
        <w:t>Die Li</w:t>
      </w:r>
      <w:r>
        <w:t xml:space="preserve">zenz für die qualifizierende Anwendung muss demselben Gerät zugewiesen sein wie die zuzuweisende VL-Vermietungsrechtelizenz. Über OEM erworbene Office-Anwendungen qualifizieren nicht zum Erwerb von Vermietungsrechten. Die qualifizierenden Anwendungen nach </w:t>
      </w:r>
      <w:r>
        <w:t>Programmart sind:</w:t>
      </w:r>
    </w:p>
    <w:tbl>
      <w:tblPr>
        <w:tblStyle w:val="PURTable"/>
        <w:tblW w:w="0" w:type="dxa"/>
        <w:tblLook w:val="04A0" w:firstRow="1" w:lastRow="0" w:firstColumn="1" w:lastColumn="0" w:noHBand="0" w:noVBand="1"/>
      </w:tblPr>
      <w:tblGrid>
        <w:gridCol w:w="3715"/>
        <w:gridCol w:w="1782"/>
        <w:gridCol w:w="1777"/>
        <w:gridCol w:w="1751"/>
        <w:gridCol w:w="176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PIPC</w:t>
            </w:r>
          </w:p>
          <w:p w:rsidR="006514EF" w:rsidRDefault="00DD50AA">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6514EF">
        <w:tc>
          <w:tcPr>
            <w:tcW w:w="4040" w:type="dxa"/>
            <w:gridSpan w:val="5"/>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rPr>
                <w:b/>
              </w:rPr>
              <w:t>Office Standard</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gridSpan w:val="5"/>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rPr>
                <w:b/>
              </w:rPr>
              <w:t>Office Professional Plus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bl>
    <w:p w:rsidR="006514EF" w:rsidRDefault="006514EF">
      <w:pPr>
        <w:pStyle w:val="ProductList-Body"/>
      </w:pPr>
    </w:p>
    <w:p w:rsidR="006514EF" w:rsidRDefault="00DD50AA">
      <w:pPr>
        <w:pStyle w:val="ProductList-ClauseHeading"/>
        <w:outlineLvl w:val="3"/>
      </w:pPr>
      <w:r>
        <w:t>2.3 Qualifizierende Betriebssysteme für Vermietungsrechte – Windows</w:t>
      </w:r>
    </w:p>
    <w:p w:rsidR="006514EF" w:rsidRDefault="00DD50AA">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w:t>
      </w:r>
      <w:r>
        <w:t xml:space="preserve">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w:t>
      </w:r>
      <w:r>
        <w:rPr>
          <w:color w:val="0563C1"/>
        </w:rPr>
        <w:t>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664"/>
        <w:gridCol w:w="1431"/>
        <w:gridCol w:w="1419"/>
        <w:gridCol w:w="1440"/>
        <w:gridCol w:w="1410"/>
        <w:gridCol w:w="142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Qualifizierendes Betriebssystem für den Erwerb von Vermietungsre</w:t>
            </w:r>
            <w:r>
              <w:rPr>
                <w:color w:val="FFFFFF"/>
              </w:rPr>
              <w:t>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r>
      <w:tr w:rsidR="006514EF">
        <w:tc>
          <w:tcPr>
            <w:tcW w:w="4040" w:type="dxa"/>
            <w:gridSpan w:val="6"/>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rPr>
                <w:b/>
              </w:rPr>
              <w:t>Windows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10</w:t>
            </w:r>
            <w:r>
              <w:fldChar w:fldCharType="begin"/>
            </w:r>
            <w:r>
              <w:instrText xml:space="preserve"> XE "Windows 10" </w:instrText>
            </w:r>
            <w:r>
              <w:fldChar w:fldCharType="end"/>
            </w:r>
            <w:r>
              <w:t xml:space="preserve"> Home (32-Bit oder 64-Bit)</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040" w:type="dxa"/>
            <w:gridSpan w:val="6"/>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rPr>
                <w:b/>
              </w:rPr>
              <w:t>Windows Pro</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Windows 10 </w:t>
            </w:r>
            <w:r>
              <w:fldChar w:fldCharType="begin"/>
            </w:r>
            <w:r>
              <w:instrText xml:space="preserve"> XE "Windows 10 " </w:instrText>
            </w:r>
            <w:r>
              <w:fldChar w:fldCharType="end"/>
            </w:r>
            <w:r>
              <w:t>Pro (N, KN) (32-Bit oder 64-Bit)</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bl>
    <w:p w:rsidR="006514EF" w:rsidRDefault="00DD50AA">
      <w:pPr>
        <w:pStyle w:val="ProductList-Offering1SubSection"/>
        <w:outlineLvl w:val="2"/>
      </w:pPr>
      <w:bookmarkStart w:id="139" w:name="_Sec796"/>
      <w:r>
        <w:t>3. Nutzungsrechte</w:t>
      </w:r>
      <w:bookmarkEnd w:id="139"/>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4">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xml:space="preserve">: </w:t>
            </w:r>
            <w:r>
              <w:t>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3.1 Vermietungsrechte</w:t>
      </w:r>
    </w:p>
    <w:p w:rsidR="006514EF" w:rsidRDefault="00DD50AA">
      <w:pPr>
        <w:pStyle w:val="ProductList-Bullet"/>
        <w:numPr>
          <w:ilvl w:val="0"/>
          <w:numId w:val="24"/>
        </w:numPr>
      </w:pPr>
      <w:r>
        <w:t>Eine Vermietungsrechtelizenz muss dauerhaft einem berechtigenden Gerät zugewiesen sein.</w:t>
      </w:r>
    </w:p>
    <w:p w:rsidR="006514EF" w:rsidRDefault="00DD50AA">
      <w:pPr>
        <w:pStyle w:val="ProductList-Bullet"/>
        <w:numPr>
          <w:ilvl w:val="0"/>
          <w:numId w:val="24"/>
        </w:numPr>
      </w:pPr>
      <w:r>
        <w:t>Die Vermietungsrechtelizenz ändert das Recht des Kunden zur Verwendung von berechtigender Software unter einer bestehenden Lizenz.</w:t>
      </w:r>
    </w:p>
    <w:p w:rsidR="006514EF" w:rsidRDefault="00DD50AA">
      <w:pPr>
        <w:pStyle w:val="ProductList-Bullet"/>
        <w:numPr>
          <w:ilvl w:val="0"/>
          <w:numId w:val="24"/>
        </w:numPr>
      </w:pPr>
      <w:r>
        <w:t>Für jedes berechtigende Gerät mit Ver</w:t>
      </w:r>
      <w:r>
        <w:t>mietungsrechtelizenz verzichtet Microsoft auf das Verbot der Vermietung, des Verleasens oder des Verleihens der Software.</w:t>
      </w:r>
    </w:p>
    <w:p w:rsidR="006514EF" w:rsidRDefault="00DD50AA">
      <w:pPr>
        <w:pStyle w:val="ProductList-Bullet"/>
        <w:numPr>
          <w:ilvl w:val="0"/>
          <w:numId w:val="24"/>
        </w:numPr>
      </w:pPr>
      <w:r>
        <w:t>Der Kunde muss Nutzer verpflichten, Lizenzbestimmungen für die Software schriftlich oder elektronisch anzunehmen.</w:t>
      </w:r>
    </w:p>
    <w:p w:rsidR="006514EF" w:rsidRDefault="00DD50AA">
      <w:pPr>
        <w:pStyle w:val="ProductList-Bullet"/>
        <w:numPr>
          <w:ilvl w:val="0"/>
          <w:numId w:val="24"/>
        </w:numPr>
      </w:pPr>
      <w:r>
        <w:t>Der Kunde muss Nutze</w:t>
      </w:r>
      <w:r>
        <w:t xml:space="preserve">r darüber informieren, dass Microsoft keine Gewährleistung für die Software anbietet, Nutzer nicht gegen Ansprüche Dritter verteidigen wird oder nicht für Schäden haftet, die durch die Verwendung der Software entstehen. </w:t>
      </w:r>
    </w:p>
    <w:p w:rsidR="006514EF" w:rsidRDefault="00DD50AA">
      <w:pPr>
        <w:pStyle w:val="ProductList-Bullet"/>
        <w:numPr>
          <w:ilvl w:val="0"/>
          <w:numId w:val="24"/>
        </w:numPr>
      </w:pPr>
      <w:r>
        <w:t>Durch Verwendung der Software unter</w:t>
      </w:r>
      <w:r>
        <w:t xml:space="preserve"> Vermietungsrechten erklärt sich der Kunde bereit, Microsoft hinsichtlich Ansprüchen im Zusammenhang mit der Verwendung von berechtigender Software freizustellen, zu verteidigen und zu entschädigen, inklusive Anwaltsgebühren.</w:t>
      </w:r>
    </w:p>
    <w:p w:rsidR="006514EF" w:rsidRDefault="00DD50AA">
      <w:pPr>
        <w:pStyle w:val="ProductList-Bullet"/>
        <w:numPr>
          <w:ilvl w:val="0"/>
          <w:numId w:val="24"/>
        </w:numPr>
      </w:pPr>
      <w:r>
        <w:t>Die Software darf nicht in ein</w:t>
      </w:r>
      <w:r>
        <w:t>er virtuellen Umgebung verwendet werden.</w:t>
      </w:r>
    </w:p>
    <w:p w:rsidR="006514EF" w:rsidRDefault="00DD50AA">
      <w:pPr>
        <w:pStyle w:val="ProductList-Bullet"/>
        <w:numPr>
          <w:ilvl w:val="0"/>
          <w:numId w:val="24"/>
        </w:numPr>
      </w:pPr>
      <w:r>
        <w:t>Außer für technische Supportzwecke mittels Remoteunterstützung oder ähnlicher Technologien darf nicht remote auf die Software zugegriffen werden.</w:t>
      </w:r>
    </w:p>
    <w:p w:rsidR="006514EF" w:rsidRDefault="00DD50AA">
      <w:pPr>
        <w:pStyle w:val="ProductList-Bullet"/>
        <w:numPr>
          <w:ilvl w:val="0"/>
          <w:numId w:val="24"/>
        </w:numPr>
      </w:pPr>
      <w:r>
        <w:t>Die Vermietungsrechtelizenz läuft mit der zugrunde liegenden Lizenz o</w:t>
      </w:r>
      <w:r>
        <w:t xml:space="preserve">der bei Neuzuweisung der zugrunde liegenden Lizenz oder dauerhaftem Fehler des </w:t>
      </w:r>
      <w:r>
        <w:fldChar w:fldCharType="begin"/>
      </w:r>
      <w:r>
        <w:instrText xml:space="preserve"> AutoTextList   \s NoStyle \t "Lizenziertes Gerät ist ein einzelnes physisches Hardwaresystem, dem eine Lizenz zugewiesen wird. Im Sinne dieser Definition wird eine Hardwarepart</w:instrText>
      </w:r>
      <w:r>
        <w:instrText xml:space="preserve">ition oder ein Blade als separates Gerät betrachtet." </w:instrText>
      </w:r>
      <w:r>
        <w:fldChar w:fldCharType="separate"/>
      </w:r>
      <w:r>
        <w:rPr>
          <w:color w:val="0563C1"/>
        </w:rPr>
        <w:t>Lizenzierten Geräts</w:t>
      </w:r>
      <w:r>
        <w:fldChar w:fldCharType="end"/>
      </w:r>
      <w:r>
        <w:t xml:space="preserve"> ab.</w:t>
      </w:r>
    </w:p>
    <w:p w:rsidR="006514EF" w:rsidRDefault="006514EF">
      <w:pPr>
        <w:pStyle w:val="ProductList-Body"/>
      </w:pPr>
    </w:p>
    <w:p w:rsidR="006514EF" w:rsidRDefault="00DD50AA">
      <w:pPr>
        <w:pStyle w:val="ProductList-ClauseHeading"/>
        <w:outlineLvl w:val="3"/>
      </w:pPr>
      <w:r>
        <w:t>3.2 Einschränkung für andere Versionen als Windows Pro</w:t>
      </w:r>
    </w:p>
    <w:p w:rsidR="006514EF" w:rsidRDefault="00DD50AA">
      <w:pPr>
        <w:pStyle w:val="ProductList-Body"/>
      </w:pPr>
      <w:r>
        <w:t>Geräte, denen Vermietungsrechte für Windows zugewiesen sind, dürfen nur an einzelne Personen für nicht kommerzielle Nut</w:t>
      </w:r>
      <w:r>
        <w:t>zungen vermietet werden.</w:t>
      </w:r>
    </w:p>
    <w:p w:rsidR="006514EF" w:rsidRDefault="00DD50AA">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 xml:space="preserve">4.1 Software </w:t>
      </w:r>
      <w:r>
        <w:t>Assurance</w:t>
      </w:r>
    </w:p>
    <w:p w:rsidR="006514EF" w:rsidRDefault="00DD50AA">
      <w:pPr>
        <w:pStyle w:val="ProductList-Body"/>
      </w:pPr>
      <w:r>
        <w:t>Kunden,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w:t>
      </w:r>
      <w:r>
        <w: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w:t>
      </w:r>
      <w:r>
        <w:t>eten/leasen und verwenden, denen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zugewiesen sind, dürfen jedoch gemäß </w:t>
      </w:r>
      <w:r>
        <w:t>ihrer eigenen Volumenlizenzvereinbarung Upgrades oder Upgrades und SA für die zugrunde liegenden Softwarelizenzen erwerben. Ungeachtet gegenteiliger Bestimmungen in der Volumenlizenzvereinbarung des Kunden hinsichtlich der Ansammlung zeitlich unbeschränkte</w:t>
      </w:r>
      <w:r>
        <w:t>r Rechte gelten alle Rechte, einschließlich des Rechts zur Nutzung von im Rahmen von SA erworbener Software, nur so lange, bis die entsprechenden Vermietungsrechte</w:t>
      </w:r>
      <w:r>
        <w:fldChar w:fldCharType="begin"/>
      </w:r>
      <w:r>
        <w:instrText xml:space="preserve"> AutoTextList   \s NoStyle \t "Lizenz bedeutet das Recht, ein Produkt herunterzuladen, zu ins</w:instrText>
      </w:r>
      <w:r>
        <w:instrText xml:space="preserve">tallieren, darauf zuzugreifen und es zu verwenden." </w:instrText>
      </w:r>
      <w:r>
        <w:fldChar w:fldCharType="separate"/>
      </w:r>
      <w:r>
        <w:rPr>
          <w:color w:val="0563C1"/>
        </w:rPr>
        <w:t>lizenzen</w:t>
      </w:r>
      <w:r>
        <w:fldChar w:fldCharType="end"/>
      </w:r>
      <w:r>
        <w:t xml:space="preserve"> ablaufen.</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141" w:name="_Sec614"/>
      <w:r>
        <w:t>SQL Server</w:t>
      </w:r>
      <w:bookmarkEnd w:id="141"/>
      <w:r>
        <w:fldChar w:fldCharType="begin"/>
      </w:r>
      <w:r>
        <w:instrText xml:space="preserve"> TC "</w:instrText>
      </w:r>
      <w:bookmarkStart w:id="142" w:name="_Toc439056308"/>
      <w:r>
        <w:instrText>SQL Server</w:instrText>
      </w:r>
      <w:bookmarkEnd w:id="142"/>
      <w:r>
        <w:instrText>" \l 2</w:instrText>
      </w:r>
      <w:r>
        <w:fldChar w:fldCharType="end"/>
      </w:r>
    </w:p>
    <w:p w:rsidR="006514EF" w:rsidRDefault="00DD50AA">
      <w:pPr>
        <w:pStyle w:val="ProductList-Offering1SubSection"/>
        <w:outlineLvl w:val="2"/>
      </w:pPr>
      <w:bookmarkStart w:id="143" w:name="_Sec688"/>
      <w:r>
        <w:t>1. Programmverfügbarkeit</w:t>
      </w:r>
      <w:bookmarkEnd w:id="14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w:instrText>
            </w:r>
            <w:r>
              <w:instrText xml:space="preserve">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w:instrText>
            </w:r>
            <w:r>
              <w:instrText xml:space="preserve">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w:instrText>
            </w:r>
            <w:r>
              <w:instrText xml:space="preserve">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SQL Server Parallel Data Warehouse</w:t>
            </w:r>
            <w:r>
              <w:fldChar w:fldCharType="begin"/>
            </w:r>
            <w:r>
              <w:instrText xml:space="preserve"> XE "SQL Server Parallel Da</w:instrText>
            </w:r>
            <w:r>
              <w:instrText xml:space="preserve">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2"/>
      </w:pPr>
      <w:bookmarkStart w:id="144" w:name="_Sec743"/>
      <w:r>
        <w:t>2. Produktbedingungen</w:t>
      </w:r>
      <w:bookmarkEnd w:id="144"/>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w:instrText>
            </w:r>
            <w:r>
              <w:instrText xml:space="preserve">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"Down-Editionen: Zulässige niedrigere Editionen, die bestimmten höheren Editionen entsprechen. Der Kunde ist wie jeweils in den Universellen Lize</w:instrText>
            </w:r>
            <w:r>
              <w:instrText xml:space="preserv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w:t>
            </w:r>
            <w:r>
              <w:t>r 2008 R2 Datacenter; Standard zu Workgroup oder Small Business; Business Intelligence zu Standard, Workgroup oder Small Business</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w:instrText>
            </w:r>
            <w:r>
              <w:instrText xml:space="preserve">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w:instrText>
            </w:r>
            <w:r>
              <w:instrText xml:space="preserv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w:t>
            </w:r>
            <w:r>
              <w:t>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2.1 SQL</w:t>
      </w:r>
      <w:r>
        <w:t xml:space="preserve"> Server 2014 Enterprise</w:t>
      </w:r>
    </w:p>
    <w:p w:rsidR="006514EF" w:rsidRDefault="00DD50AA">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w:t>
      </w:r>
      <w:r>
        <w:t xml:space="preserve">) verfügbar. Bestehende Software Assurance-Kunden, die auf die Version 2014 upgraden, finden die Lizenzbestimmungen in den PUR von April 2014: </w:t>
      </w:r>
      <w:hyperlink r:id="rId55">
        <w:r>
          <w:rPr>
            <w:color w:val="00467F"/>
            <w:u w:val="single"/>
          </w:rPr>
          <w:t>http://go.microsoft.com/?linkid=9839206</w:t>
        </w:r>
      </w:hyperlink>
      <w:r>
        <w:t>.</w:t>
      </w:r>
    </w:p>
    <w:p w:rsidR="006514EF" w:rsidRDefault="006514EF">
      <w:pPr>
        <w:pStyle w:val="ProductList-Body"/>
      </w:pPr>
    </w:p>
    <w:p w:rsidR="006514EF" w:rsidRDefault="00DD50AA">
      <w:pPr>
        <w:pStyle w:val="ProductList-ClauseHeading"/>
        <w:outlineLvl w:val="3"/>
      </w:pPr>
      <w:r>
        <w:t>Optionaler B</w:t>
      </w:r>
      <w:r>
        <w:t>uild ohne Oracle Java für SQL Server 2.2 Parallel Data Warehouse</w:t>
      </w:r>
    </w:p>
    <w:p w:rsidR="006514EF" w:rsidRDefault="00DD50AA">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w:t>
      </w:r>
      <w:r>
        <w:t xml:space="preserve"> können einen Build des Produkts mit oder (auf Anfrage) ohne Oracle Java erwerben. Weitere Informationen finden Sie unter </w:t>
      </w:r>
      <w:hyperlink r:id="rId56">
        <w:r>
          <w:rPr>
            <w:color w:val="00467F"/>
            <w:u w:val="single"/>
          </w:rPr>
          <w:t>http://www.microsoft.com/</w:t>
        </w:r>
        <w:r>
          <w:rPr>
            <w:color w:val="00467F"/>
            <w:u w:val="single"/>
          </w:rPr>
          <w:t>en-us/sqlserver/solutions-technologies/data-warehousing/pdw.aspx</w:t>
        </w:r>
      </w:hyperlink>
      <w:r>
        <w:t>.</w:t>
      </w:r>
    </w:p>
    <w:p w:rsidR="006514EF" w:rsidRDefault="006514EF">
      <w:pPr>
        <w:pStyle w:val="ProductList-Body"/>
      </w:pPr>
    </w:p>
    <w:p w:rsidR="006514EF" w:rsidRDefault="00DD50AA">
      <w:pPr>
        <w:pStyle w:val="ProductList-ClauseHeading"/>
        <w:outlineLvl w:val="3"/>
      </w:pPr>
      <w:r>
        <w:t>2.3 SQL Server Parallel Data Warehouse</w:t>
      </w:r>
    </w:p>
    <w:p w:rsidR="006514EF" w:rsidRDefault="00DD50AA">
      <w:pPr>
        <w:pStyle w:val="ProductList-Body"/>
      </w:pPr>
      <w:r>
        <w:t xml:space="preserve">Die Software SQL Server Parallel Data Warehouse ist nicht versioniert; Kunden sind jedoch berechtigt, nur die Softwarebuilds zu verwenden, die während der SA-Laufzeit zur Verfügung gestellt werden. </w:t>
      </w:r>
    </w:p>
    <w:p w:rsidR="006514EF" w:rsidRDefault="00DD50AA">
      <w:pPr>
        <w:pStyle w:val="ProductList-Offering1SubSection"/>
        <w:outlineLvl w:val="2"/>
      </w:pPr>
      <w:bookmarkStart w:id="145" w:name="_Sec794"/>
      <w:r>
        <w:t>3. Nutzungsrechte</w:t>
      </w:r>
      <w:bookmarkEnd w:id="145"/>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w:instrText>
            </w:r>
            <w:r>
              <w:instrText xml:space="preserve">stimmungen: Bestimmungen zur Bereitstellung und Nutzung eines Produkts." </w:instrText>
            </w:r>
            <w:r>
              <w:fldChar w:fldCharType="separate"/>
            </w:r>
            <w:r>
              <w:rPr>
                <w:color w:val="0563C1"/>
              </w:rPr>
              <w:t>Lizenzbestimmungen</w:t>
            </w:r>
            <w:r>
              <w:fldChar w:fldCharType="end"/>
            </w:r>
            <w:r>
              <w:t xml:space="preserve">: </w:t>
            </w:r>
            <w:hyperlink r:id="rId57">
              <w:r>
                <w:rPr>
                  <w:color w:val="00467F"/>
                  <w:u w:val="single"/>
                </w:rPr>
                <w:t>Universell</w:t>
              </w:r>
            </w:hyperlink>
            <w:r>
              <w:t xml:space="preserve">; </w:t>
            </w:r>
            <w:hyperlink r:id="rId58">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w:instrText>
            </w:r>
            <w:r>
              <w:instrText xml:space="preserve">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w:instrText>
            </w:r>
            <w:r>
              <w:instrText xml:space="preserve">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w:instrText>
            </w:r>
            <w:r>
              <w:instrText xml:space="preserve">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w:instrText>
            </w:r>
            <w:r>
              <w:instrText xml:space="preserve">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w:instrText>
            </w:r>
            <w:r>
              <w:instrText xml:space="preserve">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14EF" w:rsidRDefault="00DD50A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3"/>
      </w:pPr>
      <w:r>
        <w:t>3.2 Automatische Updates von früheren Versionen von SQL Server</w:t>
      </w:r>
    </w:p>
    <w:p w:rsidR="006514EF" w:rsidRDefault="00DD50AA">
      <w:pPr>
        <w:pStyle w:val="ProductList-Body"/>
      </w:pPr>
      <w:r>
        <w:t xml:space="preserve">Wenn die Software auf </w:t>
      </w:r>
      <w:r>
        <w:fldChar w:fldCharType="begin"/>
      </w:r>
      <w:r>
        <w:instrText xml:space="preserve"> AutoTextList   \s NoStyle \t "Server ist ein physisches Hardwaresystem, das fähig ist, Serverso</w:instrText>
      </w:r>
      <w:r>
        <w:instrText xml:space="preserve">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w:t>
      </w:r>
      <w:r>
        <w:t>ien oder Features dieser Editionen durch Dateien dieser Software. Dieses Feature kann nicht abgeschaltet werden. Durch Entfernen dieser Dateien können Fehler in der Software verursacht werden, und die ursprünglichen Dateien können möglicherweise nicht wied</w:t>
      </w:r>
      <w:r>
        <w:t xml:space="preserve">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w:t>
      </w:r>
      <w:r>
        <w:t xml:space="preserve">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w:t>
      </w:r>
      <w:r>
        <w:t xml:space="preserve"> Gerät ausgeführt werden.</w:t>
      </w:r>
    </w:p>
    <w:p w:rsidR="006514EF" w:rsidRDefault="006514EF">
      <w:pPr>
        <w:pStyle w:val="ProductList-Body"/>
      </w:pPr>
    </w:p>
    <w:p w:rsidR="006514EF" w:rsidRDefault="00DD50AA">
      <w:pPr>
        <w:pStyle w:val="ProductList-ClauseHeading"/>
        <w:outlineLvl w:val="3"/>
      </w:pPr>
      <w:r>
        <w:t>3.3 Ausführen von Instanzen für Business Intelligence- und Standard-Editionen</w:t>
      </w:r>
    </w:p>
    <w:p w:rsidR="006514EF" w:rsidRDefault="00DD50AA">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w:instrText>
      </w:r>
      <w:r>
        <w:instrText xml:space="preserve">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w:instrText>
      </w:r>
      <w:r>
        <w:instrText xml:space="preserv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w:instrText>
      </w:r>
      <w:r>
        <w:instrText xml:space="preserve">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w:instrText>
      </w:r>
      <w:r>
        <w:instrText xml:space="preserv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6514EF" w:rsidRDefault="006514EF">
      <w:pPr>
        <w:pStyle w:val="ProductList-Body"/>
      </w:pPr>
    </w:p>
    <w:p w:rsidR="006514EF" w:rsidRDefault="00DD50AA">
      <w:pPr>
        <w:pStyle w:val="ProductList-ClauseHeading"/>
        <w:outlineLvl w:val="3"/>
      </w:pPr>
      <w:r>
        <w:t>3.4 SQL Server Business Intelligence (2012 und 2014): CAL-Verzicht für S</w:t>
      </w:r>
      <w:r>
        <w:t>tapelverarbeitungsaufträge</w:t>
      </w:r>
    </w:p>
    <w:p w:rsidR="006514EF" w:rsidRDefault="00DD50AA">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w:t>
      </w:r>
      <w:r>
        <w:t xml:space="preserve">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w:t>
      </w:r>
      <w:r>
        <w:t>rversoftware zugreifen. „Batchverarbeitung“ ist eine Aktivität, durch die eine Gruppe von Aufgaben, die zu verschiedenen Zeiten auftreten, gleichzeitig verarbeitet werden können.</w:t>
      </w:r>
    </w:p>
    <w:p w:rsidR="006514EF" w:rsidRDefault="006514EF">
      <w:pPr>
        <w:pStyle w:val="ProductList-Body"/>
      </w:pPr>
    </w:p>
    <w:p w:rsidR="006514EF" w:rsidRDefault="00DD50AA">
      <w:pPr>
        <w:pStyle w:val="ProductList-ClauseHeading"/>
        <w:outlineLvl w:val="3"/>
      </w:pPr>
      <w:r>
        <w:t>3.5 Failover-Server für Parallel Data Warehouse (PDW)</w:t>
      </w:r>
    </w:p>
    <w:p w:rsidR="006514EF" w:rsidRDefault="00DD50AA">
      <w:pPr>
        <w:pStyle w:val="ProductList-Body"/>
      </w:pPr>
      <w:r>
        <w:t xml:space="preserve">Bei der PDW Appliance </w:t>
      </w:r>
      <w:r>
        <w:t>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w:instrText>
      </w:r>
      <w:r>
        <w:instrText xml:space="preserve">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w:instrText>
      </w:r>
      <w:r>
        <w:instrText xml:space="preserve">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w:t>
      </w:r>
      <w:r>
        <w:t xml:space="preserve">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6514EF" w:rsidRDefault="006514EF">
      <w:pPr>
        <w:pStyle w:val="ProductList-Body"/>
      </w:pPr>
    </w:p>
    <w:p w:rsidR="006514EF" w:rsidRDefault="00DD50AA">
      <w:pPr>
        <w:pStyle w:val="ProductList-ClauseHeading"/>
        <w:outlineLvl w:val="3"/>
      </w:pPr>
      <w:r>
        <w:t>3.6 SQL Server 2014 Developer Edi</w:t>
      </w:r>
      <w:r>
        <w:t>tion: Nutzung zu Demonstrationszwecken</w:t>
      </w:r>
    </w:p>
    <w:p w:rsidR="006514EF" w:rsidRDefault="00DD50AA">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w:t>
      </w:r>
      <w:r>
        <w:t>, berechtigt, Kopien der Software zu installieren und zu verwenden, um die Verwendung der Programme des Kunden mit der Software vorzuführen.</w:t>
      </w:r>
    </w:p>
    <w:p w:rsidR="006514EF" w:rsidRDefault="006514EF">
      <w:pPr>
        <w:pStyle w:val="ProductList-Body"/>
      </w:pPr>
    </w:p>
    <w:p w:rsidR="006514EF" w:rsidRDefault="00DD50AA">
      <w:pPr>
        <w:pStyle w:val="ProductList-ClauseHeading"/>
        <w:outlineLvl w:val="3"/>
      </w:pPr>
      <w:r>
        <w:t>3.7 Zusätzliche Software – Alle (außer Developer)</w:t>
      </w:r>
    </w:p>
    <w:p w:rsidR="006514EF" w:rsidRDefault="00DD50AA">
      <w:pPr>
        <w:pStyle w:val="ProductList-SubClauseHeading"/>
        <w:outlineLvl w:val="4"/>
      </w:pPr>
      <w:r>
        <w:t>3.7.1 Zusätzliche Software – Alle (außer Parallel Data Warehouse</w:t>
      </w:r>
      <w:r>
        <w:t xml:space="preserve"> und Developer)</w:t>
      </w:r>
    </w:p>
    <w:tbl>
      <w:tblPr>
        <w:tblStyle w:val="PURTable0"/>
        <w:tblW w:w="0" w:type="dxa"/>
        <w:tblLook w:val="04A0" w:firstRow="1" w:lastRow="0" w:firstColumn="1" w:lastColumn="0" w:noHBand="0" w:noVBand="1"/>
      </w:tblPr>
      <w:tblGrid>
        <w:gridCol w:w="3440"/>
        <w:gridCol w:w="3527"/>
        <w:gridCol w:w="346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Client Tools Connectivity</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Distributed Replay Client</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Verwaltungstools – Vollständig</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"Failoverrechte: Eine Software Assurance-Vergü</w:instrText>
            </w:r>
            <w:r>
              <w:instrText xml:space="preserve">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w:t>
            </w:r>
            <w:r>
              <w:rPr>
                <w:color w:val="0563C1"/>
              </w:rPr>
              <w:t>rechte</w:t>
            </w:r>
            <w:r>
              <w:fldChar w:fldCharType="end"/>
            </w:r>
            <w:r>
              <w:t>: alle Editionen (außer Developer und Parallel Data Warehouse)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w:instrText>
            </w:r>
            <w:r>
              <w:instrText xml:space="preserve">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w:instrText>
            </w:r>
            <w:r>
              <w:instrText xml:space="preserve">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URBreadcrumb"/>
      </w:pPr>
    </w:p>
    <w:p w:rsidR="006514EF" w:rsidRDefault="00DD50AA">
      <w:pPr>
        <w:pStyle w:val="ProductList-ClauseHeading"/>
        <w:outlineLvl w:val="3"/>
      </w:pPr>
      <w:r>
        <w:t>4.1 SQL Server 2014 Enterprise Core – Unbegrenzte Virtualisierung</w:t>
      </w:r>
    </w:p>
    <w:p w:rsidR="006514EF" w:rsidRDefault="00DD50AA">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w:instrText>
      </w:r>
      <w:r>
        <w:instrText xml:space="preserve">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w:instrText>
      </w:r>
      <w:r>
        <w:instrText xml:space="preserv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w:instrText>
      </w:r>
      <w:r>
        <w:instrText xml:space="preserve">ist ein physisches Hardwaresystem, das fähig ist, Serversoftware auszuführen." </w:instrText>
      </w:r>
      <w:r>
        <w:fldChar w:fldCharType="separate"/>
      </w:r>
      <w:r>
        <w:rPr>
          <w:color w:val="0563C1"/>
        </w:rPr>
        <w:t>Servers</w:t>
      </w:r>
      <w:r>
        <w:fldChar w:fldCharType="end"/>
      </w:r>
      <w:r>
        <w:t xml:space="preserve"> verfügt.</w:t>
      </w:r>
    </w:p>
    <w:p w:rsidR="006514EF" w:rsidRDefault="006514EF">
      <w:pPr>
        <w:pStyle w:val="ProductList-Body"/>
      </w:pPr>
    </w:p>
    <w:p w:rsidR="006514EF" w:rsidRDefault="00DD50AA">
      <w:pPr>
        <w:pStyle w:val="ProductList-ClauseHeading"/>
        <w:outlineLvl w:val="3"/>
      </w:pPr>
      <w:r>
        <w:t>4.2 RRE für Windows – SQL Server Enterprise Core und SQL Server Enterprise</w:t>
      </w:r>
    </w:p>
    <w:p w:rsidR="006514EF" w:rsidRDefault="00DD50AA">
      <w:pPr>
        <w:pStyle w:val="ProductList-Body"/>
      </w:pPr>
      <w:r>
        <w:t>Kunden, deren Server für die Ausführung von SQL Server Enterprise Core mit Softwa</w:t>
      </w:r>
      <w:r>
        <w:t>re Assurance oder SQL Server Enterprise mit Software Assurance lizenziert sind, sind vorbehaltlich der Nutzungsrechte von SQL Server Enterprise Core bzw. SQL Server Enterprise zur Nutzung von RRE für Windows auf den lizenzierten Servern berechtigt. Kunden,</w:t>
      </w:r>
      <w:r>
        <w:t xml:space="preserve"> die SQL Server Enterprise nach dem Server-/CAL-Lizenzmodell lizenzieren, müssen zudem Software Assurance auf ihren jeweiligen CALs besitzen, um diesen Vorteil nutzen zu können. Das Recht des Kunden zur Nutzung von RRE für Windows verfällt mit dem Ablauf d</w:t>
      </w:r>
      <w:r>
        <w:t>er Software Assurance.</w:t>
      </w:r>
    </w:p>
    <w:p w:rsidR="006514EF" w:rsidRDefault="006514EF">
      <w:pPr>
        <w:pStyle w:val="ProductList-ClauseHeading"/>
        <w:outlineLvl w:val="3"/>
      </w:pPr>
    </w:p>
    <w:p w:rsidR="006514EF" w:rsidRDefault="00DD50AA">
      <w:pPr>
        <w:pStyle w:val="ProductList-ClauseHeading"/>
        <w:outlineLvl w:val="3"/>
      </w:pPr>
      <w:r>
        <w:t>4.3 SQL Server 2012 Parallel Data Warehouse – Feature-Updates</w:t>
      </w:r>
    </w:p>
    <w:p w:rsidR="006514EF" w:rsidRDefault="00DD50AA">
      <w:pPr>
        <w:pStyle w:val="ProductList-Body"/>
      </w:pPr>
      <w:r>
        <w:t>Kunden mit Software Assurance haben Anspruch auf Features (z. B. Geräte-Updates), die im Zeitraum zwischen großen Produktveröffentlichungen herausgegeben werden.</w:t>
      </w:r>
    </w:p>
    <w:p w:rsidR="006514EF" w:rsidRDefault="006514EF">
      <w:pPr>
        <w:pStyle w:val="ProductList-Body"/>
      </w:pPr>
    </w:p>
    <w:p w:rsidR="006514EF" w:rsidRDefault="00DD50AA">
      <w:pPr>
        <w:pStyle w:val="ProductList-ClauseHeading"/>
        <w:outlineLvl w:val="3"/>
      </w:pPr>
      <w:r>
        <w:t>4.4 Buy</w:t>
      </w:r>
      <w:r>
        <w:t>-Out-Option für SQL Server unter dem Beitritt zur Anwendungsplattform (EAP)</w:t>
      </w:r>
    </w:p>
    <w:p w:rsidR="006514EF" w:rsidRDefault="00DD50AA">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w:instrText>
      </w:r>
      <w:r>
        <w:instrText xml:space="preserve">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w:instrText>
      </w:r>
      <w:r>
        <w:instrText xml:space="preserve">darauf zuzugreifen und es zu verwenden." </w:instrText>
      </w:r>
      <w:r>
        <w:fldChar w:fldCharType="separate"/>
      </w:r>
      <w:r>
        <w:rPr>
          <w:color w:val="0563C1"/>
        </w:rPr>
        <w:t>Lizenzen</w:t>
      </w:r>
      <w:r>
        <w:fldChar w:fldCharType="end"/>
      </w:r>
      <w:r>
        <w:t>.</w:t>
      </w:r>
    </w:p>
    <w:p w:rsidR="006514EF" w:rsidRDefault="006514EF">
      <w:pPr>
        <w:pStyle w:val="ProductList-Body"/>
      </w:pPr>
    </w:p>
    <w:p w:rsidR="006514EF" w:rsidRDefault="00DD50AA">
      <w:pPr>
        <w:pStyle w:val="ProductList-ClauseHeading"/>
        <w:outlineLvl w:val="3"/>
      </w:pPr>
      <w:r>
        <w:t>4.5 Bereitstellung von SQL Server Parallel Data Warehouse unter SQL Server Enterprise Core-Lizenzen (siehe „Down-Editionen“)</w:t>
      </w:r>
    </w:p>
    <w:p w:rsidR="006514EF" w:rsidRDefault="00DD50AA">
      <w:pPr>
        <w:pStyle w:val="ProductList-Body"/>
      </w:pPr>
      <w:r>
        <w:t>Der Zugriff auf Aktualisierungen für das Feature SQL Server Parallel Data Wa</w:t>
      </w:r>
      <w:r>
        <w:t>rehouse erfordert Software Assurance für alle Pro-Core-Lizenzen für SQL Enterprise, die derart bereitgestellt werden.</w:t>
      </w:r>
    </w:p>
    <w:p w:rsidR="006514EF" w:rsidRDefault="006514EF">
      <w:pPr>
        <w:pStyle w:val="ProductList-Body"/>
      </w:pPr>
    </w:p>
    <w:p w:rsidR="006514EF" w:rsidRDefault="00DD50AA">
      <w:pPr>
        <w:pStyle w:val="ProductList-ClauseHeading"/>
        <w:outlineLvl w:val="3"/>
      </w:pPr>
      <w:r>
        <w:t>4.6 Optionaler Build ohne Oracle Java für SQL Server 2012 Parallel Data Warehouse (PDW)</w:t>
      </w:r>
    </w:p>
    <w:p w:rsidR="006514EF" w:rsidRDefault="00DD50AA">
      <w:pPr>
        <w:pStyle w:val="ProductList-Body"/>
      </w:pPr>
      <w:r>
        <w:t>Kunden, die bei Bereitstellung von Appliance Upda</w:t>
      </w:r>
      <w:r>
        <w:t xml:space="preserve">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w:t>
      </w:r>
      <w:r>
        <w:t>t oder (auf Anfrage) ohne Oracle Java erwerben.</w:t>
      </w:r>
    </w:p>
    <w:p w:rsidR="006514EF" w:rsidRDefault="006514EF">
      <w:pPr>
        <w:pStyle w:val="ProductList-Body"/>
      </w:pPr>
    </w:p>
    <w:p w:rsidR="006514EF" w:rsidRDefault="00DD50AA">
      <w:pPr>
        <w:pStyle w:val="ProductList-ClauseHeading"/>
        <w:outlineLvl w:val="3"/>
      </w:pPr>
      <w:r>
        <w:t>4.7 Software Assurance-Rechte und -Vergünstigungen für Abonnementlizenzen</w:t>
      </w:r>
    </w:p>
    <w:p w:rsidR="006514EF" w:rsidRDefault="00DD50AA">
      <w:pPr>
        <w:pStyle w:val="ProductList-Body"/>
      </w:pPr>
      <w:r>
        <w:t>Jede Abonnementlizenz, die der Kunde unter einem Server- und Cloud-Beitritt erwirbt, gewährt dieselben SA-Rechte und -Vergünstigungen</w:t>
      </w:r>
      <w:r>
        <w:t xml:space="preserve"> wie die Lizenzen mit Software Assurance während der Abonnementlaufzeit.</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47" w:name="_Sec615"/>
      <w:r>
        <w:t>System Center</w:t>
      </w:r>
      <w:bookmarkEnd w:id="147"/>
      <w:r>
        <w:fldChar w:fldCharType="begin"/>
      </w:r>
      <w:r>
        <w:instrText xml:space="preserve"> TC "</w:instrText>
      </w:r>
      <w:bookmarkStart w:id="148" w:name="_Toc439056309"/>
      <w:r>
        <w:instrText>System Center</w:instrText>
      </w:r>
      <w:bookmarkEnd w:id="148"/>
      <w:r>
        <w:instrText>" \l 2</w:instrText>
      </w:r>
      <w:r>
        <w:fldChar w:fldCharType="end"/>
      </w:r>
    </w:p>
    <w:p w:rsidR="006514EF" w:rsidRDefault="00DD50AA">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6310"/>
      <w:r>
        <w:instrText>System Center Server</w:instrText>
      </w:r>
      <w:bookmarkEnd w:id="150"/>
      <w:r>
        <w:instrText>" \l 3</w:instrText>
      </w:r>
      <w:r>
        <w:fldChar w:fldCharType="end"/>
      </w:r>
    </w:p>
    <w:p w:rsidR="006514EF" w:rsidRDefault="00DD50AA">
      <w:pPr>
        <w:pStyle w:val="ProductList-Offering1SubSection"/>
        <w:outlineLvl w:val="3"/>
      </w:pPr>
      <w:bookmarkStart w:id="151" w:name="_Sec689"/>
      <w:r>
        <w:t>1. Programmverfügbarkeit</w:t>
      </w:r>
      <w:bookmarkEnd w:id="15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w:instrText>
            </w:r>
            <w:r>
              <w:instrText xml:space="preserve">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w:instrText>
            </w:r>
            <w:r>
              <w:instrText xml:space="preserve">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w:instrText>
            </w:r>
            <w:r>
              <w:instrText xml:space="preserve">"Open-Lizenz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w:instrText>
            </w:r>
            <w:r>
              <w:instrText xml:space="preserve">\s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152" w:name="_Sec744"/>
      <w:r>
        <w:t>2. Produktbedingungen</w:t>
      </w:r>
      <w:bookmarkEnd w:id="152"/>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w:instrText>
            </w:r>
            <w:r>
              <w:instrText xml:space="preserve">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w:instrText>
            </w:r>
            <w:r>
              <w:instrText xml:space="preserve">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2.1 Server- und Cloud-Beitritt (SCE) – Recht zur Verwaltung von Betriebssystemumgebungen auf Microsoft Azure mit CIS-Lizenzen</w:t>
      </w:r>
    </w:p>
    <w:p w:rsidR="006514EF" w:rsidRDefault="00DD50AA">
      <w:pPr>
        <w:pStyle w:val="ProductList-Body"/>
      </w:pPr>
      <w:r>
        <w:t>SCE-Kunden, die die Beitrittsanforderungen erfüllen und für Core Infrastructur</w:t>
      </w:r>
      <w:r>
        <w:t xml:space="preserve">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w:instrText>
      </w:r>
      <w:r>
        <w:instrText xml:space="preserve">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w:instrText>
      </w:r>
      <w:r>
        <w:instrText xml:space="preserv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w:t>
      </w:r>
      <w:r>
        <w:t xml:space="preserve">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w:t>
      </w:r>
      <w:r>
        <w:t xml:space="preserv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6514EF" w:rsidRDefault="00DD50AA">
      <w:pPr>
        <w:pStyle w:val="ProductList-Bullet"/>
        <w:numPr>
          <w:ilvl w:val="0"/>
          <w:numId w:val="25"/>
        </w:numPr>
      </w:pPr>
      <w:r>
        <w:t>Windows Virtual Machine-Instanzen</w:t>
      </w:r>
    </w:p>
    <w:p w:rsidR="006514EF" w:rsidRDefault="00DD50AA">
      <w:pPr>
        <w:pStyle w:val="ProductList-Bullet"/>
        <w:numPr>
          <w:ilvl w:val="0"/>
          <w:numId w:val="25"/>
        </w:numPr>
      </w:pPr>
      <w:r>
        <w:t>Cloud-Dienste-Instanzen (Webrolle und Worke</w:t>
      </w:r>
      <w:r>
        <w:t>rrolle)</w:t>
      </w:r>
    </w:p>
    <w:p w:rsidR="006514EF" w:rsidRDefault="00DD50AA">
      <w:pPr>
        <w:pStyle w:val="ProductList-Bullet"/>
        <w:numPr>
          <w:ilvl w:val="0"/>
          <w:numId w:val="25"/>
        </w:numPr>
      </w:pPr>
      <w:r>
        <w:t>Speicherkonten</w:t>
      </w:r>
    </w:p>
    <w:p w:rsidR="006514EF" w:rsidRDefault="00DD50AA">
      <w:pPr>
        <w:pStyle w:val="ProductList-Bullet"/>
        <w:numPr>
          <w:ilvl w:val="0"/>
          <w:numId w:val="25"/>
        </w:numPr>
      </w:pPr>
      <w:r>
        <w:t>SQL Datenbanken</w:t>
      </w:r>
    </w:p>
    <w:p w:rsidR="006514EF" w:rsidRDefault="00DD50AA">
      <w:pPr>
        <w:pStyle w:val="ProductList-Bullet"/>
        <w:numPr>
          <w:ilvl w:val="0"/>
          <w:numId w:val="25"/>
        </w:numPr>
      </w:pPr>
      <w:r>
        <w:t>Website-Instanzen</w:t>
      </w:r>
    </w:p>
    <w:p w:rsidR="006514EF" w:rsidRDefault="00DD50AA">
      <w:pPr>
        <w:pStyle w:val="ProductList-Offering1SubSection"/>
        <w:outlineLvl w:val="3"/>
      </w:pPr>
      <w:bookmarkStart w:id="153" w:name="_Sec797"/>
      <w:r>
        <w:t>3. Nutzungsrechte</w:t>
      </w:r>
      <w:bookmarkEnd w:id="153"/>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w:instrText>
            </w:r>
            <w:r>
              <w:instrText xml:space="preserv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3.2 Management-Lizenz – System Center </w:t>
      </w:r>
      <w:r>
        <w:t>2012 R2 Datacenter</w:t>
      </w:r>
    </w:p>
    <w:tbl>
      <w:tblPr>
        <w:tblStyle w:val="PURTable"/>
        <w:tblW w:w="0" w:type="dxa"/>
        <w:tblLook w:val="04A0" w:firstRow="1" w:lastRow="0" w:firstColumn="1" w:lastColumn="0" w:noHBand="0" w:noVBand="1"/>
      </w:tblPr>
      <w:tblGrid>
        <w:gridCol w:w="3637"/>
        <w:gridCol w:w="3637"/>
        <w:gridCol w:w="351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3.3 SQL Server-Technologie</w:t>
      </w:r>
    </w:p>
    <w:p w:rsidR="006514EF" w:rsidRDefault="00DD50AA">
      <w:pPr>
        <w:pStyle w:val="ProductList-Body"/>
      </w:pPr>
      <w:r>
        <w:t xml:space="preserve">Der Kunde ist berechtigt, eine </w:t>
      </w:r>
      <w:r>
        <w:fldChar w:fldCharType="begin"/>
      </w:r>
      <w:r>
        <w:instrText xml:space="preserve"> AutoTextList   \s NoStyle \t "Instanz ist ein Software-Image, das durch die Ausführung der Setu</w:instrText>
      </w:r>
      <w:r>
        <w:instrText xml:space="preserve">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w:t>
      </w:r>
      <w:r>
        <w:t>ukts und anderer Produkte auszuführen, die SQL Server-Datenbanksoftware enthalten.</w:t>
      </w:r>
    </w:p>
    <w:p w:rsidR="006514EF" w:rsidRDefault="00DD50AA">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w:instrText>
            </w:r>
            <w:r>
              <w:instrText xml:space="preserve">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w:instrText>
            </w:r>
            <w:r>
              <w:instrText xml:space="preserve">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w:t>
            </w:r>
            <w:r>
              <w:t xml:space="preserv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w:instrText>
            </w:r>
            <w:r>
              <w:instrText xml:space="preserve">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Globaler System Center-Dienstmonitor</w:t>
      </w:r>
    </w:p>
    <w:p w:rsidR="006514EF" w:rsidRDefault="00DD50AA">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w:instrText>
      </w:r>
      <w:r>
        <w:instrText xml:space="preserve">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w:instrText>
      </w:r>
      <w:r>
        <w:instrText xml:space="preserve">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w:instrText>
      </w:r>
      <w:r>
        <w:instrText xml:space="preserve">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w:t>
      </w:r>
      <w:r>
        <w:t>nziert sind, zu verwenden. Die Nutzung dieses Onlinediensts unterliegt den Bestimmungen für Onlinedienste.</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55" w:name="_Sec643"/>
      <w:r>
        <w:t>System Center Client Management</w:t>
      </w:r>
      <w:r>
        <w:t xml:space="preserve"> Suite</w:t>
      </w:r>
      <w:bookmarkEnd w:id="155"/>
      <w:r>
        <w:fldChar w:fldCharType="begin"/>
      </w:r>
      <w:r>
        <w:instrText xml:space="preserve"> TC "</w:instrText>
      </w:r>
      <w:bookmarkStart w:id="156" w:name="_Toc439056311"/>
      <w:r>
        <w:instrText>System Center Client Management Suite</w:instrText>
      </w:r>
      <w:bookmarkEnd w:id="156"/>
      <w:r>
        <w:instrText>" \l 3</w:instrText>
      </w:r>
      <w:r>
        <w:fldChar w:fldCharType="end"/>
      </w:r>
    </w:p>
    <w:p w:rsidR="006514EF" w:rsidRDefault="00DD50AA">
      <w:pPr>
        <w:pStyle w:val="ProductList-Offering1SubSection"/>
        <w:outlineLvl w:val="3"/>
      </w:pPr>
      <w:bookmarkStart w:id="157" w:name="_Sec690"/>
      <w:r>
        <w:t>1. Programmverfügbarkeit</w:t>
      </w:r>
      <w:bookmarkEnd w:id="157"/>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w:instrText>
            </w:r>
            <w:r>
              <w:instrText xml:space="preserve">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158" w:name="_Sec745"/>
      <w:r>
        <w:t>2. Produktbedingungen</w:t>
      </w:r>
      <w:bookmarkEnd w:id="158"/>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w:t>
            </w:r>
            <w:r>
              <w:rPr>
                <w:color w:val="0563C1"/>
              </w:rPr>
              <w:t>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59" w:name="_Sec801"/>
      <w:r>
        <w:t>3. Nutzungsrechte</w:t>
      </w:r>
      <w:bookmarkEnd w:id="159"/>
    </w:p>
    <w:tbl>
      <w:tblPr>
        <w:tblStyle w:val="PURTable"/>
        <w:tblW w:w="0" w:type="dxa"/>
        <w:tblLook w:val="04A0" w:firstRow="1" w:lastRow="0" w:firstColumn="1" w:lastColumn="0" w:noHBand="0" w:noVBand="1"/>
      </w:tblPr>
      <w:tblGrid>
        <w:gridCol w:w="3664"/>
        <w:gridCol w:w="3555"/>
        <w:gridCol w:w="3571"/>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w:instrText>
            </w:r>
            <w:r>
              <w:instrText xml:space="preserve">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3.2 SQL </w:t>
      </w:r>
      <w:r>
        <w:t>Server-Technologie</w:t>
      </w:r>
    </w:p>
    <w:p w:rsidR="006514EF" w:rsidRDefault="00DD50AA">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w:t>
      </w:r>
      <w:r>
        <w:rPr>
          <w:color w:val="0563C1"/>
        </w:rPr>
        <w:t>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6514EF" w:rsidRDefault="00DD50AA">
      <w:pPr>
        <w:pStyle w:val="ProductList-Offering1SubSection"/>
        <w:outlineLvl w:val="3"/>
      </w:pPr>
      <w:bookmarkStart w:id="160" w:name="_Sec816"/>
      <w:r>
        <w:t>4. Software Assurance</w:t>
      </w:r>
      <w:bookmarkEnd w:id="160"/>
    </w:p>
    <w:p w:rsidR="006514EF" w:rsidRDefault="006514EF">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w:instrText>
            </w:r>
            <w:r>
              <w:instrText xml:space="preserve">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56312"/>
      <w:r>
        <w:instrText>System Center Configuration Manager</w:instrText>
      </w:r>
      <w:bookmarkEnd w:id="162"/>
      <w:r>
        <w:instrText>" \l 3</w:instrText>
      </w:r>
      <w:r>
        <w:fldChar w:fldCharType="end"/>
      </w:r>
    </w:p>
    <w:p w:rsidR="006514EF" w:rsidRDefault="00DD50AA">
      <w:pPr>
        <w:pStyle w:val="ProductList-Offering1SubSection"/>
        <w:outlineLvl w:val="3"/>
      </w:pPr>
      <w:bookmarkStart w:id="163" w:name="_Sec691"/>
      <w:r>
        <w:t>1. Programmverfügbarkeit</w:t>
      </w:r>
      <w:bookmarkEnd w:id="163"/>
    </w:p>
    <w:p w:rsidR="006514EF" w:rsidRDefault="006514EF">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Client-Management-Lizenz (Client-ML) für System Center 2012 R2 Configuration Manager</w:t>
            </w:r>
            <w:r>
              <w:fldChar w:fldCharType="begin"/>
            </w:r>
            <w:r>
              <w:instrText xml:space="preserve"> XE "</w:instrText>
            </w:r>
            <w:r>
              <w:instrText xml:space="preserve">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164" w:name="_Sec746"/>
      <w:r>
        <w:t>2. Produktbedingungen</w:t>
      </w:r>
      <w:bookmarkEnd w:id="164"/>
    </w:p>
    <w:tbl>
      <w:tblPr>
        <w:tblStyle w:val="PURTable"/>
        <w:tblW w:w="0" w:type="dxa"/>
        <w:tblLook w:val="04A0" w:firstRow="1" w:lastRow="0" w:firstColumn="1" w:lastColumn="0" w:noHBand="0" w:noVBand="1"/>
      </w:tblPr>
      <w:tblGrid>
        <w:gridCol w:w="3540"/>
        <w:gridCol w:w="3625"/>
        <w:gridCol w:w="362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w:t>
            </w:r>
            <w:r>
              <w:t>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w:instrText>
            </w:r>
            <w:r>
              <w:instrText xml:space="preserve">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65" w:name="_Sec802"/>
      <w:r>
        <w:t>3. Nutzungsrechte</w:t>
      </w:r>
      <w:bookmarkEnd w:id="165"/>
    </w:p>
    <w:tbl>
      <w:tblPr>
        <w:tblStyle w:val="PURTable"/>
        <w:tblW w:w="0" w:type="dxa"/>
        <w:tblLook w:val="04A0" w:firstRow="1" w:lastRow="0" w:firstColumn="1" w:lastColumn="0" w:noHBand="0" w:noVBand="1"/>
      </w:tblPr>
      <w:tblGrid>
        <w:gridCol w:w="3642"/>
        <w:gridCol w:w="3566"/>
        <w:gridCol w:w="358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w:t>
            </w:r>
            <w:r>
              <w:rPr>
                <w:color w:val="0563C1"/>
              </w:rPr>
              <w:t>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 xml:space="preserve">Management-Lizenz-äquivalente Lizenz (siehe </w:t>
            </w:r>
            <w:hyperlink w:anchor="_Sec591">
              <w:r>
                <w:rPr>
                  <w:color w:val="00467F"/>
                  <w:u w:val="single"/>
                </w:rPr>
                <w:t>Anhang A</w:t>
              </w:r>
            </w:hyperlink>
            <w:r>
              <w:t>)</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3.2 SQL Server-Technologie</w:t>
      </w:r>
    </w:p>
    <w:p w:rsidR="006514EF" w:rsidRDefault="00DD50AA">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6514EF" w:rsidRDefault="00DD50AA">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w:instrText>
            </w:r>
            <w:r>
              <w:instrText xml:space="preserve">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w:instrText>
            </w:r>
            <w:r>
              <w:instrText xml:space="preserve">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System Center Configuration Manager – VDI-Rechte</w:t>
      </w:r>
    </w:p>
    <w:p w:rsidR="006514EF" w:rsidRDefault="00DD50AA">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s (jeweils eine „berechtigende VDI-Lizenz“) sind berechtigt, die Software zu verwenden, um gle</w:t>
      </w:r>
      <w:r>
        <w:t xml:space="preserv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w:t>
      </w:r>
      <w:r>
        <w:t>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w:instrText>
      </w:r>
      <w:r>
        <w:instrText xml:space="preserve">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6514EF" w:rsidRDefault="006514EF">
      <w:pPr>
        <w:pStyle w:val="ProductList-Body"/>
      </w:pPr>
    </w:p>
    <w:p w:rsidR="006514EF" w:rsidRDefault="00DD50AA">
      <w:pPr>
        <w:pStyle w:val="ProductList-ClauseHeading"/>
        <w:outlineLvl w:val="4"/>
      </w:pPr>
      <w:r>
        <w:t>4.2 System Center Configuration Manager (aktuelle</w:t>
      </w:r>
      <w:r>
        <w:t xml:space="preserve"> Verzweigung) – Rechte</w:t>
      </w:r>
    </w:p>
    <w:p w:rsidR="006514EF" w:rsidRDefault="00DD50AA">
      <w:pPr>
        <w:pStyle w:val="ProductList-Body"/>
      </w:pPr>
      <w:r>
        <w:t>System Center Configuration Manager (aktuelle Verzweigung) darf nur von Kunden mit aktiver SA für System Center Configuration Manager SA oder gleichwertigen Abonnementrechten verwendet werden. Kunden, die SA oder ihr Abonnement ausla</w:t>
      </w:r>
      <w:r>
        <w:t>ufen lassen, müssen System Center Configuration Manager (aktuelle Verzweigung) deinstallieren. Kunden mit zeitlich unbeschränkten Rechten für System Center Configuration Manager dürfen die Version von System Center Configuration Manager installieren, die z</w:t>
      </w:r>
      <w:r>
        <w:t>um Auslaufzeitpunkt aktuell ist.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6313"/>
      <w:r>
        <w:instrText>System Center Data Protection Manager</w:instrText>
      </w:r>
      <w:bookmarkEnd w:id="168"/>
      <w:r>
        <w:instrText>" \l 3</w:instrText>
      </w:r>
      <w:r>
        <w:fldChar w:fldCharType="end"/>
      </w:r>
    </w:p>
    <w:p w:rsidR="006514EF" w:rsidRDefault="00DD50AA">
      <w:pPr>
        <w:pStyle w:val="ProductList-Body"/>
      </w:pPr>
      <w:r>
        <w:t>Kunden aus Forsch</w:t>
      </w:r>
      <w:r>
        <w:t>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3">
        <w:r>
          <w:rPr>
            <w:color w:val="00467F"/>
            <w:u w:val="single"/>
          </w:rPr>
          <w:t>http://go.microsoft.com/?linkid=9839206</w:t>
        </w:r>
      </w:hyperlink>
      <w:r>
        <w:t>) sowie in der Produktliste Juni 2015 (</w:t>
      </w:r>
      <w:hyperlink r:id="rId64">
        <w:r>
          <w:rPr>
            <w:color w:val="00467F"/>
            <w:u w:val="single"/>
          </w:rPr>
          <w:t>http://go.microsoft.com/?linkid=9839207</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56314"/>
      <w:r>
        <w:instrText>System Center Operation Manager</w:instrText>
      </w:r>
      <w:bookmarkEnd w:id="170"/>
      <w:r>
        <w:instrText>" \l 3</w:instrText>
      </w:r>
      <w:r>
        <w:fldChar w:fldCharType="end"/>
      </w:r>
    </w:p>
    <w:p w:rsidR="006514EF" w:rsidRDefault="00DD50AA">
      <w:pPr>
        <w:pStyle w:val="ProductList-Body"/>
      </w:pPr>
      <w:r>
        <w:t xml:space="preserve">Kunden aus Forschung und Lehre, die Informationen zur Lizenzierung und Nutzung von </w:t>
      </w:r>
      <w:r>
        <w:t>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5">
        <w:r>
          <w:rPr>
            <w:color w:val="00467F"/>
            <w:u w:val="single"/>
          </w:rPr>
          <w:t>http://go.microsoft.com/?linkid=983</w:t>
        </w:r>
        <w:r>
          <w:rPr>
            <w:color w:val="00467F"/>
            <w:u w:val="single"/>
          </w:rPr>
          <w:t>9206</w:t>
        </w:r>
      </w:hyperlink>
      <w:r>
        <w:t>) sowie in der Produktliste Juni 2015 (</w:t>
      </w:r>
      <w:hyperlink r:id="rId66">
        <w:r>
          <w:rPr>
            <w:color w:val="00467F"/>
            <w:u w:val="single"/>
          </w:rPr>
          <w:t>http://go.microsoft.com/?linkid=9839207</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w:t>
              </w:r>
              <w:r>
                <w:rPr>
                  <w:color w:val="00467F"/>
                  <w:sz w:val="14"/>
                  <w:u w:val="single"/>
                </w:rPr>
                <w:t>dex</w:t>
              </w:r>
            </w:hyperlink>
          </w:p>
        </w:tc>
      </w:tr>
    </w:tbl>
    <w:p w:rsidR="006514EF" w:rsidRDefault="006514EF">
      <w:pPr>
        <w:pStyle w:val="ProductList-Body"/>
      </w:pPr>
    </w:p>
    <w:p w:rsidR="006514EF" w:rsidRDefault="00DD50AA">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56315"/>
      <w:r>
        <w:instrText>System Center Server Management Suite</w:instrText>
      </w:r>
      <w:bookmarkEnd w:id="172"/>
      <w:r>
        <w:instrText>" \l 3</w:instrText>
      </w:r>
      <w:r>
        <w:fldChar w:fldCharType="end"/>
      </w:r>
    </w:p>
    <w:p w:rsidR="006514EF" w:rsidRDefault="00DD50AA">
      <w:pPr>
        <w:pStyle w:val="ProductList-Body"/>
      </w:pPr>
      <w:r>
        <w:t>Kunden aus Forschung und Lehre, die Informationen zur Lizenzierung und Nutzung von System Center Server Management Suite</w:t>
      </w:r>
      <w:r>
        <w:fldChar w:fldCharType="begin"/>
      </w:r>
      <w:r>
        <w:instrText xml:space="preserve"> XE "System Center Server Management Suite</w:instrText>
      </w:r>
      <w:r>
        <w:instrText xml:space="preserve">" </w:instrText>
      </w:r>
      <w:r>
        <w:fldChar w:fldCharType="end"/>
      </w:r>
      <w:r>
        <w:t xml:space="preserve"> benötigen, erhalten diese in den Produktbenutzungsrechten von April 2015 (</w:t>
      </w:r>
      <w:hyperlink r:id="rId67">
        <w:r>
          <w:rPr>
            <w:color w:val="00467F"/>
            <w:u w:val="single"/>
          </w:rPr>
          <w:t>http://go.microsoft.com/?linkid=9839206</w:t>
        </w:r>
      </w:hyperlink>
      <w:r>
        <w:t>) sowie in der Produktliste Juni 2015 (</w:t>
      </w:r>
      <w:hyperlink r:id="rId68">
        <w:r>
          <w:rPr>
            <w:color w:val="00467F"/>
            <w:u w:val="single"/>
          </w:rPr>
          <w:t>http://go.microsoft.com/?linkid=9839207</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56316"/>
      <w:r>
        <w:instrText>System Center Service Manager</w:instrText>
      </w:r>
      <w:bookmarkEnd w:id="174"/>
      <w:r>
        <w:instrText>" \l 3</w:instrText>
      </w:r>
      <w:r>
        <w:fldChar w:fldCharType="end"/>
      </w:r>
    </w:p>
    <w:p w:rsidR="006514EF" w:rsidRDefault="00DD50AA">
      <w:pPr>
        <w:pStyle w:val="ProductList-Body"/>
      </w:pPr>
      <w:r>
        <w:t>Kunde</w:t>
      </w:r>
      <w:r>
        <w:t>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9">
        <w:r>
          <w:rPr>
            <w:color w:val="00467F"/>
            <w:u w:val="single"/>
          </w:rPr>
          <w:t>http://go.microsoft.com/?linkid=9839206</w:t>
        </w:r>
      </w:hyperlink>
      <w:r>
        <w:t>) sowie in der Produktliste Juni 2015 (</w:t>
      </w:r>
      <w:hyperlink r:id="rId70">
        <w:r>
          <w:rPr>
            <w:color w:val="00467F"/>
            <w:u w:val="single"/>
          </w:rPr>
          <w:t>http://go.microsoft.com/?linkid=9839207</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56317"/>
      <w:r>
        <w:instrText>Virtual Desktop Infrastructure (VDI) Suite</w:instrText>
      </w:r>
      <w:bookmarkEnd w:id="176"/>
      <w:r>
        <w:instrText>" \l 2</w:instrText>
      </w:r>
      <w:r>
        <w:fldChar w:fldCharType="end"/>
      </w:r>
    </w:p>
    <w:p w:rsidR="006514EF" w:rsidRDefault="00DD50AA">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1">
        <w:r>
          <w:rPr>
            <w:color w:val="00467F"/>
            <w:u w:val="single"/>
          </w:rPr>
          <w:t>http://go.microsoft.com/?linkid=9839206</w:t>
        </w:r>
      </w:hyperlink>
      <w:r>
        <w:t>) sowie in der Produktliste Juni 2015 (</w:t>
      </w:r>
      <w:hyperlink r:id="rId72">
        <w:r>
          <w:rPr>
            <w:color w:val="00467F"/>
            <w:u w:val="single"/>
          </w:rPr>
          <w:t>http://go.microsoft.com/?linkid=9839207</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77" w:name="_Sec617"/>
      <w:r>
        <w:t>Visual Studio</w:t>
      </w:r>
      <w:bookmarkEnd w:id="177"/>
      <w:r>
        <w:fldChar w:fldCharType="begin"/>
      </w:r>
      <w:r>
        <w:instrText xml:space="preserve"> TC "</w:instrText>
      </w:r>
      <w:bookmarkStart w:id="178" w:name="_Toc439056318"/>
      <w:r>
        <w:instrText>Visual Studio</w:instrText>
      </w:r>
      <w:bookmarkEnd w:id="178"/>
      <w:r>
        <w:instrText>" \l 2</w:instrText>
      </w:r>
      <w:r>
        <w:fldChar w:fldCharType="end"/>
      </w:r>
    </w:p>
    <w:p w:rsidR="006514EF" w:rsidRDefault="00DD50AA">
      <w:pPr>
        <w:pStyle w:val="ProductList-Offering2HeadingNoBorder"/>
        <w:outlineLvl w:val="2"/>
      </w:pPr>
      <w:bookmarkStart w:id="179" w:name="_Sec649"/>
      <w:r>
        <w:t>Visual Studio</w:t>
      </w:r>
      <w:bookmarkEnd w:id="179"/>
      <w:r>
        <w:fldChar w:fldCharType="begin"/>
      </w:r>
      <w:r>
        <w:instrText xml:space="preserve"> TC "</w:instrText>
      </w:r>
      <w:bookmarkStart w:id="180" w:name="_Toc439056319"/>
      <w:r>
        <w:instrText>Visual Studio</w:instrText>
      </w:r>
      <w:bookmarkEnd w:id="180"/>
      <w:r>
        <w:instrText>" \l</w:instrText>
      </w:r>
      <w:r>
        <w:instrText xml:space="preserve"> 3</w:instrText>
      </w:r>
      <w:r>
        <w:fldChar w:fldCharType="end"/>
      </w:r>
    </w:p>
    <w:p w:rsidR="006514EF" w:rsidRDefault="00DD50AA">
      <w:pPr>
        <w:pStyle w:val="ProductList-Offering1SubSection"/>
        <w:outlineLvl w:val="3"/>
      </w:pPr>
      <w:bookmarkStart w:id="181" w:name="_Sec697"/>
      <w:r>
        <w:t>1. Programmverfügbarkeit</w:t>
      </w:r>
      <w:bookmarkEnd w:id="18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Visual Studio Enterprise 2015 mit MSDN</w:t>
            </w:r>
            <w:r>
              <w:fldChar w:fldCharType="begin"/>
            </w:r>
            <w:r>
              <w:instrText xml:space="preserve"> XE "Visual Studio Enterprise 201</w:instrText>
            </w:r>
            <w:r>
              <w:instrText xml:space="preserve">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w:instrText>
            </w:r>
            <w:r>
              <w:instrText xml:space="preserve">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182" w:name="_Sec752"/>
      <w:r>
        <w:t>2. Produktbedingungen</w:t>
      </w:r>
      <w:bookmarkEnd w:id="182"/>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w:instrText>
            </w:r>
            <w:r>
              <w:instrText xml:space="preserve">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w:instrText>
            </w:r>
            <w:r>
              <w:instrText xml:space="preserve">iner lizenzierten höheren Edition zu nutzen." </w:instrText>
            </w:r>
            <w:r>
              <w:fldChar w:fldCharType="separate"/>
            </w:r>
            <w:r>
              <w:rPr>
                <w:color w:val="0563C1"/>
              </w:rPr>
              <w:t>Down-Editionen</w:t>
            </w:r>
            <w:r>
              <w:fldChar w:fldCharType="end"/>
            </w:r>
            <w:r>
              <w:t>: Enterprise zu Professional</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"Voraussetzung (Software Assurance): weist darauf hin, dass bestimm</w:instrText>
            </w:r>
            <w:r>
              <w:instrText xml:space="preserve">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w:t>
            </w:r>
            <w:r>
              <w:rPr>
                <w:color w:val="404040"/>
              </w:rPr>
              <w:t>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2.1 Visual Studio Premium 2013 mit MSDN und Visual Studio Ultim</w:t>
      </w:r>
      <w:r>
        <w:t>ate 2013 mit MSDN</w:t>
      </w:r>
    </w:p>
    <w:p w:rsidR="006514EF" w:rsidRDefault="00DD50AA">
      <w:pPr>
        <w:pStyle w:val="ProductList-Body"/>
      </w:pPr>
      <w:r>
        <w:t>Visual Studio Enterprise 2015 mit MSDN ist die Folgeversion von Visual Studio Premium 2013 mit MSDN und Visual Studio Ultimate 2013 mit MSDN.</w:t>
      </w:r>
    </w:p>
    <w:p w:rsidR="006514EF" w:rsidRDefault="006514EF">
      <w:pPr>
        <w:pStyle w:val="ProductList-Body"/>
      </w:pPr>
    </w:p>
    <w:p w:rsidR="006514EF" w:rsidRDefault="00DD50AA">
      <w:pPr>
        <w:pStyle w:val="ProductList-ClauseHeading"/>
        <w:outlineLvl w:val="4"/>
      </w:pPr>
      <w:r>
        <w:t>2.2 Lizenzgewährung für SQL Server Parallel Data Warehouse Developer</w:t>
      </w:r>
    </w:p>
    <w:p w:rsidR="006514EF" w:rsidRDefault="00DD50AA">
      <w:pPr>
        <w:pStyle w:val="ProductList-Body"/>
      </w:pPr>
      <w:r>
        <w:t xml:space="preserve">Jeder </w:t>
      </w:r>
      <w:r>
        <w:fldChar w:fldCharType="begin"/>
      </w:r>
      <w:r>
        <w:instrText xml:space="preserve"> AutoTextList   \s N</w:instrText>
      </w:r>
      <w:r>
        <w:instrText xml:space="preserve">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w:t>
      </w:r>
      <w:r>
        <w:t xml:space="preserve"> Inhaber einer Lizenz für SQL Server 2012 Parallel Data Warehouse Developer.</w:t>
      </w:r>
    </w:p>
    <w:p w:rsidR="006514EF" w:rsidRDefault="006514EF">
      <w:pPr>
        <w:pStyle w:val="ProductList-Body"/>
      </w:pPr>
    </w:p>
    <w:p w:rsidR="006514EF" w:rsidRDefault="00DD50AA">
      <w:pPr>
        <w:pStyle w:val="ProductList-ClauseHeading"/>
        <w:outlineLvl w:val="4"/>
      </w:pPr>
      <w:r>
        <w:t>2.3 Lizenzgewährung für Visual Studio Team Foundation Server 2015</w:t>
      </w:r>
    </w:p>
    <w:p w:rsidR="006514EF" w:rsidRDefault="00DD50A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w:t>
      </w:r>
      <w:r>
        <w:t xml:space="preserve">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für Visual Studio Team Foundation Server 2015 und einer Nutzer-CAL für</w:t>
      </w:r>
      <w:r>
        <w:t xml:space="preserve">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w:instrText>
      </w:r>
      <w:r>
        <w:instrText xml:space="preserve">\t "Lizenzierter Nutzer ist die jeweilige Person, der eine Lizenz zugewiesen wird." </w:instrText>
      </w:r>
      <w:r>
        <w:fldChar w:fldCharType="separate"/>
      </w:r>
      <w:r>
        <w:rPr>
          <w:color w:val="0563C1"/>
        </w:rPr>
        <w:t>Lizenzierten Nutzer</w:t>
      </w:r>
      <w:r>
        <w:fldChar w:fldCharType="end"/>
      </w:r>
      <w:r>
        <w:t xml:space="preserve"> bestimmt.</w:t>
      </w:r>
    </w:p>
    <w:p w:rsidR="006514EF" w:rsidRDefault="006514EF">
      <w:pPr>
        <w:pStyle w:val="ProductList-Body"/>
      </w:pPr>
    </w:p>
    <w:p w:rsidR="006514EF" w:rsidRDefault="00DD50AA">
      <w:pPr>
        <w:pStyle w:val="ProductList-ClauseHeading"/>
        <w:outlineLvl w:val="4"/>
      </w:pPr>
      <w:r>
        <w:t>2.4 Microsoft Azure Platform-Dienste</w:t>
      </w:r>
    </w:p>
    <w:p w:rsidR="006514EF" w:rsidRDefault="00DD50AA">
      <w:pPr>
        <w:pStyle w:val="ProductList-Body"/>
      </w:pPr>
      <w:r>
        <w:t>Microsoft Azure-Vergünstigungen aus mehreren MSDN-Abonnements können nicht in einem Microsoft Azure-A</w:t>
      </w:r>
      <w:r>
        <w:t>ccount kombiniert werden.</w:t>
      </w:r>
    </w:p>
    <w:p w:rsidR="006514EF" w:rsidRDefault="00DD50AA">
      <w:pPr>
        <w:pStyle w:val="ProductList-Offering1SubSection"/>
        <w:outlineLvl w:val="3"/>
      </w:pPr>
      <w:bookmarkStart w:id="183" w:name="_Sec810"/>
      <w:r>
        <w:t>3. Nutzungsrechte</w:t>
      </w:r>
      <w:bookmarkEnd w:id="183"/>
    </w:p>
    <w:tbl>
      <w:tblPr>
        <w:tblStyle w:val="PURTable"/>
        <w:tblW w:w="0" w:type="dxa"/>
        <w:tblLook w:val="04A0" w:firstRow="1" w:lastRow="0" w:firstColumn="1" w:lastColumn="0" w:noHBand="0" w:noVBand="1"/>
      </w:tblPr>
      <w:tblGrid>
        <w:gridCol w:w="3662"/>
        <w:gridCol w:w="3552"/>
        <w:gridCol w:w="357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w:t>
              </w:r>
              <w:r>
                <w:rPr>
                  <w:color w:val="00467F"/>
                  <w:u w:val="single"/>
                </w:rPr>
                <w:t>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w:t>
            </w:r>
            <w:r>
              <w:rPr>
                <w:color w:val="0563C1"/>
              </w:rPr>
              <w:t>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 Microsoft SharePoint, Windows SDK, Microsoft Office-Komponenten, Werbung für SDK durch Microsoft</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Datei BUILDSERVER.TXT</w:t>
      </w:r>
    </w:p>
    <w:p w:rsidR="006514EF" w:rsidRDefault="00DD50AA">
      <w:pPr>
        <w:pStyle w:val="ProductList-Body"/>
      </w:pPr>
      <w:r>
        <w:t xml:space="preserve">Der Kunde kann Kopien der Dateien, die in den BuildServer-Listen unter </w:t>
      </w:r>
      <w:hyperlink r:id="rId73">
        <w:r>
          <w:rPr>
            <w:color w:val="00467F"/>
            <w:u w:val="single"/>
          </w:rPr>
          <w:t>http://go.microsoft.com/fwlink/?LinkId=286955</w:t>
        </w:r>
      </w:hyperlink>
      <w:r>
        <w:t xml:space="preserve"> aufgeführt sind, auf seinen Buildcomputern installieren, jedoch ausschließlich zum Kompilieren, Erstellen, Prüfen und Archivieren seiner Programme od</w:t>
      </w:r>
      <w:r>
        <w:t>er zum Ausführen von Qualitäts- oder Leistungstests im Rahmen des Buildprozesses.</w:t>
      </w:r>
    </w:p>
    <w:p w:rsidR="006514EF" w:rsidRDefault="006514EF">
      <w:pPr>
        <w:pStyle w:val="ProductList-Body"/>
      </w:pPr>
    </w:p>
    <w:p w:rsidR="006514EF" w:rsidRDefault="00DD50AA">
      <w:pPr>
        <w:pStyle w:val="ProductList-ClauseHeading"/>
        <w:outlineLvl w:val="4"/>
      </w:pPr>
      <w:r>
        <w:t>3.2 Dienstprogramme</w:t>
      </w:r>
    </w:p>
    <w:p w:rsidR="006514EF" w:rsidRDefault="00DD50AA">
      <w:pPr>
        <w:pStyle w:val="ProductList-Body"/>
      </w:pPr>
      <w:r>
        <w:t xml:space="preserve">Der Kunde ist berechtigt, die unter </w:t>
      </w:r>
      <w:hyperlink r:id="rId74">
        <w:r>
          <w:rPr>
            <w:color w:val="00467F"/>
            <w:u w:val="single"/>
          </w:rPr>
          <w:t>http://go.microsoft.com/fwlink/?LinkId=286955</w:t>
        </w:r>
      </w:hyperlink>
      <w:r>
        <w:t xml:space="preserve"> aufgef</w:t>
      </w:r>
      <w:r>
        <w:t>ührten Dienstprogramme, die er mit der Software erhält, auf andere Dritt-Computer des Kunden zu kopieren und zu installieren, jedoch nur zu dem Zweck, bei seinen mit der Software entwickelten Programmen und Datenbanken ein Debugging durchzuführen und diese</w:t>
      </w:r>
      <w:r>
        <w:t xml:space="preserve"> bereitzustellen. Der Kunde ist verpflichtet, alle auf einem Gerät installierten Dienstprogramme zu löschen, sobald er das Debugging seines Programms abgeschlossen hat, jedoch spätestens 30 Tage, nachdem er sie auf dem Gerät installiert hat, je nachdem, we</w:t>
      </w:r>
      <w:r>
        <w:t>lches Ereignis früher eintritt. Microsoft ist nicht für die Nutzung oder den Zugriff Dritter von/auf Dienstprogramme verantwortlich, die der Kunde auf einem beliebigen Gerät installiert.</w:t>
      </w:r>
    </w:p>
    <w:p w:rsidR="006514EF" w:rsidRDefault="006514EF">
      <w:pPr>
        <w:pStyle w:val="ProductList-Body"/>
      </w:pPr>
    </w:p>
    <w:p w:rsidR="006514EF" w:rsidRDefault="00DD50AA">
      <w:pPr>
        <w:pStyle w:val="ProductList-ClauseHeading"/>
        <w:outlineLvl w:val="4"/>
      </w:pPr>
      <w:r>
        <w:t xml:space="preserve">3.3 System Center – Virtual Machine Manager (SCVMM) – Visual Studio </w:t>
      </w:r>
      <w:r>
        <w:t>Enterprise mit MSDN und Visual Studio Test Professional mit MSDN</w:t>
      </w:r>
    </w:p>
    <w:p w:rsidR="006514EF" w:rsidRDefault="00DD50AA">
      <w:pPr>
        <w:pStyle w:val="ProductList-Body"/>
      </w:pPr>
      <w:r>
        <w:t xml:space="preserve">Jeder lizenzierte Nutzer von Visual Studio Enterprise mit MSDN oder Visual Studio Test Professional mit MSDN ist berechtigt, SCVMM mit der Visual Studio-Software zum Erstellen, Bereitstellen </w:t>
      </w:r>
      <w:r>
        <w:t>und Verwalten von Laborumgebungen zu installieren und auszuführen. Eine Laborumgebung ist eine virtuelle Betriebssystemumgebung, die ausschließlich zum Entwickeln und Testen der Programme des Kunden genutzt wird. Der Kunde benötigt keine Management-Lizenze</w:t>
      </w:r>
      <w:r>
        <w:t>n für diese Verwendung.</w:t>
      </w:r>
    </w:p>
    <w:p w:rsidR="006514EF" w:rsidRDefault="006514EF">
      <w:pPr>
        <w:pStyle w:val="ProductList-Body"/>
      </w:pPr>
    </w:p>
    <w:p w:rsidR="006514EF" w:rsidRDefault="00DD50AA">
      <w:pPr>
        <w:pStyle w:val="ProductList-ClauseHeading"/>
        <w:outlineLvl w:val="4"/>
      </w:pPr>
      <w:r>
        <w:t>3.4 Office Professional Plus 2016 – Visual Studio Enterprise mit MSDN</w:t>
      </w:r>
    </w:p>
    <w:p w:rsidR="006514EF" w:rsidRDefault="00DD50A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w:instrText>
      </w:r>
      <w:r>
        <w:instrText xml:space="preserve">enz zugewiesen wird." </w:instrText>
      </w:r>
      <w:r>
        <w:fldChar w:fldCharType="separate"/>
      </w:r>
      <w:r>
        <w:rPr>
          <w:color w:val="0563C1"/>
        </w:rPr>
        <w:t>Lizenzierten Nutzer</w:t>
      </w:r>
      <w:r>
        <w:fldChar w:fldCharType="end"/>
      </w:r>
      <w:r>
        <w:t>.</w:t>
      </w:r>
    </w:p>
    <w:p w:rsidR="006514EF" w:rsidRDefault="006514EF">
      <w:pPr>
        <w:pStyle w:val="ProductList-Body"/>
      </w:pPr>
    </w:p>
    <w:p w:rsidR="006514EF" w:rsidRDefault="00DD50AA">
      <w:pPr>
        <w:pStyle w:val="ProductList-ClauseHeading"/>
        <w:outlineLvl w:val="4"/>
      </w:pPr>
      <w:r>
        <w:t>3.5 Bibliotheken mit GNU Lesser General Public-Lizenz</w:t>
      </w:r>
    </w:p>
    <w:p w:rsidR="006514EF" w:rsidRDefault="00DD50A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w:t>
      </w:r>
      <w:r>
        <w:t xml:space="preserve">e die Visual Studio-Software zurückzuentwickeln (Reverse Engineering), zu dekompilieren oder zu disassemblieren oder anderweitig zu versuchen, den Quellcode der Visual Studio-Software abzuleiten, jedoch ausschließlich in dem zum Debuggen von Änderungen an </w:t>
      </w:r>
      <w:r>
        <w:t>Bibliotheken erforderlichen Umfang, die unter der GNU Lesser General Public-Lizenz lizenziert und in der Software enthalten sind und von dieser verlinkt werden.</w:t>
      </w:r>
    </w:p>
    <w:p w:rsidR="006514EF" w:rsidRDefault="00DD50AA">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w:instrText>
            </w:r>
            <w:r>
              <w:instrText xml:space="preserve">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w:t>
            </w:r>
            <w:r>
              <w:rPr>
                <w:color w:val="404040"/>
              </w:rPr>
              <w:t>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75">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 xml:space="preserve">4.1 Software </w:t>
      </w:r>
      <w:r>
        <w:t>Assurance-Berechtigung</w:t>
      </w:r>
    </w:p>
    <w:p w:rsidR="006514EF" w:rsidRDefault="00DD50AA">
      <w:pPr>
        <w:pStyle w:val="ProductList-Body"/>
      </w:pPr>
      <w:r>
        <w:t>Kunden, deren SA für Lizenzen für Visual Studio mit MSDN oder aktive Einzelhandelsabonnements, die den in den Produktbestimmungen enthaltenen Visual Studio-Angeboten entsprechen, auslaufen, sind berechtigt, die Software Assurance unt</w:t>
      </w:r>
      <w:r>
        <w:t>er einer beliebigen Lizenz für Visual Studio mit MSDN zu verlängern. Bei Verlängerung auf einer anderen MSDN-Abonnementebene ersetzen die neuen Nutzungsbestimmungen die alten, und jegliche Software, die nicht im neuen MSDN-Abonnement enthalten ist, darf ni</w:t>
      </w:r>
      <w:r>
        <w:t xml:space="preserve">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6514EF" w:rsidRDefault="006514EF">
      <w:pPr>
        <w:pStyle w:val="ProductList-Body"/>
      </w:pPr>
    </w:p>
    <w:p w:rsidR="006514EF" w:rsidRDefault="00DD50AA">
      <w:pPr>
        <w:pStyle w:val="ProductList-ClauseHeading"/>
        <w:outlineLvl w:val="4"/>
      </w:pPr>
      <w:r>
        <w:t>4.2 MSDN – Zeitlich unb</w:t>
      </w:r>
      <w:r>
        <w:t>eschränkte Rechte</w:t>
      </w:r>
    </w:p>
    <w:p w:rsidR="006514EF" w:rsidRDefault="00DD50AA">
      <w:pPr>
        <w:pStyle w:val="ProductList-Body"/>
      </w:pPr>
      <w:r>
        <w:t>Die Rechte des Kunden zur Nutzung von Software, die über MSDN lizenziert wurde, werden zeitlich unbeschränkt, wenn das Recht des Kunden zur Nutzung von Visual Studio dauerhaft wird.</w:t>
      </w:r>
    </w:p>
    <w:p w:rsidR="006514EF" w:rsidRDefault="006514EF">
      <w:pPr>
        <w:pStyle w:val="ProductList-Body"/>
      </w:pPr>
    </w:p>
    <w:p w:rsidR="006514EF" w:rsidRDefault="00DD50AA">
      <w:pPr>
        <w:pStyle w:val="ProductList-ClauseHeading"/>
        <w:outlineLvl w:val="4"/>
      </w:pPr>
      <w:r>
        <w:t xml:space="preserve">4.3 Software Assurance-Rechte und -Vergünstigungen für </w:t>
      </w:r>
      <w:r>
        <w:t>Abonnementlizenzen</w:t>
      </w:r>
    </w:p>
    <w:p w:rsidR="006514EF" w:rsidRDefault="00DD50AA">
      <w:pPr>
        <w:pStyle w:val="ProductList-Body"/>
      </w:pPr>
      <w:r>
        <w:t>Jede Abonnementlizenz, die der Kunde unter einem Server- und Cloud-Beitritt erwirbt, gewährt dieselben SA-Rechte und -Vergünstigungen wie die Lizenzen mit Software Assurance während der Abonnementlaufzeit.</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56320"/>
      <w:r>
        <w:instrText>Visual Studio Team Foundation Server</w:instrText>
      </w:r>
      <w:bookmarkEnd w:id="186"/>
      <w:r>
        <w:instrText>" \l 3</w:instrText>
      </w:r>
      <w:r>
        <w:fldChar w:fldCharType="end"/>
      </w:r>
    </w:p>
    <w:p w:rsidR="006514EF" w:rsidRDefault="00DD50AA">
      <w:pPr>
        <w:pStyle w:val="ProductList-Offering1SubSection"/>
        <w:outlineLvl w:val="3"/>
      </w:pPr>
      <w:bookmarkStart w:id="187" w:name="_Sec698"/>
      <w:r>
        <w:t>1. Programmverfügbarkeit</w:t>
      </w:r>
      <w:bookmarkEnd w:id="18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514EF" w:rsidRDefault="006514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w:instrText>
            </w:r>
            <w:r>
              <w:instrText xml:space="preserve">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w:instrText>
            </w:r>
            <w:r>
              <w:instrText xml:space="preserve">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514EF" w:rsidRDefault="006514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188" w:name="_Sec753"/>
      <w:r>
        <w:t>2. Produktbedingungen</w:t>
      </w:r>
      <w:bookmarkEnd w:id="188"/>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w:instrText>
            </w:r>
            <w:r>
              <w:instrText xml:space="preserve">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w:instrText>
            </w:r>
            <w:r>
              <w:instrText xml:space="preserve">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w:instrText>
            </w:r>
            <w:r>
              <w:instrText xml:space="preserve">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189" w:name="_Sec811"/>
      <w:r>
        <w:t>3. Nutzungsrechte</w:t>
      </w:r>
      <w:bookmarkEnd w:id="189"/>
    </w:p>
    <w:tbl>
      <w:tblPr>
        <w:tblStyle w:val="PURTable"/>
        <w:tblW w:w="0" w:type="dxa"/>
        <w:tblLook w:val="04A0" w:firstRow="1" w:lastRow="0" w:firstColumn="1" w:lastColumn="0" w:noHBand="0" w:noVBand="1"/>
      </w:tblPr>
      <w:tblGrid>
        <w:gridCol w:w="3662"/>
        <w:gridCol w:w="3552"/>
        <w:gridCol w:w="357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w:instrText>
            </w:r>
            <w:r>
              <w:instrText xml:space="preserve">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w:instrText>
            </w:r>
            <w:r>
              <w:instrText xml:space="preserve">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w:instrText>
            </w:r>
            <w:r>
              <w:instrText xml:space="preserve">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"Enthaltene Technologien: gibt an, d</w:instrText>
            </w:r>
            <w:r>
              <w:instrText xml:space="preserve">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w:t>
            </w:r>
            <w:r>
              <w:t>ft SharePoint Foundation 2013</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Visual Studio Team Services, bezahlter Nutzer</w:t>
            </w:r>
          </w:p>
        </w:tc>
      </w:tr>
    </w:tbl>
    <w:p w:rsidR="006514EF" w:rsidRDefault="006514EF">
      <w:pPr>
        <w:pStyle w:val="ProductList-Body"/>
      </w:pPr>
    </w:p>
    <w:p w:rsidR="006514EF" w:rsidRDefault="00DD50AA">
      <w:pPr>
        <w:pStyle w:val="ProductList-SubClauseHeading"/>
        <w:outlineLvl w:val="5"/>
      </w:pPr>
      <w:r>
        <w:t>3.1.1 Zusätzliche Funktionalität</w:t>
      </w:r>
    </w:p>
    <w:p w:rsidR="006514EF" w:rsidRDefault="00DD50AA">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Visual Studio Enterprise 2015 mit MSDN</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SubClauseHeading"/>
        <w:outlineLvl w:val="5"/>
      </w:pPr>
      <w:r>
        <w:t>3.1.2 Zusätzliche Funktionalität</w:t>
      </w:r>
    </w:p>
    <w:p w:rsidR="006514EF" w:rsidRDefault="00DD50AA">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Visual Studio Enterprise 2015 mit MSDN</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6514EF" w:rsidRDefault="00DD50AA">
            <w:pPr>
              <w:pStyle w:val="ProductList-TableBody"/>
            </w:pPr>
            <w:r>
              <w:t>Visual Studio Team Services Test Manager-Erweiterung</w:t>
            </w:r>
          </w:p>
        </w:tc>
      </w:tr>
    </w:tbl>
    <w:p w:rsidR="006514EF" w:rsidRDefault="006514EF">
      <w:pPr>
        <w:pStyle w:val="ProductList-BodyIndented"/>
      </w:pPr>
    </w:p>
    <w:p w:rsidR="006514EF" w:rsidRDefault="00DD50AA">
      <w:pPr>
        <w:pStyle w:val="ProductList-ClauseHeading"/>
        <w:outlineLvl w:val="4"/>
      </w:pPr>
      <w:r>
        <w:t>3.2 Verwendungszwecke, für die keine CALs erforderlich sind</w:t>
      </w:r>
    </w:p>
    <w:p w:rsidR="006514EF" w:rsidRDefault="00DD50AA">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w:t>
      </w:r>
      <w:r>
        <w:t>on Server Reporting; Zugriff auf Visual Studio Online über einen Team Foundation Server 2015 Proxy; Genehmigungen von Phasen als Teil der Release Management Pipeline und Zugriff auf Visual Studio Team Foundation Server über eine gepoolte Verbindung von ein</w:t>
      </w:r>
      <w:r>
        <w:t>er anderen integrierten Anwendung oder einem anderen integrierten Dienst.</w:t>
      </w:r>
    </w:p>
    <w:p w:rsidR="006514EF" w:rsidRDefault="006514EF">
      <w:pPr>
        <w:pStyle w:val="ProductList-Body"/>
      </w:pPr>
    </w:p>
    <w:p w:rsidR="006514EF" w:rsidRDefault="00DD50AA">
      <w:pPr>
        <w:pStyle w:val="ProductList-ClauseHeading"/>
        <w:outlineLvl w:val="4"/>
      </w:pPr>
      <w:r>
        <w:t>3.3 SQL Server-Technologie</w:t>
      </w:r>
    </w:p>
    <w:p w:rsidR="006514EF" w:rsidRDefault="00DD50AA">
      <w:pPr>
        <w:pStyle w:val="ProductList-Body"/>
      </w:pPr>
      <w:r>
        <w:t xml:space="preserve">Der Kunde ist berechtigt, eine </w:t>
      </w:r>
      <w:r>
        <w:fldChar w:fldCharType="begin"/>
      </w:r>
      <w:r>
        <w:instrText xml:space="preserve"> AutoTextList   \s NoStyle \t "Instanz ist ein Software-Image, das durch die Ausführung der Setup- oder Installationsprozed</w:instrText>
      </w:r>
      <w:r>
        <w:instrText xml:space="preserve">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w:t>
      </w:r>
      <w:r>
        <w:t>uszuführen, die SQL Server-Datenbanksoftware enthalten.</w:t>
      </w:r>
    </w:p>
    <w:p w:rsidR="006514EF" w:rsidRDefault="006514EF">
      <w:pPr>
        <w:pStyle w:val="ProductList-Body"/>
      </w:pPr>
    </w:p>
    <w:p w:rsidR="006514EF" w:rsidRDefault="00DD50AA">
      <w:pPr>
        <w:pStyle w:val="ProductList-ClauseHeading"/>
        <w:outlineLvl w:val="4"/>
      </w:pPr>
      <w:r>
        <w:t>3.4 Bibliotheken mit GNU Lesser General Public-Lizenz</w:t>
      </w:r>
    </w:p>
    <w:p w:rsidR="006514EF" w:rsidRDefault="00DD50A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w:t>
      </w:r>
      <w:r>
        <w:t>echtigt, die Software Visual Studio Team Foundation Server zurückzuentwickeln (Reverse Engineering), zu dekompilieren oder zu disassemblieren oder anderweitig zu versuchen, den Quellcode der Software Visual Studio Team Foundation Server abzuleiten, und zwa</w:t>
      </w:r>
      <w:r>
        <w:t>r ausschließlich in dem zum Debuggen von Änderungen an Bibliotheken erforderlichen Umfang, die unter der GNU Lesser General Public-Lizenz lizenziert und in der Software enthalten sind und von dieser verlinkt werden.</w:t>
      </w:r>
    </w:p>
    <w:p w:rsidR="006514EF" w:rsidRDefault="006514EF">
      <w:pPr>
        <w:pStyle w:val="ProductList-Body"/>
      </w:pPr>
    </w:p>
    <w:p w:rsidR="006514EF" w:rsidRDefault="00DD50AA">
      <w:pPr>
        <w:pStyle w:val="ProductList-ClauseHeading"/>
        <w:outlineLvl w:val="4"/>
      </w:pPr>
      <w:r>
        <w:t>3.5 Visual Studio Team Foundation Serve</w:t>
      </w:r>
      <w:r>
        <w:t>r-Builddienste</w:t>
      </w:r>
    </w:p>
    <w:p w:rsidR="006514EF" w:rsidRDefault="00DD50AA">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w:t>
      </w:r>
      <w:r>
        <w:t xml:space="preserve">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w:instrText>
      </w:r>
      <w:r>
        <w:instrText xml:space="preserve">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w:instrText>
      </w:r>
      <w:r>
        <w:instrText xml:space="preserv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6514EF" w:rsidRDefault="006514EF">
      <w:pPr>
        <w:pStyle w:val="ProductList-Body"/>
      </w:pPr>
    </w:p>
    <w:p w:rsidR="006514EF" w:rsidRDefault="00DD50AA">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Visual Studio Team Foundation Serv</w:t>
            </w:r>
            <w:r>
              <w:t>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Visual Studio Team Foundation Server SharePoint-Erweiterungen</w:t>
            </w:r>
          </w:p>
        </w:tc>
      </w:tr>
    </w:tbl>
    <w:p w:rsidR="006514EF" w:rsidRDefault="00DD50AA">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02"/>
        <w:gridCol w:w="3805"/>
        <w:gridCol w:w="3401"/>
        <w:gridCol w:w="82"/>
      </w:tblGrid>
      <w:tr w:rsidR="006514E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w:instrText>
            </w:r>
            <w:r>
              <w:instrText xml:space="preserv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w:instrText>
            </w:r>
            <w:r>
              <w:instrText xml:space="preserv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w:t>
            </w:r>
            <w:r>
              <w:rPr>
                <w:color w:val="0563C1"/>
              </w:rPr>
              <w:t>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w:instrText>
            </w:r>
            <w:r>
              <w:instrText xml:space="preserve">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r w:rsidR="006514EF">
        <w:tc>
          <w:tcPr>
            <w:tcW w:w="12240" w:type="dxa"/>
            <w:gridSpan w:val="4"/>
            <w:tcBorders>
              <w:top w:val="none" w:sz="4" w:space="0" w:color="6E6E6E"/>
              <w:left w:val="none" w:sz="4" w:space="0" w:color="6E6E6E"/>
              <w:bottom w:val="none" w:sz="4" w:space="0" w:color="6E6E6E"/>
              <w:right w:val="none" w:sz="4" w:space="0" w:color="6E6E6E"/>
            </w:tcBorders>
          </w:tcPr>
          <w:p w:rsidR="006514EF" w:rsidRDefault="006514EF">
            <w:pPr>
              <w:pStyle w:val="PURBreadcrumb"/>
            </w:pPr>
          </w:p>
          <w:tbl>
            <w:tblPr>
              <w:tblW w:w="0" w:type="dxa"/>
              <w:tblLook w:val="04A0" w:firstRow="1" w:lastRow="0" w:firstColumn="1" w:lastColumn="0" w:noHBand="0" w:noVBand="1"/>
            </w:tblPr>
            <w:tblGrid>
              <w:gridCol w:w="10674"/>
            </w:tblGrid>
            <w:tr w:rsidR="006514EF">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TableBody"/>
            </w:pPr>
          </w:p>
        </w:tc>
      </w:tr>
    </w:tbl>
    <w:p w:rsidR="006514EF" w:rsidRDefault="006514EF">
      <w:pPr>
        <w:pStyle w:val="ProductList-Body"/>
      </w:pPr>
    </w:p>
    <w:p w:rsidR="006514EF" w:rsidRDefault="00DD50AA">
      <w:pPr>
        <w:pStyle w:val="ProductList-OfferingGroupHeading"/>
        <w:outlineLvl w:val="1"/>
      </w:pPr>
      <w:bookmarkStart w:id="191" w:name="_Sec618"/>
      <w:r>
        <w:t>Windows</w:t>
      </w:r>
      <w:bookmarkEnd w:id="191"/>
      <w:r>
        <w:fldChar w:fldCharType="begin"/>
      </w:r>
      <w:r>
        <w:instrText xml:space="preserve"> TC "</w:instrText>
      </w:r>
      <w:bookmarkStart w:id="192" w:name="_Toc439056321"/>
      <w:r>
        <w:instrText>Windows</w:instrText>
      </w:r>
      <w:bookmarkEnd w:id="192"/>
      <w:r>
        <w:instrText>" \l 2</w:instrText>
      </w:r>
      <w:r>
        <w:fldChar w:fldCharType="end"/>
      </w:r>
    </w:p>
    <w:p w:rsidR="006514EF" w:rsidRDefault="00DD50AA">
      <w:pPr>
        <w:pStyle w:val="ProductList-Offering2HeadingNoBorder"/>
        <w:outlineLvl w:val="2"/>
      </w:pPr>
      <w:bookmarkStart w:id="193" w:name="_Sec652"/>
      <w:r>
        <w:t>Windows-Desktopbetriebssystem</w:t>
      </w:r>
      <w:bookmarkEnd w:id="193"/>
      <w:r>
        <w:fldChar w:fldCharType="begin"/>
      </w:r>
      <w:r>
        <w:instrText xml:space="preserve"> TC "</w:instrText>
      </w:r>
      <w:bookmarkStart w:id="194" w:name="_Toc439056322"/>
      <w:r>
        <w:instrText>Windows-Desktopbetriebssystem</w:instrText>
      </w:r>
      <w:bookmarkEnd w:id="194"/>
      <w:r>
        <w:instrText>" \l 3</w:instrText>
      </w:r>
      <w:r>
        <w:fldChar w:fldCharType="end"/>
      </w:r>
    </w:p>
    <w:p w:rsidR="006514EF" w:rsidRDefault="00DD50AA">
      <w:pPr>
        <w:pStyle w:val="ProductList-Offering1SubSection"/>
        <w:outlineLvl w:val="3"/>
      </w:pPr>
      <w:bookmarkStart w:id="195" w:name="_Sec700"/>
      <w:r>
        <w:t>1. Programmverfügbarkeit</w:t>
      </w:r>
      <w:bookmarkEnd w:id="195"/>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pPr>
            <w:r>
              <w:t>Windows 10 Pro</w:t>
            </w:r>
            <w:r>
              <w:t>-Upgrade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10 Enterprise LTSB-Upgrade</w:t>
            </w:r>
            <w:r>
              <w:fldChar w:fldCharType="begin"/>
            </w:r>
            <w:r>
              <w:instrText xml:space="preserve"> XE "</w:instrText>
            </w:r>
            <w:r>
              <w:instrText xml:space="preserve">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10 Mobile Enterprise (pro Gerät)</w:t>
            </w:r>
            <w:r>
              <w:fldChar w:fldCharType="begin"/>
            </w:r>
            <w:r>
              <w:instrText xml:space="preserve"> XE "</w:instrText>
            </w:r>
            <w:r>
              <w:instrText xml:space="preserve">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Virtual Desktop Access</w:t>
            </w:r>
            <w:r>
              <w:fldChar w:fldCharType="begin"/>
            </w:r>
            <w:r>
              <w:instrText xml:space="preserve"> XE "</w:instrText>
            </w:r>
            <w:r>
              <w:instrText xml:space="preserve">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w:instrText>
            </w:r>
            <w:r>
              <w:instrText xml:space="preserve">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single" w:sz="9" w:space="0" w:color="FFFFFF"/>
              <w:bottom w:val="none" w:sz="4" w:space="0" w:color="BFBFBF"/>
              <w:right w:val="single" w:sz="9" w:space="0" w:color="FFFFFF"/>
            </w:tcBorders>
          </w:tcPr>
          <w:p w:rsidR="006514EF" w:rsidRDefault="00DD50AA">
            <w:pPr>
              <w:pStyle w:val="ProductList-TableBody"/>
            </w:pPr>
            <w:r>
              <w:rPr>
                <w:color w:val="000000"/>
              </w:rPr>
              <w:t>Windows Embedded 8 Standard Enterprise Kit (100 Pack)</w:t>
            </w:r>
            <w:r>
              <w:fldChar w:fldCharType="begin"/>
            </w:r>
            <w:r>
              <w:instrText xml:space="preserve"> XE "</w:instrText>
            </w:r>
            <w:r>
              <w:instrText xml:space="preserve">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514EF" w:rsidRDefault="00DD50A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514EF" w:rsidRDefault="006514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196" w:name="_Sec755"/>
      <w:r>
        <w:t>2. Produktbedingungen</w:t>
      </w:r>
      <w:bookmarkEnd w:id="196"/>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w:instrText>
            </w:r>
            <w:r>
              <w:instrText xml:space="preserve">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"Down</w:instrText>
            </w:r>
            <w:r>
              <w:instrText>-Editionen: Zulässige niedrigere Editionen, die bestimmten höheren Editionen entsprechen. Der Kunde ist wie jeweils in den Universellen Lizenzbestimmungen festgelegt berechtigt, die zulässige niedrigere Edition anstelle einer lizenzierten höheren Edition z</w:instrText>
            </w:r>
            <w:r>
              <w:instrText xml:space="preserve">u nutzen." </w:instrText>
            </w:r>
            <w:r>
              <w:fldChar w:fldCharType="separate"/>
            </w:r>
            <w:r>
              <w:rPr>
                <w:color w:val="0563C1"/>
              </w:rPr>
              <w:t>Down-Editionen</w:t>
            </w:r>
            <w:r>
              <w:fldChar w:fldCharType="end"/>
            </w:r>
            <w:r>
              <w:t>: Enterprise zu Pro</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w:instrText>
            </w:r>
            <w:r>
              <w:instrText xml:space="preserve">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(Software Assurance): weist darauf hin, dass bestimmte zusätzliche Bedingungen erfüllt werden müssen, damit Software Assurance f</w:instrText>
            </w:r>
            <w:r>
              <w:instrText xml:space="preserve">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 UTD-Nachlass: Hierbei handelt es sich um einen für Open Value Subscription-Kunden verfügbaren Nachlass, der greift, wenn Kunden im Laufe des erste</w:instrText>
            </w:r>
            <w:r>
              <w:instrText xml:space="preserv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"Vergünstigung für Nutzung durch Studente</w:instrText>
            </w:r>
            <w:r>
              <w:instrText xml:space="preserv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2.1 Qualifizierende Betriebssysteme</w:t>
      </w:r>
    </w:p>
    <w:p w:rsidR="006514EF" w:rsidRDefault="00DD50AA">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w:instrText>
      </w:r>
      <w:r>
        <w:instrText xml:space="preserve">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w:instrText>
      </w:r>
      <w:r>
        <w:instrText xml:space="preserve">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w:t>
      </w:r>
      <w:r>
        <w:t>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6514EF" w:rsidRDefault="006514EF">
      <w:pPr>
        <w:pStyle w:val="ProductList-Body"/>
      </w:pPr>
    </w:p>
    <w:p w:rsidR="006514EF" w:rsidRDefault="00DD50AA">
      <w:pPr>
        <w:pStyle w:val="ProductList-SubClauseHeading"/>
        <w:outlineLvl w:val="5"/>
      </w:pPr>
      <w:r>
        <w:t>2.1.1 Tabelle der qualifizierenden Betriebssysteme</w:t>
      </w:r>
    </w:p>
    <w:p w:rsidR="006514EF" w:rsidRDefault="00DD50AA">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6514E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Forschung &amp; Lehre und gemeinnützige Einrichtungen</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none" w:sz="4" w:space="0" w:color="000000"/>
            </w:tcBorders>
          </w:tcPr>
          <w:p w:rsidR="006514EF" w:rsidRDefault="00DD50AA">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14EF" w:rsidRDefault="00651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14EF" w:rsidRDefault="006514EF">
            <w:pPr>
              <w:pStyle w:val="ProductList-TableBody"/>
              <w:jc w:val="center"/>
            </w:pP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Windows 2000 Professional for Embedded Systems </w:t>
            </w:r>
            <w:r>
              <w:fldChar w:fldCharType="begin"/>
            </w:r>
            <w:r>
              <w:instrText xml:space="preserve"> XE "</w:instrText>
            </w:r>
            <w:r>
              <w:instrText xml:space="preserve">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Vista Business for Embedded Systems</w:t>
            </w:r>
            <w:r>
              <w:fldChar w:fldCharType="begin"/>
            </w:r>
            <w:r>
              <w:instrText xml:space="preserve"> XE "</w:instrText>
            </w:r>
            <w:r>
              <w:instrText xml:space="preserve">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bl>
    <w:p w:rsidR="006514EF" w:rsidRDefault="00DD50AA">
      <w:pPr>
        <w:pStyle w:val="ProductList-BodyIndented"/>
      </w:pPr>
      <w:r>
        <w:rPr>
          <w:i/>
          <w:vertAlign w:val="superscript"/>
        </w:rPr>
        <w:t>1</w:t>
      </w:r>
      <w:r>
        <w:rPr>
          <w:i/>
        </w:rPr>
        <w:t xml:space="preserve">Umfasst 32-Bit- und 64-Bit-Betriebssysteme. </w:t>
      </w:r>
    </w:p>
    <w:p w:rsidR="006514EF" w:rsidRDefault="00DD50AA">
      <w:pPr>
        <w:pStyle w:val="ProductList-BodyIndented"/>
      </w:pPr>
      <w:r>
        <w:rPr>
          <w:i/>
          <w:vertAlign w:val="superscript"/>
        </w:rPr>
        <w:t>2</w:t>
      </w:r>
      <w:r>
        <w:rPr>
          <w:i/>
        </w:rPr>
        <w:t xml:space="preserve">Gilt auch für Qualifizierende Geräte, die durch Unternehmensverschmelzung oder Unternehmenskauf erworben werden </w:t>
      </w:r>
    </w:p>
    <w:p w:rsidR="006514EF" w:rsidRDefault="00DD50AA">
      <w:pPr>
        <w:pStyle w:val="ProductList-BodyIndented"/>
      </w:pPr>
      <w:r>
        <w:rPr>
          <w:i/>
          <w:vertAlign w:val="superscript"/>
        </w:rPr>
        <w:t>3</w:t>
      </w:r>
      <w:r>
        <w:rPr>
          <w:i/>
        </w:rPr>
        <w:t>In dieser Spalte wird auch das zulässige qualifizierende Betriebssystem für ein primä</w:t>
      </w:r>
      <w:r>
        <w:rPr>
          <w:i/>
        </w:rPr>
        <w:t>res Gerät eines Nutzers angegeben, wenn ein Nutzer mit Windows SA pro Nutzer lizenziert ist.</w:t>
      </w:r>
    </w:p>
    <w:p w:rsidR="006514EF" w:rsidRDefault="00DD50AA">
      <w:pPr>
        <w:pStyle w:val="ProductList-BodyIndented"/>
      </w:pPr>
      <w:r>
        <w:rPr>
          <w:i/>
          <w:vertAlign w:val="superscript"/>
        </w:rPr>
        <w:t>4</w:t>
      </w:r>
      <w:r>
        <w:rPr>
          <w:i/>
        </w:rPr>
        <w:t>Gilt nicht für Forschung und Lehre, gemeinnützige Einrichtungen und OV-CW.</w:t>
      </w:r>
    </w:p>
    <w:p w:rsidR="006514EF" w:rsidRDefault="00DD50AA">
      <w:pPr>
        <w:pStyle w:val="ProductList-BodyIndented"/>
      </w:pPr>
      <w:r>
        <w:rPr>
          <w:i/>
          <w:vertAlign w:val="superscript"/>
        </w:rPr>
        <w:t>5</w:t>
      </w:r>
      <w:r>
        <w:rPr>
          <w:i/>
        </w:rPr>
        <w:t>N, K und KN sind Spezialversionen, die nur in bestimmten Märkten verfügbar sind.</w:t>
      </w:r>
    </w:p>
    <w:p w:rsidR="006514EF" w:rsidRDefault="006514EF">
      <w:pPr>
        <w:pStyle w:val="ProductList-BodyIndented"/>
      </w:pPr>
    </w:p>
    <w:p w:rsidR="006514EF" w:rsidRDefault="00DD50AA">
      <w:pPr>
        <w:pStyle w:val="ProductList-SubClauseHeading"/>
        <w:outlineLvl w:val="5"/>
      </w:pPr>
      <w:r>
        <w:t>2.1.</w:t>
      </w:r>
      <w:r>
        <w:t>2 Tabelle der qualifizierenden Betriebssysteme mit Nutzungsbeschränkungen</w:t>
      </w:r>
    </w:p>
    <w:p w:rsidR="006514EF" w:rsidRDefault="00DD50AA">
      <w:pPr>
        <w:pStyle w:val="ProductList-BodyIndented"/>
      </w:pPr>
      <w:r>
        <w:t>Wenn die Upgrade-Software auf Geräten installiert ist, auf denen eines der unten aufgeführten qualifizierenden Betriebssysteme (die „Bedingten qualifizierenden Betriebssysteme“) inst</w:t>
      </w:r>
      <w:r>
        <w:t>alliert ist, gelten Nutzungsbeschränkungen, die unten in der Tabelle im Abschnitt „Nutzungsrechte“ aufgeführt sind. Die Nutzungsbeschränkungen haben auf Geräten Fortbestand, die mit Windows Software Assurance oder Windows VDA lizenziert sind, vorbehaltlich</w:t>
      </w:r>
      <w:r>
        <w:t xml:space="preserve">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6514E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Forschung &amp; Lehre und gemeinnützige Einrichtungen</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8 und 8.1 Industry Retail</w:t>
            </w:r>
            <w:r>
              <w:fldChar w:fldCharType="begin"/>
            </w:r>
            <w:r>
              <w:instrText xml:space="preserve"> XE "Windows Embedded 8 und 8.1 Indu</w:instrText>
            </w:r>
            <w:r>
              <w:instrText xml:space="preserve">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6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bl>
    <w:p w:rsidR="006514EF" w:rsidRDefault="00DD50AA">
      <w:pPr>
        <w:pStyle w:val="ProductList-BodyIndented"/>
      </w:pPr>
      <w:r>
        <w:rPr>
          <w:i/>
          <w:vertAlign w:val="superscript"/>
        </w:rPr>
        <w:t>1</w:t>
      </w:r>
      <w:r>
        <w:rPr>
          <w:i/>
        </w:rPr>
        <w:t xml:space="preserve">Umfasst 32-Bit- und 64-Bit-Betriebssysteme. </w:t>
      </w:r>
    </w:p>
    <w:p w:rsidR="006514EF" w:rsidRDefault="00DD50AA">
      <w:pPr>
        <w:pStyle w:val="ProductList-BodyIndented"/>
      </w:pPr>
      <w:r>
        <w:rPr>
          <w:i/>
          <w:vertAlign w:val="superscript"/>
        </w:rPr>
        <w:t>2</w:t>
      </w:r>
      <w:r>
        <w:rPr>
          <w:i/>
        </w:rPr>
        <w:t xml:space="preserve">Gilt auch für Qualifizierende Geräte, die durch Unternehmensverschmelzung oder Unternehmenskauf erworben werden </w:t>
      </w:r>
    </w:p>
    <w:p w:rsidR="006514EF" w:rsidRDefault="00DD50AA">
      <w:pPr>
        <w:pStyle w:val="ProductList-BodyIndented"/>
      </w:pPr>
      <w:r>
        <w:rPr>
          <w:i/>
          <w:vertAlign w:val="superscript"/>
        </w:rPr>
        <w:t>3</w:t>
      </w:r>
      <w:r>
        <w:rPr>
          <w:i/>
        </w:rPr>
        <w:t>Gilt nicht für Forschung und Lehre, gemeinnützige Einrichtungen und OV-CW.</w:t>
      </w:r>
    </w:p>
    <w:p w:rsidR="006514EF" w:rsidRDefault="006514EF">
      <w:pPr>
        <w:pStyle w:val="ProductList-BodyIndented"/>
      </w:pPr>
    </w:p>
    <w:p w:rsidR="006514EF" w:rsidRDefault="00DD50AA">
      <w:pPr>
        <w:pStyle w:val="ProductList-BodyIndented"/>
      </w:pPr>
      <w:r>
        <w:rPr>
          <w:b/>
        </w:rPr>
        <w:t>2.1.2.1 Nutzungsbeschränkungen für qualifizierende Windows Embedde</w:t>
      </w:r>
      <w:r>
        <w:rPr>
          <w:b/>
        </w:rPr>
        <w:t>d-Betriebssysteme</w:t>
      </w:r>
    </w:p>
    <w:p w:rsidR="006514EF" w:rsidRDefault="00DD50AA">
      <w:pPr>
        <w:pStyle w:val="ProductList-Bullet"/>
        <w:numPr>
          <w:ilvl w:val="1"/>
          <w:numId w:val="26"/>
        </w:numPr>
      </w:pPr>
      <w:r>
        <w:t>Wenn die Upgrade-Software auf Geräten installiert ist, die eine Lizenz für eine der unterstützten Editionen der bedingten qualifizierenden Betriebssysteme haben und auf denen eine solche zuvor ausgeführt wird, gelten die folgenden Bedingu</w:t>
      </w:r>
      <w:r>
        <w:t>ngen:</w:t>
      </w:r>
    </w:p>
    <w:p w:rsidR="006514EF" w:rsidRDefault="00DD50AA">
      <w:pPr>
        <w:pStyle w:val="ProductList-Bullet"/>
        <w:numPr>
          <w:ilvl w:val="2"/>
          <w:numId w:val="26"/>
        </w:numPr>
      </w:pPr>
      <w:r>
        <w:t>Spezifische Nutzung. Das Lizenzierte Gerät des Kunden ist für eine spezifische Nutzung bestimmt. Der Kunde darf die Software ausschließlich für diesen Zweck nutzen.</w:t>
      </w:r>
    </w:p>
    <w:p w:rsidR="006514EF" w:rsidRDefault="00DD50AA">
      <w:pPr>
        <w:pStyle w:val="ProductList-Bullet"/>
        <w:numPr>
          <w:ilvl w:val="2"/>
          <w:numId w:val="26"/>
        </w:numPr>
      </w:pPr>
      <w:r>
        <w:t>Andere Software. Der Kunde darf andere Programme mit der Software nutzen, solange die</w:t>
      </w:r>
      <w:r>
        <w:t xml:space="preserve"> anderen Programme die spezifische Nutzung des Herstellers für das Gerät direkt unterstützen oder Systemdienstprogramme, Ressourcenmanagement, Virenschutz oder ähnlichen Schutz bieten. Wenn das Branchensystem des Kunden Desktop-Funktionen ausführt, muss de</w:t>
      </w:r>
      <w:r>
        <w:t>r Kunde Sie sicherstellen, dass diese: (1) nur zur Unterstützung der Branchenfunktionalität verwendet werden und (2) nur betrieben werden, wenn sie technisch in das Branchenprogramm integriert sind oder über technisch umgesetzte Richtlinien oder eine Archi</w:t>
      </w:r>
      <w:r>
        <w:t>tektur verfügen, durch die ihr Betrieb nur in Verbindung mit der Funktionalität des Branchenprogramms möglich ist. „Desktop-Funktionen“ wie hier verwendet umfasst: Textverarbeitung, Tabellenkalkulation, Datenbanken, Terminplanung oder persönliche Finanzpla</w:t>
      </w:r>
      <w:r>
        <w:t>nungssoftware. „Branchenprogramm“ wie hier verwendet ist jedes Gerät, das nur ein branchen- oder aufgabenspezifisches Softwareprogramm einsetzt. Das Gerät darf Terminaldienstprotokolle für den Zugriff auf solche Software verwenden, die auf einem Server läu</w:t>
      </w:r>
      <w:r>
        <w:t>ft. Das Branchensystem des Kunden darf in seiner bereitgestellten Konfiguration nicht als PC für allgemeine Zwecke oder als kommerziell tauglicher Ersatz für sein solches System nutzbar sein.</w:t>
      </w:r>
    </w:p>
    <w:p w:rsidR="006514EF" w:rsidRDefault="00DD50AA">
      <w:pPr>
        <w:pStyle w:val="ProductList-Bullet"/>
        <w:numPr>
          <w:ilvl w:val="1"/>
          <w:numId w:val="26"/>
        </w:numPr>
      </w:pPr>
      <w:r>
        <w:t>Darüber hinaus darf der Kunde die Software lokal nur auf Geräten</w:t>
      </w:r>
      <w:r>
        <w:t xml:space="preserve"> nutzen, auf denen ein Upgrade auf Windows 10 IoT Enterprise für Retail/Thin Clients durchgeführt wurde:</w:t>
      </w:r>
    </w:p>
    <w:p w:rsidR="006514EF" w:rsidRDefault="00DD50AA">
      <w:pPr>
        <w:pStyle w:val="ProductList-Bullet"/>
        <w:numPr>
          <w:ilvl w:val="2"/>
          <w:numId w:val="26"/>
        </w:numPr>
      </w:pPr>
      <w:r>
        <w:t>Der Kunde muss die Software mit einer Point-of-Service-(„POS“-)Anwendung verwenden, wenn er ein Upgrade von Windows Embedded 8.1 Industry Pro Retail (o</w:t>
      </w:r>
      <w:r>
        <w:t>der einer früheren Version) durchführt. Eine POS-Anwendung ist eine Softwareanwendung, die beliebige der folgenden Funktionen bietet: Verarbeitung von Handels- und Dienstleistungstransaktionen, Bestandsabfrage und -nachverfolgung, Aufzeichnung oder Übertra</w:t>
      </w:r>
      <w:r>
        <w:t>gung von Kundeninformationen, Durchführung zugehöriger Verwaltungsfunktionen und direkte und indirekte Bereitstellung von Informationen über verfügbare Produkte und Dienstleistungen an Kunden.</w:t>
      </w:r>
    </w:p>
    <w:p w:rsidR="006514EF" w:rsidRDefault="006514EF">
      <w:pPr>
        <w:pStyle w:val="ProductList-BodyIndented"/>
      </w:pPr>
    </w:p>
    <w:p w:rsidR="006514EF" w:rsidRDefault="00DD50AA">
      <w:pPr>
        <w:pStyle w:val="ProductList-SubClauseHeading"/>
        <w:outlineLvl w:val="5"/>
      </w:pPr>
      <w:r>
        <w:t xml:space="preserve">2.1.3 Regeln für qualifizierende Betriebssysteme für Windows </w:t>
      </w:r>
      <w:r>
        <w:t>VL-Upgrade-Lizenzen</w:t>
      </w:r>
    </w:p>
    <w:p w:rsidR="006514EF" w:rsidRDefault="00DD50AA">
      <w:pPr>
        <w:pStyle w:val="ProductList-Bullet"/>
        <w:numPr>
          <w:ilvl w:val="1"/>
          <w:numId w:val="27"/>
        </w:numPr>
      </w:pPr>
      <w:r>
        <w:t>Das qualifizierende Betriebssystem muss auf dem Gerät installiert sein, dem die VL-Upgrade-Lizenz zugewiesen wird.</w:t>
      </w:r>
    </w:p>
    <w:p w:rsidR="006514EF" w:rsidRDefault="00DD50AA">
      <w:pPr>
        <w:pStyle w:val="ProductList-Bullet"/>
        <w:numPr>
          <w:ilvl w:val="1"/>
          <w:numId w:val="27"/>
        </w:numPr>
      </w:pPr>
      <w:r>
        <w:t xml:space="preserve">Apple Macintosh ist nur ein qualifizierendes Betriebssystem, wenn es vom autorisierten Hersteller vor dem ersten Verkauf </w:t>
      </w:r>
      <w:r>
        <w:t>des Geräts vorinstalliert wird.</w:t>
      </w:r>
    </w:p>
    <w:p w:rsidR="006514EF" w:rsidRDefault="00DD50AA">
      <w:pPr>
        <w:pStyle w:val="ProductList-Bullet"/>
        <w:numPr>
          <w:ilvl w:val="1"/>
          <w:numId w:val="27"/>
        </w:numPr>
      </w:pPr>
      <w:r>
        <w:t xml:space="preserve">Kunden müssen das qualifizierende Betriebssystem von dem Gerät entfernen, um die VL-Upgrade-Lizenz bereitstellen zu können, es sein denn, sie verfügen auch über Software Assurance für die VL-Upgrade-Lizenz. </w:t>
      </w:r>
    </w:p>
    <w:p w:rsidR="006514EF" w:rsidRDefault="00DD50AA">
      <w:pPr>
        <w:pStyle w:val="ProductList-Bullet"/>
        <w:numPr>
          <w:ilvl w:val="1"/>
          <w:numId w:val="27"/>
        </w:numPr>
      </w:pPr>
      <w:r>
        <w:t>Select für Forsc</w:t>
      </w:r>
      <w:r>
        <w:t>hung &amp; Lehre, Open für Forschung &amp; Lehre, Campus- und School-Vertrag und Open Value Subscription – Bildungslösungskunden, die die Upgrade-Lizenz mit Windows XP Starter Edition, Windows Vista Starter Edition oder Windows 7 Starter Edition als qualifizierend</w:t>
      </w:r>
      <w:r>
        <w:t>es Betriebssystem erwerben, verzichten auf das Recht, diese Lizenz außerhalb des Landes, in dem sie erworben wurde, zu nutzen.</w:t>
      </w:r>
    </w:p>
    <w:p w:rsidR="006514EF" w:rsidRDefault="006514EF">
      <w:pPr>
        <w:pStyle w:val="ProductList-BodyIndented"/>
      </w:pPr>
    </w:p>
    <w:p w:rsidR="006514EF" w:rsidRDefault="00DD50AA">
      <w:pPr>
        <w:pStyle w:val="ProductList-ClauseHeading"/>
        <w:outlineLvl w:val="4"/>
      </w:pPr>
      <w:r>
        <w:t>2.2 Übergänge</w:t>
      </w:r>
    </w:p>
    <w:p w:rsidR="006514EF" w:rsidRDefault="00DD50AA">
      <w:pPr>
        <w:pStyle w:val="ProductList-Body"/>
      </w:pPr>
      <w:r>
        <w:t>Nachstehend werden Übergangsoptionen für jeden Kunden aufgeführt, der wie ausführlicher in seinen Volumenlizenzver</w:t>
      </w:r>
      <w:r>
        <w:t>trägen beschrieben berechtigt ist, auf „pro Nutzer“ umzustellen.</w:t>
      </w:r>
    </w:p>
    <w:tbl>
      <w:tblPr>
        <w:tblStyle w:val="PURTable"/>
        <w:tblW w:w="0" w:type="dxa"/>
        <w:tblLook w:val="04A0" w:firstRow="1" w:lastRow="0" w:firstColumn="1" w:lastColumn="0" w:noHBand="0" w:noVBand="1"/>
      </w:tblPr>
      <w:tblGrid>
        <w:gridCol w:w="5351"/>
        <w:gridCol w:w="5439"/>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Gültige Übergangsoptionen</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Enterprise SA pro Nutzer</w:t>
            </w:r>
          </w:p>
          <w:p w:rsidR="006514EF" w:rsidRDefault="00DD50AA">
            <w:pPr>
              <w:pStyle w:val="ProductList-TableBody"/>
            </w:pPr>
            <w:r>
              <w:t>Windows Virtual Desktop Access pro Gerät</w:t>
            </w:r>
          </w:p>
          <w:p w:rsidR="006514EF" w:rsidRDefault="00DD50AA">
            <w:pPr>
              <w:pStyle w:val="ProductList-TableBody"/>
            </w:pPr>
            <w:r>
              <w:t>Windows Virtu</w:t>
            </w:r>
            <w:r>
              <w:t>al Desktop Access pro Nutzer</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Virtual Desktop Access pro Nutzer</w:t>
            </w:r>
          </w:p>
        </w:tc>
      </w:tr>
    </w:tbl>
    <w:p w:rsidR="006514EF" w:rsidRDefault="006514EF">
      <w:pPr>
        <w:pStyle w:val="ProductList-Body"/>
      </w:pPr>
    </w:p>
    <w:p w:rsidR="006514EF" w:rsidRDefault="00DD50AA">
      <w:pPr>
        <w:pStyle w:val="ProductList-ClauseHeading"/>
        <w:outlineLvl w:val="4"/>
      </w:pPr>
      <w:r>
        <w:t>2.3 Windows Enterprise-Upgrade (keine Versionsnummer) und Windows Professional-Upgrade (keine Versionsnummer)</w:t>
      </w:r>
    </w:p>
    <w:p w:rsidR="006514EF" w:rsidRDefault="00DD50A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w:t>
      </w:r>
      <w:r>
        <w:t xml:space="preserv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w:t>
      </w:r>
      <w:r>
        <w:rPr>
          <w:color w:val="0563C1"/>
        </w:rPr>
        <w:t>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w:instrText>
      </w:r>
      <w:r>
        <w:instrText xml:space="preserve">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6514EF" w:rsidRDefault="006514EF">
      <w:pPr>
        <w:pStyle w:val="ProductList-Body"/>
      </w:pPr>
    </w:p>
    <w:p w:rsidR="006514EF" w:rsidRDefault="00DD50AA">
      <w:pPr>
        <w:pStyle w:val="ProductList-ClauseHeading"/>
        <w:outlineLvl w:val="4"/>
      </w:pPr>
      <w:r>
        <w:t>2.4 Re-Imaging mit Windows 10</w:t>
      </w:r>
    </w:p>
    <w:p w:rsidR="006514EF" w:rsidRDefault="00DD50AA">
      <w:pPr>
        <w:pStyle w:val="ProductList-Body"/>
      </w:pPr>
      <w:r>
        <w:t>Wenn ein Dritt</w:t>
      </w:r>
      <w:r>
        <w:t xml:space="preserve">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w:instrText>
      </w:r>
      <w:r>
        <w:instrText xml:space="preserve">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w:t>
      </w:r>
      <w:r>
        <w:t>ieren möchte.</w:t>
      </w:r>
    </w:p>
    <w:p w:rsidR="006514EF" w:rsidRDefault="006514EF">
      <w:pPr>
        <w:pStyle w:val="ProductList-Body"/>
      </w:pPr>
    </w:p>
    <w:p w:rsidR="006514EF" w:rsidRDefault="00DD50AA">
      <w:pPr>
        <w:pStyle w:val="ProductList-ClauseHeading"/>
        <w:outlineLvl w:val="4"/>
      </w:pPr>
      <w:r>
        <w:t>2.5 Regionale Fulfillment-Optionen</w:t>
      </w:r>
    </w:p>
    <w:p w:rsidR="006514EF" w:rsidRDefault="00DD50AA">
      <w:pPr>
        <w:pStyle w:val="ProductList-SubClauseHeading"/>
        <w:outlineLvl w:val="5"/>
      </w:pPr>
      <w:r>
        <w:t>2.5.1 N-Versionen (nicht mit Windows Media Player) von Microsoft Windows XP Professional, Vista Business und 7 Professional</w:t>
      </w:r>
    </w:p>
    <w:p w:rsidR="006514EF" w:rsidRDefault="00DD50AA">
      <w:pPr>
        <w:pStyle w:val="ProductList-BodyIndented"/>
      </w:pPr>
      <w:r>
        <w:t>Kunden, die ihren Sitz in einem Land der Europäischen Union (EU) oder der Europäis</w:t>
      </w:r>
      <w:r>
        <w:t>chen Freihandelszone (EFTA) haben, sind möglicherweise berechtigt, Medien für N-Versionen von Windows XP Professional, Windows Vista Business und Windows 7 Professional zu erwerben oder diese herunterzuladen. Weitere Einzelheiten zu den Berechtigungskriter</w:t>
      </w:r>
      <w:r>
        <w:t xml:space="preserve">ien und zum Fulfillment finden Sie in der Produktliste März 2014 unter </w:t>
      </w:r>
      <w:hyperlink r:id="rId76">
        <w:r>
          <w:rPr>
            <w:color w:val="00467F"/>
            <w:u w:val="single"/>
          </w:rPr>
          <w:t>http://go.microsoft.com/?linkid=9839207</w:t>
        </w:r>
      </w:hyperlink>
      <w:r>
        <w:t>.</w:t>
      </w:r>
    </w:p>
    <w:p w:rsidR="006514EF" w:rsidRDefault="006514EF">
      <w:pPr>
        <w:pStyle w:val="ProductList-BodyIndented"/>
      </w:pPr>
    </w:p>
    <w:p w:rsidR="006514EF" w:rsidRDefault="00DD50AA">
      <w:pPr>
        <w:pStyle w:val="ProductList-SubClauseHeading"/>
        <w:outlineLvl w:val="5"/>
      </w:pPr>
      <w:r>
        <w:t xml:space="preserve">2.5.2 K- und KN-Versionen von Windows XP Professional, Vista Business und 7 </w:t>
      </w:r>
      <w:r>
        <w:t>Professional</w:t>
      </w:r>
    </w:p>
    <w:p w:rsidR="006514EF" w:rsidRDefault="00DD50AA">
      <w:pPr>
        <w:pStyle w:val="ProductList-BodyIndented"/>
      </w:pPr>
      <w:r>
        <w:t>Kunden und deren verbundene Unternehmen verfügen über spezifische, auf Korea bezogene Medien- und Downloadoptionen für die Nutzung von Windows XP Professional, Vista Business und 7 Professional in Korea. Weitere Einzelheiten zu den Anforderung</w:t>
      </w:r>
      <w:r>
        <w:t xml:space="preserve">en finden Sie in der Produktliste März 2014 unter </w:t>
      </w:r>
      <w:hyperlink r:id="rId77">
        <w:r>
          <w:rPr>
            <w:color w:val="00467F"/>
            <w:u w:val="single"/>
          </w:rPr>
          <w:t>http://go.microsoft.com/?linkid=9839207</w:t>
        </w:r>
      </w:hyperlink>
      <w:r>
        <w:t>.</w:t>
      </w:r>
    </w:p>
    <w:p w:rsidR="006514EF" w:rsidRDefault="006514EF">
      <w:pPr>
        <w:pStyle w:val="ProductList-BodyIndented"/>
      </w:pPr>
    </w:p>
    <w:p w:rsidR="006514EF" w:rsidRDefault="00DD50AA">
      <w:pPr>
        <w:pStyle w:val="ProductList-SubClauseHeading"/>
        <w:outlineLvl w:val="5"/>
      </w:pPr>
      <w:r>
        <w:t>2.5.3 Windows 8/8.1 Pro KN und Windows 10 Pro KN</w:t>
      </w:r>
    </w:p>
    <w:p w:rsidR="006514EF" w:rsidRDefault="00DD50AA">
      <w:pPr>
        <w:pStyle w:val="ProductList-BodyIndented"/>
      </w:pPr>
      <w:r>
        <w:t>Kunden in Korea, die über einen aktiven Volumenlizenzver</w:t>
      </w:r>
      <w:r>
        <w:t>trag oder einen Beitritt mit Microsoft Operations Pte Ltd verfügen, sind berechtigt, Medien für Windows 8/8.1 Pro KN und Windows 10 Pro KN für die Bereitstellung und Nutzung in Korea zu erwerben. Keine andere Verwendung ist erlaubt.</w:t>
      </w:r>
    </w:p>
    <w:p w:rsidR="006514EF" w:rsidRDefault="006514EF">
      <w:pPr>
        <w:pStyle w:val="ProductList-BodyIndented"/>
      </w:pPr>
    </w:p>
    <w:p w:rsidR="006514EF" w:rsidRDefault="00DD50AA">
      <w:pPr>
        <w:pStyle w:val="ProductList-SubClauseHeading"/>
        <w:outlineLvl w:val="5"/>
      </w:pPr>
      <w:r>
        <w:t>2.5.4 Windows 8/8.1 Pr</w:t>
      </w:r>
      <w:r>
        <w:t>o N und Windows 10 Pro N (ohne Windows Media Player)</w:t>
      </w:r>
    </w:p>
    <w:p w:rsidR="006514EF" w:rsidRDefault="00DD50AA">
      <w:pPr>
        <w:pStyle w:val="ProductList-BodyIndented"/>
      </w:pPr>
      <w:r>
        <w:t xml:space="preserve">Kunden mit aktiven Verträgen mit Microsoft Ireland Operations Ltd die alle folgenden Kriterien erfüllen, sind berechtigt, Medien für Microsoft Windows 8/8.1 Pro N und Windows 10 Pro N ausschließlich zur </w:t>
      </w:r>
      <w:r>
        <w:t>Bereitstellung und Nutzung in der Europäischen Union (EU) oder der Europäischen Freihandelszone (EFTA) zu erwerben. (Bei einer Open-Lizenz ist ein „aktiver Vertrag“ ein Vertrag, der mit einer aktiven Open-Lizenz-Autorisierungsnummer verknüpft ist.)</w:t>
      </w:r>
    </w:p>
    <w:p w:rsidR="006514EF" w:rsidRDefault="006514EF">
      <w:pPr>
        <w:pStyle w:val="ProductList-BodyIndented"/>
      </w:pPr>
    </w:p>
    <w:p w:rsidR="006514EF" w:rsidRDefault="00DD50AA">
      <w:pPr>
        <w:pStyle w:val="ProductList-ClauseHeading"/>
        <w:outlineLvl w:val="4"/>
      </w:pPr>
      <w:r>
        <w:t xml:space="preserve">2.6 </w:t>
      </w:r>
      <w:r>
        <w:t>Windows Embedded 8 Standard Enterprise Kit</w:t>
      </w:r>
    </w:p>
    <w:p w:rsidR="006514EF" w:rsidRDefault="00DD50AA">
      <w:pPr>
        <w:pStyle w:val="ProductList-Body"/>
      </w:pPr>
      <w:r>
        <w:t xml:space="preserve">Die Verwendung der durch das Windows Embedded 8 Standard Enterprise Kit aktivierten Softwarefeatures unterliegt den Lizenzbestimmungen für die zugrunde liegende Windows Embedded 8 Standard-Software. Das Recht zur </w:t>
      </w:r>
      <w:r>
        <w:t>Verwendung der Softwarefeatures gilt bis zum Ablauf des Rechts zur Verwendung der zugrunde liegenden Software. Die Lizenz für Windows Embedded 8 Standard Enterprise Kit muss dauerhaft einem einzelnen Gerät zugewiesen werden und darf nicht an ein anderes Ge</w:t>
      </w:r>
      <w:r>
        <w:t>rät übertragen werden.</w:t>
      </w:r>
    </w:p>
    <w:p w:rsidR="006514EF" w:rsidRDefault="00DD50AA">
      <w:pPr>
        <w:pStyle w:val="ProductList-Offering1SubSection"/>
        <w:outlineLvl w:val="3"/>
      </w:pPr>
      <w:bookmarkStart w:id="197" w:name="_Sec813"/>
      <w:r>
        <w:t>3. Nutzungsrechte</w:t>
      </w:r>
      <w:bookmarkEnd w:id="197"/>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w:t>
              </w:r>
              <w:r>
                <w:rPr>
                  <w:color w:val="00467F"/>
                  <w:u w:val="single"/>
                </w:rPr>
                <w:t>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w:t>
            </w:r>
            <w:r>
              <w:rPr>
                <w:color w:val="0563C1"/>
              </w:rPr>
              <w:t>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w:instrText>
            </w:r>
            <w:r>
              <w:instrText xml:space="preserve">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Zuweisung von Lizenzen</w:t>
      </w:r>
    </w:p>
    <w:p w:rsidR="006514EF" w:rsidRDefault="00DD50AA">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w:t>
      </w:r>
      <w:r>
        <w:t>nten im Abschnitt „Software Assurance“ dargelegt. Siehe Abschnitt 4. Software Assurance für die Neuzuweisung von Lizenzrechten für Windows SA und Windows VDA.</w:t>
      </w:r>
    </w:p>
    <w:p w:rsidR="006514EF" w:rsidRDefault="006514EF">
      <w:pPr>
        <w:pStyle w:val="ProductList-Body"/>
      </w:pPr>
    </w:p>
    <w:p w:rsidR="006514EF" w:rsidRDefault="00DD50AA">
      <w:pPr>
        <w:pStyle w:val="ProductList-ClauseHeading"/>
        <w:outlineLvl w:val="4"/>
      </w:pPr>
      <w:r>
        <w:t>3.2 Windows-Anwendungen</w:t>
      </w:r>
    </w:p>
    <w:p w:rsidR="006514EF" w:rsidRDefault="00DD50AA">
      <w:pPr>
        <w:pStyle w:val="ProductList-Body"/>
      </w:pPr>
      <w:r>
        <w:t>Sofern dem Kunden keine anderen Bestimmungen angezeigt oder in den Einst</w:t>
      </w:r>
      <w:r>
        <w:t xml:space="preserve">ellungen der Anwendung präsentiert werden, erklärt sich der Kunde damit einverstanden, dass die Dienste, auf die er über die Windows-Anwendung zugreift, durch den Microsoft-Dienstleistungsvertrag unter </w:t>
      </w:r>
      <w:hyperlink r:id="rId78">
        <w:r>
          <w:rPr>
            <w:color w:val="00467F"/>
            <w:u w:val="single"/>
          </w:rPr>
          <w:t>http://go.microsoft.com/fwlink/?linkid=246338</w:t>
        </w:r>
      </w:hyperlink>
      <w:r>
        <w:t xml:space="preserve"> bzw. bei Windows-Anwendungen, die auf Xbox-Dienste zugreifen, durch die Xbox.com-Nutzungsbestimmungen unter </w:t>
      </w:r>
      <w:hyperlink r:id="rId79">
        <w:r>
          <w:rPr>
            <w:color w:val="00467F"/>
            <w:u w:val="single"/>
          </w:rPr>
          <w:t>http://xbox.com/legal/livetou</w:t>
        </w:r>
      </w:hyperlink>
      <w:r>
        <w:t xml:space="preserve"> geregelt wer</w:t>
      </w:r>
      <w:r>
        <w:t>den.</w:t>
      </w:r>
    </w:p>
    <w:p w:rsidR="006514EF" w:rsidRDefault="00DD50AA">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w:instrText>
            </w:r>
            <w:r>
              <w:instrText xml:space="preserve">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80">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"Roamingre</w:instrText>
            </w:r>
            <w:r>
              <w:instrText xml:space="preserv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Enterprise-Edition und VDA</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4.1 Zusätzli</w:t>
      </w:r>
      <w:r>
        <w:t>che über Software Assurance gewährte Nutzungsrechte für Windows Software Assurance (Pro Nutzer und Pro Gerät) und Windows Virtual Desktop Access (VDA) (Pro Nutzer und Pro Gerät)</w:t>
      </w:r>
    </w:p>
    <w:p w:rsidR="006514EF" w:rsidRDefault="00DD50AA">
      <w:pPr>
        <w:pStyle w:val="ProductList-Body"/>
      </w:pPr>
      <w:r>
        <w:t>„“</w:t>
      </w:r>
      <w:r>
        <w:rPr>
          <w:b/>
          <w:color w:val="00188F"/>
        </w:rPr>
        <w:t>Software</w:t>
      </w:r>
      <w:r>
        <w:t>“ bezeichnet in diesem Dokument Windows 10 Enterprise Current Branch</w:t>
      </w:r>
      <w:r>
        <w:t xml:space="preserve"> oder Windows Enterprise LTSB. </w:t>
      </w:r>
    </w:p>
    <w:p w:rsidR="006514EF" w:rsidRDefault="00DD50AA">
      <w:pPr>
        <w:pStyle w:val="ProductList-Body"/>
      </w:pPr>
      <w:r>
        <w:t>„</w:t>
      </w:r>
      <w:r>
        <w:rPr>
          <w:b/>
          <w:color w:val="00188F"/>
        </w:rPr>
        <w:t>Lizenziertes Gerät</w:t>
      </w:r>
      <w:r>
        <w:t>“ bezeichnet in diesem Dokument das Gerät, dem der Kunde aktive SA zugewiesen hat.</w:t>
      </w:r>
    </w:p>
    <w:p w:rsidR="006514EF" w:rsidRDefault="00DD50AA">
      <w:pPr>
        <w:pStyle w:val="ProductList-Body"/>
      </w:pPr>
      <w:r>
        <w:t>„</w:t>
      </w:r>
      <w:r>
        <w:rPr>
          <w:b/>
          <w:color w:val="00188F"/>
        </w:rPr>
        <w:t>Lizenzierter Nutzer</w:t>
      </w:r>
      <w:r>
        <w:t>“ bezeichnet in diesem Dokument den Nutzer, dem der Kunde aktive Software Assurance zugewiesen hat. We</w:t>
      </w:r>
      <w:r>
        <w:t>nn die zugrunde liegende Nutzer-Lizenz von einer Person auf eine andere übertragen wird, ist der ursprüngliche Nutzer der Lizenz nicht mehr lizenziert.</w:t>
      </w:r>
    </w:p>
    <w:p w:rsidR="006514EF" w:rsidRDefault="00DD50AA">
      <w:pPr>
        <w:pStyle w:val="ProductList-Bullet"/>
        <w:numPr>
          <w:ilvl w:val="0"/>
          <w:numId w:val="28"/>
        </w:numPr>
      </w:pPr>
      <w:r>
        <w:t>Jeder Nutzer eines Lizenzierten Gerätes oder jedes von einem Lizenzierten Nutzer genutzte Gerät ist bere</w:t>
      </w:r>
      <w:r>
        <w:t>chtigt, remote auf bis zu vier Instanzen der Software zuzugreifen, die in Virtuellen Betriebssystemumgebungen Ausgeführt werden, oder auf eine Instanz der Software zuzugreifen, die in einer Physischen Betriebssystemumgebung auf Geräten, die zur Nutzung dur</w:t>
      </w:r>
      <w:r>
        <w:t>ch den Kunden vorgesehen sind, Ausgeführt wird.</w:t>
      </w:r>
    </w:p>
    <w:p w:rsidR="006514EF" w:rsidRDefault="00DD50AA">
      <w:pPr>
        <w:pStyle w:val="ProductList-Bullet"/>
        <w:numPr>
          <w:ilvl w:val="0"/>
          <w:numId w:val="28"/>
        </w:numPr>
      </w:pPr>
      <w:r>
        <w:t>Der Kunde ist berechtigt, eine Instanz der Software auf einem oder zwei USB-Laufwerken über Windows to Go zu erstellen und zu speichern, und diese auf lizenzierten Geräten zu nutzen, wenn diese pro Gerät bzw.</w:t>
      </w:r>
      <w:r>
        <w:t xml:space="preserve"> pro Nutzer auf jedem Gerät lizenziert sind.</w:t>
      </w:r>
    </w:p>
    <w:p w:rsidR="006514EF" w:rsidRDefault="00DD50AA">
      <w:pPr>
        <w:pStyle w:val="ProductList-Bullet"/>
        <w:numPr>
          <w:ilvl w:val="0"/>
          <w:numId w:val="28"/>
        </w:numPr>
      </w:pPr>
      <w:r>
        <w:t>Der Kunde ist berechtigt, Windows 10 Pro oder eine frühere Version der Software anstelle von den in diesem Abschnitt erlaubten Instanzen auszuführen.</w:t>
      </w:r>
    </w:p>
    <w:p w:rsidR="006514EF" w:rsidRDefault="00DD50AA">
      <w:pPr>
        <w:pStyle w:val="ProductList-Bullet"/>
        <w:numPr>
          <w:ilvl w:val="0"/>
          <w:numId w:val="28"/>
        </w:numPr>
      </w:pPr>
      <w:r>
        <w:t>Der Kunde benötigt keine Lizenz, um lediglich zur Verwaltung der Software auf seine zugelassenen Instanzen zuzugreifen.</w:t>
      </w:r>
    </w:p>
    <w:p w:rsidR="006514EF" w:rsidRDefault="006514EF">
      <w:pPr>
        <w:pStyle w:val="ProductList-Body"/>
      </w:pPr>
    </w:p>
    <w:p w:rsidR="006514EF" w:rsidRDefault="00DD50AA">
      <w:pPr>
        <w:pStyle w:val="ProductList-Body"/>
      </w:pPr>
      <w:r>
        <w:t>Die in der ersten Spalte der Tabelle aufgeführten Rechte gelten für die in den Spalten auf der rechten Seite angegebenen Lizenzen, sofe</w:t>
      </w:r>
      <w:r>
        <w:t>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6514E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514EF" w:rsidRDefault="006514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14EF" w:rsidRDefault="00DD50A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14EF" w:rsidRDefault="00DD50AA">
            <w:pPr>
              <w:pStyle w:val="ProductList-TableBody"/>
              <w:jc w:val="center"/>
            </w:pPr>
            <w:r>
              <w:rPr>
                <w:color w:val="FFFFFF"/>
              </w:rPr>
              <w:t>Windows VDA</w:t>
            </w:r>
          </w:p>
        </w:tc>
      </w:tr>
      <w:tr w:rsidR="006514E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514EF" w:rsidRDefault="006514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Nutzer</w:t>
            </w:r>
          </w:p>
        </w:tc>
      </w:tr>
      <w:tr w:rsidR="006514EF">
        <w:tc>
          <w:tcPr>
            <w:tcW w:w="80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w:instrText>
            </w:r>
            <w:r>
              <w:instrText xml:space="preserve">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w:instrText>
            </w:r>
            <w:r>
              <w:instrText xml:space="preserve">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w:instrText>
            </w:r>
            <w:r>
              <w:instrText xml:space="preserve">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w:instrText>
            </w:r>
            <w:r>
              <w:instrText xml:space="preserve">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w:t>
            </w:r>
            <w:r>
              <w:t xml:space="preserve">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w:instrText>
            </w:r>
            <w:r>
              <w:instrText xml:space="preserve">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w:instrText>
            </w:r>
            <w:r>
              <w:instrText xml:space="preserve">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w:instrText>
            </w:r>
            <w:r>
              <w:instrText xml:space="preserve">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w:instrText>
            </w:r>
            <w:r>
              <w:instrText xml:space="preserve">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w:instrText>
            </w:r>
            <w:r>
              <w:instrText xml:space="preserve">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w:instrText>
            </w:r>
            <w:r>
              <w:instrText xml:space="preserv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80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w:instrText>
            </w:r>
            <w:r>
              <w:instrText xml:space="preserv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w:instrText>
            </w:r>
            <w:r>
              <w:instrText xml:space="preserve">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w:instrText>
            </w:r>
            <w:r>
              <w:instrText xml:space="preserve"> OSE ist eine OSE, die so konfiguriert ist, dass sie direkt auf einem physischen Hardwaresystem ausgeführt wird. Die Betriebssysteminstanz, die für die Ausführung der Hardware-Virtualisierungssoftware oder zur Bereitstellung von Hardware-Virtualisierungsdi</w:instrText>
            </w:r>
            <w:r>
              <w:instrText xml:space="preserve">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w:instrText>
            </w:r>
            <w:r>
              <w:instrText xml:space="preserve">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w:instrText>
            </w:r>
            <w:r>
              <w:instrText xml:space="preserve">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w:instrText>
            </w:r>
            <w:r>
              <w:instrText xml:space="preserve">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w:instrText>
            </w:r>
            <w:r>
              <w:instrText xml:space="preserve">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w:t>
            </w:r>
            <w:r>
              <w:rPr>
                <w:color w:val="0563C1"/>
              </w:rPr>
              <w:t>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80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bl>
    <w:p w:rsidR="006514EF" w:rsidRDefault="006514EF">
      <w:pPr>
        <w:pStyle w:val="ProductList-Body"/>
      </w:pPr>
    </w:p>
    <w:p w:rsidR="006514EF" w:rsidRDefault="00DD50AA">
      <w:pPr>
        <w:pStyle w:val="ProductList-SubClauseHeading"/>
        <w:outlineLvl w:val="5"/>
      </w:pPr>
      <w:r>
        <w:t>4.1.1 Rechte für Windows 10 Enterprise Current Branch</w:t>
      </w:r>
    </w:p>
    <w:p w:rsidR="006514EF" w:rsidRDefault="00DD50AA">
      <w:pPr>
        <w:pStyle w:val="ProductList-BodyIndented"/>
      </w:pPr>
      <w:r>
        <w:t>Windows 10 Enterprise Current Branch darf nur v</w:t>
      </w:r>
      <w:r>
        <w:t>on Kunden genutzt werden, die über aktive Lizenzen für Windows SA oder VDA verfügen. Kunden, die SA auslaufen lassen, müssen Windows 10 Enterprise Aktuelle Verzweigung deinstallieren. Kunden mit zeitlich unbeschränkten Rechten für Windows Enterprise dürfen</w:t>
      </w:r>
      <w:r>
        <w:t xml:space="preserve"> die Version von Windows Enterprise LTSB installieren, die zum Auslaufzeitpunkt aktuell ist.</w:t>
      </w:r>
    </w:p>
    <w:p w:rsidR="006514EF" w:rsidRDefault="006514EF">
      <w:pPr>
        <w:pStyle w:val="ProductList-BodyIndented"/>
      </w:pPr>
    </w:p>
    <w:p w:rsidR="006514EF" w:rsidRDefault="00DD50AA">
      <w:pPr>
        <w:pStyle w:val="ProductList-ClauseHeading"/>
        <w:outlineLvl w:val="4"/>
      </w:pPr>
      <w:r>
        <w:t>4.2 Qualifizierende Betriebssysteme</w:t>
      </w:r>
    </w:p>
    <w:p w:rsidR="006514EF" w:rsidRDefault="00DD50AA">
      <w:pPr>
        <w:pStyle w:val="ProductList-Body"/>
      </w:pPr>
      <w:r>
        <w:t xml:space="preserve">Jedes Gerät, für das der Kunde Software Assurance erwirbt und auf dem er das Windows 10 Enterprise-Upgrade ausführt, muss zur </w:t>
      </w:r>
      <w:r>
        <w:t>Ausführung eines der nach Programmtyp aufgeführten Qualifizierenden Betriebssysteme in der entsprechenden Tabelle im Abschnitt „Produktbedingungen“ oben lizenziert sein.</w:t>
      </w:r>
    </w:p>
    <w:p w:rsidR="006514EF" w:rsidRDefault="00DD50AA">
      <w:pPr>
        <w:pStyle w:val="ProductList-Bullet"/>
        <w:numPr>
          <w:ilvl w:val="0"/>
          <w:numId w:val="29"/>
        </w:numPr>
      </w:pPr>
      <w:r>
        <w:t>Kunden, die zuvor SA für Windows Pro erworben haben, können diese für die betreffenden</w:t>
      </w:r>
      <w:r>
        <w:t xml:space="preserve"> Geräte verlängern, ohne eine Upgradelizenz für Windows Enterprise erwerben zu müssen.</w:t>
      </w:r>
    </w:p>
    <w:p w:rsidR="006514EF" w:rsidRDefault="00DD50AA">
      <w:pPr>
        <w:pStyle w:val="ProductList-Bullet"/>
        <w:numPr>
          <w:ilvl w:val="0"/>
          <w:numId w:val="29"/>
        </w:numPr>
      </w:pPr>
      <w:r>
        <w:t>Kunden, die zuvor ein Windows Pro-Upgrade + SA erworben haben, können bis zum Ende ihres Beitritts oder Vertrags zusätzliche Pro-Upgrades + SA erwerben.</w:t>
      </w:r>
    </w:p>
    <w:p w:rsidR="006514EF" w:rsidRDefault="006514EF">
      <w:pPr>
        <w:pStyle w:val="ProductList-Body"/>
      </w:pPr>
    </w:p>
    <w:p w:rsidR="006514EF" w:rsidRDefault="00DD50AA">
      <w:pPr>
        <w:pStyle w:val="ProductList-ClauseHeading"/>
        <w:outlineLvl w:val="4"/>
      </w:pPr>
      <w:r>
        <w:t>4.3 Neuzuweisun</w:t>
      </w:r>
      <w:r>
        <w:t>g von Windows Software Assurance pro Gerät</w:t>
      </w:r>
    </w:p>
    <w:p w:rsidR="006514EF" w:rsidRDefault="00DD50AA">
      <w:pPr>
        <w:pStyle w:val="ProductList-Body"/>
      </w:pPr>
      <w:r>
        <w:t>Ungeachtet der oben ausgeführten Regeln für die Lizenzzuweisung ist der Kunde berechtigt, Windows Software Assurance pro Gerät mit der damit verbundenen Windows Enterprise-Upgradelizenz vom ursprünglichen Gerät ei</w:t>
      </w:r>
      <w:r>
        <w:t>nem Ersatzgerät neu zuzuweisen, jedoch nicht kurzzeitig (d. h. nicht innerhalb von 90 Tagen nach der letzten Zuweisung), solange (1) der Kunde die neueste Version eines qualifizierenden Betriebssystems lizenziert und auf dem Ersatzgerät installiert hat und</w:t>
      </w:r>
      <w:r>
        <w:t xml:space="preserve"> der Kunde die zugrunde liegende Lizenz für Windows Enterprise demselben Ersatzgerät neu zuweist und (2) der Kunde von dem ursprünglichen Gerät alle zugehörigen Betriebssystem-Upgrades entfernt. Die Neuzuweisung einer Upgradelizenz für Windows Enterprise d</w:t>
      </w:r>
      <w:r>
        <w:t>arf nur in Verbindung mit der Neuzuweisung einer aktiven Windows Software Assurance pro Gerät erfolgen. Der Kunde ist berechtigt, Lizenzen für Windows VDA pro Gerät einem anderen Gerät nach den Bestimmungen neu zuzuweisen, die allgemein für Geräte-ALs gelt</w:t>
      </w:r>
      <w:r>
        <w:t xml:space="preserve">en und im Abschnitt „Zuweisung und Neuzuweisung von Lizenzen“ der </w:t>
      </w:r>
      <w:hyperlink w:anchor="_Sec537">
        <w:r>
          <w:rPr>
            <w:color w:val="00467F"/>
            <w:u w:val="single"/>
          </w:rPr>
          <w:t>Universellen Lizenzbestimmungen</w:t>
        </w:r>
      </w:hyperlink>
      <w:r>
        <w:t xml:space="preserve"> dargelegt sind. </w:t>
      </w:r>
    </w:p>
    <w:p w:rsidR="006514EF" w:rsidRDefault="006514EF">
      <w:pPr>
        <w:pStyle w:val="ProductList-Body"/>
      </w:pPr>
    </w:p>
    <w:p w:rsidR="006514EF" w:rsidRDefault="00DD50AA">
      <w:pPr>
        <w:pStyle w:val="ProductList-ClauseHeading"/>
        <w:outlineLvl w:val="4"/>
      </w:pPr>
      <w:r>
        <w:t>4.4 Regeln für die Pro-Nutzer-Lizenzzuweisung von Windows Software Assurance:</w:t>
      </w:r>
    </w:p>
    <w:p w:rsidR="006514EF" w:rsidRDefault="00DD50AA">
      <w:pPr>
        <w:pStyle w:val="ProductList-SubClauseHeading"/>
        <w:outlineLvl w:val="5"/>
      </w:pPr>
      <w:r>
        <w:t xml:space="preserve">4.4.1 Nutzer-AL für Windows </w:t>
      </w:r>
      <w:r>
        <w:t>Enterprise SA pro Nutzer</w:t>
      </w:r>
    </w:p>
    <w:p w:rsidR="006514EF" w:rsidRDefault="00DD50A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w:instrText>
      </w:r>
      <w:r>
        <w:instrText xml:space="preserve">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w:t>
      </w:r>
      <w:r>
        <w:t>ss außerdem das Hauptarbeitsgerät des Hauptnutzers sein.</w:t>
      </w:r>
    </w:p>
    <w:p w:rsidR="006514EF" w:rsidRDefault="006514EF">
      <w:pPr>
        <w:pStyle w:val="ProductList-BodyIndented"/>
      </w:pPr>
    </w:p>
    <w:p w:rsidR="006514EF" w:rsidRDefault="00DD50AA">
      <w:pPr>
        <w:pStyle w:val="ProductList-SubClauseHeading"/>
        <w:outlineLvl w:val="5"/>
      </w:pPr>
      <w:r>
        <w:t>4.4.2 Add-On für Windows Enterprise SA Pro-Nutzer</w:t>
      </w:r>
    </w:p>
    <w:p w:rsidR="006514EF" w:rsidRDefault="00DD50A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w:instrText>
      </w:r>
      <w:r>
        <w:instrText xml:space="preserve">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6514EF" w:rsidRDefault="006514EF">
      <w:pPr>
        <w:pStyle w:val="ProductList-BodyIndented"/>
      </w:pPr>
    </w:p>
    <w:p w:rsidR="006514EF" w:rsidRDefault="00DD50AA">
      <w:pPr>
        <w:pStyle w:val="ProductList-ClauseHeading"/>
        <w:outlineLvl w:val="4"/>
      </w:pPr>
      <w:r>
        <w:t>4.5 Software Assurance-Add-On pro Nutzer für das Windows-Desktopbetriebssystem</w:t>
      </w:r>
    </w:p>
    <w:p w:rsidR="006514EF" w:rsidRDefault="00DD50AA">
      <w:pPr>
        <w:pStyle w:val="ProductList-Body"/>
      </w:pPr>
      <w:r>
        <w:t>Das Add-On für Windows-Desktopbetriebssystem SA pro Nutze</w:t>
      </w:r>
      <w:r>
        <w:t xml:space="preserve">r ist eine Abonnementlizenz, die </w:t>
      </w:r>
    </w:p>
    <w:p w:rsidR="006514EF" w:rsidRDefault="00DD50AA">
      <w:pPr>
        <w:pStyle w:val="ProductList-Bullet"/>
        <w:numPr>
          <w:ilvl w:val="0"/>
          <w:numId w:val="30"/>
        </w:numPr>
      </w:pPr>
      <w:r>
        <w:t xml:space="preserve">zusätzlich zu dem (und in Zusammenhang mit einem lizenzierten Gerät für das) dem Windows Desktopbetriebssystem mit SA („Qualifizierende Deckung“) oder VDA („Qualifizierende Lizenz“) erworben wird. </w:t>
      </w:r>
    </w:p>
    <w:p w:rsidR="006514EF" w:rsidRDefault="00DD50AA">
      <w:pPr>
        <w:pStyle w:val="ProductList-Bullet"/>
        <w:numPr>
          <w:ilvl w:val="0"/>
          <w:numId w:val="30"/>
        </w:numPr>
      </w:pPr>
      <w:r>
        <w:t>wird dem Hauptnutzer die</w:t>
      </w:r>
      <w:r>
        <w:t xml:space="preserve">ses Geräts zugewiesen und (wobei das Gerät auch das Hauptarbeitsgerät des Hauptnutzers ist) </w:t>
      </w:r>
    </w:p>
    <w:p w:rsidR="006514EF" w:rsidRDefault="00DD50AA">
      <w:pPr>
        <w:pStyle w:val="ProductList-Bullet"/>
        <w:numPr>
          <w:ilvl w:val="0"/>
          <w:numId w:val="30"/>
        </w:numPr>
      </w:pPr>
      <w:r>
        <w:t xml:space="preserve">gestattet die Nutzung der Windows Enterprise-Software gemäß den Lizenzbedingungen für Windows Enterprise pro Nutzer oder den Lizenzbedingungen für VDA pro Nutzer, </w:t>
      </w:r>
      <w:r>
        <w:t xml:space="preserve">die mit der Qualifizierenden Deckung bzw. der Qualifizierenden Lizenz verbunden sind, und </w:t>
      </w:r>
    </w:p>
    <w:p w:rsidR="006514EF" w:rsidRDefault="00DD50AA">
      <w:pPr>
        <w:pStyle w:val="ProductList-Bullet"/>
        <w:numPr>
          <w:ilvl w:val="0"/>
          <w:numId w:val="30"/>
        </w:numPr>
      </w:pPr>
      <w:r>
        <w:t xml:space="preserve">läuft mit dem Ablauf der Qualifizierenden Deckung bzw. der Qualifizierenden Lizenz ab. </w:t>
      </w:r>
    </w:p>
    <w:p w:rsidR="006514EF" w:rsidRDefault="00DD50AA">
      <w:pPr>
        <w:pStyle w:val="ProductList-Body"/>
      </w:pPr>
      <w:r>
        <w:t>Ungeachtet der allgemeinen Rechte für die Neuzuweisung von Lizenzen können di</w:t>
      </w:r>
      <w:r>
        <w:t>ese Add-On-Lizenzen nur an Hauptnutzer von anderen Geräten, die entweder über eine Qualifizierende Deckung oder Qualifizierende Lizenzen verfügen, neu zugewiesen werden. Das Software Assurance-Add-On pro Nutzer für das Windows-Desktopbetriebssystem kann in</w:t>
      </w:r>
      <w:r>
        <w:t xml:space="preserve"> beliebiger Menge bis zur Gesamtzahl der Geräte mit Software Assurance- und/oder VDA-Lizenz erworben werden.</w:t>
      </w:r>
    </w:p>
    <w:p w:rsidR="006514EF" w:rsidRDefault="006514EF">
      <w:pPr>
        <w:pStyle w:val="ProductList-Body"/>
      </w:pPr>
    </w:p>
    <w:p w:rsidR="006514EF" w:rsidRDefault="00DD50AA">
      <w:pPr>
        <w:pStyle w:val="ProductList-ClauseHeading"/>
        <w:outlineLvl w:val="4"/>
      </w:pPr>
      <w:r>
        <w:t>4.6 Konzernbeitritte mit einer Kombination aus Windows SA oder VDA für Windows pro Nutzer und pro Gerät</w:t>
      </w:r>
    </w:p>
    <w:p w:rsidR="006514EF" w:rsidRDefault="00DD50AA">
      <w:pPr>
        <w:pStyle w:val="ProductList-Body"/>
      </w:pPr>
      <w:r>
        <w:t>Kunden, die Lizenzen für Windows SA pro Ge</w:t>
      </w:r>
      <w:r>
        <w:t>rät and Windows SA pro Nutzer vermischen möchten, können dies unter folgenden Bedingungen tun:</w:t>
      </w:r>
    </w:p>
    <w:p w:rsidR="006514EF" w:rsidRDefault="00DD50AA">
      <w:pPr>
        <w:pStyle w:val="ProductList-Bullet"/>
        <w:numPr>
          <w:ilvl w:val="0"/>
          <w:numId w:val="31"/>
        </w:numPr>
      </w:pPr>
      <w:r>
        <w:t>Alle Nutzer, die unlizenzierte Qualifizierte Geräte verwenden, werden mit Windows SA pro Nutzer (Nutzer-AL oder Add-On-Nutzer-AL) lizenziert.</w:t>
      </w:r>
    </w:p>
    <w:p w:rsidR="006514EF" w:rsidRDefault="00DD50AA">
      <w:pPr>
        <w:pStyle w:val="ProductList-Bullet"/>
        <w:numPr>
          <w:ilvl w:val="0"/>
          <w:numId w:val="31"/>
        </w:numPr>
      </w:pPr>
      <w:r>
        <w:t>Alle Qualifizierten</w:t>
      </w:r>
      <w:r>
        <w:t xml:space="preserve"> Geräte, die von unlizenzierten Nutzern verwendet werden, werden mit Windows SA pro Gerät lizenziert.</w:t>
      </w:r>
    </w:p>
    <w:p w:rsidR="006514EF" w:rsidRDefault="006514EF">
      <w:pPr>
        <w:pStyle w:val="ProductList-Body"/>
      </w:pPr>
    </w:p>
    <w:p w:rsidR="006514EF" w:rsidRDefault="00DD50AA">
      <w:pPr>
        <w:pStyle w:val="ProductList-ClauseHeading"/>
        <w:outlineLvl w:val="4"/>
      </w:pPr>
      <w:r>
        <w:t>4.7 Erwerbsberechtigung für Software Assurance (pro Nutzer) für das Windows-Desktopbetriebssystem von Nutzer-ALs aus SA</w:t>
      </w:r>
    </w:p>
    <w:p w:rsidR="006514EF" w:rsidRDefault="00DD50AA">
      <w:pPr>
        <w:pStyle w:val="ProductList-SubClauseHeading"/>
        <w:outlineLvl w:val="5"/>
      </w:pPr>
      <w:r>
        <w:t>4.7.1 Konzernverträge</w:t>
      </w:r>
    </w:p>
    <w:p w:rsidR="006514EF" w:rsidRDefault="00DD50AA">
      <w:pPr>
        <w:pStyle w:val="ProductList-BodyIndented"/>
      </w:pPr>
      <w:r>
        <w:t xml:space="preserve">Nutzer-ALs </w:t>
      </w:r>
      <w:r>
        <w:t>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Entsprechende Nutzer-AL von SA</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 (pro Nutzer) für das Windows-Desktopbetriebssystem Nutzer-AL aus SA</w:t>
            </w:r>
            <w:r>
              <w:rPr>
                <w:vertAlign w:val="superscript"/>
              </w:rPr>
              <w:t>1</w:t>
            </w:r>
          </w:p>
        </w:tc>
      </w:tr>
    </w:tbl>
    <w:p w:rsidR="006514EF" w:rsidRDefault="00DD50AA">
      <w:pPr>
        <w:pStyle w:val="ProductList-BodyIndented"/>
      </w:pPr>
      <w:r>
        <w:rPr>
          <w:i/>
          <w:vertAlign w:val="superscript"/>
        </w:rPr>
        <w:t>1</w:t>
      </w:r>
      <w:r>
        <w:rPr>
          <w:i/>
        </w:rPr>
        <w:t>Zum Jahrestag des Beitritts oder zu Beginn einer neuen Laufzeit des Beitritts zum Kauf verfügbar.</w:t>
      </w:r>
    </w:p>
    <w:p w:rsidR="006514EF" w:rsidRDefault="006514EF">
      <w:pPr>
        <w:pStyle w:val="ProductList-BodyIndented"/>
      </w:pPr>
    </w:p>
    <w:p w:rsidR="006514EF" w:rsidRDefault="00DD50AA">
      <w:pPr>
        <w:pStyle w:val="ProductList-SubClauseHeading"/>
        <w:outlineLvl w:val="5"/>
      </w:pPr>
      <w:r>
        <w:t>4.7.2 Konzern-Abonnement-</w:t>
      </w:r>
      <w:r>
        <w:t>Verträge</w:t>
      </w:r>
    </w:p>
    <w:p w:rsidR="006514EF" w:rsidRDefault="00DD50AA">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w:t>
      </w:r>
      <w:r>
        <w:t>z muss mindestens drei Jahre vor dem Kauf der Nutzer-AL aus SA erworben worden sein.</w:t>
      </w:r>
    </w:p>
    <w:p w:rsidR="006514EF" w:rsidRDefault="006514EF">
      <w:pPr>
        <w:pStyle w:val="ProductList-BodyIndented"/>
      </w:pPr>
    </w:p>
    <w:p w:rsidR="006514EF" w:rsidRDefault="00DD50AA">
      <w:pPr>
        <w:pStyle w:val="ProductList-ClauseHeading"/>
        <w:outlineLvl w:val="4"/>
      </w:pPr>
      <w:r>
        <w:t>4.8 Microsoft Desktop Optimization Pack (MDOP)</w:t>
      </w:r>
    </w:p>
    <w:p w:rsidR="006514EF" w:rsidRDefault="00DD50AA">
      <w:pPr>
        <w:pStyle w:val="ProductList-Body"/>
      </w:pPr>
      <w:r>
        <w:t xml:space="preserve">Der Kunde ist berechtigt, Management-Funktionen des MDOP auf seinen anderen Geräten zu installieren und zu nutzen, die für </w:t>
      </w:r>
      <w:r>
        <w:t>seine Nutzung zum Verwalten von Software auf dem Lizenzierten Gerät oder den Lizenzierten Geräten des Nutzers vorgesehen sind. Der Kunde ist außerdem berechtigt, AGPM, DaRT und UE-V zur Verwaltung von Software auf Servern innerhalb seiner Domäne zu verwend</w:t>
      </w:r>
      <w:r>
        <w:t>en, sofern die Desktops innerhalb dieser Domäne für MDOP-Nutzung lizenziert sind:</w:t>
      </w:r>
    </w:p>
    <w:p w:rsidR="006514EF" w:rsidRDefault="006514EF">
      <w:pPr>
        <w:pStyle w:val="ProductList-Body"/>
      </w:pPr>
    </w:p>
    <w:p w:rsidR="006514EF" w:rsidRDefault="00DD50AA">
      <w:pPr>
        <w:pStyle w:val="ProductList-SubClauseHeading"/>
        <w:outlineLvl w:val="5"/>
      </w:pPr>
      <w:r>
        <w:t>4.8.1 MDOP-Berechtigung</w:t>
      </w:r>
    </w:p>
    <w:p w:rsidR="006514EF" w:rsidRDefault="00DD50AA">
      <w:pPr>
        <w:pStyle w:val="ProductList-BodyIndented"/>
      </w:pPr>
      <w:r>
        <w:t>Die folgenden haben MDOP-Nutzungsrechte, die in Windows Software Assurance und Windows VDA enthalten sind, und müssen das MDOP nicht gesondert erwerb</w:t>
      </w:r>
      <w:r>
        <w:t>en.</w:t>
      </w:r>
    </w:p>
    <w:p w:rsidR="006514EF" w:rsidRDefault="00DD50AA">
      <w:pPr>
        <w:pStyle w:val="ProductList-Bullet"/>
        <w:numPr>
          <w:ilvl w:val="1"/>
          <w:numId w:val="32"/>
        </w:numPr>
      </w:pPr>
      <w:r>
        <w:t>Alle Kunden mit aktiver Software Assurance pro Nutzer oder VDA pro Nutzer-NAL oder VDA pro Nutzer-NAL.</w:t>
      </w:r>
    </w:p>
    <w:p w:rsidR="006514EF" w:rsidRDefault="00DD50AA">
      <w:pPr>
        <w:pStyle w:val="ProductList-Bullet"/>
        <w:numPr>
          <w:ilvl w:val="1"/>
          <w:numId w:val="32"/>
        </w:numPr>
      </w:pPr>
      <w:r>
        <w:t>Kunden mit Verträgen mit Wirksamkeitsdatum am oder nach dem 1. August 2015, die eine aktive Windows Software Assurance pro Gerät und/oder VDA pro Ger</w:t>
      </w:r>
      <w:r>
        <w:t>ät haben.</w:t>
      </w:r>
    </w:p>
    <w:p w:rsidR="006514EF" w:rsidRDefault="006514EF">
      <w:pPr>
        <w:pStyle w:val="ProductList-BodyIndented"/>
      </w:pPr>
    </w:p>
    <w:p w:rsidR="006514EF" w:rsidRDefault="00DD50AA">
      <w:pPr>
        <w:pStyle w:val="ProductList-ClauseHeading"/>
        <w:outlineLvl w:val="4"/>
      </w:pPr>
      <w:r>
        <w:t>4.9 Programme für Forschung &amp; Lehre</w:t>
      </w:r>
    </w:p>
    <w:p w:rsidR="006514EF" w:rsidRDefault="00DD50AA">
      <w:pPr>
        <w:pStyle w:val="ProductList-Body"/>
      </w:pPr>
      <w:r>
        <w:t>Die folgende Tabelle gilt für Kunden in allen Volumenlizenz-Programmen für Forschung &amp; Lehre:</w:t>
      </w:r>
    </w:p>
    <w:p w:rsidR="006514EF" w:rsidRDefault="00DD50AA">
      <w:pPr>
        <w:pStyle w:val="ProductList-SubClauseHeading"/>
        <w:outlineLvl w:val="5"/>
      </w:pPr>
      <w:r>
        <w:t>4.9.1 Windows Enterprise LTSB-Rechte</w:t>
      </w:r>
    </w:p>
    <w:p w:rsidR="006514EF" w:rsidRDefault="00DD50AA">
      <w:pPr>
        <w:pStyle w:val="ProductList-BodyIndented"/>
      </w:pPr>
      <w:r>
        <w:t>Akademische Einrichtungen mit Windows Enterprise SA oder Windows Education SA sind berechtigt, Windows 10 Enterprise LTSB anstelle einer erlaubten unbeschränkten Instanz zu installieren.</w:t>
      </w:r>
    </w:p>
    <w:p w:rsidR="006514EF" w:rsidRDefault="006514EF">
      <w:pPr>
        <w:pStyle w:val="ProductList-BodyIndented"/>
      </w:pPr>
    </w:p>
    <w:p w:rsidR="006514EF" w:rsidRDefault="00DD50AA">
      <w:pPr>
        <w:pStyle w:val="ProductList-SubClauseHeading"/>
        <w:outlineLvl w:val="5"/>
      </w:pPr>
      <w:r>
        <w:t>4.9.2 Rechte für Windows 10 Enterprise oder Windows 10 Education Edi</w:t>
      </w:r>
      <w:r>
        <w:t>tion</w:t>
      </w:r>
    </w:p>
    <w:p w:rsidR="006514EF" w:rsidRDefault="00DD50AA">
      <w:pPr>
        <w:pStyle w:val="ProductList-BodyIndented"/>
      </w:pPr>
      <w:r>
        <w:t>Akademische Einrichtungen mit Software Assurance for Windows Enterprise oder Windows Education haben das Recht, Windows 10 Enterprise oder Windows 10 Education zu installieren und zu nutzen.</w:t>
      </w:r>
    </w:p>
    <w:p w:rsidR="006514EF" w:rsidRDefault="006514EF">
      <w:pPr>
        <w:pStyle w:val="ProductList-BodyIndented"/>
      </w:pPr>
    </w:p>
    <w:p w:rsidR="006514EF" w:rsidRDefault="00DD50AA">
      <w:pPr>
        <w:pStyle w:val="ProductList-SubClauseHeading"/>
        <w:outlineLvl w:val="5"/>
      </w:pPr>
      <w:r>
        <w:t>4.9.3 Downgraderechte</w:t>
      </w:r>
    </w:p>
    <w:p w:rsidR="006514EF" w:rsidRDefault="00DD50AA">
      <w:pPr>
        <w:pStyle w:val="ProductList-BodyIndented"/>
      </w:pPr>
      <w:r>
        <w:t>Akademische Einrichtungen mit Softwar</w:t>
      </w:r>
      <w:r>
        <w:t>e Assurance für Windows Education haben Downgraderechte auf Windows 8.1 Enterprise/Pro und frühere Versionen von Windows 8.1 Enterprise/Pro sowie auf Windows Embedded 8.1 Industry und frühere Versionen von Windows Embedded 8.1 Industry.</w:t>
      </w:r>
    </w:p>
    <w:p w:rsidR="006514EF" w:rsidRDefault="006514EF">
      <w:pPr>
        <w:pStyle w:val="ProductList-BodyIndented"/>
      </w:pPr>
    </w:p>
    <w:p w:rsidR="006514EF" w:rsidRDefault="00DD50AA">
      <w:pPr>
        <w:pStyle w:val="ProductList-SubClauseHeading"/>
        <w:outlineLvl w:val="5"/>
      </w:pPr>
      <w:r>
        <w:t>4.9.4 MDOP-Berecht</w:t>
      </w:r>
      <w:r>
        <w:t>igung</w:t>
      </w:r>
    </w:p>
    <w:p w:rsidR="006514EF" w:rsidRDefault="00DD50AA">
      <w:pPr>
        <w:pStyle w:val="ProductList-BodyIndented"/>
      </w:pPr>
      <w:r>
        <w:t>Akademische Einrichtungen mit Software Assurance for Windows Enterprise oder Windows Education haben das Recht, MDOP zu installieren und zu nutzen.</w:t>
      </w:r>
    </w:p>
    <w:p w:rsidR="006514EF" w:rsidRDefault="006514EF">
      <w:pPr>
        <w:pStyle w:val="ProductList-BodyIndented"/>
      </w:pPr>
    </w:p>
    <w:p w:rsidR="006514EF" w:rsidRDefault="00DD50AA">
      <w:pPr>
        <w:pStyle w:val="ProductList-SubClauseHeading"/>
        <w:outlineLvl w:val="5"/>
      </w:pPr>
      <w:r>
        <w:t>4.9.5 Windows To Go-Studentenoption</w:t>
      </w:r>
    </w:p>
    <w:p w:rsidR="006514EF" w:rsidRDefault="00DD50AA">
      <w:pPr>
        <w:pStyle w:val="ProductList-BodyIndented"/>
      </w:pPr>
      <w:r>
        <w:t>Akademische Einrichtungen, die sich für die Studentenoption entsc</w:t>
      </w:r>
      <w:r>
        <w:t>heiden, wird maximal eine Windows To Go-Instanz pro lizenzierten Studentengerät und für den Zeitraum, in dem der Student in dieser Einrichtung eingeschrieben ist, erlaubt.</w:t>
      </w:r>
    </w:p>
    <w:p w:rsidR="006514EF" w:rsidRDefault="006514EF">
      <w:pPr>
        <w:pStyle w:val="ProductList-BodyIndented"/>
      </w:pPr>
    </w:p>
    <w:p w:rsidR="006514EF" w:rsidRDefault="00DD50AA">
      <w:pPr>
        <w:pStyle w:val="ProductList-ClauseHeading"/>
        <w:outlineLvl w:val="4"/>
      </w:pPr>
      <w:r>
        <w:t>4.10 Windows 10 Mobile Enterprise</w:t>
      </w:r>
    </w:p>
    <w:p w:rsidR="006514EF" w:rsidRDefault="00DD50AA">
      <w:pPr>
        <w:pStyle w:val="ProductList-Body"/>
      </w:pPr>
      <w:r>
        <w:t xml:space="preserve">Kunden mit aktiver Windows SA pro Nztzer-AL oder </w:t>
      </w:r>
      <w:r>
        <w:t>pro Nutzer-Add-On sind berechtigt, Windows 10 Mobile Enterprise auf sekundären Geräten des lizenzierten Nutzers zu installieren und zu verwenden.</w:t>
      </w:r>
    </w:p>
    <w:p w:rsidR="006514EF" w:rsidRDefault="006514EF">
      <w:pPr>
        <w:pStyle w:val="ProductList-Body"/>
      </w:pPr>
    </w:p>
    <w:p w:rsidR="006514EF" w:rsidRDefault="00DD50AA">
      <w:pPr>
        <w:pStyle w:val="ProductList-ClauseHeading"/>
        <w:outlineLvl w:val="4"/>
      </w:pPr>
      <w:r>
        <w:t>4.11 Windows-Desktopbetriebssystem – Rechte zur Ausführung „Geclusterter HPC-Anwendungen“</w:t>
      </w:r>
    </w:p>
    <w:p w:rsidR="006514EF" w:rsidRDefault="006514EF">
      <w:pPr>
        <w:pStyle w:val="ProductList-Body"/>
      </w:pPr>
    </w:p>
    <w:p w:rsidR="006514EF" w:rsidRDefault="00DD50AA">
      <w:pPr>
        <w:pStyle w:val="ProductList-Body"/>
      </w:pPr>
      <w:r>
        <w:t>Kunden sind berech</w:t>
      </w:r>
      <w:r>
        <w:t xml:space="preserve">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w:instrText>
      </w:r>
      <w:r>
        <w:instrText xml:space="preserve">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w:instrText>
      </w:r>
      <w:r>
        <w:instrText xml:space="preserve">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w:instrText>
      </w:r>
      <w:r>
        <w:instrText xml:space="preserve">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w:t>
      </w:r>
      <w:r>
        <w:t xml:space="preserve">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w:instrText>
      </w:r>
      <w:r>
        <w:instrText xml:space="preserv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w:instrText>
      </w:r>
      <w:r>
        <w:instrText xml:space="preserve">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w:t>
      </w:r>
      <w:r>
        <w:t xml:space="preserve"> des gemeinsamen Zugriffs auf Ressourcen verwendet wird.</w:t>
      </w:r>
    </w:p>
    <w:p w:rsidR="006514EF" w:rsidRDefault="006514EF">
      <w:pPr>
        <w:pStyle w:val="ProductList-Body"/>
      </w:pPr>
    </w:p>
    <w:p w:rsidR="006514EF" w:rsidRDefault="00DD50AA">
      <w:pPr>
        <w:pStyle w:val="ProductList-ClauseHeading"/>
        <w:outlineLvl w:val="4"/>
      </w:pPr>
      <w:r>
        <w:t>4.12 Windows-Desktopbetriebssystem – Windows Thin PC</w:t>
      </w:r>
    </w:p>
    <w:p w:rsidR="006514EF" w:rsidRDefault="00DD50AA">
      <w:pPr>
        <w:pStyle w:val="ProductList-Body"/>
      </w:pPr>
      <w:r>
        <w:t>Der Kunde ist berechtigt, die Windows Thin PC-Software anstelle der Windows-Desktopbetriebssystem-Software zu nutzen, jedoch nur zum Ausführen de</w:t>
      </w:r>
      <w:r>
        <w:t>r nachfolgend aufgelisteten Typen von Anwendungen.</w:t>
      </w:r>
    </w:p>
    <w:p w:rsidR="006514EF" w:rsidRDefault="00DD50AA">
      <w:pPr>
        <w:pStyle w:val="ProductList-Bullet"/>
        <w:numPr>
          <w:ilvl w:val="0"/>
          <w:numId w:val="33"/>
        </w:numPr>
      </w:pPr>
      <w:r>
        <w:t xml:space="preserve">Sicherheit </w:t>
      </w:r>
    </w:p>
    <w:p w:rsidR="006514EF" w:rsidRDefault="00DD50AA">
      <w:pPr>
        <w:pStyle w:val="ProductList-Bullet"/>
        <w:numPr>
          <w:ilvl w:val="0"/>
          <w:numId w:val="33"/>
        </w:numPr>
      </w:pPr>
      <w:r>
        <w:t xml:space="preserve">Verwaltung </w:t>
      </w:r>
    </w:p>
    <w:p w:rsidR="006514EF" w:rsidRDefault="00DD50AA">
      <w:pPr>
        <w:pStyle w:val="ProductList-Bullet"/>
        <w:numPr>
          <w:ilvl w:val="0"/>
          <w:numId w:val="33"/>
        </w:numPr>
      </w:pPr>
      <w:r>
        <w:t xml:space="preserve">Terminalemulierung </w:t>
      </w:r>
    </w:p>
    <w:p w:rsidR="006514EF" w:rsidRDefault="00DD50AA">
      <w:pPr>
        <w:pStyle w:val="ProductList-Bullet"/>
        <w:numPr>
          <w:ilvl w:val="0"/>
          <w:numId w:val="33"/>
        </w:numPr>
      </w:pPr>
      <w:r>
        <w:t xml:space="preserve">Remotedesktop und ähnliche Technologien </w:t>
      </w:r>
    </w:p>
    <w:p w:rsidR="006514EF" w:rsidRDefault="00DD50AA">
      <w:pPr>
        <w:pStyle w:val="ProductList-Bullet"/>
        <w:numPr>
          <w:ilvl w:val="0"/>
          <w:numId w:val="33"/>
        </w:numPr>
      </w:pPr>
      <w:r>
        <w:t xml:space="preserve">Webbrowser </w:t>
      </w:r>
    </w:p>
    <w:p w:rsidR="006514EF" w:rsidRDefault="00DD50AA">
      <w:pPr>
        <w:pStyle w:val="ProductList-Bullet"/>
        <w:numPr>
          <w:ilvl w:val="0"/>
          <w:numId w:val="33"/>
        </w:numPr>
      </w:pPr>
      <w:r>
        <w:t xml:space="preserve">Mediaplayer </w:t>
      </w:r>
    </w:p>
    <w:p w:rsidR="006514EF" w:rsidRDefault="00DD50AA">
      <w:pPr>
        <w:pStyle w:val="ProductList-Bullet"/>
        <w:numPr>
          <w:ilvl w:val="0"/>
          <w:numId w:val="33"/>
        </w:numPr>
      </w:pPr>
      <w:r>
        <w:t xml:space="preserve">Instant Messaging-Client </w:t>
      </w:r>
    </w:p>
    <w:p w:rsidR="006514EF" w:rsidRDefault="00DD50AA">
      <w:pPr>
        <w:pStyle w:val="ProductList-Bullet"/>
        <w:numPr>
          <w:ilvl w:val="0"/>
          <w:numId w:val="33"/>
        </w:numPr>
      </w:pPr>
      <w:r>
        <w:t xml:space="preserve">Dokument-Viewer </w:t>
      </w:r>
    </w:p>
    <w:p w:rsidR="006514EF" w:rsidRDefault="00DD50AA">
      <w:pPr>
        <w:pStyle w:val="ProductList-Bullet"/>
        <w:numPr>
          <w:ilvl w:val="0"/>
          <w:numId w:val="33"/>
        </w:numPr>
      </w:pPr>
      <w:r>
        <w:t>.NET Framework und Java Virtual Machine</w:t>
      </w:r>
    </w:p>
    <w:p w:rsidR="006514EF" w:rsidRDefault="00DD50AA">
      <w:pPr>
        <w:pStyle w:val="ProductList-Body"/>
      </w:pPr>
      <w:r>
        <w:t>Der Kunde ist berechtigt, die Software auf einem anderen Gerät zu verwenden als dem, auf dem sie zuerst installiert wurde, wenn er die entsprechende Software Assurance auf dieses andere Gerät verschiebt.</w:t>
      </w:r>
    </w:p>
    <w:p w:rsidR="006514EF" w:rsidRDefault="006514EF">
      <w:pPr>
        <w:pStyle w:val="ProductList-Body"/>
      </w:pPr>
    </w:p>
    <w:p w:rsidR="006514EF" w:rsidRDefault="00DD50AA">
      <w:pPr>
        <w:pStyle w:val="ProductList-ClauseHeading"/>
        <w:outlineLvl w:val="4"/>
      </w:pPr>
      <w:r>
        <w:t>4.13 Software Assurance für Windows Embedded Indust</w:t>
      </w:r>
      <w:r>
        <w:t>ry Enterprise</w:t>
      </w:r>
    </w:p>
    <w:p w:rsidR="006514EF" w:rsidRDefault="00DD50AA">
      <w:pPr>
        <w:pStyle w:val="ProductList-Body"/>
      </w:pPr>
      <w:r>
        <w:t xml:space="preserve">Für Kunden mit Software Assurance für Windows Embedded Industry Enterprise gelten dieselben Rechte und Einschränkungen wie für Windows Software Assurance. </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199" w:name="_Sec619"/>
      <w:r>
        <w:t>Windows Server</w:t>
      </w:r>
      <w:bookmarkEnd w:id="199"/>
      <w:r>
        <w:fldChar w:fldCharType="begin"/>
      </w:r>
      <w:r>
        <w:instrText xml:space="preserve"> TC "</w:instrText>
      </w:r>
      <w:bookmarkStart w:id="200" w:name="_Toc439056323"/>
      <w:r>
        <w:instrText>Windows Server</w:instrText>
      </w:r>
      <w:bookmarkEnd w:id="200"/>
      <w:r>
        <w:instrText>" \l 2</w:instrText>
      </w:r>
      <w:r>
        <w:fldChar w:fldCharType="end"/>
      </w:r>
    </w:p>
    <w:p w:rsidR="006514EF" w:rsidRDefault="00DD50AA">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6324"/>
      <w:r>
        <w:instrText>Windows MultiPoint Server</w:instrText>
      </w:r>
      <w:bookmarkEnd w:id="202"/>
      <w:r>
        <w:instrText xml:space="preserve"> " \l 3</w:instrText>
      </w:r>
      <w:r>
        <w:fldChar w:fldCharType="end"/>
      </w:r>
    </w:p>
    <w:p w:rsidR="006514EF" w:rsidRDefault="00DD50AA">
      <w:pPr>
        <w:pStyle w:val="ProductList-Offering1SubSection"/>
        <w:outlineLvl w:val="3"/>
      </w:pPr>
      <w:bookmarkStart w:id="203" w:name="_Sec702"/>
      <w:r>
        <w:t>1. Programmverfügbarkeit</w:t>
      </w:r>
      <w:bookmarkEnd w:id="20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pPr>
            <w:r>
              <w:rPr>
                <w:color w:val="000000"/>
              </w:rPr>
              <w:t>Windows MultiPoint Server 2012 Standard</w:t>
            </w:r>
            <w:r>
              <w:fldChar w:fldCharType="begin"/>
            </w:r>
            <w:r>
              <w:instrText xml:space="preserve"> XE "Wind</w:instrText>
            </w:r>
            <w:r>
              <w:instrText xml:space="preserve">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w:instrText>
            </w:r>
            <w:r>
              <w:instrText xml:space="preserv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w:instrText>
            </w:r>
            <w:r>
              <w:instrText xml:space="preserve">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6514EF">
        <w:tc>
          <w:tcPr>
            <w:tcW w:w="416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204" w:name="_Sec757"/>
      <w:r>
        <w:t>2. Produktbedingungen</w:t>
      </w:r>
      <w:bookmarkEnd w:id="204"/>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(Software Assurance):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205" w:name="_Sec800"/>
      <w:r>
        <w:t>3. Nutzungsrechte</w:t>
      </w:r>
      <w:bookmarkEnd w:id="205"/>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w:instrText>
            </w:r>
            <w:r>
              <w:instrText xml:space="preserve">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w:instrText>
            </w:r>
            <w:r>
              <w:instrText xml:space="preserve">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w:instrText>
            </w:r>
            <w:r>
              <w:instrText xml:space="preserv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w:instrText>
            </w:r>
            <w:r>
              <w:instrText xml:space="preserve">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 xml:space="preserve">CAL für Windows MultiPoint Server 2012 und </w:t>
            </w:r>
          </w:p>
          <w:p w:rsidR="006514EF" w:rsidRDefault="00DD50AA">
            <w:pPr>
              <w:pStyle w:val="ProductList-TableBody"/>
            </w:pPr>
            <w:r>
              <w:t>CAL-äquivalent</w:t>
            </w:r>
            <w:r>
              <w:t xml:space="preserve">e Lizenz (siehe </w:t>
            </w:r>
            <w:hyperlink w:anchor="_Sec591">
              <w:r>
                <w:rPr>
                  <w:color w:val="00467F"/>
                  <w:u w:val="single"/>
                </w:rPr>
                <w:t>Anhang A</w:t>
              </w:r>
            </w:hyperlink>
            <w:r>
              <w:t>)</w:t>
            </w:r>
          </w:p>
        </w:tc>
      </w:tr>
    </w:tbl>
    <w:p w:rsidR="006514EF" w:rsidRDefault="006514EF">
      <w:pPr>
        <w:pStyle w:val="ProductList-Body"/>
      </w:pPr>
    </w:p>
    <w:p w:rsidR="006514EF" w:rsidRDefault="00DD50AA">
      <w:pPr>
        <w:pStyle w:val="ProductList-SubClauseHeading"/>
        <w:outlineLvl w:val="5"/>
      </w:pPr>
      <w:r>
        <w:t>3.1.1 CAL für zusätzliche Funktionen in Zusammenhang mit Windows Server 2012 Active Directory-Rechteverwaltungsdiensten</w:t>
      </w:r>
    </w:p>
    <w:p w:rsidR="006514EF" w:rsidRDefault="00DD50AA">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 xml:space="preserve">CAL-äquivalente Lizenz (siehe </w:t>
            </w:r>
            <w:hyperlink w:anchor="_Sec591">
              <w:r>
                <w:rPr>
                  <w:color w:val="00467F"/>
                  <w:u w:val="single"/>
                </w:rPr>
                <w:t>Anhang A</w:t>
              </w:r>
            </w:hyperlink>
            <w:r>
              <w:t>)</w:t>
            </w:r>
          </w:p>
        </w:tc>
      </w:tr>
    </w:tbl>
    <w:p w:rsidR="006514EF" w:rsidRDefault="006514EF">
      <w:pPr>
        <w:pStyle w:val="ProductList-BodyIndented"/>
      </w:pPr>
    </w:p>
    <w:p w:rsidR="006514EF" w:rsidRDefault="00DD50AA">
      <w:pPr>
        <w:pStyle w:val="ProductList-ClauseHeading"/>
        <w:outlineLvl w:val="4"/>
      </w:pPr>
      <w:r>
        <w:t xml:space="preserve">3.2 Ausführen von Instanzen der </w:t>
      </w:r>
      <w:r>
        <w:t>Software</w:t>
      </w:r>
    </w:p>
    <w:p w:rsidR="006514EF" w:rsidRDefault="00DD50AA">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w:t>
      </w:r>
      <w:r>
        <w:rPr>
          <w:color w:val="0563C1"/>
        </w:rPr>
        <w: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w:instrText>
      </w:r>
      <w:r>
        <w:instrText xml:space="preserve">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w:instrText>
      </w:r>
      <w:r>
        <w:instrText xml:space="preserve">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w:instrText>
      </w:r>
      <w:r>
        <w:instrText xml:space="preserve">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w:instrText>
      </w:r>
      <w:r>
        <w:instrText xml:space="preserve">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w:instrText>
      </w:r>
      <w:r>
        <w:instrText xml:space="preserve">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w:t>
      </w:r>
      <w:r>
        <w:t xml:space="preserve">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6514EF" w:rsidRDefault="006514EF">
      <w:pPr>
        <w:pStyle w:val="ProductList-Body"/>
      </w:pPr>
    </w:p>
    <w:p w:rsidR="006514EF" w:rsidRDefault="00DD50AA">
      <w:pPr>
        <w:pStyle w:val="ProductList-ClauseHeading"/>
        <w:outlineLvl w:val="4"/>
      </w:pPr>
      <w:r>
        <w:t>3.3 Zugriffslizenzen</w:t>
      </w:r>
    </w:p>
    <w:p w:rsidR="006514EF" w:rsidRDefault="00DD50AA">
      <w:pPr>
        <w:pStyle w:val="ProductList-Body"/>
      </w:pPr>
      <w:r>
        <w:t xml:space="preserve">Für den Zugriff in einer </w:t>
      </w:r>
      <w:r>
        <w:fldChar w:fldCharType="begin"/>
      </w:r>
      <w:r>
        <w:instrText xml:space="preserve"> AutoTextList   \s No</w:instrText>
      </w:r>
      <w:r>
        <w:instrText>Style \t "Physische OSE ist eine OSE, die so konfiguriert ist, dass sie direkt auf einem physischen Hardwaresystem ausgeführt wird. Die Betriebssysteminstanz, die für die Ausführung der Hardware-Virtualisierungssoftware oder zur Bereitstellung von Hardware</w:instrText>
      </w:r>
      <w:r>
        <w:instrText xml:space="preserv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w:instrText>
      </w:r>
      <w:r>
        <w:instrText xml:space="preserve">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6514EF" w:rsidRDefault="006514EF">
      <w:pPr>
        <w:pStyle w:val="ProductList-Body"/>
      </w:pPr>
    </w:p>
    <w:p w:rsidR="006514EF" w:rsidRDefault="00DD50AA">
      <w:pPr>
        <w:pStyle w:val="ProductList-ClauseHeading"/>
        <w:outlineLvl w:val="4"/>
      </w:pPr>
      <w:r>
        <w:t>3.4</w:t>
      </w:r>
      <w:r>
        <w:t xml:space="preserve"> Windows MultiPoint Server 2012 Connector</w:t>
      </w:r>
    </w:p>
    <w:p w:rsidR="006514EF" w:rsidRDefault="00DD50AA">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w:t>
      </w:r>
      <w:r>
        <w:t xml:space="preserve"> Er darf diese Software nur für den Zugriff auf die MultiPoint Server-Software verwenden. Wenn er von diesem Gerät aus nur auf die Serversoftware zugreift, um das MultiPoint Dashboard zu verwenden, benötigt er keine CAL für MultiPoint Server.</w:t>
      </w:r>
    </w:p>
    <w:p w:rsidR="006514EF" w:rsidRDefault="006514EF">
      <w:pPr>
        <w:pStyle w:val="ProductList-Body"/>
      </w:pPr>
    </w:p>
    <w:p w:rsidR="006514EF" w:rsidRDefault="00DD50AA">
      <w:pPr>
        <w:pStyle w:val="ProductList-ClauseHeading"/>
        <w:outlineLvl w:val="4"/>
      </w:pPr>
      <w:r>
        <w:t>3.5 Zusätzli</w:t>
      </w:r>
      <w:r>
        <w:t>che Software</w:t>
      </w:r>
    </w:p>
    <w:p w:rsidR="006514EF" w:rsidRDefault="00DD50AA">
      <w:pPr>
        <w:pStyle w:val="ProductList-Body"/>
      </w:pPr>
      <w:r>
        <w:t xml:space="preserve">Eine Liste Zusätzlicher Software erhalten Sie unter </w:t>
      </w:r>
      <w:hyperlink r:id="rId81">
        <w:r>
          <w:rPr>
            <w:color w:val="00467F"/>
            <w:u w:val="single"/>
          </w:rPr>
          <w:t>http://go.microsoft.com/fwlink/?LinkId=245856</w:t>
        </w:r>
      </w:hyperlink>
      <w:r>
        <w:t>.</w:t>
      </w:r>
    </w:p>
    <w:p w:rsidR="006514EF" w:rsidRDefault="00DD50AA">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w:instrText>
            </w:r>
            <w:r>
              <w:instrText xml:space="preserve">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w:instrText>
            </w:r>
            <w:r>
              <w:instrText xml:space="preserve">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07" w:name="_Sec655"/>
      <w:r>
        <w:t>Windows Server</w:t>
      </w:r>
      <w:bookmarkEnd w:id="207"/>
      <w:r>
        <w:fldChar w:fldCharType="begin"/>
      </w:r>
      <w:r>
        <w:instrText xml:space="preserve"> TC "</w:instrText>
      </w:r>
      <w:bookmarkStart w:id="208" w:name="_Toc439056325"/>
      <w:r>
        <w:instrText>Windows Server</w:instrText>
      </w:r>
      <w:bookmarkEnd w:id="208"/>
      <w:r>
        <w:instrText>" \l 3</w:instrText>
      </w:r>
      <w:r>
        <w:fldChar w:fldCharType="end"/>
      </w:r>
    </w:p>
    <w:p w:rsidR="006514EF" w:rsidRDefault="00DD50AA">
      <w:pPr>
        <w:pStyle w:val="ProductList-Offering1SubSection"/>
        <w:outlineLvl w:val="3"/>
      </w:pPr>
      <w:bookmarkStart w:id="209" w:name="_Sec703"/>
      <w:r>
        <w:t>1. Programmverfügbarkeit</w:t>
      </w:r>
      <w:bookmarkEnd w:id="209"/>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416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pPr>
            <w:r>
              <w:rPr>
                <w:color w:val="000000"/>
              </w:rPr>
              <w:t>CAL für Windows Server 2012 Active Directory-Rechteverwaltungsdienste</w:t>
            </w:r>
            <w:r>
              <w:fldChar w:fldCharType="begin"/>
            </w:r>
            <w:r>
              <w:instrText xml:space="preserve"> XE "CAL für </w:instrText>
            </w:r>
            <w:r>
              <w:instrText xml:space="preserve">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"Organisat</w:instrText>
            </w:r>
            <w:r>
              <w:instrText xml:space="preserve">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Externer Connector für Windows Server 2012-Remotedesktopdienste</w:t>
            </w:r>
            <w:r>
              <w:fldChar w:fldCharType="begin"/>
            </w:r>
            <w:r>
              <w:instrText xml:space="preserve"> XE "Externer Connector für Windows Server 2012-Remoted</w:instrText>
            </w:r>
            <w:r>
              <w:instrText xml:space="preserve">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w:instrText>
            </w:r>
            <w:r>
              <w:instrText xml:space="preserve">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Externer Connector für Windows Server 2012 Active Directory-Rechteverwaltungsdienste</w:t>
            </w:r>
            <w:r>
              <w:fldChar w:fldCharType="begin"/>
            </w:r>
            <w:r>
              <w:instrText xml:space="preserve"> XE "</w:instrText>
            </w:r>
            <w:r>
              <w:instrText xml:space="preserve">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514EF" w:rsidRDefault="00DD50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416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514EF" w:rsidRDefault="00DD50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w:t>
            </w:r>
            <w:r>
              <w:rPr>
                <w:color w:val="000000"/>
              </w:rPr>
              <w:t>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10" w:name="_Sec758"/>
      <w:r>
        <w:t>2. Produktbedingungen</w:t>
      </w:r>
      <w:bookmarkEnd w:id="210"/>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w:t>
            </w:r>
            <w:r>
              <w:t xml:space="preserve"> Konnektoren (3/08)</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w:instrText>
            </w:r>
            <w:r>
              <w:instrText xml:space="preserv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(Software Assurance):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w:instrText>
            </w:r>
            <w:r>
              <w:instrText xml:space="preserv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211" w:name="_Sec807"/>
      <w:r>
        <w:t>3. Nutzungsrechte</w:t>
      </w:r>
      <w:bookmarkEnd w:id="211"/>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"Produktspezifische Lizenzbestimmungen: gibt an, dass unter der Tabelle „Nutzungsrechte“ Produktsp</w:instrText>
            </w:r>
            <w:r>
              <w:instrText xml:space="preserve">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"Zusätzliche Software: In den Nutzungsrechten für Serverprodukte angegebene Softwar</w:instrText>
            </w:r>
            <w:r>
              <w:instrText xml:space="preserve">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"Clientzugriffsvoraussetzungen: Gibt an, ob bei einem Serverprodukt CALs für den Zugri</w:instrText>
            </w:r>
            <w:r>
              <w:instrText xml:space="preserve">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"Voraussetzungen für Externen Nutzerzugriff: weist darauf hin, dass spezifische Lizenzvoraussetzungen oder Opti</w:instrText>
            </w:r>
            <w:r>
              <w:instrText xml:space="preserve">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 xml:space="preserve">CAL-äquivalente Lizenz (siehe </w:t>
            </w:r>
            <w:hyperlink r:id="rId82">
              <w:r>
                <w:rPr>
                  <w:color w:val="00467F"/>
                  <w:u w:val="single"/>
                </w:rPr>
                <w:t>Anhang A</w:t>
              </w:r>
            </w:hyperlink>
            <w:r>
              <w:t>)</w:t>
            </w:r>
          </w:p>
        </w:tc>
      </w:tr>
    </w:tbl>
    <w:p w:rsidR="006514EF" w:rsidRDefault="006514EF">
      <w:pPr>
        <w:pStyle w:val="ProductList-Body"/>
      </w:pPr>
    </w:p>
    <w:p w:rsidR="006514EF" w:rsidRDefault="00DD50AA">
      <w:pPr>
        <w:pStyle w:val="ProductList-SubClauseHeading"/>
        <w:outlineLvl w:val="5"/>
      </w:pPr>
      <w:r>
        <w:t xml:space="preserve">3.1.1 CAL für zusätzliche Funktionen in Zusammenhang mit </w:t>
      </w:r>
      <w:r>
        <w:t>Windows Server 2012-Remotedesktopdiensten</w:t>
      </w:r>
    </w:p>
    <w:p w:rsidR="006514EF" w:rsidRDefault="00DD50AA">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6514EF" w:rsidRDefault="00DD50AA">
            <w:pPr>
              <w:pStyle w:val="ProductList-TableBody"/>
            </w:pPr>
            <w:r>
              <w:t>USL für Wind</w:t>
            </w:r>
            <w:r>
              <w:t>ows Server 2012-Remotedesktopdienste</w:t>
            </w:r>
          </w:p>
        </w:tc>
      </w:tr>
    </w:tbl>
    <w:p w:rsidR="006514EF" w:rsidRDefault="00DD50AA">
      <w:pPr>
        <w:pStyle w:val="ProductList-BodyIndented"/>
      </w:pPr>
      <w:r>
        <w:t>* Auch erforderlich, um Windows Server zum Hosten einer grafischen Benutzeroberfläche (mithilfe der Windows Server 2012 R2-Remotedesktopdienstefunktionalität oder einer anderen Technologie) zu nutzen.</w:t>
      </w:r>
    </w:p>
    <w:p w:rsidR="006514EF" w:rsidRDefault="006514EF">
      <w:pPr>
        <w:pStyle w:val="ProductList-BodyIndented"/>
      </w:pPr>
    </w:p>
    <w:p w:rsidR="006514EF" w:rsidRDefault="00DD50AA">
      <w:pPr>
        <w:pStyle w:val="ProductList-SubClauseHeading"/>
        <w:outlineLvl w:val="5"/>
      </w:pPr>
      <w:r>
        <w:t xml:space="preserve">3.1.2 CAL für </w:t>
      </w:r>
      <w:r>
        <w:t>zusätzliche Funktionen in Zusammenhang mit Windows Server 2012-Rechteverwaltungsdiensten</w:t>
      </w:r>
    </w:p>
    <w:p w:rsidR="006514EF" w:rsidRDefault="00DD50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Nutzer-AL für Azure</w:t>
            </w:r>
            <w:r>
              <w:t>-Rechteverwaltung</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6514EF" w:rsidRDefault="00DD50AA">
            <w:pPr>
              <w:pStyle w:val="ProductList-TableBody"/>
            </w:pPr>
            <w:r>
              <w:t xml:space="preserve">CAL-äquivalente Lizenz (siehe </w:t>
            </w:r>
            <w:hyperlink r:id="rId83">
              <w:r>
                <w:rPr>
                  <w:color w:val="00467F"/>
                  <w:u w:val="single"/>
                </w:rPr>
                <w:t>Anhang A</w:t>
              </w:r>
            </w:hyperlink>
            <w:r>
              <w:t>)</w:t>
            </w:r>
          </w:p>
        </w:tc>
      </w:tr>
    </w:tbl>
    <w:p w:rsidR="006514EF" w:rsidRDefault="006514EF">
      <w:pPr>
        <w:pStyle w:val="ProductList-BodyIndented"/>
      </w:pPr>
    </w:p>
    <w:p w:rsidR="006514EF" w:rsidRDefault="00DD50AA">
      <w:pPr>
        <w:pStyle w:val="ProductList-SubClauseHeading"/>
        <w:outlineLvl w:val="5"/>
      </w:pPr>
      <w:r>
        <w:t>3.1.3 Nutzer-CAL für zusätzliche Funktionen in Zusammenhang mit Microsoft Identity Manager</w:t>
      </w:r>
    </w:p>
    <w:p w:rsidR="006514EF" w:rsidRDefault="00DD50A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6514EF" w:rsidRDefault="00DD50AA">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514EF" w:rsidRDefault="00DD50AA">
            <w:pPr>
              <w:pStyle w:val="ProductList-TableBody"/>
            </w:pPr>
            <w:r>
              <w:t>Microsoft Azure Active Directory Premium</w:t>
            </w:r>
          </w:p>
        </w:tc>
      </w:tr>
      <w:tr w:rsidR="00651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14EF" w:rsidRDefault="00651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14EF" w:rsidRDefault="00DD50AA">
            <w:pPr>
              <w:pStyle w:val="ProductList-TableBody"/>
            </w:pPr>
            <w:r>
              <w:t xml:space="preserve">CAL-äquivalente Lizenz (siehe </w:t>
            </w:r>
            <w:hyperlink r:id="rId84">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BodyIndented"/>
      </w:pPr>
      <w:r>
        <w:t xml:space="preserve">* Auch für jede Person erforderlich, für die die Software Identitätsinformationen ausgibt oder verwaltet. </w:t>
      </w:r>
    </w:p>
    <w:p w:rsidR="006514EF" w:rsidRDefault="006514EF">
      <w:pPr>
        <w:pStyle w:val="ProductList-BodyIndented"/>
      </w:pPr>
    </w:p>
    <w:p w:rsidR="006514EF" w:rsidRDefault="00DD50AA">
      <w:pPr>
        <w:pStyle w:val="ProductList-SubClauseHeading"/>
        <w:outlineLvl w:val="5"/>
      </w:pPr>
      <w:r>
        <w:t>3.1.4 Synchronisierungsdienst</w:t>
      </w:r>
    </w:p>
    <w:p w:rsidR="006514EF" w:rsidRDefault="00DD50AA">
      <w:pPr>
        <w:pStyle w:val="ProductList-BodyIndented"/>
      </w:pPr>
      <w:r>
        <w:t>CALs für Microsoft Identity Manager 2016 sind für Nutzer, die den Microsoft Forefront Identity Manager-Synchronisierun</w:t>
      </w:r>
      <w:r>
        <w:t>gsdienst nutzen, nicht erforderlich.</w:t>
      </w:r>
    </w:p>
    <w:p w:rsidR="006514EF" w:rsidRDefault="006514EF">
      <w:pPr>
        <w:pStyle w:val="ProductList-BodyIndented"/>
      </w:pPr>
    </w:p>
    <w:p w:rsidR="006514EF" w:rsidRDefault="00DD50AA">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SubClauseHeading"/>
        <w:outlineLvl w:val="5"/>
      </w:pPr>
      <w:r>
        <w:t xml:space="preserve">3.2.1 Externe Connector-Lizenz für zusätzliche Funktionen in Zusammenhang mit Windows Server </w:t>
      </w:r>
      <w:r>
        <w:t>2012-Remotedesktopdiensten</w:t>
      </w:r>
    </w:p>
    <w:p w:rsidR="006514EF" w:rsidRDefault="00DD50AA">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BodyIndented"/>
      </w:pPr>
      <w:r>
        <w:rPr>
          <w:i/>
        </w:rPr>
        <w:t>* Auch erf</w:t>
      </w:r>
      <w:r>
        <w:rPr>
          <w:i/>
        </w:rPr>
        <w:t>orderlich, um Windows Server zum Hosten einer grafischen Benutzeroberfläche (mithilfe der Windows Server 2012 R2-Remotedesktopdienstefunktionalität oder einer anderen Technologie) zu nutzen.</w:t>
      </w:r>
    </w:p>
    <w:p w:rsidR="006514EF" w:rsidRDefault="006514EF">
      <w:pPr>
        <w:pStyle w:val="ProductList-BodyIndented"/>
      </w:pPr>
    </w:p>
    <w:p w:rsidR="006514EF" w:rsidRDefault="00DD50AA">
      <w:pPr>
        <w:pStyle w:val="ProductList-SubClauseHeading"/>
        <w:outlineLvl w:val="5"/>
      </w:pPr>
      <w:r>
        <w:t xml:space="preserve">3.2.2 Externe Connector-Lizenz für zusätzliche Funktionen in </w:t>
      </w:r>
      <w:r>
        <w:t>Zusammenhang mit Windows Server 2012-Rechteverwaltungsdiensten</w:t>
      </w:r>
    </w:p>
    <w:p w:rsidR="006514EF" w:rsidRDefault="00DD50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Indented"/>
      </w:pPr>
    </w:p>
    <w:p w:rsidR="006514EF" w:rsidRDefault="00DD50AA">
      <w:pPr>
        <w:pStyle w:val="ProductList-SubClauseHeading"/>
        <w:outlineLvl w:val="5"/>
      </w:pPr>
      <w:r>
        <w:t>3.2.3 Externe Connector-Liz</w:t>
      </w:r>
      <w:r>
        <w:t>enz für zusätzliche Funktionen in Zusammenhang mit Microsoft Identity Manager</w:t>
      </w:r>
    </w:p>
    <w:p w:rsidR="006514EF" w:rsidRDefault="00DD50A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6514EF" w:rsidRDefault="00DD50AA">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514EF" w:rsidRDefault="006514EF">
            <w:pPr>
              <w:pStyle w:val="ProductList-TableBody"/>
            </w:pPr>
          </w:p>
        </w:tc>
      </w:tr>
    </w:tbl>
    <w:p w:rsidR="006514EF" w:rsidRDefault="00DD50AA">
      <w:pPr>
        <w:pStyle w:val="ProductList-BodyIndented"/>
      </w:pPr>
      <w:r>
        <w:rPr>
          <w:i/>
        </w:rPr>
        <w:t>* Auch für jeden Externen Nutzer erforderlich, für den die Software Identitätsinformationen ausgibt oder verwaltet (und keine CALs für Microsoft Identity Manager 2016 vorhanden sind).</w:t>
      </w:r>
    </w:p>
    <w:p w:rsidR="006514EF" w:rsidRDefault="006514EF">
      <w:pPr>
        <w:pStyle w:val="ProductList-BodyIndented"/>
      </w:pPr>
    </w:p>
    <w:p w:rsidR="006514EF" w:rsidRDefault="00DD50AA">
      <w:pPr>
        <w:pStyle w:val="ProductList-ClauseHeading"/>
        <w:outlineLvl w:val="4"/>
      </w:pPr>
      <w:r>
        <w:t>3.3 Zusätzliche Bestimmungen für Windows Server 2012 R2 Essentials</w:t>
      </w:r>
    </w:p>
    <w:p w:rsidR="006514EF" w:rsidRDefault="00DD50AA">
      <w:pPr>
        <w:pStyle w:val="ProductList-SubClauseHeading"/>
        <w:outlineLvl w:val="5"/>
      </w:pPr>
      <w:r>
        <w:t>3.3.</w:t>
      </w:r>
      <w:r>
        <w:t>1 Nutzungsbeschränkungen</w:t>
      </w:r>
    </w:p>
    <w:p w:rsidR="006514EF" w:rsidRDefault="00DD50AA">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w:t>
      </w:r>
      <w:r>
        <w:t xml:space="preserve">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w:instrText>
      </w:r>
      <w:r>
        <w:instrText xml:space="preserve">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w:instrText>
      </w:r>
      <w:r>
        <w:instrText xml:space="preserve">uellen Hardwaresystem konfiguriert ist." </w:instrText>
      </w:r>
      <w:r>
        <w:fldChar w:fldCharType="separate"/>
      </w:r>
      <w:r>
        <w:rPr>
          <w:color w:val="0563C1"/>
        </w:rPr>
        <w:t>Virtuellen OSE</w:t>
      </w:r>
      <w:r>
        <w:fldChar w:fldCharType="end"/>
      </w:r>
      <w:r>
        <w:t xml:space="preserve"> zu nutzen.</w:t>
      </w:r>
    </w:p>
    <w:p w:rsidR="006514EF" w:rsidRDefault="00DD50AA">
      <w:pPr>
        <w:pStyle w:val="ProductList-Bullet"/>
        <w:numPr>
          <w:ilvl w:val="1"/>
          <w:numId w:val="34"/>
        </w:numPr>
      </w:pPr>
      <w:r>
        <w:t>Die Serversoftware muss innerhalb einer Domäne ausgeführt werden, in der Active Directory folgendermaßen konfiguriert ist: (i) als Domänencontroller (ein einzelner Server, der alle FSMO-</w:t>
      </w:r>
      <w:r>
        <w:t xml:space="preserve">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w:instrText>
      </w:r>
      <w:r>
        <w:instrText xml:space="preserv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w:instrText>
      </w:r>
      <w:r>
        <w:instrText>einem physischen Hardwaresystem ausgeführt wird. Die Betriebssysteminstanz, die für die Ausführung der Hardware-Virtualisierungssoftware oder zur Bereitstellung von Hardware-Virtualisierungsdiensten verwendet wird, gilt als Bestandteil der Physischen OSE."</w:instrText>
      </w:r>
      <w:r>
        <w:instrText xml:space="preserv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w:instrText>
      </w:r>
      <w:r>
        <w:instrText xml:space="preserve">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w:t>
      </w:r>
      <w:r>
        <w:t>en. Diese Instanz muss die Anforderungen in (i) bis (iv) oben nicht erfüllen.</w:t>
      </w:r>
    </w:p>
    <w:p w:rsidR="006514EF" w:rsidRDefault="006514EF">
      <w:pPr>
        <w:pStyle w:val="ProductList-BodyIndented"/>
      </w:pPr>
    </w:p>
    <w:p w:rsidR="006514EF" w:rsidRDefault="00DD50AA">
      <w:pPr>
        <w:pStyle w:val="ProductList-SubClauseHeading"/>
        <w:outlineLvl w:val="5"/>
      </w:pPr>
      <w:r>
        <w:t>3.3.2 Verwendung der Serversoftware</w:t>
      </w:r>
    </w:p>
    <w:p w:rsidR="006514EF" w:rsidRDefault="00DD50AA">
      <w:pPr>
        <w:pStyle w:val="ProductList-BodyIndented"/>
      </w:pPr>
      <w:r>
        <w:t>Ein Nutzeraccount ist ein eindeutiger Nutzername mit einem zugehörigen Kennwort, das über die Windows Server 2012 R2 Essentials-Konsole erste</w:t>
      </w:r>
      <w:r>
        <w:t>llt wird. Der Kunde ist berechtigt, bis zu 25 Nutzeraccounts zu verwenden. Jedes Nutzeraccount gestattet es einem benannten Nutzer, auf die Serversoftware auf diesem Server zuzugreifen und sie zu verwenden. Der Kunde ist berechtigt, ein Nutzeraccount von e</w:t>
      </w:r>
      <w:r>
        <w:t>inem Nutzer einem anderen Nutzer neu zuzuweisen, sofern die Neuzuweisung nicht innerhalb von 90 Tagen nach der letzten Zuweisung erfolgt.</w:t>
      </w:r>
    </w:p>
    <w:p w:rsidR="006514EF" w:rsidRDefault="006514EF">
      <w:pPr>
        <w:pStyle w:val="ProductList-BodyIndented"/>
      </w:pPr>
    </w:p>
    <w:p w:rsidR="006514EF" w:rsidRDefault="00DD50AA">
      <w:pPr>
        <w:pStyle w:val="ProductList-SubClauseHeading"/>
        <w:outlineLvl w:val="5"/>
      </w:pPr>
      <w:r>
        <w:t>3.3.3 Windows Server 2012 R2 Essentials Connector</w:t>
      </w:r>
    </w:p>
    <w:p w:rsidR="006514EF" w:rsidRDefault="00DD50AA">
      <w:pPr>
        <w:pStyle w:val="ProductList-BodyIndented"/>
      </w:pPr>
      <w:r>
        <w:t>Der Kunde ist berechtigt, die Software Windows Server 2012 R2 Essen</w:t>
      </w:r>
      <w:r>
        <w:t>tials Connector auf maximal 50 Geräten gleichzeitig zu installieren und zu verwenden. Er darf diese Software nur mit der Serversoftware verwenden.</w:t>
      </w:r>
    </w:p>
    <w:p w:rsidR="006514EF" w:rsidRDefault="006514EF">
      <w:pPr>
        <w:pStyle w:val="ProductList-BodyIndented"/>
      </w:pPr>
    </w:p>
    <w:p w:rsidR="006514EF" w:rsidRDefault="00DD50AA">
      <w:pPr>
        <w:pStyle w:val="ProductList-SubClauseHeading"/>
        <w:outlineLvl w:val="5"/>
      </w:pPr>
      <w:r>
        <w:t>3.3.4 Zugriff auf Windows Server 2012 R2 Active Directory-Rechteverwaltungsdienste</w:t>
      </w:r>
    </w:p>
    <w:p w:rsidR="006514EF" w:rsidRDefault="00DD50AA">
      <w:pPr>
        <w:pStyle w:val="ProductList-BodyIndented"/>
      </w:pPr>
      <w:r>
        <w:t>Der Kunde ist verpflichte</w:t>
      </w:r>
      <w:r>
        <w:t>t, eine CAL für Windows Server 2012 R2 Active Directory-Rechteverwaltungsdienste für jedes Nutzeraccount zu erwerben, über das ein Nutzer direkt oder indirekt auf die Windows Server 2012 R2 Active Directory-Rechteverwaltungsdienste-Funktionalität zugreift.</w:t>
      </w:r>
    </w:p>
    <w:p w:rsidR="006514EF" w:rsidRDefault="006514EF">
      <w:pPr>
        <w:pStyle w:val="ProductList-BodyIndented"/>
      </w:pPr>
    </w:p>
    <w:p w:rsidR="006514EF" w:rsidRDefault="00DD50AA">
      <w:pPr>
        <w:pStyle w:val="ProductList-ClauseHeading"/>
        <w:outlineLvl w:val="4"/>
      </w:pPr>
      <w:r>
        <w:t>3.4 Zusätzliche Software für Windows Server 2012</w:t>
      </w:r>
    </w:p>
    <w:p w:rsidR="006514EF" w:rsidRDefault="00DD50AA">
      <w:pPr>
        <w:pStyle w:val="ProductList-Body"/>
      </w:pPr>
      <w:r>
        <w:t xml:space="preserve">Eine Liste Zusätzlicher Software erhalten Sie unter </w:t>
      </w:r>
      <w:hyperlink r:id="rId85">
        <w:r>
          <w:rPr>
            <w:color w:val="00467F"/>
            <w:u w:val="single"/>
          </w:rPr>
          <w:t>http://go.microsoft.com/fwlink/?LinkId=245856</w:t>
        </w:r>
      </w:hyperlink>
      <w:r>
        <w:t>.</w:t>
      </w:r>
    </w:p>
    <w:p w:rsidR="006514EF" w:rsidRDefault="00DD50AA">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w:instrText>
            </w:r>
            <w:r>
              <w:instrText xml:space="preserve">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w:t>
            </w:r>
            <w:r>
              <w:rPr>
                <w:color w:val="0563C1"/>
              </w:rPr>
              <w:t>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w:instrText>
            </w:r>
            <w:r>
              <w:instrText xml:space="preserve">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w:instrText>
            </w:r>
            <w:r>
              <w:instrText xml:space="preserve">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6">
              <w:r>
                <w:rPr>
                  <w:color w:val="00467F"/>
                  <w:u w:val="single"/>
                </w:rPr>
                <w:t>Produktliste von Okto</w:t>
              </w:r>
              <w:r>
                <w:rPr>
                  <w:color w:val="00467F"/>
                  <w:u w:val="single"/>
                </w:rPr>
                <w:t>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w:t>
            </w:r>
            <w:r>
              <w:t>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w:t>
            </w:r>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"Selbsthosten: Eine Software Assurance-Vergünstigung, die die Nutzung von Produkten für bedingte Hosting-Zwecke gestattet – N</w:instrText>
            </w:r>
            <w:r>
              <w:instrText xml:space="preserve">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14EF" w:rsidRDefault="006514EF">
            <w:pPr>
              <w:pStyle w:val="ProductList-TableBody"/>
            </w:pPr>
          </w:p>
        </w:tc>
      </w:tr>
    </w:tbl>
    <w:p w:rsidR="006514EF" w:rsidRDefault="00DD50AA">
      <w:pPr>
        <w:pStyle w:val="ProductList-ClauseHeading"/>
        <w:outlineLvl w:val="4"/>
      </w:pPr>
      <w:r>
        <w:t>4.1 Nutzer-CAL für Remotedesktopdienste („RDS“) – Erweiterte Rechte:</w:t>
      </w:r>
    </w:p>
    <w:p w:rsidR="006514EF" w:rsidRDefault="00DD50AA">
      <w:pPr>
        <w:pStyle w:val="ProductList-Body"/>
      </w:pPr>
      <w:r>
        <w:t>Der Kunde ist berechtigt, seine Nutz</w:t>
      </w:r>
      <w:r>
        <w:t xml:space="preserve">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w:instrText>
      </w:r>
      <w:r>
        <w:instrText xml:space="preserve">"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w:instrText>
      </w:r>
      <w:r>
        <w:instrText xml:space="preserve">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w:t>
      </w:r>
      <w:r>
        <w:t xml:space="preserve">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w:instrText>
      </w:r>
      <w:r>
        <w:instrText xml:space="preserve">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w:t>
      </w:r>
      <w:r>
        <w:rPr>
          <w:color w:val="0563C1"/>
        </w:rPr>
        <w:t>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w:instrText>
      </w:r>
      <w:r>
        <w:instrText xml:space="preserve">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w:instrText>
      </w:r>
      <w:r>
        <w:instrText xml:space="preserve">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instrText>
      </w:r>
      <w:r>
        <w:instrText xml:space="preserve">//www.microsoft.com/licensing/software-assurance/license-mobility.aspx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w:t>
      </w:r>
      <w:r>
        <w:rPr>
          <w:color w:val="0563C1"/>
        </w:rPr>
        <w:t>ce</w:t>
      </w:r>
      <w:r>
        <w:fldChar w:fldCharType="end"/>
      </w:r>
      <w:r>
        <w:t xml:space="preserve"> zu wechseln, jedoch frühestens 90 Tage nach Beginn der Nutzung in der Umgebung, die er verlassen möchte.</w:t>
      </w:r>
    </w:p>
    <w:p w:rsidR="006514EF" w:rsidRDefault="006514EF">
      <w:pPr>
        <w:pStyle w:val="PURBreadcrumb"/>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13" w:name="_Sec656"/>
      <w:r>
        <w:t xml:space="preserve">Windows Small Business </w:t>
      </w:r>
      <w:r>
        <w:t>Server</w:t>
      </w:r>
      <w:bookmarkEnd w:id="213"/>
      <w:r>
        <w:fldChar w:fldCharType="begin"/>
      </w:r>
      <w:r>
        <w:instrText xml:space="preserve"> TC "</w:instrText>
      </w:r>
      <w:bookmarkStart w:id="214" w:name="_Toc439056326"/>
      <w:r>
        <w:instrText>Windows Small Business Server</w:instrText>
      </w:r>
      <w:bookmarkEnd w:id="214"/>
      <w:r>
        <w:instrText>" \l 3</w:instrText>
      </w:r>
      <w:r>
        <w:fldChar w:fldCharType="end"/>
      </w:r>
    </w:p>
    <w:p w:rsidR="006514EF" w:rsidRDefault="00DD50AA">
      <w:pPr>
        <w:pStyle w:val="ProductList-Offering1SubSection"/>
        <w:outlineLvl w:val="3"/>
      </w:pPr>
      <w:bookmarkStart w:id="215" w:name="_Sec704"/>
      <w:r>
        <w:t>1. Programmverfügbarkeit</w:t>
      </w:r>
      <w:bookmarkEnd w:id="215"/>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651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6514EF">
        <w:tc>
          <w:tcPr>
            <w:tcW w:w="4160" w:type="dxa"/>
            <w:tcBorders>
              <w:top w:val="none" w:sz="4" w:space="0" w:color="FFFFFF"/>
              <w:left w:val="none" w:sz="4" w:space="0" w:color="FFFFFF"/>
              <w:bottom w:val="dashed" w:sz="4" w:space="0" w:color="BFBFBF"/>
              <w:right w:val="none" w:sz="4" w:space="0" w:color="FFFFFF"/>
            </w:tcBorders>
          </w:tcPr>
          <w:p w:rsidR="006514EF" w:rsidRDefault="00DD50AA">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514EF" w:rsidRDefault="00DD50A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514EF" w:rsidRDefault="00DD50A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r w:rsidR="006514EF">
        <w:tc>
          <w:tcPr>
            <w:tcW w:w="4160" w:type="dxa"/>
            <w:tcBorders>
              <w:top w:val="dashed" w:sz="4" w:space="0" w:color="BFBFBF"/>
              <w:left w:val="none" w:sz="4" w:space="0" w:color="FFFFFF"/>
              <w:bottom w:val="none" w:sz="4" w:space="0" w:color="000000"/>
              <w:right w:val="none" w:sz="4" w:space="0" w:color="FFFFFF"/>
            </w:tcBorders>
          </w:tcPr>
          <w:p w:rsidR="006514EF" w:rsidRDefault="00DD50AA">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6514EF" w:rsidRDefault="00DD50A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514EF" w:rsidRDefault="00DD50A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514EF" w:rsidRDefault="006514E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514EF" w:rsidRDefault="00651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16" w:name="_Sec759"/>
      <w:r>
        <w:t>2. Produktbedingungen</w:t>
      </w:r>
      <w:bookmarkEnd w:id="216"/>
    </w:p>
    <w:tbl>
      <w:tblPr>
        <w:tblStyle w:val="PURTable"/>
        <w:tblW w:w="0" w:type="dxa"/>
        <w:tblLook w:val="04A0" w:firstRow="1" w:lastRow="0" w:firstColumn="1" w:lastColumn="0" w:noHBand="0" w:noVBand="1"/>
      </w:tblPr>
      <w:tblGrid>
        <w:gridCol w:w="3622"/>
        <w:gridCol w:w="3621"/>
        <w:gridCol w:w="354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w:instrText>
            </w:r>
            <w:r>
              <w:instrText xml:space="preserve">-Pool: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Down-Editionen: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(Software Assurance):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w:t>
            </w:r>
            <w:r>
              <w:rPr>
                <w:color w:val="404040"/>
              </w:rPr>
              <w:t>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217" w:name="_Sec808"/>
      <w:r>
        <w:t>3. Nutzungsrechte</w:t>
      </w:r>
      <w:bookmarkEnd w:id="217"/>
    </w:p>
    <w:tbl>
      <w:tblPr>
        <w:tblStyle w:val="PURTable"/>
        <w:tblW w:w="0" w:type="dxa"/>
        <w:tblLook w:val="04A0" w:firstRow="1" w:lastRow="0" w:firstColumn="1" w:lastColumn="0" w:noHBand="0" w:noVBand="1"/>
      </w:tblPr>
      <w:tblGrid>
        <w:gridCol w:w="3694"/>
        <w:gridCol w:w="3592"/>
        <w:gridCol w:w="3504"/>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Zusätzliche Software: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Enthaltene Technologien: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DD50AA">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575"/>
        <w:gridCol w:w="3659"/>
        <w:gridCol w:w="355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Failoverrechte: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"Migrationsrechte: Kunden können möglicherweise unter bestimmten Bedingungen, die im P</w:instrText>
            </w:r>
            <w:r>
              <w:instrText xml:space="preserve">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Roamingrechte: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6514EF">
            <w:pPr>
              <w:pStyle w:val="ProductList-TableBody"/>
            </w:pP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6514EF">
      <w:pPr>
        <w:sectPr w:rsidR="006514EF">
          <w:headerReference w:type="default" r:id="rId89"/>
          <w:footerReference w:type="default" r:id="rId90"/>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219" w:name="_Sec548"/>
      <w:bookmarkEnd w:id="34"/>
      <w:r>
        <w:t>Onlinedienste</w:t>
      </w:r>
      <w:r>
        <w:fldChar w:fldCharType="begin"/>
      </w:r>
      <w:r>
        <w:instrText xml:space="preserve"> TC "</w:instrText>
      </w:r>
      <w:bookmarkStart w:id="220" w:name="_Toc439056327"/>
      <w:r>
        <w:instrText>Onlinedienste</w:instrText>
      </w:r>
      <w:bookmarkEnd w:id="220"/>
      <w:r>
        <w:instrText>" \l 1</w:instrText>
      </w:r>
      <w:r>
        <w:fldChar w:fldCharType="end"/>
      </w:r>
    </w:p>
    <w:p w:rsidR="006514EF" w:rsidRDefault="00DD50AA">
      <w:pPr>
        <w:pStyle w:val="ProductList-Body"/>
      </w:pPr>
      <w:r>
        <w:t xml:space="preserve">Der Erwerb und die Nutzung von Microsoft-Onlinediensten durch den Kunden unterliegen den Produktbestimmungen sowie den Bestimmungen für Onlinedienste (OST) von Microsoft, die unter </w:t>
      </w:r>
      <w:hyperlink r:id="rId91">
        <w:r>
          <w:rPr>
            <w:color w:val="00467F"/>
            <w:u w:val="single"/>
          </w:rPr>
          <w:t>http://go.micros</w:t>
        </w:r>
        <w:r>
          <w:rPr>
            <w:color w:val="00467F"/>
            <w:u w:val="single"/>
          </w:rPr>
          <w:t>oft.com/?linkid=9840733</w:t>
        </w:r>
      </w:hyperlink>
      <w:r>
        <w:t xml:space="preserve"> abgerufen werden können und durch Bezugnahme Bestandteil dieses Dokuments werden.</w:t>
      </w:r>
    </w:p>
    <w:p w:rsidR="006514EF" w:rsidRDefault="00DD50AA">
      <w:pPr>
        <w:pStyle w:val="ProductList-Offering1Heading"/>
        <w:outlineLvl w:val="1"/>
      </w:pPr>
      <w:bookmarkStart w:id="221" w:name="_Sec620"/>
      <w:r>
        <w:t>Regionale Verfügbarkeit von Onlinediensten</w:t>
      </w:r>
      <w:bookmarkEnd w:id="221"/>
      <w:r>
        <w:fldChar w:fldCharType="begin"/>
      </w:r>
      <w:r>
        <w:instrText xml:space="preserve"> TC "</w:instrText>
      </w:r>
      <w:bookmarkStart w:id="222" w:name="_Toc439056328"/>
      <w:r>
        <w:instrText>Regionale Verfügbarkeit von Onlinediensten</w:instrText>
      </w:r>
      <w:bookmarkEnd w:id="222"/>
      <w:r>
        <w:instrText>" \l 2</w:instrText>
      </w:r>
      <w:r>
        <w:fldChar w:fldCharType="end"/>
      </w:r>
    </w:p>
    <w:p w:rsidR="006514EF" w:rsidRDefault="00DD50AA">
      <w:pPr>
        <w:pStyle w:val="ProductList-Body"/>
      </w:pPr>
      <w:r>
        <w:t xml:space="preserve">Unter </w:t>
      </w:r>
      <w:hyperlink r:id="rId92" w:anchor="international">
        <w:r>
          <w:rPr>
            <w:color w:val="00467F"/>
            <w:u w:val="single"/>
          </w:rPr>
          <w:t>http://www.microsoft.com/online/faq.aspx#international</w:t>
        </w:r>
      </w:hyperlink>
      <w:r>
        <w:t xml:space="preserve"> finden Sie eine Liste der Länder und Regionen, in denen die Onlinedienste verfügbar sind.</w:t>
      </w:r>
    </w:p>
    <w:p w:rsidR="006514EF" w:rsidRDefault="00DD50AA">
      <w:pPr>
        <w:pStyle w:val="ProductList-Offering1Heading"/>
        <w:outlineLvl w:val="1"/>
      </w:pPr>
      <w:bookmarkStart w:id="223" w:name="_Sec621"/>
      <w:r>
        <w:t>Regeln für den Erwerb von Onlinediensten</w:t>
      </w:r>
      <w:bookmarkEnd w:id="223"/>
      <w:r>
        <w:fldChar w:fldCharType="begin"/>
      </w:r>
      <w:r>
        <w:instrText xml:space="preserve"> TC "</w:instrText>
      </w:r>
      <w:bookmarkStart w:id="224" w:name="_Toc439056329"/>
      <w:r>
        <w:instrText>Regeln für den Erwerb von Onlined</w:instrText>
      </w:r>
      <w:r>
        <w:instrText>iensten</w:instrText>
      </w:r>
      <w:bookmarkEnd w:id="224"/>
      <w:r>
        <w:instrText>" \l 2</w:instrText>
      </w:r>
      <w:r>
        <w:fldChar w:fldCharType="end"/>
      </w:r>
    </w:p>
    <w:p w:rsidR="006514EF" w:rsidRDefault="00DD50AA">
      <w:pPr>
        <w:pStyle w:val="ProductList-Body"/>
      </w:pPr>
      <w:r>
        <w:t>Die folgenden Regeln für den Erwerb gelten für den Kauf von Onlinediensten:</w:t>
      </w:r>
    </w:p>
    <w:p w:rsidR="006514EF" w:rsidRDefault="00DD50AA">
      <w:pPr>
        <w:pStyle w:val="ProductList-Bullet"/>
        <w:numPr>
          <w:ilvl w:val="0"/>
          <w:numId w:val="35"/>
        </w:numPr>
      </w:pPr>
      <w:r>
        <w:t>Abonnementbestimmungen sind je nach Einkaufsprogramm unterschiedlich. Im Rahmen des Konzernvertragsprogramms müssen die Abonnementlaufzeiten für Onlinedienste außer</w:t>
      </w:r>
      <w:r>
        <w:t xml:space="preserve"> Microsoft Azure identisch sein und am Datum des Enddatums des Beitritts des Kunden enden.</w:t>
      </w:r>
    </w:p>
    <w:p w:rsidR="006514EF" w:rsidRDefault="00DD50AA">
      <w:pPr>
        <w:pStyle w:val="ProductList-Bullet"/>
        <w:numPr>
          <w:ilvl w:val="0"/>
          <w:numId w:val="35"/>
        </w:numPr>
      </w:pPr>
      <w:r>
        <w:t>Wenn der Kunde zusätzliche Onlinedienste erwirbt, muss das Ende der Abonnementlaufzeit des zusätzlichen Erwerbs mit der bestehenden Abonnementlaufzeit des Kunden für</w:t>
      </w:r>
      <w:r>
        <w:t xml:space="preserve"> denselben Onlinedienst übereinstimmen.</w:t>
      </w:r>
    </w:p>
    <w:p w:rsidR="006514EF" w:rsidRDefault="00DD50AA">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rsidR="006514EF" w:rsidRDefault="00DD50AA">
      <w:pPr>
        <w:pStyle w:val="ProductList-Bullet"/>
        <w:numPr>
          <w:ilvl w:val="0"/>
          <w:numId w:val="35"/>
        </w:numPr>
      </w:pPr>
      <w:r>
        <w:t>Für Micro</w:t>
      </w:r>
      <w:r>
        <w:t>soft Azure geltende Bestimmungen finden Sie im Produkteintrag zu Microsoft Azure.</w:t>
      </w:r>
    </w:p>
    <w:p w:rsidR="006514EF" w:rsidRDefault="00DD50AA">
      <w:pPr>
        <w:pStyle w:val="ProductList-Offering1Heading"/>
        <w:outlineLvl w:val="1"/>
      </w:pPr>
      <w:bookmarkStart w:id="225" w:name="_Sec622"/>
      <w:r>
        <w:t>Add-On-Nutzer-Abonnementlizenz (AL)</w:t>
      </w:r>
      <w:bookmarkEnd w:id="225"/>
      <w:r>
        <w:fldChar w:fldCharType="begin"/>
      </w:r>
      <w:r>
        <w:instrText xml:space="preserve"> TC "</w:instrText>
      </w:r>
      <w:bookmarkStart w:id="226" w:name="_Toc439056330"/>
      <w:r>
        <w:instrText>Add-On-Nutzer-Abonnementlizenz (AL)</w:instrText>
      </w:r>
      <w:bookmarkEnd w:id="226"/>
      <w:r>
        <w:instrText>" \l 2</w:instrText>
      </w:r>
      <w:r>
        <w:fldChar w:fldCharType="end"/>
      </w:r>
    </w:p>
    <w:p w:rsidR="006514EF" w:rsidRDefault="00DD50AA">
      <w:pPr>
        <w:pStyle w:val="ProductList-Body"/>
      </w:pPr>
      <w:r>
        <w:t xml:space="preserve">Eine Add-On-Nutzer-Abonnementlizenz ist eine AL, die (i) zusätzlich zu (und in Verbindung </w:t>
      </w:r>
      <w:r>
        <w:t>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w:t>
      </w:r>
      <w:r>
        <w:t>ngen in den Bestimmungen für Onlinedienste (OST) unterliegt und (iv) mit Ablauf der Software Assurance für die Qualifizierenden Lizenz(en) oder am Ende des Abonnementzeitraums abläuft (je nachdem, welches Ereignis früher eintritt). Für alle Add-On-Nutzer A</w:t>
      </w:r>
      <w:r>
        <w:t>Ls, die nicht einzeln in den OST aufgeführt sind, gelten die Dienstbestimmungen, die auf eine vollständige Nutzer-AL für denselben Dienst anwendbar sind. Ungeachtet der allgemeinen Rechte für die Neuzuweisung von Lizenzen können Add-On-Nutzer-ALs nur an an</w:t>
      </w:r>
      <w:r>
        <w:t>dere Qualifizierte Nutzer neu zugewiesen werden.</w:t>
      </w:r>
    </w:p>
    <w:p w:rsidR="006514EF" w:rsidRDefault="006514EF">
      <w:pPr>
        <w:pStyle w:val="ProductList-Body"/>
      </w:pPr>
    </w:p>
    <w:p w:rsidR="006514EF" w:rsidRDefault="00DD50AA">
      <w:pPr>
        <w:pStyle w:val="ProductList-Body"/>
      </w:pPr>
      <w:r>
        <w:rPr>
          <w:i/>
          <w:vertAlign w:val="superscript"/>
        </w:rPr>
        <w:t>1</w:t>
      </w:r>
      <w:r>
        <w:rPr>
          <w:i/>
        </w:rPr>
        <w:t>Qualifizierende Lizenze(n) für Add-On-Nutzer-ALs werden im produktspezifischen Teil der Produkte gekennzeichnet, zu denen sie gehören.</w:t>
      </w:r>
    </w:p>
    <w:p w:rsidR="006514EF" w:rsidRDefault="00DD50AA">
      <w:pPr>
        <w:pStyle w:val="ProductList-Offering1Heading"/>
        <w:outlineLvl w:val="1"/>
      </w:pPr>
      <w:bookmarkStart w:id="227" w:name="_Sec623"/>
      <w:r>
        <w:t>Verlängerung von Onlinediensten</w:t>
      </w:r>
      <w:bookmarkEnd w:id="227"/>
      <w:r>
        <w:fldChar w:fldCharType="begin"/>
      </w:r>
      <w:r>
        <w:instrText xml:space="preserve"> TC "</w:instrText>
      </w:r>
      <w:bookmarkStart w:id="228" w:name="_Toc439056331"/>
      <w:r>
        <w:instrText>Verlängerung von Onlinediensten</w:instrText>
      </w:r>
      <w:bookmarkEnd w:id="228"/>
      <w:r>
        <w:instrText>" \l 2</w:instrText>
      </w:r>
      <w:r>
        <w:fldChar w:fldCharType="end"/>
      </w:r>
    </w:p>
    <w:p w:rsidR="006514EF" w:rsidRDefault="00DD50AA">
      <w:pPr>
        <w:pStyle w:val="ProductList-Body"/>
      </w:pPr>
      <w:r>
        <w:t>Onlinedienste mit automatischer Verlängerung werden automatisch am Tag nach Ablauf ihrer Abonnementlaufzeit verlängert, es sei denn, der Kunde entscheidet sich gegen eine Verlängerung, indem er mindestens 30 Tage vor Ablauf des Abonnements die aut</w:t>
      </w:r>
      <w:r>
        <w:t xml:space="preserve">omatische Verlängerung abbestellt, indem er eine Bestellung bei seinem Handelspartner aufgibt oder das unter </w:t>
      </w:r>
      <w:hyperlink r:id="rId93"/>
      <w:r>
        <w:t>http://microsoft.com/licensing/contracts zur Verfügung stehende Formular verwendet. Onl</w:t>
      </w:r>
      <w:r>
        <w:t>inedienste-Abonnements für Kunden aus Verwaltung sowie Forschung &amp; Lehre werden nur dann automatisch verlängert, wenn sich der Kunde für die automatische Verlängerungsoption entscheidet.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229" w:name="_Sec624"/>
      <w:r>
        <w:t>Microsoft Azure-Dienste</w:t>
      </w:r>
      <w:bookmarkEnd w:id="229"/>
      <w:r>
        <w:fldChar w:fldCharType="begin"/>
      </w:r>
      <w:r>
        <w:instrText xml:space="preserve"> TC "</w:instrText>
      </w:r>
      <w:bookmarkStart w:id="230" w:name="_Toc439056332"/>
      <w:r>
        <w:instrText>Microsoft Azure-Dienste</w:instrText>
      </w:r>
      <w:bookmarkEnd w:id="230"/>
      <w:r>
        <w:instrText>" \l 2</w:instrText>
      </w:r>
      <w:r>
        <w:fldChar w:fldCharType="end"/>
      </w:r>
    </w:p>
    <w:p w:rsidR="006514EF" w:rsidRDefault="00DD50AA">
      <w:pPr>
        <w:pStyle w:val="ProductList-ClauseHeading"/>
        <w:outlineLvl w:val="2"/>
      </w:pPr>
      <w:r>
        <w:t>1. Definitionen</w:t>
      </w:r>
    </w:p>
    <w:p w:rsidR="006514EF" w:rsidRDefault="00DD50AA">
      <w:pPr>
        <w:pStyle w:val="ProductList-Body"/>
      </w:pPr>
      <w:r>
        <w:rPr>
          <w:b/>
          <w:color w:val="00188F"/>
        </w:rPr>
        <w:t>Zugewiesene Jährliche Verpflichtung</w:t>
      </w:r>
      <w:r>
        <w:t xml:space="preserve"> ist der Teil der Finanziellen Verpflichtung, der jährlich auf die gesamte Beitrittslaufzeit zugewiesen ist.</w:t>
      </w:r>
    </w:p>
    <w:p w:rsidR="006514EF" w:rsidRDefault="006514EF">
      <w:pPr>
        <w:pStyle w:val="ProductList-Body"/>
      </w:pPr>
    </w:p>
    <w:p w:rsidR="006514EF" w:rsidRDefault="00DD50AA">
      <w:pPr>
        <w:pStyle w:val="ProductList-Body"/>
      </w:pPr>
      <w:r>
        <w:rPr>
          <w:b/>
          <w:color w:val="00188F"/>
        </w:rPr>
        <w:t>Verpflichtungspreise</w:t>
      </w:r>
      <w:r>
        <w:t xml:space="preserve"> sind Preise für jegliche Nutzung von Microsoft Azure-Diensten außer Microsoft Azure-Dienstplänen bis zur Zugewiesenen Jährlic</w:t>
      </w:r>
      <w:r>
        <w:t>hen Verpflichtung.</w:t>
      </w:r>
    </w:p>
    <w:p w:rsidR="006514EF" w:rsidRDefault="006514EF">
      <w:pPr>
        <w:pStyle w:val="ProductList-Body"/>
      </w:pPr>
    </w:p>
    <w:p w:rsidR="006514EF" w:rsidRDefault="00DD50AA">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w:t>
      </w:r>
      <w:r>
        <w:t>lar.</w:t>
      </w:r>
    </w:p>
    <w:p w:rsidR="006514EF" w:rsidRDefault="006514EF">
      <w:pPr>
        <w:pStyle w:val="ProductList-Body"/>
      </w:pPr>
    </w:p>
    <w:p w:rsidR="006514EF" w:rsidRDefault="00DD50AA">
      <w:pPr>
        <w:pStyle w:val="ProductList-Body"/>
      </w:pPr>
      <w:r>
        <w:rPr>
          <w:b/>
          <w:color w:val="00188F"/>
        </w:rPr>
        <w:t xml:space="preserve">Nutzungsabhängige Preise </w:t>
      </w:r>
      <w:r>
        <w:t>sind die Preise für die Nutzung von Microsoft Azure-Diensten über die Zugewiesene Jährliche Verpflichtung hinaus bzw. für bestimmte Microsoft Azure-Dienstpläne jede Nutzung über eine angegebene Menge hinaus. Nutzungsabhängige</w:t>
      </w:r>
      <w:r>
        <w:t xml:space="preserve"> Preise können in anderen Microsoft- oder Microsoft Azure-Dokumenten auch als „Überschreitungspreise“ oder „Überschreitung“ bezeichnet werden. Die Verpflichtungspreise entsprechen den Nutzungsabhängigen Preisen.</w:t>
      </w:r>
    </w:p>
    <w:p w:rsidR="006514EF" w:rsidRDefault="006514EF">
      <w:pPr>
        <w:pStyle w:val="ProductList-Body"/>
      </w:pPr>
    </w:p>
    <w:p w:rsidR="006514EF" w:rsidRDefault="00DD50AA">
      <w:pPr>
        <w:pStyle w:val="ProductList-Body"/>
      </w:pPr>
      <w:r>
        <w:rPr>
          <w:b/>
          <w:color w:val="00188F"/>
        </w:rPr>
        <w:t>Microsoft Azure-Dienstplan</w:t>
      </w:r>
      <w:r>
        <w:t xml:space="preserve"> ist ein Abonneme</w:t>
      </w:r>
      <w:r>
        <w:t>nt einer der einzelnen Microsoft Azure-Dienste, der unten als Microsoft Azure-Dienstplan identifiziert ist. Dienste, die als Microsoft Azure-Dienstplan erworben werden, sind nicht zur Hosting-Ausnahme oder Managed Service-Ausnahme in den Onlinedienstbestim</w:t>
      </w:r>
      <w:r>
        <w:t>mungen berechtigt.</w:t>
      </w:r>
    </w:p>
    <w:p w:rsidR="006514EF" w:rsidRDefault="006514EF">
      <w:pPr>
        <w:pStyle w:val="ProductList-Body"/>
      </w:pPr>
    </w:p>
    <w:p w:rsidR="006514EF" w:rsidRDefault="00DD50AA">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6514EF" w:rsidRDefault="006514EF">
      <w:pPr>
        <w:pStyle w:val="ProductList-Body"/>
      </w:pPr>
    </w:p>
    <w:p w:rsidR="006514EF" w:rsidRDefault="006514EF">
      <w:pPr>
        <w:pStyle w:val="ProductList-Body"/>
      </w:pPr>
    </w:p>
    <w:p w:rsidR="006514EF" w:rsidRDefault="00DD50AA">
      <w:pPr>
        <w:pStyle w:val="ProductList-ClauseHeading"/>
        <w:outlineLvl w:val="2"/>
      </w:pPr>
      <w:r>
        <w:t>2. Abonnementlaufzeit</w:t>
      </w:r>
    </w:p>
    <w:p w:rsidR="006514EF" w:rsidRDefault="00DD50AA">
      <w:pPr>
        <w:pStyle w:val="ProductList-Body"/>
      </w:pPr>
      <w:r>
        <w:t>Kunden können Microsoft</w:t>
      </w:r>
      <w:r>
        <w:t xml:space="preserve"> Azure-Dienste (einschließlich Microsoft Azure-Dienstplänen) nur für eine Abonnementlaufzeit abonnieren, die am Enddatum des Beitritts des Kunden endet („identische Laufzeit“). Microsoft Azure-Dienste können nur abonniert werden, wenn die Laufzeit des Beit</w:t>
      </w:r>
      <w:r>
        <w:t>ritts der Kunden noch mindestens zwei Monate beträgt.</w:t>
      </w:r>
    </w:p>
    <w:p w:rsidR="006514EF" w:rsidRDefault="006514EF">
      <w:pPr>
        <w:pStyle w:val="ProductList-Body"/>
      </w:pPr>
    </w:p>
    <w:p w:rsidR="006514EF" w:rsidRDefault="00DD50AA">
      <w:pPr>
        <w:pStyle w:val="ProductList-ClauseHeading"/>
        <w:outlineLvl w:val="2"/>
      </w:pPr>
      <w:r>
        <w:t>3. Erwerb von Diensten</w:t>
      </w:r>
    </w:p>
    <w:p w:rsidR="006514EF" w:rsidRDefault="00DD50AA">
      <w:pPr>
        <w:pStyle w:val="ProductList-Body"/>
      </w:pPr>
      <w:r>
        <w:t>Microsoft Azure-Dienste können auf eine der folgenden Arten bzw. deren Kombination erworben werden:</w:t>
      </w:r>
    </w:p>
    <w:p w:rsidR="006514EF" w:rsidRDefault="00DD50AA">
      <w:pPr>
        <w:pStyle w:val="ProductList-Bullet"/>
        <w:numPr>
          <w:ilvl w:val="0"/>
          <w:numId w:val="36"/>
        </w:numPr>
      </w:pPr>
      <w:r>
        <w:rPr>
          <w:b/>
          <w:color w:val="00188F"/>
        </w:rPr>
        <w:t>Verpflichtung</w:t>
      </w:r>
      <w:r>
        <w:t>: Finanzielle Verpflichtungen werden anteilig auf die gesamte Bei</w:t>
      </w:r>
      <w:r>
        <w:t>trittslaufzeit verteilt. Kunden können ihre Finanzielle Verpflichtung jederzeit durch Abgabe zusätzlicher Bestellungen erhöhen. Wenn eine zusätzliche Bestellung aufgegeben wird, wird die Zugewiesene Jährliche Verpflichtung für das betreffende Jahr um den B</w:t>
      </w:r>
      <w:r>
        <w:t>etrag der Bestellung erhöht. Für jedes darauffolgende verbleibende Jahr der Laufzeit des Beitritts werden die Zugewiesenen Jährlichen Verpflichtungen um den Betrag der zusätzlichen Bestellung multipliziert mit zwölf und dividiert durch die Anzahl der volls</w:t>
      </w:r>
      <w:r>
        <w:t xml:space="preserve">tändigen Monate zwischen dem Zeitpunkt der Aufgabe der zusätzlichen Bestellung und dem auf die zusätzliche Bestellung folgenden Jahrestag erhöht. </w:t>
      </w:r>
    </w:p>
    <w:p w:rsidR="006514EF" w:rsidRDefault="00DD50AA">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rsidR="006514EF" w:rsidRDefault="00DD50AA">
      <w:pPr>
        <w:pStyle w:val="ProductList-Bullet"/>
        <w:numPr>
          <w:ilvl w:val="1"/>
          <w:numId w:val="36"/>
        </w:numPr>
      </w:pPr>
      <w:r>
        <w:t>Die Kunden müssen i</w:t>
      </w:r>
      <w:r>
        <w:t>hre Zugewiesene Jährliche Verpflichtung bis zum letzten Tag des Monats vor dem Jahrestag des Beitritts jedes Jahres verbrauchen. Nach diesem Termin verfällt der ungenutzte Teil der Zugewiesenen Jährlichen Verpflichtung. Die Kunden können ihre jährliche Nut</w:t>
      </w:r>
      <w:r>
        <w:t>zungszulage bis zum letzten Tag des Monats vor dem Jahrestag des Beitritts jedes Jahres nutzen. Nach diesem Termin verfällt der ungenutzte Teil der Nutzungszulage.</w:t>
      </w:r>
    </w:p>
    <w:p w:rsidR="006514EF" w:rsidRDefault="00DD50AA">
      <w:pPr>
        <w:pStyle w:val="ProductList-Bullet"/>
        <w:numPr>
          <w:ilvl w:val="0"/>
          <w:numId w:val="36"/>
        </w:numPr>
      </w:pPr>
      <w:r>
        <w:rPr>
          <w:b/>
          <w:color w:val="00188F"/>
        </w:rPr>
        <w:t>Nutzung</w:t>
      </w:r>
      <w:r>
        <w:t>: Die Kunden zahlen für die Menge der in einem Abrechnungszeitraum genutzten Microsof</w:t>
      </w:r>
      <w:r>
        <w:t>t Azure-Dienste. Bestimmte Funktionen der Microsoft Azure-Dienste sind ggf. nur bei Erwerb auf Nutzungsbasis verfügbar.</w:t>
      </w:r>
    </w:p>
    <w:p w:rsidR="006514EF" w:rsidRDefault="00DD50AA">
      <w:pPr>
        <w:pStyle w:val="ProductList-Bullet"/>
        <w:numPr>
          <w:ilvl w:val="0"/>
          <w:numId w:val="36"/>
        </w:numPr>
      </w:pPr>
      <w:r>
        <w:rPr>
          <w:b/>
          <w:color w:val="00188F"/>
        </w:rPr>
        <w:t>Microsoft Azure-Dienstplan</w:t>
      </w:r>
      <w:r>
        <w:t xml:space="preserve">: Die Kunden können einen Microsoft Azure-Dienst als Microsoft Azure-Dienstplan abonnieren. </w:t>
      </w:r>
    </w:p>
    <w:p w:rsidR="006514EF" w:rsidRDefault="00DD50AA">
      <w:pPr>
        <w:pStyle w:val="ProductList-Bullet"/>
        <w:numPr>
          <w:ilvl w:val="0"/>
          <w:numId w:val="36"/>
        </w:numPr>
      </w:pPr>
      <w:r>
        <w:rPr>
          <w:b/>
          <w:color w:val="00188F"/>
        </w:rPr>
        <w:t>Automatische Bere</w:t>
      </w:r>
      <w:r>
        <w:rPr>
          <w:b/>
          <w:color w:val="00188F"/>
        </w:rPr>
        <w:t>itstellung</w:t>
      </w:r>
      <w:r>
        <w:t>: Im Rahmen des Server- und Cloud-Beitritts erhalten Kunden, die Microsoft Azure-Dienste nicht als Bestandteil ihres Beitritts bestellt haben, möglicherweise eine Aktivierungs-E-Mail von Microsoft, in der die Bereitstellung von Microsoft Azure-Di</w:t>
      </w:r>
      <w:r>
        <w:t>ensten unter ihrem Beitritt ohne eine finanzielle Verpflichtung als Gegenleistung angeboten wird.</w:t>
      </w:r>
    </w:p>
    <w:p w:rsidR="006514EF" w:rsidRDefault="006514EF">
      <w:pPr>
        <w:pStyle w:val="ProductList-Body"/>
      </w:pPr>
    </w:p>
    <w:p w:rsidR="006514EF" w:rsidRDefault="00DD50AA">
      <w:pPr>
        <w:pStyle w:val="ProductList-ClauseHeading"/>
        <w:outlineLvl w:val="2"/>
      </w:pPr>
      <w:r>
        <w:t>4. Preise</w:t>
      </w:r>
    </w:p>
    <w:p w:rsidR="006514EF" w:rsidRDefault="00DD50AA">
      <w:pPr>
        <w:pStyle w:val="ProductList-Body"/>
      </w:pPr>
      <w:r>
        <w:t>Falls der Kunde nicht über einen Konzernbeitritt, Konzern-Abonnementbeitritt, Select-Vertrag, Select Plus-Vertrag oder Server- und Cloud-Beitritt v</w:t>
      </w:r>
      <w:r>
        <w:t>erfügt, gilt Preislevel A.</w:t>
      </w:r>
    </w:p>
    <w:p w:rsidR="006514EF" w:rsidRDefault="006514EF">
      <w:pPr>
        <w:pStyle w:val="ProductList-Body"/>
      </w:pPr>
    </w:p>
    <w:p w:rsidR="006514EF" w:rsidRDefault="00DD50AA">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6514EF" w:rsidRDefault="006514EF">
      <w:pPr>
        <w:pStyle w:val="ProductList-Body"/>
      </w:pPr>
    </w:p>
    <w:p w:rsidR="006514EF" w:rsidRDefault="00DD50AA">
      <w:pPr>
        <w:pStyle w:val="ProductList-ClauseHeading"/>
        <w:outlineLvl w:val="2"/>
      </w:pPr>
      <w:r>
        <w:t>5.</w:t>
      </w:r>
      <w:r>
        <w:t xml:space="preserve"> Zahlung und Gebühren</w:t>
      </w:r>
    </w:p>
    <w:p w:rsidR="006514EF" w:rsidRDefault="00DD50AA">
      <w:pPr>
        <w:pStyle w:val="ProductList-Body"/>
      </w:pPr>
      <w:r>
        <w:t>Kunden, die Microsoft Azure-Dienste ohne Finanzielle Verpflichtung beschafft haben, erhalten vierteljährlich eine Rechnung entsprechend den Nutzungsabhängigen Preisen.</w:t>
      </w:r>
    </w:p>
    <w:p w:rsidR="006514EF" w:rsidRDefault="006514EF">
      <w:pPr>
        <w:pStyle w:val="ProductList-Body"/>
      </w:pPr>
    </w:p>
    <w:p w:rsidR="006514EF" w:rsidRDefault="00DD50AA">
      <w:pPr>
        <w:pStyle w:val="ProductList-Body"/>
      </w:pPr>
      <w:r>
        <w:t>Für Kunden mit Finanzieller Verpflichtung wird die erste Zugewies</w:t>
      </w:r>
      <w:r>
        <w:t>ene Jährliche Verpflichtung unmittelbar in Rechnung gestellt, und künftige Zugewiesene Jährliche Verpflichtungen werden am Jahrestag des Wirksamkeitsdatums des Beitritts in Rechnung gestellt. Alternativ können sich Kunden dafür entscheiden, ihre gesamte Fi</w:t>
      </w:r>
      <w:r>
        <w:t>nanzielle Verpflichtung bei Abgabe der Anfangsbestellung zu bezahlen.</w:t>
      </w:r>
    </w:p>
    <w:p w:rsidR="006514EF" w:rsidRDefault="006514EF">
      <w:pPr>
        <w:pStyle w:val="ProductList-Body"/>
      </w:pPr>
    </w:p>
    <w:p w:rsidR="006514EF" w:rsidRDefault="00DD50AA">
      <w:pPr>
        <w:pStyle w:val="ProductList-Body"/>
      </w:pPr>
      <w:r>
        <w:t>Jeden Monat zieht Microsoft den Geldwert der Nutzung von berechtigten Microsoft Azure-Diensten eines Kunden von der Zugewiesenen Jährlichen Verpflichtung ab. Sobald das Guthaben der Zug</w:t>
      </w:r>
      <w:r>
        <w:t xml:space="preserve">ewiesenen Jährlichen Verpflichtung des Kunden erschöpft ist, wird jegliche zusätzliche Nutzung zu Nutzungsabhängigen Preisen in Rechnung gestellt. </w:t>
      </w:r>
    </w:p>
    <w:p w:rsidR="006514EF" w:rsidRDefault="006514EF">
      <w:pPr>
        <w:pStyle w:val="ProductList-Body"/>
      </w:pPr>
    </w:p>
    <w:p w:rsidR="006514EF" w:rsidRDefault="00DD50AA">
      <w:pPr>
        <w:pStyle w:val="ProductList-Body"/>
      </w:pPr>
      <w:r>
        <w:t>Wenn die Nutzung durch einen Kunden mit Direktem Konzernbeitritt unterhalb der Zugewiesenen Jährlichen Verp</w:t>
      </w:r>
      <w:r>
        <w:t>flichtung plus Nutzungszulage bleibt, wird dem Kunden oder seinem Handelspartner jegliche die Zugewiesene Jährliche Verpflichtung übersteigende Nutzung am Jahrestag des Wirksamkeitsdatums des Beitritts für das 1. und 2. Jahr sowie am Ende der Abonnementlau</w:t>
      </w:r>
      <w:r>
        <w:t>fzeit für das 3. Jahr zu Nutzungsabhängigen Preisen in Rechnung gestellt.</w:t>
      </w:r>
    </w:p>
    <w:p w:rsidR="006514EF" w:rsidRDefault="006514EF">
      <w:pPr>
        <w:pStyle w:val="ProductList-Body"/>
      </w:pPr>
    </w:p>
    <w:p w:rsidR="006514EF" w:rsidRDefault="00DD50AA">
      <w:pPr>
        <w:pStyle w:val="ProductList-Body"/>
      </w:pPr>
      <w:r>
        <w:t>Wenn die Nutzung durch einen Kunden mit Direktem Konzernbeitritt die Zugewiesene Jährliche Verpflichtung plus Nutzungszulage übersteigt, wird jegliche die Zugewiesene Jährliche Verp</w:t>
      </w:r>
      <w:r>
        <w:t>flichtung übersteigende Nutzung dem Kunden oder seinem Handelspartner am Ende jedes Beitrittsquartals zu Nutzungsabhängigen Preisen in Rechnung gestellt.</w:t>
      </w:r>
    </w:p>
    <w:p w:rsidR="006514EF" w:rsidRDefault="006514EF">
      <w:pPr>
        <w:pStyle w:val="ProductList-Body"/>
      </w:pPr>
    </w:p>
    <w:p w:rsidR="006514EF" w:rsidRDefault="00DD50AA">
      <w:pPr>
        <w:pStyle w:val="ProductList-Body"/>
      </w:pPr>
      <w:r>
        <w:t xml:space="preserve">Jegliche Nutzung der Microsoft Azure-Dienste nach Ablauf oder Kündigung der Abonnementlaufzeit eines </w:t>
      </w:r>
      <w:r>
        <w:t>Kunden wird dem Kunden oder seinem Handelspartner pro Quartal zu den jeweils gültigen Nutzungsabhängigen Preisen in Rechnung gestellt.</w:t>
      </w:r>
    </w:p>
    <w:p w:rsidR="006514EF" w:rsidRDefault="006514EF">
      <w:pPr>
        <w:pStyle w:val="ProductList-Body"/>
      </w:pPr>
    </w:p>
    <w:p w:rsidR="006514EF" w:rsidRDefault="00DD50AA">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w:t>
      </w:r>
      <w:r>
        <w:t xml:space="preserve"> regeln. Die Finanzielle Verpflichtung kann nicht auf den Erwerb eines Microsoft Azure-Plans angewendet werden; wenn jedoch ein Microsoft Azure-Dienstplan den Erwerb einer Anfangsmenge eines Dienstes („Anfangsmenge“) umfasst, dann wird die Nutzung des Kund</w:t>
      </w:r>
      <w:r>
        <w:t>en, welche die Anfangsmenge übersteigt, zu Nutzungsabhängigen Preisen in Rechnung gestellt, und die Zugewiesene Jährliche Verpflichtung des Kunden kann auf diese Nutzung angewendet werden.</w:t>
      </w:r>
    </w:p>
    <w:p w:rsidR="006514EF" w:rsidRDefault="006514EF">
      <w:pPr>
        <w:pStyle w:val="ProductList-Body"/>
      </w:pPr>
    </w:p>
    <w:p w:rsidR="006514EF" w:rsidRDefault="00DD50AA">
      <w:pPr>
        <w:pStyle w:val="ProductList-ClauseHeading"/>
        <w:outlineLvl w:val="2"/>
      </w:pPr>
      <w:r>
        <w:t>6. Die Lösung wird nur als Open-Lizenz-, Open Value- und Open Valu</w:t>
      </w:r>
      <w:r>
        <w:t>e Subscription-Programm verkauft.</w:t>
      </w:r>
    </w:p>
    <w:p w:rsidR="006514EF" w:rsidRDefault="00DD50AA">
      <w:pPr>
        <w:pStyle w:val="ProductList-SubClauseHeading"/>
        <w:outlineLvl w:val="3"/>
      </w:pPr>
      <w:r>
        <w:t>6.1 Definitionen</w:t>
      </w:r>
    </w:p>
    <w:p w:rsidR="006514EF" w:rsidRDefault="00DD50AA">
      <w:pPr>
        <w:pStyle w:val="ProductList-BodyIndented"/>
      </w:pPr>
      <w:r>
        <w:rPr>
          <w:b/>
          <w:color w:val="00188F"/>
        </w:rPr>
        <w:t>Nutzungsabhängige Preise</w:t>
      </w:r>
      <w:r>
        <w:t xml:space="preserve"> sind die Preise für alle Open-Lizenz-, Open Value- und Open Value Subscription-Vertragszwecke für alle Microsoft Azure-Dienste.</w:t>
      </w:r>
    </w:p>
    <w:p w:rsidR="006514EF" w:rsidRDefault="00DD50AA">
      <w:pPr>
        <w:pStyle w:val="ProductList-BodyIndented"/>
      </w:pPr>
      <w:r>
        <w:rPr>
          <w:b/>
          <w:color w:val="00188F"/>
        </w:rPr>
        <w:t>Portal</w:t>
      </w:r>
      <w:r>
        <w:t xml:space="preserve"> ist das Onlineportal, über das der Kunde sein Abonnement verwaltet.</w:t>
      </w:r>
    </w:p>
    <w:p w:rsidR="006514EF" w:rsidRDefault="00DD50AA">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6514EF" w:rsidRDefault="006514EF">
      <w:pPr>
        <w:pStyle w:val="ProductList-BodyIndented"/>
      </w:pPr>
    </w:p>
    <w:p w:rsidR="006514EF" w:rsidRDefault="00DD50AA">
      <w:pPr>
        <w:pStyle w:val="ProductList-SubClauseHeading"/>
        <w:outlineLvl w:val="3"/>
      </w:pPr>
      <w:r>
        <w:t>6.2 Abonnementl</w:t>
      </w:r>
      <w:r>
        <w:t>aufzeit</w:t>
      </w:r>
    </w:p>
    <w:p w:rsidR="006514EF" w:rsidRDefault="00DD50AA">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w:t>
      </w:r>
      <w:r>
        <w:t>nate oder bis der Wert aufgebraucht ist, je nachdem, wobei das frühere Ereignis maßgeblich ist. Abonnements dürfen nicht kombiniert werden. Der Kunde kann über mehrere aktive Abonnements verfügen. Neue Abonnements können jederzeit erworben werden.</w:t>
      </w:r>
    </w:p>
    <w:p w:rsidR="006514EF" w:rsidRDefault="00DD50AA">
      <w:pPr>
        <w:pStyle w:val="ProductList-Offering2HeadingNoBorder"/>
        <w:outlineLvl w:val="2"/>
      </w:pPr>
      <w:bookmarkStart w:id="231" w:name="_Sec625"/>
      <w:r>
        <w:t>Microsof</w:t>
      </w:r>
      <w:r>
        <w:t>t Azure-Dienste</w:t>
      </w:r>
      <w:bookmarkEnd w:id="231"/>
      <w:r>
        <w:fldChar w:fldCharType="begin"/>
      </w:r>
      <w:r>
        <w:instrText xml:space="preserve"> TC "</w:instrText>
      </w:r>
      <w:bookmarkStart w:id="232" w:name="_Toc439056333"/>
      <w:r>
        <w:instrText>Microsoft Azure-Dienste</w:instrText>
      </w:r>
      <w:bookmarkEnd w:id="232"/>
      <w:r>
        <w:instrText>" \l 3</w:instrText>
      </w:r>
      <w:r>
        <w:fldChar w:fldCharType="end"/>
      </w:r>
    </w:p>
    <w:p w:rsidR="006514EF" w:rsidRDefault="00DD50AA">
      <w:pPr>
        <w:pStyle w:val="ProductList-Offering1SubSection"/>
        <w:outlineLvl w:val="3"/>
      </w:pPr>
      <w:bookmarkStart w:id="233" w:name="_Sec705"/>
      <w:r>
        <w:t>1. Programmverfügbarkeit</w:t>
      </w:r>
      <w:bookmarkEnd w:id="233"/>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w:t>
            </w:r>
            <w:r>
              <w:rPr>
                <w:color w:val="FFFFFF"/>
              </w:rPr>
              <w:t>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34" w:name="_Sec760"/>
      <w:r>
        <w:t>2. Produktbedingungen</w:t>
      </w:r>
      <w:bookmarkEnd w:id="23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w:t>
            </w:r>
            <w:r>
              <w:rPr>
                <w:color w:val="404040"/>
              </w:rPr>
              <w: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w:instrText>
            </w:r>
            <w:r>
              <w:instrText xml:space="preserve">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w:t>
            </w:r>
            <w:r>
              <w:rPr>
                <w:color w:val="404040"/>
              </w:rPr>
              <w:t xml:space="preserv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Microsoft Azure-Dienstpläne</w:t>
      </w:r>
    </w:p>
    <w:p w:rsidR="006514EF" w:rsidRDefault="00DD50AA">
      <w:pPr>
        <w:pStyle w:val="ProductList-Body"/>
      </w:pPr>
      <w:r>
        <w:t>Wenn ein Kunde einzelne Microsoft Azure-Dienste als Microsoft Azure-Dienstplan abonniert, können für diese eine andere Programmverfügbarkeit</w:t>
      </w:r>
      <w:r>
        <w:t xml:space="preserve">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14EF" w:rsidRDefault="006514EF">
            <w:pPr>
              <w:pStyle w:val="PURBreadcrumb"/>
            </w:pPr>
          </w:p>
          <w:tbl>
            <w:tblPr>
              <w:tblW w:w="0" w:type="dxa"/>
              <w:tblLook w:val="04A0" w:firstRow="1" w:lastRow="0" w:firstColumn="1" w:lastColumn="0" w:noHBand="0" w:noVBand="1"/>
            </w:tblPr>
            <w:tblGrid>
              <w:gridCol w:w="10684"/>
            </w:tblGrid>
            <w:tr w:rsidR="006514EF">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TableBody"/>
            </w:pPr>
          </w:p>
        </w:tc>
      </w:tr>
    </w:tbl>
    <w:p w:rsidR="006514EF" w:rsidRDefault="00DD50AA">
      <w:pPr>
        <w:pStyle w:val="ProductList-Offering2HeadingNoBorder"/>
        <w:outlineLvl w:val="2"/>
      </w:pPr>
      <w:bookmarkStart w:id="235" w:name="_Sec626"/>
      <w:r>
        <w:t>Microsoft Azure-Support (Plan)</w:t>
      </w:r>
      <w:bookmarkEnd w:id="235"/>
      <w:r>
        <w:fldChar w:fldCharType="begin"/>
      </w:r>
      <w:r>
        <w:instrText xml:space="preserve"> TC "</w:instrText>
      </w:r>
      <w:bookmarkStart w:id="236" w:name="_Toc439056334"/>
      <w:r>
        <w:instrText>Microsoft Azure-Support (Plan)</w:instrText>
      </w:r>
      <w:bookmarkEnd w:id="236"/>
      <w:r>
        <w:instrText>" \l 3</w:instrText>
      </w:r>
      <w:r>
        <w:fldChar w:fldCharType="end"/>
      </w:r>
    </w:p>
    <w:p w:rsidR="006514EF" w:rsidRDefault="00DD50AA">
      <w:pPr>
        <w:pStyle w:val="ProductList-Offering1SubSection"/>
        <w:outlineLvl w:val="3"/>
      </w:pPr>
      <w:bookmarkStart w:id="237" w:name="_Sec706"/>
      <w:r>
        <w:t>1. Programmverfügbarkeit</w:t>
      </w:r>
      <w:bookmarkEnd w:id="237"/>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w:instrText>
            </w:r>
            <w:r>
              <w:instrText xml:space="preserve">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w:instrText>
            </w:r>
            <w:r>
              <w:instrText xml:space="preserve">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w:instrText>
            </w:r>
            <w:r>
              <w:instrText xml:space="preserve">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38" w:name="_Sec761"/>
      <w:r>
        <w:t xml:space="preserve">2. </w:t>
      </w:r>
      <w:r>
        <w:t>Produktbedingungen</w:t>
      </w:r>
      <w:bookmarkEnd w:id="23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w:instrText>
            </w:r>
            <w:r>
              <w:instrText xml:space="preserve">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w:instrText>
            </w:r>
            <w:r>
              <w:instrText xml:space="preserve">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Microsoft Azure-Supportangebote</w:t>
      </w:r>
    </w:p>
    <w:p w:rsidR="006514EF" w:rsidRDefault="00DD50AA">
      <w:pPr>
        <w:pStyle w:val="ProductList-Body"/>
      </w:pPr>
      <w:r>
        <w:t xml:space="preserve">Einzelheiten zu Supportangeboten für Microsoft Azure sind unter </w:t>
      </w:r>
      <w:hyperlink r:id="rId96">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14EF" w:rsidRDefault="006514EF">
            <w:pPr>
              <w:pStyle w:val="PURBreadcrumb"/>
            </w:pPr>
          </w:p>
          <w:tbl>
            <w:tblPr>
              <w:tblW w:w="0" w:type="dxa"/>
              <w:tblLook w:val="04A0" w:firstRow="1" w:lastRow="0" w:firstColumn="1" w:lastColumn="0" w:noHBand="0" w:noVBand="1"/>
            </w:tblPr>
            <w:tblGrid>
              <w:gridCol w:w="10684"/>
            </w:tblGrid>
            <w:tr w:rsidR="006514EF">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TableBody"/>
            </w:pPr>
          </w:p>
        </w:tc>
      </w:tr>
    </w:tbl>
    <w:p w:rsidR="006514EF" w:rsidRDefault="00DD50AA">
      <w:pPr>
        <w:pStyle w:val="ProductList-Offering2HeadingNoBorder"/>
        <w:outlineLvl w:val="2"/>
      </w:pPr>
      <w:bookmarkStart w:id="239" w:name="_Sec628"/>
      <w:r>
        <w:t>Microsoft Azure-Standortwiederherstellung (Plan)</w:t>
      </w:r>
      <w:bookmarkEnd w:id="239"/>
      <w:r>
        <w:fldChar w:fldCharType="begin"/>
      </w:r>
      <w:r>
        <w:instrText xml:space="preserve"> TC "</w:instrText>
      </w:r>
      <w:bookmarkStart w:id="240" w:name="_Toc439056335"/>
      <w:r>
        <w:instrText>Microsoft Azure-Standortwiederherstellung (Plan)</w:instrText>
      </w:r>
      <w:bookmarkEnd w:id="240"/>
      <w:r>
        <w:instrText>" \l 3</w:instrText>
      </w:r>
      <w:r>
        <w:fldChar w:fldCharType="end"/>
      </w:r>
    </w:p>
    <w:p w:rsidR="006514EF" w:rsidRDefault="00DD50AA">
      <w:pPr>
        <w:pStyle w:val="ProductList-Offering1SubSection"/>
        <w:outlineLvl w:val="3"/>
      </w:pPr>
      <w:bookmarkStart w:id="241" w:name="_Sec708"/>
      <w:r>
        <w:t>1. Programmverfügbarkeit</w:t>
      </w:r>
      <w:bookmarkEnd w:id="241"/>
    </w:p>
    <w:p w:rsidR="006514EF" w:rsidRDefault="006514EF">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Microsoft Azure-Standortwiederherstellung</w:t>
            </w:r>
            <w:r>
              <w:fldChar w:fldCharType="begin"/>
            </w:r>
            <w:r>
              <w:instrText xml:space="preserve"> XE "</w:instrText>
            </w:r>
            <w:r>
              <w:instrText xml:space="preserve">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42" w:name="_Sec763"/>
      <w:r>
        <w:t>2. Produktbedingungen</w:t>
      </w:r>
      <w:bookmarkEnd w:id="24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w:t>
            </w:r>
            <w:r>
              <w:rPr>
                <w:color w:val="404040"/>
              </w:rPr>
              <w:t>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w:instrText>
            </w:r>
            <w:r>
              <w:instrText xml:space="preserve">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w:t>
            </w:r>
            <w:r>
              <w:rPr>
                <w:color w:val="404040"/>
              </w:rPr>
              <w:t>ch Studenten: n. z.</w:t>
            </w:r>
          </w:p>
        </w:tc>
      </w:tr>
    </w:tbl>
    <w:p w:rsidR="006514EF" w:rsidRDefault="006514EF">
      <w:pPr>
        <w:pStyle w:val="ProductList-Body"/>
      </w:pPr>
    </w:p>
    <w:p w:rsidR="006514EF" w:rsidRDefault="00DD50AA">
      <w:pPr>
        <w:pStyle w:val="ProductList-ClauseHeading"/>
        <w:outlineLvl w:val="4"/>
      </w:pPr>
      <w:r>
        <w:t>2.1 Anfangsmenge</w:t>
      </w:r>
    </w:p>
    <w:p w:rsidR="006514EF" w:rsidRDefault="00DD50AA">
      <w:pPr>
        <w:pStyle w:val="ProductList-Body"/>
      </w:pPr>
      <w:r>
        <w:t xml:space="preserve">Jede Bestellung von Azure-Standortwiederherstellung als Microsoft Azure-Dienstplan umfasst den Kauf einer Anfangsmenge. Übersteigt die Nutzung des Kunden die Anfangsmenge, wird diese ihm zu Nutzungsabhängigen Preisen </w:t>
      </w:r>
      <w:r>
        <w:t>in Rechnung gestellt. Nutzung, die über die Anfangsmenge hinausgeht, kann mit Finanzieller Verpflichtung bezahlt werden.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43" w:name="_Sec657"/>
      <w:r>
        <w:t xml:space="preserve">Enterprise </w:t>
      </w:r>
      <w:r>
        <w:t>Mobility Suite (Plan)</w:t>
      </w:r>
      <w:bookmarkEnd w:id="243"/>
      <w:r>
        <w:fldChar w:fldCharType="begin"/>
      </w:r>
      <w:r>
        <w:instrText xml:space="preserve"> TC "</w:instrText>
      </w:r>
      <w:bookmarkStart w:id="244" w:name="_Toc439056336"/>
      <w:r>
        <w:instrText>Enterprise Mobility Suite (Plan)</w:instrText>
      </w:r>
      <w:bookmarkEnd w:id="244"/>
      <w:r>
        <w:instrText>" \l 3</w:instrText>
      </w:r>
      <w:r>
        <w:fldChar w:fldCharType="end"/>
      </w:r>
    </w:p>
    <w:p w:rsidR="006514EF" w:rsidRDefault="00DD50AA">
      <w:pPr>
        <w:pStyle w:val="ProductList-Offering1SubSection"/>
        <w:outlineLvl w:val="3"/>
      </w:pPr>
      <w:bookmarkStart w:id="245" w:name="_Sec709"/>
      <w:r>
        <w:t>1. Programmverfügbarkeit</w:t>
      </w:r>
      <w:bookmarkEnd w:id="245"/>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w:instrText>
            </w:r>
            <w:r>
              <w:instrText xml:space="preserve">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w:instrText>
            </w:r>
            <w:r>
              <w:instrText xml:space="preserve">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w:instrText>
            </w:r>
            <w:r>
              <w:instrText xml:space="preserve">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46" w:name="_Sec764"/>
      <w:r>
        <w:t>2. Produktbedingungen</w:t>
      </w:r>
      <w:bookmarkEnd w:id="246"/>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w:instrText>
            </w:r>
            <w:r>
              <w:instrText xml:space="preserv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w:instrText>
            </w:r>
            <w:r>
              <w:instrText xml:space="preserve">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w:instrText>
            </w:r>
            <w:r>
              <w:instrText>NoStyle \t "Vergünstigung für Nutzung durch Studenten: bezeichnet die Möglichkeit für Einrichtungen, die ein qualifizierendes Produkt für ihre Organisationsweite Anzahl lizenziert, ein Produkt zur Nutzung durch ihre Studenten ohne zusätzliche Kosten zu liz</w:instrText>
            </w:r>
            <w:r>
              <w:instrText xml:space="preserve">enzieren." </w:instrText>
            </w:r>
            <w:r>
              <w:fldChar w:fldCharType="separate"/>
            </w:r>
            <w:r>
              <w:rPr>
                <w:color w:val="0563C1"/>
              </w:rPr>
              <w:t>Vergünstigung für Nutzung durch Studenten</w:t>
            </w:r>
            <w:r>
              <w:fldChar w:fldCharType="end"/>
            </w:r>
            <w:r>
              <w:t>: Ja</w:t>
            </w:r>
          </w:p>
        </w:tc>
      </w:tr>
    </w:tbl>
    <w:p w:rsidR="006514EF" w:rsidRDefault="006514EF">
      <w:pPr>
        <w:pStyle w:val="ProductList-Body"/>
      </w:pPr>
    </w:p>
    <w:p w:rsidR="006514EF" w:rsidRDefault="00DD50AA">
      <w:pPr>
        <w:pStyle w:val="ProductList-ClauseHeading"/>
        <w:outlineLvl w:val="4"/>
      </w:pPr>
      <w:r>
        <w:t>2.1 Berechtigung zum Erwerb von Add-On-Nutzer-ALs:</w:t>
      </w:r>
    </w:p>
    <w:p w:rsidR="006514EF" w:rsidRDefault="00DD50AA">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w:t>
      </w:r>
      <w:r>
        <w:t>10 ist, müssen die Ergänzende Bestimmungen zu Onlinediensten unterzeichnen.</w:t>
      </w:r>
    </w:p>
    <w:p w:rsidR="006514EF" w:rsidRDefault="006514EF">
      <w:pPr>
        <w:pStyle w:val="ProductList-Body"/>
      </w:pPr>
    </w:p>
    <w:p w:rsidR="006514EF" w:rsidRDefault="00DD50AA">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Add-On-Nutzer-AL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14EF" w:rsidRDefault="00DD50AA">
            <w:pPr>
              <w:pStyle w:val="ProductList-TableBody"/>
            </w:pPr>
            <w:r>
              <w:t>Enterprise Mobility Suite</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Enterprise CAL Suite </w:t>
            </w:r>
            <w:r>
              <w:t>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14EF" w:rsidRDefault="006514EF">
            <w:pPr>
              <w:pStyle w:val="ProductList-TableBody"/>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514EF" w:rsidRDefault="006514EF">
            <w:pPr>
              <w:pStyle w:val="ProductList-TableBody"/>
            </w:pPr>
          </w:p>
        </w:tc>
      </w:tr>
    </w:tbl>
    <w:p w:rsidR="006514EF" w:rsidRDefault="006514EF">
      <w:pPr>
        <w:pStyle w:val="ProductList-Body"/>
      </w:pPr>
    </w:p>
    <w:p w:rsidR="006514EF" w:rsidRDefault="00DD50AA">
      <w:pPr>
        <w:pStyle w:val="ProductList-ClauseHeading"/>
        <w:outlineLvl w:val="4"/>
      </w:pPr>
      <w:r>
        <w:t>2.3 Kaufeinschränkungen für Add-On-Nutzer-</w:t>
      </w:r>
      <w:r>
        <w:t>ALs</w:t>
      </w:r>
    </w:p>
    <w:p w:rsidR="006514EF" w:rsidRDefault="00DD50AA">
      <w:pPr>
        <w:pStyle w:val="ProductList-Body"/>
      </w:pPr>
      <w:r>
        <w:t>Für jede Qualifizierende Lizenz (oder jedes Set von Qualifizierenden Lizenzen) kann nur eine Add-On-Nutzer-AL erworben werden.</w:t>
      </w:r>
    </w:p>
    <w:p w:rsidR="006514EF" w:rsidRDefault="006514EF">
      <w:pPr>
        <w:pStyle w:val="ProductList-Body"/>
      </w:pPr>
    </w:p>
    <w:p w:rsidR="006514EF" w:rsidRDefault="00DD50AA">
      <w:pPr>
        <w:pStyle w:val="ProductList-Body"/>
      </w:pPr>
      <w:r>
        <w:t xml:space="preserve">Kunden können Add-On-Nutzer-ALs für Nutzer oder Nutzer von Geräten, die zwischen True-up-Terminen (d. h. vor dem Erwerb der Qualifizierenden Lizenzen) zur Anzahl der Nutzer oder Geräte des Konzernbeitritts hinzugefügt werden, erwerben, wobei auch hier die </w:t>
      </w:r>
      <w:r>
        <w:t>Beschränkung auf eine Add-On-Nutzer-AL pro Qualifizierender Lizenz (oder Set von Qualifizierenden Lizenzen) gilt.</w:t>
      </w:r>
    </w:p>
    <w:p w:rsidR="006514EF" w:rsidRDefault="006514EF">
      <w:pPr>
        <w:pStyle w:val="ProductList-Body"/>
      </w:pPr>
    </w:p>
    <w:p w:rsidR="006514EF" w:rsidRDefault="00DD50AA">
      <w:pPr>
        <w:pStyle w:val="ProductList-Body"/>
      </w:pPr>
      <w:r>
        <w:t xml:space="preserve">Kunden mit Campus- und School-Vertrag können so viele Nutzer-ALs für Enterprise Mobility Suite für ihre Nutzer erwerben, wie sie Berechtigte </w:t>
      </w:r>
      <w:r>
        <w:t>PCs besitzen, solange die Abdeckung für die qualifizierenden Lizenzen beibehalten wird.</w:t>
      </w:r>
    </w:p>
    <w:p w:rsidR="006514EF" w:rsidRDefault="006514EF">
      <w:pPr>
        <w:pStyle w:val="ProductList-Body"/>
      </w:pPr>
    </w:p>
    <w:p w:rsidR="006514EF" w:rsidRDefault="00DD50AA">
      <w:pPr>
        <w:pStyle w:val="ProductList-ClauseHeading"/>
        <w:outlineLvl w:val="4"/>
      </w:pPr>
      <w:r>
        <w:t>2.4 Berechtigung zum Erwerb von Nutzer-ALs aus SA für Enterprise Mobility Suite</w:t>
      </w:r>
    </w:p>
    <w:p w:rsidR="006514EF" w:rsidRDefault="00DD50AA">
      <w:pPr>
        <w:pStyle w:val="ProductList-Body"/>
      </w:pPr>
      <w:r>
        <w:t>Nutzer-ALs aus SA können für einen Übergang von vollständig bezahlten, zeitlich unbesch</w:t>
      </w:r>
      <w:r>
        <w:t xml:space="preserve">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w:t>
      </w:r>
      <w:r>
        <w:t>rworben werden. Abonnementlizenzen für die Produkte können für den Übergang auch mit einer entsprechenden Nutzer-AL aus SA genutzt werden, sofern die Abonnementlizenz mindestens drei Jahre vor dem Erwerb der Nutzer-AL aus SA erworben wurde. Übergänge unter</w:t>
      </w:r>
      <w:r>
        <w:t xml:space="preserv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Erforderliche CAL Suite Bridge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Core CAL Bridge für Enterprise Mobility Suite </w:t>
            </w:r>
            <w:r>
              <w:rPr>
                <w:vertAlign w:val="superscript"/>
              </w:rPr>
              <w:t>2,3</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w:t>
            </w:r>
            <w:r>
              <w:t>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Bridge für Enterprise Mobility Suite</w:t>
            </w:r>
            <w:r>
              <w:rPr>
                <w:vertAlign w:val="superscript"/>
              </w:rPr>
              <w:t xml:space="preserve"> 2,4</w:t>
            </w:r>
          </w:p>
        </w:tc>
      </w:tr>
    </w:tbl>
    <w:p w:rsidR="006514EF" w:rsidRDefault="00DD50AA">
      <w:pPr>
        <w:pStyle w:val="ProductList-Body"/>
      </w:pPr>
      <w:r>
        <w:rPr>
          <w:i/>
          <w:vertAlign w:val="superscript"/>
        </w:rPr>
        <w:t>1</w:t>
      </w:r>
      <w:r>
        <w:rPr>
          <w:i/>
        </w:rPr>
        <w:t>Zum Jahrestag des Beitritts oder zu Beginn einer neuen Laufzeit des Beitritts zum Kauf verfügbar.</w:t>
      </w:r>
    </w:p>
    <w:p w:rsidR="006514EF" w:rsidRDefault="00DD50AA">
      <w:pPr>
        <w:pStyle w:val="ProductList-Body"/>
      </w:pPr>
      <w:r>
        <w:rPr>
          <w:i/>
          <w:vertAlign w:val="superscript"/>
        </w:rPr>
        <w:t>2</w:t>
      </w:r>
      <w:r>
        <w:rPr>
          <w:i/>
        </w:rPr>
        <w:t>Nur für Erwerb am Jahrestag des Beitritts erforderlich.</w:t>
      </w:r>
    </w:p>
    <w:p w:rsidR="006514EF" w:rsidRDefault="00DD50AA">
      <w:pPr>
        <w:pStyle w:val="ProductList-Body"/>
      </w:pPr>
      <w:r>
        <w:rPr>
          <w:i/>
          <w:vertAlign w:val="superscript"/>
        </w:rPr>
        <w:t>3</w:t>
      </w:r>
      <w:r>
        <w:rPr>
          <w:i/>
        </w:rPr>
        <w:t xml:space="preserve">Der Kauf ist für Nutzer, die auch eine Lizenz für Office 365 (Enterprise &amp; Government E1, E3, E4) haben, nicht erforderlich. </w:t>
      </w:r>
    </w:p>
    <w:p w:rsidR="006514EF" w:rsidRDefault="00DD50AA">
      <w:pPr>
        <w:pStyle w:val="ProductList-Body"/>
      </w:pPr>
      <w:r>
        <w:rPr>
          <w:i/>
          <w:vertAlign w:val="superscript"/>
        </w:rPr>
        <w:t>4</w:t>
      </w:r>
      <w:r>
        <w:rPr>
          <w:i/>
        </w:rPr>
        <w:t>Der Kauf ist für Nutzer, die auch eine Lizenz für Office 365 (Enterprise</w:t>
      </w:r>
      <w:r>
        <w:rPr>
          <w:i/>
        </w:rPr>
        <w:t xml:space="preserve"> &amp; Government E3, E4) haben, nicht erforderlich.</w:t>
      </w:r>
    </w:p>
    <w:p w:rsidR="006514EF" w:rsidRDefault="006514EF">
      <w:pPr>
        <w:pStyle w:val="ProductList-Body"/>
      </w:pPr>
    </w:p>
    <w:p w:rsidR="006514EF" w:rsidRDefault="00DD50AA">
      <w:pPr>
        <w:pStyle w:val="ProductList-ClauseHeading"/>
        <w:outlineLvl w:val="4"/>
      </w:pPr>
      <w:r>
        <w:t>2.5 Übergänge auf Nutzer-ALs aus SA</w:t>
      </w:r>
    </w:p>
    <w:p w:rsidR="006514EF" w:rsidRDefault="00DD50AA">
      <w:pPr>
        <w:pStyle w:val="ProductList-Body"/>
      </w:pPr>
      <w:r>
        <w:t>Bei Übergängen auf Nutzer-ALs aus SA darf nicht mehr als eine Nutzer-AL aus SA pro Qualifizierende Lizenz pro Gerät erworben werden. Als einmalige Ausnahme für Geräte, de</w:t>
      </w:r>
      <w:r>
        <w:t>nen eine Qualifizierende Lizenz zugewiesen wurde und die von mehr als einem Nutzer verwendet werden, kann der Kunde eine Nutzer-AL aus SA für jeden dieser Nutzer erwerben, jedoch nur dann, wenn eine Nutzer-AL aus SA für alle Nutzer aller Qualifizierten Des</w:t>
      </w:r>
      <w:r>
        <w:t>ktops erworben wird.</w:t>
      </w:r>
    </w:p>
    <w:p w:rsidR="006514EF" w:rsidRDefault="006514EF">
      <w:pPr>
        <w:pStyle w:val="ProductList-Body"/>
      </w:pPr>
    </w:p>
    <w:p w:rsidR="006514EF" w:rsidRDefault="00DD50AA">
      <w:pPr>
        <w:pStyle w:val="ProductList-ClauseHeading"/>
        <w:outlineLvl w:val="4"/>
      </w:pPr>
      <w:r>
        <w:t>2.6 Software Assurance-Vergünstigungen für Enterprise Mobility Suite Nutzer-ALs aus SA</w:t>
      </w:r>
    </w:p>
    <w:p w:rsidR="006514EF" w:rsidRDefault="00DD50AA">
      <w:pPr>
        <w:pStyle w:val="ProductList-Body"/>
      </w:pPr>
      <w:r>
        <w:t>Nutzer-ALs aus SA für Enterprise Mobility Suite berechtigen den Kunden zu Software Assurance-Vergünstigungen auf der Grundlage der vom Übergang bet</w:t>
      </w:r>
      <w:r>
        <w:t>roffenen Qualifizierenden Lizenzen.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56337"/>
      <w:r>
        <w:instrText>Azure Active Directory (Plan)</w:instrText>
      </w:r>
      <w:bookmarkEnd w:id="248"/>
      <w:r>
        <w:instrText>" \l 3</w:instrText>
      </w:r>
      <w:r>
        <w:fldChar w:fldCharType="end"/>
      </w:r>
    </w:p>
    <w:p w:rsidR="006514EF" w:rsidRDefault="00DD50AA">
      <w:pPr>
        <w:pStyle w:val="ProductList-Offering1SubSection"/>
        <w:outlineLvl w:val="3"/>
      </w:pPr>
      <w:bookmarkStart w:id="249" w:name="_Sec710"/>
      <w:r>
        <w:t>1. Programmverfügbarkeit</w:t>
      </w:r>
      <w:bookmarkEnd w:id="249"/>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w:instrText>
            </w:r>
            <w:r>
              <w:instrText xml:space="preserve">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w:instrText>
            </w:r>
            <w:r>
              <w:instrText xml:space="preserve">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250" w:name="_Sec765"/>
      <w:r>
        <w:t>2. Produktbedingungen</w:t>
      </w:r>
      <w:bookmarkEnd w:id="25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w:instrText>
            </w:r>
            <w:r>
              <w:instrText xml:space="preserve">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w:instrText>
            </w:r>
            <w:r>
              <w:instrText xml:space="preserve">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w:instrText>
            </w:r>
            <w:r>
              <w:instrText xml:space="preserv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w:instrText>
            </w:r>
            <w:r>
              <w:instrText xml:space="preserve">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"True-up-berechtigt: Hie</w:instrText>
            </w:r>
            <w:r>
              <w:instrText xml:space="preserv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Single Sign-On (SSO)</w:t>
      </w:r>
    </w:p>
    <w:p w:rsidR="006514EF" w:rsidRDefault="00DD50AA">
      <w:pPr>
        <w:pStyle w:val="ProductList-Body"/>
      </w:pPr>
      <w:r>
        <w:t>Kunden von Microsoft Azure Active Directory Basic sind berechtigt, SSO zu nutzen, um bis zu 10 SAAS-Anwendungen/Kundenapps pro Nutzer vorzuintegrieren.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51" w:name="_Sec659"/>
      <w:r>
        <w:t>Azure-Rechteverwaltung (Plan)</w:t>
      </w:r>
      <w:bookmarkEnd w:id="251"/>
      <w:r>
        <w:fldChar w:fldCharType="begin"/>
      </w:r>
      <w:r>
        <w:instrText xml:space="preserve"> TC "</w:instrText>
      </w:r>
      <w:bookmarkStart w:id="252" w:name="_Toc439056338"/>
      <w:r>
        <w:instrText>Azure-Rechteverwaltung (Plan)</w:instrText>
      </w:r>
      <w:bookmarkEnd w:id="252"/>
      <w:r>
        <w:instrText>" \l 3</w:instrText>
      </w:r>
      <w:r>
        <w:fldChar w:fldCharType="end"/>
      </w:r>
    </w:p>
    <w:p w:rsidR="006514EF" w:rsidRDefault="00DD50AA">
      <w:pPr>
        <w:pStyle w:val="ProductList-Offering1SubSection"/>
        <w:outlineLvl w:val="3"/>
      </w:pPr>
      <w:bookmarkStart w:id="253" w:name="_Sec711"/>
      <w:r>
        <w:t>1. Programmverfügbarkeit</w:t>
      </w:r>
      <w:bookmarkEnd w:id="253"/>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w:instrText>
            </w:r>
            <w:r>
              <w:instrText xml:space="preserve">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54" w:name="_Sec766"/>
      <w:r>
        <w:t xml:space="preserve">2. </w:t>
      </w:r>
      <w:r>
        <w:t>Produktbedingungen</w:t>
      </w:r>
      <w:bookmarkEnd w:id="254"/>
    </w:p>
    <w:tbl>
      <w:tblPr>
        <w:tblStyle w:val="PURTable"/>
        <w:tblW w:w="0" w:type="dxa"/>
        <w:tblLook w:val="04A0" w:firstRow="1" w:lastRow="0" w:firstColumn="1" w:lastColumn="0" w:noHBand="0" w:noVBand="1"/>
      </w:tblPr>
      <w:tblGrid>
        <w:gridCol w:w="3636"/>
        <w:gridCol w:w="3557"/>
        <w:gridCol w:w="359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w:t>
            </w:r>
            <w:r>
              <w:rPr>
                <w:color w:val="404040"/>
              </w:rPr>
              <w:t>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w:instrText>
            </w:r>
            <w:r>
              <w:instrText xml:space="preserv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w:instrText>
            </w:r>
            <w:r>
              <w:instrText xml:space="preserve">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w:t>
            </w:r>
            <w:r>
              <w:t>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55" w:name="_Sec660"/>
      <w:r>
        <w:t>Azure RemoteApp (Plan)</w:t>
      </w:r>
      <w:bookmarkEnd w:id="255"/>
      <w:r>
        <w:fldChar w:fldCharType="begin"/>
      </w:r>
      <w:r>
        <w:instrText xml:space="preserve"> TC "</w:instrText>
      </w:r>
      <w:bookmarkStart w:id="256" w:name="_Toc439056339"/>
      <w:r>
        <w:instrText>Azure RemoteApp (Plan)</w:instrText>
      </w:r>
      <w:bookmarkEnd w:id="256"/>
      <w:r>
        <w:instrText>" \l 3</w:instrText>
      </w:r>
      <w:r>
        <w:fldChar w:fldCharType="end"/>
      </w:r>
    </w:p>
    <w:p w:rsidR="006514EF" w:rsidRDefault="00DD50AA">
      <w:pPr>
        <w:pStyle w:val="ProductList-Offering1SubSection"/>
        <w:outlineLvl w:val="3"/>
      </w:pPr>
      <w:bookmarkStart w:id="257" w:name="_Sec712"/>
      <w:r>
        <w:t>1.</w:t>
      </w:r>
      <w:r>
        <w:t xml:space="preserve"> Programmverfügbarkeit</w:t>
      </w:r>
      <w:bookmarkEnd w:id="257"/>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58" w:name="_Sec767"/>
      <w:r>
        <w:t>2. Produktbedingungen</w:t>
      </w:r>
      <w:bookmarkEnd w:id="25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w:instrText>
            </w:r>
            <w:r>
              <w:instrText xml:space="preserv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"True-up-bere</w:instrText>
            </w:r>
            <w:r>
              <w:instrText xml:space="preserv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w:t>
            </w:r>
            <w:r>
              <w:rPr>
                <w:color w:val="404040"/>
              </w:rPr>
              <w:t>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56340"/>
      <w:r>
        <w:instrText>Operations Management Suite (Plan)</w:instrText>
      </w:r>
      <w:bookmarkEnd w:id="260"/>
      <w:r>
        <w:instrText>" \l 3</w:instrText>
      </w:r>
      <w:r>
        <w:fldChar w:fldCharType="end"/>
      </w:r>
    </w:p>
    <w:p w:rsidR="006514EF" w:rsidRDefault="00DD50AA">
      <w:pPr>
        <w:pStyle w:val="ProductList-Offering1SubSection"/>
        <w:outlineLvl w:val="3"/>
      </w:pPr>
      <w:bookmarkStart w:id="261" w:name="_Sec855"/>
      <w:r>
        <w:t>1. Programmverfügbarkeit</w:t>
      </w:r>
      <w:bookmarkEnd w:id="261"/>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w:instrText>
            </w:r>
            <w:r>
              <w:instrText xml:space="preserve">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Add-On für Ope</w:t>
            </w:r>
            <w:r>
              <w:rPr>
                <w:color w:val="000000"/>
              </w:rPr>
              <w:t>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262" w:name="_Sec856"/>
      <w:r>
        <w:t xml:space="preserve">2. </w:t>
      </w:r>
      <w:r>
        <w:t>Produktbedingungen</w:t>
      </w:r>
      <w:bookmarkEnd w:id="26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w:instrText>
            </w:r>
            <w:r>
              <w:instrText xml:space="preserve">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w:instrText>
            </w:r>
            <w:r>
              <w:instrText xml:space="preserve">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"Zur Verringerung </w:instrText>
            </w:r>
            <w:r>
              <w:instrText xml:space="preserve">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w:t>
            </w:r>
            <w:r>
              <w:rPr>
                <w:color w:val="0563C1"/>
              </w:rPr>
              <w:t>igt (SCE)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Add-On-AL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Standard</w:t>
            </w:r>
            <w:r>
              <w:rPr>
                <w:vertAlign w:val="superscript"/>
              </w:rPr>
              <w:t>1</w:t>
            </w:r>
          </w:p>
          <w:p w:rsidR="006514EF" w:rsidRDefault="00DD50A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Add-On für Operations Management Suite Standard Edition</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Suite Datacenter</w:t>
            </w:r>
            <w:r>
              <w:rPr>
                <w:vertAlign w:val="superscript"/>
              </w:rPr>
              <w:t>1</w:t>
            </w:r>
          </w:p>
          <w:p w:rsidR="006514EF" w:rsidRDefault="00DD50A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Add-On für Operations Management Suite Datacenter Edition</w:t>
            </w:r>
          </w:p>
        </w:tc>
      </w:tr>
    </w:tbl>
    <w:p w:rsidR="006514EF" w:rsidRDefault="00DD50AA">
      <w:pPr>
        <w:pStyle w:val="ProductList-Body"/>
      </w:pPr>
      <w:r>
        <w:rPr>
          <w:i/>
          <w:vertAlign w:val="superscript"/>
        </w:rPr>
        <w:t>1</w:t>
      </w:r>
      <w:r>
        <w:rPr>
          <w:i/>
        </w:rPr>
        <w:t>Mit aktiver SA</w:t>
      </w:r>
    </w:p>
    <w:p w:rsidR="006514EF" w:rsidRDefault="006514EF">
      <w:pPr>
        <w:pStyle w:val="ProductList-Body"/>
      </w:pPr>
    </w:p>
    <w:p w:rsidR="006514EF" w:rsidRDefault="00DD50AA">
      <w:pPr>
        <w:pStyle w:val="ProductList-ClauseHeading"/>
        <w:outlineLvl w:val="4"/>
      </w:pPr>
      <w:r>
        <w:t>2.2 Azure-Standortwiederherstellung mit Operations M</w:t>
      </w:r>
      <w:r>
        <w:t>anagement Suite</w:t>
      </w:r>
    </w:p>
    <w:p w:rsidR="006514EF" w:rsidRDefault="00DD50AA">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w:t>
      </w:r>
      <w:r>
        <w:t>estellt. Nutzung, die über die Anfangsmenge hinausgeht, kann mit Finanzieller Verpflichtung bezahlt werden.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63" w:name="_Sec888"/>
      <w:r>
        <w:t xml:space="preserve">Microsoft Multi-Factor </w:t>
      </w:r>
      <w:r>
        <w:t>Authentication (Plan)</w:t>
      </w:r>
      <w:bookmarkEnd w:id="263"/>
      <w:r>
        <w:fldChar w:fldCharType="begin"/>
      </w:r>
      <w:r>
        <w:instrText xml:space="preserve"> TC "</w:instrText>
      </w:r>
      <w:bookmarkStart w:id="264" w:name="_Toc439056341"/>
      <w:r>
        <w:instrText>Microsoft Multi-Factor Authentication (Plan)</w:instrText>
      </w:r>
      <w:bookmarkEnd w:id="264"/>
      <w:r>
        <w:instrText>" \l 3</w:instrText>
      </w:r>
      <w:r>
        <w:fldChar w:fldCharType="end"/>
      </w:r>
    </w:p>
    <w:p w:rsidR="006514EF" w:rsidRDefault="00DD50AA">
      <w:pPr>
        <w:pStyle w:val="ProductList-ClauseHeading"/>
        <w:outlineLvl w:val="3"/>
      </w:pPr>
      <w:bookmarkStart w:id="265" w:name="_Sec889"/>
      <w:r>
        <w:t>1. Programmverfügbarkeit</w:t>
      </w:r>
      <w:bookmarkEnd w:id="265"/>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266" w:name="_Sec890"/>
      <w:r>
        <w:t>2. Produktbedingungen</w:t>
      </w:r>
      <w:bookmarkEnd w:id="266"/>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(SCE): Produkte, bei denen ein Kunde mit Server- und Cloud-Beitritt nach 12 zusammenhängend</w:instrText>
            </w:r>
            <w:r>
              <w:instrText xml:space="preserve">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w:instrText>
            </w:r>
            <w:r>
              <w:instrText xml:space="preserve">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 xml:space="preserve">Vergünstigung für Nutzung durch </w:t>
            </w:r>
            <w:r>
              <w:rPr>
                <w:color w:val="404040"/>
              </w:rPr>
              <w:t>Studenten: n. z.</w:t>
            </w:r>
          </w:p>
        </w:tc>
      </w:tr>
    </w:tbl>
    <w:p w:rsidR="006514EF" w:rsidRDefault="00DD50AA">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56342"/>
      <w:r>
        <w:instrText>Enterprise Cloud Suite</w:instrText>
      </w:r>
      <w:bookmarkEnd w:id="268"/>
      <w:r>
        <w:instrText>" \l 2</w:instrText>
      </w:r>
      <w:r>
        <w:fldChar w:fldCharType="end"/>
      </w:r>
    </w:p>
    <w:p w:rsidR="006514EF" w:rsidRDefault="00DD50AA">
      <w:pPr>
        <w:pStyle w:val="ProductList-Offering1SubSection"/>
        <w:outlineLvl w:val="2"/>
      </w:pPr>
      <w:bookmarkStart w:id="269" w:name="_Sec713"/>
      <w:r>
        <w:t>1. Programmverfügbarkeit</w:t>
      </w:r>
      <w:bookmarkEnd w:id="269"/>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2"/>
      </w:pPr>
      <w:bookmarkStart w:id="270" w:name="_Sec768"/>
      <w:r>
        <w:t>2. Produktbedingungen</w:t>
      </w:r>
      <w:bookmarkEnd w:id="27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w:t>
            </w:r>
            <w:r>
              <w:rPr>
                <w:color w:val="404040"/>
              </w:rPr>
              <w: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w:instrText>
            </w:r>
            <w:r>
              <w:instrText xml:space="preserv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3"/>
      </w:pPr>
      <w:r>
        <w:t>2.1 Add-On-Nutzer-ALs und Nutzer-ALs aus SA</w:t>
      </w:r>
    </w:p>
    <w:p w:rsidR="006514EF" w:rsidRDefault="00DD50AA">
      <w:pPr>
        <w:pStyle w:val="ProductList-Body"/>
      </w:pPr>
      <w:r>
        <w:t>Für den Erwerb einer Add-On-Nutzer-AL für Enterprise Cloud Suite oder einer Nutzer-AL für Enterprise</w:t>
      </w:r>
      <w:r>
        <w:t xml:space="preserv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w:t>
      </w:r>
      <w:r>
        <w:t>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w:t>
      </w:r>
      <w:r>
        <w:t xml:space="preserve"> finden Sie in den Abschnitten „Zusätzliche Informationen“ zu den Komponenten der Enterprise Cloud Suite in den Unterabschnitten zu Add-On-Nutzer-ALs für Enterprise Cloud Suite und Nutzer-ALs aus SA für Enterprise Cloud Suite.</w:t>
      </w:r>
    </w:p>
    <w:p w:rsidR="006514EF" w:rsidRDefault="006514EF">
      <w:pPr>
        <w:pStyle w:val="ProductList-Body"/>
      </w:pPr>
    </w:p>
    <w:p w:rsidR="006514EF" w:rsidRDefault="00DD50AA">
      <w:pPr>
        <w:pStyle w:val="ProductList-ClauseHeading"/>
        <w:outlineLvl w:val="3"/>
      </w:pPr>
      <w:r>
        <w:t>2.2 Übergänge auf Nutzer-ALs</w:t>
      </w:r>
      <w:r>
        <w:t xml:space="preserve"> aus SA</w:t>
      </w:r>
    </w:p>
    <w:p w:rsidR="006514EF" w:rsidRDefault="00DD50AA">
      <w:pPr>
        <w:pStyle w:val="ProductList-Body"/>
      </w:pPr>
      <w:r>
        <w:t>Bei der Umstellung auf Nutzer-ALs aus SA darf der Kunde nicht mehr Nutzer-ALs aus SA erwerben als Qualifizierte Desktops vorhanden sind. Als einmalige Ausnahme kann der Kunde zum Zeitpunkt der Umstellung eine größere Anzahl von Nutzer-ALs aus SA er</w:t>
      </w:r>
      <w:r>
        <w:t>werben, jedoch vorausgesetzt, dass (1) der Kunde die Nutzer-AL aus SA für jeden Nutzer seiner Qualifizierten Desktops erwirbt und (2) der Kunde Geräte nach Bedarf hinzufügt, um die Primären Nutzungsbedingungen im Abschnitt 4.4.1 „Windows-Desktopbetriebssys</w:t>
      </w:r>
      <w:r>
        <w:t>tem“ zu erfüllen.</w:t>
      </w:r>
    </w:p>
    <w:p w:rsidR="006514EF" w:rsidRDefault="006514EF">
      <w:pPr>
        <w:pStyle w:val="ProductList-Body"/>
      </w:pPr>
    </w:p>
    <w:p w:rsidR="006514EF" w:rsidRDefault="00DD50AA">
      <w:pPr>
        <w:pStyle w:val="ProductList-ClauseHeading"/>
        <w:outlineLvl w:val="3"/>
      </w:pPr>
      <w:r>
        <w:t>2.3 Software Assurance-Vergünstigungen für Enterprise Cloud Suite aus SA (Nutzer-ALs)</w:t>
      </w:r>
    </w:p>
    <w:p w:rsidR="006514EF" w:rsidRDefault="00DD50AA">
      <w:pPr>
        <w:pStyle w:val="ProductList-Body"/>
      </w:pPr>
      <w:r>
        <w:t>Enterprise Cloud Suite-Nutzer-ALs aus SA bieten die gleichen Software Assurance-Vergünstigungen wie die Aus SA-Komponenten der Enterprise Cloud Suite-N</w:t>
      </w:r>
      <w:r>
        <w:t>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w:instrText>
      </w:r>
      <w:r>
        <w:instrText xml:space="preserve"> (aus SA)" </w:instrText>
      </w:r>
      <w:r>
        <w:fldChar w:fldCharType="end"/>
      </w:r>
      <w:r>
        <w:t>).</w:t>
      </w:r>
    </w:p>
    <w:p w:rsidR="006514EF" w:rsidRDefault="006514EF">
      <w:pPr>
        <w:pStyle w:val="ProductList-Body"/>
      </w:pPr>
    </w:p>
    <w:p w:rsidR="006514EF" w:rsidRDefault="00DD50AA">
      <w:pPr>
        <w:pStyle w:val="ProductList-ClauseHeading"/>
        <w:outlineLvl w:val="3"/>
      </w:pPr>
      <w:r>
        <w:t>2.4 United States Government Community Cloud-Dienst</w:t>
      </w:r>
    </w:p>
    <w:p w:rsidR="006514EF" w:rsidRDefault="00DD50AA">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NoBorder"/>
        <w:outlineLvl w:val="1"/>
      </w:pPr>
      <w:bookmarkStart w:id="271" w:name="_Sec630"/>
      <w:r>
        <w:t>Microsoft Intune</w:t>
      </w:r>
      <w:bookmarkEnd w:id="271"/>
      <w:r>
        <w:fldChar w:fldCharType="begin"/>
      </w:r>
      <w:r>
        <w:instrText xml:space="preserve"> TC "</w:instrText>
      </w:r>
      <w:bookmarkStart w:id="272" w:name="_Toc439056343"/>
      <w:r>
        <w:instrText>Microsoft Intune</w:instrText>
      </w:r>
      <w:bookmarkEnd w:id="272"/>
      <w:r>
        <w:instrText>" \l 2</w:instrText>
      </w:r>
      <w:r>
        <w:fldChar w:fldCharType="end"/>
      </w:r>
    </w:p>
    <w:p w:rsidR="006514EF" w:rsidRDefault="00DD50AA">
      <w:pPr>
        <w:pStyle w:val="ProductList-Offering1SubSection"/>
        <w:outlineLvl w:val="2"/>
      </w:pPr>
      <w:bookmarkStart w:id="273" w:name="_Sec714"/>
      <w:r>
        <w:t>1. Programmverfügbarkeit</w:t>
      </w:r>
      <w:bookmarkEnd w:id="27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Nutzer-AL für Add-On für Microsoft Intune Extra Storage 1 GB</w:t>
            </w:r>
            <w:r>
              <w:fldChar w:fldCharType="begin"/>
            </w:r>
            <w:r>
              <w:instrText xml:space="preserve"> XE "Nutzer-AL für Add-On für Microsoft Intune Extra Storage 1 GB</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2"/>
      </w:pPr>
      <w:bookmarkStart w:id="274" w:name="_Sec769"/>
      <w:r>
        <w:t>2. Produktbedingungen</w:t>
      </w:r>
      <w:bookmarkEnd w:id="27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w:instrText>
            </w:r>
            <w:r>
              <w:instrText xml:space="preserv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w:instrText>
            </w:r>
            <w:r>
              <w:instrText xml:space="preserve">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 Suite</w:t>
            </w:r>
            <w:r>
              <w:fldChar w:fldCharType="begin"/>
            </w:r>
            <w:r>
              <w:instrText xml:space="preserve"> XE "Enterprise C</w:instrText>
            </w:r>
            <w:r>
              <w:instrText xml:space="preserve">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w:instrText>
            </w:r>
            <w:r>
              <w:instrText xml:space="preserve">e Studenten ohne zusätzliche Kosten zu lizenzieren." </w:instrText>
            </w:r>
            <w:r>
              <w:fldChar w:fldCharType="separate"/>
            </w:r>
            <w:r>
              <w:rPr>
                <w:color w:val="0563C1"/>
              </w:rPr>
              <w:t>Vergünstigung für Nutzung durch Studenten</w:t>
            </w:r>
            <w:r>
              <w:fldChar w:fldCharType="end"/>
            </w:r>
            <w:r>
              <w:t>: Ja</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275" w:name="_Sec631"/>
      <w:r>
        <w:t>Microsoft Dynamics-Onlinedienste</w:t>
      </w:r>
      <w:bookmarkEnd w:id="275"/>
      <w:r>
        <w:fldChar w:fldCharType="begin"/>
      </w:r>
      <w:r>
        <w:instrText xml:space="preserve"> TC "</w:instrText>
      </w:r>
      <w:bookmarkStart w:id="276" w:name="_Toc439056344"/>
      <w:r>
        <w:instrText>Microsoft Dynamics-Onlinedienste</w:instrText>
      </w:r>
      <w:bookmarkEnd w:id="276"/>
      <w:r>
        <w:instrText>" \l 2</w:instrText>
      </w:r>
      <w:r>
        <w:fldChar w:fldCharType="end"/>
      </w:r>
    </w:p>
    <w:p w:rsidR="006514EF" w:rsidRDefault="00DD50AA">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6345"/>
      <w:r>
        <w:instrText>Microsoft Dynamics CRM Online</w:instrText>
      </w:r>
      <w:bookmarkEnd w:id="278"/>
      <w:r>
        <w:instrText>" \l 3</w:instrText>
      </w:r>
      <w:r>
        <w:fldChar w:fldCharType="end"/>
      </w:r>
    </w:p>
    <w:p w:rsidR="006514EF" w:rsidRDefault="00DD50AA">
      <w:pPr>
        <w:pStyle w:val="ProductList-Offering1SubSection"/>
        <w:outlineLvl w:val="3"/>
      </w:pPr>
      <w:bookmarkStart w:id="279" w:name="_Sec715"/>
      <w:r>
        <w:t>1. Programmverfügbarkeit</w:t>
      </w:r>
      <w:bookmarkEnd w:id="279"/>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w:instrText>
            </w:r>
            <w:r>
              <w:instrText xml:space="preserve">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w:instrText>
            </w:r>
            <w:r>
              <w:instrText xml:space="preserve">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Essential für SA</w:t>
            </w:r>
            <w:r>
              <w:fldChar w:fldCharType="begin"/>
            </w:r>
            <w:r>
              <w:instrText xml:space="preserve"> XE "</w:instrText>
            </w:r>
            <w:r>
              <w:instrText xml:space="preserve">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w:instrText>
            </w:r>
            <w:r>
              <w:instrText xml:space="preserve">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w:instrText>
            </w:r>
            <w:r>
              <w:instrText xml:space="preserve">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Professional Add-On für Office 365</w:t>
            </w:r>
            <w:r>
              <w:fldChar w:fldCharType="begin"/>
            </w:r>
            <w:r>
              <w:instrText xml:space="preserve"> XE "</w:instrText>
            </w:r>
            <w:r>
              <w:instrText xml:space="preserve">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w:instrText>
            </w:r>
            <w:r>
              <w:instrText xml:space="preserve">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Professional Add-On für Office 365 für SA</w:t>
            </w:r>
            <w:r>
              <w:fldChar w:fldCharType="begin"/>
            </w:r>
            <w:r>
              <w:instrText xml:space="preserve"> XE "</w:instrText>
            </w:r>
            <w:r>
              <w:instrText xml:space="preserve">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w:instrText>
            </w:r>
            <w:r>
              <w:instrText xml:space="preserve">-Dienst"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w:instrText>
            </w:r>
            <w:r>
              <w:instrText xml:space="preserve">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w:instrText>
            </w:r>
            <w:r>
              <w:instrText xml:space="preserve">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w:instrText>
            </w:r>
            <w:r>
              <w:instrText xml:space="preserve">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Zusätzliche Nichtproduktionsinstanz für Microsoft Dynamics CRM Online</w:t>
            </w:r>
            <w:r>
              <w:fldChar w:fldCharType="begin"/>
            </w:r>
            <w:r>
              <w:instrText xml:space="preserve"> XE "</w:instrText>
            </w:r>
            <w:r>
              <w:instrText xml:space="preserve">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w:instrText>
            </w:r>
            <w:r>
              <w:instrText xml:space="preserve">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Microsoft Dynamics Employee Self Service (Nutzer-AL)</w:t>
            </w:r>
            <w:r>
              <w:fldChar w:fldCharType="begin"/>
            </w:r>
            <w:r>
              <w:instrText xml:space="preserve"> XE "Microsoft Dynamics Employee Self Service (Nutzer-</w:instrText>
            </w:r>
            <w:r>
              <w:instrText xml:space="preserve">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80" w:name="_Sec770"/>
      <w:r>
        <w:t>2. Produktbedingungen</w:t>
      </w:r>
      <w:bookmarkEnd w:id="28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w:t>
            </w:r>
            <w:r>
              <w:rPr>
                <w:color w:val="404040"/>
              </w:rPr>
              <w:t>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w:t>
            </w:r>
            <w:r>
              <w:t>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w:instrText>
            </w:r>
            <w:r>
              <w:instrText>nlinedienst, bei dem ein Kunde mit Konzern-Beitritt, mit Konzern-Abonnement-Beitritt, Microsoft Azure-Beitritt oder mit Beitritt für Bildungslösungen berechtigt ist, Verringerungen bei den Lizenzen oder der Zugewiesenen Jährlichen Verpflichtung einzureiche</w:instrText>
            </w:r>
            <w:r>
              <w:instrText xml:space="preserv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w:instrText>
            </w:r>
            <w:r>
              <w:instrText xml:space="preserve">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w:instrText>
            </w:r>
            <w:r>
              <w:instrText xml:space="preserve">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Add-On-Nutzer-AL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Nutzer-AL für Dynamics CRM Online Essentials für SA</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CAL für Microsoft Dynamics CRM Basic</w:t>
            </w:r>
            <w:r>
              <w:fldChar w:fldCharType="begin"/>
            </w:r>
            <w:r>
              <w:instrText xml:space="preserve"> XE "CAL für Microsoft Dynamics </w:instrText>
            </w:r>
            <w:r>
              <w:instrText xml:space="preserve">CRM Basic" </w:instrText>
            </w:r>
            <w:r>
              <w:fldChar w:fldCharType="end"/>
            </w:r>
            <w:r>
              <w:t xml:space="preserve"> oder</w:t>
            </w:r>
          </w:p>
          <w:p w:rsidR="006514EF" w:rsidRDefault="00DD50AA">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Nutzer-AL für Dynamics CRM Online Basic für SA</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CAL für Microsoft Dynamics CRM Professional</w:t>
            </w:r>
            <w:r>
              <w:fldChar w:fldCharType="begin"/>
            </w:r>
            <w:r>
              <w:instrText xml:space="preserve"> XE "</w:instrText>
            </w:r>
            <w:r>
              <w:instrText xml:space="preserve">CAL für Microsoft Dynamics CRM Professional" </w:instrText>
            </w:r>
            <w:r>
              <w:fldChar w:fldCharType="end"/>
            </w:r>
            <w:r>
              <w:t xml:space="preserve"> oder</w:t>
            </w:r>
          </w:p>
          <w:p w:rsidR="006514EF" w:rsidRDefault="00DD50AA">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Dynamics CRM Online Professional für SA (Nutzer-AL)</w:t>
            </w:r>
          </w:p>
          <w:p w:rsidR="006514EF" w:rsidRDefault="00DD50AA">
            <w:pPr>
              <w:pStyle w:val="ProductList-TableBody"/>
            </w:pPr>
            <w:r>
              <w:t xml:space="preserve">Dynamics CRM Online Enterprise </w:t>
            </w:r>
            <w:r>
              <w:t>für SA (Nutzer-AL)</w:t>
            </w:r>
          </w:p>
        </w:tc>
      </w:tr>
    </w:tbl>
    <w:p w:rsidR="006514EF" w:rsidRDefault="00DD50AA">
      <w:pPr>
        <w:pStyle w:val="ProductList-Body"/>
      </w:pPr>
      <w:r>
        <w:rPr>
          <w:i/>
          <w:vertAlign w:val="superscript"/>
        </w:rPr>
        <w:t>1</w:t>
      </w:r>
      <w:r>
        <w:rPr>
          <w:i/>
        </w:rPr>
        <w:t>Mit aktiver SA</w:t>
      </w:r>
    </w:p>
    <w:p w:rsidR="006514EF" w:rsidRDefault="006514EF">
      <w:pPr>
        <w:pStyle w:val="ProductList-Body"/>
      </w:pPr>
    </w:p>
    <w:p w:rsidR="006514EF" w:rsidRDefault="00DD50AA">
      <w:pPr>
        <w:pStyle w:val="ProductList-ClauseHeading"/>
        <w:outlineLvl w:val="4"/>
      </w:pPr>
      <w:r>
        <w:t>2.2 Campus- und School-Vertrag</w:t>
      </w:r>
    </w:p>
    <w:p w:rsidR="006514EF" w:rsidRDefault="00DD50AA">
      <w:pPr>
        <w:pStyle w:val="ProductList-Body"/>
      </w:pPr>
      <w:r>
        <w:t>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Dynamic</w:t>
      </w:r>
      <w:r>
        <w:t>s CRM Online, die im Rahmen von CA/SA verkauft werden, können für die gesamte Einrichtung oder nur Teile davon erworben werden.</w:t>
      </w:r>
    </w:p>
    <w:p w:rsidR="006514EF" w:rsidRDefault="006514EF">
      <w:pPr>
        <w:pStyle w:val="ProductList-Body"/>
      </w:pPr>
    </w:p>
    <w:p w:rsidR="006514EF" w:rsidRDefault="00DD50AA">
      <w:pPr>
        <w:pStyle w:val="ProductList-ClauseHeading"/>
        <w:outlineLvl w:val="4"/>
      </w:pPr>
      <w:r>
        <w:t>2.3 Microsoft Dynamics CRM Online Professional for Government</w:t>
      </w:r>
    </w:p>
    <w:p w:rsidR="006514EF" w:rsidRDefault="00DD50AA">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6514EF" w:rsidRDefault="006514EF">
      <w:pPr>
        <w:pStyle w:val="ProductList-Body"/>
      </w:pPr>
    </w:p>
    <w:p w:rsidR="006514EF" w:rsidRDefault="00DD50AA">
      <w:pPr>
        <w:pStyle w:val="ProductList-ClauseHeading"/>
        <w:outlineLvl w:val="4"/>
      </w:pPr>
      <w:r>
        <w:t>2.4 Microsoft Dynamics CRM Online-Supportangebote</w:t>
      </w:r>
    </w:p>
    <w:p w:rsidR="006514EF" w:rsidRDefault="00DD50AA">
      <w:pPr>
        <w:pStyle w:val="ProductList-Body"/>
      </w:pPr>
      <w:r>
        <w:t xml:space="preserve">Details zu </w:t>
      </w:r>
      <w:r>
        <w:t xml:space="preserve">den Supportangeboten für Microsoft Dynamics CRM Online sind unter </w:t>
      </w:r>
      <w:hyperlink r:id="rId107">
        <w:r>
          <w:rPr>
            <w:color w:val="00467F"/>
            <w:u w:val="single"/>
          </w:rPr>
          <w:t>http://www.microsoft.com/en-us/dynamics/dynamics-online-support.aspx</w:t>
        </w:r>
      </w:hyperlink>
      <w:r>
        <w:t xml:space="preserve"> verfügbar.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6346"/>
      <w:r>
        <w:instrText>Microsoft Dynamics Marketing</w:instrText>
      </w:r>
      <w:bookmarkEnd w:id="282"/>
      <w:r>
        <w:instrText>" \l 3</w:instrText>
      </w:r>
      <w:r>
        <w:fldChar w:fldCharType="end"/>
      </w:r>
    </w:p>
    <w:p w:rsidR="006514EF" w:rsidRDefault="00DD50AA">
      <w:pPr>
        <w:pStyle w:val="ProductList-Offering1SubSection"/>
        <w:outlineLvl w:val="3"/>
      </w:pPr>
      <w:bookmarkStart w:id="283" w:name="_Sec716"/>
      <w:r>
        <w:t>1. Programmverfügbarkeit</w:t>
      </w:r>
      <w:bookmarkEnd w:id="283"/>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Microsoft Dynamics Marketing Enterprise</w:t>
            </w:r>
            <w:r>
              <w:fldChar w:fldCharType="begin"/>
            </w:r>
            <w:r>
              <w:instrText xml:space="preserve"> XE "Microsoft Dynamics Marketing Enterprise</w:instrText>
            </w:r>
            <w:r>
              <w:instrText xml:space="preserv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Marketing Extra Messages</w:t>
            </w:r>
            <w:r>
              <w:fldChar w:fldCharType="begin"/>
            </w:r>
            <w:r>
              <w:instrText xml:space="preserve"> XE "</w:instrText>
            </w:r>
            <w:r>
              <w:instrText xml:space="preserve">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Microsoft Dynamics Marketing Sales Collaboration</w:t>
            </w:r>
            <w:r>
              <w:fldChar w:fldCharType="begin"/>
            </w:r>
            <w:r>
              <w:instrText xml:space="preserve"> XE "Microsoft Dynamics Marketin</w:instrText>
            </w:r>
            <w:r>
              <w:instrText xml:space="preserve">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none"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84" w:name="_Sec771"/>
      <w:r>
        <w:t>2. Produktbedingungen</w:t>
      </w:r>
      <w:bookmarkEnd w:id="28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w:t>
            </w:r>
            <w:r>
              <w:rPr>
                <w:color w:val="404040"/>
              </w:rPr>
              <w:t>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w:instrText>
            </w:r>
            <w:r>
              <w:instrText xml:space="preserve">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w:t>
            </w:r>
            <w:r>
              <w:rPr>
                <w:color w:val="404040"/>
              </w:rPr>
              <w:t xml:space="preserve">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Microsoft Dynamics Marketing-Supportangebote</w:t>
      </w:r>
    </w:p>
    <w:p w:rsidR="006514EF" w:rsidRDefault="00DD50AA">
      <w:pPr>
        <w:pStyle w:val="ProductList-Body"/>
      </w:pPr>
      <w:r>
        <w:t xml:space="preserve">Details zu den Supportangeboten für Microsoft Dynamics Marketing sind unter </w:t>
      </w:r>
      <w:hyperlink r:id="rId109">
        <w:r>
          <w:rPr>
            <w:color w:val="00467F"/>
            <w:u w:val="single"/>
          </w:rPr>
          <w:t>http://www.microsoft.com/en-us/dynamics/dynamics-online-support.aspx</w:t>
        </w:r>
      </w:hyperlink>
      <w:r>
        <w:t xml:space="preserve"> verfügbar.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6347"/>
      <w:r>
        <w:instrText>Microsoft Social Engagement</w:instrText>
      </w:r>
      <w:bookmarkEnd w:id="286"/>
      <w:r>
        <w:instrText>" \l 3</w:instrText>
      </w:r>
      <w:r>
        <w:fldChar w:fldCharType="end"/>
      </w:r>
    </w:p>
    <w:p w:rsidR="006514EF" w:rsidRDefault="00DD50AA">
      <w:pPr>
        <w:pStyle w:val="ProductList-Offering1SubSection"/>
        <w:outlineLvl w:val="3"/>
      </w:pPr>
      <w:bookmarkStart w:id="287" w:name="_Sec717"/>
      <w:r>
        <w:t>1. Programmverfügbarkeit</w:t>
      </w:r>
      <w:bookmarkEnd w:id="287"/>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w:instrText>
            </w:r>
            <w:r>
              <w:instrText xml:space="preserve">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w:instrText>
            </w:r>
            <w:r>
              <w:instrText xml:space="preserve">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Enhanced Support für Microsoft Social Engagement</w:t>
            </w:r>
            <w:r>
              <w:fldChar w:fldCharType="begin"/>
            </w:r>
            <w:r>
              <w:instrText xml:space="preserve"> XE "</w:instrText>
            </w:r>
            <w:r>
              <w:instrText xml:space="preserve">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288" w:name="_Sec772"/>
      <w:r>
        <w:t>2. Produktbedingungen</w:t>
      </w:r>
      <w:bookmarkEnd w:id="28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w:instrText>
            </w:r>
            <w:r>
              <w:instrText xml:space="preserve">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w:instrText>
            </w:r>
            <w:r>
              <w:instrText>g berechtigt: ein Onlinedienst, bei dem ein Kunde mit Konzern-Beitritt, mit Konzern-Abonnement-Beitritt, Microsoft Azure-Beitritt oder mit Beitritt für Bildungslösungen berechtigt ist, Verringerungen bei den Lizenzen oder der Zugewiesenen Jährlichen Verpfl</w:instrText>
            </w:r>
            <w:r>
              <w:instrText xml:space="preserve">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Add-On-Nutzer-AL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CAL für Microsoft Dynamics CRM Professional</w:t>
            </w:r>
            <w:r>
              <w:fldChar w:fldCharType="begin"/>
            </w:r>
            <w:r>
              <w:instrText xml:space="preserve"> XE "</w:instrText>
            </w:r>
            <w:r>
              <w:instrText xml:space="preserve">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Add-On für Microsoft Social Engagement Professional</w:t>
            </w:r>
          </w:p>
          <w:p w:rsidR="006514EF" w:rsidRDefault="00DD50AA">
            <w:pPr>
              <w:pStyle w:val="ProductList-TableBody"/>
            </w:pPr>
            <w:r>
              <w:t>Microsoft Social Engagement Professional Additional Posts</w:t>
            </w:r>
          </w:p>
          <w:p w:rsidR="006514EF" w:rsidRDefault="00DD50AA">
            <w:pPr>
              <w:pStyle w:val="ProductList-TableBody"/>
            </w:pPr>
            <w:r>
              <w:t>Microsoft Social Engagement Professional Education Additional Posts</w:t>
            </w:r>
          </w:p>
        </w:tc>
      </w:tr>
    </w:tbl>
    <w:p w:rsidR="006514EF" w:rsidRDefault="00DD50AA">
      <w:pPr>
        <w:pStyle w:val="ProductList-Body"/>
      </w:pPr>
      <w:r>
        <w:rPr>
          <w:i/>
          <w:vertAlign w:val="superscript"/>
        </w:rPr>
        <w:t>1</w:t>
      </w:r>
      <w:r>
        <w:rPr>
          <w:i/>
        </w:rPr>
        <w:t>Für jede Qualifizierende Lizenz muss aktive Software Assurance bestehen.</w:t>
      </w:r>
    </w:p>
    <w:p w:rsidR="006514EF" w:rsidRDefault="006514EF">
      <w:pPr>
        <w:pStyle w:val="ProductList-Body"/>
      </w:pPr>
    </w:p>
    <w:p w:rsidR="006514EF" w:rsidRDefault="00DD50AA">
      <w:pPr>
        <w:pStyle w:val="ProductList-ClauseHeading"/>
        <w:outlineLvl w:val="4"/>
      </w:pPr>
      <w:r>
        <w:t>2.2 Microsoft Social Engagement-Supportangebote</w:t>
      </w:r>
    </w:p>
    <w:p w:rsidR="006514EF" w:rsidRDefault="00DD50AA">
      <w:pPr>
        <w:pStyle w:val="ProductList-Body"/>
      </w:pPr>
      <w:r>
        <w:t xml:space="preserve">Details zu den Supportangeboten für Microsoft Social Engagement sind unter </w:t>
      </w:r>
      <w:hyperlink r:id="rId111">
        <w:r>
          <w:rPr>
            <w:color w:val="00467F"/>
            <w:u w:val="single"/>
          </w:rPr>
          <w:t>http://www.microsoft.com/en-us/dynamics/dynamics-online-support.aspx</w:t>
        </w:r>
      </w:hyperlink>
      <w:r>
        <w:t xml:space="preserve"> verfügbar.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89" w:name="_Sec664"/>
      <w:r>
        <w:t>Parature, von Microsoft</w:t>
      </w:r>
      <w:bookmarkEnd w:id="289"/>
      <w:r>
        <w:fldChar w:fldCharType="begin"/>
      </w:r>
      <w:r>
        <w:instrText xml:space="preserve"> TC "</w:instrText>
      </w:r>
      <w:bookmarkStart w:id="290" w:name="_Toc439056348"/>
      <w:r>
        <w:instrText>Parature, von Microsoft</w:instrText>
      </w:r>
      <w:bookmarkEnd w:id="290"/>
      <w:r>
        <w:instrText>" \l 3</w:instrText>
      </w:r>
      <w:r>
        <w:fldChar w:fldCharType="end"/>
      </w:r>
    </w:p>
    <w:p w:rsidR="006514EF" w:rsidRDefault="00DD50AA">
      <w:pPr>
        <w:pStyle w:val="ProductList-Offering1SubSection"/>
        <w:outlineLvl w:val="3"/>
      </w:pPr>
      <w:bookmarkStart w:id="291" w:name="_Sec718"/>
      <w:r>
        <w:t>1. Programmverfügbarkeit</w:t>
      </w:r>
      <w:bookmarkEnd w:id="291"/>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w:instrText>
            </w:r>
            <w:r>
              <w:instrText xml:space="preserve">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Professional Direct Support für Parature</w:t>
            </w:r>
            <w:r>
              <w:fldChar w:fldCharType="begin"/>
            </w:r>
            <w:r>
              <w:instrText xml:space="preserve"> XE "Professional Direct Support für Par</w:instrText>
            </w:r>
            <w:r>
              <w:instrText xml:space="preserve">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292" w:name="_Sec773"/>
      <w:r>
        <w:t>2. Produktbedingungen</w:t>
      </w:r>
      <w:bookmarkEnd w:id="29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w:instrText>
            </w:r>
            <w:r>
              <w:instrText xml:space="preserve">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Supportangebote für Parature</w:t>
      </w:r>
    </w:p>
    <w:p w:rsidR="006514EF" w:rsidRDefault="00DD50AA">
      <w:pPr>
        <w:pStyle w:val="ProductList-Body"/>
      </w:pPr>
      <w:r>
        <w:t xml:space="preserve">Details zu den Supportangeboten für Parature von Microsoft sind unter </w:t>
      </w:r>
      <w:hyperlink r:id="rId113">
        <w:r>
          <w:rPr>
            <w:color w:val="00467F"/>
            <w:u w:val="single"/>
          </w:rPr>
          <w:t>http://www.microsoft.com/en-us/dynamics/dynamics-online-support.aspx</w:t>
        </w:r>
      </w:hyperlink>
      <w:r>
        <w:t xml:space="preserve"> verfügbar.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293" w:name="_Sec632"/>
      <w:r>
        <w:t>Office 365-Dienste</w:t>
      </w:r>
      <w:bookmarkEnd w:id="293"/>
      <w:r>
        <w:fldChar w:fldCharType="begin"/>
      </w:r>
      <w:r>
        <w:instrText xml:space="preserve"> TC "</w:instrText>
      </w:r>
      <w:bookmarkStart w:id="294" w:name="_Toc439056349"/>
      <w:r>
        <w:instrText>Office 365-Dienste</w:instrText>
      </w:r>
      <w:bookmarkEnd w:id="294"/>
      <w:r>
        <w:instrText>" \l 2</w:instrText>
      </w:r>
      <w:r>
        <w:fldChar w:fldCharType="end"/>
      </w:r>
    </w:p>
    <w:p w:rsidR="006514EF" w:rsidRDefault="00DD50AA">
      <w:pPr>
        <w:pStyle w:val="ProductList-Offering2HeadingNoBorder"/>
        <w:outlineLvl w:val="2"/>
      </w:pPr>
      <w:bookmarkStart w:id="295" w:name="_Sec633"/>
      <w:r>
        <w:t>Office 365-Anwendungen</w:t>
      </w:r>
      <w:bookmarkEnd w:id="295"/>
      <w:r>
        <w:fldChar w:fldCharType="begin"/>
      </w:r>
      <w:r>
        <w:instrText xml:space="preserve"> TC "</w:instrText>
      </w:r>
      <w:bookmarkStart w:id="296" w:name="_Toc439056350"/>
      <w:r>
        <w:instrText>Office 365-Anwendungen</w:instrText>
      </w:r>
      <w:bookmarkEnd w:id="296"/>
      <w:r>
        <w:instrText>" \l 3</w:instrText>
      </w:r>
      <w:r>
        <w:fldChar w:fldCharType="end"/>
      </w:r>
    </w:p>
    <w:p w:rsidR="006514EF" w:rsidRDefault="00DD50AA">
      <w:pPr>
        <w:pStyle w:val="ProductList-Offering1SubSection"/>
        <w:outlineLvl w:val="3"/>
      </w:pPr>
      <w:bookmarkStart w:id="297" w:name="_Sec719"/>
      <w:r>
        <w:t>1. Programmverfügbarkeit</w:t>
      </w:r>
      <w:bookmarkEnd w:id="297"/>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ProPlus</w:t>
            </w:r>
            <w:r>
              <w:fldChar w:fldCharType="begin"/>
            </w:r>
            <w:r>
              <w:instrText xml:space="preserve"> XE "Office 365 ProPlus</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w:instrText>
            </w:r>
            <w:r>
              <w:instrText xml:space="preserve">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298" w:name="_Sec774"/>
      <w:r>
        <w:t>2. Produktbedingungen</w:t>
      </w:r>
      <w:bookmarkEnd w:id="29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w:instrText>
            </w:r>
            <w:r>
              <w:instrText xml:space="preserve">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w:t>
            </w:r>
            <w:r>
              <w:t>io Pro for Office 365</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w:instrText>
            </w:r>
            <w:r>
              <w:instrText xml:space="preserve">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w:instrText>
            </w:r>
            <w:r>
              <w:instrText xml:space="preserve">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w:instrText>
            </w:r>
            <w:r>
              <w:instrText xml:space="preserve">r Nutzung durch ihre Studenten ohne zusätzliche Kosten zu lizenzieren." </w:instrText>
            </w:r>
            <w:r>
              <w:fldChar w:fldCharType="separate"/>
            </w:r>
            <w:r>
              <w:rPr>
                <w:color w:val="0563C1"/>
              </w:rPr>
              <w:t>Vergünstigung für Nutzung durch Studenten</w:t>
            </w:r>
            <w:r>
              <w:fldChar w:fldCharType="end"/>
            </w:r>
            <w:r>
              <w:t>: Ja</w:t>
            </w:r>
          </w:p>
        </w:tc>
      </w:tr>
    </w:tbl>
    <w:p w:rsidR="006514EF" w:rsidRDefault="006514EF">
      <w:pPr>
        <w:pStyle w:val="ProductList-Body"/>
      </w:pPr>
    </w:p>
    <w:p w:rsidR="006514EF" w:rsidRDefault="00DD50AA">
      <w:pPr>
        <w:pStyle w:val="ProductList-ClauseHeading"/>
        <w:outlineLvl w:val="4"/>
      </w:pPr>
      <w:r>
        <w:t>2.1 Berechtigung zum Erwerb von Nutzer-ALs aus SA für Office 365-Anwendungen</w:t>
      </w:r>
    </w:p>
    <w:p w:rsidR="006514EF" w:rsidRDefault="00DD50AA">
      <w:pPr>
        <w:pStyle w:val="ProductList-Body"/>
      </w:pPr>
      <w:r>
        <w:t>Nutzer-ALs aus SA können für einen Übergang von vollstän</w:t>
      </w:r>
      <w:r>
        <w:t xml:space="preserve">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w:t>
      </w:r>
      <w:r>
        <w:t>stehenden Tabelle erworben werden.</w:t>
      </w:r>
    </w:p>
    <w:tbl>
      <w:tblPr>
        <w:tblStyle w:val="PURTable"/>
        <w:tblW w:w="0" w:type="dxa"/>
        <w:tblLook w:val="04A0" w:firstRow="1" w:lastRow="0" w:firstColumn="1" w:lastColumn="0" w:noHBand="0" w:noVBand="1"/>
      </w:tblPr>
      <w:tblGrid>
        <w:gridCol w:w="5394"/>
        <w:gridCol w:w="5396"/>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Entsprechende Nutzer-AL von SA</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ProPlus aus SA</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 für Office 365</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 für Office 365</w:t>
            </w:r>
          </w:p>
        </w:tc>
      </w:tr>
    </w:tbl>
    <w:p w:rsidR="006514EF" w:rsidRDefault="006514EF">
      <w:pPr>
        <w:pStyle w:val="ProductList-Body"/>
      </w:pPr>
    </w:p>
    <w:p w:rsidR="006514EF" w:rsidRDefault="00DD50AA">
      <w:pPr>
        <w:pStyle w:val="ProductList-ClauseHeading"/>
        <w:outlineLvl w:val="4"/>
      </w:pPr>
      <w:r>
        <w:t xml:space="preserve">2.2 Kunden, die zuvor die Medienberechtigung mit Remotedesktopdiensten (RDS) für Office 365 Pro Plus, Visio Pro für Office 365 oder Project Pro für Office </w:t>
      </w:r>
      <w:r>
        <w:t>365 angewendet haben</w:t>
      </w:r>
    </w:p>
    <w:p w:rsidR="006514EF" w:rsidRDefault="00DD50AA">
      <w:pPr>
        <w:pStyle w:val="ProductList-Body"/>
      </w:pPr>
      <w:r>
        <w:t>Wenn ein Kunde zuvor eine Kopie der entsprechenden Vor-Ort-Software von 2013 auf einem Netzwerkserver installiert hat, um die Software bei aktivierter RDS-Rolle auf einem Netzwerkserver zu nutzen, ist er berechtigt, dies bis maximal zu</w:t>
      </w:r>
      <w:r>
        <w:t>m 31. März 2016 fortzusetzen. Danach muss er stattdessen die entsprechende Office 365-Software gemäß der Beschreibung im Abschnitt unten mit der Überschrift „Nutzung der Anwendungen auf einem Netzwerkserver oder Microsoft Azure Platform mit Shared Computer</w:t>
      </w:r>
      <w:r>
        <w:t xml:space="preserve"> Activation“ verwenden.</w:t>
      </w:r>
    </w:p>
    <w:p w:rsidR="006514EF" w:rsidRDefault="006514EF">
      <w:pPr>
        <w:pStyle w:val="ProductList-Body"/>
      </w:pPr>
    </w:p>
    <w:p w:rsidR="006514EF" w:rsidRDefault="00DD50AA">
      <w:pPr>
        <w:pStyle w:val="ProductList-ClauseHeading"/>
        <w:outlineLvl w:val="4"/>
      </w:pPr>
      <w:r>
        <w:t>2.3 Medienberechtigung für Office 365 Pro Plus mit Windows To Go-Rechten</w:t>
      </w:r>
    </w:p>
    <w:p w:rsidR="006514EF" w:rsidRDefault="00DD50AA">
      <w:pPr>
        <w:pStyle w:val="ProductList-Body"/>
      </w:pPr>
      <w:r>
        <w:t>Wenn ein Nutzer, dem der Kunde eine Office 365 ProPlus-Lizenz zugewiesen hat, Software unter Windows To Go-Rechten nutzt, ist dieser Nutzer berechtigt, 1) ein</w:t>
      </w:r>
      <w:r>
        <w:t>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w:t>
      </w:r>
      <w:r>
        <w:t xml:space="preserve"> beliebigen Gerät zu verwenden, anstatt eine Kopie der Software, die mit Office 365 ProPlus bereitgestellt wurde, auf einem der fünf gemäß den Nutzungsbestimmungen für Office 365 ProPlus zulässigen Geräte zu installieren. Nach Kündigung des Office 365 ProP</w:t>
      </w:r>
      <w:r>
        <w:t>lus-Abonnements des Kunden muss der Kunde die Software für Office Professional Plus 2013 vom USB-Laufwerk deinstallieren.</w:t>
      </w:r>
    </w:p>
    <w:p w:rsidR="006514EF" w:rsidRDefault="006514EF">
      <w:pPr>
        <w:pStyle w:val="ProductList-Body"/>
      </w:pPr>
    </w:p>
    <w:p w:rsidR="006514EF" w:rsidRDefault="00DD50AA">
      <w:pPr>
        <w:pStyle w:val="ProductList-ClauseHeading"/>
        <w:outlineLvl w:val="4"/>
      </w:pPr>
      <w:r>
        <w:t>2.4 Campus- und School-Vertrag, Beitritt für Bildungslösungen und Open Value Subscriptions – Bildungslösungen</w:t>
      </w:r>
    </w:p>
    <w:p w:rsidR="006514EF" w:rsidRDefault="00DD50AA">
      <w:pPr>
        <w:pStyle w:val="ProductList-Body"/>
      </w:pPr>
      <w:r>
        <w:t>Wenn es sich beim Kunde</w:t>
      </w:r>
      <w:r>
        <w:t>n um eine Einrichtung wie im Campus- und School-Vertrag beschrieben handelt und dieser ein Nutzer-AL-Abonnement für Office 365 ProPlus abschließt, muss er eine Lizenz für jeden Qualifizierten Nutzer in der Organisation der Einrichtung erwerben. Wenn sich d</w:t>
      </w:r>
      <w:r>
        <w:t xml:space="preserve">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6514EF" w:rsidRDefault="006514EF">
      <w:pPr>
        <w:pStyle w:val="ProductList-Body"/>
      </w:pPr>
    </w:p>
    <w:p w:rsidR="006514EF" w:rsidRDefault="00DD50AA">
      <w:pPr>
        <w:pStyle w:val="ProductList-Body"/>
      </w:pPr>
      <w:r>
        <w:t>Einrichtungen, bei denen allen wissenschaftlichen und sonstigen Mitarbeitern Nutzer-ALs für Office 365 ProPlus zugewiesen wurden, sind berechtigt, Office Professional Plus 2013-Software in frei zugänglich</w:t>
      </w:r>
      <w:r>
        <w:t>en Räumlichkeiten oder Bibliotheken innerhalb der Organisation der Einrichtung zu installieren. Die Nutzung der Software unterliegt ansonsten den Lizenzbestimmungen für Office Professional Plus 2013.</w:t>
      </w:r>
    </w:p>
    <w:p w:rsidR="006514EF" w:rsidRDefault="006514EF">
      <w:pPr>
        <w:pStyle w:val="ProductList-Body"/>
      </w:pPr>
    </w:p>
    <w:p w:rsidR="006514EF" w:rsidRDefault="00DD50AA">
      <w:pPr>
        <w:pStyle w:val="ProductList-ClauseHeading"/>
        <w:outlineLvl w:val="4"/>
      </w:pPr>
      <w:r>
        <w:t>2.5 Office Multi Language Pack</w:t>
      </w:r>
    </w:p>
    <w:p w:rsidR="006514EF" w:rsidRDefault="00DD50AA">
      <w:pPr>
        <w:pStyle w:val="ProductList-Body"/>
      </w:pPr>
      <w:r>
        <w:t>Kunden mit einem Abonnem</w:t>
      </w:r>
      <w:r>
        <w:t>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w:t>
      </w:r>
      <w:r>
        <w:t xml:space="preserve"> verwenden dürfen. Das Recht zur Nutzung des Office Multi Language Pack läuft mit Ablauf der Rechte unter der qualifizierenden Office 365-Anwendung ab. </w:t>
      </w:r>
    </w:p>
    <w:p w:rsidR="006514EF" w:rsidRDefault="006514EF">
      <w:pPr>
        <w:pStyle w:val="ProductList-Body"/>
      </w:pPr>
    </w:p>
    <w:p w:rsidR="006514EF" w:rsidRDefault="00DD50AA">
      <w:pPr>
        <w:pStyle w:val="ProductList-ClauseHeading"/>
        <w:outlineLvl w:val="4"/>
      </w:pPr>
      <w:r>
        <w:t>2.6 E-Learning</w:t>
      </w:r>
    </w:p>
    <w:p w:rsidR="006514EF" w:rsidRDefault="00DD50AA">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w:t>
      </w:r>
      <w:r>
        <w:t>us sind berechtigt, auf gehostete Online-E-Learning-Kurse zuzugreifen, die für Office 365 ProPlus-Dienste relevant sind, indem sie sich mit ihren Office 365 ProPlus-Anmeldedaten bei der Onlineschulungs-Website anmelden. Die Nutzung gehosteter E-Learning-Ku</w:t>
      </w:r>
      <w:r>
        <w:t xml:space="preserve">rse durch den Kunden unterliegt den Nutzungsbedingungen der E-Learning-Website. </w:t>
      </w:r>
    </w:p>
    <w:p w:rsidR="006514EF" w:rsidRDefault="006514EF">
      <w:pPr>
        <w:pStyle w:val="ProductList-Body"/>
      </w:pPr>
    </w:p>
    <w:p w:rsidR="006514EF" w:rsidRDefault="00DD50AA">
      <w:pPr>
        <w:pStyle w:val="ProductList-ClauseHeading"/>
        <w:outlineLvl w:val="4"/>
      </w:pPr>
      <w:r>
        <w:t>2.7 Office Online</w:t>
      </w:r>
    </w:p>
    <w:p w:rsidR="006514EF" w:rsidRDefault="00DD50AA">
      <w:pPr>
        <w:pStyle w:val="ProductList-Body"/>
      </w:pPr>
      <w:r>
        <w:t xml:space="preserve">Wenn ein Kunde über eine </w:t>
      </w:r>
      <w:r>
        <w:fldChar w:fldCharType="begin"/>
      </w:r>
      <w:r>
        <w:instrText xml:space="preserve"> AutoTextList   \s NoStyle \t "Lizenz bedeutet das Recht, ein Produkt herunterzuladen, zu installieren, darauf zuzugreifen und es z</w:instrText>
      </w:r>
      <w:r>
        <w:instrText xml:space="preserve">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w:instrText>
      </w:r>
      <w:r>
        <w:instrText xml:space="preserve">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6514EF" w:rsidRDefault="006514EF">
      <w:pPr>
        <w:pStyle w:val="ProductList-Body"/>
      </w:pPr>
    </w:p>
    <w:p w:rsidR="006514EF" w:rsidRDefault="00DD50AA">
      <w:pPr>
        <w:pStyle w:val="ProductList-ClauseHeading"/>
        <w:outlineLvl w:val="4"/>
      </w:pPr>
      <w:r>
        <w:t>2.8 Open Val</w:t>
      </w:r>
      <w:r>
        <w:t>ue Subscription-Migrationszeitraum</w:t>
      </w:r>
    </w:p>
    <w:p w:rsidR="006514EF" w:rsidRDefault="00DD50AA">
      <w:pPr>
        <w:pStyle w:val="ProductList-Body"/>
      </w:pPr>
      <w:r>
        <w:t>Für jede Einheit von Nutzer-ALs für Office 365 ProPlus, Midsize Business, Enterprise E3-E4 oder Education E3-E4, die der Kunde am Tag des Ablaufs seines Open Value Subscription-Vertrages („Datum des Ablaufs“) oder davor a</w:t>
      </w:r>
      <w:r>
        <w:t>ktiviert, ist der Kunde berechtigt, die an ihn im Rahmen eines Open Value Subscription-Vertrages lizenzierte Kopie von Office Standard or Professional Plus weiterhin zu nutzen. Dieses Recht endet 180 Tage nach dem Tag des Ablaufs. Die Nutzung von Office St</w:t>
      </w:r>
      <w:r>
        <w: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w:t>
              </w:r>
              <w:r>
                <w:rPr>
                  <w:color w:val="00467F"/>
                  <w:sz w:val="14"/>
                  <w:u w:val="single"/>
                </w:rPr>
                <w:t>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299" w:name="_Sec634"/>
      <w:r>
        <w:t>Office 365 Suites</w:t>
      </w:r>
      <w:bookmarkEnd w:id="299"/>
      <w:r>
        <w:fldChar w:fldCharType="begin"/>
      </w:r>
      <w:r>
        <w:instrText xml:space="preserve"> TC "</w:instrText>
      </w:r>
      <w:bookmarkStart w:id="300" w:name="_Toc439056351"/>
      <w:r>
        <w:instrText>Office 365 Suites</w:instrText>
      </w:r>
      <w:bookmarkEnd w:id="300"/>
      <w:r>
        <w:instrText>" \l 3</w:instrText>
      </w:r>
      <w:r>
        <w:fldChar w:fldCharType="end"/>
      </w:r>
    </w:p>
    <w:p w:rsidR="006514EF" w:rsidRDefault="00DD50AA">
      <w:pPr>
        <w:pStyle w:val="ProductList-ClauseHeading"/>
        <w:outlineLvl w:val="3"/>
      </w:pPr>
      <w:bookmarkStart w:id="301" w:name="_Sec720"/>
      <w:r>
        <w:t>1. Programmverfügbarkeit</w:t>
      </w:r>
      <w:bookmarkEnd w:id="301"/>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w:instrText>
            </w:r>
            <w:r>
              <w:instrText xml:space="preserve">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Education</w:t>
            </w:r>
            <w:r>
              <w:fldChar w:fldCharType="begin"/>
            </w:r>
            <w:r>
              <w:instrText xml:space="preserve"> XE "</w:instrText>
            </w:r>
            <w:r>
              <w:instrText xml:space="preserve">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w:instrText>
            </w:r>
            <w:r>
              <w:instrText xml:space="preserve">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w:instrText>
            </w:r>
            <w:r>
              <w:instrText xml:space="preserve">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w:instrText>
            </w:r>
            <w:r>
              <w:instrText xml:space="preserve">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w:instrText>
            </w:r>
            <w:r>
              <w:instrText xml:space="preserve">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Office 365 Enterprise E1, E3</w:t>
            </w:r>
            <w:r>
              <w:fldChar w:fldCharType="begin"/>
            </w:r>
            <w:r>
              <w:instrText xml:space="preserve"> XE "Add-On für Office 365 Enterprise E1, E3</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w:instrText>
            </w:r>
            <w:r>
              <w:instrText xml:space="preserve">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02" w:name="_Sec775"/>
      <w:r>
        <w:t>2. Produktbedingungen</w:t>
      </w:r>
      <w:bookmarkEnd w:id="30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w:instrText>
            </w:r>
            <w:r>
              <w:instrText xml:space="preserve">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w:t>
            </w:r>
            <w:r>
              <w:t xml:space="preserve"> K</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w:instrText>
            </w:r>
            <w:r>
              <w:instrText>AutoTextList   \s NoStyle \t "Zur Verringerung berechtigt: ein Onlinedienst, bei dem ein Kunde mit Konzern-Beitritt, mit Konzern-Abonnement-Beitritt, Microsoft Azure-Beitritt oder mit Beitritt für Bildungslösungen berechtigt ist, Verringerungen bei den Liz</w:instrText>
            </w:r>
            <w:r>
              <w:instrText xml:space="preserve">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w:instrText>
            </w:r>
            <w:r>
              <w:instrText xml:space="preserve">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United States Government Community Cloud-Dienst</w:t>
      </w:r>
    </w:p>
    <w:p w:rsidR="006514EF" w:rsidRDefault="00DD50AA">
      <w:pPr>
        <w:pStyle w:val="ProductList-Body"/>
      </w:pPr>
      <w:r>
        <w:rPr>
          <w:color w:val="000000"/>
        </w:rPr>
        <w:t xml:space="preserve">Für in der Programmverfügbarkeit oben mit </w:t>
      </w:r>
      <w:r>
        <w:fldChar w:fldCharType="begin"/>
      </w:r>
      <w:r>
        <w:instrText xml:space="preserve"> AutoTextList   \s NoStyle </w:instrText>
      </w:r>
      <w:r>
        <w:instrText xml:space="preserve">\t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w:instrText>
      </w:r>
      <w:r>
        <w:instrText xml:space="preserve">rnment Community Cloud-Dienst" </w:instrText>
      </w:r>
      <w:r>
        <w:fldChar w:fldCharType="separate"/>
      </w:r>
      <w:r>
        <w:rPr>
          <w:color w:val="0563C1"/>
        </w:rPr>
        <w:t>UC</w:t>
      </w:r>
      <w:r>
        <w:fldChar w:fldCharType="end"/>
      </w:r>
      <w:r>
        <w:t xml:space="preserve">-Dienste handelt. </w:t>
      </w:r>
    </w:p>
    <w:p w:rsidR="006514EF" w:rsidRDefault="006514EF">
      <w:pPr>
        <w:pStyle w:val="ProductList-Body"/>
      </w:pPr>
    </w:p>
    <w:p w:rsidR="006514EF" w:rsidRDefault="00DD50AA">
      <w:pPr>
        <w:pStyle w:val="ProductList-ClauseHeading"/>
        <w:outlineLvl w:val="4"/>
      </w:pPr>
      <w:r>
        <w:t>2.2 Campus- und School-Erwerb</w:t>
      </w:r>
    </w:p>
    <w:p w:rsidR="006514EF" w:rsidRDefault="00DD50AA">
      <w:pPr>
        <w:pStyle w:val="ProductList-Body"/>
      </w:pPr>
      <w:r>
        <w:t>Unter dem Campus- und School-Vertrag müssen Abonnementlizenzen für Office 365-Suites pro Nutzer für die gesamte Einrichtung oder nur Teile davon erworben werden. Wenn wäh</w:t>
      </w:r>
      <w:r>
        <w:t xml:space="preserve">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w:instrText>
      </w:r>
      <w:r>
        <w:instrText xml:space="preserve">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w:t>
      </w:r>
      <w:r>
        <w:t xml:space="preserve">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w:t>
      </w:r>
      <w:r>
        <w:t>ng der Einrichtung, sofern die Jahrestagsbestellung den Mindestanforderungen für Plattform-Onlinedienste entspricht, die in der Volumenlizenzvereinbarung des Kunden dargelegt sind.</w:t>
      </w:r>
    </w:p>
    <w:p w:rsidR="006514EF" w:rsidRDefault="006514EF">
      <w:pPr>
        <w:pStyle w:val="ProductList-Body"/>
      </w:pPr>
    </w:p>
    <w:p w:rsidR="006514EF" w:rsidRDefault="00DD50AA">
      <w:pPr>
        <w:pStyle w:val="ProductList-ClauseHeading"/>
        <w:outlineLvl w:val="4"/>
      </w:pPr>
      <w:r>
        <w:t xml:space="preserve">2.3 Kostenlose Office 365 ProPlus-Lizenzen für Studenten bei Lizenzerwerb </w:t>
      </w:r>
      <w:r>
        <w:t>für alle wissenschaftlichen/sonstigen Mitarbeiter</w:t>
      </w:r>
    </w:p>
    <w:p w:rsidR="006514EF" w:rsidRDefault="00DD50AA">
      <w:pPr>
        <w:pStyle w:val="ProductList-Body"/>
      </w:pPr>
      <w:r>
        <w:t>Wenn eine Einrichtung Lizenzen für Office Professional Plus oder Office 365 ProPlus für alle wissenschaftlichen und sonstigen Mitarbeiter in ihrer definierten Organisation unter einem Open Value-Abonnement-</w:t>
      </w:r>
      <w:r>
        <w:t>Vertrag für Bildungslösungen oder einem Campus- und School-Vertrag oder einem Beitritt für Bildungslösungen erworben hat, so ist die Einrichtung berechtigt, Lizenzen für Office 365 ProPlus für alle Studenten zu erwerben, die in einer Bildungseinrichtung ei</w:t>
      </w:r>
      <w:r>
        <w:t xml:space="preserve">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w:instrText>
      </w:r>
      <w:r>
        <w:instrText xml:space="preserve">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6514EF" w:rsidRDefault="006514EF">
      <w:pPr>
        <w:pStyle w:val="ProductList-Body"/>
      </w:pPr>
    </w:p>
    <w:p w:rsidR="006514EF" w:rsidRDefault="00DD50AA">
      <w:pPr>
        <w:pStyle w:val="ProductList-ClauseHeading"/>
        <w:outlineLvl w:val="4"/>
      </w:pPr>
      <w:r>
        <w:t>2.4 Verwendung in frei zugä</w:t>
      </w:r>
      <w:r>
        <w:t>nglichen Räumlichkeiten oder Bibliotheken nach Campus- und School-Vertrag</w:t>
      </w:r>
    </w:p>
    <w:p w:rsidR="006514EF" w:rsidRDefault="00DD50AA">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w:t>
      </w:r>
      <w:r>
        <w:t>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6514EF" w:rsidRDefault="006514EF">
      <w:pPr>
        <w:pStyle w:val="ProductList-Body"/>
      </w:pPr>
    </w:p>
    <w:p w:rsidR="006514EF" w:rsidRDefault="00DD50AA">
      <w:pPr>
        <w:pStyle w:val="ProductList-ClauseHeading"/>
        <w:outlineLvl w:val="4"/>
      </w:pPr>
      <w:r>
        <w:t>2.5 Qualifizierende Lizenzen für Add-On-Nutze</w:t>
      </w:r>
      <w:r>
        <w:t>r-ALs</w:t>
      </w:r>
    </w:p>
    <w:tbl>
      <w:tblPr>
        <w:tblStyle w:val="PURTable"/>
        <w:tblW w:w="0" w:type="dxa"/>
        <w:tblLook w:val="04A0" w:firstRow="1" w:lastRow="0" w:firstColumn="1" w:lastColumn="0" w:noHBand="0" w:noVBand="1"/>
      </w:tblPr>
      <w:tblGrid>
        <w:gridCol w:w="5381"/>
        <w:gridCol w:w="5409"/>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Add-On-Nutzer-AL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Add-On für Office 365 Enterprise E1</w:t>
            </w:r>
            <w:r>
              <w:rPr>
                <w:vertAlign w:val="superscript"/>
              </w:rPr>
              <w:t>2</w:t>
            </w:r>
          </w:p>
          <w:p w:rsidR="006514EF" w:rsidRDefault="00DD50AA">
            <w:pPr>
              <w:pStyle w:val="ProductList-TableBody"/>
            </w:pPr>
            <w:r>
              <w:t>- Add-On für Office 365 Enterprise E1 mit Exchange Online Archiving</w:t>
            </w:r>
            <w:r>
              <w:rPr>
                <w:vertAlign w:val="superscript"/>
              </w:rPr>
              <w:t>2,3,4</w:t>
            </w:r>
          </w:p>
          <w:p w:rsidR="006514EF" w:rsidRDefault="00DD50AA">
            <w:pPr>
              <w:pStyle w:val="ProductList-TableBody"/>
            </w:pPr>
            <w:r>
              <w:t>- Add-On für Office 365 Government E1</w:t>
            </w:r>
          </w:p>
          <w:p w:rsidR="006514EF" w:rsidRDefault="00DD50AA">
            <w:pPr>
              <w:pStyle w:val="ProductList-TableBody"/>
            </w:pPr>
            <w:r>
              <w:t>- Add-Ons für Office 365 Enterprise und Government E3 ohne ProPlus</w:t>
            </w:r>
          </w:p>
          <w:p w:rsidR="006514EF" w:rsidRDefault="00DD50AA">
            <w:pPr>
              <w:pStyle w:val="ProductList-TableBody"/>
            </w:pPr>
            <w:r>
              <w:t>- Add-Ons für Office 365 Enterprise und Government E4 ohne ProPlus</w:t>
            </w:r>
          </w:p>
          <w:p w:rsidR="006514EF" w:rsidRDefault="00DD50AA">
            <w:pPr>
              <w:pStyle w:val="ProductList-TableBody"/>
            </w:pPr>
            <w:r>
              <w:t>- Add-On für Exchange Online Plan 1</w:t>
            </w:r>
            <w:r>
              <w:fldChar w:fldCharType="begin"/>
            </w:r>
            <w:r>
              <w:instrText xml:space="preserve"> XE "Add-On für Exchange Online Plan 1" </w:instrText>
            </w:r>
            <w:r>
              <w:fldChar w:fldCharType="end"/>
            </w:r>
          </w:p>
          <w:p w:rsidR="006514EF" w:rsidRDefault="00DD50AA">
            <w:pPr>
              <w:pStyle w:val="ProductList-TableBody"/>
            </w:pPr>
            <w:r>
              <w:t xml:space="preserve">- Add-On für Skype for Business Online Plan </w:t>
            </w:r>
            <w:r>
              <w:t>1</w:t>
            </w:r>
            <w:r>
              <w:fldChar w:fldCharType="begin"/>
            </w:r>
            <w:r>
              <w:instrText xml:space="preserve"> XE "Add-On für Skype for Business Online Plan 1" </w:instrText>
            </w:r>
            <w:r>
              <w:fldChar w:fldCharType="end"/>
            </w:r>
          </w:p>
          <w:p w:rsidR="006514EF" w:rsidRDefault="00DD50AA">
            <w:pPr>
              <w:pStyle w:val="ProductList-TableBody"/>
            </w:pPr>
            <w:r>
              <w:t>- Add-On für SharePoint Online Plan 1</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Add-Ons für Office 365 Enterprise E1/Government E1</w:t>
            </w:r>
          </w:p>
          <w:p w:rsidR="006514EF" w:rsidRDefault="00DD50AA">
            <w:pPr>
              <w:pStyle w:val="ProductList-TableBody"/>
            </w:pPr>
            <w:r>
              <w:t>- Add-On für Office 365 Enterprise E3</w:t>
            </w:r>
            <w:r>
              <w:rPr>
                <w:vertAlign w:val="superscript"/>
              </w:rPr>
              <w:t>2</w:t>
            </w:r>
          </w:p>
          <w:p w:rsidR="006514EF" w:rsidRDefault="00DD50AA">
            <w:pPr>
              <w:pStyle w:val="ProductList-TableBody"/>
            </w:pPr>
            <w:r>
              <w:t>- Add-On für Office 365 Gov</w:t>
            </w:r>
            <w:r>
              <w:t>ernment E3</w:t>
            </w:r>
            <w:r>
              <w:rPr>
                <w:vertAlign w:val="superscript"/>
              </w:rPr>
              <w:t>4</w:t>
            </w:r>
          </w:p>
          <w:p w:rsidR="006514EF" w:rsidRDefault="00DD50AA">
            <w:pPr>
              <w:pStyle w:val="ProductList-TableBody"/>
            </w:pPr>
            <w:r>
              <w:t>- Add-Ons für Office 365 Enterprise &amp; Government E4, E5</w:t>
            </w:r>
          </w:p>
          <w:p w:rsidR="006514EF" w:rsidRDefault="00DD50AA">
            <w:pPr>
              <w:pStyle w:val="ProductList-TableBody"/>
            </w:pPr>
            <w:r>
              <w:t>- Add-Ons für Office 365 Enterprise und Government E3 ohne ProPlus</w:t>
            </w:r>
          </w:p>
          <w:p w:rsidR="006514EF" w:rsidRDefault="00DD50AA">
            <w:pPr>
              <w:pStyle w:val="ProductList-TableBody"/>
            </w:pPr>
            <w:r>
              <w:t>- Add-Ons für Office 365 Enterprise und Government E4 ohne ProPlus</w:t>
            </w:r>
          </w:p>
          <w:p w:rsidR="006514EF" w:rsidRDefault="00DD50AA">
            <w:pPr>
              <w:pStyle w:val="ProductList-TableBody"/>
            </w:pPr>
            <w:r>
              <w:t>- Add-On für Office 365 Midsize Business</w:t>
            </w:r>
            <w:r>
              <w:fldChar w:fldCharType="begin"/>
            </w:r>
            <w:r>
              <w:instrText xml:space="preserve"> XE "</w:instrText>
            </w:r>
            <w:r>
              <w:instrText xml:space="preserve">Add-On für Office 365 Midsize Business" </w:instrText>
            </w:r>
            <w:r>
              <w:fldChar w:fldCharType="end"/>
            </w:r>
            <w:r>
              <w:rPr>
                <w:vertAlign w:val="superscript"/>
              </w:rPr>
              <w:t>2</w:t>
            </w:r>
          </w:p>
          <w:p w:rsidR="006514EF" w:rsidRDefault="00DD50AA">
            <w:pPr>
              <w:pStyle w:val="ProductList-TableBody"/>
            </w:pPr>
            <w:r>
              <w:t xml:space="preserve">- Add-On für Exchange Online Plan 1 </w:t>
            </w:r>
          </w:p>
          <w:p w:rsidR="006514EF" w:rsidRDefault="00DD50AA">
            <w:pPr>
              <w:pStyle w:val="ProductList-TableBody"/>
            </w:pPr>
            <w:r>
              <w:t>- Add-On für Skype for Business Online Plan 1</w:t>
            </w:r>
          </w:p>
          <w:p w:rsidR="006514EF" w:rsidRDefault="00DD50AA">
            <w:pPr>
              <w:pStyle w:val="ProductList-TableBody"/>
            </w:pPr>
            <w:r>
              <w:t>- Add-On für SharePoint Online Plan 1</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Add-Ons für Office 365 Enterprise und Gover</w:t>
            </w:r>
            <w:r>
              <w:t>nment E3 ohne ProPlus</w:t>
            </w:r>
          </w:p>
          <w:p w:rsidR="006514EF" w:rsidRDefault="00DD50AA">
            <w:pPr>
              <w:pStyle w:val="ProductList-TableBody"/>
            </w:pPr>
            <w:r>
              <w:t>- Add-Ons für Office 365 Enterprise und Government E4 ohne ProPlus</w:t>
            </w:r>
          </w:p>
          <w:p w:rsidR="006514EF" w:rsidRDefault="00DD50AA">
            <w:pPr>
              <w:pStyle w:val="ProductList-TableBody"/>
            </w:pPr>
            <w:r>
              <w:t>- Add-On für Azure-Rechteverwaltung</w:t>
            </w:r>
            <w:r>
              <w:fldChar w:fldCharType="begin"/>
            </w:r>
            <w:r>
              <w:instrText xml:space="preserve"> XE "Add-On für Azure-Rechteverwaltung" </w:instrText>
            </w:r>
            <w:r>
              <w:fldChar w:fldCharType="end"/>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Add-Ons für Office 365 Enterprise un</w:t>
            </w:r>
            <w:r>
              <w:t>d Government E3</w:t>
            </w:r>
            <w:r>
              <w:rPr>
                <w:vertAlign w:val="superscript"/>
              </w:rPr>
              <w:t>2</w:t>
            </w:r>
            <w:r>
              <w:t>, E4 oder E5</w:t>
            </w:r>
          </w:p>
          <w:p w:rsidR="006514EF" w:rsidRDefault="00DD50AA">
            <w:pPr>
              <w:pStyle w:val="ProductList-TableBody"/>
            </w:pPr>
            <w:r>
              <w:t>- Add-Ons für Office 365 Enterprise und Government E3</w:t>
            </w:r>
            <w:r>
              <w:rPr>
                <w:vertAlign w:val="superscript"/>
              </w:rPr>
              <w:t>2</w:t>
            </w:r>
            <w:r>
              <w:t xml:space="preserve"> oder E4 ohne ProPlus</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 Add-On für Office 365 Midsize Business </w:t>
            </w:r>
            <w:r>
              <w:rPr>
                <w:vertAlign w:val="superscript"/>
              </w:rPr>
              <w:t>2,3</w:t>
            </w:r>
          </w:p>
          <w:p w:rsidR="006514EF" w:rsidRDefault="00DD50AA">
            <w:pPr>
              <w:pStyle w:val="ProductList-TableBody"/>
            </w:pPr>
            <w:r>
              <w:t>- Add-On für Office 365 Enterprise E3</w:t>
            </w:r>
            <w:r>
              <w:rPr>
                <w:vertAlign w:val="superscript"/>
              </w:rPr>
              <w:t>2,3</w:t>
            </w:r>
          </w:p>
        </w:tc>
      </w:tr>
    </w:tbl>
    <w:p w:rsidR="006514EF" w:rsidRDefault="00DD50AA">
      <w:pPr>
        <w:pStyle w:val="ProductList-Body"/>
      </w:pPr>
      <w:r>
        <w:rPr>
          <w:i/>
          <w:vertAlign w:val="superscript"/>
        </w:rPr>
        <w:t>1</w:t>
      </w:r>
      <w:r>
        <w:rPr>
          <w:i/>
        </w:rPr>
        <w:t>1Für jede Qualifizierende Lizenz muss aktive Software Assurance bestehen.</w:t>
      </w:r>
    </w:p>
    <w:p w:rsidR="006514EF" w:rsidRDefault="00DD50AA">
      <w:pPr>
        <w:pStyle w:val="ProductList-Body"/>
      </w:pPr>
      <w:r>
        <w:rPr>
          <w:i/>
          <w:vertAlign w:val="superscript"/>
        </w:rPr>
        <w:t>2</w:t>
      </w:r>
      <w:r>
        <w:rPr>
          <w:i/>
        </w:rPr>
        <w:t>Hierbei handelt es sich um die einzigen für Open Value- und Open Value Subscription-Kunden verfügbaren Angebote.</w:t>
      </w:r>
    </w:p>
    <w:p w:rsidR="006514EF" w:rsidRDefault="00DD50AA">
      <w:pPr>
        <w:pStyle w:val="ProductList-Body"/>
      </w:pPr>
      <w:r>
        <w:rPr>
          <w:i/>
          <w:vertAlign w:val="superscript"/>
        </w:rPr>
        <w:t>3</w:t>
      </w:r>
      <w:r>
        <w:rPr>
          <w:i/>
        </w:rPr>
        <w:t>Diese Add-On-Nutzer-AL kann nur unter einem Open Value-Vertrag (Org</w:t>
      </w:r>
      <w:r>
        <w:rPr>
          <w:i/>
        </w:rPr>
        <w:t>anisationsweit) oder einem Open Value Subscription-Vertrag erworben werden.</w:t>
      </w:r>
    </w:p>
    <w:p w:rsidR="006514EF" w:rsidRDefault="00DD50AA">
      <w:pPr>
        <w:pStyle w:val="ProductList-Body"/>
      </w:pPr>
      <w:r>
        <w:rPr>
          <w:i/>
          <w:vertAlign w:val="superscript"/>
        </w:rPr>
        <w:t>4</w:t>
      </w:r>
      <w:r>
        <w:rPr>
          <w:i/>
        </w:rPr>
        <w:t>Nur Verwaltungseinrichtungen gemäß dem Volumenlizenzvertrag des Kunden sind zum Kauf dieser Add-On-Nutzer-AL berechtigt.</w:t>
      </w:r>
    </w:p>
    <w:p w:rsidR="006514EF" w:rsidRDefault="006514EF">
      <w:pPr>
        <w:pStyle w:val="ProductList-Body"/>
      </w:pPr>
    </w:p>
    <w:p w:rsidR="006514EF" w:rsidRDefault="00DD50AA">
      <w:pPr>
        <w:pStyle w:val="ProductList-Body"/>
      </w:pPr>
      <w:r>
        <w:t>Die Zugriffsrechte von Add-On-Nutzer-ALs (mit Ausnahme des Add-Ons für Office 365 Midsize Business) entsprechen der Qualifizierenden Lizenz und berechtigen den lizenzierten Nutzer zum Zugriff auf dieselben Funktionen der entsprechenden lokalen Serverproduk</w:t>
      </w:r>
      <w:r>
        <w:t xml:space="preserve">te, wie es bei der Qualifizierenden Lizenz von jedem Gerät aus der Fall ist. </w:t>
      </w:r>
    </w:p>
    <w:p w:rsidR="006514EF" w:rsidRDefault="006514EF">
      <w:pPr>
        <w:pStyle w:val="ProductList-Body"/>
      </w:pPr>
    </w:p>
    <w:p w:rsidR="006514EF" w:rsidRDefault="00DD50AA">
      <w:pPr>
        <w:pStyle w:val="ProductList-ClauseHeading"/>
        <w:outlineLvl w:val="4"/>
      </w:pPr>
      <w:r>
        <w:t>2.6 Kaufeinschränkungen</w:t>
      </w:r>
    </w:p>
    <w:p w:rsidR="006514EF" w:rsidRDefault="00DD50AA">
      <w:pPr>
        <w:pStyle w:val="ProductList-Body"/>
      </w:pPr>
      <w:r>
        <w:t xml:space="preserve">Für jede Qualifizierende Lizenz (oder jedes Set von Qualifizierenden Lizenzen) kann nur eine Add-On-Nutzer-AL erworben werden. </w:t>
      </w:r>
    </w:p>
    <w:p w:rsidR="006514EF" w:rsidRDefault="006514EF">
      <w:pPr>
        <w:pStyle w:val="ProductList-Body"/>
      </w:pPr>
    </w:p>
    <w:p w:rsidR="006514EF" w:rsidRDefault="00DD50AA">
      <w:pPr>
        <w:pStyle w:val="ProductList-Body"/>
      </w:pPr>
      <w:r>
        <w:t>Kunden können Add-On-Nut</w:t>
      </w:r>
      <w:r>
        <w:t>zer-ALs für Nutzer oder Geräte, die zwischen True-up-Terminen (d. h. vor dem Erwerb der Qualifizierenden Lizenzen) zur Anzahl der Nutzer oder Geräte des Konzernbeitritts oder zu einem Open Value Subscription-Vertrag hinzugefügt werden, erwerben, wobei auch</w:t>
      </w:r>
      <w:r>
        <w:t xml:space="preserve"> hier die Beschränkung auf eine Add-On-Nutzer-AL pro qualifizierender Lizenz (oder Gruppe von qualifizierenden Lizenzen) gilt.</w:t>
      </w:r>
    </w:p>
    <w:p w:rsidR="006514EF" w:rsidRDefault="006514EF">
      <w:pPr>
        <w:pStyle w:val="ProductList-Body"/>
      </w:pPr>
    </w:p>
    <w:p w:rsidR="006514EF" w:rsidRDefault="00DD50AA">
      <w:pPr>
        <w:pStyle w:val="ProductList-ClauseHeading"/>
        <w:outlineLvl w:val="4"/>
      </w:pPr>
      <w:r>
        <w:t>2.7 Bestimmungen des Volumenlizenzprogramms</w:t>
      </w:r>
    </w:p>
    <w:p w:rsidR="006514EF" w:rsidRDefault="00DD50AA">
      <w:pPr>
        <w:pStyle w:val="ProductList-Body"/>
      </w:pPr>
      <w:r>
        <w:t>Die auf die Nutzer-ALs für die entsprechende Onlinedienste anwendbaren Programmbesti</w:t>
      </w:r>
      <w:r>
        <w:t xml:space="preserve">mmungen gelten auch für die Add-On-Nutzer-ALs, sie gelten allerdings nicht für unter dem Konzernvertrag verfügbaren Übergangsrechte. </w:t>
      </w:r>
    </w:p>
    <w:p w:rsidR="006514EF" w:rsidRDefault="006514EF">
      <w:pPr>
        <w:pStyle w:val="ProductList-Body"/>
      </w:pPr>
    </w:p>
    <w:p w:rsidR="006514EF" w:rsidRDefault="00DD50AA">
      <w:pPr>
        <w:pStyle w:val="ProductList-ClauseHeading"/>
        <w:outlineLvl w:val="4"/>
      </w:pPr>
      <w:r>
        <w:t>2.8 Berechtigung zum Erwerb von Nutzer-ALs aus SA für Office 365</w:t>
      </w:r>
    </w:p>
    <w:p w:rsidR="006514EF" w:rsidRDefault="00DD50AA">
      <w:pPr>
        <w:pStyle w:val="ProductList-Body"/>
      </w:pPr>
      <w:r>
        <w:t>Nutzer-ALs aus SA können für einen Übergang von vollstän</w:t>
      </w:r>
      <w:r>
        <w:t>dig bezahlten, zeitlich unbeschränkten Lizenzen mit aktiver SA für die Qualifizierenden Produkte in der nachstehenden Tabelle erworben werden. Abonnementlizenzen für die Qualifizierenden Produkte können für den Übergang auch mit einer entsprechenden Nutzer</w:t>
      </w:r>
      <w:r>
        <w:t>-AL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1"/>
        <w:gridCol w:w="3604"/>
        <w:gridCol w:w="358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Erforderliche CAL Suite Bridge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w:t>
            </w:r>
            <w:r>
              <w:t>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Bridge for Office 365</w:t>
            </w:r>
            <w:r>
              <w:rPr>
                <w:vertAlign w:val="superscript"/>
              </w:rPr>
              <w:t>2,3</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Bridge für Office 365</w:t>
            </w:r>
            <w:r>
              <w:fldChar w:fldCharType="begin"/>
            </w:r>
            <w:r>
              <w:instrText xml:space="preserve"> XE "</w:instrText>
            </w:r>
            <w:r>
              <w:instrText xml:space="preserve">Enterprise CAL Bridge für Office 365" </w:instrText>
            </w:r>
            <w:r>
              <w:fldChar w:fldCharType="end"/>
            </w:r>
            <w:r>
              <w:rPr>
                <w:vertAlign w:val="superscript"/>
              </w:rPr>
              <w:t>2,3</w:t>
            </w:r>
          </w:p>
        </w:tc>
      </w:tr>
    </w:tbl>
    <w:p w:rsidR="006514EF" w:rsidRDefault="00DD50AA">
      <w:pPr>
        <w:pStyle w:val="ProductList-Body"/>
      </w:pPr>
      <w:r>
        <w:rPr>
          <w:i/>
          <w:vertAlign w:val="superscript"/>
        </w:rPr>
        <w:t>1</w:t>
      </w:r>
      <w:r>
        <w:rPr>
          <w:i/>
        </w:rPr>
        <w:t>Zum Jahrestag des Beitritts oder zu Beginn einer neuen Laufzeit des Beitritts zum Kauf verfügbar.</w:t>
      </w:r>
    </w:p>
    <w:p w:rsidR="006514EF" w:rsidRDefault="00DD50AA">
      <w:pPr>
        <w:pStyle w:val="ProductList-Body"/>
      </w:pPr>
      <w:r>
        <w:rPr>
          <w:i/>
          <w:vertAlign w:val="superscript"/>
        </w:rPr>
        <w:t>2</w:t>
      </w:r>
      <w:r>
        <w:rPr>
          <w:i/>
        </w:rPr>
        <w:t>Nur für Erwerb am Jahrestag des Beitritts erforderlich.</w:t>
      </w:r>
    </w:p>
    <w:p w:rsidR="006514EF" w:rsidRDefault="00DD50AA">
      <w:pPr>
        <w:pStyle w:val="ProductList-Body"/>
      </w:pPr>
      <w:r>
        <w:rPr>
          <w:i/>
          <w:vertAlign w:val="superscript"/>
        </w:rPr>
        <w:t>3</w:t>
      </w:r>
      <w:r>
        <w:rPr>
          <w:i/>
        </w:rPr>
        <w:t>Der Kauf ist für Nutzer, die auch eine Lizenz für Ente</w:t>
      </w:r>
      <w:r>
        <w:rPr>
          <w:i/>
        </w:rPr>
        <w:t>rprise Mobility Suite</w:t>
      </w:r>
      <w:r>
        <w:fldChar w:fldCharType="begin"/>
      </w:r>
      <w:r>
        <w:instrText xml:space="preserve"> XE "Enterprise Mobility Suite" </w:instrText>
      </w:r>
      <w:r>
        <w:fldChar w:fldCharType="end"/>
      </w:r>
      <w:r>
        <w:rPr>
          <w:i/>
        </w:rPr>
        <w:t xml:space="preserve"> haben, nicht erforderlich.</w:t>
      </w:r>
    </w:p>
    <w:p w:rsidR="006514EF" w:rsidRDefault="006514EF">
      <w:pPr>
        <w:pStyle w:val="ProductList-Body"/>
      </w:pPr>
    </w:p>
    <w:p w:rsidR="006514EF" w:rsidRDefault="00DD50AA">
      <w:pPr>
        <w:pStyle w:val="ProductList-Body"/>
      </w:pPr>
      <w:r>
        <w:t>Kunden, die vor dem 1. August 2014 unter einem aktuellen Beitritt Abonnements für die Office 365 Suite lizenziert haben, können bei ihrer nächsten Verlängerung des Beitritt</w:t>
      </w:r>
      <w:r>
        <w:t>s entsprechende Nutzer-ALs aus SA erwerben, um alle jeweiligen Office 365-Nutzer zu lizenzieren, einschließlich der Nutzer, die während der verbleibenden Laufzeit ihres aktuellen Beitritts hinzugefügt werden.</w:t>
      </w:r>
    </w:p>
    <w:p w:rsidR="006514EF" w:rsidRDefault="006514EF">
      <w:pPr>
        <w:pStyle w:val="ProductList-Body"/>
      </w:pPr>
    </w:p>
    <w:p w:rsidR="006514EF" w:rsidRDefault="00DD50AA">
      <w:pPr>
        <w:pStyle w:val="ProductList-ClauseHeading"/>
        <w:outlineLvl w:val="4"/>
      </w:pPr>
      <w:r>
        <w:t>2.9 Umstellungen auf Nutzer-ALs aus SA</w:t>
      </w:r>
    </w:p>
    <w:p w:rsidR="006514EF" w:rsidRDefault="00DD50AA">
      <w:pPr>
        <w:pStyle w:val="ProductList-Body"/>
      </w:pPr>
      <w:r>
        <w:t>Bei der</w:t>
      </w:r>
      <w:r>
        <w:t xml:space="preserve"> Umstellung auf Nutzer-ALs aus SA darf nicht mehr als eine Nutzer-AL aus SA pro Lizenz für einen Qualifizierten Desktop erworben werden. Als einmalige Ausnahme für Geräte, denen Qualifizierende Lizenzen zugewiesen wurde und die von mehr als einem Nutzer ve</w:t>
      </w:r>
      <w:r>
        <w:t>rwendet werden, kann der Kunde eine Nutzer-AL aus SA für jeden dieser Nutzer erwerben, jedoch nur dann, wenn eine Nutzer-AL aus SA für alle Nutzer aller lizenzierten Qualifizierten Desktops erworben wird.</w:t>
      </w:r>
    </w:p>
    <w:p w:rsidR="006514EF" w:rsidRDefault="006514EF">
      <w:pPr>
        <w:pStyle w:val="ProductList-Body"/>
      </w:pPr>
    </w:p>
    <w:p w:rsidR="006514EF" w:rsidRDefault="00DD50AA">
      <w:pPr>
        <w:pStyle w:val="ProductList-ClauseHeading"/>
        <w:outlineLvl w:val="4"/>
      </w:pPr>
      <w:r>
        <w:t>2.10 Software Assurance-Vergünstigungen für Nutzer</w:t>
      </w:r>
      <w:r>
        <w:t>-ALs aus SA für Office 365</w:t>
      </w:r>
    </w:p>
    <w:p w:rsidR="006514EF" w:rsidRDefault="00DD50AA">
      <w:pPr>
        <w:pStyle w:val="ProductList-Body"/>
      </w:pPr>
      <w:r>
        <w:t>Nutzer-ALs aus SA für Office 365 (Enterprise und Government E1, E3, E4) berechtigen den Kunden zu Software Assurance-Vergünstigungen auf der Grundlage der umgestellten Qualifizierenden Produkte.</w:t>
      </w:r>
    </w:p>
    <w:p w:rsidR="006514EF" w:rsidRDefault="006514EF">
      <w:pPr>
        <w:pStyle w:val="ProductList-Body"/>
      </w:pPr>
    </w:p>
    <w:p w:rsidR="006514EF" w:rsidRDefault="00DD50AA">
      <w:pPr>
        <w:pStyle w:val="ProductList-ClauseHeading"/>
        <w:outlineLvl w:val="4"/>
      </w:pPr>
      <w:r>
        <w:t>2.11 Office 365 Enterprise K1</w:t>
      </w:r>
    </w:p>
    <w:p w:rsidR="006514EF" w:rsidRDefault="00DD50AA">
      <w:pPr>
        <w:pStyle w:val="ProductList-Body"/>
      </w:pPr>
      <w:r>
        <w:t>Off</w:t>
      </w:r>
      <w:r>
        <w:t>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w:t>
      </w:r>
      <w:r>
        <w:t xml:space="preserve"> Diese Kunden sind berechtigt, auf Office 365 Enterprise K1 zu migrieren.</w:t>
      </w:r>
    </w:p>
    <w:p w:rsidR="006514EF" w:rsidRDefault="006514EF">
      <w:pPr>
        <w:pStyle w:val="ProductList-Body"/>
      </w:pPr>
    </w:p>
    <w:p w:rsidR="006514EF" w:rsidRDefault="00DD50AA">
      <w:pPr>
        <w:pStyle w:val="ProductList-ClauseHeading"/>
        <w:outlineLvl w:val="4"/>
      </w:pPr>
      <w:r>
        <w:t>2.12 Office Multi Language Pack</w:t>
      </w:r>
    </w:p>
    <w:p w:rsidR="006514EF" w:rsidRDefault="00DD50AA">
      <w:pPr>
        <w:pStyle w:val="ProductList-Body"/>
      </w:pPr>
      <w:r>
        <w:t>Kunden mit einer Office 365 ProPlus umfassenden Office 365 Suite haben die Möglichkeit, die neueste Version des Office Multi Language Pack</w:t>
      </w:r>
      <w:r>
        <w:fldChar w:fldCharType="begin"/>
      </w:r>
      <w:r>
        <w:instrText xml:space="preserve"> XE "</w:instrText>
      </w:r>
      <w:r>
        <w:instrText xml:space="preserve">Office Multi Language Pack" </w:instrText>
      </w:r>
      <w:r>
        <w:fldChar w:fldCharType="end"/>
      </w:r>
      <w:r>
        <w:t xml:space="preserve"> mit Kopien von Desktop-Anwendungssoftware zu verwenden, die sie unter ihrer qualifizierenden Office 365 Suite verwenden dürfen. </w:t>
      </w:r>
    </w:p>
    <w:p w:rsidR="006514EF" w:rsidRDefault="006514EF">
      <w:pPr>
        <w:pStyle w:val="ProductList-Body"/>
      </w:pPr>
    </w:p>
    <w:p w:rsidR="006514EF" w:rsidRDefault="00DD50AA">
      <w:pPr>
        <w:pStyle w:val="ProductList-ClauseHeading"/>
        <w:outlineLvl w:val="4"/>
      </w:pPr>
      <w:r>
        <w:t>2.13 E-Learning</w:t>
      </w:r>
    </w:p>
    <w:p w:rsidR="006514EF" w:rsidRDefault="00DD50AA">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w:t>
      </w:r>
      <w:r>
        <w:t>us sind berechtigt, auf gehostete Online-E-Learning-Kurse zuzugreifen, die für Office 365 ProPlus-Dienste relevant sind, indem sie sich mit ihren Office 365 ProPlus-Anmeldedaten bei der Onlineschulungs-Website anmelden. Die Nutzung gehosteter E-Learning-Ku</w:t>
      </w:r>
      <w:r>
        <w:t>rse durch den Kunden unterliegt den Nutzungsbedingungen der E-Learning-Website.</w:t>
      </w:r>
    </w:p>
    <w:p w:rsidR="006514EF" w:rsidRDefault="006514EF">
      <w:pPr>
        <w:pStyle w:val="ProductList-Body"/>
      </w:pPr>
    </w:p>
    <w:p w:rsidR="006514EF" w:rsidRDefault="00DD50AA">
      <w:pPr>
        <w:pStyle w:val="ProductList-ClauseHeading"/>
        <w:outlineLvl w:val="4"/>
      </w:pPr>
      <w:r>
        <w:t>2.14 Einlösung des Product Keys für Office 365 Midsize Business</w:t>
      </w:r>
    </w:p>
    <w:p w:rsidR="006514EF" w:rsidRDefault="00DD50AA">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w:t>
      </w:r>
      <w:r>
        <w:t>ch können nicht eingelöste Abonnements für ein Nachfolgeprodukt genutzt werden.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6352"/>
      <w:r>
        <w:instrText>Office 365 Customer Lockbo</w:instrText>
      </w:r>
      <w:r>
        <w:instrText>x</w:instrText>
      </w:r>
      <w:bookmarkEnd w:id="304"/>
      <w:r>
        <w:instrText>" \l 3</w:instrText>
      </w:r>
      <w:r>
        <w:fldChar w:fldCharType="end"/>
      </w:r>
    </w:p>
    <w:p w:rsidR="006514EF" w:rsidRDefault="00DD50AA">
      <w:pPr>
        <w:pStyle w:val="ProductList-Offering1SubSection"/>
        <w:outlineLvl w:val="3"/>
      </w:pPr>
      <w:bookmarkStart w:id="305" w:name="_Sec875"/>
      <w:r>
        <w:t>1. Programmverfügbarkeit</w:t>
      </w:r>
      <w:bookmarkEnd w:id="305"/>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w:instrText>
            </w:r>
            <w:r>
              <w:instrText xml:space="preserve">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Office 365 Cus</w:t>
            </w:r>
            <w:r>
              <w:t>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w:instrText>
            </w:r>
            <w:r>
              <w:instrText xml:space="preserve">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6514EF">
      <w:pPr>
        <w:pStyle w:val="ProductList-Body"/>
      </w:pPr>
    </w:p>
    <w:p w:rsidR="006514EF" w:rsidRDefault="00DD50AA">
      <w:pPr>
        <w:pStyle w:val="ProductList-Offering1SubSection"/>
        <w:outlineLvl w:val="3"/>
      </w:pPr>
      <w:bookmarkStart w:id="306" w:name="_Sec876"/>
      <w:r>
        <w:t>2. Produktbedingungen</w:t>
      </w:r>
      <w:bookmarkEnd w:id="306"/>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w:t>
            </w:r>
            <w:r>
              <w:rPr>
                <w:color w:val="0563C1"/>
              </w:rPr>
              <w:t>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56353"/>
      <w:r>
        <w:instrText>Office 365 D</w:instrText>
      </w:r>
      <w:r>
        <w:instrText>elve Analytics</w:instrText>
      </w:r>
      <w:bookmarkEnd w:id="308"/>
      <w:r>
        <w:instrText>" \l 3</w:instrText>
      </w:r>
      <w:r>
        <w:fldChar w:fldCharType="end"/>
      </w:r>
    </w:p>
    <w:p w:rsidR="006514EF" w:rsidRDefault="00DD50AA">
      <w:pPr>
        <w:pStyle w:val="ProductList-Offering1SubSection"/>
        <w:outlineLvl w:val="3"/>
      </w:pPr>
      <w:bookmarkStart w:id="309" w:name="_Sec878"/>
      <w:r>
        <w:t>1. Programmverfügbarkeit</w:t>
      </w:r>
      <w:bookmarkEnd w:id="30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10" w:name="_Sec879"/>
      <w:r>
        <w:t>2. Produktbedingungen</w:t>
      </w:r>
      <w:bookmarkEnd w:id="31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w:instrText>
            </w:r>
            <w:r>
              <w:instrText xml:space="preserve">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w:instrText>
            </w:r>
            <w:r>
              <w:instrText xml:space="preserve">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w:t>
            </w:r>
            <w:r>
              <w:rPr>
                <w:color w:val="404040"/>
              </w:rPr>
              <w:t>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56354"/>
      <w:r>
        <w:instrText>Office 365 Advanced eDiscovery</w:instrText>
      </w:r>
      <w:bookmarkEnd w:id="312"/>
      <w:r>
        <w:instrText>" \l 3</w:instrText>
      </w:r>
      <w:r>
        <w:fldChar w:fldCharType="end"/>
      </w:r>
    </w:p>
    <w:p w:rsidR="006514EF" w:rsidRDefault="00DD50AA">
      <w:pPr>
        <w:pStyle w:val="ProductList-Offering1SubSection"/>
        <w:outlineLvl w:val="3"/>
      </w:pPr>
      <w:bookmarkStart w:id="313" w:name="_Sec881"/>
      <w:r>
        <w:t>1. Programmverfügbarkeit</w:t>
      </w:r>
      <w:bookmarkEnd w:id="313"/>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14" w:name="_Sec882"/>
      <w:r>
        <w:t>2. Produktbedingungen</w:t>
      </w:r>
      <w:bookmarkEnd w:id="31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w:t>
            </w:r>
            <w:r>
              <w:rPr>
                <w:color w:val="404040"/>
              </w:rPr>
              <w:t>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15" w:name="_Sec665"/>
      <w:r>
        <w:t>Exchange Online</w:t>
      </w:r>
      <w:bookmarkEnd w:id="315"/>
      <w:r>
        <w:fldChar w:fldCharType="begin"/>
      </w:r>
      <w:r>
        <w:instrText xml:space="preserve"> TC "</w:instrText>
      </w:r>
      <w:bookmarkStart w:id="316" w:name="_Toc439056355"/>
      <w:r>
        <w:instrText>Exchange Online</w:instrText>
      </w:r>
      <w:bookmarkEnd w:id="316"/>
      <w:r>
        <w:instrText>" \l 3</w:instrText>
      </w:r>
      <w:r>
        <w:fldChar w:fldCharType="end"/>
      </w:r>
    </w:p>
    <w:p w:rsidR="006514EF" w:rsidRDefault="00DD50AA">
      <w:pPr>
        <w:pStyle w:val="ProductList-Offering1SubSection"/>
        <w:outlineLvl w:val="3"/>
      </w:pPr>
      <w:bookmarkStart w:id="317" w:name="_Sec721"/>
      <w:r>
        <w:t>1. Programmverfügbarkeit</w:t>
      </w:r>
      <w:bookmarkEnd w:id="317"/>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w:instrText>
            </w:r>
            <w:r>
              <w:instrText xml:space="preserve">"Konzernvertrag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Exchange Online Plan 1</w:t>
            </w:r>
            <w:r>
              <w:fldChar w:fldCharType="begin"/>
            </w:r>
            <w:r>
              <w:instrText xml:space="preserve"> XE "Exchange Online P</w:instrText>
            </w:r>
            <w:r>
              <w:instrText xml:space="preserve">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Exchange Online Plan 1</w:t>
            </w:r>
            <w:r>
              <w:fldChar w:fldCharType="begin"/>
            </w:r>
            <w:r>
              <w:instrText xml:space="preserve"> XE "Add-On</w:instrText>
            </w:r>
            <w:r>
              <w:instrText xml:space="preserve">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w:instrText>
            </w:r>
            <w:r>
              <w:instrText xml:space="preserve">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w:instrText>
            </w:r>
            <w:r>
              <w:instrText xml:space="preserve">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w:instrText>
            </w:r>
            <w:r>
              <w:instrText xml:space="preserve">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18" w:name="_Sec776"/>
      <w:r>
        <w:t>2. Produktbedingungen</w:t>
      </w:r>
      <w:bookmarkEnd w:id="31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r>
              <w:t xml:space="preserve"> (außer Encryption)</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w:instrText>
            </w:r>
            <w:r>
              <w:instrText xml:space="preserve">dukten durchführen. (Siehe vollständige Definition im Glossar)" </w:instrText>
            </w:r>
            <w:r>
              <w:fldChar w:fldCharType="separate"/>
            </w:r>
            <w:r>
              <w:rPr>
                <w:color w:val="0563C1"/>
              </w:rPr>
              <w:t>Migrationsrechte</w:t>
            </w:r>
            <w:r>
              <w:fldChar w:fldCharType="end"/>
            </w:r>
            <w:r>
              <w:t xml:space="preserve">: </w:t>
            </w:r>
            <w:hyperlink r:id="rId120">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w:instrText>
            </w:r>
            <w:r>
              <w:instrText xml:space="preserve">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Exchange Online-Archivierung für Exchange Server</w:t>
      </w:r>
    </w:p>
    <w:p w:rsidR="006514EF" w:rsidRDefault="00DD50AA">
      <w:pPr>
        <w:pStyle w:val="ProductList-Body"/>
      </w:pPr>
      <w:r>
        <w:t>Exchange Online-Archivierung für Exchange Server ist ein Folge-Onlinedienst für Exchange Hosted Archive</w:t>
      </w:r>
      <w:r>
        <w:fldChar w:fldCharType="begin"/>
      </w:r>
      <w:r>
        <w:instrText xml:space="preserve"> XE "Exchange Hosted Archi</w:instrText>
      </w:r>
      <w:r>
        <w:instrText xml:space="preserve">ve" </w:instrText>
      </w:r>
      <w:r>
        <w:fldChar w:fldCharType="end"/>
      </w:r>
      <w:r>
        <w:t>.</w:t>
      </w:r>
    </w:p>
    <w:p w:rsidR="006514EF" w:rsidRDefault="006514EF">
      <w:pPr>
        <w:pStyle w:val="ProductList-Body"/>
      </w:pPr>
    </w:p>
    <w:p w:rsidR="006514EF" w:rsidRDefault="00DD50AA">
      <w:pPr>
        <w:pStyle w:val="ProductList-ClauseHeading"/>
        <w:outlineLvl w:val="4"/>
      </w:pPr>
      <w:r>
        <w:t>2.2 Exchange Online-Archivierung für Exchange Server A</w:t>
      </w:r>
    </w:p>
    <w:p w:rsidR="006514EF" w:rsidRDefault="00DD50AA">
      <w:pPr>
        <w:pStyle w:val="ProductList-Body"/>
      </w:pPr>
      <w:r>
        <w:t>Akademische Einrichtungen mit Beitritt für Bildungslösungen oder Open Value-Abonnement-Vertrag für Bildungslösungen, die für ihre organisationsweite Anzahl und Anzahl für Studenten für Enterpr</w:t>
      </w:r>
      <w:r>
        <w:t>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w:t>
      </w:r>
      <w:r>
        <w:t xml:space="preserve">deckt sind. </w:t>
      </w:r>
    </w:p>
    <w:p w:rsidR="006514EF" w:rsidRDefault="006514EF">
      <w:pPr>
        <w:pStyle w:val="ProductList-Body"/>
      </w:pPr>
    </w:p>
    <w:p w:rsidR="006514EF" w:rsidRDefault="00DD50AA">
      <w:pPr>
        <w:pStyle w:val="ProductList-ClauseHeading"/>
        <w:outlineLvl w:val="4"/>
      </w:pPr>
      <w:r>
        <w:t>2.3 Exchange Online Protection</w:t>
      </w:r>
    </w:p>
    <w:p w:rsidR="006514EF" w:rsidRDefault="00DD50AA">
      <w:pPr>
        <w:pStyle w:val="ProductList-Body"/>
      </w:pPr>
      <w:r>
        <w:t>Da dieser Onlinedienst nach Domäne bereitgestellt wird, muss der Kunde allen Nutzern in einer Domäne (oder Unterdomäne) Nutzer-ALs zuweisen.</w:t>
      </w:r>
    </w:p>
    <w:p w:rsidR="006514EF" w:rsidRDefault="006514EF">
      <w:pPr>
        <w:pStyle w:val="ProductList-Body"/>
      </w:pPr>
    </w:p>
    <w:p w:rsidR="006514EF" w:rsidRDefault="00DD50AA">
      <w:pPr>
        <w:pStyle w:val="ProductList-Body"/>
      </w:pPr>
      <w:r>
        <w:t xml:space="preserve">Akademische Einrichtungen, die für Enterprise CAL Suite oder </w:t>
      </w:r>
      <w:r>
        <w:t>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w:t>
      </w:r>
      <w:r>
        <w:t xml:space="preserve">r Enterprise CAL Suite oder Exchange Enterprise CAL mit Diensten. </w:t>
      </w:r>
    </w:p>
    <w:p w:rsidR="006514EF" w:rsidRDefault="006514EF">
      <w:pPr>
        <w:pStyle w:val="ProductList-Body"/>
      </w:pPr>
    </w:p>
    <w:p w:rsidR="006514EF" w:rsidRDefault="00DD50AA">
      <w:pPr>
        <w:pStyle w:val="ProductList-ClauseHeading"/>
        <w:outlineLvl w:val="4"/>
      </w:pPr>
      <w:r>
        <w:t>2.4 Voraussetzung: Add-On-Nutzer-ALs</w:t>
      </w:r>
    </w:p>
    <w:p w:rsidR="006514EF" w:rsidRDefault="00DD50AA">
      <w:pPr>
        <w:pStyle w:val="ProductList-Body"/>
      </w:pPr>
      <w:r>
        <w:t xml:space="preserve">Informationen zu Add-Ons erhalten Sie unter „Add-On-Nutzer-ALs“ im Abschnitt </w:t>
      </w:r>
      <w:hyperlink w:anchor="_Sec634">
        <w:r>
          <w:rPr>
            <w:color w:val="00467F"/>
            <w:u w:val="single"/>
          </w:rPr>
          <w:t>Office 365 Suites</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56356"/>
      <w:r>
        <w:instrText>OneDrive for Business</w:instrText>
      </w:r>
      <w:bookmarkEnd w:id="320"/>
      <w:r>
        <w:instrText>" \l 3</w:instrText>
      </w:r>
      <w:r>
        <w:fldChar w:fldCharType="end"/>
      </w:r>
    </w:p>
    <w:p w:rsidR="006514EF" w:rsidRDefault="00DD50AA">
      <w:pPr>
        <w:pStyle w:val="ProductList-Offering1SubSection"/>
        <w:outlineLvl w:val="3"/>
      </w:pPr>
      <w:bookmarkStart w:id="321" w:name="_Sec722"/>
      <w:r>
        <w:t>1. Programmverfügbarkeit</w:t>
      </w:r>
      <w:bookmarkEnd w:id="321"/>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nstrText>
            </w:r>
            <w:r>
              <w:instrText xml:space="preserv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w:instrText>
            </w:r>
            <w:r>
              <w:instrText xml:space="preserve">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w:instrText>
            </w:r>
            <w:r>
              <w:instrText xml:space="preserve">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none" w:sz="4" w:space="0" w:color="BFBFBF"/>
              <w:left w:val="none" w:sz="4" w:space="0" w:color="6E6E6E"/>
              <w:bottom w:val="none" w:sz="4" w:space="0" w:color="BFBFBF"/>
              <w:right w:val="none" w:sz="4" w:space="0" w:color="6E6E6E"/>
            </w:tcBorders>
          </w:tcPr>
          <w:p w:rsidR="006514EF" w:rsidRDefault="00DD50AA">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22" w:name="_Sec777"/>
      <w:r>
        <w:t>2. Produktbedingungen</w:t>
      </w:r>
      <w:bookmarkEnd w:id="32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w:t>
            </w:r>
            <w:r>
              <w:rPr>
                <w:color w:val="404040"/>
              </w:rPr>
              <w:t>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w:instrText>
            </w:r>
            <w:r>
              <w:instrText xml:space="preserve">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23" w:name="_Sec667"/>
      <w:r>
        <w:t>Project Online</w:t>
      </w:r>
      <w:bookmarkEnd w:id="323"/>
      <w:r>
        <w:fldChar w:fldCharType="begin"/>
      </w:r>
      <w:r>
        <w:instrText xml:space="preserve"> TC "</w:instrText>
      </w:r>
      <w:bookmarkStart w:id="324" w:name="_Toc439056357"/>
      <w:r>
        <w:instrText>Project Online</w:instrText>
      </w:r>
      <w:bookmarkEnd w:id="324"/>
      <w:r>
        <w:instrText>" \l 3</w:instrText>
      </w:r>
      <w:r>
        <w:fldChar w:fldCharType="end"/>
      </w:r>
    </w:p>
    <w:p w:rsidR="006514EF" w:rsidRDefault="00DD50AA">
      <w:pPr>
        <w:pStyle w:val="ProductList-Offering1SubSection"/>
        <w:outlineLvl w:val="3"/>
      </w:pPr>
      <w:bookmarkStart w:id="325" w:name="_Sec723"/>
      <w:r>
        <w:t>1. Programmverfügbarkeit</w:t>
      </w:r>
      <w:bookmarkEnd w:id="325"/>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26" w:name="_Sec778"/>
      <w:r>
        <w:t>2. Produktbedingungen</w:t>
      </w:r>
      <w:bookmarkEnd w:id="326"/>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w:instrText>
            </w:r>
            <w:r>
              <w:instrText xml:space="preserv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"Übergangsberechtigt: Hierunter fallen </w:instrText>
            </w:r>
            <w:r>
              <w:instrText xml:space="preserve">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w:instrText>
            </w:r>
            <w:r>
              <w:instrText xml:space="preserve">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27" w:name="_Sec668"/>
      <w:r>
        <w:t>SharePoint Online</w:t>
      </w:r>
      <w:bookmarkEnd w:id="327"/>
      <w:r>
        <w:fldChar w:fldCharType="begin"/>
      </w:r>
      <w:r>
        <w:instrText xml:space="preserve"> TC "</w:instrText>
      </w:r>
      <w:bookmarkStart w:id="328" w:name="_Toc439056358"/>
      <w:r>
        <w:instrText>SharePoint Online</w:instrText>
      </w:r>
      <w:bookmarkEnd w:id="328"/>
      <w:r>
        <w:instrText>" \l 3</w:instrText>
      </w:r>
      <w:r>
        <w:fldChar w:fldCharType="end"/>
      </w:r>
    </w:p>
    <w:p w:rsidR="006514EF" w:rsidRDefault="00DD50AA">
      <w:pPr>
        <w:pStyle w:val="ProductList-Offering1SubSection"/>
        <w:outlineLvl w:val="3"/>
      </w:pPr>
      <w:bookmarkStart w:id="329" w:name="_Sec724"/>
      <w:r>
        <w:t>1. Programmverfügbarkeit</w:t>
      </w:r>
      <w:bookmarkEnd w:id="329"/>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single" w:sz="6" w:space="0" w:color="FFFFFF"/>
              <w:right w:val="none" w:sz="4" w:space="0" w:color="6E6E6E"/>
            </w:tcBorders>
          </w:tcPr>
          <w:p w:rsidR="006514EF" w:rsidRDefault="00DD50AA">
            <w:pPr>
              <w:pStyle w:val="ProductList-TableBody"/>
            </w:pPr>
            <w:r>
              <w:t>SharePoint Onl</w:t>
            </w:r>
            <w:r>
              <w:t xml:space="preserve">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w:instrText>
            </w:r>
            <w:r>
              <w:instrText xml:space="preserve">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single" w:sz="6" w:space="0" w:color="FFFFFF"/>
              <w:left w:val="none" w:sz="4" w:space="0" w:color="6E6E6E"/>
              <w:bottom w:val="single" w:sz="6" w:space="0" w:color="FFFFFF"/>
              <w:right w:val="none" w:sz="4" w:space="0" w:color="6E6E6E"/>
            </w:tcBorders>
          </w:tcPr>
          <w:p w:rsidR="006514EF" w:rsidRDefault="00DD50AA">
            <w:pPr>
              <w:pStyle w:val="ProductList-TableBody"/>
            </w:pPr>
            <w:r>
              <w:t xml:space="preserve">Add-On für SharePoint Online Plan 1 </w:t>
            </w:r>
            <w:r>
              <w:fldChar w:fldCharType="begin"/>
            </w:r>
            <w:r>
              <w:instrText xml:space="preserve"> XE "</w:instrText>
            </w:r>
            <w:r>
              <w:instrText xml:space="preserve">Add-On für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single" w:sz="6" w:space="0" w:color="FFFFFF"/>
              <w:left w:val="none" w:sz="4" w:space="0" w:color="6E6E6E"/>
              <w:bottom w:val="single" w:sz="6" w:space="0" w:color="FFFFFF"/>
              <w:right w:val="none" w:sz="4" w:space="0" w:color="6E6E6E"/>
            </w:tcBorders>
          </w:tcPr>
          <w:p w:rsidR="006514EF" w:rsidRDefault="00DD50AA">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single" w:sz="6" w:space="0" w:color="FFFFFF"/>
              <w:left w:val="none" w:sz="4" w:space="0" w:color="6E6E6E"/>
              <w:bottom w:val="single" w:sz="6" w:space="0" w:color="FFFFF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330" w:name="_Sec779"/>
      <w:r>
        <w:t xml:space="preserve">2. </w:t>
      </w:r>
      <w:r>
        <w:t>Produktbedingungen</w:t>
      </w:r>
      <w:bookmarkEnd w:id="33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w:instrText>
            </w:r>
            <w:r>
              <w:instrText xml:space="preserve">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w:instrText>
            </w:r>
            <w:r>
              <w:instrText xml:space="preserve">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w:instrText>
            </w:r>
            <w:r>
              <w:instrText>AutoTextList   \s NoStyle \t "Zur Verringerung berechtigt: ein Onlinedienst, bei dem ein Kunde mit Konzern-Beitritt, mit Konzern-Abonnement-Beitritt, Microsoft Azure-Beitritt oder mit Beitritt für Bildungslösungen berechtigt ist, Verringerungen bei den Liz</w:instrText>
            </w:r>
            <w:r>
              <w:instrText xml:space="preserve">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w:instrText>
            </w:r>
            <w:r>
              <w:instrText xml:space="preserve">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 xml:space="preserve">2.1 </w:t>
      </w:r>
      <w:r>
        <w:t>Voraussetzung: Add-On-Nutzer-ALs</w:t>
      </w:r>
    </w:p>
    <w:p w:rsidR="006514EF" w:rsidRDefault="00DD50AA">
      <w:pPr>
        <w:pStyle w:val="ProductList-Body"/>
      </w:pPr>
      <w:r>
        <w:t xml:space="preserve">Informationen zu Add-Ons erhalten Sie unter „Add-On-Nutzer-ALs“ im Abschnitt </w:t>
      </w:r>
      <w:hyperlink w:anchor="_Sec634">
        <w:r>
          <w:rPr>
            <w:color w:val="00467F"/>
            <w:u w:val="single"/>
          </w:rPr>
          <w:t>Office 365 Suites</w:t>
        </w:r>
      </w:hyperlink>
      <w:r>
        <w:t>.</w:t>
      </w:r>
    </w:p>
    <w:p w:rsidR="006514EF" w:rsidRDefault="006514EF">
      <w:pPr>
        <w:pStyle w:val="ProductList-Body"/>
      </w:pPr>
    </w:p>
    <w:p w:rsidR="006514EF" w:rsidRDefault="00DD50AA">
      <w:pPr>
        <w:pStyle w:val="ProductList-ClauseHeading"/>
        <w:outlineLvl w:val="4"/>
      </w:pPr>
      <w:r>
        <w:t>2.2 SharePoint Online Plan 1 mit Yammer und SharePoint Online Plan 2 mit Einlösung des Produktsc</w:t>
      </w:r>
      <w:r>
        <w:t>hlüssels für Yammer</w:t>
      </w:r>
    </w:p>
    <w:p w:rsidR="006514EF" w:rsidRDefault="00DD50AA">
      <w:pPr>
        <w:pStyle w:val="ProductList-Body"/>
      </w:pPr>
      <w:r>
        <w:t>SharePoint Online Plan 1 mit Yammer oder SharePoint Online Plan 2 mit Yammer-Abonnements, die über Open-, Open Value- oder Open Value Subscription-Verträge lizenziert werden, können bis zum 31. Oktober 2015 eingelöst werden. Nach diesem</w:t>
      </w:r>
      <w:r>
        <w:t xml:space="preserve"> Datum können nicht eingelöste Abonnements für ein Produkt genutzt werden, das einen dieser Dienste umfasst.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31" w:name="_Sec669"/>
      <w:r>
        <w:t>Skype for Business Online</w:t>
      </w:r>
      <w:bookmarkEnd w:id="331"/>
      <w:r>
        <w:fldChar w:fldCharType="begin"/>
      </w:r>
      <w:r>
        <w:instrText xml:space="preserve"> TC </w:instrText>
      </w:r>
      <w:r>
        <w:instrText>"</w:instrText>
      </w:r>
      <w:bookmarkStart w:id="332" w:name="_Toc439056359"/>
      <w:r>
        <w:instrText>Skype for Business Online</w:instrText>
      </w:r>
      <w:bookmarkEnd w:id="332"/>
      <w:r>
        <w:instrText>" \l 3</w:instrText>
      </w:r>
      <w:r>
        <w:fldChar w:fldCharType="end"/>
      </w:r>
    </w:p>
    <w:p w:rsidR="006514EF" w:rsidRDefault="00DD50AA">
      <w:pPr>
        <w:pStyle w:val="ProductList-Offering1SubSection"/>
        <w:outlineLvl w:val="3"/>
      </w:pPr>
      <w:bookmarkStart w:id="333" w:name="_Sec725"/>
      <w:r>
        <w:t>1. Programmverfügbarkeit</w:t>
      </w:r>
      <w:bookmarkEnd w:id="333"/>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Add-On für Skype for B</w:t>
            </w:r>
            <w:r>
              <w:t>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none" w:sz="4" w:space="0" w:color="BFBFBF"/>
              <w:left w:val="none" w:sz="4" w:space="0" w:color="6E6E6E"/>
              <w:bottom w:val="dashed" w:sz="4" w:space="0" w:color="BFBFBF"/>
              <w:right w:val="none" w:sz="4" w:space="0" w:color="6E6E6E"/>
            </w:tcBorders>
          </w:tcPr>
          <w:p w:rsidR="006514EF" w:rsidRDefault="00DD50AA">
            <w:pPr>
              <w:pStyle w:val="ProductList-TableBody"/>
            </w:pPr>
            <w:r>
              <w:t>Skype for Business Onl</w:t>
            </w:r>
            <w:r>
              <w:t>ine Cloud PBX</w:t>
            </w:r>
            <w:r>
              <w:fldChar w:fldCharType="begin"/>
            </w:r>
            <w:r>
              <w:instrText xml:space="preserve"> XE "Skype for Business Online Cloud PBX"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none" w:sz="4" w:space="0" w:color="BFBFBF"/>
              <w:left w:val="none" w:sz="4" w:space="0" w:color="6E6E6E"/>
              <w:bottom w:val="dashed" w:sz="4" w:space="0" w:color="BFBFBF"/>
              <w:right w:val="none" w:sz="4" w:space="0" w:color="6E6E6E"/>
            </w:tcBorders>
          </w:tcPr>
          <w:p w:rsidR="006514EF" w:rsidRDefault="00DD50AA">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34" w:name="_Sec780"/>
      <w:r>
        <w:t>2. Produktbedingungen</w:t>
      </w:r>
      <w:bookmarkEnd w:id="33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w:instrText>
            </w:r>
            <w:r>
              <w:instrText xml:space="preserve">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w:t>
            </w:r>
            <w:r>
              <w:rPr>
                <w:color w:val="0563C1"/>
              </w:rPr>
              <w:t>itverlängerung</w:t>
            </w:r>
            <w:r>
              <w:fldChar w:fldCharType="end"/>
            </w:r>
            <w:r>
              <w:t>: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Lync für Mac 2011</w:t>
      </w:r>
    </w:p>
    <w:p w:rsidR="006514EF" w:rsidRDefault="00DD50AA">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w:t>
      </w:r>
      <w:r>
        <w:t xml:space="preserve">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w:t>
      </w:r>
      <w:r>
        <w:t>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w:instrText>
      </w:r>
      <w:r>
        <w:instrText xml:space="preserve">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w:t>
      </w:r>
      <w:r>
        <w:t>basierten Endbenutzer zu nutzen.</w:t>
      </w:r>
    </w:p>
    <w:p w:rsidR="006514EF" w:rsidRDefault="006514EF">
      <w:pPr>
        <w:pStyle w:val="ProductList-Body"/>
      </w:pPr>
    </w:p>
    <w:p w:rsidR="006514EF" w:rsidRDefault="00DD50AA">
      <w:pPr>
        <w:pStyle w:val="ProductList-ClauseHeading"/>
        <w:outlineLvl w:val="4"/>
      </w:pPr>
      <w:r>
        <w:t>2.2 Voraussetzung: Add-On-Nutzer-ALs</w:t>
      </w:r>
    </w:p>
    <w:p w:rsidR="006514EF" w:rsidRDefault="00DD50AA">
      <w:pPr>
        <w:pStyle w:val="ProductList-Body"/>
      </w:pPr>
      <w:r>
        <w:t xml:space="preserve">Informationen zu Add-Ons erhalten Sie unter „Add-On-Nutzer-ALs“ im Abschnitt </w:t>
      </w:r>
      <w:hyperlink w:anchor="_Sec634">
        <w:r>
          <w:rPr>
            <w:color w:val="00467F"/>
            <w:u w:val="single"/>
          </w:rPr>
          <w:t>Office 365 Suites</w:t>
        </w:r>
      </w:hyperlink>
      <w:r>
        <w:t>.</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GroupHeading"/>
        <w:outlineLvl w:val="1"/>
      </w:pPr>
      <w:bookmarkStart w:id="335" w:name="_Sec635"/>
      <w:r>
        <w:t>Sonstige Onlinedienste</w:t>
      </w:r>
      <w:bookmarkEnd w:id="335"/>
      <w:r>
        <w:fldChar w:fldCharType="begin"/>
      </w:r>
      <w:r>
        <w:instrText xml:space="preserve"> TC "</w:instrText>
      </w:r>
      <w:bookmarkStart w:id="336" w:name="_Toc439056360"/>
      <w:r>
        <w:instrText>Sonstige Onlinedienste</w:instrText>
      </w:r>
      <w:bookmarkEnd w:id="336"/>
      <w:r>
        <w:instrText>" \l 2</w:instrText>
      </w:r>
      <w:r>
        <w:fldChar w:fldCharType="end"/>
      </w:r>
    </w:p>
    <w:p w:rsidR="006514EF" w:rsidRDefault="00DD50AA">
      <w:pPr>
        <w:pStyle w:val="ProductList-Offering2HeadingNoBorder"/>
        <w:outlineLvl w:val="2"/>
      </w:pPr>
      <w:bookmarkStart w:id="337" w:name="_Sec670"/>
      <w:r>
        <w:t>Bing Maps</w:t>
      </w:r>
      <w:bookmarkEnd w:id="337"/>
      <w:r>
        <w:fldChar w:fldCharType="begin"/>
      </w:r>
      <w:r>
        <w:instrText xml:space="preserve"> TC "</w:instrText>
      </w:r>
      <w:bookmarkStart w:id="338" w:name="_Toc439056361"/>
      <w:r>
        <w:instrText>Bing Maps</w:instrText>
      </w:r>
      <w:bookmarkEnd w:id="338"/>
      <w:r>
        <w:instrText>" \l 3</w:instrText>
      </w:r>
      <w:r>
        <w:fldChar w:fldCharType="end"/>
      </w:r>
    </w:p>
    <w:p w:rsidR="006514EF" w:rsidRDefault="00DD50AA">
      <w:pPr>
        <w:pStyle w:val="ProductList-Offering1SubSection"/>
        <w:outlineLvl w:val="3"/>
      </w:pPr>
      <w:bookmarkStart w:id="339" w:name="_Sec726"/>
      <w:r>
        <w:t>1. Programmverfügbarkeit</w:t>
      </w:r>
      <w:bookmarkEnd w:id="33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Bing Maps Enterprise Fee Monthly Subscription</w:t>
            </w:r>
            <w:r>
              <w:fldChar w:fldCharType="begin"/>
            </w:r>
            <w:r>
              <w:instrText xml:space="preserve"> XE "</w:instrText>
            </w:r>
            <w:r>
              <w:instrText xml:space="preserve">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Internal Website Usage 500K (und höher) Transactions Monthly Subscription</w:t>
            </w:r>
            <w:r>
              <w:fldChar w:fldCharType="begin"/>
            </w:r>
            <w:r>
              <w:instrText xml:space="preserve"> XE "Bing Maps Internal W</w:instrText>
            </w:r>
            <w:r>
              <w:instrText xml:space="preserve">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w:instrText>
            </w:r>
            <w:r>
              <w:instrText xml:space="preserve">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w:instrText>
            </w:r>
            <w:r>
              <w:instrText xml:space="preserve">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w:instrText>
            </w:r>
            <w:r>
              <w:instrText xml:space="preserve">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Bing Maps Public Website Usage 500K (und höher) Transactions Monthly Subscription</w:t>
            </w:r>
            <w:r>
              <w:fldChar w:fldCharType="begin"/>
            </w:r>
            <w:r>
              <w:instrText xml:space="preserve"> XE "</w:instrText>
            </w:r>
            <w:r>
              <w:instrText xml:space="preserve">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w:instrText>
            </w:r>
            <w:r>
              <w:instrText xml:space="preserve">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40" w:name="_Sec781"/>
      <w:r>
        <w:t>2. Produktbedingungen</w:t>
      </w:r>
      <w:bookmarkEnd w:id="34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Abrechenbare Transaktionen</w:t>
      </w:r>
    </w:p>
    <w:p w:rsidR="006514EF" w:rsidRDefault="00DD50AA">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w:t>
      </w:r>
      <w:r>
        <w:t xml:space="preserve"> verfallen alle erworbenen und bis dahin nicht genutzten Abrechenbaren Transaktionen.</w:t>
      </w:r>
    </w:p>
    <w:p w:rsidR="006514EF" w:rsidRDefault="006514EF">
      <w:pPr>
        <w:pStyle w:val="ProductList-Body"/>
      </w:pPr>
    </w:p>
    <w:p w:rsidR="006514EF" w:rsidRDefault="00DD50AA">
      <w:pPr>
        <w:pStyle w:val="ProductList-ClauseHeading"/>
        <w:outlineLvl w:val="4"/>
      </w:pPr>
      <w:r>
        <w:t>2.2 Bing Maps Platinum Add-On-AL</w:t>
      </w:r>
    </w:p>
    <w:p w:rsidR="006514EF" w:rsidRDefault="00DD50AA">
      <w:pPr>
        <w:pStyle w:val="ProductList-Body"/>
      </w:pPr>
      <w:r>
        <w:t>Die Bing Maps Platinum Add-On-AL kann nur einmal pro Beitritt erworben werden und umfasst höchstens 400 Millionen Abrechenbare Transakti</w:t>
      </w:r>
      <w:r>
        <w:t>onen pro Jahr. Kunden, die diese Deckelung nicht einhalten, müssen zusätzliche Abrechenbare Transaktionen erwerben.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41" w:name="_Sec672"/>
      <w:r>
        <w:t>Microsoft Learning</w:t>
      </w:r>
      <w:bookmarkEnd w:id="341"/>
      <w:r>
        <w:fldChar w:fldCharType="begin"/>
      </w:r>
      <w:r>
        <w:instrText xml:space="preserve"> TC </w:instrText>
      </w:r>
      <w:r>
        <w:instrText>"</w:instrText>
      </w:r>
      <w:bookmarkStart w:id="342" w:name="_Toc439056362"/>
      <w:r>
        <w:instrText>Microsoft Learning</w:instrText>
      </w:r>
      <w:bookmarkEnd w:id="342"/>
      <w:r>
        <w:instrText>" \l 3</w:instrText>
      </w:r>
      <w:r>
        <w:fldChar w:fldCharType="end"/>
      </w:r>
    </w:p>
    <w:p w:rsidR="006514EF" w:rsidRDefault="00DD50AA">
      <w:pPr>
        <w:pStyle w:val="ProductList-Offering1SubSection"/>
        <w:outlineLvl w:val="3"/>
      </w:pPr>
      <w:bookmarkStart w:id="343" w:name="_Sec728"/>
      <w:r>
        <w:t>1. Programmverfügbarkeit</w:t>
      </w:r>
      <w:bookmarkEnd w:id="343"/>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w:instrText>
            </w:r>
            <w:r>
              <w:instrText xml:space="preserve">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w:instrText>
            </w:r>
            <w:r>
              <w:instrText xml:space="preserve">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dashed" w:sz="4" w:space="0" w:color="BFBFBF"/>
              <w:right w:val="none" w:sz="4" w:space="0" w:color="6E6E6E"/>
            </w:tcBorders>
          </w:tcPr>
          <w:p w:rsidR="006514EF" w:rsidRDefault="00DD50AA">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6514EF" w:rsidRDefault="00DD50AA">
      <w:pPr>
        <w:pStyle w:val="ProductList-Offering1SubSection"/>
        <w:outlineLvl w:val="3"/>
      </w:pPr>
      <w:bookmarkStart w:id="344" w:name="_Sec783"/>
      <w:r>
        <w:t>2. Produktbedingungen</w:t>
      </w:r>
      <w:bookmarkEnd w:id="344"/>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Gutscheine</w:t>
      </w:r>
    </w:p>
    <w:p w:rsidR="006514EF" w:rsidRDefault="00DD50AA">
      <w:pPr>
        <w:pStyle w:val="ProductList-Body"/>
      </w:pPr>
      <w:r>
        <w:t xml:space="preserve">Gutscheine werden bei Erwerb bereitgestellt und sind ab dem Kaufdatum 12 Monate lang gültig. </w:t>
      </w:r>
    </w:p>
    <w:p w:rsidR="006514EF" w:rsidRDefault="006514EF">
      <w:pPr>
        <w:pStyle w:val="ProductList-Body"/>
      </w:pPr>
    </w:p>
    <w:p w:rsidR="006514EF" w:rsidRDefault="00DD50AA">
      <w:pPr>
        <w:pStyle w:val="ProductList-ClauseHeading"/>
        <w:outlineLvl w:val="4"/>
      </w:pPr>
      <w:r>
        <w:t>2.2 Microsoft Office Specialist (MOS) und Microsoft Technology Associate (MTA) und Microsoft Certification Educator Exam Site License</w:t>
      </w:r>
    </w:p>
    <w:p w:rsidR="006514EF" w:rsidRDefault="00DD50AA">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w:t>
      </w:r>
      <w:r>
        <w:t xml:space="preserve">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w:t>
      </w:r>
      <w:r>
        <w:t>rüfungen verfallen.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45" w:name="_Sec673"/>
      <w:r>
        <w:t>Microsoft Translator</w:t>
      </w:r>
      <w:bookmarkEnd w:id="345"/>
      <w:r>
        <w:fldChar w:fldCharType="begin"/>
      </w:r>
      <w:r>
        <w:instrText xml:space="preserve"> TC "</w:instrText>
      </w:r>
      <w:bookmarkStart w:id="346" w:name="_Toc439056363"/>
      <w:r>
        <w:instrText>Microsoft Translator</w:instrText>
      </w:r>
      <w:bookmarkEnd w:id="346"/>
      <w:r>
        <w:instrText>" \l 3</w:instrText>
      </w:r>
      <w:r>
        <w:fldChar w:fldCharType="end"/>
      </w:r>
    </w:p>
    <w:p w:rsidR="006514EF" w:rsidRDefault="00DD50AA">
      <w:pPr>
        <w:pStyle w:val="ProductList-Offering1SubSection"/>
        <w:outlineLvl w:val="3"/>
      </w:pPr>
      <w:bookmarkStart w:id="347" w:name="_Sec729"/>
      <w:r>
        <w:t>1. Programmverfügbarkeit</w:t>
      </w:r>
      <w:bookmarkEnd w:id="347"/>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w:instrText>
            </w:r>
            <w:r>
              <w:instrText xml:space="preserve">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w:instrText>
            </w:r>
            <w:r>
              <w:instrText xml:space="preserve">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48" w:name="_Sec784"/>
      <w:r>
        <w:t>2. Produktbedingungen</w:t>
      </w:r>
      <w:bookmarkEnd w:id="348"/>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w:t>
            </w:r>
            <w:r>
              <w:rPr>
                <w:color w:val="404040"/>
              </w:rPr>
              <w:t>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49" w:name="_Sec674"/>
      <w:r>
        <w:t>Power BI Pro</w:t>
      </w:r>
      <w:bookmarkEnd w:id="349"/>
      <w:r>
        <w:fldChar w:fldCharType="begin"/>
      </w:r>
      <w:r>
        <w:instrText xml:space="preserve"> TC "</w:instrText>
      </w:r>
      <w:bookmarkStart w:id="350" w:name="_Toc439056364"/>
      <w:r>
        <w:instrText>Power BI Pro</w:instrText>
      </w:r>
      <w:bookmarkEnd w:id="350"/>
      <w:r>
        <w:instrText>" \l 3</w:instrText>
      </w:r>
      <w:r>
        <w:fldChar w:fldCharType="end"/>
      </w:r>
    </w:p>
    <w:p w:rsidR="006514EF" w:rsidRDefault="00DD50AA">
      <w:pPr>
        <w:pStyle w:val="ProductList-Offering1SubSection"/>
        <w:outlineLvl w:val="3"/>
      </w:pPr>
      <w:bookmarkStart w:id="351" w:name="_Sec730"/>
      <w:r>
        <w:t>1. Programmverfügbarkeit</w:t>
      </w:r>
      <w:bookmarkEnd w:id="351"/>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dashed" w:sz="4" w:space="0" w:color="BFBFBF"/>
              <w:right w:val="none" w:sz="4" w:space="0" w:color="6E6E6E"/>
            </w:tcBorders>
          </w:tcPr>
          <w:p w:rsidR="006514EF" w:rsidRDefault="00DD50A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5020" w:type="dxa"/>
            <w:tcBorders>
              <w:top w:val="dashed" w:sz="4" w:space="0" w:color="BFBFBF"/>
              <w:left w:val="none" w:sz="4" w:space="0" w:color="6E6E6E"/>
              <w:bottom w:val="none" w:sz="4" w:space="0" w:color="BFBFBF"/>
              <w:right w:val="none" w:sz="4" w:space="0" w:color="6E6E6E"/>
            </w:tcBorders>
          </w:tcPr>
          <w:p w:rsidR="006514EF" w:rsidRDefault="00DD50A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352" w:name="_Sec785"/>
      <w:r>
        <w:t xml:space="preserve">2. </w:t>
      </w:r>
      <w:r>
        <w:t>Produktbedingungen</w:t>
      </w:r>
      <w:bookmarkEnd w:id="352"/>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w:instrText>
            </w:r>
            <w:r>
              <w:instrText xml:space="preserve">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w:instrText>
            </w:r>
            <w:r>
              <w:instrText xml:space="preserv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w:instrText>
            </w:r>
            <w:r>
              <w:instrText xml:space="preserve">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w:instrText>
            </w:r>
            <w:r>
              <w:instrText xml:space="preserve">tellen kann." </w:instrText>
            </w:r>
            <w:r>
              <w:fldChar w:fldCharType="separate"/>
            </w:r>
            <w:r>
              <w:rPr>
                <w:color w:val="0563C1"/>
              </w:rPr>
              <w:t>True-up-berechtigt</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56365"/>
      <w:r>
        <w:instrText xml:space="preserve">System </w:instrText>
      </w:r>
      <w:r>
        <w:instrText>Center Endpoint Protection</w:instrText>
      </w:r>
      <w:bookmarkEnd w:id="354"/>
      <w:r>
        <w:instrText>" \l 3</w:instrText>
      </w:r>
      <w:r>
        <w:fldChar w:fldCharType="end"/>
      </w:r>
    </w:p>
    <w:p w:rsidR="006514EF" w:rsidRDefault="00DD50AA">
      <w:pPr>
        <w:pStyle w:val="ProductList-Offering1SubSection"/>
        <w:outlineLvl w:val="3"/>
      </w:pPr>
      <w:bookmarkStart w:id="355" w:name="_Sec731"/>
      <w:r>
        <w:t>1. Programmverfügbarkeit</w:t>
      </w:r>
      <w:bookmarkEnd w:id="355"/>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6514EF" w:rsidRDefault="00DD50AA">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6514EF" w:rsidRDefault="00DD50AA">
      <w:pPr>
        <w:pStyle w:val="ProductList-Offering1SubSection"/>
        <w:outlineLvl w:val="3"/>
      </w:pPr>
      <w:bookmarkStart w:id="356" w:name="_Sec786"/>
      <w:r>
        <w:t>2. Produktbedingungen</w:t>
      </w:r>
      <w:bookmarkEnd w:id="356"/>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13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w:t>
            </w:r>
            <w:r>
              <w:rPr>
                <w:color w:val="404040"/>
              </w:rPr>
              <w:t>.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pPr>
    </w:p>
    <w:p w:rsidR="006514EF" w:rsidRDefault="00DD50AA">
      <w:pPr>
        <w:pStyle w:val="ProductList-ClauseHeading"/>
        <w:outlineLvl w:val="4"/>
      </w:pPr>
      <w:r>
        <w:t>21. Beschränkungen für einzelne Länder</w:t>
      </w:r>
    </w:p>
    <w:p w:rsidR="006514EF" w:rsidRDefault="00DD50AA">
      <w:pPr>
        <w:pStyle w:val="ProductList-Body"/>
      </w:pPr>
      <w:r>
        <w:t>Der Kunde ist nicht nicht berechtigt, System Center Endpoint Protection (aktuelle Verzweigung) zur Verwendung oder zum Vertrieb in der Volksrepublik China herunterzuladen.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2HeadingNoBorder"/>
        <w:outlineLvl w:val="2"/>
      </w:pPr>
      <w:bookmarkStart w:id="357" w:name="_Sec676"/>
      <w:r>
        <w:t>Yammer Enterprise</w:t>
      </w:r>
      <w:bookmarkEnd w:id="357"/>
      <w:r>
        <w:fldChar w:fldCharType="begin"/>
      </w:r>
      <w:r>
        <w:instrText xml:space="preserve"> TC "</w:instrText>
      </w:r>
      <w:bookmarkStart w:id="358" w:name="_Toc439056366"/>
      <w:r>
        <w:instrText>Yammer Enterprise</w:instrText>
      </w:r>
      <w:bookmarkEnd w:id="358"/>
      <w:r>
        <w:instrText>" \l 3</w:instrText>
      </w:r>
      <w:r>
        <w:fldChar w:fldCharType="end"/>
      </w:r>
    </w:p>
    <w:p w:rsidR="006514EF" w:rsidRDefault="00DD50AA">
      <w:pPr>
        <w:pStyle w:val="ProductList-Offering1SubSection"/>
        <w:outlineLvl w:val="3"/>
      </w:pPr>
      <w:bookmarkStart w:id="359" w:name="_Sec732"/>
      <w:r>
        <w:t>1. Programmverfügbarkeit</w:t>
      </w:r>
      <w:bookmarkEnd w:id="359"/>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51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14EF" w:rsidRDefault="00DD50A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14EF">
        <w:tc>
          <w:tcPr>
            <w:tcW w:w="5020" w:type="dxa"/>
            <w:tcBorders>
              <w:top w:val="single" w:sz="6" w:space="0" w:color="FFFFFF"/>
              <w:left w:val="none" w:sz="4" w:space="0" w:color="6E6E6E"/>
              <w:bottom w:val="none" w:sz="4" w:space="0" w:color="BFBFBF"/>
              <w:right w:val="none" w:sz="4" w:space="0" w:color="6E6E6E"/>
            </w:tcBorders>
          </w:tcPr>
          <w:p w:rsidR="006514EF" w:rsidRDefault="00DD50AA">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14EF" w:rsidRDefault="00DD50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"Open-</w:instrText>
            </w:r>
            <w:r>
              <w:instrText xml:space="preserve">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14EF" w:rsidRDefault="00DD50A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bl>
    <w:p w:rsidR="006514EF" w:rsidRDefault="00DD50AA">
      <w:pPr>
        <w:pStyle w:val="ProductList-Offering1SubSection"/>
        <w:outlineLvl w:val="3"/>
      </w:pPr>
      <w:bookmarkStart w:id="360" w:name="_Sec787"/>
      <w:r>
        <w:t>2. Produktbedingungen</w:t>
      </w:r>
      <w:bookmarkEnd w:id="360"/>
    </w:p>
    <w:tbl>
      <w:tblPr>
        <w:tblStyle w:val="PURTable"/>
        <w:tblW w:w="0" w:type="dxa"/>
        <w:tblLook w:val="04A0" w:firstRow="1" w:lastRow="0" w:firstColumn="1" w:lastColumn="0" w:noHBand="0" w:noVBand="1"/>
      </w:tblPr>
      <w:tblGrid>
        <w:gridCol w:w="3645"/>
        <w:gridCol w:w="3538"/>
        <w:gridCol w:w="3607"/>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14EF" w:rsidRDefault="00DD50AA">
            <w:pPr>
              <w:pStyle w:val="ProductList-TableBody"/>
            </w:pPr>
            <w:r>
              <w:fldChar w:fldCharType="begin"/>
            </w:r>
            <w:r>
              <w:instrText xml:space="preserve"> AutoTextList   \s NoStyle \t "Produkt-Pool: gibt die</w:instrText>
            </w:r>
            <w:r>
              <w:instrText xml:space="preserv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Berechtigung zur Laufzeitverlängerung: alle</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Promotions: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w:t>
            </w:r>
            <w:r>
              <w:rPr>
                <w:color w:val="0563C1"/>
              </w:rPr>
              <w:t>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Zur Verringerung berechtigt (SCE): n. z.</w:t>
            </w:r>
          </w:p>
        </w:tc>
      </w:tr>
      <w:tr w:rsidR="00651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14EF" w:rsidRDefault="00DD50AA">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w:t>
            </w:r>
            <w:r>
              <w:rPr>
                <w:color w:val="0563C1"/>
              </w:rPr>
              <w:t>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14EF" w:rsidRDefault="00DD50AA">
            <w:pPr>
              <w:pStyle w:val="ProductList-TableBody"/>
            </w:pPr>
            <w:r>
              <w:rPr>
                <w:color w:val="404040"/>
              </w:rPr>
              <w:t>Vergünstigung für Nutzung durch Studenten: n. z.</w:t>
            </w:r>
          </w:p>
        </w:tc>
      </w:tr>
    </w:tbl>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6514EF">
      <w:pPr>
        <w:sectPr w:rsidR="006514EF">
          <w:headerReference w:type="default" r:id="rId132"/>
          <w:footerReference w:type="default" r:id="rId133"/>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361" w:name="_Sec549"/>
      <w:bookmarkEnd w:id="219"/>
      <w:r>
        <w:t>Glossar</w:t>
      </w:r>
      <w:r>
        <w:fldChar w:fldCharType="begin"/>
      </w:r>
      <w:r>
        <w:instrText xml:space="preserve"> TC "</w:instrText>
      </w:r>
      <w:bookmarkStart w:id="362" w:name="_Toc439056367"/>
      <w:r>
        <w:instrText>Glossar</w:instrText>
      </w:r>
      <w:bookmarkEnd w:id="362"/>
      <w:r>
        <w:instrText>" \l 1</w:instrText>
      </w:r>
      <w:r>
        <w:fldChar w:fldCharType="end"/>
      </w:r>
    </w:p>
    <w:p w:rsidR="006514EF" w:rsidRDefault="00DD50AA">
      <w:pPr>
        <w:pStyle w:val="ProductList-Offering1Heading"/>
        <w:outlineLvl w:val="1"/>
      </w:pPr>
      <w:bookmarkStart w:id="363" w:name="_Sec550"/>
      <w:r>
        <w:t>Eigenschaften</w:t>
      </w:r>
      <w:bookmarkEnd w:id="363"/>
      <w:r>
        <w:fldChar w:fldCharType="begin"/>
      </w:r>
      <w:r>
        <w:instrText xml:space="preserve"> TC "</w:instrText>
      </w:r>
      <w:bookmarkStart w:id="364" w:name="_Toc439056368"/>
      <w:r>
        <w:instrText>Eigenschaften</w:instrText>
      </w:r>
      <w:bookmarkEnd w:id="364"/>
      <w:r>
        <w:instrText>" \l 2</w:instrText>
      </w:r>
      <w:r>
        <w:fldChar w:fldCharType="end"/>
      </w:r>
    </w:p>
    <w:p w:rsidR="006514EF" w:rsidRDefault="00DD50AA">
      <w:pPr>
        <w:pStyle w:val="ProductList-BodySpaced"/>
      </w:pPr>
      <w:r>
        <w:t>In den Tabellen in den Produkteinträgen werden Eigenschaften angegeben, die Aufschluss über für die Produkte gelte</w:t>
      </w:r>
      <w:r>
        <w:t>nden Rechte und Bedingungen geben.</w:t>
      </w:r>
    </w:p>
    <w:p w:rsidR="006514EF" w:rsidRDefault="006514EF">
      <w:pPr>
        <w:pStyle w:val="ProductList-BodySpaced"/>
      </w:pPr>
    </w:p>
    <w:p w:rsidR="006514EF" w:rsidRDefault="00DD50AA">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6514EF" w:rsidRDefault="00DD50AA">
      <w:pPr>
        <w:pStyle w:val="ProductList-BodySpaced"/>
      </w:pPr>
      <w:r>
        <w:rPr>
          <w:b/>
          <w:color w:val="00188F"/>
        </w:rPr>
        <w:t>Clientzugriffsvoraussetzungen</w:t>
      </w:r>
      <w:r>
        <w:t>: gibt an, ob bei einem Serverprodukt CALs für den Zugriff durch Nutzer und Geräte erforderlich sind.</w:t>
      </w:r>
    </w:p>
    <w:p w:rsidR="006514EF" w:rsidRDefault="00DD50AA">
      <w:pPr>
        <w:pStyle w:val="ProductList-BodySpaced"/>
      </w:pPr>
      <w:r>
        <w:rPr>
          <w:b/>
          <w:color w:val="00188F"/>
        </w:rPr>
        <w:t>Notfallwiederherstellung</w:t>
      </w:r>
      <w:r>
        <w:t>: Rechte, die Software Assurance-Kunden zur Nutzung von Software für bedingte Notfallwiederherstellungszwecke zur Verfügung stehen</w:t>
      </w:r>
      <w:r>
        <w:t xml:space="preserve">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6514EF" w:rsidRDefault="00DD50AA">
      <w:pPr>
        <w:pStyle w:val="ProductList-BodySpaced"/>
      </w:pPr>
      <w:r>
        <w:rPr>
          <w:b/>
          <w:color w:val="00188F"/>
        </w:rPr>
        <w:t>Down-Editionen</w:t>
      </w:r>
      <w:r>
        <w:t>: Zulässige niedrigere Editionen, die bestimmten höheren</w:t>
      </w:r>
      <w:r>
        <w:t xml:space="preserve"> Editionen entsprechen. Der Kunde ist wie jeweils in den Universellen Lizenzbestimmungen festgelegt berechtigt, die zulässige niedrigere Edition anstelle einer lizenzierten höheren Edition zu nutzen.</w:t>
      </w:r>
    </w:p>
    <w:p w:rsidR="006514EF" w:rsidRDefault="00DD50AA">
      <w:pPr>
        <w:pStyle w:val="ProductList-BodySpaced"/>
      </w:pPr>
      <w:r>
        <w:rPr>
          <w:b/>
          <w:color w:val="00188F"/>
        </w:rPr>
        <w:t>Berechtigung zur Laufzeitverlängerung</w:t>
      </w:r>
      <w:r>
        <w:t>: Onlinedienste, be</w:t>
      </w:r>
      <w:r>
        <w:t>i denen eine Laufzeitverlängerung möglich ist, wie im Konzern- und Konzern-Abonnement-Lizenzvertrag beschrieben.</w:t>
      </w:r>
    </w:p>
    <w:p w:rsidR="006514EF" w:rsidRDefault="00DD50AA">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w:instrText>
      </w:r>
      <w:r>
        <w:instrText xml:space="preserve">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w:t>
      </w:r>
      <w:r>
        <w:t>n.</w:t>
      </w:r>
    </w:p>
    <w:p w:rsidR="006514EF" w:rsidRDefault="00DD50AA">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w:instrText>
      </w:r>
      <w:r>
        <w:instrText xml:space="preserve">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w:t>
      </w:r>
      <w:r>
        <w:t xml:space="preserve">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w:instrText>
      </w:r>
      <w:r>
        <w:instrText xml:space="preserve">.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w:instrText>
      </w:r>
      <w:r>
        <w:instrText xml:space="preserve">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w:instrText>
      </w:r>
      <w:r>
        <w:instrText xml:space="preserv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w:t>
      </w:r>
      <w:r>
        <w:t>ionsinstanzen erforderlich sind, nicht überschreiten.</w:t>
      </w:r>
    </w:p>
    <w:p w:rsidR="006514EF" w:rsidRDefault="00DD50AA">
      <w:pPr>
        <w:pStyle w:val="ProductList-BodySpaced"/>
      </w:pPr>
      <w:r>
        <w:rPr>
          <w:b/>
          <w:color w:val="00188F"/>
        </w:rPr>
        <w:t>Government Community Cloud (nur USA)</w:t>
      </w:r>
      <w:r>
        <w:t>: Onlinedienste, die ausschließlich für berechtigte Kunden verfügbar sind, bei denen es sich um US-amerikanische Verwaltungseinrichtungen auf nationaler, einzelstaatl</w:t>
      </w:r>
      <w:r>
        <w:t>icher, kommunaler oder Stammesebene handelt, Sofern nicht anderweitig ausgewiesen, entsprechen die Nutzungsrechte für Government Community Cloud-Dienste den Nutzungsrechten ihrer mehrinstanzenfähigen Standardäquivalente. Als Government Community Cloud-Dien</w:t>
      </w:r>
      <w:r>
        <w:t>ste angebotene Onlinedienste sind weder Übergangsberechtigt noch zur Lizenzreservierung berechtigt. Qualifizierende Onlinedienste werden als Government Community Cloud-Dienste und Non-Government Community Cloud-Dienste angeboten. Die Bereitstellung an Kund</w:t>
      </w:r>
      <w:r>
        <w:t>en kann in der einen oder anderen Form erfolgen, jedoch nicht als Kombination aus beidem. Onlinedienste, die als Government Community Cloud bezeichnet werden, dürfen nicht in derselben Domäne bereitgestellt werden wie bestimmte Non-Government Community Clo</w:t>
      </w:r>
      <w:r>
        <w:t xml:space="preserve">ud-Dienste. </w:t>
      </w:r>
    </w:p>
    <w:p w:rsidR="006514EF" w:rsidRDefault="00DD50AA">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6514EF" w:rsidRDefault="00DD50AA">
      <w:pPr>
        <w:pStyle w:val="ProductList-BodySpaced"/>
      </w:pPr>
      <w:r>
        <w:rPr>
          <w:b/>
          <w:color w:val="00188F"/>
        </w:rPr>
        <w:t>Lizenzmobilität</w:t>
      </w:r>
      <w:r>
        <w:t>: Software Assurance-Kunde</w:t>
      </w:r>
      <w:r>
        <w:t xml:space="preserv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6514EF" w:rsidRDefault="00DD50AA">
      <w:pPr>
        <w:pStyle w:val="ProductList-BodySpaced"/>
      </w:pPr>
      <w:r>
        <w:rPr>
          <w:b/>
          <w:color w:val="00188F"/>
        </w:rPr>
        <w:t>Lizenzbedingungen</w:t>
      </w:r>
      <w:r>
        <w:t>: Bestimmungen zur Bereitstellung und Nutzung eines Produkts.</w:t>
      </w:r>
    </w:p>
    <w:p w:rsidR="006514EF" w:rsidRDefault="00DD50AA">
      <w:pPr>
        <w:pStyle w:val="ProductList-BodySpaced"/>
      </w:pPr>
      <w:r>
        <w:rPr>
          <w:b/>
          <w:color w:val="00188F"/>
        </w:rPr>
        <w:t>Migrationsrechte</w:t>
      </w:r>
      <w:r>
        <w:t>: Kunden können möglicherweise unter bestimmten Bedingungen, die im Produkteintrag oder in der Produkt</w:t>
      </w:r>
      <w:r>
        <w:t>liste aufgeführt werden, Upgrades von früheren Versionen der Software oder anderen Produkten durchführen. Zudem haben Kunden unter Umständen nicht-standardmäßige Downgraderechte, gemäß denen sie frühere Versionen desselben Produkts oder anderer Produkte an</w:t>
      </w:r>
      <w:r>
        <w:t>stelle der lizenzierten Version nutzen können.</w:t>
      </w:r>
    </w:p>
    <w:p w:rsidR="006514EF" w:rsidRDefault="00DD50AA">
      <w:pPr>
        <w:pStyle w:val="ProductList-BodySpaced"/>
      </w:pPr>
      <w:r>
        <w:rPr>
          <w:b/>
          <w:color w:val="00188F"/>
        </w:rPr>
        <w:t>Voraussetzung</w:t>
      </w:r>
      <w:r>
        <w:t>: weist darauf hin, dass bestimmte zusätzliche Bedingungen erfüllt werden müssen, damit Lizenzen für das Produkt erworben werden können.</w:t>
      </w:r>
    </w:p>
    <w:p w:rsidR="006514EF" w:rsidRDefault="00DD50AA">
      <w:pPr>
        <w:pStyle w:val="ProductList-BodySpaced"/>
      </w:pPr>
      <w:r>
        <w:rPr>
          <w:b/>
          <w:color w:val="00188F"/>
        </w:rPr>
        <w:t>Voraussetzung (Software Assurance)</w:t>
      </w:r>
      <w:r>
        <w:t>:weist darauf hin, dass b</w:t>
      </w:r>
      <w:r>
        <w:t>estimmte zusätzliche Bedingungen erfüllt werden müssen, damit Software Assurance für das Produkt erworben werden kann.</w:t>
      </w:r>
    </w:p>
    <w:p w:rsidR="006514EF" w:rsidRDefault="00DD50AA">
      <w:pPr>
        <w:pStyle w:val="ProductList-BodySpaced"/>
      </w:pPr>
      <w:r>
        <w:rPr>
          <w:b/>
          <w:color w:val="00188F"/>
        </w:rPr>
        <w:t>Frühere Version</w:t>
      </w:r>
      <w:r>
        <w:t>: frühere Versionen des Produktes und deren Verfügbarkeitsdatum.</w:t>
      </w:r>
    </w:p>
    <w:p w:rsidR="006514EF" w:rsidRDefault="00DD50AA">
      <w:pPr>
        <w:pStyle w:val="ProductList-BodySpaced"/>
      </w:pPr>
      <w:r>
        <w:rPr>
          <w:b/>
          <w:color w:val="00188F"/>
        </w:rPr>
        <w:t>Mitteilungen</w:t>
      </w:r>
      <w:r>
        <w:t>: enthält Mitteilungen zu einem Produkt; Nähe</w:t>
      </w:r>
      <w:r>
        <w:t xml:space="preserve">res dazu finden Sie im Abschnitt „Mitteilungen“ der </w:t>
      </w:r>
      <w:hyperlink w:anchor="_Sec537">
        <w:r>
          <w:rPr>
            <w:color w:val="00467F"/>
            <w:u w:val="single"/>
          </w:rPr>
          <w:t>Universellen Lizenzbestimmungen</w:t>
        </w:r>
      </w:hyperlink>
      <w:r>
        <w:t>.</w:t>
      </w:r>
    </w:p>
    <w:p w:rsidR="006514EF" w:rsidRDefault="00DD50AA">
      <w:pPr>
        <w:pStyle w:val="ProductList-BodySpaced"/>
      </w:pPr>
      <w:r>
        <w:rPr>
          <w:b/>
          <w:color w:val="00188F"/>
        </w:rPr>
        <w:t>Online Subscription-Programm (OSP)</w:t>
      </w:r>
      <w:r>
        <w:t>: Das Produkt ist im Rahmen eines Online Subscription-Programms verfügbar.</w:t>
      </w:r>
    </w:p>
    <w:p w:rsidR="006514EF" w:rsidRDefault="00DD50AA">
      <w:pPr>
        <w:pStyle w:val="ProductList-BodySpaced"/>
      </w:pPr>
      <w:r>
        <w:rPr>
          <w:b/>
          <w:color w:val="00188F"/>
        </w:rPr>
        <w:t>Produkt-Pool</w:t>
      </w:r>
      <w:r>
        <w:t>: gibt die Produktgr</w:t>
      </w:r>
      <w:r>
        <w:t>uppierung an, die bei der Bestimmung von Preisrabatten herangezogen wird. Es gibt drei Produkt-Pool-Kategorien: Anwendung, Server und System.</w:t>
      </w:r>
    </w:p>
    <w:p w:rsidR="006514EF" w:rsidRDefault="00DD50AA">
      <w:pPr>
        <w:pStyle w:val="ProductList-BodySpaced"/>
      </w:pPr>
      <w:r>
        <w:rPr>
          <w:b/>
          <w:color w:val="00188F"/>
        </w:rPr>
        <w:t>Produktspezifische Lizenzbedingungen</w:t>
      </w:r>
      <w:r>
        <w:t>: gibt an, dass unter der Tabelle „Nutzungsrechte“ Produktspezifische Bestimmu</w:t>
      </w:r>
      <w:r>
        <w:t>ngen zur Bereitstellung und Nutzung des Produkts angegeben werden.</w:t>
      </w:r>
    </w:p>
    <w:p w:rsidR="006514EF" w:rsidRDefault="00DD50AA">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6514EF" w:rsidRDefault="00DD50AA">
      <w:pPr>
        <w:pStyle w:val="ProductList-BodySpaced"/>
      </w:pPr>
      <w:r>
        <w:rPr>
          <w:b/>
          <w:color w:val="00188F"/>
        </w:rPr>
        <w:t>Ausnahme Qualifizierter Nutzer</w:t>
      </w:r>
      <w:r>
        <w:t>: Eine für Nutzer, die ausschließlich unter einer dieser Lizenzen auf Produkte zugreifen, geltende Ausnahme. Diese Nutzer sind ungeachtet gegenteiliger Bestimmungen im Volumenlizenzvertrag des Kunden davon ausgenommen, als Qualifizierte Nutzer gezählt zu w</w:t>
      </w:r>
      <w:r>
        <w:t xml:space="preserve">erden. </w:t>
      </w:r>
    </w:p>
    <w:p w:rsidR="006514EF" w:rsidRDefault="00DD50AA">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w:t>
      </w:r>
      <w:r>
        <w:t>senen Jährlichen Verpflichtung einzureichen.</w:t>
      </w:r>
    </w:p>
    <w:p w:rsidR="006514EF" w:rsidRDefault="00DD50AA">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w:t>
      </w:r>
      <w:r>
        <w:t>hrlichen Verpflichtung einzureichen.</w:t>
      </w:r>
    </w:p>
    <w:p w:rsidR="006514EF" w:rsidRDefault="00DD50AA">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w:instrText>
      </w:r>
      <w:r>
        <w:instrText xml:space="preserve">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w:t>
      </w:r>
      <w:r>
        <w:t xml:space="preserve">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w:t>
      </w:r>
      <w:r>
        <w:t xml:space="preserve">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t>
      </w:r>
      <w:r>
        <w:t xml:space="preserve">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w:t>
      </w:r>
      <w:r>
        <w:t>nur zu arbeitsbezogenen Zwecken lokal auf eine zulässige Instanz oder Kopie der Software auf einem USB-Laufwerk zuzugreifen, wenn sich der Nutzer nicht in den Räumlichkeiten des Kunden befindet. Kein anderer Nutzer ist berechtigt, die Software zur selben Z</w:t>
      </w:r>
      <w:r>
        <w:t xml:space="preserve">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w:t>
      </w:r>
      <w:r>
        <w:t>unden umfassen Qualifizierte Desktops und Geräte keine Berechtigenden Drittgeräte, von dem die Nutzer des Kunden auf die Software und (andere) Konzernprodukte ausschließlich unter Roamingrechten zugreifen und sie nutzen.</w:t>
      </w:r>
    </w:p>
    <w:p w:rsidR="006514EF" w:rsidRDefault="00DD50AA">
      <w:pPr>
        <w:pStyle w:val="ProductList-BodySpaced"/>
      </w:pPr>
      <w:r>
        <w:rPr>
          <w:b/>
          <w:color w:val="00188F"/>
        </w:rPr>
        <w:t>Selbsthosten</w:t>
      </w:r>
      <w:r>
        <w:t>: Eine Software Assuran</w:t>
      </w:r>
      <w:r>
        <w:t xml:space="preserve">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6514EF" w:rsidRDefault="00DD50AA">
      <w:pPr>
        <w:pStyle w:val="ProductList-BodySpaced"/>
      </w:pPr>
      <w:r>
        <w:rPr>
          <w:b/>
          <w:color w:val="00188F"/>
        </w:rPr>
        <w:t>Software Assurance-Vergünstigungspool</w:t>
      </w:r>
      <w:r>
        <w:t>: gi</w:t>
      </w:r>
      <w:r>
        <w:t xml:space="preserve">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6514EF" w:rsidRDefault="00DD50AA">
      <w:pPr>
        <w:pStyle w:val="ProductList-BodySpaced"/>
      </w:pPr>
      <w:r>
        <w:rPr>
          <w:b/>
          <w:color w:val="00188F"/>
        </w:rPr>
        <w:t>Vergünstigung für Nutzun</w:t>
      </w:r>
      <w:r>
        <w:rPr>
          <w:b/>
          <w:color w:val="00188F"/>
        </w:rPr>
        <w:t>g durch Studenten</w:t>
      </w:r>
      <w:r>
        <w:t>: bezeichnet die Möglichkeit für Einrichtungen, die ein qualifizierendes Produkt für ihre Organisationsweite Anzahl lizenziert, ein Produkt zur Nutzung durch ihre Studenten ohne zusätzliche Kosten zu lizenzieren. Das qualifizierende Produk</w:t>
      </w:r>
      <w:r>
        <w:t>t und das Produkt, auf das die Vergünstigung für die Nutzung durch Studenten angewendet werden kann, sind in den Produkteinträgen angegeben. Diese Studentenlizenzen können nicht auf die Mindestbestellanforderungen angerechnet werden.</w:t>
      </w:r>
    </w:p>
    <w:p w:rsidR="006514EF" w:rsidRDefault="00DD50AA">
      <w:pPr>
        <w:pStyle w:val="ProductList-BodySpaced"/>
      </w:pPr>
      <w:r>
        <w:rPr>
          <w:b/>
          <w:color w:val="00188F"/>
        </w:rPr>
        <w:t>Suite</w:t>
      </w:r>
      <w:r>
        <w:t>: Hierbei handelt</w:t>
      </w:r>
      <w:r>
        <w:t xml:space="preserve">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w:instrText>
      </w:r>
      <w:r>
        <w:instrText xml:space="preserv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w:t>
      </w:r>
      <w:r>
        <w:t xml:space="preserve">Komponenten der Suite dürfen nicht getrennt und auf verschiedenen Geräten oder von verschiedenen Nutzern verwendet werden. </w:t>
      </w:r>
    </w:p>
    <w:p w:rsidR="006514EF" w:rsidRDefault="00DD50AA">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6514EF" w:rsidRDefault="00DD50AA">
      <w:pPr>
        <w:pStyle w:val="ProductList-BodySpaced"/>
      </w:pPr>
      <w:r>
        <w:rPr>
          <w:b/>
          <w:color w:val="00188F"/>
        </w:rPr>
        <w:t>True Up-berechtigt</w:t>
      </w:r>
      <w:r>
        <w:t>: Hierunter fallen Abonnementlizenzen für e</w:t>
      </w:r>
      <w:r>
        <w:t>inen Onlinedienst, die ein Konzern- oder Konzern-Abonnement-Kunde anstatt monatlich über den Prozess für True-up- oder jährliche Bestellungen bestellen kann.</w:t>
      </w:r>
    </w:p>
    <w:p w:rsidR="006514EF" w:rsidRDefault="00DD50AA">
      <w:pPr>
        <w:pStyle w:val="ProductList-BodySpaced"/>
      </w:pPr>
      <w:r>
        <w:rPr>
          <w:b/>
          <w:color w:val="00188F"/>
        </w:rPr>
        <w:t>UTD-Nachlass</w:t>
      </w:r>
      <w:r>
        <w:t>: Hierbei handelt es sich um einen für Open Value Subscription-Kunden verfügbaren Nach</w:t>
      </w:r>
      <w:r>
        <w:t xml:space="preserve">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w:instrText>
      </w:r>
      <w:r>
        <w:instrText xml:space="preserve">es zu verwenden." </w:instrText>
      </w:r>
      <w:r>
        <w:fldChar w:fldCharType="separate"/>
      </w:r>
      <w:r>
        <w:rPr>
          <w:color w:val="0563C1"/>
        </w:rPr>
        <w:t>Lizenz</w:t>
      </w:r>
      <w:r>
        <w:fldChar w:fldCharType="end"/>
      </w:r>
      <w:r>
        <w:t xml:space="preserve"> für das entsprechende qualifizierende Produkt verfügen.</w:t>
      </w:r>
    </w:p>
    <w:p w:rsidR="006514EF" w:rsidRDefault="006514EF">
      <w:pPr>
        <w:pStyle w:val="ProductList-BodySpaced"/>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Spaced"/>
      </w:pPr>
    </w:p>
    <w:p w:rsidR="006514EF" w:rsidRDefault="00DD50AA">
      <w:pPr>
        <w:pStyle w:val="ProductList-Offering1Heading"/>
        <w:outlineLvl w:val="1"/>
      </w:pPr>
      <w:bookmarkStart w:id="365" w:name="_Sec551"/>
      <w:r>
        <w:t>Zellenwerte</w:t>
      </w:r>
      <w:bookmarkEnd w:id="365"/>
      <w:r>
        <w:fldChar w:fldCharType="begin"/>
      </w:r>
      <w:r>
        <w:instrText xml:space="preserve"> TC "</w:instrText>
      </w:r>
      <w:bookmarkStart w:id="366" w:name="_Toc439056369"/>
      <w:r>
        <w:instrText>Zellenwerte</w:instrText>
      </w:r>
      <w:bookmarkEnd w:id="366"/>
      <w:r>
        <w:instrText>" \l 2</w:instrText>
      </w:r>
      <w:r>
        <w:fldChar w:fldCharType="end"/>
      </w:r>
    </w:p>
    <w:p w:rsidR="006514EF" w:rsidRDefault="00DD50AA">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w:t>
      </w:r>
      <w:r>
        <w:t>e definiert.</w:t>
      </w:r>
    </w:p>
    <w:p w:rsidR="006514EF" w:rsidRDefault="006514EF">
      <w:pPr>
        <w:pStyle w:val="ProductList-BodySpaced"/>
      </w:pPr>
    </w:p>
    <w:p w:rsidR="006514EF" w:rsidRDefault="00DD50AA">
      <w:pPr>
        <w:pStyle w:val="ProductList-BodySpaced"/>
      </w:pPr>
      <w:r>
        <w:rPr>
          <w:b/>
          <w:color w:val="00188F"/>
        </w:rPr>
        <w:t>A</w:t>
      </w:r>
      <w:r>
        <w:t xml:space="preserve">= </w:t>
      </w:r>
      <w:r>
        <w:rPr>
          <w:color w:val="00188F"/>
        </w:rPr>
        <w:t>Zusätzliches Produkt</w:t>
      </w:r>
      <w:r>
        <w:t>: Das Produkt wird als Zusätzliches Produkt angeboten.</w:t>
      </w:r>
    </w:p>
    <w:p w:rsidR="006514EF" w:rsidRDefault="00DD50AA">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6514EF" w:rsidRDefault="00DD50AA">
      <w:pPr>
        <w:pStyle w:val="ProductList-BodySpaced"/>
      </w:pPr>
      <w:r>
        <w:rPr>
          <w:b/>
          <w:color w:val="00188F"/>
        </w:rPr>
        <w:t>AP</w:t>
      </w:r>
      <w:r>
        <w:t xml:space="preserve"> = </w:t>
      </w:r>
      <w:r>
        <w:rPr>
          <w:color w:val="00188F"/>
        </w:rPr>
        <w:t>Anwendungsplattform-Produkt</w:t>
      </w:r>
      <w:r>
        <w:t xml:space="preserve">: </w:t>
      </w:r>
      <w:r>
        <w:t>Das Produkt wird als Anwendungsplattform-Produkt angeboten.</w:t>
      </w:r>
    </w:p>
    <w:p w:rsidR="006514EF" w:rsidRDefault="00DD50AA">
      <w:pPr>
        <w:pStyle w:val="ProductList-BodySpaced"/>
      </w:pPr>
      <w:r>
        <w:rPr>
          <w:b/>
          <w:color w:val="00188F"/>
        </w:rPr>
        <w:t>C</w:t>
      </w:r>
      <w:r>
        <w:t xml:space="preserve"> = </w:t>
      </w:r>
      <w:r>
        <w:rPr>
          <w:color w:val="00188F"/>
        </w:rPr>
        <w:t>Core Infrastructure</w:t>
      </w:r>
      <w:r>
        <w:t>: Das Produkt wird als Core Infrastructure-Produkt angeboten.</w:t>
      </w:r>
    </w:p>
    <w:p w:rsidR="006514EF" w:rsidRDefault="00DD50AA">
      <w:pPr>
        <w:pStyle w:val="ProductList-BodySpaced"/>
      </w:pPr>
      <w:r>
        <w:rPr>
          <w:b/>
          <w:color w:val="00188F"/>
        </w:rPr>
        <w:t>CP</w:t>
      </w:r>
      <w:r>
        <w:t xml:space="preserve"> = </w:t>
      </w:r>
      <w:r>
        <w:rPr>
          <w:color w:val="00188F"/>
        </w:rPr>
        <w:t>Angepasste Desktop-Plattform</w:t>
      </w:r>
      <w:r>
        <w:t>: Das Produkt wird Firmenkunden oder Verwaltungseinrichtungen, die die organis</w:t>
      </w:r>
      <w:r>
        <w:t>ationsweite/unternehmensweite Option auswählen, als angepasstes Desktop-Plattform-Produkt unter Open bzw. Open Value Subscription angeboten.</w:t>
      </w:r>
    </w:p>
    <w:p w:rsidR="006514EF" w:rsidRDefault="00DD50AA">
      <w:pPr>
        <w:pStyle w:val="ProductList-BodySpaced"/>
      </w:pPr>
      <w:r>
        <w:rPr>
          <w:b/>
          <w:color w:val="00188F"/>
        </w:rPr>
        <w:t>E</w:t>
      </w:r>
      <w:r>
        <w:t xml:space="preserve"> = </w:t>
      </w:r>
      <w:r>
        <w:rPr>
          <w:color w:val="00188F"/>
        </w:rPr>
        <w:t>Konzernprodukt</w:t>
      </w:r>
      <w:r>
        <w:t>: Das Produkt wird als Konzernprodukt, aber nicht als Desktop-Produkt angeboten.</w:t>
      </w:r>
    </w:p>
    <w:p w:rsidR="006514EF" w:rsidRDefault="00DD50AA">
      <w:pPr>
        <w:pStyle w:val="ProductList-BodySpaced"/>
      </w:pPr>
      <w:r>
        <w:rPr>
          <w:b/>
          <w:color w:val="00188F"/>
        </w:rPr>
        <w:t>ED</w:t>
      </w:r>
      <w:r>
        <w:t xml:space="preserve"> = </w:t>
      </w:r>
      <w:r>
        <w:rPr>
          <w:color w:val="00188F"/>
        </w:rPr>
        <w:t>Education D</w:t>
      </w:r>
      <w:r>
        <w:rPr>
          <w:color w:val="00188F"/>
        </w:rPr>
        <w:t>esktop</w:t>
      </w:r>
      <w:r>
        <w:t>: Das Produkt wird als Produkt der Education Desktopplattform mit entweder einer Enterprise CAL Suite oder einer Core CAL Suite im Rahmen des Beitritts für Bildungslösungen und von Open Value Subscription – Bildungslösungen angeboten.</w:t>
      </w:r>
    </w:p>
    <w:p w:rsidR="006514EF" w:rsidRDefault="00DD50AA">
      <w:pPr>
        <w:pStyle w:val="ProductList-BodySpaced"/>
      </w:pPr>
      <w:r>
        <w:rPr>
          <w:b/>
          <w:color w:val="00188F"/>
        </w:rPr>
        <w:t>EO</w:t>
      </w:r>
      <w:r>
        <w:t xml:space="preserve"> = </w:t>
      </w:r>
      <w:r>
        <w:rPr>
          <w:color w:val="00188F"/>
        </w:rPr>
        <w:t>Konzern-On</w:t>
      </w:r>
      <w:r>
        <w:rPr>
          <w:color w:val="00188F"/>
        </w:rPr>
        <w:t>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6514EF" w:rsidRDefault="00DD50AA">
      <w:pPr>
        <w:pStyle w:val="ProductList-BodySpaced"/>
      </w:pPr>
      <w:r>
        <w:rPr>
          <w:b/>
          <w:color w:val="00188F"/>
        </w:rPr>
        <w:t>EP</w:t>
      </w:r>
      <w:r>
        <w:t xml:space="preserve"> = </w:t>
      </w:r>
      <w:r>
        <w:rPr>
          <w:color w:val="00188F"/>
        </w:rPr>
        <w:t xml:space="preserve">Produkt der </w:t>
      </w:r>
      <w:r>
        <w:rPr>
          <w:color w:val="00188F"/>
        </w:rPr>
        <w:t>Enterprise Desktop-Plattform</w:t>
      </w:r>
      <w:r>
        <w:t>: Das Produkt wird als ein Konzernprodukt angeboten, das auch ein Produkt der Enterprise Desktopplattform ist.</w:t>
      </w:r>
    </w:p>
    <w:p w:rsidR="006514EF" w:rsidRDefault="00DD50AA">
      <w:pPr>
        <w:pStyle w:val="ProductList-BodySpaced"/>
      </w:pPr>
      <w:r>
        <w:rPr>
          <w:b/>
          <w:color w:val="00188F"/>
        </w:rPr>
        <w:t>ID</w:t>
      </w:r>
      <w:r>
        <w:t xml:space="preserve">= </w:t>
      </w:r>
      <w:r>
        <w:rPr>
          <w:color w:val="00188F"/>
        </w:rPr>
        <w:t>Industry Device</w:t>
      </w:r>
      <w:r>
        <w:t>: Das Produkt wird als Produkt des Industry Device-Programms angeboten.</w:t>
      </w:r>
    </w:p>
    <w:p w:rsidR="006514EF" w:rsidRDefault="00DD50AA">
      <w:pPr>
        <w:pStyle w:val="ProductList-BodySpaced"/>
      </w:pPr>
      <w:r>
        <w:rPr>
          <w:b/>
          <w:color w:val="00188F"/>
        </w:rPr>
        <w:t>OA</w:t>
      </w:r>
      <w:r>
        <w:t xml:space="preserve"> = </w:t>
      </w:r>
      <w:r>
        <w:rPr>
          <w:color w:val="00188F"/>
        </w:rPr>
        <w:t>Open-Lizenz für SA un</w:t>
      </w:r>
      <w:r>
        <w:rPr>
          <w:color w:val="00188F"/>
        </w:rPr>
        <w:t>d L/SA</w:t>
      </w:r>
      <w:r>
        <w:t>: nur im Rahmen von Open-Lizenz für L&amp;SA und SA verfügbar. Jede Lizenz zählt nur als 5 Lizenzen für den Zweck der Mindestmenge der Anfangsbestellung in Open-Lizenz- und/oder Open Value-Programmen.</w:t>
      </w:r>
    </w:p>
    <w:p w:rsidR="006514EF" w:rsidRDefault="00DD50AA">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6514EF" w:rsidRDefault="00DD50AA">
      <w:pPr>
        <w:pStyle w:val="ProductList-BodySpaced"/>
      </w:pPr>
      <w:r>
        <w:rPr>
          <w:b/>
          <w:color w:val="00188F"/>
        </w:rPr>
        <w:t>OS</w:t>
      </w:r>
      <w:r>
        <w:t xml:space="preserve">= </w:t>
      </w:r>
      <w:r>
        <w:rPr>
          <w:color w:val="00188F"/>
        </w:rPr>
        <w:t>Open-Lizenz und Open Value für SA und L/</w:t>
      </w:r>
      <w:r>
        <w:rPr>
          <w:color w:val="00188F"/>
        </w:rPr>
        <w:t>SA</w:t>
      </w:r>
      <w:r>
        <w:t>: nur im Rahmen von Open-Lizenz und Open Value für L&amp;SA und SA verfügbar. Jede Lizenz zählt nur als 5 Lizenzen für den Zweck der Mindestmenge der Anfangsbestellung in Open-Lizenz- und/oder Open Value-Programmen.</w:t>
      </w:r>
    </w:p>
    <w:p w:rsidR="006514EF" w:rsidRDefault="00DD50AA">
      <w:pPr>
        <w:pStyle w:val="ProductList-BodySpaced"/>
      </w:pPr>
      <w:r>
        <w:rPr>
          <w:b/>
          <w:color w:val="00188F"/>
        </w:rPr>
        <w:t>OVS</w:t>
      </w:r>
      <w:r>
        <w:t xml:space="preserve"> = </w:t>
      </w:r>
      <w:r>
        <w:rPr>
          <w:color w:val="00188F"/>
        </w:rPr>
        <w:t>Nur in Open Value Subscription</w:t>
      </w:r>
      <w:r>
        <w:t xml:space="preserve">: nur </w:t>
      </w:r>
      <w:r>
        <w:t>in Open Value Subscription verfügbar.</w:t>
      </w:r>
    </w:p>
    <w:p w:rsidR="006514EF" w:rsidRDefault="00DD50AA">
      <w:pPr>
        <w:pStyle w:val="ProductList-BodySpaced"/>
      </w:pPr>
      <w:r>
        <w:rPr>
          <w:b/>
          <w:color w:val="00188F"/>
        </w:rPr>
        <w:t>OW</w:t>
      </w:r>
      <w:r>
        <w:t xml:space="preserve"> = </w:t>
      </w:r>
      <w:r>
        <w:rPr>
          <w:color w:val="00188F"/>
        </w:rPr>
        <w:t>Organisationsweit</w:t>
      </w:r>
      <w:r>
        <w:t>: unter der organisationsweiten Option verfügbar.</w:t>
      </w:r>
    </w:p>
    <w:p w:rsidR="006514EF" w:rsidRDefault="00DD50AA">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6514EF" w:rsidRDefault="00DD50AA">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6514EF" w:rsidRDefault="00DD50AA">
      <w:pPr>
        <w:pStyle w:val="ProductList-BodySpaced"/>
      </w:pPr>
      <w:r>
        <w:rPr>
          <w:b/>
          <w:color w:val="00188F"/>
        </w:rPr>
        <w:t>SD</w:t>
      </w:r>
      <w:r>
        <w:t xml:space="preserve">= </w:t>
      </w:r>
      <w:r>
        <w:rPr>
          <w:color w:val="00188F"/>
        </w:rPr>
        <w:t>Produkt der School Desktop-Plattform</w:t>
      </w:r>
      <w:r>
        <w:t>: Das Produkt wird als Produkt der School Desktopplattform mit</w:t>
      </w:r>
      <w:r>
        <w:t xml:space="preserve"> entweder einer Enterprise CAL Suite oder einer Core CAL Suite im Rahmen des Campus- und School-Vertrages angeboten. Ein SD wird als drei Einheiten gezählt.</w:t>
      </w:r>
    </w:p>
    <w:p w:rsidR="006514EF" w:rsidRDefault="00DD50AA">
      <w:pPr>
        <w:pStyle w:val="ProductList-BodySpaced"/>
      </w:pPr>
      <w:r>
        <w:rPr>
          <w:b/>
          <w:color w:val="00188F"/>
        </w:rPr>
        <w:t>ST</w:t>
      </w:r>
      <w:r>
        <w:t xml:space="preserve"> = </w:t>
      </w:r>
      <w:r>
        <w:rPr>
          <w:color w:val="00188F"/>
        </w:rPr>
        <w:t>Studentenangebot</w:t>
      </w:r>
      <w:r>
        <w:t>: Das Produkt wird als Studentenangebot angeboten und muss für die volle Stude</w:t>
      </w:r>
      <w:r>
        <w:t>ntenanzahl bestellt werden.</w:t>
      </w:r>
    </w:p>
    <w:p w:rsidR="006514EF" w:rsidRDefault="00DD50AA">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6514EF" w:rsidRDefault="00DD50AA">
      <w:pPr>
        <w:pStyle w:val="ProductList-BodySpaced"/>
      </w:pPr>
      <w:r>
        <w:rPr>
          <w:b/>
          <w:color w:val="00188F"/>
        </w:rPr>
        <w:t>UC</w:t>
      </w:r>
      <w:r>
        <w:t xml:space="preserve"> = </w:t>
      </w:r>
      <w:r>
        <w:rPr>
          <w:color w:val="00188F"/>
        </w:rPr>
        <w:t>United States Government Community Cloud-Dienst</w:t>
      </w:r>
      <w:r>
        <w:t>: Der Onlinedienst wird</w:t>
      </w:r>
      <w:r>
        <w:t xml:space="preserve"> als United States Government Community Cloud-Dienst angeboten.</w:t>
      </w:r>
    </w:p>
    <w:p w:rsidR="006514EF" w:rsidRDefault="006514EF">
      <w:pPr>
        <w:pStyle w:val="ProductList-BodySpaced"/>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Spaced"/>
      </w:pPr>
    </w:p>
    <w:p w:rsidR="006514EF" w:rsidRDefault="00DD50AA">
      <w:pPr>
        <w:pStyle w:val="ProductList-Offering1Heading"/>
        <w:outlineLvl w:val="1"/>
      </w:pPr>
      <w:bookmarkStart w:id="367" w:name="_Sec552"/>
      <w:r>
        <w:t>Spaltenüberschriften</w:t>
      </w:r>
      <w:bookmarkEnd w:id="367"/>
      <w:r>
        <w:fldChar w:fldCharType="begin"/>
      </w:r>
      <w:r>
        <w:instrText xml:space="preserve"> TC "</w:instrText>
      </w:r>
      <w:bookmarkStart w:id="368" w:name="_Toc439056370"/>
      <w:r>
        <w:instrText>Spaltenüberschriften</w:instrText>
      </w:r>
      <w:bookmarkEnd w:id="368"/>
      <w:r>
        <w:instrText>" \l 2</w:instrText>
      </w:r>
      <w:r>
        <w:fldChar w:fldCharType="end"/>
      </w:r>
    </w:p>
    <w:p w:rsidR="006514EF" w:rsidRDefault="00DD50AA">
      <w:pPr>
        <w:pStyle w:val="ProductList-BodySpaced"/>
      </w:pPr>
      <w:r>
        <w:t xml:space="preserve">In den Tabellen zur </w:t>
      </w:r>
      <w:r>
        <w:t>Programmverfügbarkeit in jedem Produkteintrag sind Spaltenüberschriften enthalten, mit denen die Informationen zur Programmverfügbarkeit nach Programm, Angebotstyp, Punkten und Verfügbarkeitsdaten geordnet werden.</w:t>
      </w:r>
    </w:p>
    <w:p w:rsidR="006514EF" w:rsidRDefault="006514EF">
      <w:pPr>
        <w:pStyle w:val="ProductList-BodySpaced"/>
      </w:pPr>
    </w:p>
    <w:p w:rsidR="006514EF" w:rsidRDefault="00DD50AA">
      <w:pPr>
        <w:pStyle w:val="ProductList-BodySpaced"/>
      </w:pPr>
      <w:r>
        <w:rPr>
          <w:b/>
          <w:color w:val="00188F"/>
        </w:rPr>
        <w:t>DA</w:t>
      </w:r>
      <w:r>
        <w:t xml:space="preserve">= </w:t>
      </w:r>
      <w:r>
        <w:rPr>
          <w:color w:val="00188F"/>
        </w:rPr>
        <w:t>Verfügbarkeitsdatum</w:t>
      </w:r>
      <w:r>
        <w:t xml:space="preserve">: Hierbei handelt </w:t>
      </w:r>
      <w:r>
        <w:t xml:space="preserve">es sich um das Datum, an dem ein Produkt erstmals verfügbar ist (Monat/Jahr). Dies ist bei Software das Datum, an dem Microsoft Lizenzen für die jeweilige Software zur Bestellung oder zum Download aus dem Center für Volumenlizenz-Services (VLSC) verfügbar </w:t>
      </w:r>
      <w:r>
        <w:t>macht, je nachdem, welches Ereignis früher eintritt.</w:t>
      </w:r>
    </w:p>
    <w:p w:rsidR="006514EF" w:rsidRDefault="00DD50AA">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6514EF" w:rsidRDefault="00DD50AA">
      <w:pPr>
        <w:pStyle w:val="ProductList-BodySpaced"/>
      </w:pPr>
      <w:r>
        <w:rPr>
          <w:b/>
          <w:color w:val="00188F"/>
        </w:rPr>
        <w:t>EES</w:t>
      </w:r>
      <w:r>
        <w:t xml:space="preserve"> = </w:t>
      </w:r>
      <w:r>
        <w:rPr>
          <w:color w:val="00188F"/>
        </w:rPr>
        <w:t>Beitritt für Bildungslösungen</w:t>
      </w:r>
      <w:r>
        <w:t>: umfa</w:t>
      </w:r>
      <w:r>
        <w:t>sst den Beitritt für Bildungslösungen und den School-Beitritt unter dem Campus- und School-Vertrag (CASA).</w:t>
      </w:r>
    </w:p>
    <w:p w:rsidR="006514EF" w:rsidRDefault="00DD50AA">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w:t>
      </w:r>
      <w:r>
        <w:t xml:space="preserve"> Wert für CASA.</w:t>
      </w:r>
    </w:p>
    <w:p w:rsidR="006514EF" w:rsidRDefault="00DD50AA">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6514EF" w:rsidRDefault="00DD50AA">
      <w:pPr>
        <w:pStyle w:val="ProductList-BodySpaced"/>
      </w:pPr>
      <w:r>
        <w:rPr>
          <w:b/>
          <w:color w:val="00188F"/>
        </w:rPr>
        <w:t>MPSA</w:t>
      </w:r>
      <w:r>
        <w:t xml:space="preserve"> = </w:t>
      </w:r>
      <w:r>
        <w:rPr>
          <w:color w:val="00188F"/>
        </w:rPr>
        <w:t>Microsoft Produkt- und Service-Vertrag</w:t>
      </w:r>
      <w:r>
        <w:t>.</w:t>
      </w:r>
    </w:p>
    <w:p w:rsidR="006514EF" w:rsidRDefault="00DD50AA">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6514EF" w:rsidRDefault="00DD50AA">
      <w:pPr>
        <w:pStyle w:val="ProductList-BodySpaced"/>
      </w:pPr>
      <w:r>
        <w:rPr>
          <w:b/>
        </w:rPr>
        <w:t>OV/OVS</w:t>
      </w:r>
      <w:r>
        <w:rPr>
          <w:color w:val="000000"/>
        </w:rPr>
        <w:t xml:space="preserve"> =</w:t>
      </w:r>
      <w:r>
        <w:rPr>
          <w:color w:val="00188F"/>
        </w:rPr>
        <w:t>Open Value und Open Value Subscription</w:t>
      </w:r>
      <w:r>
        <w:t>: Dazu gehören Open Value, Open Value Subscription, Open Value für</w:t>
      </w:r>
      <w:r>
        <w:t xml:space="preserve"> Verwaltung und Open Value Subscription für Verwaltung. </w:t>
      </w:r>
    </w:p>
    <w:p w:rsidR="006514EF" w:rsidRDefault="00DD50AA">
      <w:pPr>
        <w:pStyle w:val="ProductList-BodySpaced"/>
      </w:pPr>
      <w:r>
        <w:rPr>
          <w:b/>
          <w:color w:val="00188F"/>
        </w:rPr>
        <w:t>OVS-ES</w:t>
      </w:r>
      <w:r>
        <w:t xml:space="preserve"> = </w:t>
      </w:r>
      <w:r>
        <w:rPr>
          <w:color w:val="00188F"/>
        </w:rPr>
        <w:t>Open Value Subscription – Bildungslösungen</w:t>
      </w:r>
      <w:r>
        <w:t>.</w:t>
      </w:r>
    </w:p>
    <w:p w:rsidR="006514EF" w:rsidRDefault="00DD50AA">
      <w:pPr>
        <w:pStyle w:val="ProductList-BodySpaced"/>
      </w:pPr>
      <w:r>
        <w:rPr>
          <w:b/>
          <w:color w:val="00188F"/>
        </w:rPr>
        <w:t>Point</w:t>
      </w:r>
      <w:r>
        <w:t xml:space="preserve"> = Mit diesem einem Produkt zugewiesenen Wert wird das Volumenpreislevel für den Volumenlizenzvertrag des Kunden berechnet.</w:t>
      </w:r>
    </w:p>
    <w:p w:rsidR="006514EF" w:rsidRDefault="00DD50AA">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6514EF" w:rsidRDefault="00DD50AA">
      <w:pPr>
        <w:pStyle w:val="ProductList-BodySpaced"/>
      </w:pPr>
      <w:r>
        <w:rPr>
          <w:b/>
          <w:color w:val="00188F"/>
        </w:rPr>
        <w:t>S/S+</w:t>
      </w:r>
      <w:r>
        <w:t xml:space="preserve"> = </w:t>
      </w:r>
      <w:r>
        <w:rPr>
          <w:color w:val="00188F"/>
        </w:rPr>
        <w:t>Select und Select Plus</w:t>
      </w:r>
      <w:r>
        <w:t xml:space="preserve">: Hierzu zählen auch Select für Forschung &amp; Lehre, Select Plus für Forschung &amp; Lehre, Select für Verwaltung und Select Plus </w:t>
      </w:r>
      <w:r>
        <w:t>für Verwaltung.</w:t>
      </w:r>
    </w:p>
    <w:p w:rsidR="006514EF" w:rsidRDefault="006514EF">
      <w:pPr>
        <w:pStyle w:val="ProductList-BodySpaced"/>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Spaced"/>
      </w:pPr>
    </w:p>
    <w:p w:rsidR="006514EF" w:rsidRDefault="00DD50AA">
      <w:pPr>
        <w:pStyle w:val="ProductList-Offering1Heading"/>
        <w:outlineLvl w:val="1"/>
      </w:pPr>
      <w:bookmarkStart w:id="369" w:name="_Sec553"/>
      <w:r>
        <w:t>Definitionen</w:t>
      </w:r>
      <w:bookmarkEnd w:id="369"/>
      <w:r>
        <w:fldChar w:fldCharType="begin"/>
      </w:r>
      <w:r>
        <w:instrText xml:space="preserve"> TC "</w:instrText>
      </w:r>
      <w:bookmarkStart w:id="370" w:name="_Toc439056371"/>
      <w:r>
        <w:instrText>Definitionen</w:instrText>
      </w:r>
      <w:bookmarkEnd w:id="370"/>
      <w:r>
        <w:instrText>" \l 2</w:instrText>
      </w:r>
      <w:r>
        <w:fldChar w:fldCharType="end"/>
      </w:r>
    </w:p>
    <w:p w:rsidR="006514EF" w:rsidRDefault="00DD50AA">
      <w:pPr>
        <w:pStyle w:val="ProductList-BodySpaced"/>
      </w:pPr>
      <w:r>
        <w:rPr>
          <w:b/>
          <w:color w:val="00188F"/>
        </w:rPr>
        <w:t>Zusätzliche CAL</w:t>
      </w:r>
      <w:r>
        <w:t xml:space="preserve"> ist eine </w:t>
      </w:r>
      <w:r>
        <w:fldChar w:fldCharType="begin"/>
      </w:r>
      <w:r>
        <w:instrText xml:space="preserve"> AutoTextList   \s NoStyle \t "CAL ist die Clientzugriffsli</w:instrText>
      </w:r>
      <w:r>
        <w:instrText xml:space="preserve">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w:instrText>
      </w:r>
      <w:r>
        <w:instrText xml:space="preserve">ge Definition im Glossar)" </w:instrText>
      </w:r>
      <w:r>
        <w:fldChar w:fldCharType="separate"/>
      </w:r>
      <w:r>
        <w:rPr>
          <w:color w:val="0563C1"/>
        </w:rPr>
        <w:t>Basis-CAL</w:t>
      </w:r>
      <w:r>
        <w:fldChar w:fldCharType="end"/>
      </w:r>
      <w:r>
        <w:t xml:space="preserve"> verwendet werden muss.</w:t>
      </w:r>
    </w:p>
    <w:p w:rsidR="006514EF" w:rsidRDefault="00DD50AA">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nstrText>
      </w:r>
      <w:r>
        <w:instrText xml:space="preserv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w:instrText>
      </w:r>
      <w:r>
        <w:instrText xml:space="preserve">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w:t>
      </w:r>
      <w:r>
        <w:rPr>
          <w:color w:val="0563C1"/>
        </w:rPr>
        <w:t>ternen Connector-Basislizenz</w:t>
      </w:r>
      <w:r>
        <w:fldChar w:fldCharType="end"/>
      </w:r>
      <w:r>
        <w:t xml:space="preserve"> verwendet werden muss.</w:t>
      </w:r>
    </w:p>
    <w:p w:rsidR="006514EF" w:rsidRDefault="00DD50AA">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w:t>
      </w:r>
      <w:r>
        <w:t>oftware von jedem Gerät durch einen beliebigen einzelnen Nutzer. Eine Geräte-CAL ermöglicht den Zugriff auf die entsprechenden Versionen der Serversoftware oder frühere Versionen der Serversoftware von einem Gerät durch beliebige Nutzer. CALs ermöglichen d</w:t>
      </w:r>
      <w:r>
        <w:t>en Zugriff auf Serversoftware, die nur auf Lizenzierten Servern des Kunden ausgeführt wird.</w:t>
      </w:r>
    </w:p>
    <w:p w:rsidR="006514EF" w:rsidRDefault="00DD50AA">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w:instrText>
      </w:r>
      <w:r>
        <w:instrText xml:space="preserve">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w:instrText>
      </w:r>
      <w:r>
        <w:instrText xml:space="preserv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w:instrText>
      </w:r>
      <w:r>
        <w:instrText xml:space="preserve">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w:instrText>
      </w:r>
      <w:r>
        <w:instrText xml:space="preserv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w:instrText>
      </w:r>
      <w:r>
        <w:instrText xml:space="preserve">"Lizenz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w:t>
      </w:r>
      <w:r>
        <w:t>nce verfügte.</w:t>
      </w:r>
    </w:p>
    <w:p w:rsidR="006514EF" w:rsidRDefault="00DD50AA">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w:instrText>
      </w:r>
      <w:r>
        <w:instrText xml:space="preserve">n im Glossar)" </w:instrText>
      </w:r>
      <w:r>
        <w:fldChar w:fldCharType="separate"/>
      </w:r>
      <w:r>
        <w:rPr>
          <w:color w:val="0563C1"/>
        </w:rPr>
        <w:t>OSE</w:t>
      </w:r>
      <w:r>
        <w:fldChar w:fldCharType="end"/>
      </w:r>
      <w:r>
        <w:t>, die ein Client-Betriebssystem ausführt.</w:t>
      </w:r>
    </w:p>
    <w:p w:rsidR="006514EF" w:rsidRDefault="00DD50AA">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w:t>
      </w:r>
      <w:r>
        <w:t>fträgen und Aufgaben, die von einem Auftragsplaner koordiniert werden, wie er von Microsoft HPC Pack oder ähnlicher HPC-Middleware bereitgestellt wird. Der Auftragsplaner verteilt diese parallel auf einen oder mehrere Computer, die in einem HPC-Cluster arb</w:t>
      </w:r>
      <w:r>
        <w:t>eiten.</w:t>
      </w:r>
    </w:p>
    <w:p w:rsidR="006514EF" w:rsidRDefault="00DD50AA">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w:instrText>
      </w:r>
      <w:r>
        <w:instrText xml:space="preserve">)"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w:instrText>
      </w:r>
      <w:r>
        <w:instrText xml:space="preserve">ändige Definition im Glossar)" </w:instrText>
      </w:r>
      <w:r>
        <w:fldChar w:fldCharType="separate"/>
      </w:r>
      <w:r>
        <w:rPr>
          <w:color w:val="0563C1"/>
        </w:rPr>
        <w:t>Geclusterte HPC-Anwendungen</w:t>
      </w:r>
      <w:r>
        <w:fldChar w:fldCharType="end"/>
      </w:r>
      <w:r>
        <w:t xml:space="preserve"> bestimmt ist.</w:t>
      </w:r>
    </w:p>
    <w:p w:rsidR="006514EF" w:rsidRDefault="00DD50AA">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w:t>
      </w:r>
      <w:r>
        <w:rPr>
          <w:color w:val="0563C1"/>
        </w:rPr>
        <w:t xml:space="preserve">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w:instrText>
      </w:r>
      <w:r>
        <w:instrText xml:space="preserve">ches Hardwaresystem, das fähig ist, Serversoftware auszuführen." </w:instrText>
      </w:r>
      <w:r>
        <w:fldChar w:fldCharType="separate"/>
      </w:r>
      <w:r>
        <w:rPr>
          <w:color w:val="0563C1"/>
        </w:rPr>
        <w:t>Server</w:t>
      </w:r>
      <w:r>
        <w:fldChar w:fldCharType="end"/>
      </w:r>
      <w:r>
        <w:t xml:space="preserve"> erforderlichen Lizenzen zu bestimmen.</w:t>
      </w:r>
    </w:p>
    <w:p w:rsidR="006514EF" w:rsidRDefault="00DD50AA">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w:t>
      </w:r>
      <w:r>
        <w:t xml:space="preserv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6514EF" w:rsidRDefault="00DD50AA">
      <w:pPr>
        <w:pStyle w:val="ProductList-BodySpaced"/>
      </w:pPr>
      <w:r>
        <w:rPr>
          <w:b/>
          <w:color w:val="00188F"/>
        </w:rPr>
        <w:t>Ex</w:t>
      </w:r>
      <w:r>
        <w:rPr>
          <w:b/>
          <w:color w:val="00188F"/>
        </w:rPr>
        <w:t>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w:t>
      </w:r>
      <w:r>
        <w:t xml:space="preserve">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w:instrText>
      </w:r>
      <w:r>
        <w:instrText xml:space="preserve">tner oder Erfüllungsgehilfen vor Ort des Kunden oder dessen Verbundenen Unternehmen." </w:instrText>
      </w:r>
      <w:r>
        <w:fldChar w:fldCharType="separate"/>
      </w:r>
      <w:r>
        <w:rPr>
          <w:color w:val="0563C1"/>
        </w:rPr>
        <w:t>Externe Nutzer</w:t>
      </w:r>
      <w:r>
        <w:fldChar w:fldCharType="end"/>
      </w:r>
      <w:r>
        <w:t xml:space="preserve"> ermöglicht.</w:t>
      </w:r>
    </w:p>
    <w:p w:rsidR="006514EF" w:rsidRDefault="00DD50AA">
      <w:pPr>
        <w:pStyle w:val="ProductList-BodySpaced"/>
      </w:pPr>
      <w:r>
        <w:rPr>
          <w:b/>
          <w:color w:val="00188F"/>
        </w:rPr>
        <w:t>Externe Nutzer</w:t>
      </w:r>
      <w:r>
        <w:t xml:space="preserve"> sind Nutzer, die weder Angestellte des Kunden oder von dessen Verbundenen Unternehmen sind noch Vertragspartner oder Erfüllun</w:t>
      </w:r>
      <w:r>
        <w:t>gsgehilfen vor Ort des Kunden oder dessen Verbundenen Unternehmen.</w:t>
      </w:r>
    </w:p>
    <w:p w:rsidR="006514EF" w:rsidRDefault="00DD50AA">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w:instrText>
      </w:r>
      <w:r>
        <w:instrText xml:space="preserve"> \s NoStyle \t "Physischer Prozessor ist ein Prozessor in einem physischen Hardwaresystem." </w:instrText>
      </w:r>
      <w:r>
        <w:fldChar w:fldCharType="separate"/>
      </w:r>
      <w:r>
        <w:rPr>
          <w:color w:val="0563C1"/>
        </w:rPr>
        <w:t>Physischen Prozessor</w:t>
      </w:r>
      <w:r>
        <w:fldChar w:fldCharType="end"/>
      </w:r>
      <w:r>
        <w:t>.</w:t>
      </w:r>
    </w:p>
    <w:p w:rsidR="006514EF" w:rsidRDefault="00DD50AA">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w:instrText>
      </w:r>
      <w:r>
        <w:instrText xml:space="preserve">"Clusterknoten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w:t>
      </w:r>
      <w:r>
        <w:t xml:space="preserve">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w:instrText>
      </w:r>
      <w:r>
        <w:instrText xml:space="preserve">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w:instrText>
      </w:r>
      <w:r>
        <w:instrText xml:space="preserve">leme löst. (Siehe vollständige Definition im Glossar)" </w:instrText>
      </w:r>
      <w:r>
        <w:fldChar w:fldCharType="separate"/>
      </w:r>
      <w:r>
        <w:rPr>
          <w:color w:val="0563C1"/>
        </w:rPr>
        <w:t>geclusterten HPC-Anwendungen</w:t>
      </w:r>
      <w:r>
        <w:fldChar w:fldCharType="end"/>
      </w:r>
      <w:r>
        <w:t xml:space="preserve"> zu ermöglichen.</w:t>
      </w:r>
    </w:p>
    <w:p w:rsidR="006514EF" w:rsidRDefault="00DD50AA">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w:instrText>
      </w:r>
      <w:r>
        <w:instrText xml:space="preserve">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6514EF" w:rsidRDefault="00DD50AA">
      <w:pPr>
        <w:pStyle w:val="ProductList-BodySpaced"/>
      </w:pPr>
      <w:r>
        <w:rPr>
          <w:b/>
          <w:color w:val="00188F"/>
        </w:rPr>
        <w:t xml:space="preserve">Lizenz </w:t>
      </w:r>
      <w:r>
        <w:t>bezeichnet das Recht, e</w:t>
      </w:r>
      <w:r>
        <w:t>in Produkt herunterzuladen, zu installieren, darauf zuzugreifen und es zu verwenden.</w:t>
      </w:r>
    </w:p>
    <w:p w:rsidR="006514EF" w:rsidRDefault="00DD50AA">
      <w:pPr>
        <w:pStyle w:val="ProductList-BodySpaced"/>
      </w:pPr>
      <w:r>
        <w:rPr>
          <w:b/>
          <w:color w:val="00188F"/>
        </w:rPr>
        <w:t>Lizenziertes Gerät</w:t>
      </w:r>
      <w:r>
        <w:t xml:space="preserve"> ist ein einzelnes physisches Hardwaresystem, dem eine Lizenz zugewiesen wird. Im Sinne dieser Definition wird eine Hardwarepartition oder ein Blade als </w:t>
      </w:r>
      <w:r>
        <w:t>separates Gerät betrachtet.</w:t>
      </w:r>
    </w:p>
    <w:p w:rsidR="006514EF" w:rsidRDefault="00DD50AA">
      <w:pPr>
        <w:pStyle w:val="ProductList-BodySpaced"/>
      </w:pPr>
      <w:r>
        <w:rPr>
          <w:b/>
          <w:color w:val="00188F"/>
        </w:rPr>
        <w:t xml:space="preserve">Partner für Lizenzmobilität durch Software Assurance </w:t>
      </w:r>
      <w:r>
        <w:t xml:space="preserve">ist eine unter </w:t>
      </w:r>
      <w:hyperlink r:id="rId134">
        <w:r>
          <w:rPr>
            <w:color w:val="00467F"/>
            <w:u w:val="single"/>
          </w:rPr>
          <w:t>http://www.microsoft.com/licensing/software-assurance/license-mob</w:t>
        </w:r>
        <w:r>
          <w:rPr>
            <w:color w:val="00467F"/>
            <w:u w:val="single"/>
          </w:rPr>
          <w:t>ility.aspx</w:t>
        </w:r>
      </w:hyperlink>
      <w:r>
        <w:t xml:space="preserve"> angegebene juristische Person, die von Microsoft dazu befugt wird, Software von Kunden auf gemeinsam genutzten Servern zu hosten. </w:t>
      </w:r>
    </w:p>
    <w:p w:rsidR="006514EF" w:rsidRDefault="00DD50AA">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w:instrText>
      </w:r>
      <w:r>
        <w:instrText xml:space="preserve">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6514EF" w:rsidRDefault="00DD50AA">
      <w:pPr>
        <w:pStyle w:val="ProductList-BodySpaced"/>
      </w:pPr>
      <w:r>
        <w:rPr>
          <w:b/>
        </w:rPr>
        <w:t>Lizenzierter Nutzer</w:t>
      </w:r>
      <w:r>
        <w:t xml:space="preserve"> ist die jeweilige Person, der eine </w:t>
      </w:r>
      <w:r>
        <w:fldChar w:fldCharType="begin"/>
      </w:r>
      <w:r>
        <w:instrText xml:space="preserve"> AutoTextList   \s NoStyle \t "Lizenz bedeute</w:instrText>
      </w:r>
      <w:r>
        <w:instrText xml:space="preserv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6514EF" w:rsidRDefault="00DD50AA">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w:instrText>
      </w:r>
      <w:r>
        <w:instrText xml:space="preserv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w:t>
      </w:r>
      <w:r>
        <w:t>e frühere Version der Serversoftware gestattet. Es gibt zwei Kategorien von Management-Lizenzen: Server-Management-Lizenz und Client-Management-Lizenz. Es gibt drei Arten von Client-Management-Lizenzen: Nutzer, OSE und Geräte. Eine Nutzer-Management-Lizenz</w:t>
      </w:r>
      <w:r>
        <w:t xml:space="preserv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w:instrText>
      </w:r>
      <w:r>
        <w:instrText xml:space="preserv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instrText>
      </w:r>
      <w:r>
        <w:instrText xml:space="preserve">weitig emulierte) Betriebssysteminstanz als Ganzes oder in Teilen ... (Siehe vollständige Definition im Glossar)" </w:instrText>
      </w:r>
      <w:r>
        <w:fldChar w:fldCharType="separate"/>
      </w:r>
      <w:r>
        <w:rPr>
          <w:color w:val="0563C1"/>
        </w:rPr>
        <w:t>OSE</w:t>
      </w:r>
      <w:r>
        <w:fldChar w:fldCharType="end"/>
      </w:r>
      <w:r>
        <w:t>, auf die von beliebig vielen Nutzern zugegriffen wird, eine Geräte-Management-Lizenz (Core-CAL oder Enterprise-CAL für Suite) erlaubt d</w:t>
      </w:r>
      <w:r>
        <w:t xml:space="preserve">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w:instrText>
      </w:r>
      <w:r>
        <w:instrText xml:space="preserve">n im Glossar)" </w:instrText>
      </w:r>
      <w:r>
        <w:fldChar w:fldCharType="separate"/>
      </w:r>
      <w:r>
        <w:rPr>
          <w:color w:val="0563C1"/>
        </w:rPr>
        <w:t>OSEs</w:t>
      </w:r>
      <w:r>
        <w:fldChar w:fldCharType="end"/>
      </w:r>
      <w:r>
        <w:t xml:space="preserve"> auf einem Gerät.</w:t>
      </w:r>
    </w:p>
    <w:p w:rsidR="006514EF" w:rsidRDefault="00DD50AA">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w:instrText>
      </w:r>
      <w:r>
        <w:instrText xml:space="preserve">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w:instrText>
      </w:r>
      <w:r>
        <w:instrText xml:space="preserve">."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w:instrText>
      </w:r>
      <w:r>
        <w:instrText xml:space="preserve">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w:t>
      </w:r>
      <w:r>
        <w:t>e verfügte.</w:t>
      </w:r>
    </w:p>
    <w:p w:rsidR="006514EF" w:rsidRDefault="00DD50AA">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w:instrText>
      </w:r>
      <w:r>
        <w:instrText xml:space="preserv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w:t>
      </w:r>
      <w:r>
        <w:t xml:space="preserve">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w:t>
      </w:r>
      <w:r>
        <w:t>cht unter diese Definition.</w:t>
      </w:r>
    </w:p>
    <w:p w:rsidR="006514EF" w:rsidRDefault="00DD50AA">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w:t>
      </w:r>
      <w:r>
        <w:t>r Computername oder eine ähnliche einzigartige ID) oder separate Verwaltungsrechte ermöglicht, sowie ggf. Instanzen von Anwendungen, die für die Ausführung unter der entsprechenden Betriebssysteminstanz oder Teilen davon konfiguriert sind, wie oben aufgefü</w:t>
      </w:r>
      <w:r>
        <w:t xml:space="preserve">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w:instrText>
      </w:r>
      <w:r>
        <w:instrText xml:space="preserve">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w:instrText>
      </w:r>
      <w:r>
        <w:instrText xml:space="preserve">, die für die Ausführung in einem virtuellen Hardwaresystem konfiguriert ist." </w:instrText>
      </w:r>
      <w:r>
        <w:fldChar w:fldCharType="separate"/>
      </w:r>
      <w:r>
        <w:rPr>
          <w:color w:val="0563C1"/>
        </w:rPr>
        <w:t>Virtuelle OSEs</w:t>
      </w:r>
      <w:r>
        <w:fldChar w:fldCharType="end"/>
      </w:r>
      <w:r>
        <w:t xml:space="preserve"> verfügen.</w:t>
      </w:r>
    </w:p>
    <w:p w:rsidR="006514EF" w:rsidRDefault="00DD50AA">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w:t>
      </w:r>
      <w:r>
        <w:rPr>
          <w:color w:val="0563C1"/>
        </w:rPr>
        <w:t>ischen Prozessor</w:t>
      </w:r>
      <w:r>
        <w:fldChar w:fldCharType="end"/>
      </w:r>
      <w:r>
        <w:t>.</w:t>
      </w:r>
    </w:p>
    <w:p w:rsidR="006514EF" w:rsidRDefault="00DD50AA">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w:instrText>
      </w:r>
      <w:r>
        <w:instrText xml:space="preserve"> Definition im Glossar)" </w:instrText>
      </w:r>
      <w:r>
        <w:fldChar w:fldCharType="separate"/>
      </w:r>
      <w:r>
        <w:rPr>
          <w:color w:val="0563C1"/>
        </w:rPr>
        <w:t>OSE</w:t>
      </w:r>
      <w:r>
        <w:fldChar w:fldCharType="end"/>
      </w:r>
      <w:r>
        <w:t>, die so konfiguriert ist, dass sie direkt auf einem physischen Hardwaresystem ausgeführt wird. Die Betriebssysteminstanz, die für die Ausführung der Hardware-Virtualisierungssoftware oder zur Bereitstellung von Hardware-Virt</w:t>
      </w:r>
      <w:r>
        <w:t xml:space="preserve">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w:instrText>
      </w:r>
      <w:r>
        <w:instrText xml:space="preserve">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6514EF" w:rsidRDefault="00DD50AA">
      <w:pPr>
        <w:pStyle w:val="ProductList-BodySpaced"/>
      </w:pPr>
      <w:r>
        <w:rPr>
          <w:b/>
          <w:color w:val="00188F"/>
        </w:rPr>
        <w:t xml:space="preserve">Physischer Prozessor </w:t>
      </w:r>
      <w:r>
        <w:t>ist ein Prozessor in einem physischen Hardwaresys</w:t>
      </w:r>
      <w:r>
        <w:t>tem.</w:t>
      </w:r>
    </w:p>
    <w:p w:rsidR="006514EF" w:rsidRDefault="00DD50AA">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w:instrText>
      </w:r>
      <w:r>
        <w:instrText xml:space="preserve">ät betrachtet." </w:instrText>
      </w:r>
      <w:r>
        <w:fldChar w:fldCharType="separate"/>
      </w:r>
      <w:r>
        <w:rPr>
          <w:color w:val="0563C1"/>
        </w:rPr>
        <w:t>Lizenziertes Gerät</w:t>
      </w:r>
      <w:r>
        <w:fldChar w:fldCharType="end"/>
      </w:r>
      <w:r>
        <w:t xml:space="preserve"> in einem Zeitraum von 90 Tagen mehr als 50 % der Zeit nutzt.</w:t>
      </w:r>
    </w:p>
    <w:p w:rsidR="006514EF" w:rsidRDefault="00DD50AA">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w:instrText>
      </w:r>
      <w:r>
        <w:instrText xml:space="preserve">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w:instrText>
      </w:r>
      <w:r>
        <w:instrText xml:space="preserve">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6514EF" w:rsidRDefault="00DD50AA">
      <w:pPr>
        <w:pStyle w:val="ProductList-BodySpaced"/>
      </w:pPr>
      <w:r>
        <w:rPr>
          <w:b/>
          <w:color w:val="00188F"/>
        </w:rPr>
        <w:t>Berechtigendes Drittgerät</w:t>
      </w:r>
      <w:r>
        <w:t xml:space="preserve"> ist ein Gerät, das weder direkt noch indirekt vom Kunden oder dessen Verbundenen Unternehmen kont</w:t>
      </w:r>
      <w:r>
        <w:t>rolliert wird (z. B. ein öffentlicher Kiosk eines Dritten).</w:t>
      </w:r>
    </w:p>
    <w:p w:rsidR="006514EF" w:rsidRDefault="00DD50AA">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w:instrText>
      </w:r>
      <w:r>
        <w:instrText xml:space="preserve">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w:t>
      </w:r>
      <w:r>
        <w:t xml:space="preserve">lädt und eine oder mehrere der Anweisungen ausführt.) Sobald sie ausgeführt wird, wird eine Instanz so lange als ausgeführt betrachtet (unabhängig davon, ob ihre Anweisungen weiterhin ausgeführt werden oder nicht), bis sie aus dem Arbeitsspeicher entfernt </w:t>
      </w:r>
      <w:r>
        <w:t>wird.</w:t>
      </w:r>
    </w:p>
    <w:p w:rsidR="006514EF" w:rsidRDefault="00DD50AA">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w:t>
      </w:r>
      <w:r>
        <w:t>immten Zeitraum ermöglicht.</w:t>
      </w:r>
    </w:p>
    <w:p w:rsidR="006514EF" w:rsidRDefault="00DD50AA">
      <w:pPr>
        <w:pStyle w:val="ProductList-BodySpaced"/>
      </w:pPr>
      <w:r>
        <w:rPr>
          <w:b/>
          <w:color w:val="00188F"/>
        </w:rPr>
        <w:t>Server</w:t>
      </w:r>
      <w:r>
        <w:t xml:space="preserve"> ist ein physisches Hardwaresystem, das fähig ist, Serversoftware auszuführen.</w:t>
      </w:r>
    </w:p>
    <w:p w:rsidR="006514EF" w:rsidRDefault="00DD50AA">
      <w:pPr>
        <w:pStyle w:val="ProductList-BodySpaced"/>
      </w:pPr>
      <w:r>
        <w:rPr>
          <w:b/>
          <w:color w:val="00188F"/>
        </w:rPr>
        <w:t>Serverfarm</w:t>
      </w:r>
      <w:r>
        <w:t xml:space="preserve"> ist ein Rechenzentrum oder zwei Rechenzentren, die sich beide entweder in Zeitzonen mit weniger als vier Stunden Unterschied und/ode</w:t>
      </w:r>
      <w:r>
        <w:t>r innerhalb der EU oder der EFTA befinden. Ein Rechenzentrum kann von einer Serverfarm zu einer anderen verlegt werden, jedoch nicht nur kurzzeitig. (EU ist die Europäische Union; EFTA ist die Europäische Freihandelsassoziation)</w:t>
      </w:r>
    </w:p>
    <w:p w:rsidR="006514EF" w:rsidRDefault="00DD50AA">
      <w:pPr>
        <w:pStyle w:val="ProductList-BodySpaced"/>
      </w:pPr>
      <w:r>
        <w:rPr>
          <w:b/>
          <w:color w:val="00188F"/>
        </w:rPr>
        <w:t>Virtueller Core</w:t>
      </w:r>
      <w:r>
        <w:t xml:space="preserve"> ist die Ein</w:t>
      </w:r>
      <w:r>
        <w:t>heit der Verarbeitungsleistung in einem virtuellen Hardwaresystem. Ein Virtueller Core ist die virtuelle Darstellung von einem oder mehreren Hardware-Threads.</w:t>
      </w:r>
    </w:p>
    <w:p w:rsidR="006514EF" w:rsidRDefault="00DD50AA">
      <w:pPr>
        <w:pStyle w:val="ProductList-BodySpaced"/>
      </w:pPr>
      <w:r>
        <w:rPr>
          <w:b/>
          <w:color w:val="00188F"/>
        </w:rPr>
        <w:t>Virtuelle OSE</w:t>
      </w:r>
      <w:r>
        <w:t xml:space="preserve"> ist eine </w:t>
      </w:r>
      <w:r>
        <w:fldChar w:fldCharType="begin"/>
      </w:r>
      <w:r>
        <w:instrText xml:space="preserve"> AutoTextList   \s NoStyle \t "OSE ist eine Betriebssysteminstanz als Ganz</w:instrText>
      </w:r>
      <w:r>
        <w:instrText xml:space="preserve">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w:t>
      </w:r>
      <w:r>
        <w:t>rt wird.</w:t>
      </w:r>
    </w:p>
    <w:p w:rsidR="006514EF" w:rsidRDefault="00DD50AA">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w:t>
      </w:r>
      <w:r>
        <w:t>en und Anwendungen, die durch die Software innerhalb einer Internet-Weblösung bereitgestellt werden, nicht auf die Mitarbeiter des Kunden oder die Mitarbeiter dessen verbundener Unternehmen beschränkt ist.</w:t>
      </w:r>
    </w:p>
    <w:p w:rsidR="006514EF" w:rsidRDefault="00DD50AA">
      <w:pPr>
        <w:pStyle w:val="ProductList-BodySpaced"/>
      </w:pPr>
      <w:r>
        <w:t>Software in Internet-Weblösungen wird zur Ausführu</w:t>
      </w:r>
      <w:r>
        <w:t>ng von Folgendem verwendet:</w:t>
      </w:r>
    </w:p>
    <w:p w:rsidR="006514EF" w:rsidRDefault="00DD50AA">
      <w:pPr>
        <w:pStyle w:val="ProductList-Bullet"/>
        <w:numPr>
          <w:ilvl w:val="0"/>
          <w:numId w:val="37"/>
        </w:numPr>
      </w:pPr>
      <w:r>
        <w:t>Webserver-Software (z. B. Microsoft-Internetinformationsdienste) und Management oder Security Agents (z. B. den System Center Operations Manager-Agent),</w:t>
      </w:r>
    </w:p>
    <w:p w:rsidR="006514EF" w:rsidRDefault="00DD50AA">
      <w:pPr>
        <w:pStyle w:val="ProductList-Bullet"/>
        <w:numPr>
          <w:ilvl w:val="0"/>
          <w:numId w:val="37"/>
        </w:numPr>
      </w:pPr>
      <w:r>
        <w:t>Datenbankmodulsoftware (z. B. Microsoft SQL Server) ausschließlich zur Unterstützung von Internet-Weblösungen oder</w:t>
      </w:r>
    </w:p>
    <w:p w:rsidR="006514EF" w:rsidRDefault="00DD50AA">
      <w:pPr>
        <w:pStyle w:val="ProductList-Bullet"/>
        <w:numPr>
          <w:ilvl w:val="0"/>
          <w:numId w:val="37"/>
        </w:numPr>
      </w:pPr>
      <w:r>
        <w:t>der Domain Name System (DNS)-Dienst zur Auflösung von Internetnamen in IP-Adressen, sofern es sich hierbei nicht um die einzige Funktion dies</w:t>
      </w:r>
      <w:r>
        <w:t>er Instanz der Software handelt.</w:t>
      </w:r>
    </w:p>
    <w:p w:rsidR="006514EF" w:rsidRDefault="00DD50AA">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w:t>
      </w:r>
      <w:r>
        <w:t>ild, Windows Identity Foundation, Windows Library for JAVAScript, Debghelp.dll und Web Deploy-Technologien zusammenhängen, sind allesamt Windows-Softwarekomponenten.</w:t>
      </w:r>
    </w:p>
    <w:p w:rsidR="006514EF" w:rsidRDefault="006514EF">
      <w:pPr>
        <w:pStyle w:val="ProductList-BodySpaced"/>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Spaced"/>
      </w:pPr>
    </w:p>
    <w:p w:rsidR="006514EF" w:rsidRDefault="006514EF">
      <w:pPr>
        <w:sectPr w:rsidR="006514EF">
          <w:headerReference w:type="default" r:id="rId135"/>
          <w:footerReference w:type="default" r:id="rId136"/>
          <w:type w:val="continuous"/>
          <w:pgSz w:w="12240" w:h="15840" w:code="1"/>
          <w:pgMar w:top="1170" w:right="720" w:bottom="720" w:left="720" w:header="432" w:footer="288" w:gutter="0"/>
          <w:cols w:space="360"/>
        </w:sectPr>
      </w:pPr>
    </w:p>
    <w:p w:rsidR="006514EF" w:rsidRDefault="00DD50AA">
      <w:pPr>
        <w:pStyle w:val="ProductList-SectionHeading"/>
        <w:pageBreakBefore/>
        <w:outlineLvl w:val="0"/>
      </w:pPr>
      <w:bookmarkStart w:id="371" w:name="_Sec591"/>
      <w:bookmarkEnd w:id="361"/>
      <w:r>
        <w:t>Anhang A – CAL-/ML-äquivalente Lizenzen</w:t>
      </w:r>
      <w:r>
        <w:fldChar w:fldCharType="begin"/>
      </w:r>
      <w:r>
        <w:instrText xml:space="preserve"> TC "</w:instrText>
      </w:r>
      <w:bookmarkStart w:id="372" w:name="_Toc439056372"/>
      <w:r>
        <w:instrText>Anhang A – CAL-/ML-äquivalente Lizenzen</w:instrText>
      </w:r>
      <w:bookmarkEnd w:id="372"/>
      <w:r>
        <w:instrText>" \l 1</w:instrText>
      </w:r>
      <w:r>
        <w:fldChar w:fldCharType="end"/>
      </w:r>
    </w:p>
    <w:p w:rsidR="006514EF" w:rsidRDefault="00DD50AA">
      <w:pPr>
        <w:pStyle w:val="ProductList-Body"/>
      </w:pPr>
      <w:r>
        <w:t>Rechte zum Zugriff auf Serve</w:t>
      </w:r>
      <w:r>
        <w:t xml:space="pre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w:instrText>
      </w:r>
      <w:r>
        <w:instrText xml:space="preserve">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w:instrText>
      </w:r>
      <w:r>
        <w:instrText xml:space="preserve">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w:instrText>
      </w:r>
      <w:r>
        <w:instrText xml:space="preserve">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w:instrText>
      </w:r>
      <w:r>
        <w:instrText xml:space="preserve">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w:instrText>
      </w:r>
      <w:r>
        <w:instrText xml:space="preserve">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w:instrText>
      </w:r>
      <w:r>
        <w:instrText xml:space="preserv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w:instrText>
      </w:r>
      <w:r>
        <w:instrText xml:space="preserve">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w:instrText>
      </w:r>
      <w:r>
        <w:instrText xml:space="preserve">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w:instrText>
      </w:r>
      <w:r>
        <w:instrText xml:space="preserve">hes Hardwaresystem, das fähig ist, Serversoftware auszuführen." </w:instrText>
      </w:r>
      <w:r>
        <w:fldChar w:fldCharType="separate"/>
      </w:r>
      <w:r>
        <w:rPr>
          <w:color w:val="0563C1"/>
        </w:rPr>
        <w:t>Server</w:t>
      </w:r>
      <w:r>
        <w:fldChar w:fldCharType="end"/>
      </w:r>
      <w:r>
        <w:t>produkts erfüllt sind.</w:t>
      </w:r>
    </w:p>
    <w:p w:rsidR="006514EF" w:rsidRDefault="006514EF">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6514E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514EF" w:rsidRDefault="006514E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514EF" w:rsidRDefault="00DD50A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514EF" w:rsidRDefault="00DD50A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514EF" w:rsidRDefault="00DD50A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514EF" w:rsidRDefault="00DD50AA">
            <w:pPr>
              <w:pStyle w:val="ProductList-TableBody"/>
              <w:jc w:val="center"/>
            </w:pPr>
            <w:r>
              <w:rPr>
                <w:color w:val="FFFFFF"/>
              </w:rPr>
              <w:t>Enterprise Mobility</w:t>
            </w:r>
          </w:p>
        </w:tc>
      </w:tr>
      <w:tr w:rsidR="006514EF">
        <w:tc>
          <w:tcPr>
            <w:tcW w:w="620" w:type="dxa"/>
            <w:tcBorders>
              <w:top w:val="none" w:sz="4" w:space="0" w:color="BFBFBF"/>
              <w:left w:val="none" w:sz="24" w:space="0" w:color="808080"/>
              <w:bottom w:val="single" w:sz="4" w:space="0" w:color="FFFFFF"/>
              <w:right w:val="single" w:sz="6" w:space="0" w:color="FFFFFF"/>
            </w:tcBorders>
          </w:tcPr>
          <w:p w:rsidR="006514EF" w:rsidRDefault="00DD50AA">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514EF" w:rsidRDefault="00DD50AA">
            <w:pPr>
              <w:pStyle w:val="ProductList-TableBody"/>
              <w:jc w:val="center"/>
            </w:pPr>
            <w:r>
              <w:rPr>
                <w:color w:val="FFFFFF"/>
              </w:rPr>
              <w:t>Suite</w:t>
            </w: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Exchange Server 2016 Standard</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793">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Exchange Server 2016 Enterprise</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793">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SharePoint Server 2013</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798">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Microsoft Audit and Control Management Server 2013</w:t>
            </w: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Skype für Business Server 2015</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799">
              <w:r>
                <w:rPr>
                  <w:color w:val="00467F"/>
                  <w:u w:val="single"/>
                </w:rPr>
                <w:t>Zusätzlich</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799">
              <w:r>
                <w:rPr>
                  <w:color w:val="00467F"/>
                  <w:u w:val="single"/>
                </w:rPr>
                <w:t>Zusätzlich</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Windows MultiPoint Server 2012 Standard</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800">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Windows MultiPoint Server 2012 Premium</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800">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Windows Server 2012 R2 Standard</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7">
              <w:r>
                <w:rPr>
                  <w:color w:val="00467F"/>
                  <w:u w:val="single"/>
                </w:rPr>
                <w:t>Zusätzlich</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807">
              <w:r>
                <w:rPr>
                  <w:color w:val="00467F"/>
                  <w:u w:val="single"/>
                </w:rPr>
                <w:t>Zusätzlich</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Windows Server 2012 R2 Data Center</w:t>
            </w: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dashed" w:sz="4" w:space="0" w:color="BFBFBF"/>
              <w:right w:val="single" w:sz="6" w:space="0" w:color="FFFFFF"/>
            </w:tcBorders>
          </w:tcPr>
          <w:p w:rsidR="006514EF" w:rsidRDefault="00DD50AA">
            <w:pPr>
              <w:pStyle w:val="ProductList-TableBody"/>
            </w:pPr>
            <w:hyperlink w:anchor="_Sec807">
              <w:r>
                <w:rPr>
                  <w:color w:val="00467F"/>
                  <w:u w:val="single"/>
                </w:rPr>
                <w:t>Zusätzlich</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807">
              <w:r>
                <w:rPr>
                  <w:color w:val="00467F"/>
                  <w:u w:val="single"/>
                </w:rPr>
                <w:t>Zusätzlich</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Advanced Threat Analytics 2016</w:t>
            </w:r>
          </w:p>
        </w:tc>
      </w:tr>
      <w:tr w:rsidR="006514EF">
        <w:tc>
          <w:tcPr>
            <w:tcW w:w="620" w:type="dxa"/>
            <w:tcBorders>
              <w:top w:val="dashed" w:sz="4" w:space="0" w:color="BFBFBF"/>
              <w:left w:val="none" w:sz="24" w:space="0" w:color="808080"/>
              <w:bottom w:val="single" w:sz="4" w:space="0" w:color="FFFFFF"/>
              <w:right w:val="single" w:sz="6" w:space="0" w:color="FFFFFF"/>
            </w:tcBorders>
          </w:tcPr>
          <w:p w:rsidR="006514EF" w:rsidRDefault="00DD50AA">
            <w:pPr>
              <w:pStyle w:val="ProductList-TableBody"/>
            </w:pPr>
            <w:hyperlink w:anchor="_Sec801">
              <w:r>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514EF" w:rsidRDefault="006514EF">
            <w:pPr>
              <w:pStyle w:val="ProductList-TableBody"/>
              <w:jc w:val="center"/>
            </w:pPr>
          </w:p>
        </w:tc>
      </w:tr>
      <w:tr w:rsidR="006514EF">
        <w:tc>
          <w:tcPr>
            <w:tcW w:w="620" w:type="dxa"/>
            <w:gridSpan w:val="16"/>
            <w:tcBorders>
              <w:top w:val="single" w:sz="4" w:space="0" w:color="FFFFFF"/>
              <w:left w:val="single" w:sz="6" w:space="0" w:color="FFFFFF"/>
              <w:bottom w:val="single" w:sz="4" w:space="0" w:color="FFFFFF"/>
              <w:right w:val="single" w:sz="6" w:space="0" w:color="FFFFFF"/>
            </w:tcBorders>
          </w:tcPr>
          <w:p w:rsidR="006514EF" w:rsidRDefault="00DD50AA">
            <w:pPr>
              <w:pStyle w:val="ProductList-TableBody"/>
            </w:pPr>
            <w:r>
              <w:rPr>
                <w:b/>
              </w:rPr>
              <w:t>System Center 2012 R2 Configuration Manager</w:t>
            </w:r>
          </w:p>
        </w:tc>
      </w:tr>
      <w:tr w:rsidR="006514EF">
        <w:tc>
          <w:tcPr>
            <w:tcW w:w="620" w:type="dxa"/>
            <w:tcBorders>
              <w:top w:val="dashed" w:sz="4" w:space="0" w:color="BFBFBF"/>
              <w:left w:val="none" w:sz="24" w:space="0" w:color="808080"/>
              <w:bottom w:val="none" w:sz="4" w:space="0" w:color="6E6E6E"/>
              <w:right w:val="single" w:sz="6" w:space="0" w:color="FFFFFF"/>
            </w:tcBorders>
          </w:tcPr>
          <w:p w:rsidR="006514EF" w:rsidRDefault="00DD50AA">
            <w:pPr>
              <w:pStyle w:val="ProductList-TableBody"/>
            </w:pPr>
            <w:hyperlink w:anchor="_Sec802">
              <w:r>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514EF" w:rsidRDefault="006514E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514EF" w:rsidRDefault="006514EF">
            <w:pPr>
              <w:pStyle w:val="ProductList-TableBody"/>
              <w:jc w:val="center"/>
            </w:pPr>
          </w:p>
        </w:tc>
      </w:tr>
    </w:tbl>
    <w:p w:rsidR="006514EF" w:rsidRDefault="00DD50AA">
      <w:pPr>
        <w:pStyle w:val="ProductList-Body"/>
      </w:pPr>
      <w:r>
        <w:rPr>
          <w:b/>
          <w:i/>
        </w:rPr>
        <w:t>Hinweis</w:t>
      </w:r>
      <w:r>
        <w:rPr>
          <w:i/>
        </w:rPr>
        <w:t xml:space="preserve">: Office 365 Education E1 und Office 365 Nonprofit E1 erfüllen nicht die Lizenzanforderung für den Zugriff auf (oder die Verwaltung der) Produkte in dieser Tabelle. Eine Lizenz für Core CAL und Enterprise CAL Suite mit aktiver SA umfasst Rechte, die denen </w:t>
      </w:r>
      <w:r>
        <w:rPr>
          <w:i/>
        </w:rPr>
        <w:t>von System Center 2012 R2 Endpoint Protection entsprechen. Eine Lizenz für die Enterprise CAL Suite mit aktiver SA umfasst Rechte, die den Rechten zur Verhinderung von Datenverlust und Exchange Online Protection entsprechen.</w:t>
      </w:r>
    </w:p>
    <w:p w:rsidR="006514EF" w:rsidRDefault="00DD50AA">
      <w:pPr>
        <w:pStyle w:val="ProductList-SectionHeading"/>
        <w:pageBreakBefore/>
        <w:outlineLvl w:val="0"/>
      </w:pPr>
      <w:bookmarkStart w:id="373" w:name="_Sec564"/>
      <w:bookmarkEnd w:id="371"/>
      <w:r>
        <w:t>Anhang B – Software Assurance</w:t>
      </w:r>
      <w:r>
        <w:fldChar w:fldCharType="begin"/>
      </w:r>
      <w:r>
        <w:instrText xml:space="preserve"> T</w:instrText>
      </w:r>
      <w:r>
        <w:instrText>C "</w:instrText>
      </w:r>
      <w:bookmarkStart w:id="374" w:name="_Toc439056373"/>
      <w:r>
        <w:instrText>Anhang B – Software Assurance</w:instrText>
      </w:r>
      <w:bookmarkEnd w:id="374"/>
      <w:r>
        <w:instrText>" \l 1</w:instrText>
      </w:r>
      <w:r>
        <w:fldChar w:fldCharType="end"/>
      </w:r>
    </w:p>
    <w:p w:rsidR="006514EF" w:rsidRDefault="00DD50AA">
      <w:pPr>
        <w:pStyle w:val="ProductList-Offering1Heading"/>
        <w:outlineLvl w:val="1"/>
      </w:pPr>
      <w:bookmarkStart w:id="375" w:name="_Sec573"/>
      <w:r>
        <w:t>Erwerb von Software Assurance</w:t>
      </w:r>
      <w:bookmarkEnd w:id="375"/>
      <w:r>
        <w:fldChar w:fldCharType="begin"/>
      </w:r>
      <w:r>
        <w:instrText xml:space="preserve"> TC "</w:instrText>
      </w:r>
      <w:bookmarkStart w:id="376" w:name="_Toc439056374"/>
      <w:r>
        <w:instrText>Erwerb von Software Assurance</w:instrText>
      </w:r>
      <w:bookmarkEnd w:id="376"/>
      <w:r>
        <w:instrText>" \l 2</w:instrText>
      </w:r>
      <w:r>
        <w:fldChar w:fldCharType="end"/>
      </w:r>
    </w:p>
    <w:p w:rsidR="006514EF" w:rsidRDefault="00DD50AA">
      <w:pPr>
        <w:pStyle w:val="ProductList-Body"/>
      </w:pPr>
      <w:r>
        <w:t>Es gibt drei verschiedene Abnahmestufen, die der Kunde beim Erwerb von Software Assurance auswählen kann. Diese können nach Programm variieren.</w:t>
      </w:r>
      <w:r>
        <w:t xml:space="preserve"> Der Kunde kann: </w:t>
      </w:r>
    </w:p>
    <w:p w:rsidR="006514EF" w:rsidRDefault="00DD50AA">
      <w:pPr>
        <w:pStyle w:val="ProductList-Bullet"/>
        <w:numPr>
          <w:ilvl w:val="0"/>
          <w:numId w:val="38"/>
        </w:numPr>
      </w:pPr>
      <w:r>
        <w:t>sich verpflichten, Software Assurance für alle Plattformprodukte zu erwerben.</w:t>
      </w:r>
    </w:p>
    <w:p w:rsidR="006514EF" w:rsidRDefault="00DD50AA">
      <w:pPr>
        <w:pStyle w:val="ProductList-Bullet"/>
        <w:numPr>
          <w:ilvl w:val="0"/>
          <w:numId w:val="38"/>
        </w:numPr>
      </w:pPr>
      <w:r>
        <w:t>sich verpflichten, Software Assurance für alle Erwerbe unter einem bestimmten Produkt-Pool (Anwendungen, Systeme oder Server) zu erwerben. Dies wird als Mitglie</w:t>
      </w:r>
      <w:r>
        <w:t>dschaft bei Software Assurance (Software Assurance Membership, SAM) bezeichnet.</w:t>
      </w:r>
    </w:p>
    <w:p w:rsidR="006514EF" w:rsidRDefault="00DD50AA">
      <w:pPr>
        <w:pStyle w:val="ProductList-Bullet"/>
        <w:numPr>
          <w:ilvl w:val="0"/>
          <w:numId w:val="38"/>
        </w:numPr>
      </w:pPr>
      <w:r>
        <w:t>Software Assurance für einzelne Produkte erwerben, ohne sich zur Ausweitung von Software Assurance auf andere Produkte zu verpflichten.</w:t>
      </w:r>
    </w:p>
    <w:p w:rsidR="006514EF" w:rsidRDefault="006514EF">
      <w:pPr>
        <w:pStyle w:val="ProductList-Body"/>
      </w:pPr>
    </w:p>
    <w:p w:rsidR="006514EF" w:rsidRDefault="00DD50AA">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w:t>
      </w:r>
      <w:r>
        <w:t xml:space="preserve">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w:instrText>
      </w:r>
      <w:r>
        <w:instrText xml:space="preserve">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w:instrText>
      </w:r>
      <w:r>
        <w:instrText xml:space="preserve">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w:t>
      </w:r>
      <w:r>
        <w:rPr>
          <w:color w:val="0563C1"/>
        </w:rPr>
        <w:t>n</w:t>
      </w:r>
      <w:r>
        <w:fldChar w:fldCharType="end"/>
      </w:r>
      <w:r>
        <w:t xml:space="preserve"> bis zum Übertragungsdatum aktive Software Assurance aufrechterhalten hat.</w:t>
      </w:r>
    </w:p>
    <w:p w:rsidR="006514EF" w:rsidRDefault="006514EF">
      <w:pPr>
        <w:pStyle w:val="ProductList-Body"/>
      </w:pPr>
    </w:p>
    <w:p w:rsidR="006514EF" w:rsidRDefault="00DD50AA">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w:t>
      </w:r>
      <w:r>
        <w:t xml:space="preserve">den. Unter dem Open Value-Programm gilt diese Option nur für nicht organisationsweite/unternehmensweite Produkte. Unter Konzernverträgen gilt sie nur für Zusätzliche Produkte innerhalb von 90 Tagen ab dem Kaufdatum. Kunden, die Software Assurance für OEM- </w:t>
      </w:r>
      <w:r>
        <w:t>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16"/>
        <w:gridCol w:w="2175"/>
        <w:gridCol w:w="2207"/>
        <w:gridCol w:w="4192"/>
      </w:tblGrid>
      <w:tr w:rsidR="006514E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Programme</w:t>
            </w:r>
          </w:p>
        </w:tc>
      </w:tr>
      <w:tr w:rsidR="006514EF">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 nur wie nachstehend aufgeführt ve</w:t>
            </w:r>
            <w:r>
              <w:t>rfügbar</w:t>
            </w:r>
          </w:p>
        </w:tc>
        <w:tc>
          <w:tcPr>
            <w:tcW w:w="4660" w:type="dxa"/>
            <w:tcBorders>
              <w:top w:val="single" w:sz="4" w:space="0" w:color="000000"/>
              <w:left w:val="single" w:sz="4" w:space="0" w:color="000000"/>
              <w:bottom w:val="none" w:sz="4" w:space="0" w:color="000000"/>
              <w:right w:val="single" w:sz="4" w:space="0" w:color="000000"/>
            </w:tcBorders>
          </w:tcPr>
          <w:p w:rsidR="006514EF" w:rsidRDefault="00DD50AA">
            <w:pPr>
              <w:pStyle w:val="ProductList-TableBody"/>
            </w:pPr>
            <w:r>
              <w:t xml:space="preserve">Gilt für Open-Lizenz, Select, Select Plus und die nicht organisationsweite Option unter Open Value-Verträgen sowie Zusätzliche Produkte unter Konzernverträgen. Gilt nicht für Konzernprodukte </w:t>
            </w:r>
          </w:p>
        </w:tc>
      </w:tr>
      <w:tr w:rsidR="006514EF">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 verfügbar</w:t>
            </w:r>
          </w:p>
        </w:tc>
        <w:tc>
          <w:tcPr>
            <w:tcW w:w="4660" w:type="dxa"/>
            <w:tcBorders>
              <w:top w:val="non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unter Open Value- und Konzernverträgen. Informationen zum Microsoft Produkt- und Servicevertrag (MPSA) finden Sie im </w:t>
            </w:r>
            <w:hyperlink r:id="rId137">
              <w:r>
                <w:rPr>
                  <w:color w:val="00467F"/>
                  <w:u w:val="single"/>
                </w:rPr>
                <w:t>MPSA-Lizenzierungshandbuch</w:t>
              </w:r>
            </w:hyperlink>
            <w:r>
              <w:t>.</w:t>
            </w:r>
          </w:p>
        </w:tc>
      </w:tr>
    </w:tbl>
    <w:p w:rsidR="006514EF" w:rsidRDefault="006514EF">
      <w:pPr>
        <w:pStyle w:val="ProductList-Body"/>
      </w:pPr>
    </w:p>
    <w:p w:rsidR="006514EF" w:rsidRDefault="00DD50AA">
      <w:pPr>
        <w:pStyle w:val="ProductList-Body"/>
      </w:pPr>
      <w:r>
        <w:t>Kunde</w:t>
      </w:r>
      <w:r>
        <w:t>n, die Microsoft Office Professional 2016 von einem OEM erwerben, können Software Assurance für Microsoft Office Standard 2016 in den Open-Lizenzprogrammen, Select- und Select Plus-Programmen und der nicht unternehmensweiten Option unter Open Value innerha</w:t>
      </w:r>
      <w:r>
        <w:t>lb von 90 Tagen ab dem Datum des OEM-Kaufs erwerben.</w:t>
      </w:r>
    </w:p>
    <w:p w:rsidR="006514EF" w:rsidRDefault="006514EF">
      <w:pPr>
        <w:pStyle w:val="ProductList-Body"/>
      </w:pPr>
    </w:p>
    <w:p w:rsidR="006514EF" w:rsidRDefault="00DD50AA">
      <w:pPr>
        <w:pStyle w:val="ProductList-Body"/>
      </w:pPr>
      <w:r>
        <w:t>Kunden, die einen Kauf unter dem Microsoft Produkt- und Servicevertrag (MPSA) tätigen, müssen dem MPSA- Lizenzierungshandbuch Einzelheiten zum Erwerb von Software Assurance unter dem MPSA sowie eine Bes</w:t>
      </w:r>
      <w:r>
        <w:t>chreibung der Software Assurance-Vergünstigungen unter dem MPSA-Programm entnehmen.</w:t>
      </w:r>
    </w:p>
    <w:p w:rsidR="006514EF" w:rsidRDefault="00DD50AA">
      <w:pPr>
        <w:pStyle w:val="ProductList-Offering1Heading"/>
        <w:outlineLvl w:val="1"/>
      </w:pPr>
      <w:bookmarkStart w:id="377" w:name="_Sec574"/>
      <w:r>
        <w:t>Verlängerung von Software Assurance</w:t>
      </w:r>
      <w:bookmarkEnd w:id="377"/>
      <w:r>
        <w:fldChar w:fldCharType="begin"/>
      </w:r>
      <w:r>
        <w:instrText xml:space="preserve"> TC "</w:instrText>
      </w:r>
      <w:bookmarkStart w:id="378" w:name="_Toc439056375"/>
      <w:r>
        <w:instrText>Verlängerung von Software Assurance</w:instrText>
      </w:r>
      <w:bookmarkEnd w:id="378"/>
      <w:r>
        <w:instrText>" \l 2</w:instrText>
      </w:r>
      <w:r>
        <w:fldChar w:fldCharType="end"/>
      </w:r>
    </w:p>
    <w:p w:rsidR="006514EF" w:rsidRDefault="00DD50AA">
      <w:pPr>
        <w:pStyle w:val="ProductList-ClauseHeading"/>
        <w:outlineLvl w:val="2"/>
      </w:pPr>
      <w:r>
        <w:t>Verlängerung im Rahmen des gleichen Vertrages</w:t>
      </w:r>
    </w:p>
    <w:p w:rsidR="006514EF" w:rsidRDefault="00DD50AA">
      <w:pPr>
        <w:pStyle w:val="ProductList-Body"/>
      </w:pPr>
      <w:r>
        <w:t xml:space="preserve">Die Bestimmungen für die Verlängerung von </w:t>
      </w:r>
      <w:r>
        <w:t>Software Assurance unter demselben Programmvertrag, unter dem sie ursprünglich erworben wurde, sind in den jeweiligen Volumenlizenzverträgen des Kunden enthalten. Kunden können Software Assurance verlängern, ohne gleichzeitig eine Lizenz zu bestellen, sofe</w:t>
      </w:r>
      <w:r>
        <w:t>rn Software Assurance noch nicht abgelaufen ist. Darüber hinaus gelten die folgenden Bestimmungen für die erwähnten spezifischen Programme:</w:t>
      </w:r>
    </w:p>
    <w:p w:rsidR="006514EF" w:rsidRDefault="006514EF">
      <w:pPr>
        <w:pStyle w:val="ProductList-Body"/>
      </w:pPr>
    </w:p>
    <w:p w:rsidR="006514EF" w:rsidRDefault="00DD50AA">
      <w:pPr>
        <w:pStyle w:val="ProductList-SubClauseHeading"/>
        <w:outlineLvl w:val="3"/>
      </w:pPr>
      <w:r>
        <w:t>Open-Lizenz</w:t>
      </w:r>
    </w:p>
    <w:p w:rsidR="006514EF" w:rsidRDefault="00DD50AA">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w:t>
      </w:r>
      <w:r>
        <w:t>oftware Assurance abgeben.</w:t>
      </w:r>
    </w:p>
    <w:p w:rsidR="006514EF" w:rsidRDefault="006514EF">
      <w:pPr>
        <w:pStyle w:val="ProductList-BodyIndented"/>
      </w:pPr>
    </w:p>
    <w:p w:rsidR="006514EF" w:rsidRDefault="00DD50AA">
      <w:pPr>
        <w:pStyle w:val="ProductList-SubClauseHeading"/>
        <w:outlineLvl w:val="3"/>
      </w:pPr>
      <w:r>
        <w:t>Konzernvertrag</w:t>
      </w:r>
    </w:p>
    <w:p w:rsidR="006514EF" w:rsidRDefault="00DD50AA">
      <w:pPr>
        <w:pStyle w:val="ProductList-BodyIndented"/>
      </w:pPr>
      <w:r>
        <w:t>Zur Verlängerung von Software Assurance im Rahmen des gleichen Beitritts unter einem Konzernvertrag muss der Kunde einen neuen Konzernbeitritt oder -vertrag 2011 oder später unterzeichnen (falls noch nicht gescheh</w:t>
      </w:r>
      <w:r>
        <w:t>en) und (sofern anwendbar) für 1) alle Konzernprodukte, Anwendungsplattform-Produkte, Core Infrastructure-Produkte und Zusätzlichen Produkte, die sie verlängern möchten, und 2) Onlinedienste zur Berücksichtigung von Übergängen (sofern anwendbar) eine Verlä</w:t>
      </w:r>
      <w:r>
        <w:t>ngerungsbestellung für Software Assurance abgeben.</w:t>
      </w:r>
    </w:p>
    <w:p w:rsidR="006514EF" w:rsidRDefault="006514EF">
      <w:pPr>
        <w:pStyle w:val="ProductList-BodyIndented"/>
      </w:pPr>
    </w:p>
    <w:p w:rsidR="006514EF" w:rsidRDefault="00DD50AA">
      <w:pPr>
        <w:pStyle w:val="ProductList-SubClauseHeading"/>
        <w:outlineLvl w:val="3"/>
      </w:pPr>
      <w:r>
        <w:t>Beitritt zur Anwendungsplattform</w:t>
      </w:r>
    </w:p>
    <w:p w:rsidR="006514EF" w:rsidRDefault="00DD50AA">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w:t>
      </w:r>
      <w:r>
        <w:rPr>
          <w:color w:val="0563C1"/>
        </w:rPr>
        <w:t>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w:t>
      </w:r>
      <w:r>
        <w:t>Software Assurance verlängern können.</w:t>
      </w:r>
    </w:p>
    <w:p w:rsidR="006514EF" w:rsidRDefault="006514EF">
      <w:pPr>
        <w:pStyle w:val="ProductList-BodyIndented"/>
      </w:pPr>
    </w:p>
    <w:p w:rsidR="006514EF" w:rsidRDefault="00DD50AA">
      <w:pPr>
        <w:pStyle w:val="ProductList-ClauseHeading"/>
        <w:outlineLvl w:val="2"/>
      </w:pPr>
      <w:r>
        <w:t>Verlängerung im Rahmen eines separaten Vertrages</w:t>
      </w:r>
    </w:p>
    <w:p w:rsidR="006514EF" w:rsidRDefault="00DD50AA">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w:instrText>
      </w:r>
      <w:r>
        <w:instrText xml:space="preserve">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w:t>
      </w:r>
      <w:r>
        <w:t xml:space="preserve"> die neue Bestellung (bei MPSA) des Kunden wird spätestens am Tag nach Ablauf des früheren Vertrages bzw. Beitritts wirksam und 2) die Software Assurance-Verlängerungsbestellung wird vor dem Ablauf der früheren Software Assurance abgegeben, sofern Software</w:t>
      </w:r>
      <w:r>
        <w:t xml:space="preserve"> Assurance nicht im Rahmen eines Open-Lizenzvertrages verlängert wird. In diesem Fall haben Kunden 90 Tage ab Ablauf Zeit, um die Bestellung abzugeben.</w:t>
      </w:r>
    </w:p>
    <w:p w:rsidR="006514EF" w:rsidRDefault="006514EF">
      <w:pPr>
        <w:pStyle w:val="ProductList-Body"/>
      </w:pPr>
    </w:p>
    <w:p w:rsidR="006514EF" w:rsidRDefault="00DD50AA">
      <w:pPr>
        <w:pStyle w:val="ProductList-Body"/>
      </w:pPr>
      <w:r>
        <w:t>Darüber hinaus kann der Kunde Software Assurance von einem Volumenlizenzprogramm in ein anderes verläng</w:t>
      </w:r>
      <w:r>
        <w:t>ern. Für ursprünglich im Rahmen einer unternehmensweiten Abdeckungsanforderung erworbene Konzernprodukte gilt diese Ausnahme nur, wenn der Kunde Software Assurance in den MPSA oder ein Programm mit unternehmensweiter Abdeckungsanforderung für Konzernproduk</w:t>
      </w:r>
      <w:r>
        <w:t>te verlängert. Für Vertragsversionen bis einschließlich 2008 verfügen Kunden jederzeit zwischen Ablauf der alten Software Assurance-Laufzeit und Beginn der neuen Laufzeit über Software Assurance, sofern der Vertrag innerhalb von 30 Tagen (90 Tagen bei Verl</w:t>
      </w:r>
      <w:r>
        <w:t>ängerung im Rahmen des Open-Lizenzprogramms) verlängert wird.</w:t>
      </w:r>
    </w:p>
    <w:p w:rsidR="006514EF" w:rsidRDefault="006514EF">
      <w:pPr>
        <w:pStyle w:val="ProductList-Body"/>
      </w:pPr>
    </w:p>
    <w:p w:rsidR="006514EF" w:rsidRDefault="00DD50AA">
      <w:pPr>
        <w:pStyle w:val="ProductList-ClauseHeading"/>
        <w:outlineLvl w:val="2"/>
      </w:pPr>
      <w:r>
        <w:t>Verlängerung von Software Assurance für Clientzugriffslizenzen (CALs) und Client-Management-Lizenzen (MLs)</w:t>
      </w:r>
    </w:p>
    <w:p w:rsidR="006514EF" w:rsidRDefault="00DD50AA">
      <w:pPr>
        <w:pStyle w:val="ProductList-Body"/>
      </w:pPr>
      <w:r>
        <w:rPr>
          <w:b/>
          <w:color w:val="00188F"/>
        </w:rPr>
        <w:t>Wechsel zwischen Nutzer- und Geräte-CALs</w:t>
      </w:r>
      <w:r>
        <w:t>: Kunden, die SA für CALs verlängern, können z</w:t>
      </w:r>
      <w:r>
        <w:t xml:space="preserve">wischen Nutzer und Gerät wechseln. Durch diesen Wechsel ändert sich die CAL-Edition (also Standard zu Enterprise) nicht. </w:t>
      </w:r>
    </w:p>
    <w:p w:rsidR="006514EF" w:rsidRDefault="00DD50AA">
      <w:pPr>
        <w:pStyle w:val="ProductList-Body"/>
      </w:pPr>
      <w:r>
        <w:rPr>
          <w:b/>
          <w:color w:val="00188F"/>
        </w:rPr>
        <w:t>Wechsel zwischen Nutzer- und OSE-Client-MLs</w:t>
      </w:r>
      <w:r>
        <w:t>: Kunden, die SA für Client-MLs verlängern, können zwischen Nutzer und Betriebssystemumgebu</w:t>
      </w:r>
      <w:r>
        <w:t>ng wechseln.</w:t>
      </w:r>
    </w:p>
    <w:p w:rsidR="006514EF" w:rsidRDefault="00DD50AA">
      <w:pPr>
        <w:pStyle w:val="ProductList-Offering1Heading"/>
        <w:outlineLvl w:val="1"/>
      </w:pPr>
      <w:bookmarkStart w:id="379" w:name="_Sec575"/>
      <w:r>
        <w:t>Migrationslizenz für Eingestellte Produkte oder Produkte mit Status End-Of-Life</w:t>
      </w:r>
      <w:bookmarkEnd w:id="379"/>
      <w:r>
        <w:fldChar w:fldCharType="begin"/>
      </w:r>
      <w:r>
        <w:instrText xml:space="preserve"> TC "</w:instrText>
      </w:r>
      <w:bookmarkStart w:id="380" w:name="_Toc439056376"/>
      <w:r>
        <w:instrText>Migrationslizenz für Eingestellte Produkte oder Produkte mit Status End-Of-Life</w:instrText>
      </w:r>
      <w:bookmarkEnd w:id="380"/>
      <w:r>
        <w:instrText>" \l 2</w:instrText>
      </w:r>
      <w:r>
        <w:fldChar w:fldCharType="end"/>
      </w:r>
    </w:p>
    <w:p w:rsidR="006514EF" w:rsidRDefault="00DD50AA">
      <w:pPr>
        <w:pStyle w:val="ProductList-Body"/>
      </w:pPr>
      <w:r>
        <w:t>Eine „</w:t>
      </w:r>
      <w:r>
        <w:rPr>
          <w:b/>
          <w:color w:val="00188F"/>
        </w:rPr>
        <w:t>Qualifizierende Lizenz</w:t>
      </w:r>
      <w:r>
        <w:t>“ in der hierin verwendeten Bedeutung bezie</w:t>
      </w:r>
      <w:r>
        <w:t xml:space="preserv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6514EF" w:rsidRDefault="00DD50AA">
      <w:pPr>
        <w:pStyle w:val="ProductList-Body"/>
      </w:pPr>
      <w:r>
        <w:t>Eine „</w:t>
      </w:r>
      <w:r>
        <w:rPr>
          <w:b/>
          <w:color w:val="00188F"/>
        </w:rPr>
        <w:t>Migrationslizenz</w:t>
      </w:r>
      <w:r>
        <w:t>“ in der hierin verwendeten Bedeutung bezieht sich auf im Produkteintrag, der auf diesen Abschnitt Bezug nimmt, gew</w:t>
      </w:r>
      <w:r>
        <w:t>ährte Rechte.</w:t>
      </w:r>
    </w:p>
    <w:p w:rsidR="006514EF" w:rsidRDefault="006514EF">
      <w:pPr>
        <w:pStyle w:val="ProductList-Body"/>
      </w:pPr>
    </w:p>
    <w:p w:rsidR="006514EF" w:rsidRDefault="00DD50AA">
      <w:pPr>
        <w:pStyle w:val="ProductList-Body"/>
      </w:pPr>
      <w:r>
        <w:t>Sofern nichts anderes im Produkteintrag angegeben ist, gilt Folgendes:</w:t>
      </w:r>
    </w:p>
    <w:p w:rsidR="006514EF" w:rsidRDefault="00DD50AA">
      <w:pPr>
        <w:pStyle w:val="ProductList-Bullet"/>
        <w:numPr>
          <w:ilvl w:val="0"/>
          <w:numId w:val="39"/>
        </w:numPr>
      </w:pPr>
      <w:r>
        <w:t>Der Kunde ist berechtigt, Software anstelle von durch eine Qualifizierende Lizenz abgedeckte Software unter einer Migrationslizenz upzugraden und zu nutzen. Der Kunde ist</w:t>
      </w:r>
      <w:r>
        <w:t xml:space="preserve"> nicht berechtigt, die Software unter beiden Lizenzen gleichzeitig zu verwenden.</w:t>
      </w:r>
    </w:p>
    <w:p w:rsidR="006514EF" w:rsidRDefault="00DD50AA">
      <w:pPr>
        <w:pStyle w:val="ProductList-Bullet"/>
        <w:numPr>
          <w:ilvl w:val="0"/>
          <w:numId w:val="39"/>
        </w:numPr>
      </w:pPr>
      <w:r>
        <w:t>Migrationslizenzen werden eins zu eins für jede Qualifizierende Lizenz des Kunden gewährt.</w:t>
      </w:r>
    </w:p>
    <w:p w:rsidR="006514EF" w:rsidRDefault="00DD50AA">
      <w:pPr>
        <w:pStyle w:val="ProductList-Bullet"/>
        <w:numPr>
          <w:ilvl w:val="0"/>
          <w:numId w:val="39"/>
        </w:numPr>
      </w:pPr>
      <w:r>
        <w:t>Wenn der Kunde zeitlich unbeschränkte Rechte zur Verwendung von Software unter einer</w:t>
      </w:r>
      <w:r>
        <w:t xml:space="preserve"> Qualifizierenden Lizenz erworben hat, sind die unter der Migrationslizenz erworbenen Rechte zur Nutzung der Software ebenfalls zeitlich unbeschränkt; ansonsten laufen unter einer Migrationslizenz erworbene Lizenzen ab, wenn die zugrunde liegende Qualifizi</w:t>
      </w:r>
      <w:r>
        <w:t>erende Lizenz abläuft.</w:t>
      </w:r>
    </w:p>
    <w:p w:rsidR="006514EF" w:rsidRDefault="00DD50AA">
      <w:pPr>
        <w:pStyle w:val="ProductList-Bullet"/>
        <w:numPr>
          <w:ilvl w:val="0"/>
          <w:numId w:val="39"/>
        </w:numPr>
      </w:pPr>
      <w:r>
        <w:t xml:space="preserve">Nach Ablauf von SA für die Qualifizierende Lizenz kann der Kunde SA für die gleiche Version und Edition des von der Migrationslizenz abgedeckten Produkts erwerben, ohne zunächst separat neue Lizenzen erwerben zu müssen. Diese Option </w:t>
      </w:r>
      <w:r>
        <w:t>gilt nicht für Kunden, die Lizenzen unter Abonnementprogrammen (z. B. Konzern-Abonnementverträgen oder Open Value Subscription-Verträgen) kaufen.</w:t>
      </w:r>
    </w:p>
    <w:p w:rsidR="006514EF" w:rsidRDefault="00DD50AA">
      <w:pPr>
        <w:pStyle w:val="ProductList-Bullet"/>
        <w:numPr>
          <w:ilvl w:val="0"/>
          <w:numId w:val="39"/>
        </w:numPr>
      </w:pPr>
      <w:r>
        <w:t>Der Kunde ist nicht berechtigt, Migrationslizenzen getrennt von Qualifizierenden Lizenzen zu übertragen.</w:t>
      </w:r>
    </w:p>
    <w:p w:rsidR="006514EF" w:rsidRDefault="00DD50AA">
      <w:pPr>
        <w:pStyle w:val="ProductList-Bullet"/>
        <w:numPr>
          <w:ilvl w:val="0"/>
          <w:numId w:val="39"/>
        </w:numPr>
      </w:pPr>
      <w:r>
        <w:t>Lizenzen für dasselbe eingestellte Produkt, die danach unter derselben Beitrittslaufzeit im Rahmen des planmäßigen True-up-Prozesses eines Konzern-, Konzern-Abonnement-, Open Value Subscription- oder Beitritt für Bildungslösungen-Kunden erworben werden, si</w:t>
      </w:r>
      <w:r>
        <w:t xml:space="preserve">nd ebenfalls Qualifizierende Lizenzen im Sinne der Lizenzgewährung. Das Abonnement für Produkte unter Abonnementverträgen muss ununterbrochen aufrechterhalten werden.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Offering1Heading"/>
        <w:outlineLvl w:val="1"/>
      </w:pPr>
      <w:bookmarkStart w:id="381" w:name="_Sec576"/>
      <w:r>
        <w:t>Software Assurance-Vergünstigungen</w:t>
      </w:r>
      <w:bookmarkEnd w:id="381"/>
      <w:r>
        <w:fldChar w:fldCharType="begin"/>
      </w:r>
      <w:r>
        <w:instrText xml:space="preserve"> TC "</w:instrText>
      </w:r>
      <w:bookmarkStart w:id="382" w:name="_Toc439056377"/>
      <w:r>
        <w:instrText>Software Assurance-Vergünstigungen</w:instrText>
      </w:r>
      <w:bookmarkEnd w:id="382"/>
      <w:r>
        <w:instrText>" \l 2</w:instrText>
      </w:r>
      <w:r>
        <w:fldChar w:fldCharType="end"/>
      </w:r>
    </w:p>
    <w:p w:rsidR="006514EF" w:rsidRDefault="00DD50AA">
      <w:pPr>
        <w:pStyle w:val="ProductList-Body"/>
      </w:pPr>
      <w:r>
        <w:t>Die meisten Software Assurance-Vergünstigungen sind für den gesamten Produkt-Pool verfügbar, wie in nachstehender Tabelle beschrieben. Aktive So</w:t>
      </w:r>
      <w:r>
        <w:t xml:space="preserve">ftware Assurance für ein qualifizierendes Produkt qualifiziert den Kunden zu den in der untenstehenden Tabelle aufgeführten Vergünstigungen. Mit Ausnahme von Rechten für neue Versionen erfordern Vergünstigungen für Serverprodukte Software Assurance sowohl </w:t>
      </w:r>
      <w:r>
        <w:t>für die Serverlizenz als auch für eventuelle Zugriffslizenzen (z. B. CALs). Rechte für neue Versionen werden bei Serverlizenzen und Zugriffslizenzen gesondert im Rahmen des Vertrags für diese Lizenzen zur Verfügung gestellt. Einige Vergünstigungen werden a</w:t>
      </w:r>
      <w:r>
        <w:t>uf Grundlage der SA-Ausgaben des Kunden für einen bestimmten Satz qualifizierender Produkte innerhalb eines Pools gewährt. In diesem Sinne sind mit „SA-Ausgaben“ nicht die tatsächlich ausgegebenen Beträge des Kunden gemeint. Vielmehr ist ein Überschlag der</w:t>
      </w:r>
      <w:r>
        <w:t xml:space="preserve"> Ausgaben eines Kunden für Software Assurance für diese Produkte unter seinem Select- oder Konzernbeitritt, seiner Select Plus-Registrierung oder seinem Open-Vertrag gemeint (zum Beispiel der Erwerb von nur SA und die SA-Komponenten von L&amp;SA-Käufen). Für K</w:t>
      </w:r>
      <w:r>
        <w:t>unden unter Abonnementprogrammen handelt es sich um einen Überschlag des Gesamtbetrags, den der Kunde für die Lizenzierung dieser Produkte unter seinem Beitritt bzw. Vertrag ausgegeben hat. Andere Vergünstigungen entsprechen der Mitgliedschaft bei Software</w:t>
      </w:r>
      <w:r>
        <w:t xml:space="preserve"> Assurance; die Mitgliedschaft bei Software Assurance für den jeweiligen Produkt-Pool qualifiziert den Kunden für diese Vergünstigungen. Der Zugriff des Kunden auf und seine Rechte zur Nutzung seiner Software Assurance-Vergünstigungen laufen im Allgemeinen</w:t>
      </w:r>
      <w:r>
        <w:t xml:space="preserve"> mit Ablauf seiner Software Assurance ab, sofern im Nachfolgenden oder in den Produkteinträgen nichts anderes festgelegt ist. Die Vergünstigungen können jederzeit ohne Ankündigung geändert und eingestellt werden. Die Verfügbarkeit von Vergünstigungen hängt</w:t>
      </w:r>
      <w:r>
        <w:t xml:space="preserve"> von Programm, Region, Fulfillment-Optionen und Sprache ab.</w:t>
      </w:r>
    </w:p>
    <w:p w:rsidR="006514EF" w:rsidRDefault="00DD50AA">
      <w:pPr>
        <w:pStyle w:val="ProductList-Body"/>
      </w:pPr>
      <w:r>
        <w:t>Kunden, die einen Kauf unter dem Microsoft Produkt- und Servicevertrag (MPSA) tätigen, müssen dem MPSA- Lizenzierungshandbuch Einzelheiten zum Erwerb von Software Assurance unter dem MPSA entnehme</w:t>
      </w:r>
      <w:r>
        <w:t xml:space="preserve">n. </w:t>
      </w:r>
    </w:p>
    <w:tbl>
      <w:tblPr>
        <w:tblStyle w:val="PURTable"/>
        <w:tblW w:w="0" w:type="dxa"/>
        <w:tblLook w:val="04A0" w:firstRow="1" w:lastRow="0" w:firstColumn="1" w:lastColumn="0" w:noHBand="0" w:noVBand="1"/>
      </w:tblPr>
      <w:tblGrid>
        <w:gridCol w:w="5471"/>
        <w:gridCol w:w="1813"/>
        <w:gridCol w:w="1757"/>
        <w:gridCol w:w="1749"/>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Server-Pool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77">
              <w:r>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2">
              <w:r>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5">
              <w:r>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6">
              <w:r>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7">
              <w:r>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38">
              <w:r>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8">
              <w:r>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89">
              <w:r>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90">
              <w:r>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41">
              <w:r>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652">
              <w:r>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jc w:val="center"/>
            </w:pPr>
          </w:p>
        </w:tc>
      </w:tr>
    </w:tbl>
    <w:p w:rsidR="006514EF" w:rsidRDefault="00DD50AA">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w:t>
      </w:r>
      <w:r>
        <w:rPr>
          <w:i/>
        </w:rPr>
        <w:t>e 365 E1 aus SA, Office 365 E3 aus SA, Office 365 E4 aus SA und EMS aus SA.</w:t>
      </w:r>
    </w:p>
    <w:p w:rsidR="006514EF" w:rsidRDefault="00DD50AA">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6514EF" w:rsidRDefault="00DD50AA">
      <w:pPr>
        <w:pStyle w:val="ProductList-Body"/>
      </w:pPr>
      <w:r>
        <w:rPr>
          <w:vertAlign w:val="superscript"/>
        </w:rPr>
        <w:t>3</w:t>
      </w:r>
      <w:r>
        <w:rPr>
          <w:i/>
        </w:rPr>
        <w:t>Keine Software Assurance-Vergünstigung für Windows Embedded-Produkte.</w:t>
      </w:r>
    </w:p>
    <w:p w:rsidR="006514EF" w:rsidRDefault="006514EF">
      <w:pPr>
        <w:pStyle w:val="ProductList-Body"/>
      </w:pPr>
    </w:p>
    <w:p w:rsidR="006514EF" w:rsidRDefault="00DD50AA">
      <w:pPr>
        <w:pStyle w:val="ProductList-ClauseHeading"/>
        <w:outlineLvl w:val="2"/>
      </w:pPr>
      <w:bookmarkStart w:id="383" w:name="_Sec577"/>
      <w:r>
        <w:t>Rechte für neue Versionen</w:t>
      </w:r>
      <w:bookmarkEnd w:id="383"/>
    </w:p>
    <w:p w:rsidR="006514EF" w:rsidRDefault="00DD50AA">
      <w:pPr>
        <w:pStyle w:val="ProductList-Body"/>
      </w:pPr>
      <w:r>
        <w:t>Der Kunde ist berechtigt, Upgrades auf die jeweils neuste Version eines verfügbaren Produkts durchzuführen. Sollte der Kunde zeitlich unbeschränkte Lizenzen üb</w:t>
      </w:r>
      <w:r>
        <w:t>er Software Assurance erwerben, kann er neue Versionsupgrades für diese Lizenzen nach Ablauf der Software Assurance anwenden, jedoch nur für Versionen, die vor Ablauf der Software Assurance herausgegeben wurden. Die Nutzung der neuen Version unterliegt den</w:t>
      </w:r>
      <w:r>
        <w:t xml:space="preserve">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6514EF" w:rsidRDefault="006514EF">
      <w:pPr>
        <w:pStyle w:val="ProductList-Body"/>
      </w:pPr>
    </w:p>
    <w:p w:rsidR="006514EF" w:rsidRDefault="00DD50AA">
      <w:pPr>
        <w:pStyle w:val="ProductList-ClauseHeading"/>
        <w:outlineLvl w:val="2"/>
      </w:pPr>
      <w:bookmarkStart w:id="384" w:name="_Sec579"/>
      <w:r>
        <w:t>Office Online</w:t>
      </w:r>
      <w:bookmarkEnd w:id="384"/>
    </w:p>
    <w:p w:rsidR="006514EF" w:rsidRDefault="00DD50AA">
      <w:pPr>
        <w:pStyle w:val="ProductList-Body"/>
      </w:pPr>
      <w:r>
        <w:t>Nutzer eines mit den qualifizierenden Anwendungen lizenzierten Geräts sind b</w:t>
      </w:r>
      <w:r>
        <w:t xml:space="preserve">erechtigt, auf Office Online-Dienste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w:instrText>
      </w:r>
      <w:r>
        <w:instrText xml:space="preserv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w:t>
      </w:r>
      <w:r>
        <w:rPr>
          <w:color w:val="0563C1"/>
        </w:rPr>
        <w:t>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w:t>
      </w:r>
      <w:r>
        <w:rPr>
          <w:color w:val="0563C1"/>
        </w:rPr>
        <w:t>äts</w:t>
      </w:r>
      <w:r>
        <w:fldChar w:fldCharType="end"/>
      </w:r>
      <w:r>
        <w:t xml:space="preserve"> ist berechtigt, auf Office Online-Dienste zuzugreifen, um Dokumente von jedem beliebigen Gerät anzuzeigen und zu bearbeiten.</w:t>
      </w:r>
    </w:p>
    <w:tbl>
      <w:tblPr>
        <w:tblStyle w:val="PURTable"/>
        <w:tblW w:w="0" w:type="dxa"/>
        <w:tblLook w:val="04A0" w:firstRow="1" w:lastRow="0" w:firstColumn="1" w:lastColumn="0" w:noHBand="0" w:noVBand="1"/>
      </w:tblPr>
      <w:tblGrid>
        <w:gridCol w:w="5375"/>
        <w:gridCol w:w="5415"/>
      </w:tblGrid>
      <w:tr w:rsidR="00651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Office Online-Rechte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w:t>
            </w:r>
            <w:r>
              <w:fldChar w:fldCharType="begin"/>
            </w:r>
            <w:r>
              <w:instrText xml:space="preserve"> XE "Office Standard" </w:instrText>
            </w:r>
            <w:r>
              <w:fldChar w:fldCharType="end"/>
            </w:r>
          </w:p>
          <w:p w:rsidR="006514EF" w:rsidRDefault="00DD50AA">
            <w:pPr>
              <w:pStyle w:val="ProductList-TableBody"/>
            </w:pPr>
            <w:r>
              <w:t>Office Professional Plus</w:t>
            </w:r>
            <w:r>
              <w:fldChar w:fldCharType="begin"/>
            </w:r>
            <w:r>
              <w:instrText xml:space="preserve"> XE "Office Professional Plus" </w:instrText>
            </w:r>
            <w:r>
              <w:fldChar w:fldCharType="end"/>
            </w:r>
          </w:p>
          <w:p w:rsidR="006514EF" w:rsidRDefault="00DD50AA">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Online für Office 365</w:t>
            </w:r>
            <w:r>
              <w:fldChar w:fldCharType="begin"/>
            </w:r>
            <w:r>
              <w:instrText xml:space="preserve"> XE "Office Online für Office 365" </w:instrText>
            </w:r>
            <w:r>
              <w:fldChar w:fldCharType="end"/>
            </w:r>
          </w:p>
        </w:tc>
      </w:tr>
    </w:tbl>
    <w:p w:rsidR="006514EF" w:rsidRDefault="00DD50AA">
      <w:pPr>
        <w:pStyle w:val="ProductList-Body"/>
      </w:pPr>
      <w:r>
        <w:rPr>
          <w:i/>
        </w:rPr>
        <w:t>Nutzer müssen auch über eine Lizenz für SharePoint Online</w:t>
      </w:r>
      <w:r>
        <w:fldChar w:fldCharType="begin"/>
      </w:r>
      <w:r>
        <w:instrText xml:space="preserve"> XE "SharePoint Online" </w:instrText>
      </w:r>
      <w:r>
        <w:fldChar w:fldCharType="end"/>
      </w:r>
      <w:r>
        <w:rPr>
          <w:i/>
        </w:rPr>
        <w:t xml:space="preserve">- oder OneDrive </w:t>
      </w:r>
      <w:r>
        <w:rPr>
          <w:i/>
        </w:rPr>
        <w:t>for Businesspläne verfügen, um auf den Office Online-Dienst zugreifen zu können.</w:t>
      </w:r>
    </w:p>
    <w:p w:rsidR="006514EF" w:rsidRDefault="006514EF">
      <w:pPr>
        <w:pStyle w:val="ProductList-Body"/>
      </w:pPr>
    </w:p>
    <w:p w:rsidR="006514EF" w:rsidRDefault="00DD50AA">
      <w:pPr>
        <w:pStyle w:val="ProductList-ClauseHeading"/>
        <w:outlineLvl w:val="2"/>
      </w:pPr>
      <w:bookmarkStart w:id="385" w:name="_Sec580"/>
      <w:r>
        <w:t>Planning Services</w:t>
      </w:r>
      <w:bookmarkEnd w:id="385"/>
    </w:p>
    <w:p w:rsidR="006514EF" w:rsidRDefault="00DD50AA">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w:t>
      </w:r>
      <w:r>
        <w:t>ng Services-Vergünstigung bietet qualifizierenden Kunden vorab festgelegte, angepasste Serviceangebote.</w:t>
      </w:r>
    </w:p>
    <w:p w:rsidR="006514EF" w:rsidRDefault="006514EF">
      <w:pPr>
        <w:pStyle w:val="ProductList-Body"/>
      </w:pPr>
    </w:p>
    <w:p w:rsidR="006514EF" w:rsidRDefault="00DD50AA">
      <w:pPr>
        <w:pStyle w:val="ProductList-Body"/>
      </w:pPr>
      <w:r>
        <w:t xml:space="preserve">Qualifizierte Kunden erhalten je nach der Anzahl von qualifizierenden Lizenzen eine bestimmte Anzahl von Packaged Services-Tagen. Die Anzahl der Tage, </w:t>
      </w:r>
      <w:r>
        <w:t>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6514E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Punkte</w:t>
            </w:r>
          </w:p>
        </w:tc>
      </w:tr>
      <w:tr w:rsidR="006514EF">
        <w:tc>
          <w:tcPr>
            <w:tcW w:w="101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w:t>
            </w:r>
            <w:r>
              <w:t>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w:t>
            </w:r>
            <w:r>
              <w:t xml:space="preserve">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1</w:t>
            </w:r>
          </w:p>
        </w:tc>
      </w:tr>
      <w:tr w:rsidR="006514EF">
        <w:tc>
          <w:tcPr>
            <w:tcW w:w="101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w:instrText>
            </w:r>
            <w:r>
              <w:instrText xml:space="preserve">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w:t>
            </w:r>
            <w:r>
              <w:t>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25</w:t>
            </w:r>
          </w:p>
        </w:tc>
      </w:tr>
      <w:tr w:rsidR="006514EF">
        <w:tc>
          <w:tcPr>
            <w:tcW w:w="101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50</w:t>
            </w:r>
          </w:p>
        </w:tc>
      </w:tr>
      <w:tr w:rsidR="006514EF">
        <w:tc>
          <w:tcPr>
            <w:tcW w:w="101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w:instrText>
            </w:r>
            <w:r>
              <w:instrText xml:space="preserve">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w:instrText>
            </w:r>
            <w:r>
              <w:instrText xml:space="preserve">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75</w:t>
            </w:r>
          </w:p>
        </w:tc>
      </w:tr>
    </w:tbl>
    <w:p w:rsidR="006514EF" w:rsidRDefault="00DD50AA">
      <w:pPr>
        <w:pStyle w:val="ProductList-Body"/>
      </w:pPr>
      <w:r>
        <w:rPr>
          <w:b/>
          <w:i/>
        </w:rPr>
        <w:t>Anmerkung:</w:t>
      </w:r>
      <w:r>
        <w:rPr>
          <w:i/>
        </w:rPr>
        <w:t xml:space="preserve"> Weitere Informationen zu SQL-CALs finden Sie in der Tabelle zu CAL-Suites in diesem Abschnitt.</w:t>
      </w:r>
    </w:p>
    <w:p w:rsidR="006514EF" w:rsidRDefault="00DD50AA">
      <w:pPr>
        <w:pStyle w:val="ProductList-Body"/>
      </w:pPr>
      <w:r>
        <w:rPr>
          <w:vertAlign w:val="superscript"/>
        </w:rPr>
        <w:t>1</w:t>
      </w:r>
      <w:r>
        <w:rPr>
          <w:i/>
        </w:rPr>
        <w:t xml:space="preserve"> Für CAL für Microsoft Dynamics CRM Professional werden 2 Punkte gewährt</w:t>
      </w:r>
    </w:p>
    <w:p w:rsidR="006514EF" w:rsidRDefault="006514EF">
      <w:pPr>
        <w:pStyle w:val="ProductList-Body"/>
      </w:pPr>
    </w:p>
    <w:p w:rsidR="006514EF" w:rsidRDefault="00DD50AA">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w:t>
      </w:r>
      <w:r>
        <w:t>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6514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600,000+</w:t>
            </w:r>
          </w:p>
        </w:tc>
      </w:tr>
      <w:tr w:rsidR="006514E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14EF" w:rsidRDefault="00DD50AA">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75</w:t>
            </w:r>
          </w:p>
        </w:tc>
      </w:tr>
    </w:tbl>
    <w:p w:rsidR="006514EF" w:rsidRDefault="006514EF">
      <w:pPr>
        <w:pStyle w:val="ProductList-Body"/>
      </w:pPr>
    </w:p>
    <w:p w:rsidR="006514EF" w:rsidRDefault="00DD50AA">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w:t>
      </w:r>
      <w:r>
        <w:t>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6514E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14EF" w:rsidRDefault="00DD50AA">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14EF" w:rsidRDefault="00DD50AA">
            <w:pPr>
              <w:pStyle w:val="ProductList-TableBody"/>
            </w:pPr>
            <w:r>
              <w:t>→600,000+</w:t>
            </w:r>
          </w:p>
        </w:tc>
      </w:tr>
      <w:tr w:rsidR="006514E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14EF" w:rsidRDefault="00DD50AA">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12</w:t>
            </w:r>
          </w:p>
        </w:tc>
      </w:tr>
    </w:tbl>
    <w:p w:rsidR="006514EF" w:rsidRDefault="00DD50AA">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8">
        <w:r>
          <w:rPr>
            <w:color w:val="00467F"/>
            <w:u w:val="single"/>
          </w:rPr>
          <w:t>http://www.microsoft.com/licensing/software-assurance/planning-services-overview.aspx</w:t>
        </w:r>
      </w:hyperlink>
      <w:r>
        <w:t xml:space="preserve">. </w:t>
      </w:r>
    </w:p>
    <w:p w:rsidR="006514EF" w:rsidRDefault="006514EF">
      <w:pPr>
        <w:pStyle w:val="ProductList-Body"/>
      </w:pPr>
    </w:p>
    <w:p w:rsidR="006514EF" w:rsidRDefault="00DD50AA">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w:t>
      </w:r>
      <w:r>
        <w:t>en können außerdem ungenutzte Trainingsgutschein-Tage im Verhältnis 3:1 in einen Planning Service-Tag umwandeln (und diese Umwandlung rückgängig machen) (siehe dazu die Trainingsgutschein-Vergünstigung), wenn sie (a) derzeit zur Trainingsgutschein-Vergünst</w:t>
      </w:r>
      <w:r>
        <w:t>igung berechtigt sind, (b) ihre Trainingsgutschein-Vergünstigung aktiviert haben und (c) über mindestens drei nicht in Anspruch genommene Schulungstage aus der Trainingsgutschein-Vergünstigung verfügen, die umgewandelt werden können.</w:t>
      </w:r>
    </w:p>
    <w:p w:rsidR="006514EF" w:rsidRDefault="00DD50AA">
      <w:pPr>
        <w:pStyle w:val="ProductList-Bullet"/>
        <w:numPr>
          <w:ilvl w:val="0"/>
          <w:numId w:val="40"/>
        </w:numPr>
      </w:pPr>
      <w:r>
        <w:t>Planning Services könn</w:t>
      </w:r>
      <w:r>
        <w:t>en dem Kunden durch qualifizierte Microsoft-Partner oder Microsoft Consulting Services bereitgestellt werden. Im Rahmen von Gutscheinen erbrachte Services werden unter einem Vertrag zwischen dem Kunden und dem Qualifizierten Anbieter erbracht. Kunden könne</w:t>
      </w:r>
      <w:r>
        <w:t xml:space="preserve">n die Liste Qualifizierter Anbieter unter folgender Adresse einsehen: </w:t>
      </w:r>
      <w:hyperlink r:id="rId139">
        <w:r>
          <w:rPr>
            <w:color w:val="00467F"/>
            <w:u w:val="single"/>
          </w:rPr>
          <w:t>http://directory.partners.extranet.microsoft.com/psbproviders</w:t>
        </w:r>
      </w:hyperlink>
    </w:p>
    <w:p w:rsidR="006514EF" w:rsidRDefault="00DD50AA">
      <w:pPr>
        <w:pStyle w:val="ProductList-Bullet"/>
        <w:numPr>
          <w:ilvl w:val="0"/>
          <w:numId w:val="40"/>
        </w:numPr>
      </w:pPr>
      <w:r>
        <w:t>Planning Services-Einsätze umfassen Beratun</w:t>
      </w:r>
      <w:r>
        <w:t xml:space="preserve">g mit einem vorab festgelegten Leistungsumfang, aus der ein allgemeiner Bereitstellungsplan hervorgeht; die eigentliche Bereitstellung der Software kann nicht im Leistungsumfang berücksichtigt werden. </w:t>
      </w:r>
    </w:p>
    <w:p w:rsidR="006514EF" w:rsidRDefault="00DD50AA">
      <w:pPr>
        <w:pStyle w:val="ProductList-Bullet"/>
        <w:numPr>
          <w:ilvl w:val="0"/>
          <w:numId w:val="40"/>
        </w:numPr>
      </w:pPr>
      <w:r>
        <w:t>Planning Services-Gutscheine können nur von dem Kunden</w:t>
      </w:r>
      <w:r>
        <w:t xml:space="preserve"> eingelöst werden, der sich für die Vergünstigung qualifiziert hat. </w:t>
      </w:r>
    </w:p>
    <w:p w:rsidR="006514EF" w:rsidRDefault="00DD50AA">
      <w:pPr>
        <w:pStyle w:val="ProductList-Bullet"/>
        <w:numPr>
          <w:ilvl w:val="0"/>
          <w:numId w:val="40"/>
        </w:numPr>
      </w:pPr>
      <w:r>
        <w:t xml:space="preserve">Planning Services-Gutscheine können nicht gegen Bargeld, Zahlungen oder andere entgeltliche Gegenleistungen eingetauscht werden. </w:t>
      </w:r>
    </w:p>
    <w:p w:rsidR="006514EF" w:rsidRDefault="00DD50AA">
      <w:pPr>
        <w:pStyle w:val="ProductList-Bullet"/>
        <w:numPr>
          <w:ilvl w:val="0"/>
          <w:numId w:val="40"/>
        </w:numPr>
      </w:pPr>
      <w:r>
        <w:t>Durch Verringerung des qualifizierenden SA-Umfangs aufgru</w:t>
      </w:r>
      <w:r>
        <w:t xml:space="preserve">nd von Rückgaben und anderen Abrechnungsanpassungen, sofern zulässig, kann die Anzahl der Tage des Planning Services-Anspruchs des Kunden verringert werden. </w:t>
      </w:r>
    </w:p>
    <w:p w:rsidR="006514EF" w:rsidRDefault="00DD50AA">
      <w:pPr>
        <w:pStyle w:val="ProductList-Bullet"/>
        <w:numPr>
          <w:ilvl w:val="0"/>
          <w:numId w:val="40"/>
        </w:numPr>
      </w:pPr>
      <w:r>
        <w:t>Gutscheintypen dürfen nicht kombiniert werden. Der Einsatz von Planning Services darf die angegebe</w:t>
      </w:r>
      <w:r>
        <w:t xml:space="preserve">ne Höchstdauer pro Einsatzart nicht überschreiten. </w:t>
      </w:r>
    </w:p>
    <w:p w:rsidR="006514EF" w:rsidRDefault="00DD50AA">
      <w:pPr>
        <w:pStyle w:val="ProductList-Bullet"/>
        <w:numPr>
          <w:ilvl w:val="0"/>
          <w:numId w:val="40"/>
        </w:numPr>
      </w:pPr>
      <w:r>
        <w:t xml:space="preserve">Gutscheine sind nur mit qualifizierten Anbietern für den jeweiligen Servicetyp gültig, für den der Gutschein eingelöst wird. </w:t>
      </w:r>
    </w:p>
    <w:p w:rsidR="006514EF" w:rsidRDefault="00DD50AA">
      <w:pPr>
        <w:pStyle w:val="ProductList-Bullet"/>
        <w:numPr>
          <w:ilvl w:val="0"/>
          <w:numId w:val="40"/>
        </w:numPr>
      </w:pPr>
      <w:r>
        <w:t xml:space="preserve">Gutscheine müssen während der Software Assurance-Laufzeit zugewiesen werden. </w:t>
      </w:r>
    </w:p>
    <w:p w:rsidR="006514EF" w:rsidRDefault="00DD50AA">
      <w:pPr>
        <w:pStyle w:val="ProductList-Bullet"/>
        <w:numPr>
          <w:ilvl w:val="0"/>
          <w:numId w:val="40"/>
        </w:numPr>
      </w:pPr>
      <w:r>
        <w:t>Gutscheine laufen 180 Tage ab dem Datum der Gutscheinzuweisung ab, unabhängig vom Software Assurance-Ablauf. Alle Services müssen vor Ablauf des Gutscheins bereitgestellt werden (Gutschein eingelöst). Gutscheine, die vor Ablauf von Software Assurance ablau</w:t>
      </w:r>
      <w:r>
        <w:t>fen, fließen in den Pool der verfügbaren Planning Services-Tage zurück. In den Tabellen oben sind die verfügbaren Servicetage basierend auf einem Beitritt oder Vertrag für volle 3 Jahre aufgeführt. Kunden, die Software Assurance für ein Jahr erwerben, erha</w:t>
      </w:r>
      <w:r>
        <w:t xml:space="preserve">lten ein Drittel der angegebenen Anzahl von Servicetagen. Kunden, die Software Assurance für zwei Jahre erwerben, erhalten zwei Drittel der angegebenen Anzahl von Servicetagen. </w:t>
      </w:r>
    </w:p>
    <w:p w:rsidR="006514EF" w:rsidRDefault="006514EF">
      <w:pPr>
        <w:pStyle w:val="ProductList-Body"/>
      </w:pPr>
    </w:p>
    <w:p w:rsidR="006514EF" w:rsidRDefault="00DD50AA">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w:t>
      </w:r>
      <w:r>
        <w:t>n werden.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ClauseHeading"/>
        <w:outlineLvl w:val="2"/>
      </w:pPr>
      <w:bookmarkStart w:id="386" w:name="_Sec581"/>
      <w:r>
        <w:t>Enterprise Source Licensing Program</w:t>
      </w:r>
      <w:bookmarkEnd w:id="386"/>
    </w:p>
    <w:p w:rsidR="006514EF" w:rsidRDefault="00DD50AA">
      <w:pPr>
        <w:pStyle w:val="ProductList-Body"/>
      </w:pPr>
      <w:r>
        <w:t>Kunden mit mindestens 10.000 lizenzierten Desktops mit Software Assurance im System-Pool sin</w:t>
      </w:r>
      <w:r>
        <w:t>d unter Umständen berechtigt, für interne Entwicklungs- und Supportzwecke auf Microsoft Windows-Quellcode zuzugreifen. Programme für Forschung &amp; Lehre sind zur Teilnahme am Microsoft Research Source Licensing Program berechtigt.</w:t>
      </w:r>
    </w:p>
    <w:p w:rsidR="006514EF" w:rsidRDefault="006514EF">
      <w:pPr>
        <w:pStyle w:val="ProductList-Body"/>
      </w:pPr>
    </w:p>
    <w:p w:rsidR="006514EF" w:rsidRDefault="00DD50AA">
      <w:pPr>
        <w:pStyle w:val="ProductList-ClauseHeading"/>
        <w:outlineLvl w:val="2"/>
      </w:pPr>
      <w:bookmarkStart w:id="387" w:name="_Sec582"/>
      <w:r>
        <w:t>Trainingsgutscheine</w:t>
      </w:r>
      <w:bookmarkEnd w:id="387"/>
    </w:p>
    <w:p w:rsidR="006514EF" w:rsidRDefault="00DD50AA">
      <w:pPr>
        <w:pStyle w:val="ProductList-Body"/>
      </w:pPr>
      <w:r>
        <w:t>Kunden</w:t>
      </w:r>
      <w:r>
        <w:t xml:space="preserve"> (nicht Kunden mit Select-Lizenz für Forschung &amp; Lehre, Select Plus für Forschung &amp; Lehre, Open Value Subscription – Bildungslösungen, Campus-Vertrag und School-Vertrag) mit SAM in den Anwendungs- oder System-Produktpools sind zu Microsoft-Trainingsgutsche</w:t>
      </w:r>
      <w:r>
        <w:t>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System-Pool</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Tag pro 50 Lizenzen (maximal 10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Tag pro 50 Lizenzen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10 Tage pro berechtigtem Beitritt</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2.400 bis 5.</w:t>
            </w:r>
            <w:r>
              <w:t>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15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55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80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125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200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300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400 Tage*</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700 Tage*</w:t>
            </w:r>
          </w:p>
        </w:tc>
      </w:tr>
    </w:tbl>
    <w:p w:rsidR="006514EF" w:rsidRDefault="00DD50AA">
      <w:pPr>
        <w:pStyle w:val="ProductList-Body"/>
      </w:pPr>
      <w:r>
        <w:t>*</w:t>
      </w:r>
      <w:r>
        <w:rPr>
          <w:i/>
        </w:rPr>
        <w:t>Anzahl von Tagen pro berechtigten Beitritt oder Vertrag.</w:t>
      </w:r>
    </w:p>
    <w:p w:rsidR="006514EF" w:rsidRDefault="006514EF">
      <w:pPr>
        <w:pStyle w:val="ProductList-Body"/>
      </w:pPr>
    </w:p>
    <w:p w:rsidR="006514EF" w:rsidRDefault="00DD50AA">
      <w:pPr>
        <w:pStyle w:val="ProductList-Bullet"/>
        <w:numPr>
          <w:ilvl w:val="0"/>
          <w:numId w:val="41"/>
        </w:numPr>
      </w:pPr>
      <w:r>
        <w:t xml:space="preserve">Im Rahmen von Gutscheinen erbrachte Services werden unter einem Vertrag zwischen dem Kunden und dem qualifizierten Microsoft Learning Partner erbracht. </w:t>
      </w:r>
    </w:p>
    <w:p w:rsidR="006514EF" w:rsidRDefault="00DD50AA">
      <w:pPr>
        <w:pStyle w:val="ProductList-Bullet"/>
        <w:numPr>
          <w:ilvl w:val="0"/>
          <w:numId w:val="41"/>
        </w:numPr>
      </w:pPr>
      <w:r>
        <w:t xml:space="preserve">Für Kurse, die in einem beschleunigten Format bereitgestellt werden, ist die Anzahl von Gutscheintagen </w:t>
      </w:r>
      <w:r>
        <w:t xml:space="preserve">erforderlich, die der Anzahl von Kurstagen für die normale Kursbereitstellung entspricht. </w:t>
      </w:r>
    </w:p>
    <w:p w:rsidR="006514EF" w:rsidRDefault="00DD50AA">
      <w:pPr>
        <w:pStyle w:val="ProductList-Bullet"/>
        <w:numPr>
          <w:ilvl w:val="0"/>
          <w:numId w:val="41"/>
        </w:numPr>
      </w:pPr>
      <w:r>
        <w:t>Der Gutschein ist nur für Tage mit von Kursleitern durchgeführten Schulungen bei qualifizierten Microsoft Learning Partnern für genehmigte Kurse einlösbar. Angepasst</w:t>
      </w:r>
      <w:r>
        <w:t xml:space="preserve">e Kurse (abgesehen von genehmigten Kursen mit beschleunigter Bereitstellung oder angepassten Kursen, die allein aus genehmigten Kursen zusammengestellt wurden) werden durch diese Gutscheine nicht abgedeckt.   </w:t>
      </w:r>
    </w:p>
    <w:p w:rsidR="006514EF" w:rsidRDefault="00DD50AA">
      <w:pPr>
        <w:pStyle w:val="ProductList-Bullet"/>
        <w:numPr>
          <w:ilvl w:val="0"/>
          <w:numId w:val="41"/>
        </w:numPr>
      </w:pPr>
      <w:r>
        <w:t>Gutscheine können nicht für Gebühren im Zusamm</w:t>
      </w:r>
      <w:r>
        <w:t>enhang mit einem reservierten Kurs verwendet werden, zu dem ein Kunde nicht erschienen ist.</w:t>
      </w:r>
    </w:p>
    <w:p w:rsidR="006514EF" w:rsidRDefault="00DD50AA">
      <w:pPr>
        <w:pStyle w:val="ProductList-Bullet"/>
        <w:numPr>
          <w:ilvl w:val="0"/>
          <w:numId w:val="41"/>
        </w:numPr>
      </w:pPr>
      <w:r>
        <w:t>Gutscheine können nur von der Person eingelöst werden, die vom Kunden zur Nutzung des Gutscheins genehmigt wurde, es sei denn, sie werden für Demonstrationssitzunge</w:t>
      </w:r>
      <w:r>
        <w:t>n genutzt.</w:t>
      </w:r>
    </w:p>
    <w:p w:rsidR="006514EF" w:rsidRDefault="00DD50AA">
      <w:pPr>
        <w:pStyle w:val="ProductList-Bullet"/>
        <w:numPr>
          <w:ilvl w:val="0"/>
          <w:numId w:val="41"/>
        </w:numPr>
      </w:pPr>
      <w:r>
        <w:t xml:space="preserve">Gutscheine können nicht gegen Bargeld, Zahlungen oder andere entgeltliche Gegenleistungen eingetauscht werden. </w:t>
      </w:r>
    </w:p>
    <w:p w:rsidR="006514EF" w:rsidRDefault="00DD50AA">
      <w:pPr>
        <w:pStyle w:val="ProductList-Bullet"/>
        <w:numPr>
          <w:ilvl w:val="0"/>
          <w:numId w:val="41"/>
        </w:numPr>
      </w:pPr>
      <w:r>
        <w:t xml:space="preserve">Gutscheine müssen während der Software Assurance-Laufzeit zugewiesen werden. </w:t>
      </w:r>
    </w:p>
    <w:p w:rsidR="006514EF" w:rsidRDefault="00DD50AA">
      <w:pPr>
        <w:pStyle w:val="ProductList-Bullet"/>
        <w:numPr>
          <w:ilvl w:val="0"/>
          <w:numId w:val="41"/>
        </w:numPr>
      </w:pPr>
      <w:r>
        <w:t>Gutscheine laufen 180 Tage ab dem Datum der Gutscheinzu</w:t>
      </w:r>
      <w:r>
        <w:t xml:space="preserve">weisung ab. Gutscheine, die vor Ablauf von Software Assurance ablaufen, fließen in den Pool der verfügbaren Trainingsgutschein-Tage zurück. </w:t>
      </w:r>
    </w:p>
    <w:p w:rsidR="006514EF" w:rsidRDefault="00DD50AA">
      <w:pPr>
        <w:pStyle w:val="ProductList-Bullet"/>
        <w:numPr>
          <w:ilvl w:val="0"/>
          <w:numId w:val="41"/>
        </w:numPr>
      </w:pPr>
      <w:r>
        <w:t>Mit Ausnahme von Demonstrationssitzungen entspricht ein Trainingsgutschein-Tag einem Schulungssitzungstag. Bei Demo</w:t>
      </w:r>
      <w:r>
        <w:t xml:space="preserve">nstrationssitzungen entspricht ein Trainingsgutschein-Tag einer Demonstrationssitzung. </w:t>
      </w:r>
    </w:p>
    <w:p w:rsidR="006514EF" w:rsidRDefault="00DD50AA">
      <w:pPr>
        <w:pStyle w:val="ProductList-Bullet"/>
        <w:numPr>
          <w:ilvl w:val="0"/>
          <w:numId w:val="41"/>
        </w:numPr>
      </w:pPr>
      <w:r>
        <w:t>Kunden müssen Trainingsgutscheine für Pakete aus mindestens vier Demonstrationssitzungen einlösen. Für Demonstrationssitzungen eingelöste Trainingsgutscheine sind im Ge</w:t>
      </w:r>
      <w:r>
        <w:t xml:space="preserve">gensatz zu für andere Schulungssitzungen eingelöste Trainingsgutscheine nicht auf eine Person beschränkt. </w:t>
      </w:r>
    </w:p>
    <w:p w:rsidR="006514EF" w:rsidRDefault="00DD50AA">
      <w:pPr>
        <w:pStyle w:val="ProductList-Bullet"/>
        <w:numPr>
          <w:ilvl w:val="0"/>
          <w:numId w:val="41"/>
        </w:numPr>
      </w:pPr>
      <w:r>
        <w:t xml:space="preserve">Gutscheine können jeweils nur bei einem qualifizierten Microsoft Learning Partner zum Reservieren von Schulungen verwendet werden. </w:t>
      </w:r>
    </w:p>
    <w:p w:rsidR="006514EF" w:rsidRDefault="00DD50AA">
      <w:pPr>
        <w:pStyle w:val="ProductList-Bullet"/>
        <w:numPr>
          <w:ilvl w:val="0"/>
          <w:numId w:val="41"/>
        </w:numPr>
      </w:pPr>
      <w:r>
        <w:t>Die Servicelevel-</w:t>
      </w:r>
      <w:r>
        <w:t>Berechtigung des Kunden für Trainingsgutscheine kann sich dadurch verringern, dass die Anzahl von qualifizierenden Lizenzen, für die Software Assurance erworben wird, aufgrund von Rückgaben und anderen Abrechnungsanpassungen, sofern zulässig, verringert wi</w:t>
      </w:r>
      <w:r>
        <w:t xml:space="preserve">rd. </w:t>
      </w:r>
    </w:p>
    <w:p w:rsidR="006514EF" w:rsidRDefault="00DD50AA">
      <w:pPr>
        <w:pStyle w:val="ProductList-Bullet"/>
        <w:numPr>
          <w:ilvl w:val="0"/>
          <w:numId w:val="41"/>
        </w:numPr>
      </w:pPr>
      <w:r>
        <w:t>In der Tabelle oben sind die verfügbaren Schulungstage basierend auf einem Beitritt oder Vertrag für volle 3 Jahre aufgeführt. Kunden, die Software Assurance für ein Jahr erwerben, erhalten ein Drittel der angegebenen Anzahl von Schulungstagen. Kunden</w:t>
      </w:r>
      <w:r>
        <w:t xml:space="preserve">, die Software Assurance für zwei Jahre erwerben, erhalten zwei Drittel der angegebenen Anzahl von Schulungstagen. </w:t>
      </w:r>
    </w:p>
    <w:p w:rsidR="006514EF" w:rsidRDefault="006514EF">
      <w:pPr>
        <w:pStyle w:val="ProductList-Body"/>
      </w:pPr>
    </w:p>
    <w:p w:rsidR="006514EF" w:rsidRDefault="00DD50AA">
      <w:pPr>
        <w:pStyle w:val="ProductList-ClauseHeading"/>
        <w:outlineLvl w:val="2"/>
      </w:pPr>
      <w:bookmarkStart w:id="388" w:name="_Sec583"/>
      <w:r>
        <w:t>E-Learning</w:t>
      </w:r>
      <w:bookmarkEnd w:id="388"/>
    </w:p>
    <w:p w:rsidR="006514EF" w:rsidRDefault="00DD50AA">
      <w:pPr>
        <w:pStyle w:val="ProductList-Body"/>
      </w:pPr>
      <w:r>
        <w:t>Diese Vergünstigung variiert nach Anwendung, System und Server. Berechtigte Kunden erhalten pro qualifizierendem Beitritt/Vertra</w:t>
      </w:r>
      <w:r>
        <w:t>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w:instrText>
      </w:r>
      <w:r>
        <w:instrText xml:space="preserve">ProPlus" </w:instrText>
      </w:r>
      <w:r>
        <w:fldChar w:fldCharType="end"/>
      </w:r>
      <w:r>
        <w:t xml:space="preserve"> sind nur berechtigt, gehostete, zu Office 365 gehörige E-Learning-Kurse zu verwenden (SCORM-kompatible Inhalte sind ausgeschlossen).</w:t>
      </w:r>
    </w:p>
    <w:p w:rsidR="006514EF" w:rsidRDefault="006514EF">
      <w:pPr>
        <w:pStyle w:val="ProductList-Body"/>
      </w:pPr>
    </w:p>
    <w:p w:rsidR="006514EF" w:rsidRDefault="00DD50AA">
      <w:pPr>
        <w:pStyle w:val="ProductList-Body"/>
      </w:pPr>
      <w:r>
        <w:t>Die maximale Anzahl von Nutzern, für die der Kunde E-Learning-Schulungen verwenden darf, entspricht der Anzahl</w:t>
      </w:r>
      <w:r>
        <w:t xml:space="preserve"> von lizenzierten Kopien qualifizierender Produkte, für die der Kunde Software Assurance erworben hat. Kunden müssen für jede qualifizierende Lizenz einen Nutzer benennen. Der Zugriff kann nicht von einem Nutzer auf einen anderen übertragen werden.</w:t>
      </w:r>
    </w:p>
    <w:p w:rsidR="006514EF" w:rsidRDefault="006514EF">
      <w:pPr>
        <w:pStyle w:val="ProductList-Body"/>
      </w:pPr>
    </w:p>
    <w:p w:rsidR="006514EF" w:rsidRDefault="00DD50AA">
      <w:pPr>
        <w:pStyle w:val="ProductList-ClauseHeading"/>
        <w:outlineLvl w:val="2"/>
      </w:pPr>
      <w:bookmarkStart w:id="389" w:name="_Sec584"/>
      <w:r>
        <w:t>Home U</w:t>
      </w:r>
      <w:r>
        <w:t>se Program</w:t>
      </w:r>
      <w:bookmarkEnd w:id="389"/>
    </w:p>
    <w:p w:rsidR="006514EF" w:rsidRDefault="00DD50AA">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w:instrText>
      </w:r>
      <w:r>
        <w:instrText xml:space="preserve">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w:t>
      </w:r>
      <w:r>
        <w:t xml:space="preserve"> SAM), Select Plus für Forschung &amp; Lehre (ohne SAM) und Open-Programme für Forschung &amp; Lehre kommen für diese Vergünstigung nicht infrage.</w:t>
      </w:r>
    </w:p>
    <w:p w:rsidR="006514EF" w:rsidRDefault="006514EF">
      <w:pPr>
        <w:pStyle w:val="ProductList-Body"/>
      </w:pPr>
    </w:p>
    <w:p w:rsidR="006514EF" w:rsidRDefault="00DD50AA">
      <w:pPr>
        <w:pStyle w:val="ProductList-Body"/>
      </w:pPr>
      <w:r>
        <w:t>Home Use-Lizenzen enden mit der Beendigung des Beschäftigungsverhältnisses, der Kündigung oder dem Ablauf von Softwa</w:t>
      </w:r>
      <w:r>
        <w:t>re Assurance für die Kopie der entsprechenden Desktop-Anwendung, die der Mitarbeiter bei der Arbeit verwendet, wenn der Mitarbeiter kein Nutzer der lizenzierten Kopie der Software mehr ist oder wenn der Mitarbeiter eine vorherige oder spätere Version diese</w:t>
      </w:r>
      <w:r>
        <w:t>r Desktop-Anwendung gemäß einer Home Use Program-Lizenz installierte oder verwendete.</w:t>
      </w:r>
    </w:p>
    <w:p w:rsidR="006514EF" w:rsidRDefault="006514EF">
      <w:pPr>
        <w:pStyle w:val="ProductList-Body"/>
      </w:pPr>
    </w:p>
    <w:p w:rsidR="006514EF" w:rsidRDefault="00DD50AA">
      <w:pPr>
        <w:pStyle w:val="ProductList-Body"/>
      </w:pPr>
      <w:r>
        <w:t>Die Nutzungsbestimmungen für die Home Use Program-Software werden zwischen Microsoft und dem Mitarbeiter des Kunden vereinbart und können über die Home Use Program-Websi</w:t>
      </w:r>
      <w:r>
        <w:t>te aufgerufen werden.</w:t>
      </w:r>
    </w:p>
    <w:p w:rsidR="006514EF" w:rsidRDefault="006514EF">
      <w:pPr>
        <w:pStyle w:val="ProductList-Body"/>
      </w:pPr>
    </w:p>
    <w:p w:rsidR="006514EF" w:rsidRDefault="00DD50AA">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651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Entsprechende Home UseProgram-Lizenz</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 2010/2013/2016</w:t>
            </w:r>
          </w:p>
          <w:p w:rsidR="006514EF" w:rsidRDefault="00DD50AA">
            <w:pPr>
              <w:pStyle w:val="ProductList-TableBody"/>
            </w:pPr>
            <w:r>
              <w:t xml:space="preserve">Office Professional Plus 2010/2013/2016 </w:t>
            </w:r>
          </w:p>
          <w:p w:rsidR="006514EF" w:rsidRDefault="00DD50AA">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 2016 HUP oder Office 2016 für Mac Home &amp; Business mit Lync DL HUP</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Access 2010/2013/2016</w:t>
            </w:r>
          </w:p>
          <w:p w:rsidR="006514EF" w:rsidRDefault="00DD50AA">
            <w:pPr>
              <w:pStyle w:val="ProductList-TableBody"/>
            </w:pPr>
            <w:r>
              <w:t>Excel 2010/2013/2016</w:t>
            </w:r>
          </w:p>
          <w:p w:rsidR="006514EF" w:rsidRDefault="00DD50AA">
            <w:pPr>
              <w:pStyle w:val="ProductList-TableBody"/>
            </w:pPr>
            <w:r>
              <w:t>PowerPoint 2010/2013/2016</w:t>
            </w:r>
          </w:p>
          <w:p w:rsidR="006514EF" w:rsidRDefault="00DD50AA">
            <w:pPr>
              <w:pStyle w:val="ProductList-TableBody"/>
            </w:pPr>
            <w:r>
              <w:t>InfoPath 2010/2013/2016</w:t>
            </w:r>
          </w:p>
          <w:p w:rsidR="006514EF" w:rsidRDefault="00DD50AA">
            <w:pPr>
              <w:pStyle w:val="ProductList-TableBody"/>
            </w:pPr>
            <w:r>
              <w:t>Lync 2010/2013/2015</w:t>
            </w:r>
          </w:p>
          <w:p w:rsidR="006514EF" w:rsidRDefault="00DD50AA">
            <w:pPr>
              <w:pStyle w:val="ProductList-TableBody"/>
            </w:pPr>
            <w:r>
              <w:t>OneNote 2010/2013/2016</w:t>
            </w:r>
          </w:p>
          <w:p w:rsidR="006514EF" w:rsidRDefault="00DD50AA">
            <w:pPr>
              <w:pStyle w:val="ProductList-TableBody"/>
            </w:pPr>
            <w:r>
              <w:t>Outlook 2010/2013/2016</w:t>
            </w:r>
          </w:p>
          <w:p w:rsidR="006514EF" w:rsidRDefault="00DD50AA">
            <w:pPr>
              <w:pStyle w:val="ProductList-TableBody"/>
            </w:pPr>
            <w:r>
              <w:t>Publisher 2010/2013/2016</w:t>
            </w:r>
          </w:p>
          <w:p w:rsidR="006514EF" w:rsidRDefault="00DD50AA">
            <w:pPr>
              <w:pStyle w:val="ProductList-TableBody"/>
            </w:pPr>
            <w:r>
              <w:t>Skype für Business 2015</w:t>
            </w:r>
          </w:p>
          <w:p w:rsidR="006514EF" w:rsidRDefault="00DD50A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Office Professional Plus 2016 HUP oder Office 2016 für Mac Home &amp; Business mit Lync DL HUP </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Visio Standard 2010/2013/2016 </w:t>
            </w:r>
          </w:p>
          <w:p w:rsidR="006514EF" w:rsidRDefault="00DD50A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Professional 2016 HUP</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Standard 2010/2013/2016</w:t>
            </w:r>
          </w:p>
          <w:p w:rsidR="006514EF" w:rsidRDefault="00DD50A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Professional 2016 HUP</w:t>
            </w:r>
          </w:p>
        </w:tc>
      </w:tr>
    </w:tbl>
    <w:p w:rsidR="006514EF" w:rsidRDefault="00DD50AA">
      <w:pPr>
        <w:pStyle w:val="ProductList-Body"/>
      </w:pPr>
      <w:r>
        <w:rPr>
          <w:i/>
        </w:rPr>
        <w:t>Weitere Informationen, einschließlich Informationen zur zukünftigen Verfügbarkeit von zusätzlicher Home Use Program-Software, finden Sie unter</w:t>
      </w:r>
    </w:p>
    <w:p w:rsidR="006514EF" w:rsidRDefault="00DD50AA">
      <w:pPr>
        <w:pStyle w:val="ProductList-Body"/>
      </w:pPr>
      <w:hyperlink r:id="rId140">
        <w:r>
          <w:rPr>
            <w:i/>
          </w:rPr>
          <w:t>http://www.microsoft.com/licensing</w:t>
        </w:r>
      </w:hyperlink>
      <w:r>
        <w:rPr>
          <w:i/>
        </w:rPr>
        <w:t>.</w:t>
      </w:r>
    </w:p>
    <w:p w:rsidR="006514EF" w:rsidRDefault="006514EF">
      <w:pPr>
        <w:pStyle w:val="ProductList-Body"/>
      </w:pPr>
    </w:p>
    <w:p w:rsidR="006514EF" w:rsidRDefault="00DD50AA">
      <w:pPr>
        <w:pStyle w:val="ProductList-Body"/>
      </w:pPr>
      <w:r>
        <w:t>Microsoft ist berechtigt, die Teilnahme eines Kunden am Home Use Program unverzüglich und ohne Ankündigung in Verbindung mit dem unbefugten Zugriff auf oder der Lizenzierung durch</w:t>
      </w:r>
      <w:r>
        <w:t xml:space="preserve"> die Home Use Program-Website im Zusammenhang mit dem Programmcode dieses Kunden zu kündigen.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ClauseHeading"/>
        <w:outlineLvl w:val="2"/>
      </w:pPr>
      <w:bookmarkStart w:id="390" w:name="_Sec585"/>
      <w:r>
        <w:t>24x7 Problembehebungssupport</w:t>
      </w:r>
      <w:bookmarkEnd w:id="390"/>
    </w:p>
    <w:p w:rsidR="006514EF" w:rsidRDefault="00DD50AA">
      <w:pPr>
        <w:pStyle w:val="ProductList-Body"/>
      </w:pPr>
      <w:r>
        <w:t>Kunden (mit Ausnahme von Kunden mit Select-Lizenz für Forschung &amp; Lehre, Select Plus-Vertrag für Forschung &amp; Lehre, Open-Lizenz für Forschung &amp; Lehre, Campus- und School-Verträgen, Open Value Subscription – Bildungslösungen) mit Software Assurance sind zum</w:t>
      </w:r>
      <w:r>
        <w:t xml:space="preserve"> 24x7-Problembehebungssupport berechtigt. </w:t>
      </w:r>
    </w:p>
    <w:p w:rsidR="006514EF" w:rsidRDefault="006514EF">
      <w:pPr>
        <w:pStyle w:val="ProductList-Body"/>
      </w:pPr>
    </w:p>
    <w:p w:rsidR="006514EF" w:rsidRDefault="00DD50AA">
      <w:pPr>
        <w:pStyle w:val="ProductList-Body"/>
      </w:pPr>
      <w:r>
        <w:t>24x7-Problembehebungssupport bietet Unterstützung für Probleme mit bestimmten Symptomen, die bei der Verwendung von Microsoft-Produkten aufgetreten sind. Microsoft wird angemessene Maßnahmen zur Unterstützung der</w:t>
      </w:r>
      <w:r>
        <w:t xml:space="preserve"> Kunden mit Supportbedarf ergreifen, die den Microsoft-Produktsupportrichtlinien entsprechen. Microsoft behält sich das Recht vor, unangemessene Forderungen nach Supportservices abzulehnen und Kunden auf einen zusätzlichen Servicelevel-Vertrag zu verweisen</w:t>
      </w:r>
      <w:r>
        <w:t xml:space="preserve">, in dessen Rahmen zusätzliche Kosten anfallen können. </w:t>
      </w:r>
    </w:p>
    <w:p w:rsidR="006514EF" w:rsidRDefault="006514EF">
      <w:pPr>
        <w:pStyle w:val="ProductList-Body"/>
      </w:pPr>
    </w:p>
    <w:p w:rsidR="006514EF" w:rsidRDefault="00DD50AA">
      <w:pPr>
        <w:pStyle w:val="ProductList-Body"/>
      </w:pPr>
      <w:r>
        <w:t>Produkte, für die derzeit wie unter der Support Lifecycle Policy von Microsoft aufgeführt Mainstream-Support geleistet wird, sind mit einer Berechtigung zu 24x7-Problembehebungssupport verbunden. Mic</w:t>
      </w:r>
      <w:r>
        <w:t>rosoft kann Support auf neue Produkte ausdehnen oder Support für bestehende Produkte einstellen. Microsoft wird dem Kunden mitteilen, wenn kein Support für dessen Implementierung von Microsoft-Produkten möglich ist. Sofern der Kunde die Implementierung nic</w:t>
      </w:r>
      <w:r>
        <w:t xml:space="preserve">ht innerhalb von 30 Kalendertagen nach dem Hinweis von Microsoft so ändert, dass es möglich ist, für sie effektiv Support zu leisten, ist Microsoft nicht zur Erbringung von zusätzlichen Supportservices für diese Implementierung verpflichtet. </w:t>
      </w:r>
    </w:p>
    <w:p w:rsidR="006514EF" w:rsidRDefault="006514EF">
      <w:pPr>
        <w:pStyle w:val="ProductList-Body"/>
      </w:pPr>
    </w:p>
    <w:p w:rsidR="006514EF" w:rsidRDefault="00DD50AA">
      <w:pPr>
        <w:pStyle w:val="ProductList-Body"/>
      </w:pPr>
      <w:r>
        <w:t>Eine unterst</w:t>
      </w:r>
      <w:r>
        <w:t>ützte Break-Fix-Supportanfrage, auch als Fall bezeichnet, wird als ein einzelnes Supportproblem und die angemessenen Bemühungen zu seiner Behebung definiert. Ein einzelnes Supportproblem ist ein Problem, das nicht in untergeordnete Probleme aufgeteilt werd</w:t>
      </w:r>
      <w:r>
        <w:t>en kann. Wenn ein Problem aus untergeordneten Problemen besteht, wird jedes von ihnen als separater Fall betrachtet. In bestimmten Situationen stellt Microsoft als Reaktion auf eine unterstützte Break-Fix-Supportanfrage möglicherweise eine Änderung des kom</w:t>
      </w:r>
      <w:r>
        <w:t>merziell verfügbaren Softwarecodes eines Microsoft-Produktes bereit, um bestimmte kritische Probleme zu beheben („Hotfix(es)“). Hotfixes sind dazu gedacht, bestimmte Probleme der Kunden zu beheben, und wurden keinen Regressionstests unterzogen.</w:t>
      </w:r>
    </w:p>
    <w:p w:rsidR="006514EF" w:rsidRDefault="006514EF">
      <w:pPr>
        <w:pStyle w:val="ProductList-Body"/>
      </w:pPr>
    </w:p>
    <w:p w:rsidR="006514EF" w:rsidRDefault="00DD50AA">
      <w:pPr>
        <w:pStyle w:val="ProductList-SubClauseHeading"/>
        <w:outlineLvl w:val="3"/>
      </w:pPr>
      <w:r>
        <w:t xml:space="preserve">Gewährung </w:t>
      </w:r>
      <w:r>
        <w:t>von telefonischen Supportanfragen</w:t>
      </w:r>
    </w:p>
    <w:p w:rsidR="006514EF" w:rsidRDefault="00DD50AA">
      <w:pPr>
        <w:pStyle w:val="ProductList-BodyIndented"/>
      </w:pPr>
      <w:r>
        <w:t>Die Anzahl der zulässigen telefonischen Supportanfragen ist je nach SA-Ausgaben und Zahlungsoption des jeweiligen Kunden von Kunde zu Kunde unterschiedlich. Auf SA-Ausgaben basierende Anfragen werden für SA-Ausgaben für Se</w:t>
      </w:r>
      <w:r>
        <w:t>rver und Desktop im Rahmen eines qualifizierenden Select- oder Konzernbeitritts, einer Select Plus-Registrierung, eines Open Value-Vertrages oder einer Open-Lizenz-Autorisierungsnummer gewährt. Für SA-Ausgaben pro Server SA bzw. CAL SA in Höhe von mindeste</w:t>
      </w:r>
      <w:r>
        <w:t>ns $20.000 gewährt Microsoft eine Anfrage. Für SA-Ausgaben pro System-Pool oder Anwendungs-Pool in Höhe von mindestens $200.000 gewährt Microsoft eine Anfrage. Die folgende Tabelle enthält die ungefähren Währungsäquivalente für auf Grundlage von SA-Ausgabe</w:t>
      </w:r>
      <w:r>
        <w:t>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651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IW/Client – Stufen für gewährt</w:t>
            </w:r>
            <w:r>
              <w:rPr>
                <w:color w:val="FFFFFF"/>
              </w:rPr>
              <w:t>e Anfragen</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270,000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 Fr. 330,000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CRC 1.650.000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1.600.000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215,000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£135,000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JPY 24.000.000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KWD 240.000.000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1.650.000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350,000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 2.000.000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NTD 7.000.000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INR 10.000.000</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RUB 6.600.000</w:t>
            </w:r>
          </w:p>
        </w:tc>
      </w:tr>
    </w:tbl>
    <w:p w:rsidR="006514EF" w:rsidRDefault="006514EF">
      <w:pPr>
        <w:pStyle w:val="ProductList-BodyIndented"/>
        <w:ind w:left="720"/>
      </w:pPr>
    </w:p>
    <w:p w:rsidR="006514EF" w:rsidRDefault="00DD50AA">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6514EF" w:rsidRDefault="006514EF">
      <w:pPr>
        <w:pStyle w:val="ProductList-BodyIndented"/>
      </w:pPr>
    </w:p>
    <w:p w:rsidR="006514EF" w:rsidRDefault="00DD50AA">
      <w:pPr>
        <w:pStyle w:val="ProductList-BodyIndented"/>
      </w:pPr>
      <w:r>
        <w:t xml:space="preserve">Zugang zum lokalen telefonischen Support steht während der Geschäftszeiten zur Verfügung, die auf der Website </w:t>
      </w:r>
      <w:hyperlink r:id="rId141">
        <w:r>
          <w:rPr>
            <w:color w:val="00467F"/>
            <w:u w:val="single"/>
          </w:rPr>
          <w:t>http://support.microsoft.com/gp/saphone</w:t>
        </w:r>
      </w:hyperlink>
      <w:r>
        <w:t xml:space="preserve"> aufgelistet sind. Telefonischer Support nach de</w:t>
      </w:r>
      <w:r>
        <w:t>n Geschäftszeiten kann über regionale und internationale Support Center geleistet werden. Telefonischer Support nach den Geschäftszeiten kann nur zur Veranlassung geschäftskritischer Supportanfragen genutzt werden. Die Geschäftszeiten sind von der jeweilig</w:t>
      </w:r>
      <w:r>
        <w:t>en Region abhängig. Telefonischer Support wird nicht in allen Regionen in allen Sprachen angeboten.</w:t>
      </w:r>
    </w:p>
    <w:p w:rsidR="006514EF" w:rsidRDefault="006514EF">
      <w:pPr>
        <w:pStyle w:val="ProductList-BodyIndented"/>
        <w:ind w:left="720"/>
      </w:pPr>
    </w:p>
    <w:p w:rsidR="006514EF" w:rsidRDefault="00DD50AA">
      <w:pPr>
        <w:pStyle w:val="ProductList-SubClauseHeading"/>
        <w:outlineLvl w:val="3"/>
      </w:pPr>
      <w:r>
        <w:t>Web-basierte Anfragen</w:t>
      </w:r>
    </w:p>
    <w:p w:rsidR="006514EF" w:rsidRDefault="00DD50AA">
      <w:pPr>
        <w:pStyle w:val="ProductList-BodyIndented"/>
      </w:pPr>
      <w:r>
        <w:t xml:space="preserve">Kunden (mit Ausnahme von Kunden mit einer Select-Lizenz für Forschung &amp; Lehre, einer Select Plus-Lizenz für Forschung &amp; Lehre, einer </w:t>
      </w:r>
      <w:r>
        <w:t>Open-Lizenz für Forschung &amp; Lehre, einem Campus- und School-Vertrag, Open Value Subscription – Bildungslösungen oder einer Open-Lizenz) mit Standard, Enterprise und Datacenter Edition von Server-Software im Rahmen von Software Assurance haben je nach Bedar</w:t>
      </w:r>
      <w:r>
        <w:t>f Zugang zu elektronischen Web-basierten Problembehebungssupport-Services. Der Zugang zu Websites des elektronischen Supports steht 24 Stunden am Tag und sieben Tage die Woche zur Verfügung. Antworten erfolgen jedoch während der Geschäftszeiten. Über das W</w:t>
      </w:r>
      <w:r>
        <w:t>eb gemeldete Anfragen, die anschließend vom Kunden in eine telefonische Behebung umgewandelt werden, werden nach Behebung mit den verfügbaren telefonischen Supportanfragen verrechnet. Über das Web gemeldete Anfragen, die anschließend von Microsoft telefoni</w:t>
      </w:r>
      <w:r>
        <w:t>sch bearbeitet werden, werden nicht mit den verfügbaren telefonischen Supportanfragen verrechnet, wenn die Behebung im Web, per E-Mail und mit anderen elektronischen Mitteln fortgesetzt wird.</w:t>
      </w:r>
    </w:p>
    <w:p w:rsidR="006514EF" w:rsidRDefault="006514EF">
      <w:pPr>
        <w:pStyle w:val="ProductList-BodyIndented"/>
      </w:pPr>
    </w:p>
    <w:p w:rsidR="006514EF" w:rsidRDefault="00DD50AA">
      <w:pPr>
        <w:pStyle w:val="ProductList-BodyIndented"/>
      </w:pPr>
      <w:r>
        <w:t xml:space="preserve">Software Assurance ist für Serversoftware und dazugehörige </w:t>
      </w:r>
      <w:r>
        <w:fldChar w:fldCharType="begin"/>
      </w:r>
      <w:r>
        <w:instrText xml:space="preserve"> Aut</w:instrText>
      </w:r>
      <w:r>
        <w:instrText xml:space="preserve">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w:t>
      </w:r>
      <w:r>
        <w:t>rver-Software Web-basierte Problembehebungssupportanfragen stellen, für die Software Assurance vorhanden ist.</w:t>
      </w:r>
    </w:p>
    <w:p w:rsidR="006514EF" w:rsidRDefault="006514EF">
      <w:pPr>
        <w:pStyle w:val="ProductList-BodyIndented"/>
        <w:ind w:left="720"/>
      </w:pPr>
    </w:p>
    <w:p w:rsidR="006514EF" w:rsidRDefault="00DD50AA">
      <w:pPr>
        <w:pStyle w:val="ProductList-SubClauseHeading"/>
        <w:outlineLvl w:val="3"/>
      </w:pPr>
      <w:r>
        <w:t>Supportkontakte</w:t>
      </w:r>
    </w:p>
    <w:p w:rsidR="006514EF" w:rsidRDefault="00DD50AA">
      <w:pPr>
        <w:pStyle w:val="ProductList-BodyIndented"/>
      </w:pPr>
      <w:r>
        <w:t>Die Anzahl der zulässigen Supportkontakte variiert je nach Volumenlizenzprogramm und Anzahl der durch Software Assurance abgedeck</w:t>
      </w:r>
      <w:r>
        <w:t>ten Lizenzen, wie unten dargestellt. Die Kontaktpersonen müssen namentlich benannt sein und können Personen außerhalb des Unternehmens des Kunden einschließen. Ein Unternehmen, eine Abteilung oder eine Gruppe kann jedoch nicht als Kontaktperson genannt wer</w:t>
      </w:r>
      <w:r>
        <w:t>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6514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S/S+: EA Level D</w:t>
            </w:r>
          </w:p>
        </w:tc>
      </w:tr>
      <w:tr w:rsidR="006514EF">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Nach Bedarf</w:t>
            </w:r>
          </w:p>
        </w:tc>
      </w:tr>
      <w:tr w:rsidR="006514EF">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16</w:t>
            </w:r>
          </w:p>
        </w:tc>
      </w:tr>
    </w:tbl>
    <w:p w:rsidR="006514EF" w:rsidRDefault="006514EF">
      <w:pPr>
        <w:pStyle w:val="ProductList-BodyIndented"/>
      </w:pPr>
    </w:p>
    <w:p w:rsidR="006514EF" w:rsidRDefault="00DD50AA">
      <w:pPr>
        <w:pStyle w:val="ProductList-SubClauseHeading"/>
        <w:outlineLvl w:val="3"/>
      </w:pPr>
      <w:r>
        <w:t>Servicelevel für Software Assurance-Kunden</w:t>
      </w:r>
    </w:p>
    <w:p w:rsidR="006514EF" w:rsidRDefault="00DD50AA">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651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Vom Kunden erwartete Reaktion</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Kritische Auswirkungen auf das Geschäft: </w:t>
            </w:r>
          </w:p>
          <w:p w:rsidR="006514EF" w:rsidRDefault="00DD50AA">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2 Stunden oder weniger, basierend auf dem Supportangebot</w:t>
            </w:r>
          </w:p>
          <w:p w:rsidR="006514EF" w:rsidRDefault="00DD50AA">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Zuweisung</w:t>
            </w:r>
            <w:r>
              <w:t xml:space="preserve"> geeigneter Ressourcen zur Aufrechterhaltung durchgehender Bemühungen rund um die Uhr2</w:t>
            </w:r>
          </w:p>
          <w:p w:rsidR="006514EF" w:rsidRDefault="00DD50AA">
            <w:pPr>
              <w:pStyle w:val="ProductList-TableBody"/>
            </w:pPr>
            <w:r>
              <w:t>Schneller Zugriff und schnelle Reaktion durch Änderungskontrollautorität</w:t>
            </w:r>
          </w:p>
          <w:p w:rsidR="006514EF" w:rsidRDefault="00DD50AA">
            <w:pPr>
              <w:pStyle w:val="ProductList-TableBody"/>
            </w:pPr>
            <w:r>
              <w:t>Benachrichtigung des Managements</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Mittelschwere Auswirkungen auf das </w:t>
            </w:r>
            <w:r>
              <w:t xml:space="preserve">Geschäft: </w:t>
            </w:r>
          </w:p>
          <w:p w:rsidR="006514EF" w:rsidRDefault="00DD50AA">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4 Stunden oder wenige</w:t>
            </w:r>
            <w:r>
              <w:t>r, basierend auf dem Supportangebot</w:t>
            </w:r>
          </w:p>
          <w:p w:rsidR="006514EF" w:rsidRDefault="00DD50A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Zuweisung geeigneter Ressourcen zur Aufrechterhaltung durchgehender Bemühungen während der Geschäftszeiten</w:t>
            </w:r>
          </w:p>
          <w:p w:rsidR="006514EF" w:rsidRDefault="00DD50AA">
            <w:pPr>
              <w:pStyle w:val="ProductList-TableBody"/>
            </w:pPr>
            <w:r>
              <w:t>Zugriff und Reaktion von Änderungskontrollautorität innerhalb von 4 Geschäftsstunden</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Minimale Auswirkungen auf das Geschäft: </w:t>
            </w:r>
          </w:p>
          <w:p w:rsidR="006514EF" w:rsidRDefault="00DD50AA">
            <w:pPr>
              <w:pStyle w:val="ProductList-TableBody"/>
            </w:pPr>
            <w:r>
              <w:t>Das Geschäft des Kunden ist im Wesentlichen funktionsfähig, mit geringen oder keinen Beeinträ</w:t>
            </w:r>
            <w:r>
              <w:t>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innerhalb von einem Geschäftstag oder weniger, basierend auf dem Supportangebot</w:t>
            </w:r>
          </w:p>
          <w:p w:rsidR="006514EF" w:rsidRDefault="00DD50A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Genaue Kontaktinformationen zum Fallinhaber</w:t>
            </w:r>
          </w:p>
          <w:p w:rsidR="006514EF" w:rsidRDefault="00DD50AA">
            <w:pPr>
              <w:pStyle w:val="ProductList-TableBody"/>
            </w:pPr>
            <w:r>
              <w:t>Reaktion innerhalb eines Geschäftstages</w:t>
            </w:r>
          </w:p>
        </w:tc>
      </w:tr>
    </w:tbl>
    <w:p w:rsidR="006514EF" w:rsidRDefault="00DD50AA">
      <w:pPr>
        <w:pStyle w:val="ProductList-BodyIndented"/>
      </w:pPr>
      <w:r>
        <w:rPr>
          <w:i/>
        </w:rPr>
        <w:t>1</w:t>
      </w:r>
      <w:r>
        <w:rPr>
          <w:i/>
        </w:rPr>
        <w:t xml:space="preserve"> Wenden Sie sich bezüglich der örtlichen Geschäftszeiten an Ihren Microsoft-Vertreter.</w:t>
      </w:r>
    </w:p>
    <w:p w:rsidR="006514EF" w:rsidRDefault="00DD50AA">
      <w:pPr>
        <w:pStyle w:val="ProductList-BodyIndented"/>
      </w:pPr>
      <w:r>
        <w:rPr>
          <w:i/>
        </w:rPr>
        <w:t>2 Möglicherweise muss Microsoft den Schweregrad herunterstufen, falls der Kunde nicht in der Lage ist, angemessene Ressourcen oder Reaktionen bereitzustellen, um Microso</w:t>
      </w:r>
      <w:r>
        <w:rPr>
          <w:i/>
        </w:rPr>
        <w:t>ft die Fortsetzung der Bemühungen zur Problembehebung zu ermöglichen.</w:t>
      </w:r>
    </w:p>
    <w:p w:rsidR="006514EF" w:rsidRDefault="006514EF">
      <w:pPr>
        <w:pStyle w:val="ProductList-BodyIndented"/>
        <w:ind w:left="720"/>
      </w:pPr>
    </w:p>
    <w:p w:rsidR="006514EF" w:rsidRDefault="00DD50AA">
      <w:pPr>
        <w:pStyle w:val="ProductList-SubClauseHeading"/>
        <w:outlineLvl w:val="3"/>
      </w:pPr>
      <w:r>
        <w:t>Umwandlung von Software Assurance-24x7-Problembehebungssupport-Anfragen in Premier Supportleistungen</w:t>
      </w:r>
    </w:p>
    <w:p w:rsidR="006514EF" w:rsidRDefault="00DD50AA">
      <w:pPr>
        <w:pStyle w:val="ProductList-BodyIndented"/>
      </w:pPr>
      <w:r>
        <w:t>Kunden können sich dafür entscheiden, Software Assurance-24x7-Problembehebungssuppor</w:t>
      </w:r>
      <w:r>
        <w:t>t-Anfragen in Premier-Problembehebungssupport (PRS)-Stunden oder Dedicated Support Engineer (DSE)-Stunden (gilt nur für Aktivitäten im Rahmen des reaktiven Supports) umzuwandeln.</w:t>
      </w:r>
    </w:p>
    <w:p w:rsidR="006514EF" w:rsidRDefault="006514EF">
      <w:pPr>
        <w:pStyle w:val="ProductList-BodyIndented"/>
      </w:pPr>
    </w:p>
    <w:p w:rsidR="006514EF" w:rsidRDefault="00DD50AA">
      <w:pPr>
        <w:pStyle w:val="ProductList-BodyIndented"/>
      </w:pPr>
      <w:r>
        <w:t>Diese Services sind zur Nutzung in Übereinstimmung mit ihrem Premier-Service</w:t>
      </w:r>
      <w:r>
        <w:t>plan zum Zeitpunkt der Übertragung bestimmt. Die Umwandlung basiert auf einer Berechnung des örtlichen Tarifs, die von ihrem Premier-Kundenteam bereitgestellt wird. Möglicherweise müssen die Kunden vor der Umwandlung von Software Assurance-24x7-Problembehe</w:t>
      </w:r>
      <w:r>
        <w:t xml:space="preserve">bungssupport-Stunden zusätzliche Supportaccountverwaltungs-Stunden erwerben. SA-24x7-Problembehebungssupport-Anfragen, die in Premier umgewandelt werden, gelten als Premier-Problembehebungssupport-Stunden und unterliegen der Premier-Services-Beschreibung. </w:t>
      </w:r>
      <w:r>
        <w:t>Nach der Umwandlung können Fälle nicht in die SA-Zuteilung eines Kunden zurückgeführt werden.</w:t>
      </w:r>
    </w:p>
    <w:p w:rsidR="006514EF" w:rsidRDefault="006514EF">
      <w:pPr>
        <w:pStyle w:val="ProductList-BodyIndented"/>
        <w:ind w:left="720"/>
      </w:pPr>
    </w:p>
    <w:p w:rsidR="006514EF" w:rsidRDefault="00DD50AA">
      <w:pPr>
        <w:pStyle w:val="ProductList-SubClauseHeading"/>
        <w:outlineLvl w:val="3"/>
      </w:pPr>
      <w:r>
        <w:t>Zusätzliche Geschäftsbestimmungen</w:t>
      </w:r>
    </w:p>
    <w:p w:rsidR="006514EF" w:rsidRDefault="00DD50AA">
      <w:pPr>
        <w:pStyle w:val="ProductList-BodyIndented"/>
      </w:pPr>
      <w:r>
        <w:t>SA-Ausgaben können nicht über Select- oder Konzernbeitritte, Select Plus-Registrierungen oder Open Value-Verträge zur Qualifizi</w:t>
      </w:r>
      <w:r>
        <w:t>erung für zusätzliche Gewährungen kombiniert werden. Die Ausgaben innerhalb jedes Beitritts oder Vertrages werden zur Bestimmung der Gewährung für den betreffenden Beitritt oder Vertrag verwendet.</w:t>
      </w:r>
    </w:p>
    <w:p w:rsidR="006514EF" w:rsidRDefault="006514EF">
      <w:pPr>
        <w:pStyle w:val="ProductList-BodyIndented"/>
      </w:pPr>
    </w:p>
    <w:p w:rsidR="006514EF" w:rsidRDefault="00DD50AA">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w:t>
      </w:r>
      <w:r>
        <w:t xml:space="preserve"> Gewährungszeiträume führen. </w:t>
      </w:r>
    </w:p>
    <w:p w:rsidR="006514EF" w:rsidRDefault="006514EF">
      <w:pPr>
        <w:pStyle w:val="ProductList-BodyIndented"/>
        <w:ind w:left="720"/>
      </w:pPr>
    </w:p>
    <w:p w:rsidR="006514EF" w:rsidRDefault="00DD50AA">
      <w:pPr>
        <w:pStyle w:val="ProductList-SubClauseHeading"/>
        <w:outlineLvl w:val="3"/>
      </w:pPr>
      <w:r>
        <w:t>Unbegrenzter 24x7-Problembehebungssupport</w:t>
      </w:r>
    </w:p>
    <w:p w:rsidR="006514EF" w:rsidRDefault="00DD50AA">
      <w:pPr>
        <w:pStyle w:val="ProductList-BodyIndented"/>
      </w:pPr>
      <w:r>
        <w:t xml:space="preserve">Diese Vergünstigung ist nur (1) über den Beitritt zur Anwendungsplattform (EAP) zu einem Konzernvertrag und/oder (2) über den Server- und Cloud-Beitritt (SCE) zu einem Konzernvertrag </w:t>
      </w:r>
      <w:r>
        <w:t>und/oder (3) mit dem Erwerb von Lizenzen für Parallel Data Warehouse (PDW) über EA, EAP, Select Plus oder Select verfügbar.</w:t>
      </w:r>
    </w:p>
    <w:p w:rsidR="006514EF" w:rsidRDefault="006514EF">
      <w:pPr>
        <w:pStyle w:val="ProductList-BodyIndented"/>
        <w:ind w:left="720"/>
      </w:pPr>
    </w:p>
    <w:p w:rsidR="006514EF" w:rsidRDefault="00DD50AA">
      <w:pPr>
        <w:pStyle w:val="ProductList-SubClauseHeading"/>
        <w:outlineLvl w:val="3"/>
      </w:pPr>
      <w:r>
        <w:t>SCE-Berechtigung</w:t>
      </w:r>
    </w:p>
    <w:p w:rsidR="006514EF" w:rsidRDefault="00DD50AA">
      <w:pPr>
        <w:pStyle w:val="ProductList-BodyIndented"/>
      </w:pPr>
      <w:r>
        <w:t>Kunden, die über einen SCE mit durchschnittlichen Mindestausgaben für SA in Höhe von 250.000 US-Dollar pro Jahr fü</w:t>
      </w:r>
      <w:r>
        <w:t>r alle qualifizierenden Produkte entweder auf der Anwendungsplattform oder in der Core Infrastructure Suite sowie über einen aktiven Premier-Servicevertrag verfügen, sind zu Anfragen im Rahmen von Unbegrenztem 24x7-Problembehebungssupport berechtigt. Die z</w:t>
      </w:r>
      <w:r>
        <w:t>wei berechtigten SCE-Komponenten qualifizieren separat für Unbegrenzten 24x7-Problembehebungssupport. Die unten aufgeführten Produkte, für die derzeit in Übereinstimmung mit dem Premier-Vertrag eines Kunden und wie in der Support Lifecycle Policy von Micro</w:t>
      </w:r>
      <w:r>
        <w:t>soft aufgeführt Mainstream- oder Erweiterter Support geleistet wird, sind in dieser Vergünstigung enthalten.</w:t>
      </w:r>
    </w:p>
    <w:p w:rsidR="006514EF" w:rsidRDefault="006514EF">
      <w:pPr>
        <w:pStyle w:val="ProductList-BodyIndented"/>
      </w:pPr>
    </w:p>
    <w:p w:rsidR="006514EF" w:rsidRDefault="00DD50AA">
      <w:pPr>
        <w:pStyle w:val="ProductList-BodyIndented"/>
      </w:pPr>
      <w:r>
        <w:t>Die qualifizierenden Anwendungsplattform-Produkte sind:</w:t>
      </w:r>
    </w:p>
    <w:p w:rsidR="006514EF" w:rsidRDefault="00DD50AA">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w:t>
      </w:r>
      <w:r>
        <w:t xml:space="preserve">ence und Parallel Data Warehouse und CALs) </w:t>
      </w:r>
    </w:p>
    <w:p w:rsidR="006514EF" w:rsidRDefault="00DD50AA">
      <w:pPr>
        <w:pStyle w:val="ProductList-Bullet"/>
        <w:numPr>
          <w:ilvl w:val="1"/>
          <w:numId w:val="42"/>
        </w:numPr>
      </w:pPr>
      <w:r>
        <w:t>BizTalk Server</w:t>
      </w:r>
      <w:r>
        <w:fldChar w:fldCharType="begin"/>
      </w:r>
      <w:r>
        <w:instrText xml:space="preserve"> XE "BizTalk Server" </w:instrText>
      </w:r>
      <w:r>
        <w:fldChar w:fldCharType="end"/>
      </w:r>
      <w:r>
        <w:t xml:space="preserve"> (Standard, Enterprise und Branch)</w:t>
      </w:r>
    </w:p>
    <w:p w:rsidR="006514EF" w:rsidRDefault="00DD50AA">
      <w:pPr>
        <w:pStyle w:val="ProductList-Bullet"/>
        <w:numPr>
          <w:ilvl w:val="1"/>
          <w:numId w:val="42"/>
        </w:numPr>
      </w:pPr>
      <w:r>
        <w:t>Office SharePoint Server</w:t>
      </w:r>
      <w:r>
        <w:fldChar w:fldCharType="begin"/>
      </w:r>
      <w:r>
        <w:instrText xml:space="preserve"> XE "SharePoint Server" </w:instrText>
      </w:r>
      <w:r>
        <w:fldChar w:fldCharType="end"/>
      </w:r>
    </w:p>
    <w:p w:rsidR="006514EF" w:rsidRDefault="00DD50AA">
      <w:pPr>
        <w:pStyle w:val="ProductList-BodyIndented"/>
      </w:pPr>
      <w:r>
        <w:t>Die qualifizierenden Produkte aus der Core Infrastructure-Komponente sind folgende:</w:t>
      </w:r>
    </w:p>
    <w:p w:rsidR="006514EF" w:rsidRDefault="00DD50AA">
      <w:pPr>
        <w:pStyle w:val="ProductList-Bullet"/>
        <w:numPr>
          <w:ilvl w:val="1"/>
          <w:numId w:val="43"/>
        </w:numPr>
      </w:pPr>
      <w:r>
        <w:t>CIS D</w:t>
      </w:r>
      <w:r>
        <w:t>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6514EF" w:rsidRDefault="00DD50AA">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w:t>
      </w:r>
      <w:r>
        <w:t>System Center Standard</w:t>
      </w:r>
      <w:r>
        <w:fldChar w:fldCharType="begin"/>
      </w:r>
      <w:r>
        <w:instrText xml:space="preserve"> XE "System Center Standard" </w:instrText>
      </w:r>
      <w:r>
        <w:fldChar w:fldCharType="end"/>
      </w:r>
      <w:r>
        <w:t>)</w:t>
      </w:r>
    </w:p>
    <w:p w:rsidR="006514EF" w:rsidRDefault="006514EF">
      <w:pPr>
        <w:pStyle w:val="ProductList-BodyIndented"/>
      </w:pPr>
    </w:p>
    <w:p w:rsidR="006514EF" w:rsidRDefault="00DD50AA">
      <w:pPr>
        <w:pStyle w:val="ProductList-BodyIndented"/>
      </w:pPr>
      <w:r>
        <w:t>Die folgende Tabelle enthält die umgerechneten Schwellenwerte für SA-Ausgaben für Verträge, die nicht auf US-Dollar lauten. Aufgrund der Wechselkursschwankungen kann diese Tabelle ohne Ankündigung geä</w:t>
      </w:r>
      <w:r>
        <w:t>ndert werden.</w:t>
      </w:r>
    </w:p>
    <w:tbl>
      <w:tblPr>
        <w:tblStyle w:val="PURTable0"/>
        <w:tblW w:w="0" w:type="dxa"/>
        <w:tblLook w:val="04A0" w:firstRow="1" w:lastRow="0" w:firstColumn="1" w:lastColumn="0" w:noHBand="0" w:noVBand="1"/>
      </w:tblPr>
      <w:tblGrid>
        <w:gridCol w:w="3446"/>
        <w:gridCol w:w="3408"/>
        <w:gridCol w:w="3576"/>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Durchschnittliche Mindestausgaben für SA pro Jahr zur Qualifizierung für Unbegrenzten 24x7-Problembehebungssupport</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375,000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337,500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412,500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2,062,500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2,000,000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268,750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168,750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30,000,000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300,000,000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2,062,500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437,500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2,500,000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8,750,000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12,500,000</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8,250,000</w:t>
            </w:r>
          </w:p>
        </w:tc>
      </w:tr>
    </w:tbl>
    <w:p w:rsidR="006514EF" w:rsidRDefault="006514EF">
      <w:pPr>
        <w:pStyle w:val="ProductList-BodyIndented"/>
        <w:ind w:left="720"/>
      </w:pPr>
    </w:p>
    <w:p w:rsidR="006514EF" w:rsidRDefault="00DD50AA">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w:t>
      </w:r>
      <w:r>
        <w:t>Anfragen nicht auf Grundlage tatsächlicher SA-Ausgaben für diese Produkte. Wenn der Kunde die Berechtigung zu Unbegrenztem 24x7-Problembehebungssupport während der Laufzeit erhält, werden alle zuvor auf Grundlage der SA-Ausgaben gewährten und nicht in Ansp</w:t>
      </w:r>
      <w:r>
        <w:t xml:space="preserve">ruch genommenen Anfragen vom Guthaben des Kunden abgezogen. Anfragen im Rahmen von Unbegrenztem 24x7-Problembehebungssupport können nicht in Premier-Problembehebungssupport-Stunden oder -Anfragen umgewandelt werden. </w:t>
      </w:r>
    </w:p>
    <w:p w:rsidR="006514EF" w:rsidRDefault="006514EF">
      <w:pPr>
        <w:pStyle w:val="ProductList-BodyIndented"/>
        <w:ind w:left="720"/>
      </w:pPr>
    </w:p>
    <w:p w:rsidR="006514EF" w:rsidRDefault="00DD50AA">
      <w:pPr>
        <w:pStyle w:val="ProductList-SubClauseHeading"/>
        <w:outlineLvl w:val="3"/>
      </w:pPr>
      <w:r>
        <w:t>Berechtigung für Parallel Data Warehou</w:t>
      </w:r>
      <w:r>
        <w:t>se</w:t>
      </w:r>
    </w:p>
    <w:p w:rsidR="006514EF" w:rsidRDefault="00DD50AA">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w:t>
      </w:r>
      <w:r>
        <w:t xml:space="preserve">hängig davon, ob sie über einen SCE verfügen, sowie unabhängig von ihren SCE-Ausgaben. Wenn Kunden Lizenzen für Parallel Data Warehouse (PDW) erwerben, gewährt Microsoft Anfragen nicht auf Grundlage tatsächlicher SA-Ausgaben für dieses Produkt. </w:t>
      </w:r>
    </w:p>
    <w:p w:rsidR="006514EF" w:rsidRDefault="006514EF">
      <w:pPr>
        <w:pStyle w:val="ProductList-BodyIndented"/>
      </w:pPr>
    </w:p>
    <w:p w:rsidR="006514EF" w:rsidRDefault="00DD50AA">
      <w:pPr>
        <w:pStyle w:val="ProductList-BodyIndented"/>
      </w:pPr>
      <w:r>
        <w:t>Zwar erha</w:t>
      </w:r>
      <w:r>
        <w:t>lten alle Kunden mit der entsprechenden Qualifizierung eine unbegrenzte Anzahl von Anfragen im Rahmen des 24x7-Problembehebungssupports, allerdings hängt die Anzahl zulässiger Supportkontaktpersonen zur Verwaltung des Unbegrenzten 24x7-Problembehebungssupp</w:t>
      </w:r>
      <w:r>
        <w:t xml:space="preserve">orts vom Umfang der SA-Ausgaben ab. Alle berechtigten Kunden haben Anspruch auf mindestens vier autorisierte Kontaktpersonen plus eine weitere Kontaktperson pro 125.000 US-Dollar an zusätzlichen SA-Ausgaben im Rahmen ihres SCE oder VL-Programms bzw. ihrer </w:t>
      </w:r>
      <w:r>
        <w:t>VL-Programme, unter dem bzw. denen sie Lizenzen für PDW erworben haben. Bei Verträgen, die auf eine Fremdwährung lauten, haben berechtigte Kunden Anspruch auf mindestens vier autorisierte Kontaktpersonen plus eine weitere Kontaktperson pro inkrementellen S</w:t>
      </w:r>
      <w:r>
        <w:t>A-Ausgaben, die 125.000 US-Dollar an durchschnittlichen Ausgaben für SA pro Jahr in der jeweiligen Fremdwährung entsprechen. Siehe folgende Tabelle:</w:t>
      </w:r>
    </w:p>
    <w:p w:rsidR="006514EF" w:rsidRDefault="006514EF">
      <w:pPr>
        <w:pStyle w:val="ProductList-BodyIndented"/>
      </w:pPr>
    </w:p>
    <w:p w:rsidR="006514EF" w:rsidRDefault="00DD50AA">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Durchschnittliche</w:t>
            </w:r>
            <w:r>
              <w:rPr>
                <w:color w:val="FFFFFF"/>
              </w:rPr>
              <w:t xml:space="preserv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Zulässige Supportkontaktpersonen</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6</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7</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w:t>
            </w:r>
          </w:p>
        </w:tc>
      </w:tr>
    </w:tbl>
    <w:p w:rsidR="006514EF" w:rsidRDefault="006514EF">
      <w:pPr>
        <w:pStyle w:val="ProductList-BodyIndented"/>
      </w:pPr>
    </w:p>
    <w:p w:rsidR="006514EF" w:rsidRDefault="00DD50AA">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w:t>
      </w:r>
      <w:r>
        <w:t xml:space="preserve"> Premier-Servicevertrag des Kunden abgerechnet.</w:t>
      </w:r>
    </w:p>
    <w:p w:rsidR="006514EF" w:rsidRDefault="006514EF">
      <w:pPr>
        <w:pStyle w:val="ProductList-BodyIndented"/>
        <w:jc w:val="right"/>
      </w:pPr>
    </w:p>
    <w:tbl>
      <w:tblPr>
        <w:tblStyle w:val="PURTable0"/>
        <w:tblW w:w="0" w:type="dxa"/>
        <w:tblLook w:val="04A0" w:firstRow="1" w:lastRow="0" w:firstColumn="1" w:lastColumn="0" w:noHBand="0" w:noVBand="1"/>
      </w:tblPr>
      <w:tblGrid>
        <w:gridCol w:w="1044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Indented"/>
      </w:pPr>
    </w:p>
    <w:p w:rsidR="006514EF" w:rsidRDefault="00DD50AA">
      <w:pPr>
        <w:pStyle w:val="ProductList-ClauseHeading"/>
        <w:outlineLvl w:val="2"/>
      </w:pPr>
      <w:bookmarkStart w:id="391" w:name="_Sec586"/>
      <w:r>
        <w:t>Erweiterter Hotfix-Support</w:t>
      </w:r>
      <w:bookmarkEnd w:id="391"/>
    </w:p>
    <w:p w:rsidR="006514EF" w:rsidRDefault="00DD50AA">
      <w:pPr>
        <w:pStyle w:val="ProductList-Body"/>
      </w:pPr>
      <w:r>
        <w:t>Erweiterter Hotfix-Support ist für Kunden verfügbar, die einen Premier- oder Essential-Supportvertrag unterzeichnet und Software Assurance unter den folgenden Programmen erworben haben:</w:t>
      </w:r>
    </w:p>
    <w:p w:rsidR="006514EF" w:rsidRDefault="00DD50AA">
      <w:pPr>
        <w:pStyle w:val="ProductList-Bullet"/>
        <w:numPr>
          <w:ilvl w:val="0"/>
          <w:numId w:val="44"/>
        </w:numPr>
      </w:pPr>
      <w:r>
        <w:t>Kunden (außer Kunden mit Select-Lizenz für Forschung &amp; Lehre, Select P</w:t>
      </w:r>
      <w:r>
        <w:t xml:space="preserve">lus für Forschung &amp; Lehre sowie Campus- und School-Vertrag und Open Value Subscription – Bildungslösungen) mit SAM im Anwendungs-Pool haben für die folgenden Produkte aus dem Anwendungs-Pool Anspruch auf den Erweiterten Hotfix-Support: </w:t>
      </w:r>
    </w:p>
    <w:p w:rsidR="006514EF" w:rsidRDefault="00DD50AA">
      <w:pPr>
        <w:pStyle w:val="ProductList-Bullet"/>
        <w:numPr>
          <w:ilvl w:val="0"/>
          <w:numId w:val="44"/>
        </w:numPr>
      </w:pPr>
      <w:r>
        <w:t>Kunden (außer Kunde</w:t>
      </w:r>
      <w:r>
        <w:t>n mit Select-Lizenz für Forschung &amp; Lehre, Select Plus für Forschung &amp; Lehre sowie Campus- und School-Vertrag und Open Value Subscription – Bildungslösungen) mit SAM im System-Pool haben für Windows-Desktopbetriebssysteme und/oder das Windows Embedded-Betr</w:t>
      </w:r>
      <w:r>
        <w:t>iebssystem (mit SAM für ein Windows Embedded-Produkt) Anspruch auf den Erweiterten Hotfix-Support.</w:t>
      </w:r>
    </w:p>
    <w:p w:rsidR="006514EF" w:rsidRDefault="00DD50AA">
      <w:pPr>
        <w:pStyle w:val="ProductList-Bullet"/>
        <w:numPr>
          <w:ilvl w:val="0"/>
          <w:numId w:val="44"/>
        </w:numPr>
      </w:pPr>
      <w:r>
        <w:t>Kunden (außer Forschung &amp; Lehre) mit Software Assurance für mindestens ein Serverprodukt haben Anspruch auf den Erweiterten Hotfix-Support für Serverprodukte</w:t>
      </w:r>
      <w:r>
        <w:t>.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6514EF" w:rsidRDefault="006514EF">
      <w:pPr>
        <w:pStyle w:val="ProductList-Body"/>
      </w:pPr>
    </w:p>
    <w:p w:rsidR="006514EF" w:rsidRDefault="00DD50AA">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w:t>
      </w:r>
      <w:r>
        <w:t>n die jährlichen Gebühren für einen Vertrag über Erweiterten Support. Die Kunden sind weiterhin für die Gebühren für einzelne Hotfixes verantwortlich.</w:t>
      </w:r>
    </w:p>
    <w:p w:rsidR="006514EF" w:rsidRDefault="006514EF">
      <w:pPr>
        <w:pStyle w:val="PURBreadcrumb"/>
      </w:pPr>
    </w:p>
    <w:p w:rsidR="006514EF" w:rsidRDefault="00DD50AA">
      <w:pPr>
        <w:pStyle w:val="ProductList-ClauseHeading"/>
        <w:outlineLvl w:val="2"/>
      </w:pPr>
      <w:bookmarkStart w:id="392" w:name="_Sec587"/>
      <w:r>
        <w:t>Step-up-Lizenzverfügbarkeit</w:t>
      </w:r>
      <w:bookmarkEnd w:id="392"/>
    </w:p>
    <w:p w:rsidR="006514EF" w:rsidRDefault="00DD50AA">
      <w:pPr>
        <w:pStyle w:val="ProductList-Body"/>
      </w:pPr>
      <w:r>
        <w:t>Die Step-up-Lizenz muss unter demselben Volumenlizenzprogramm-Vertrag und -B</w:t>
      </w:r>
      <w:r>
        <w:t>eitritt (sofern vorhanden) erworben werden, unter dem bzw. denen Software Assurance für das qualifizierende Produkt erworben wurde, und ist nur unter diesen Umständen gültig. Das Recht des Kunden, Software unter einer Step-up-Lizenz zu nutzen, setzt voraus</w:t>
      </w:r>
      <w:r>
        <w:t>, dass der Kunde eine Lizenz für das qualifizierende Produkt besitzt und diese behält. Die zeitlich unbeschränkten Rechte im Rahmen einer Step-up-Lizenz haben Vorrang vor der und ersetzen die zugrunde liegende Lizenz für das qualifizierende Produkt. Weiter</w:t>
      </w:r>
      <w:r>
        <w:t xml:space="preserve">e Informationen erhalten Sie in der Volumenlizenz-Kurzdarstellung zu Step-up-Lizenzen für 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51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Step-up zu</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Branch</w:t>
            </w:r>
            <w:r>
              <w:fldChar w:fldCharType="begin"/>
            </w:r>
            <w:r>
              <w:instrText xml:space="preserve"> XE "BizTalk</w:instrText>
            </w:r>
            <w:r>
              <w:instrText xml:space="preserve">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Standard</w:t>
            </w:r>
            <w:r>
              <w:fldChar w:fldCharType="begin"/>
            </w:r>
            <w:r>
              <w:instrText xml:space="preserve"> XE "BizTalk Server Standard"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Enterprise</w:t>
            </w:r>
            <w:r>
              <w:fldChar w:fldCharType="begin"/>
            </w:r>
            <w:r>
              <w:instrText xml:space="preserve"> XE "BizTalk Server Enterprise"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BizTalk Server Enterprise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Commerce Server Enterprise</w:t>
            </w:r>
            <w:r>
              <w:fldChar w:fldCharType="begin"/>
            </w:r>
            <w:r>
              <w:instrText xml:space="preserve"> XE "Commerce Server Enterprise"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w:t>
            </w:r>
            <w:r>
              <w:fldChar w:fldCharType="begin"/>
            </w:r>
            <w:r>
              <w:instrText xml:space="preserve"> XE "Enterprise CAL" </w:instrText>
            </w:r>
            <w:r>
              <w:fldChar w:fldCharType="end"/>
            </w:r>
            <w:r>
              <w:t xml:space="preserve"> Suite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w:t>
            </w:r>
            <w:r>
              <w:fldChar w:fldCharType="begin"/>
            </w:r>
            <w:r>
              <w:instrText xml:space="preserve"> XE "Core CAL Suite Br</w:instrText>
            </w:r>
            <w:r>
              <w:instrText xml:space="preserve">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Office 365</w:t>
            </w:r>
            <w:r>
              <w:fldChar w:fldCharType="begin"/>
            </w:r>
            <w:r>
              <w:instrText xml:space="preserve"> XE "Enterprise CAL Suite Bridge für Office 365"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Microsoft I</w:t>
            </w:r>
            <w:r>
              <w:t>ntune</w:t>
            </w:r>
            <w:r>
              <w:fldChar w:fldCharType="begin"/>
            </w:r>
            <w:r>
              <w:instrText xml:space="preserve"> XE "Enterprise CAL Suite Bridge für Microsoft Intune"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Office 365 und Microsoft Intune</w:t>
            </w:r>
            <w:r>
              <w:fldChar w:fldCharType="begin"/>
            </w:r>
            <w:r>
              <w:instrText xml:space="preserve"> XE "</w:instrText>
            </w:r>
            <w:r>
              <w:instrText xml:space="preserve">Enterprise CAL Suite Bridge für Office 365 und Microsoft Intune"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CAL Suite Bridge für Enterprise Mobility Suite</w:t>
            </w:r>
            <w:r>
              <w:fldChar w:fldCharType="begin"/>
            </w:r>
            <w:r>
              <w:instrText xml:space="preserve"> XE "</w:instrText>
            </w:r>
            <w:r>
              <w:instrText xml:space="preserve">Enterprise CAL Suite Bridge für Enterprise Mobility Suite"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Core Infrastructure Server Suite Datacenter</w:t>
            </w:r>
            <w:r>
              <w:fldChar w:fldCharType="begin"/>
            </w:r>
            <w:r>
              <w:instrText xml:space="preserve"> XE "Core Infrastructure Server Suite Datacenter"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Desk</w:t>
            </w:r>
            <w:r>
              <w:t>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Desktop Education mit Enterprise CAL Suite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Desktop School mit Enterprise CAL Suite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Exchange Server Enterprise</w:t>
            </w:r>
            <w:r>
              <w:fldChar w:fldCharType="begin"/>
            </w:r>
            <w:r>
              <w:instrText xml:space="preserve"> XE "Exchange Server Enterprise"</w:instrText>
            </w:r>
            <w:r>
              <w:instrText xml:space="preserv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Forefront TMG Enterprise</w:t>
            </w:r>
            <w:r>
              <w:fldChar w:fldCharType="begin"/>
            </w:r>
            <w:r>
              <w:instrText xml:space="preserve"> XE "Forefront TMG Enterprise"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Internet Security and Acceleration (ISA) Enterprise Server</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Dynamics CRM Server</w:t>
            </w:r>
            <w:r>
              <w:fldChar w:fldCharType="begin"/>
            </w:r>
            <w:r>
              <w:instrText xml:space="preserve"> XE "Microsoft Dynamics CRM Server"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Office Professional Plus</w:t>
            </w:r>
            <w:r>
              <w:fldChar w:fldCharType="begin"/>
            </w:r>
            <w:r>
              <w:instrText xml:space="preserve"> XE "Office Professional Plus"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Desktop</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Desktop mit Microsoft Desktop Optimization Pack</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Project Professional</w:t>
            </w:r>
            <w:r>
              <w:fldChar w:fldCharType="begin"/>
            </w:r>
            <w:r>
              <w:instrText xml:space="preserve"> XE "Project Professional"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Enterprise Core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Enterprise</w:t>
            </w:r>
            <w:r>
              <w:fldChar w:fldCharType="begin"/>
            </w:r>
            <w:r>
              <w:instrText xml:space="preserve"> XE "SQL Server Enterprise" </w:instrText>
            </w:r>
            <w:r>
              <w:fldChar w:fldCharType="end"/>
            </w:r>
            <w:r>
              <w:t xml:space="preserve"> Core</w:t>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 Business Intelligence</w:t>
            </w:r>
            <w:r>
              <w:fldChar w:fldCharType="begin"/>
            </w:r>
            <w:r>
              <w:instrText xml:space="preserve"> XE "SQL Server Business Intelligence"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System Center Datacenter</w:t>
            </w:r>
            <w:r>
              <w:fldChar w:fldCharType="begin"/>
            </w:r>
            <w:r>
              <w:instrText xml:space="preserve"> XE "System Center Datacenter"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Visio Professional</w:t>
            </w:r>
            <w:r>
              <w:fldChar w:fldCharType="begin"/>
            </w:r>
            <w:r>
              <w:instrText xml:space="preserve"> XE "</w:instrText>
            </w:r>
            <w:r>
              <w:instrText xml:space="preserve">Visio Professional"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Visual Studio Enterprise mit MSDN</w:t>
            </w:r>
            <w:r>
              <w:fldChar w:fldCharType="begin"/>
            </w:r>
            <w:r>
              <w:instrText xml:space="preserve"> XE "Visual Studio Enterprise mit MSDN"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Visual Studio Test Professional mit MSDN</w:t>
            </w:r>
            <w:r>
              <w:fldChar w:fldCharType="begin"/>
            </w:r>
            <w:r>
              <w:instrText xml:space="preserve"> XE "Visual Studio Test Professiona</w:instrText>
            </w:r>
            <w:r>
              <w:instrText xml:space="preserve">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Visual Studio Enterprise mit MSDN</w:t>
            </w:r>
            <w:r>
              <w:fldChar w:fldCharType="begin"/>
            </w:r>
            <w:r>
              <w:instrText xml:space="preserve"> XE "Visual Studio Enterprise mit MSDN" </w:instrText>
            </w:r>
            <w:r>
              <w:fldChar w:fldCharType="end"/>
            </w:r>
          </w:p>
        </w:tc>
      </w:tr>
      <w:tr w:rsidR="006514EF">
        <w:tc>
          <w:tcPr>
            <w:tcW w:w="600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Windows Server Datacenter</w:t>
            </w:r>
            <w:r>
              <w:fldChar w:fldCharType="begin"/>
            </w:r>
            <w:r>
              <w:instrText xml:space="preserve"> XE "Windows Server Datacenter" </w:instrText>
            </w:r>
            <w:r>
              <w:fldChar w:fldCharType="end"/>
            </w:r>
          </w:p>
        </w:tc>
      </w:tr>
    </w:tbl>
    <w:p w:rsidR="006514EF" w:rsidRDefault="006514EF">
      <w:pPr>
        <w:pStyle w:val="ProductList-Body"/>
      </w:pPr>
    </w:p>
    <w:p w:rsidR="006514EF" w:rsidRDefault="006514EF">
      <w:pPr>
        <w:pStyle w:val="ProductList-Body"/>
      </w:pPr>
    </w:p>
    <w:p w:rsidR="006514EF" w:rsidRDefault="00DD50AA">
      <w:pPr>
        <w:pStyle w:val="ProductList-ClauseHeading"/>
        <w:outlineLvl w:val="2"/>
      </w:pPr>
      <w:bookmarkStart w:id="393" w:name="_Sec588"/>
      <w:r>
        <w:t>Server – Wiederherstellungsrechte bei Notfäll</w:t>
      </w:r>
      <w:r>
        <w:t>en</w:t>
      </w:r>
      <w:bookmarkEnd w:id="393"/>
    </w:p>
    <w:p w:rsidR="006514EF" w:rsidRDefault="00DD50AA">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w:t>
      </w:r>
      <w:r>
        <w:t xml:space="preserve">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w:instrText>
      </w:r>
      <w:r>
        <w:instrText xml:space="preserve">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w:instrText>
      </w:r>
      <w:r>
        <w:instrText xml:space="preserve">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w:instrText>
      </w:r>
      <w:r>
        <w:instrText xml:space="preserve">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w:instrText>
      </w:r>
      <w:r>
        <w:instrText xml:space="preserve">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w:instrText>
      </w:r>
      <w:r>
        <w:instrText xml:space="preserv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w:instrText>
      </w:r>
      <w:r>
        <w:instrText xml:space="preserve">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w:t>
      </w:r>
      <w:r>
        <w:t xml:space="preserve">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w:instrText>
      </w:r>
      <w:r>
        <w:instrText xml:space="preserv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w:instrText>
      </w:r>
      <w:r>
        <w:instrText xml:space="preserve">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w:t>
      </w:r>
      <w:r>
        <w:t xml:space="preserve">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w:instrText>
      </w:r>
      <w:r>
        <w:instrText xml:space="preserve">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6514EF" w:rsidRDefault="006514EF">
      <w:pPr>
        <w:pStyle w:val="ProductList-Body"/>
      </w:pPr>
    </w:p>
    <w:p w:rsidR="006514EF" w:rsidRDefault="00DD50AA">
      <w:pPr>
        <w:pStyle w:val="ProductList-Body"/>
      </w:pPr>
      <w:r>
        <w:t>Die Backup-</w:t>
      </w:r>
      <w:r>
        <w:fldChar w:fldCharType="begin"/>
      </w:r>
      <w:r>
        <w:instrText xml:space="preserve"> AutoTextList   \s NoStyle \t "Instanz ist ein Softw</w:instrText>
      </w:r>
      <w:r>
        <w:instrText xml:space="preserve">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6514EF" w:rsidRDefault="00DD50AA">
      <w:pPr>
        <w:pStyle w:val="ProductList-Bullet"/>
        <w:numPr>
          <w:ilvl w:val="0"/>
          <w:numId w:val="45"/>
        </w:numPr>
      </w:pPr>
      <w:r>
        <w:t>für kurze Zeit während de</w:t>
      </w:r>
      <w:r>
        <w:t>s Wiederherstellungstests bei Notfällen innerhalb einer Woche alle 90 Tage,</w:t>
      </w:r>
    </w:p>
    <w:p w:rsidR="006514EF" w:rsidRDefault="00DD50AA">
      <w:pPr>
        <w:pStyle w:val="ProductList-Bullet"/>
        <w:numPr>
          <w:ilvl w:val="0"/>
          <w:numId w:val="45"/>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w:t>
      </w:r>
      <w:r>
        <w:t>der Wiederherstellung nicht verfügbar ist, und</w:t>
      </w:r>
    </w:p>
    <w:p w:rsidR="006514EF" w:rsidRDefault="00DD50AA">
      <w:pPr>
        <w:pStyle w:val="ProductList-Bullet"/>
        <w:numPr>
          <w:ilvl w:val="0"/>
          <w:numId w:val="4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w:instrText>
      </w:r>
      <w:r>
        <w:instrText xml:space="preserve">tem, das fähig ist, Serversoftware auszuführen." </w:instrText>
      </w:r>
      <w:r>
        <w:fldChar w:fldCharType="separate"/>
      </w:r>
      <w:r>
        <w:rPr>
          <w:color w:val="0563C1"/>
        </w:rPr>
        <w:t>Server</w:t>
      </w:r>
      <w:r>
        <w:fldChar w:fldCharType="end"/>
      </w:r>
      <w:r>
        <w:t xml:space="preserve"> für die Wiederherstellung bei Notfällen.</w:t>
      </w:r>
    </w:p>
    <w:p w:rsidR="006514EF" w:rsidRDefault="006514EF">
      <w:pPr>
        <w:pStyle w:val="ProductList-Body"/>
      </w:pPr>
    </w:p>
    <w:p w:rsidR="006514EF" w:rsidRDefault="00DD50AA">
      <w:pPr>
        <w:pStyle w:val="ProductList-Body"/>
      </w:pPr>
      <w:r>
        <w:t>Um die Software unter Wiederherstellungsrechten bei Notfällen verwenden zu dürfen, muss der Kunde die folgenden Bestimmungen einhalten:</w:t>
      </w:r>
    </w:p>
    <w:p w:rsidR="006514EF" w:rsidRDefault="00DD50AA">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w:instrText>
      </w:r>
      <w:r>
        <w:instrText xml:space="preserve">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6514EF" w:rsidRDefault="00DD50AA">
      <w:pPr>
        <w:pStyle w:val="ProductList-Bullet"/>
        <w:numPr>
          <w:ilvl w:val="0"/>
          <w:numId w:val="46"/>
        </w:numPr>
      </w:pPr>
      <w:r>
        <w:t xml:space="preserve">Die </w:t>
      </w:r>
      <w:r>
        <w:fldChar w:fldCharType="begin"/>
      </w:r>
      <w:r>
        <w:instrText xml:space="preserve"> AutoTextList   \s No</w:instrText>
      </w:r>
      <w:r>
        <w:instrText xml:space="preserve">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w:instrText>
      </w:r>
      <w:r>
        <w:instrText xml:space="preserve">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w:instrText>
      </w:r>
      <w:r>
        <w:instrText xml:space="preserve">esystem, das fähig ist, Serversoftware auszuführen." </w:instrText>
      </w:r>
      <w:r>
        <w:fldChar w:fldCharType="separate"/>
      </w:r>
      <w:r>
        <w:rPr>
          <w:color w:val="0563C1"/>
        </w:rPr>
        <w:t>server</w:t>
      </w:r>
      <w:r>
        <w:fldChar w:fldCharType="end"/>
      </w:r>
      <w:r>
        <w:t xml:space="preserve"> befinden.</w:t>
      </w:r>
    </w:p>
    <w:p w:rsidR="006514EF" w:rsidRDefault="00DD50AA">
      <w:pPr>
        <w:pStyle w:val="ProductList-Bullet"/>
        <w:numPr>
          <w:ilvl w:val="0"/>
          <w:numId w:val="46"/>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w:instrText>
      </w:r>
      <w:r>
        <w:instrText xml:space="preserv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w:instrText>
      </w:r>
      <w:r>
        <w:instrText xml:space="preserve">auszuführen." </w:instrText>
      </w:r>
      <w:r>
        <w:fldChar w:fldCharType="separate"/>
      </w:r>
      <w:r>
        <w:rPr>
          <w:color w:val="0563C1"/>
        </w:rPr>
        <w:t>server</w:t>
      </w:r>
      <w:r>
        <w:fldChar w:fldCharType="end"/>
      </w:r>
      <w:r>
        <w:t xml:space="preserve"> notwendig, wenn die folgenden Bedingungen erfüllt sind:</w:t>
      </w:r>
    </w:p>
    <w:p w:rsidR="006514EF" w:rsidRDefault="00DD50AA">
      <w:pPr>
        <w:pStyle w:val="ProductList-Bullet"/>
        <w:numPr>
          <w:ilvl w:val="1"/>
          <w:numId w:val="46"/>
        </w:numPr>
      </w:pPr>
      <w:r>
        <w:t xml:space="preserve">Die Hyper-V-Rolle in Windows Server wird zur Replikation </w:t>
      </w:r>
      <w:r>
        <w:fldChar w:fldCharType="begin"/>
      </w:r>
      <w:r>
        <w:instrText xml:space="preserve"> AutoTextList   \s NoStyle \t "Virtuelle OSE ist eine OSE, die für die Ausführung in einem virtuellen Hardwaresystem ko</w:instrText>
      </w:r>
      <w:r>
        <w:instrText xml:space="preserve">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w:instrText>
      </w:r>
      <w:r>
        <w:instrText xml:space="preserve">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6514EF" w:rsidRDefault="00DD50AA">
      <w:pPr>
        <w:pStyle w:val="ProductList-Bullet"/>
        <w:numPr>
          <w:ilvl w:val="1"/>
          <w:numId w:val="4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6514EF" w:rsidRDefault="00DD50AA">
      <w:pPr>
        <w:pStyle w:val="ProductList-Body"/>
        <w:ind w:left="1080"/>
      </w:pPr>
      <w:r>
        <w:t>– Ausführung der Hardware-Virtualisierungssoftware wie z. B. Hyper-V,</w:t>
      </w:r>
    </w:p>
    <w:p w:rsidR="006514EF" w:rsidRDefault="00DD50AA">
      <w:pPr>
        <w:pStyle w:val="ProductList-Body"/>
        <w:ind w:left="1080"/>
      </w:pPr>
      <w:r>
        <w:t>– Bereitstellung von Hardware-Virtualisierungsdiensten,</w:t>
      </w:r>
    </w:p>
    <w:p w:rsidR="006514EF" w:rsidRDefault="00DD50AA">
      <w:pPr>
        <w:pStyle w:val="ProductList-Body"/>
        <w:ind w:left="1080"/>
      </w:pPr>
      <w:r>
        <w:t>– Ausführung von Software-Agents</w:t>
      </w:r>
      <w:r>
        <w:t xml:space="preserve"> zur Verwaltung der Hardware-Virtualisierungssoftware,</w:t>
      </w:r>
    </w:p>
    <w:p w:rsidR="006514EF" w:rsidRDefault="00DD50AA">
      <w:pPr>
        <w:pStyle w:val="ProductList-Body"/>
        <w:ind w:left="1080"/>
      </w:pPr>
      <w:r>
        <w:t>– als Zielort für die Replikation,</w:t>
      </w:r>
    </w:p>
    <w:p w:rsidR="006514EF" w:rsidRDefault="00DD50AA">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w:t>
      </w:r>
      <w:r>
        <w:rPr>
          <w:color w:val="0563C1"/>
        </w:rPr>
        <w:t>ler OSEs</w:t>
      </w:r>
      <w:r>
        <w:fldChar w:fldCharType="end"/>
      </w:r>
      <w:r>
        <w:t>, Failover-Tests,</w:t>
      </w:r>
    </w:p>
    <w:p w:rsidR="006514EF" w:rsidRDefault="00DD50AA">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6514EF" w:rsidRDefault="00DD50AA">
      <w:pPr>
        <w:pStyle w:val="ProductList-Body"/>
        <w:ind w:left="1080"/>
      </w:pPr>
      <w:r>
        <w:t xml:space="preserve">– Ausführung von oben beschriebenen </w:t>
      </w:r>
      <w:r>
        <w:t xml:space="preserve">Arbeitsauslastungen zur Wiederherstellung bei Notfällen. </w:t>
      </w:r>
    </w:p>
    <w:p w:rsidR="006514EF" w:rsidRDefault="00DD50AA">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w:instrText>
      </w:r>
      <w:r>
        <w:instrText xml:space="preserve">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6514EF" w:rsidRDefault="00DD50AA">
      <w:pPr>
        <w:pStyle w:val="ProductList-Bullet"/>
        <w:numPr>
          <w:ilvl w:val="0"/>
          <w:numId w:val="47"/>
        </w:numPr>
      </w:pPr>
      <w:r>
        <w:t>Bei Verwendung der Software-Backup-</w:t>
      </w:r>
      <w:r>
        <w:fldChar w:fldCharType="begin"/>
      </w:r>
      <w:r>
        <w:instrText xml:space="preserve"> AutoTextList   \s NoStyle \t "Instanz ist ein Software-Image, das durch die </w:instrText>
      </w:r>
      <w:r>
        <w:instrText xml:space="preserve">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w:instrText>
      </w:r>
      <w:r>
        <w:instrText xml:space="preserve">ts." </w:instrText>
      </w:r>
      <w:r>
        <w:fldChar w:fldCharType="separate"/>
      </w:r>
      <w:r>
        <w:rPr>
          <w:color w:val="0563C1"/>
        </w:rPr>
        <w:t>Lizenzbestimmungen</w:t>
      </w:r>
      <w:r>
        <w:fldChar w:fldCharType="end"/>
      </w:r>
      <w:r>
        <w:t xml:space="preserve"> für die Software eingehalten werden.</w:t>
      </w:r>
    </w:p>
    <w:p w:rsidR="006514EF" w:rsidRDefault="00DD50AA">
      <w:pPr>
        <w:pStyle w:val="ProductList-Bullet"/>
        <w:numPr>
          <w:ilvl w:val="0"/>
          <w:numId w:val="47"/>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6514EF" w:rsidRDefault="00DD50AA">
      <w:pPr>
        <w:pStyle w:val="ProductList-Bullet"/>
        <w:numPr>
          <w:ilvl w:val="0"/>
          <w:numId w:val="47"/>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w:t>
      </w:r>
      <w:r>
        <w:t>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w:instrText>
      </w:r>
      <w:r>
        <w:instrText xml:space="preserve">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w:instrText>
      </w:r>
      <w:r>
        <w:instrText xml:space="preserv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6514EF" w:rsidRDefault="00DD50AA">
      <w:pPr>
        <w:pStyle w:val="ProductList-Bullet"/>
        <w:numPr>
          <w:ilvl w:val="0"/>
          <w:numId w:val="47"/>
        </w:numPr>
      </w:pPr>
      <w:r>
        <w:t>Das Recht des Kunden zur Nutzung der Backup-</w:t>
      </w:r>
      <w:r>
        <w:fldChar w:fldCharType="begin"/>
      </w:r>
      <w:r>
        <w:instrText xml:space="preserve"> AutoTe</w:instrText>
      </w:r>
      <w:r>
        <w:instrText xml:space="preserv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ClauseHeading"/>
        <w:outlineLvl w:val="2"/>
      </w:pPr>
      <w:bookmarkStart w:id="394" w:name="_Sec589"/>
      <w:r>
        <w:t>Lizenzmobilität</w:t>
      </w:r>
      <w:bookmarkEnd w:id="394"/>
    </w:p>
    <w:p w:rsidR="006514EF" w:rsidRDefault="00DD50AA">
      <w:pPr>
        <w:pStyle w:val="ProductList-SubClauseHeading"/>
        <w:outlineLvl w:val="3"/>
      </w:pPr>
      <w:r>
        <w:t>Lizenzmobilität über mehrere Serverfarmen hinweg</w:t>
      </w:r>
    </w:p>
    <w:p w:rsidR="006514EF" w:rsidRDefault="00DD50AA">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den Angabe</w:t>
      </w:r>
      <w:r>
        <w:t xml:space="preserv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w:instrText>
      </w:r>
      <w:r>
        <w:instrText xml:space="preserve">.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w:instrText>
      </w:r>
      <w:r>
        <w:instrText xml:space="preserve">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w:instrText>
      </w:r>
      <w:r>
        <w:instrText>oStyle \t "Serverfarm bezieht sich auf ein Rechenzentrum oder zwei Rechenzentren, die sich beide entweder in Zeitzonen mit weniger als vier Stunden Unterschied oder innerhalb der Europäischen Union (EU) und/oder der Europäischen Freihandelsassoziation (EFT</w:instrText>
      </w:r>
      <w:r>
        <w:instrText xml:space="preserve">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w:t>
      </w:r>
      <w:r>
        <w:t>itgleich im Rahmen der Lizenzmobilität über mehrere Serverfarmen hinweg verwendet werden.</w:t>
      </w:r>
    </w:p>
    <w:p w:rsidR="006514EF" w:rsidRDefault="006514EF">
      <w:pPr>
        <w:pStyle w:val="ProductList-BodyIndented"/>
      </w:pPr>
    </w:p>
    <w:p w:rsidR="006514EF" w:rsidRDefault="00DD50AA">
      <w:pPr>
        <w:pStyle w:val="ProductList-SubClauseHeading"/>
        <w:outlineLvl w:val="3"/>
      </w:pPr>
      <w:r>
        <w:t>Lizenzmobilität durch Software Assurance</w:t>
      </w:r>
    </w:p>
    <w:p w:rsidR="006514EF" w:rsidRDefault="00DD50AA">
      <w:pPr>
        <w:pStyle w:val="ProductList-BodyIndented"/>
      </w:pPr>
      <w:r>
        <w:t xml:space="preserve">Im Rahmen von Lizenzmobilität durch Software Assurance kann der Kunde seine lizenzierte Software unter beliebigen seiner </w:t>
      </w:r>
      <w:r>
        <w:fldChar w:fldCharType="begin"/>
      </w:r>
      <w:r>
        <w:instrText xml:space="preserve"> Au</w:instrText>
      </w:r>
      <w:r>
        <w:instrText xml:space="preserve">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"Lizenzmobilität: Rechte von SA-Kunden entwed</w:instrText>
      </w:r>
      <w:r>
        <w:instrText xml:space="preserve">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w:t>
      </w:r>
      <w:r>
        <w:rPr>
          <w:color w:val="0563C1"/>
        </w:rPr>
        <w:t>tät</w:t>
      </w:r>
      <w:r>
        <w:fldChar w:fldCharType="end"/>
      </w:r>
      <w:r>
        <w:t xml:space="preserve"> verfügen, verschieben, sofern die nachfolgenden Voraussetzungen erfüllt sind. Für das Selbsthosten verwendete Produkte können nicht zeitgleich im Rahmen der Rechte für Lizenzmobilität durch Software Assurance verwendet werden.</w:t>
      </w:r>
    </w:p>
    <w:p w:rsidR="006514EF" w:rsidRDefault="006514EF">
      <w:pPr>
        <w:pStyle w:val="ProductList-BodyIndented"/>
      </w:pPr>
    </w:p>
    <w:p w:rsidR="006514EF" w:rsidRDefault="00DD50AA">
      <w:pPr>
        <w:pStyle w:val="ProductList-SubSubClauseHeading"/>
        <w:outlineLvl w:val="4"/>
      </w:pPr>
      <w:r>
        <w:t>Zulässige Nutzung:</w:t>
      </w:r>
    </w:p>
    <w:p w:rsidR="006514EF" w:rsidRDefault="00DD50AA">
      <w:pPr>
        <w:pStyle w:val="ProductList-BodyIndented2"/>
      </w:pPr>
      <w:r>
        <w:t>Mi</w:t>
      </w:r>
      <w:r>
        <w:t>t Lizenzmobilität durch SA ist der Kunde zu Folgendem berechtigt:</w:t>
      </w:r>
    </w:p>
    <w:p w:rsidR="006514EF" w:rsidRDefault="00DD50AA">
      <w:pPr>
        <w:pStyle w:val="ProductList-Bullet"/>
        <w:numPr>
          <w:ilvl w:val="2"/>
          <w:numId w:val="48"/>
        </w:numPr>
      </w:pPr>
      <w:r>
        <w:t>Er darf seine lizenzierte Software auf gemeinsam genutzten Servern von Dritten ausführen.</w:t>
      </w:r>
    </w:p>
    <w:p w:rsidR="006514EF" w:rsidRDefault="00DD50AA">
      <w:pPr>
        <w:pStyle w:val="ProductList-Bullet"/>
        <w:numPr>
          <w:ilvl w:val="2"/>
          <w:numId w:val="48"/>
        </w:numPr>
      </w:pPr>
      <w:r>
        <w:t>Er darf auf diese Software unter Zugriffslizenzen und unter seinen Nutzer- und Geräte-ALs zugreifen,</w:t>
      </w:r>
      <w:r>
        <w:t xml:space="preserve"> die Zugriff auf die Produkte erlauben.</w:t>
      </w:r>
    </w:p>
    <w:p w:rsidR="006514EF" w:rsidRDefault="00DD50AA">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w:instrText>
      </w:r>
      <w:r>
        <w:instrText xml:space="preserve">ständige Definition im Glossar)" </w:instrText>
      </w:r>
      <w:r>
        <w:fldChar w:fldCharType="separate"/>
      </w:r>
      <w:r>
        <w:rPr>
          <w:color w:val="0563C1"/>
        </w:rPr>
        <w:t>OSEs</w:t>
      </w:r>
      <w:r>
        <w:fldChar w:fldCharType="end"/>
      </w:r>
      <w:r>
        <w:t>, die er auf den gemeinsam genutzten Servern eines Dritten nutzt, verwalten.</w:t>
      </w:r>
    </w:p>
    <w:p w:rsidR="006514EF" w:rsidRDefault="00DD50AA">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w:instrText>
      </w:r>
      <w:r>
        <w:instrText xml:space="preserv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rsidR="006514EF" w:rsidRDefault="006514EF">
      <w:pPr>
        <w:pStyle w:val="ProductList-BodyIndented2"/>
      </w:pPr>
    </w:p>
    <w:p w:rsidR="006514EF" w:rsidRDefault="00DD50AA">
      <w:pPr>
        <w:pStyle w:val="ProductList-SubSubClauseHeading"/>
        <w:outlineLvl w:val="4"/>
      </w:pPr>
      <w:r>
        <w:t>Vorausset</w:t>
      </w:r>
      <w:r>
        <w:t>zungen:</w:t>
      </w:r>
    </w:p>
    <w:p w:rsidR="006514EF" w:rsidRDefault="00DD50AA">
      <w:pPr>
        <w:pStyle w:val="ProductList-BodyIndented2"/>
      </w:pPr>
      <w:r>
        <w:t>Um Lizenzmobilität durch SA zu verwenden, muss der Kunde folgende Anforderungen erfüllen:</w:t>
      </w:r>
    </w:p>
    <w:p w:rsidR="006514EF" w:rsidRDefault="00DD50AA">
      <w:pPr>
        <w:pStyle w:val="ProductList-Bullet"/>
        <w:numPr>
          <w:ilvl w:val="2"/>
          <w:numId w:val="49"/>
        </w:numPr>
      </w:pPr>
      <w:r>
        <w:t xml:space="preserve">ausschließlich für seine Verwendung und zu seinen Gunsten seine lizenzierte Software ausführen und seine </w:t>
      </w:r>
      <w:r>
        <w:fldChar w:fldCharType="begin"/>
      </w:r>
      <w:r>
        <w:instrText xml:space="preserve"> AutoTextList   \s NoStyle \t "OSE ist eine Betriebss</w:instrText>
      </w:r>
      <w:r>
        <w:instrText xml:space="preserve">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gemeinsam genutzten Servern eines Dritten verwalten,</w:t>
      </w:r>
    </w:p>
    <w:p w:rsidR="006514EF" w:rsidRDefault="00DD50AA">
      <w:pPr>
        <w:pStyle w:val="ProductList-Bullet"/>
        <w:numPr>
          <w:ilvl w:val="2"/>
          <w:numId w:val="49"/>
        </w:numPr>
      </w:pPr>
      <w:r>
        <w:t xml:space="preserve">seine </w:t>
      </w:r>
      <w:r>
        <w:fldChar w:fldCharType="begin"/>
      </w:r>
      <w:r>
        <w:instrText xml:space="preserve"> Au</w:instrText>
      </w:r>
      <w:r>
        <w:instrText xml:space="preserve">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w:t>
      </w:r>
      <w:r>
        <w:t xml:space="preserv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w:instrText>
      </w:r>
      <w:r>
        <w:instrText xml:space="preserve">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6514EF" w:rsidRDefault="00DD50AA">
      <w:pPr>
        <w:pStyle w:val="ProductList-Bullet"/>
        <w:numPr>
          <w:ilvl w:val="2"/>
          <w:numId w:val="49"/>
        </w:numPr>
      </w:pPr>
      <w:r>
        <w:t xml:space="preserve">das Formblatt zur Validierung von Lizenzmobilität ausfüllen und bei jedem </w:t>
      </w:r>
      <w:r>
        <w:fldChar w:fldCharType="begin"/>
      </w:r>
      <w:r>
        <w:instrText xml:space="preserve"> AutoTextList   \s NoStyle \t "Partner für Lizenzmobil</w:instrText>
      </w:r>
      <w:r>
        <w:instrText xml:space="preserve">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w:t>
      </w:r>
      <w:r>
        <w:rPr>
          <w:color w:val="0563C1"/>
        </w:rPr>
        <w:t>ner für Lizenzmobilität durch Software Assurance</w:t>
      </w:r>
      <w:r>
        <w:fldChar w:fldCharType="end"/>
      </w:r>
      <w:r>
        <w:t>, der seine lizenzierte Software auf seinen gemeinsam genutzten Servern ausführt, einreichen.</w:t>
      </w:r>
    </w:p>
    <w:p w:rsidR="006514EF" w:rsidRDefault="006514EF">
      <w:pPr>
        <w:pStyle w:val="ProductList-SubSubClauseHeading"/>
        <w:outlineLvl w:val="4"/>
      </w:pPr>
    </w:p>
    <w:p w:rsidR="006514EF" w:rsidRDefault="00DD50AA">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w:t>
      </w:r>
      <w:r>
        <w:t xml:space="preserve">insam genutzte Server eines anderen Dritten zu verschieben, jedoch nicht nur kurzzeitig (d. h. nicht innerhalb von 90 Tagen nach der letzten Zuweisung). Außerdem ist der Kunde berechtigt, </w:t>
      </w:r>
      <w:r>
        <w:fldChar w:fldCharType="begin"/>
      </w:r>
      <w:r>
        <w:instrText xml:space="preserve"> AutoTextList   \s NoStyle \t "Instanz ist ein Software-Image, das d</w:instrText>
      </w:r>
      <w:r>
        <w:instrText xml:space="preserve">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w:instrText>
      </w:r>
      <w:r>
        <w:instrText xml:space="preserve">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w:instrText>
      </w:r>
      <w:r>
        <w:instrText xml:space="preserve">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"Serverfarm bezieht sich auf ein Rechenzentrum oder zwei Rechenzentren, die sich beide entweder in Zeit</w:instrText>
      </w:r>
      <w:r>
        <w:instrText xml:space="preserve">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w:t>
      </w:r>
      <w:r>
        <w:t xml:space="preserve">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w:instrText>
      </w:r>
      <w:r>
        <w:instrText xml:space="preserve">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w:t>
      </w:r>
      <w:r>
        <w:t xml:space="preserve">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w:t>
      </w:r>
      <w:r>
        <w:t xml:space="preserve">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w:instrText>
      </w:r>
      <w:r>
        <w:instrText xml:space="preserv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w:t>
      </w:r>
      <w:r>
        <w:t xml:space="preserve">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w:t>
      </w:r>
      <w:r>
        <w:rPr>
          <w:color w:val="0563C1"/>
        </w:rPr>
        <w:t>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w:t>
      </w:r>
      <w:r>
        <w:t>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651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Zulässige Anzahl von:</w:t>
            </w:r>
          </w:p>
          <w:p w:rsidR="006514EF" w:rsidRDefault="00DD50AA">
            <w:pPr>
              <w:pStyle w:val="ProductList-TableBody"/>
            </w:pPr>
            <w:r>
              <w:rPr>
                <w:color w:val="FFFFFF"/>
              </w:rPr>
              <w:t>OSEs oder Cores pro Lizenz</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Betriebssystemumgebung pro Lizenz</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Betriebssystemumgebung pro Lizenz</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Ein virtueller Core (vorbehaltlich der Produktbenutzungsrechte einschließlich der Mindestanforderung von 4 Cores pro OSE)</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Management S</w:t>
            </w:r>
            <w:r>
              <w:t>erver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 verwaltete OSEs pro Lizenz</w:t>
            </w:r>
          </w:p>
        </w:tc>
      </w:tr>
      <w:tr w:rsidR="006514EF">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10 verwaltete OSEs pro Lizenz</w:t>
            </w:r>
          </w:p>
        </w:tc>
      </w:tr>
    </w:tbl>
    <w:p w:rsidR="006514EF" w:rsidRDefault="006514EF">
      <w:pPr>
        <w:pStyle w:val="ProductList-BodyIndented2"/>
      </w:pPr>
    </w:p>
    <w:p w:rsidR="006514EF" w:rsidRDefault="00DD50AA">
      <w:pPr>
        <w:pStyle w:val="ProductList-SubSubClauseHeading"/>
        <w:outlineLvl w:val="4"/>
      </w:pPr>
      <w:r>
        <w:t>Failoverrechte</w:t>
      </w:r>
    </w:p>
    <w:p w:rsidR="006514EF" w:rsidRDefault="00DD50AA">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w:instrText>
      </w:r>
      <w:r>
        <w:instrText xml:space="preserve">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w:instrText>
      </w:r>
      <w:r>
        <w:instrText xml:space="preserve">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w:t>
      </w:r>
      <w:r>
        <w:t xml:space="preserve"> Anzahl der Lizenzen, die andernfalls zum Ausführen der passiven Failover</w:t>
      </w:r>
      <w:r>
        <w:fldChar w:fldCharType="begin"/>
      </w:r>
      <w:r>
        <w:instrText xml:space="preserve"> AutoTextList   \s NoStyle \t "Instanz ist ein Software-Image, das durch die Ausführung der Setup- oder Installationsprozedur der Software oder durch Duplizieren einer vorhandenen Ins</w:instrText>
      </w:r>
      <w:r>
        <w:instrText xml:space="preserve">tanz erstellt wird." </w:instrText>
      </w:r>
      <w:r>
        <w:fldChar w:fldCharType="separate"/>
      </w:r>
      <w:r>
        <w:rPr>
          <w:color w:val="0563C1"/>
        </w:rPr>
        <w:t>instanzen</w:t>
      </w:r>
      <w:r>
        <w:fldChar w:fldCharType="end"/>
      </w:r>
      <w:r>
        <w:t xml:space="preserve"> erforderlich wären, darf die Anzahl der Lizenzen, die zum Ausführen der entsprechenden Produktionsinstanzen auf den gemeinsam genutzten Servern desselben Partners erforderlich sind, nicht überschreiten.</w:t>
      </w:r>
    </w:p>
    <w:p w:rsidR="006514EF" w:rsidRDefault="006514EF">
      <w:pPr>
        <w:pStyle w:val="ProductList-BodyIndented2"/>
      </w:pPr>
    </w:p>
    <w:p w:rsidR="006514EF" w:rsidRDefault="00DD50AA">
      <w:pPr>
        <w:pStyle w:val="ProductList-ClauseHeading"/>
        <w:outlineLvl w:val="2"/>
      </w:pPr>
      <w:bookmarkStart w:id="395" w:name="_Sec590"/>
      <w:r>
        <w:t xml:space="preserve">Server – Selbst </w:t>
      </w:r>
      <w:r>
        <w:t>Gehostete Anwendungen</w:t>
      </w:r>
      <w:bookmarkEnd w:id="395"/>
    </w:p>
    <w:p w:rsidR="006514EF" w:rsidRDefault="00DD50AA">
      <w:pPr>
        <w:pStyle w:val="ProductList-Body"/>
      </w:pPr>
      <w:r>
        <w:t>Selbst Gehostete Anwendungen betreffen die Produkte, auf die Rechte für Selbst Gehostete Anwendungen anwendbar sind.</w:t>
      </w:r>
    </w:p>
    <w:p w:rsidR="006514EF" w:rsidRDefault="006514EF">
      <w:pPr>
        <w:pStyle w:val="ProductList-Body"/>
      </w:pPr>
    </w:p>
    <w:p w:rsidR="006514EF" w:rsidRDefault="00DD50AA">
      <w:pPr>
        <w:pStyle w:val="ProductList-Body"/>
      </w:pPr>
      <w:r>
        <w:t>Ungeachtet etwaiger anderslautender Bestimmungen im Volumenlizenzvertrag des Kunden einschließlich der Produktbestim</w:t>
      </w:r>
      <w:r>
        <w:t>mungen ist der Kunde vorbehaltlich der nachstehenden Bestimmungen berechtigt, lizenzierte Kopien von Selbst Gehosteten Anwendungen, die direkt oder indirekt mit seiner eigenen Software interagieren, auszuführen, um eine vereinheitlichte Lösung („Vereinheit</w:t>
      </w:r>
      <w:r>
        <w:t>lichte Lösung“) zu erstellen und Dritten zu erlauben, sie zu verwenden.</w:t>
      </w:r>
    </w:p>
    <w:p w:rsidR="006514EF" w:rsidRDefault="006514EF">
      <w:pPr>
        <w:pStyle w:val="ProductList-Body"/>
      </w:pPr>
    </w:p>
    <w:p w:rsidR="006514EF" w:rsidRDefault="00DD50AA">
      <w:pPr>
        <w:pStyle w:val="ProductList-SubClauseHeading"/>
        <w:outlineLvl w:val="3"/>
      </w:pPr>
      <w:r>
        <w:t>Anforderungen</w:t>
      </w:r>
    </w:p>
    <w:p w:rsidR="006514EF" w:rsidRDefault="00DD50AA">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w:instrText>
      </w:r>
      <w:r>
        <w:instrText xml:space="preserve">en und es zu verwenden." </w:instrText>
      </w:r>
      <w:r>
        <w:fldChar w:fldCharType="separate"/>
      </w:r>
      <w:r>
        <w:rPr>
          <w:color w:val="0563C1"/>
        </w:rPr>
        <w:t>Lizenzen</w:t>
      </w:r>
      <w:r>
        <w:fldChar w:fldCharType="end"/>
      </w:r>
      <w:r>
        <w:t xml:space="preserve"> verfügen für:</w:t>
      </w:r>
    </w:p>
    <w:p w:rsidR="006514EF" w:rsidRDefault="00DD50AA">
      <w:pPr>
        <w:pStyle w:val="ProductList-Bullet"/>
        <w:numPr>
          <w:ilvl w:val="1"/>
          <w:numId w:val="50"/>
        </w:numPr>
      </w:pPr>
      <w:r>
        <w:t>die Selbst Gehosteten Anwendungen, die als Bestandteil der Vereinheitlichten Lösung ausgeführt werden, und</w:t>
      </w:r>
    </w:p>
    <w:p w:rsidR="006514EF" w:rsidRDefault="00DD50AA">
      <w:pPr>
        <w:pStyle w:val="ProductList-Bullet"/>
        <w:numPr>
          <w:ilvl w:val="1"/>
          <w:numId w:val="50"/>
        </w:numPr>
      </w:pPr>
      <w:r>
        <w:t>alle Zugriffs</w:t>
      </w:r>
      <w:r>
        <w:fldChar w:fldCharType="begin"/>
      </w:r>
      <w:r>
        <w:instrText xml:space="preserve"> AutoTextList   \s NoStyle \t "Lizenz bedeutet das Recht, ein Produkt herunterzuladen</w:instrText>
      </w:r>
      <w:r>
        <w:instrText xml:space="preserve">,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rsidR="006514EF" w:rsidRDefault="006514EF">
      <w:pPr>
        <w:pStyle w:val="ProductList-BodyIndented"/>
      </w:pPr>
    </w:p>
    <w:p w:rsidR="006514EF" w:rsidRDefault="00DD50AA">
      <w:pPr>
        <w:pStyle w:val="ProductList-BodyIndented"/>
      </w:pPr>
      <w:r>
        <w:t xml:space="preserve">Sämtliche Microsoft-Software, die zum Erstellen und </w:t>
      </w:r>
      <w:r>
        <w:t xml:space="preserve">Bereitstellen der Vereinheitlichten Lösung verwendet wird, muss: </w:t>
      </w:r>
    </w:p>
    <w:p w:rsidR="006514EF" w:rsidRDefault="00DD50AA">
      <w:pPr>
        <w:pStyle w:val="ProductList-Bullet"/>
        <w:numPr>
          <w:ilvl w:val="1"/>
          <w:numId w:val="51"/>
        </w:numPr>
      </w:pPr>
      <w:r>
        <w:t>im Rahmen eines Volumenlizenzprogramms lizenziert sein und</w:t>
      </w:r>
    </w:p>
    <w:p w:rsidR="006514EF" w:rsidRDefault="00DD50AA">
      <w:pPr>
        <w:pStyle w:val="ProductList-Bullet"/>
        <w:numPr>
          <w:ilvl w:val="1"/>
          <w:numId w:val="51"/>
        </w:numPr>
      </w:pPr>
      <w:r>
        <w:t xml:space="preserve">gemäß diesen Lizenzbestimmungen für das </w:t>
      </w:r>
      <w:r>
        <w:fldChar w:fldCharType="begin"/>
      </w:r>
      <w:r>
        <w:instrText xml:space="preserve"> AutoTextList   \s NoStyle \t "Selbsthosten: Eine Software Assurance-Vergünstigung, die die</w:instrText>
      </w:r>
      <w:r>
        <w:instrText xml:space="preserv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6514EF" w:rsidRDefault="006514EF">
      <w:pPr>
        <w:pStyle w:val="ProductList-BodyIndented"/>
      </w:pPr>
    </w:p>
    <w:p w:rsidR="006514EF" w:rsidRDefault="00DD50AA">
      <w:pPr>
        <w:pStyle w:val="ProductList-BodyIndented"/>
      </w:pPr>
      <w:r>
        <w:t>Die Software des Kunden muss folgende Anforderungen erfüllen:</w:t>
      </w:r>
    </w:p>
    <w:p w:rsidR="006514EF" w:rsidRDefault="00DD50AA">
      <w:pPr>
        <w:pStyle w:val="ProductList-Bullet"/>
        <w:numPr>
          <w:ilvl w:val="1"/>
          <w:numId w:val="52"/>
        </w:numPr>
      </w:pPr>
      <w:r>
        <w:t>Sie muss den Selbst Gehosteten Anwendungen, die Bestandteil der Vereinheitlichten Lösung sind, wesentliche und primäre Funktionalität hinzufügen (Dashboards, HTML-Editoren, Dienstprogramme und ähnliche Technologien allein sind kein primärer Dienst und/ode</w:t>
      </w:r>
      <w:r>
        <w:t>r keine primäre Anwendung einer Vereinheitlichten Lösung).</w:t>
      </w:r>
    </w:p>
    <w:p w:rsidR="006514EF" w:rsidRDefault="00DD50AA">
      <w:pPr>
        <w:pStyle w:val="ProductList-Bullet"/>
        <w:numPr>
          <w:ilvl w:val="1"/>
          <w:numId w:val="52"/>
        </w:numPr>
      </w:pPr>
      <w:r>
        <w:t>Sie muss der Hauptdienst und/oder die Hauptanwendung der Vereinheitlichten Lösung sein und darf nicht den direkten Zugriff auf die Selbst gehosteten Anwendungen durch beliebige Endbenutzer der Vereinheitlichten Lösung ermöglichen.</w:t>
      </w:r>
    </w:p>
    <w:p w:rsidR="006514EF" w:rsidRDefault="00DD50AA">
      <w:pPr>
        <w:pStyle w:val="ProductList-Bullet"/>
        <w:numPr>
          <w:ilvl w:val="1"/>
          <w:numId w:val="52"/>
        </w:numPr>
      </w:pPr>
      <w:r>
        <w:t>Sie muss über das Interne</w:t>
      </w:r>
      <w:r>
        <w:t>t, ein Telefonfestnetz oder ein privates Netzwerk von Servern, die physisch für den Kunden bestimmt sind, an Endbenutzer bereitgestellt werden und dabei unter der tagtäglichen Kontrolle des Kunden oder einem Dritten stehen, der nicht der Endbenutzer der Ve</w:t>
      </w:r>
      <w:r>
        <w:t>reinheitlichten Lösung ist (die Vereinheitlichte Lösung darf nicht auf das Gerät des Endbenutzers geladen werden).</w:t>
      </w:r>
    </w:p>
    <w:p w:rsidR="006514EF" w:rsidRDefault="00DD50AA">
      <w:pPr>
        <w:pStyle w:val="ProductList-Bullet"/>
        <w:numPr>
          <w:ilvl w:val="1"/>
          <w:numId w:val="52"/>
        </w:numPr>
      </w:pPr>
      <w:r>
        <w:t>Sie muss im Eigentum des Kunden stehen und darf nicht vom Kunden lizenziert sein, mit der Ausnahme, dass die Software des Kunden nicht wesent</w:t>
      </w:r>
      <w:r>
        <w:t>liche Software Dritter enthalten darf, die in seine Software eingebettet ist oder diese durch ihren Betrieb unterstützt.</w:t>
      </w:r>
    </w:p>
    <w:p w:rsidR="006514EF" w:rsidRDefault="006514EF">
      <w:pPr>
        <w:pStyle w:val="ProductList-BodyIndented"/>
      </w:pPr>
    </w:p>
    <w:p w:rsidR="006514EF" w:rsidRDefault="00DD50AA">
      <w:pPr>
        <w:pStyle w:val="ProductList-BodyIndented"/>
      </w:pPr>
      <w:r>
        <w:t xml:space="preserve">Jegliche Verwendung der Selbst Gehosteten Anwendungen wird weiterhin durch die </w:t>
      </w:r>
      <w:r>
        <w:fldChar w:fldCharType="begin"/>
      </w:r>
      <w:r>
        <w:instrText xml:space="preserve"> AutoTextList   \s NoStyle \t "Lizenzbestimmungen: Best</w:instrText>
      </w:r>
      <w:r>
        <w:instrText xml:space="preserve">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w:instrText>
      </w:r>
      <w:r>
        <w:instrText xml:space="preserve">verwenden." </w:instrText>
      </w:r>
      <w:r>
        <w:fldChar w:fldCharType="separate"/>
      </w:r>
      <w:r>
        <w:rPr>
          <w:color w:val="0563C1"/>
        </w:rPr>
        <w:t>Lizenzen</w:t>
      </w:r>
      <w:r>
        <w:fldChar w:fldCharType="end"/>
      </w:r>
      <w:r>
        <w:t>, die unter seinem Volumenlizenzvertrag erworben wurden, nur wie in diesem Vertrag zulässig übertragen.</w:t>
      </w:r>
    </w:p>
    <w:p w:rsidR="006514EF" w:rsidRDefault="006514EF">
      <w:pPr>
        <w:pStyle w:val="ProductList-BodyIndented"/>
        <w:jc w:val="right"/>
      </w:pPr>
    </w:p>
    <w:tbl>
      <w:tblPr>
        <w:tblStyle w:val="PURTable0"/>
        <w:tblW w:w="0" w:type="dxa"/>
        <w:tblLook w:val="04A0" w:firstRow="1" w:lastRow="0" w:firstColumn="1" w:lastColumn="0" w:noHBand="0" w:noVBand="1"/>
      </w:tblPr>
      <w:tblGrid>
        <w:gridCol w:w="1044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Indented"/>
      </w:pPr>
    </w:p>
    <w:p w:rsidR="006514EF" w:rsidRDefault="006514EF">
      <w:pPr>
        <w:pStyle w:val="PURBreadcrumb"/>
      </w:pPr>
    </w:p>
    <w:p w:rsidR="006514EF" w:rsidRDefault="00DD50AA">
      <w:pPr>
        <w:pStyle w:val="ProductList-SectionHeading"/>
        <w:pageBreakBefore/>
        <w:outlineLvl w:val="0"/>
      </w:pPr>
      <w:bookmarkStart w:id="396" w:name="_Sec562"/>
      <w:bookmarkEnd w:id="373"/>
      <w:r>
        <w:t>Anhang C –</w:t>
      </w:r>
      <w:r>
        <w:t xml:space="preserve"> Professional Services</w:t>
      </w:r>
      <w:r>
        <w:fldChar w:fldCharType="begin"/>
      </w:r>
      <w:r>
        <w:instrText xml:space="preserve"> TC "</w:instrText>
      </w:r>
      <w:bookmarkStart w:id="397" w:name="_Toc439056378"/>
      <w:r>
        <w:instrText>Anhang C – Professional Services</w:instrText>
      </w:r>
      <w:bookmarkEnd w:id="397"/>
      <w:r>
        <w:instrText>" \l 1</w:instrText>
      </w:r>
      <w:r>
        <w:fldChar w:fldCharType="end"/>
      </w:r>
    </w:p>
    <w:p w:rsidR="006514EF" w:rsidRDefault="00DD50AA">
      <w:pPr>
        <w:pStyle w:val="ProductList-Body"/>
      </w:pPr>
      <w:r>
        <w:t>Die über Microsoft-Volumenlizenzierung verfügbaren Professional Services werden unten beschrieben.</w:t>
      </w:r>
    </w:p>
    <w:p w:rsidR="006514EF" w:rsidRDefault="00DD50AA">
      <w:pPr>
        <w:pStyle w:val="ProductList-Offering1Heading"/>
        <w:outlineLvl w:val="1"/>
      </w:pPr>
      <w:bookmarkStart w:id="398" w:name="_Sec565"/>
      <w:r>
        <w:t>Microsoft Premier Support-Angebote</w:t>
      </w:r>
      <w:bookmarkEnd w:id="398"/>
      <w:r>
        <w:fldChar w:fldCharType="begin"/>
      </w:r>
      <w:r>
        <w:instrText xml:space="preserve"> TC "</w:instrText>
      </w:r>
      <w:bookmarkStart w:id="399" w:name="_Toc439056379"/>
      <w:r>
        <w:instrText>Microsoft Premier Support-Angebote</w:instrText>
      </w:r>
      <w:bookmarkEnd w:id="399"/>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651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Bereich</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jc w:val="center"/>
            </w:pPr>
            <w:r>
              <w:rPr>
                <w:color w:val="FFFFFF"/>
              </w:rPr>
              <w:t>Premier Plus</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Monatlich</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Bis zu 10 Stunden</w:t>
            </w:r>
          </w:p>
          <w:p w:rsidR="006514EF" w:rsidRDefault="00DD50AA">
            <w:pPr>
              <w:pStyle w:val="ProductList-TableBody"/>
            </w:pPr>
            <w:r>
              <w:t>+ 1 Systemdiagnose</w:t>
            </w:r>
          </w:p>
          <w:p w:rsidR="006514EF" w:rsidRDefault="00DD50A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Bis zu 160 Stunden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Bis zu 140 Stunden</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jc w:val="center"/>
            </w:pPr>
            <w:r>
              <w:t>X</w:t>
            </w:r>
          </w:p>
        </w:tc>
      </w:tr>
      <w:tr w:rsidR="006514EF">
        <w:tc>
          <w:tcPr>
            <w:tcW w:w="404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 Stunden pro Paket</w:t>
            </w:r>
          </w:p>
        </w:tc>
      </w:tr>
    </w:tbl>
    <w:p w:rsidR="006514EF" w:rsidRDefault="00DD50AA">
      <w:pPr>
        <w:pStyle w:val="ProductList-Body"/>
      </w:pPr>
      <w:r>
        <w:rPr>
          <w:vertAlign w:val="superscript"/>
        </w:rPr>
        <w:t xml:space="preserve">1 </w:t>
      </w:r>
      <w:r>
        <w:rPr>
          <w:i/>
        </w:rPr>
        <w:t>Die Geschäftszeiten sind lokal festgelegt.</w:t>
      </w:r>
    </w:p>
    <w:p w:rsidR="006514EF" w:rsidRDefault="006514EF">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6514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Vom Kunden erwartete Reaktion</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Katastrophale Auswirkungen auf das Geschäft: </w:t>
            </w:r>
          </w:p>
          <w:p w:rsidR="006514EF" w:rsidRDefault="00DD50AA">
            <w:pPr>
              <w:pStyle w:val="ProductList-TableBody"/>
            </w:pPr>
            <w:r>
              <w:t>Vollständiger Verlust eines zentralen (geschäftskritischen) Geschäftsprozesses, Arbeit kann vernünftigerweise nicht fortgesetzt werden</w:t>
            </w:r>
          </w:p>
          <w:p w:rsidR="006514EF" w:rsidRDefault="00DD50AA">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1 Stunde oder weniger</w:t>
            </w:r>
          </w:p>
          <w:p w:rsidR="006514EF" w:rsidRDefault="00DD50AA">
            <w:pPr>
              <w:pStyle w:val="ProductList-TableBody"/>
            </w:pPr>
            <w:r>
              <w:t>Die Ressourcen von Microsoft schnellstm</w:t>
            </w:r>
            <w:r>
              <w:t>öglich am Standort des Kunden</w:t>
            </w:r>
          </w:p>
          <w:p w:rsidR="006514EF" w:rsidRDefault="00DD50AA">
            <w:pPr>
              <w:pStyle w:val="ProductList-TableBody"/>
            </w:pPr>
            <w:r>
              <w:t>Durchgehende Bemühungen rund um die Uhr</w:t>
            </w:r>
          </w:p>
          <w:p w:rsidR="006514EF" w:rsidRDefault="00DD50AA">
            <w:pPr>
              <w:pStyle w:val="ProductList-TableBody"/>
            </w:pPr>
            <w:r>
              <w:t>Schnelle Eskalation innerhalb von Microsoft an Produktteams</w:t>
            </w:r>
          </w:p>
          <w:p w:rsidR="006514EF" w:rsidRDefault="00DD50AA">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Benachrichtigung der leitenden Führungskräfte des Kunden </w:t>
            </w:r>
          </w:p>
          <w:p w:rsidR="006514EF" w:rsidRDefault="00DD50AA">
            <w:pPr>
              <w:pStyle w:val="ProductList-TableBody"/>
            </w:pPr>
            <w:r>
              <w:t>Zuweisung geeigneter Ressourcen zur Aufrechterhaltung durchgehender Bemühungen rund um die Uhr</w:t>
            </w:r>
            <w:r>
              <w:rPr>
                <w:vertAlign w:val="superscript"/>
              </w:rPr>
              <w:t>2</w:t>
            </w:r>
          </w:p>
          <w:p w:rsidR="006514EF" w:rsidRDefault="00DD50AA">
            <w:pPr>
              <w:pStyle w:val="ProductList-TableBody"/>
            </w:pPr>
            <w:r>
              <w:t>Schneller Zugriff und schnelle Reaktion durch Änderungskontrollautorität</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Kritische Auswirkungen auf das Geschäft: </w:t>
            </w:r>
          </w:p>
          <w:p w:rsidR="006514EF" w:rsidRDefault="00DD50AA">
            <w:pPr>
              <w:pStyle w:val="ProductList-TableBody"/>
            </w:pPr>
            <w:r>
              <w:t>Erheblicher V</w:t>
            </w:r>
            <w:r>
              <w:t>erlust oder erhebliche Beeinträchtigung von Diensten</w:t>
            </w:r>
          </w:p>
          <w:p w:rsidR="006514EF" w:rsidRDefault="00DD50AA">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1 Stunde oder weniger</w:t>
            </w:r>
          </w:p>
          <w:p w:rsidR="006514EF" w:rsidRDefault="00DD50AA">
            <w:pPr>
              <w:pStyle w:val="ProductList-TableBody"/>
            </w:pPr>
            <w:r>
              <w:t>Microsoft-Ressourcen nach Bedarf am Standort des Kunden</w:t>
            </w:r>
          </w:p>
          <w:p w:rsidR="006514EF" w:rsidRDefault="00DD50AA">
            <w:pPr>
              <w:pStyle w:val="ProductList-TableBody"/>
            </w:pPr>
            <w:r>
              <w:t>Durchgehende Bemühungen rund um die Uhr</w:t>
            </w:r>
          </w:p>
          <w:p w:rsidR="006514EF" w:rsidRDefault="00DD50AA">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Zuweisung geeigneter Ressourcen zur Aufrechterhaltung durchgehender Bemühungen rund um die Uhr</w:t>
            </w:r>
            <w:r>
              <w:rPr>
                <w:vertAlign w:val="superscript"/>
              </w:rPr>
              <w:t>2</w:t>
            </w:r>
          </w:p>
          <w:p w:rsidR="006514EF" w:rsidRDefault="00DD50AA">
            <w:pPr>
              <w:pStyle w:val="ProductList-TableBody"/>
            </w:pPr>
            <w:r>
              <w:t>Schneller Zugriff und schnelle Reaktion durch Änderungskontrollautorität</w:t>
            </w:r>
          </w:p>
          <w:p w:rsidR="006514EF" w:rsidRDefault="00DD50AA">
            <w:pPr>
              <w:pStyle w:val="ProductList-TableBody"/>
            </w:pPr>
            <w:r>
              <w:t>Benachrichtigung des Managements</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Mittelschwere Auswirkungen auf das Geschäft: </w:t>
            </w:r>
          </w:p>
          <w:p w:rsidR="006514EF" w:rsidRDefault="00DD50AA">
            <w:pPr>
              <w:pStyle w:val="ProductList-TableBody"/>
            </w:pPr>
            <w:r>
              <w:t>Mittelmäßiger Verlust oder mittelmäßige Beeinträchtigung von Diensten, die Arbeit kann jedoch vernünftigerweise mit Beeinträchtigungen fortgesetzt werden.</w:t>
            </w:r>
          </w:p>
          <w:p w:rsidR="006514EF" w:rsidRDefault="00DD50AA">
            <w:pPr>
              <w:pStyle w:val="ProductList-TableBody"/>
            </w:pPr>
            <w:r>
              <w:t>Bearbeitung innerha</w:t>
            </w:r>
            <w:r>
              <w:t>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2 Stunden oder weniger</w:t>
            </w:r>
          </w:p>
          <w:p w:rsidR="006514EF" w:rsidRDefault="00DD50A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Zuweisung geeigneter Ressourcen zur Aufrechterhaltung durchgehender Bemühungen während der Geschäftszeiten1</w:t>
            </w:r>
          </w:p>
          <w:p w:rsidR="006514EF" w:rsidRDefault="00DD50AA">
            <w:pPr>
              <w:pStyle w:val="ProductList-TableBody"/>
            </w:pPr>
            <w:r>
              <w:t>Zugriff und Reaktion von Änderungskontrollautorität innerhalb von 4 Geschäftsstunden</w:t>
            </w:r>
            <w:r>
              <w:rPr>
                <w:vertAlign w:val="superscript"/>
              </w:rPr>
              <w:t>1</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Minimale Auswirkungen auf das Geschäft: </w:t>
            </w:r>
          </w:p>
          <w:p w:rsidR="006514EF" w:rsidRDefault="00DD50AA">
            <w:pPr>
              <w:pStyle w:val="ProductList-TableBody"/>
            </w:pPr>
            <w:r>
              <w:t>Im Wesentlichen funktionsfähig, mit geringen oder keinen Beeinträchtigungen von Diensten.</w:t>
            </w:r>
          </w:p>
          <w:p w:rsidR="006514EF" w:rsidRDefault="00DD50AA">
            <w:pPr>
              <w:pStyle w:val="ProductList-TableBody"/>
            </w:pPr>
            <w:r>
              <w:t>Be</w:t>
            </w:r>
            <w:r>
              <w:t>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 Reaktion auf Anruf in 4 Stunden oder weniger</w:t>
            </w:r>
          </w:p>
          <w:p w:rsidR="006514EF" w:rsidRDefault="00DD50A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Genaue Kontaktinformationen zum Fallinhaber</w:t>
            </w:r>
          </w:p>
          <w:p w:rsidR="006514EF" w:rsidRDefault="00DD50AA">
            <w:pPr>
              <w:pStyle w:val="ProductList-TableBody"/>
            </w:pPr>
            <w:r>
              <w:t>Reaktion innerhalb von 24 Stunden</w:t>
            </w:r>
          </w:p>
        </w:tc>
      </w:tr>
    </w:tbl>
    <w:p w:rsidR="006514EF" w:rsidRDefault="00DD50AA">
      <w:pPr>
        <w:pStyle w:val="ProductList-Body"/>
      </w:pPr>
      <w:r>
        <w:rPr>
          <w:vertAlign w:val="superscript"/>
        </w:rPr>
        <w:t>1</w:t>
      </w:r>
      <w:r>
        <w:rPr>
          <w:i/>
        </w:rPr>
        <w:t>Die Geschäftszeiten sind lo</w:t>
      </w:r>
      <w:r>
        <w:rPr>
          <w:i/>
        </w:rPr>
        <w:t>kal festgelegt.</w:t>
      </w:r>
    </w:p>
    <w:p w:rsidR="006514EF" w:rsidRDefault="00DD50AA">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6514EF" w:rsidRDefault="006514EF">
      <w:pPr>
        <w:pStyle w:val="ProductList-Body"/>
      </w:pPr>
    </w:p>
    <w:p w:rsidR="006514EF" w:rsidRDefault="00DD50AA">
      <w:pPr>
        <w:pStyle w:val="ProductList-ClauseHeading"/>
        <w:outlineLvl w:val="2"/>
      </w:pPr>
      <w:r>
        <w:t>W</w:t>
      </w:r>
      <w:r>
        <w:t>eitere Geschäftsregeln</w:t>
      </w:r>
    </w:p>
    <w:p w:rsidR="006514EF" w:rsidRDefault="00DD50AA">
      <w:pPr>
        <w:pStyle w:val="ProductList-Body"/>
      </w:pPr>
      <w:r>
        <w:t>Alle Professional Services stellen Support für kommerziell freigegebene, allgemein verfügbare Microsoft-Produkte bereit (sofern sie nicht auf der Premier-Onlinewebsite oder der Supportlebenszyklus-Website von Microsoft ausdrücklich a</w:t>
      </w:r>
      <w:r>
        <w:t xml:space="preserve">usgeschlossen sind). Die Professional Services werden im Allgemeinen stündlich abgerechnet und durch Fernübermittlung in englischer Sprache bereitgestellt (außer eine andere Sprache ist verfügbar). Professional Services werden in dem Land erbracht, in dem </w:t>
      </w:r>
      <w:r>
        <w:t>die Volumenlizenzvereinbarung unterzeichnet wurde. Besuche vor Ort sind nicht vorausbezahlt und können nur erfolgen, wenn die entsprechenden Ressourcen verfügbar sind. Alle Professionellen Services, die während eines Jahres nicht genutzt werden, verfallen.</w:t>
      </w:r>
      <w:r>
        <w:t xml:space="preserve"> Auf Anfrage des Kunden kann Microsoft über eine DFÜ-Remoteverbindung auf das System des Kunden zugreifen, um Probleme zu analysieren.</w:t>
      </w:r>
    </w:p>
    <w:p w:rsidR="006514EF" w:rsidRDefault="00DD50AA">
      <w:pPr>
        <w:pStyle w:val="ProductList-Offering1Heading"/>
        <w:outlineLvl w:val="1"/>
      </w:pPr>
      <w:bookmarkStart w:id="400" w:name="_Sec566"/>
      <w:r>
        <w:t>Microsoft Enterprise Strategy-Programmangebote</w:t>
      </w:r>
      <w:bookmarkEnd w:id="400"/>
      <w:r>
        <w:fldChar w:fldCharType="begin"/>
      </w:r>
      <w:r>
        <w:instrText xml:space="preserve"> TC "</w:instrText>
      </w:r>
      <w:bookmarkStart w:id="401" w:name="_Toc439056380"/>
      <w:r>
        <w:instrText>Microsoft Enterprise Strategy-Programmangebote</w:instrText>
      </w:r>
      <w:bookmarkEnd w:id="401"/>
      <w:r>
        <w:instrText>" \l 2</w:instrText>
      </w:r>
      <w:r>
        <w:fldChar w:fldCharType="end"/>
      </w:r>
    </w:p>
    <w:p w:rsidR="006514EF" w:rsidRDefault="00DD50AA">
      <w:pPr>
        <w:pStyle w:val="ProductList-Body"/>
      </w:pPr>
      <w:r>
        <w:t xml:space="preserve">Die Enterprise </w:t>
      </w:r>
      <w:r>
        <w:t>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6514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Enterprise Strategy Portfolio</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9RO-xxxx</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Insgesamt bis zu 800 Einsatzstunden eines Microsoft Enterprise Architect und des Konzernserviceer</w:t>
            </w:r>
            <w:r>
              <w:t xml:space="preserve">bringungsteams </w:t>
            </w:r>
          </w:p>
        </w:tc>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 xml:space="preserve">Insgesamt bis zu 1600 Einsatzstunden eines Microsoft Enterprise Architect und des Konzernserviceerbringungsteams </w:t>
            </w: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14EF" w:rsidRDefault="006514EF">
            <w:pPr>
              <w:pStyle w:val="ProductList-TableBody"/>
            </w:pPr>
          </w:p>
        </w:tc>
      </w:tr>
      <w:tr w:rsidR="006514EF">
        <w:tc>
          <w:tcPr>
            <w:tcW w:w="306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200 Stunden (können zu jedem der obigen Angebote hinzugefügt werden)</w:t>
            </w:r>
          </w:p>
        </w:tc>
      </w:tr>
    </w:tbl>
    <w:p w:rsidR="006514EF" w:rsidRDefault="006514EF">
      <w:pPr>
        <w:pStyle w:val="ProductList-Body"/>
      </w:pPr>
    </w:p>
    <w:p w:rsidR="006514EF" w:rsidRDefault="00DD50AA">
      <w:pPr>
        <w:pStyle w:val="ProductList-ClauseHeading"/>
        <w:outlineLvl w:val="2"/>
      </w:pPr>
      <w:r>
        <w:t>Enterprise Strategy-Servicemodule</w:t>
      </w:r>
    </w:p>
    <w:p w:rsidR="006514EF" w:rsidRDefault="00DD50AA">
      <w:pPr>
        <w:pStyle w:val="ProductList-Body"/>
      </w:pPr>
      <w:r>
        <w:t>Der Enterprise Strategy-Einsatz beinhaltet eines oder mehrere Enterprise Strategy-Servicemo</w:t>
      </w:r>
      <w:r>
        <w:t>dule, wie im Service Delivery Plan dokumentiert.</w:t>
      </w:r>
    </w:p>
    <w:p w:rsidR="006514EF" w:rsidRDefault="006514EF">
      <w:pPr>
        <w:pStyle w:val="ProductList-Body"/>
      </w:pPr>
    </w:p>
    <w:p w:rsidR="006514EF" w:rsidRDefault="00DD50AA">
      <w:pPr>
        <w:pStyle w:val="ProductList-ClauseHeading"/>
        <w:outlineLvl w:val="2"/>
      </w:pPr>
      <w:r>
        <w:t>Vertraglich nicht abgedeckte Services</w:t>
      </w:r>
    </w:p>
    <w:p w:rsidR="006514EF" w:rsidRDefault="00DD50AA">
      <w:pPr>
        <w:pStyle w:val="ProductList-Body"/>
      </w:pPr>
      <w:r>
        <w:t>In den Professional Services in einem Enterprise Strategy-Programm sind außerdem Problembehebungs- oder Break-Fix-Support, Prüfung von nicht von Microsoft stammendem Qu</w:t>
      </w:r>
      <w:r>
        <w:t>ellcode oder eine technische oder Architekturberatung, die über die in einem Servicebereitstellungsplan beschriebene Ergebnisse hinausgeht, nicht enthalten. Bei nicht von Microsoft stammendem Quellcode sind die Professional Services von Microsoft auf die A</w:t>
      </w:r>
      <w:r>
        <w:t>nalyse von Binärdaten, z. B. eine Prozesssicherung oder Netzwerkmonitor-Ablaufverfolgung, beschränkt.</w:t>
      </w:r>
    </w:p>
    <w:p w:rsidR="006514EF" w:rsidRDefault="006514EF">
      <w:pPr>
        <w:pStyle w:val="ProductList-Body"/>
      </w:pPr>
    </w:p>
    <w:p w:rsidR="006514EF" w:rsidRDefault="00DD50AA">
      <w:pPr>
        <w:pStyle w:val="ProductList-ClauseHeading"/>
        <w:outlineLvl w:val="2"/>
      </w:pPr>
      <w:r>
        <w:t>Verantwortlichkeiten des Kunden</w:t>
      </w:r>
    </w:p>
    <w:p w:rsidR="006514EF" w:rsidRDefault="00DD50AA">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w:t>
      </w:r>
      <w:r>
        <w:t>tellen, korrekte und vollständige Informationen bereitzustellen und die Verantwortlichkeiten, die dem Kunden von Microsoft zugewiesen wurden, rechtzeitig zu erfüllen. Soweit Vor-Ort-Besuche von Microsoft-Beratern einvernehmlich vereinbart und nicht im Vora</w:t>
      </w:r>
      <w:r>
        <w:t>us bezahlt wurden, übernimmt der Kunde angemessene Reisekosten und Spesen.</w:t>
      </w:r>
    </w:p>
    <w:p w:rsidR="006514EF" w:rsidRDefault="00DD50AA">
      <w:pPr>
        <w:pStyle w:val="ProductList-Offering1Heading"/>
        <w:outlineLvl w:val="1"/>
      </w:pPr>
      <w:bookmarkStart w:id="402" w:name="_Sec567"/>
      <w:r>
        <w:t>Sales Productivity Accelerator-Angebote</w:t>
      </w:r>
      <w:bookmarkEnd w:id="402"/>
      <w:r>
        <w:fldChar w:fldCharType="begin"/>
      </w:r>
      <w:r>
        <w:instrText xml:space="preserve"> TC "</w:instrText>
      </w:r>
      <w:bookmarkStart w:id="403" w:name="_Toc439056381"/>
      <w:r>
        <w:instrText>Sales Productivity Accelerator-Angebote</w:instrText>
      </w:r>
      <w:bookmarkEnd w:id="403"/>
      <w:r>
        <w:instrText>" \l 2</w:instrText>
      </w:r>
      <w:r>
        <w:fldChar w:fldCharType="end"/>
      </w:r>
    </w:p>
    <w:p w:rsidR="006514EF" w:rsidRDefault="00DD50AA">
      <w:pPr>
        <w:pStyle w:val="ProductList-ClauseHeading"/>
        <w:outlineLvl w:val="2"/>
      </w:pPr>
      <w:r>
        <w:t>Überblick über Sales Productivity Accelerator</w:t>
      </w:r>
    </w:p>
    <w:p w:rsidR="006514EF" w:rsidRDefault="00DD50AA">
      <w:pPr>
        <w:pStyle w:val="ProductList-Body"/>
      </w:pPr>
      <w:r>
        <w:t>Beim Sales Productivity Accelerator handelt</w:t>
      </w:r>
      <w:r>
        <w:t xml:space="preserve"> es sich um einen Service, der von Microsoft Services über einen Zeitraum von vier (4) Wochen erbracht wird und die Implementierung von Microsoft Dynamics CRM Online mit festem Leistungsumfang beinhaltet.</w:t>
      </w:r>
    </w:p>
    <w:p w:rsidR="006514EF" w:rsidRDefault="006514EF">
      <w:pPr>
        <w:pStyle w:val="ProductList-Body"/>
      </w:pPr>
    </w:p>
    <w:p w:rsidR="006514EF" w:rsidRDefault="00DD50AA">
      <w:pPr>
        <w:pStyle w:val="ProductList-Body"/>
      </w:pPr>
      <w:r>
        <w:t>Der Sales Productivity Accelerator umfasst die fol</w:t>
      </w:r>
      <w:r>
        <w:t>genden Leistungen:</w:t>
      </w:r>
    </w:p>
    <w:p w:rsidR="006514EF" w:rsidRDefault="00DD50AA">
      <w:pPr>
        <w:pStyle w:val="ProductList-Bullet"/>
        <w:numPr>
          <w:ilvl w:val="0"/>
          <w:numId w:val="53"/>
        </w:numPr>
      </w:pPr>
      <w:r>
        <w:rPr>
          <w:b/>
          <w:color w:val="00188F"/>
        </w:rPr>
        <w:t>Service Delivery Plan</w:t>
      </w:r>
      <w:r>
        <w:t>: wird von einem Microsoft-Berater erstellt, um die geschäftlichen Ziele und Vorgaben des Kunden einzuhalten.</w:t>
      </w:r>
    </w:p>
    <w:p w:rsidR="006514EF" w:rsidRDefault="00DD50AA">
      <w:pPr>
        <w:pStyle w:val="ProductList-Bullet"/>
        <w:numPr>
          <w:ilvl w:val="0"/>
          <w:numId w:val="53"/>
        </w:numPr>
      </w:pPr>
      <w:r>
        <w:rPr>
          <w:b/>
          <w:color w:val="00188F"/>
        </w:rPr>
        <w:t>Workshops</w:t>
      </w:r>
      <w:r>
        <w:t>: Es werden maximal sechzehn (16) Stunden insgesamt für Workshops aufgewendet:</w:t>
      </w:r>
    </w:p>
    <w:p w:rsidR="006514EF" w:rsidRDefault="00DD50AA">
      <w:pPr>
        <w:pStyle w:val="ProductList-Bullet"/>
        <w:numPr>
          <w:ilvl w:val="1"/>
          <w:numId w:val="53"/>
        </w:numPr>
      </w:pPr>
      <w:r>
        <w:t>Maximal zwei (2) E</w:t>
      </w:r>
      <w:r>
        <w:t>rkennungsworkshops zur Feststellung und Definition wichtiger Anwendungsfälle und Geschäftsanforderungen, wie vom Kunden angegeben, im Zusammenhang mit Konfigurationseinstellungen;</w:t>
      </w:r>
    </w:p>
    <w:p w:rsidR="006514EF" w:rsidRDefault="00DD50AA">
      <w:pPr>
        <w:pStyle w:val="ProductList-Bullet"/>
        <w:numPr>
          <w:ilvl w:val="1"/>
          <w:numId w:val="53"/>
        </w:numPr>
      </w:pPr>
      <w:r>
        <w:t>Maximal vier (4) Workshops zur Designüberprüfung während der Erstellungsphas</w:t>
      </w:r>
      <w:r>
        <w:t>e.</w:t>
      </w:r>
    </w:p>
    <w:p w:rsidR="006514EF" w:rsidRDefault="00DD50AA">
      <w:pPr>
        <w:pStyle w:val="ProductList-Bullet"/>
        <w:numPr>
          <w:ilvl w:val="0"/>
          <w:numId w:val="53"/>
        </w:numPr>
      </w:pPr>
      <w:r>
        <w:rPr>
          <w:b/>
          <w:color w:val="00188F"/>
        </w:rPr>
        <w:t>Berichterstattung</w:t>
      </w:r>
      <w:r>
        <w:t xml:space="preserve">: ein (1) natives Microsoft Dynamics CRM Online-Dashboard mit bis zu vier (4) nativen Komponenten und zwei (2) Excel Power View Reports mithilfe von Power BI Pro5, konfiguriert für maximal zwei (2). Die Berichte zeigen maximal zwei (2) </w:t>
      </w:r>
      <w:r>
        <w:t>interaktive Diagramme pro Einheit an, wobei die Daten aus Microsoft Dynamics CRM Online stammen.</w:t>
      </w:r>
    </w:p>
    <w:p w:rsidR="006514EF" w:rsidRDefault="00DD50AA">
      <w:pPr>
        <w:pStyle w:val="ProductList-Bullet"/>
        <w:numPr>
          <w:ilvl w:val="0"/>
          <w:numId w:val="53"/>
        </w:numPr>
      </w:pPr>
      <w:r>
        <w:rPr>
          <w:b/>
          <w:color w:val="00188F"/>
        </w:rPr>
        <w:t>Konfiguration</w:t>
      </w:r>
      <w:r>
        <w:t>: Microsoft Dynamics CRM Online wird so konfiguriert, dass insgesamt bis zu zehn (10) Nutzer unterstützt werden. In diesem Zeitraum wendet Microso</w:t>
      </w:r>
      <w:r>
        <w:t>ft maximal vierundsechzig (64) Stunden für die Konfiguration der Lead-bis-Verkaufschance-Prozesse, von 3 Sicherheitsrollen, 3 Personas, die vorgefertigte Sicherheitsrollen nutzen, sowie der SharePoint- und Yammer-Integration mit Microsoft Dynamics CRM Onli</w:t>
      </w:r>
      <w:r>
        <w:t>ne auf.</w:t>
      </w:r>
    </w:p>
    <w:p w:rsidR="006514EF" w:rsidRDefault="00DD50AA">
      <w:pPr>
        <w:pStyle w:val="ProductList-Bullet"/>
        <w:numPr>
          <w:ilvl w:val="0"/>
          <w:numId w:val="53"/>
        </w:numPr>
      </w:pPr>
      <w:r>
        <w:rPr>
          <w:b/>
          <w:color w:val="00188F"/>
        </w:rPr>
        <w:t>Tests</w:t>
      </w:r>
      <w:r>
        <w:t>: Es werden maximal sechsundzwanzig (26) Stunden für maximal zwei (2) Tests (z. B. Systemtest und Nutzerabnahmetest [UAT]) aufgewendet.</w:t>
      </w:r>
    </w:p>
    <w:p w:rsidR="006514EF" w:rsidRDefault="00DD50AA">
      <w:pPr>
        <w:pStyle w:val="ProductList-Bullet"/>
        <w:numPr>
          <w:ilvl w:val="0"/>
          <w:numId w:val="53"/>
        </w:numPr>
      </w:pPr>
      <w:r>
        <w:rPr>
          <w:b/>
          <w:color w:val="00188F"/>
        </w:rPr>
        <w:t>Schulung und Wissenstransfer</w:t>
      </w:r>
      <w:r>
        <w:t>: Es wird eine (1) produktorientierte Schulung für die Nutzer des Kunden für in</w:t>
      </w:r>
      <w:r>
        <w:t>sgesamt maximal vier (4) Stunden bereitgestellt.</w:t>
      </w:r>
    </w:p>
    <w:p w:rsidR="006514EF" w:rsidRDefault="00DD50AA">
      <w:pPr>
        <w:pStyle w:val="ProductList-Bullet"/>
        <w:numPr>
          <w:ilvl w:val="0"/>
          <w:numId w:val="53"/>
        </w:numPr>
      </w:pPr>
      <w:r>
        <w:rPr>
          <w:b/>
          <w:color w:val="00188F"/>
        </w:rPr>
        <w:t>Bereitstellungsunterstützung</w:t>
      </w:r>
      <w:r>
        <w:t xml:space="preserve">: Es werden maximal vierzig (40) Stunden Bereitstellungs- und Aktivierungsunterstützung (4. Woche) bereitgestellt, vorbehaltlich des im Voraus festgelegten Projektumfangs und der </w:t>
      </w:r>
      <w:r>
        <w:t>Anforderungen.</w:t>
      </w:r>
    </w:p>
    <w:p w:rsidR="006514EF" w:rsidRDefault="006514EF">
      <w:pPr>
        <w:pStyle w:val="ProductList-Body"/>
      </w:pPr>
    </w:p>
    <w:p w:rsidR="006514EF" w:rsidRDefault="00DD50AA">
      <w:pPr>
        <w:pStyle w:val="ProductList-ClauseHeading"/>
        <w:outlineLvl w:val="2"/>
      </w:pPr>
      <w:r>
        <w:t>Verantwortlichkeiten des Kunden</w:t>
      </w:r>
    </w:p>
    <w:p w:rsidR="006514EF" w:rsidRDefault="00DD50AA">
      <w:pPr>
        <w:pStyle w:val="ProductList-Body"/>
      </w:pPr>
      <w:r>
        <w:t>Der Kunde erklärt sich damit einverstanden, als Bestandteil des Sales Productivity Accelerator-Service mit Microsoft zusammenzuarbeiten, einschließlich, jedoch nicht beschränkt darauf, Microsoft Vertreter, IT</w:t>
      </w:r>
      <w:r>
        <w:t>-Mitarbeiter und Ressourcen des Kunden zur Verfügung zu stellen, korrekte und vollständige Informationen bereitzustellen und die Verantwortlichkeiten, die dem Kunden von Microsoft zugewiesen wurden, rechtzeitig zu erfüllen. Soweit Vor-Ort-Besuche von Micro</w:t>
      </w:r>
      <w:r>
        <w:t>soft-Beratern einvernehmlich vereinbart und nicht im Voraus bezahlt wurden, übernimmt der Kunde angemessene Reisekosten und Spesen.</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DD50AA">
      <w:pPr>
        <w:pStyle w:val="ProductList-SectionHeading"/>
        <w:pageBreakBefore/>
        <w:outlineLvl w:val="0"/>
      </w:pPr>
      <w:bookmarkStart w:id="404" w:name="_Sec563"/>
      <w:bookmarkEnd w:id="396"/>
      <w:r>
        <w:t>Anhang</w:t>
      </w:r>
      <w:r>
        <w:t xml:space="preserve"> D – Ergänzende Bestimmungen zum Programmvertrag</w:t>
      </w:r>
      <w:r>
        <w:fldChar w:fldCharType="begin"/>
      </w:r>
      <w:r>
        <w:instrText xml:space="preserve"> TC "</w:instrText>
      </w:r>
      <w:bookmarkStart w:id="405" w:name="_Toc439056382"/>
      <w:r>
        <w:instrText>Anhang D – Ergänzende Bestimmungen zum Programmvertrag</w:instrText>
      </w:r>
      <w:bookmarkEnd w:id="405"/>
      <w:r>
        <w:instrText>" \l 1</w:instrText>
      </w:r>
      <w:r>
        <w:fldChar w:fldCharType="end"/>
      </w:r>
    </w:p>
    <w:p w:rsidR="006514EF" w:rsidRDefault="00DD50AA">
      <w:pPr>
        <w:pStyle w:val="ProductList-Body"/>
      </w:pPr>
      <w:r>
        <w:t>Die nachstehenden Bestimmungen gelten für den Volumenlizenzvertrag des Kunden, wie angegeben.</w:t>
      </w:r>
    </w:p>
    <w:p w:rsidR="006514EF" w:rsidRDefault="00DD50AA">
      <w:pPr>
        <w:pStyle w:val="ProductList-Offering1Heading"/>
        <w:outlineLvl w:val="1"/>
      </w:pPr>
      <w:bookmarkStart w:id="406" w:name="_Sec568"/>
      <w:r>
        <w:t>Ergänzende Bestimmungen zum Select Plus-Progra</w:t>
      </w:r>
      <w:r>
        <w:t>mm</w:t>
      </w:r>
      <w:bookmarkEnd w:id="406"/>
      <w:r>
        <w:fldChar w:fldCharType="begin"/>
      </w:r>
      <w:r>
        <w:instrText xml:space="preserve"> TC "</w:instrText>
      </w:r>
      <w:bookmarkStart w:id="407" w:name="_Toc439056383"/>
      <w:r>
        <w:instrText>Ergänzende Bestimmungen zum Select Plus-Programm</w:instrText>
      </w:r>
      <w:bookmarkEnd w:id="407"/>
      <w:r>
        <w:instrText>" \l 2</w:instrText>
      </w:r>
      <w:r>
        <w:fldChar w:fldCharType="end"/>
      </w:r>
    </w:p>
    <w:p w:rsidR="006514EF" w:rsidRDefault="00DD50AA">
      <w:pPr>
        <w:pStyle w:val="ProductList-Body"/>
      </w:pPr>
      <w:r>
        <w:t>Für Select Plus ist während des ersten Jahres eine Mindestbestellmenge von 500 Punkten pro Pool erforderlich. Wenn ein Qualifizierender Vertrag bereitgestellt wird, kann auf diese Mindestbeste</w:t>
      </w:r>
      <w:r>
        <w:t>llmenge verzichtet werden.</w:t>
      </w:r>
    </w:p>
    <w:p w:rsidR="006514EF" w:rsidRDefault="006514EF">
      <w:pPr>
        <w:pStyle w:val="ProductList-Body"/>
      </w:pPr>
    </w:p>
    <w:p w:rsidR="006514EF" w:rsidRDefault="00DD50AA">
      <w:pPr>
        <w:pStyle w:val="ProductList-ClauseHeading"/>
        <w:outlineLvl w:val="2"/>
      </w:pPr>
      <w:r>
        <w:t>Preislevels für Select Plus</w:t>
      </w:r>
    </w:p>
    <w:p w:rsidR="006514EF" w:rsidRDefault="00DD50AA">
      <w:pPr>
        <w:pStyle w:val="ProductList-Body"/>
      </w:pPr>
      <w:r>
        <w:t>Die Preise des Kunden basieren auf einem Vertrag zwischen dem Kunden und dem Handelspartner des Kunden. Microsoft stellt jedoch dem Handelspartner die folgenden Kriterien für Preise und Punkte als Ori</w:t>
      </w:r>
      <w:r>
        <w:t>entierungshilfe für Endkundenpreise zur Verfügung:</w:t>
      </w:r>
    </w:p>
    <w:tbl>
      <w:tblPr>
        <w:tblStyle w:val="PURTable"/>
        <w:tblW w:w="0" w:type="dxa"/>
        <w:tblLook w:val="04A0" w:firstRow="1" w:lastRow="0" w:firstColumn="1" w:lastColumn="0" w:noHBand="0" w:noVBand="1"/>
      </w:tblPr>
      <w:tblGrid>
        <w:gridCol w:w="5355"/>
        <w:gridCol w:w="5435"/>
      </w:tblGrid>
      <w:tr w:rsidR="00651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14EF" w:rsidRDefault="00DD50AA">
            <w:pPr>
              <w:pStyle w:val="ProductList-TableBody"/>
            </w:pPr>
            <w:r>
              <w:rPr>
                <w:color w:val="FFFFFF"/>
              </w:rPr>
              <w:t>Jährliche Mindestpunktanzahl pro Pool</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500</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4,000</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10,000</w:t>
            </w:r>
          </w:p>
        </w:tc>
      </w:tr>
      <w:tr w:rsidR="006514EF">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514EF" w:rsidRDefault="00DD50AA">
            <w:pPr>
              <w:pStyle w:val="ProductList-TableBody"/>
            </w:pPr>
            <w:r>
              <w:t>25,000</w:t>
            </w:r>
          </w:p>
        </w:tc>
      </w:tr>
    </w:tbl>
    <w:p w:rsidR="006514EF" w:rsidRDefault="00DD50AA">
      <w:pPr>
        <w:pStyle w:val="ProductList-Offering1Heading"/>
        <w:outlineLvl w:val="1"/>
      </w:pPr>
      <w:bookmarkStart w:id="408" w:name="_Sec569"/>
      <w:r>
        <w:t>Definition von Verwaltung für Qualifizierte Geräte</w:t>
      </w:r>
      <w:bookmarkEnd w:id="408"/>
      <w:r>
        <w:fldChar w:fldCharType="begin"/>
      </w:r>
      <w:r>
        <w:instrText xml:space="preserve"> TC "</w:instrText>
      </w:r>
      <w:bookmarkStart w:id="409" w:name="_Toc439056384"/>
      <w:r>
        <w:instrText>Definition von Verwaltung für Qualifizierte Geräte</w:instrText>
      </w:r>
      <w:bookmarkEnd w:id="409"/>
      <w:r>
        <w:instrText>" \l 2</w:instrText>
      </w:r>
      <w:r>
        <w:fldChar w:fldCharType="end"/>
      </w:r>
    </w:p>
    <w:p w:rsidR="006514EF" w:rsidRDefault="00DD50AA">
      <w:pPr>
        <w:pStyle w:val="ProductList-Body"/>
      </w:pPr>
      <w:r>
        <w:t xml:space="preserve">Wenn der Volumenlizenzvertrag eines Kunden für die Definition von verwalteten Qualifizierten Geräten auf die Produktbestimmungen oder die PUR verweist, gelten die folgenden Bestimmungen. Der Kunde </w:t>
      </w:r>
      <w:r>
        <w:t xml:space="preserve">„verwaltet“ Geräte, auf denen er eine oder mehrere Betriebssystemumgebungen direkt oder indirekt kontrolliert. Beispielsweise verwaltet der Kunde Geräte: </w:t>
      </w:r>
    </w:p>
    <w:p w:rsidR="006514EF" w:rsidRDefault="00DD50AA">
      <w:pPr>
        <w:pStyle w:val="ProductList-Bullet"/>
        <w:numPr>
          <w:ilvl w:val="0"/>
          <w:numId w:val="54"/>
        </w:numPr>
      </w:pPr>
      <w:r>
        <w:t>denen er den Beitritt zu seiner Domäne erlaubt oder</w:t>
      </w:r>
    </w:p>
    <w:p w:rsidR="006514EF" w:rsidRDefault="00DD50AA">
      <w:pPr>
        <w:pStyle w:val="ProductList-Bullet"/>
        <w:numPr>
          <w:ilvl w:val="0"/>
          <w:numId w:val="54"/>
        </w:numPr>
      </w:pPr>
      <w:r>
        <w:t>die er als Voraussetzung für die Verwendung von A</w:t>
      </w:r>
      <w:r>
        <w:t>nwendungen in seinen Geschäftsräumen authentifiziert oder</w:t>
      </w:r>
    </w:p>
    <w:p w:rsidR="006514EF" w:rsidRDefault="00DD50AA">
      <w:pPr>
        <w:pStyle w:val="ProductList-Bullet"/>
        <w:numPr>
          <w:ilvl w:val="0"/>
          <w:numId w:val="54"/>
        </w:numPr>
      </w:pPr>
      <w:r>
        <w:t>auf denen er Agents installiert (z. B. Antiviren-, Antimalware- oder sonstige Agents, die durch die Richtlinie des Kunden vorgeschrieben sind) oder</w:t>
      </w:r>
    </w:p>
    <w:p w:rsidR="006514EF" w:rsidRDefault="00DD50AA">
      <w:pPr>
        <w:pStyle w:val="ProductList-Bullet"/>
        <w:numPr>
          <w:ilvl w:val="0"/>
          <w:numId w:val="54"/>
        </w:numPr>
      </w:pPr>
      <w:r>
        <w:t>auf die er direkt oder indirekt Gruppenrichtlinien</w:t>
      </w:r>
      <w:r>
        <w:t xml:space="preserve"> anwendet oder auf denen er diese durchsetzt oder</w:t>
      </w:r>
    </w:p>
    <w:p w:rsidR="006514EF" w:rsidRDefault="00DD50AA">
      <w:pPr>
        <w:pStyle w:val="ProductList-Bullet"/>
        <w:numPr>
          <w:ilvl w:val="0"/>
          <w:numId w:val="54"/>
        </w:numPr>
      </w:pPr>
      <w:r>
        <w:t>auf denen er Daten zu Hardware oder Software, die direkt oder indirekt mit einer Betriebssystemumgebung im Zusammenhang steht, anfordert oder erhält, diese Hardware oder Software konfiguriert oder Anweisung</w:t>
      </w:r>
      <w:r>
        <w:t>en dazu gibt oder</w:t>
      </w:r>
    </w:p>
    <w:p w:rsidR="006514EF" w:rsidRDefault="00DD50AA">
      <w:pPr>
        <w:pStyle w:val="ProductList-Bullet"/>
        <w:numPr>
          <w:ilvl w:val="0"/>
          <w:numId w:val="54"/>
        </w:numPr>
      </w:pPr>
      <w:r>
        <w:t>denen er den Zugriff auf eine Virtual Desktop-Infrastruktur (VDI) außerhalb von Windows SA, Microsoft Intune (Gerät) oder Windows Virtual Desktop Access-Roamingrechten erlaubt.</w:t>
      </w:r>
    </w:p>
    <w:p w:rsidR="006514EF" w:rsidRDefault="006514EF">
      <w:pPr>
        <w:pStyle w:val="ProductList-Body"/>
      </w:pPr>
    </w:p>
    <w:p w:rsidR="006514EF" w:rsidRDefault="00DD50AA">
      <w:pPr>
        <w:pStyle w:val="ProductList-Body"/>
      </w:pPr>
      <w:r>
        <w:t>Ein Gerät, das unter Roamingrechten auf eine VDI zugreift od</w:t>
      </w:r>
      <w:r>
        <w:t>er Windows To Go auf einem Qualifizierenden Gerät Dritter nur außerhalb der Geschäftsräume des Kunden nutzt und nicht für andere Zwecke als die in diesem Dokument beschriebenen verwaltet wird, gilt nicht als „verwaltet“ im Sinne dieser Definition.</w:t>
      </w:r>
    </w:p>
    <w:p w:rsidR="006514EF" w:rsidRDefault="00DD50AA">
      <w:pPr>
        <w:pStyle w:val="ProductList-Offering1Heading"/>
        <w:outlineLvl w:val="1"/>
      </w:pPr>
      <w:bookmarkStart w:id="410" w:name="_Sec570"/>
      <w:r>
        <w:t>Onlinedi</w:t>
      </w:r>
      <w:r>
        <w:t>enste in den Open-Programmen</w:t>
      </w:r>
      <w:bookmarkEnd w:id="410"/>
      <w:r>
        <w:fldChar w:fldCharType="begin"/>
      </w:r>
      <w:r>
        <w:instrText xml:space="preserve"> TC "</w:instrText>
      </w:r>
      <w:bookmarkStart w:id="411" w:name="_Toc439056385"/>
      <w:r>
        <w:instrText>Onlinedienste in den Open-Programmen</w:instrText>
      </w:r>
      <w:bookmarkEnd w:id="411"/>
      <w:r>
        <w:instrText>" \l 2</w:instrText>
      </w:r>
      <w:r>
        <w:fldChar w:fldCharType="end"/>
      </w:r>
    </w:p>
    <w:p w:rsidR="006514EF" w:rsidRDefault="00DD50AA">
      <w:pPr>
        <w:pStyle w:val="ProductList-Body"/>
      </w:pPr>
      <w:r>
        <w:t>Unter den Open License-, Open Value- und Open Value Subscription-Programmen beginnt der Abonnementzeitraum für Onlinedienste mit der Aktivierung des Product Keys, und nicht zum Z</w:t>
      </w:r>
      <w:r>
        <w:t>eitpunkt der Bestellung. Nach der Aktivierung des Product Key wird Microsoft von ihren Partnern eingereichte Rückgabeanträge abweisen.</w:t>
      </w:r>
    </w:p>
    <w:p w:rsidR="006514EF" w:rsidRDefault="006514EF">
      <w:pPr>
        <w:pStyle w:val="ProductList-Body"/>
      </w:pPr>
    </w:p>
    <w:p w:rsidR="006514EF" w:rsidRDefault="00DD50AA">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w:t>
      </w:r>
      <w:r>
        <w:t>ie Mindestanforderung für die organisationsweite Option von Open Value und für Open Value Subscription. Für die organisationsweite OV-Option und OV Subscription muss die Anfangsbestellung zusätzlich zu Nutzer-ALs mindestens fünf Desktop-Plattform- oder Des</w:t>
      </w:r>
      <w:r>
        <w:t>ktopkomponenten-Lizenzen umfassen.</w:t>
      </w:r>
    </w:p>
    <w:p w:rsidR="006514EF" w:rsidRDefault="00DD50AA">
      <w:pPr>
        <w:pStyle w:val="ProductList-Offering1Heading"/>
        <w:outlineLvl w:val="1"/>
      </w:pPr>
      <w:bookmarkStart w:id="412" w:name="_Sec571"/>
      <w:r>
        <w:t>Ergänzende Bestimmungen für Professional Services – Vorgängerverträge</w:t>
      </w:r>
      <w:bookmarkEnd w:id="412"/>
      <w:r>
        <w:fldChar w:fldCharType="begin"/>
      </w:r>
      <w:r>
        <w:instrText xml:space="preserve"> TC "</w:instrText>
      </w:r>
      <w:bookmarkStart w:id="413" w:name="_Toc439056386"/>
      <w:r>
        <w:instrText>Ergänzende Bestimmungen für Professional Services – Vorgängerverträge</w:instrText>
      </w:r>
      <w:bookmarkEnd w:id="413"/>
      <w:r>
        <w:instrText>" \l 2</w:instrText>
      </w:r>
      <w:r>
        <w:fldChar w:fldCharType="end"/>
      </w:r>
    </w:p>
    <w:p w:rsidR="006514EF" w:rsidRDefault="00DD50AA">
      <w:pPr>
        <w:pStyle w:val="ProductList-Body"/>
      </w:pPr>
      <w:r>
        <w:t>Das Recht des Kunden, aufgrund dieser Produktbestimmungen erworbene u</w:t>
      </w:r>
      <w:r>
        <w:t>nd von Microsoft erbrachte Beratungs- und Supportservices („Professional Services“) zu nutzen, hängt (1) vom Volumenlizenzvertrag des Kunden und (2) sonstigen Microsoft-Rahmen-Service-Verträgen ab, die zum Zeitpunkt des Erwerbs für den Kunden gelten. Im Fa</w:t>
      </w:r>
      <w:r>
        <w:t>lle eines Widerspruchs hat der aktuelle Professional Services-Vertrag Vorrang. Falls es sich beim Rahmenvertrag des Kunden für Volumenlizenzen um einen Microsoft Business-Vertrag von vor September 2007 handelt oder der Rahmenvertrag aus anderen Gründen kei</w:t>
      </w:r>
      <w:r>
        <w:t>ne Bestimmungen für Professional Services enthält, und der Kunde noch keine andere Microsoft-Rahmen-Servicevereinbarung unterzeichnet hat, gelten die folgenden ergänzenden Bestimmungen für alle vom Kunden erworbenen und genutzten Professional Services.</w:t>
      </w:r>
    </w:p>
    <w:p w:rsidR="006514EF" w:rsidRDefault="006514EF">
      <w:pPr>
        <w:pStyle w:val="ProductList-Body"/>
      </w:pPr>
    </w:p>
    <w:p w:rsidR="006514EF" w:rsidRDefault="00DD50AA">
      <w:pPr>
        <w:pStyle w:val="ProductList-ClauseHeading"/>
        <w:outlineLvl w:val="2"/>
      </w:pPr>
      <w:r>
        <w:t>Nu</w:t>
      </w:r>
      <w:r>
        <w:t>tzungsrechte, Eigentum und Lizenzrechte</w:t>
      </w:r>
    </w:p>
    <w:p w:rsidR="006514EF" w:rsidRDefault="00DD50AA">
      <w:pPr>
        <w:pStyle w:val="ProductList-SubClauseHeading"/>
        <w:outlineLvl w:val="3"/>
      </w:pPr>
      <w:r>
        <w:t>Fixes</w:t>
      </w:r>
    </w:p>
    <w:p w:rsidR="006514EF" w:rsidRDefault="00DD50AA">
      <w:pPr>
        <w:pStyle w:val="ProductList-BodyIndented"/>
      </w:pPr>
      <w:r>
        <w:t>Wenn Microsoft Produktfixes, Änderungen oder Verbesserungen oder Bearbeitungen davon, die entweder allgemein herausgegeben werden (wie z. B. Service Packs für Produkte) oder mit denen bestimmte Probleme von Kun</w:t>
      </w:r>
      <w:r>
        <w:t>den behoben werden sollen (zusammen „Fixes“), werden solche Fixes unter denselben Bestimmungen wie das Produkt, zu denen sie gehören, lizenziert. Wenn die Fixes nicht für ein bestimmtes Produkt bereitgestellt werden, gelten alle Bestimmungen, die Microsoft</w:t>
      </w:r>
      <w:r>
        <w:t xml:space="preserve"> zusammen mit den Fixes bereitstellt.</w:t>
      </w:r>
    </w:p>
    <w:p w:rsidR="006514EF" w:rsidRDefault="006514EF">
      <w:pPr>
        <w:pStyle w:val="ProductList-BodyIndented"/>
      </w:pPr>
    </w:p>
    <w:p w:rsidR="006514EF" w:rsidRDefault="00DD50AA">
      <w:pPr>
        <w:pStyle w:val="ProductList-SubClauseHeading"/>
        <w:outlineLvl w:val="3"/>
      </w:pPr>
      <w:r>
        <w:t>Vorbestehende Werke</w:t>
      </w:r>
    </w:p>
    <w:p w:rsidR="006514EF" w:rsidRDefault="00DD50AA">
      <w:pPr>
        <w:pStyle w:val="ProductList-BodyIndented"/>
      </w:pPr>
      <w:r>
        <w:t>Sämtliche Rechte an Computercode oder an nicht codebasierten schriftlichen Materialien, die unabhängig von den an den Kunden erbrachten Professional Services entwickelt oder auf andere Weise erlang</w:t>
      </w:r>
      <w:r>
        <w:t>t wurden („Vorbestehende Werke“), verbleiben allein bei derjenigen Partei, die die Vorbestehenden Werke jeweils bereitstellt. Jede Partei ist berechtigt, die Vorbestehenden Werke der jeweils anderen Partei zu verwenden, zu vervielfältigen und zu ändern, so</w:t>
      </w:r>
      <w:r>
        <w:t>fern dies für die Erfüllung der Verpflichtungen im Zusammenhang mit Professional Services notwendig ist.</w:t>
      </w:r>
    </w:p>
    <w:p w:rsidR="006514EF" w:rsidRDefault="00DD50AA">
      <w:pPr>
        <w:pStyle w:val="ProductList-BodyIndented"/>
      </w:pPr>
      <w:r>
        <w:t>Sofern von den Parteien nicht ausdrücklich etwas anderes schriftlich vereinbart wird, gewährt Microsoft dem Kunden nach vollständiger Bezahlung eine ni</w:t>
      </w:r>
      <w:r>
        <w:t>cht ausschließliche, zeitlich unbeschränkte, kostenlose Lizenz zur Nutzung, Vervielfältigung und Bearbeitung (soweit einschlägig) der Vorbestehenden Werke von Microsoft, die als Teil der Arbeitsergebnisse bereitgestellt werden, jedoch lediglich in der Form</w:t>
      </w:r>
      <w:r>
        <w:t xml:space="preserve">, wie sie dem Kunden zur Verfügung gestellt werden, und ausschließlich zu seinen internen Geschäftszwecken. Die Lizenz an den Vorbestehenden Werken von Microsoft ist bedingt durch die Einhaltung der Bestimmungen des Volumenlizenzvertrages des Kunden durch </w:t>
      </w:r>
      <w:r>
        <w:t>den Kunden.</w:t>
      </w:r>
    </w:p>
    <w:p w:rsidR="006514EF" w:rsidRDefault="006514EF">
      <w:pPr>
        <w:pStyle w:val="ProductList-BodyIndented"/>
      </w:pPr>
    </w:p>
    <w:p w:rsidR="006514EF" w:rsidRDefault="00DD50AA">
      <w:pPr>
        <w:pStyle w:val="ProductList-SubClauseHeading"/>
        <w:outlineLvl w:val="3"/>
      </w:pPr>
      <w:r>
        <w:t>Arbeitsergebnisse</w:t>
      </w:r>
    </w:p>
    <w:p w:rsidR="006514EF" w:rsidRDefault="00DD50AA">
      <w:pPr>
        <w:pStyle w:val="ProductList-BodyIndented"/>
      </w:pPr>
      <w:r>
        <w:t>Jeglicher Computercode oder jegliche Materialien (mit Ausnahme von Produkten oder Fixes), den bzw. die Microsoft dem Kunden bei Abschluss der von Microsoft zu erbringenden Professional Services überlässt, werden als Arbeitser</w:t>
      </w:r>
      <w:r>
        <w:t>gebnisse angesehen. Nach vollständiger Bezahlung der Professional Services gewährt Microsoft dem Kunden eine nicht ausschließliche, nicht übertragbare, zeitlich unbeschränkte Lizenz zur Vervielfältigung, Nutzung und Bearbeitung der Arbeitsergebnisse nur fü</w:t>
      </w:r>
      <w:r>
        <w:t xml:space="preserve">r interne Geschäftszwecke des Kunden, vorbehaltlich der Bestimmungen, denen die Professional Services und der Volumenlizenzvertrag des Kunden unterliegen. </w:t>
      </w:r>
    </w:p>
    <w:p w:rsidR="006514EF" w:rsidRDefault="006514EF">
      <w:pPr>
        <w:pStyle w:val="ProductList-BodyIndented"/>
      </w:pPr>
    </w:p>
    <w:p w:rsidR="006514EF" w:rsidRDefault="00DD50AA">
      <w:pPr>
        <w:pStyle w:val="ProductList-SubClauseHeading"/>
        <w:outlineLvl w:val="3"/>
      </w:pPr>
      <w:r>
        <w:t>Verwendung technischer Informationen von Professional Services</w:t>
      </w:r>
    </w:p>
    <w:p w:rsidR="006514EF" w:rsidRDefault="00DD50AA">
      <w:pPr>
        <w:pStyle w:val="ProductList-BodyIndented"/>
      </w:pPr>
      <w:r>
        <w:t>Microsoft ist berechtigt, technische</w:t>
      </w:r>
      <w:r>
        <w:t xml:space="preserve"> Informationen, die Microsoft im Rahmen der erbrachten Professional Services erhält, für Problemlösung, Troubleshooting, Erweiterungen von Produktfunktionalitäten, in Fixes sowie für die Knowledge Base von Microsoft zu nutzen. Microsoft verpflichtet sich, </w:t>
      </w:r>
      <w:r>
        <w:t xml:space="preserve">im Rahmen einer solchen Nutzung den Kunden nicht zu identifizieren und keine Vertraulichen Informationen des Kunden offenzulegen. </w:t>
      </w:r>
    </w:p>
    <w:p w:rsidR="006514EF" w:rsidRDefault="006514EF">
      <w:pPr>
        <w:pStyle w:val="ProductList-BodyIndented"/>
      </w:pPr>
    </w:p>
    <w:p w:rsidR="006514EF" w:rsidRDefault="00DD50AA">
      <w:pPr>
        <w:pStyle w:val="ProductList-SubClauseHeading"/>
        <w:outlineLvl w:val="3"/>
      </w:pPr>
      <w:r>
        <w:t>Open Source-Lizenzbeschränkungen</w:t>
      </w:r>
    </w:p>
    <w:p w:rsidR="006514EF" w:rsidRDefault="00DD50AA">
      <w:pPr>
        <w:pStyle w:val="ProductList-BodyIndented"/>
      </w:pPr>
      <w:r>
        <w:t>Dem Kunden ist es untersagt, nicht von Microsoft stammende Software oder Technologie in ein</w:t>
      </w:r>
      <w:r>
        <w:t>er Weise zu installieren oder zu nutzen, durch die das geistige Eigentum von Microsoft Verpflichtungen unterworfen werden würde, die über die in den Bestimmungen der Professional Services oder der Volumenlizenzvereinbarung des Kunden enthaltenen Verpflicht</w:t>
      </w:r>
      <w:r>
        <w:t>ungen hinausgehen würden.</w:t>
      </w:r>
    </w:p>
    <w:p w:rsidR="006514EF" w:rsidRDefault="006514EF">
      <w:pPr>
        <w:pStyle w:val="ProductList-BodyIndented"/>
      </w:pPr>
    </w:p>
    <w:p w:rsidR="006514EF" w:rsidRDefault="00DD50AA">
      <w:pPr>
        <w:pStyle w:val="ProductList-SubClauseHeading"/>
        <w:outlineLvl w:val="3"/>
      </w:pPr>
      <w:r>
        <w:t>Rechte von Verbundenen Unternehmen</w:t>
      </w:r>
    </w:p>
    <w:p w:rsidR="006514EF" w:rsidRDefault="00DD50AA">
      <w:pPr>
        <w:pStyle w:val="ProductList-BodyIndented"/>
      </w:pPr>
      <w:r>
        <w:t>Der Kunde kann seinen verbundenen Unternehmen Unterlizenzen an den Rechten zur Nutzung von Arbeitsergebnissen erteilen. Seine verbundenen Unternehmen sind jedoch nicht berechtigt, diese Rechte u</w:t>
      </w:r>
      <w:r>
        <w:t>nterzulizenzieren. Der Kunde hat die Einhaltung der Bestimmungen der Professional Services und der Volumenlizenzvereinbarung des Kunden seitens seiner Verbundenen Unternehmen sicherzustellen.</w:t>
      </w:r>
    </w:p>
    <w:p w:rsidR="006514EF" w:rsidRDefault="006514EF">
      <w:pPr>
        <w:pStyle w:val="ProductList-BodyIndented"/>
      </w:pPr>
    </w:p>
    <w:p w:rsidR="006514EF" w:rsidRDefault="00DD50AA">
      <w:pPr>
        <w:pStyle w:val="ProductList-ClauseHeading"/>
        <w:outlineLvl w:val="2"/>
      </w:pPr>
      <w:r>
        <w:t>Gewährleistungen und Haftungsbeschränkung</w:t>
      </w:r>
    </w:p>
    <w:p w:rsidR="006514EF" w:rsidRDefault="00DD50AA">
      <w:pPr>
        <w:pStyle w:val="ProductList-SubClauseHeading"/>
        <w:outlineLvl w:val="3"/>
      </w:pPr>
      <w:r>
        <w:t>Gewährleistung für Pr</w:t>
      </w:r>
      <w:r>
        <w:t>ofessional Services</w:t>
      </w:r>
    </w:p>
    <w:p w:rsidR="006514EF" w:rsidRDefault="00DD50AA">
      <w:pPr>
        <w:pStyle w:val="ProductList-BodyIndented"/>
      </w:pPr>
      <w:r>
        <w:t>Microsoft gewährleistet, dass Microsoft Professional Services mit professioneller Sorgfalt und Kenntnis erbringen wird. Wenn Microsoft diese Gewährleistung nicht erfüllt und der Kunde Microsoft innerhalb von 90 Tagen ab dem Datum der Er</w:t>
      </w:r>
      <w:r>
        <w:t>bringung der Services benachrichtigt, wird Microsoft entweder die Professional Services erneut erbringen oder den vom Kunden für sie bezahlten Preis zurückerstatten; dies ist der einzige Abhilfeanspruch im alle Falle eines Verstoßes gegen die Gewährleistun</w:t>
      </w:r>
      <w:r>
        <w:t xml:space="preserve">g. </w:t>
      </w:r>
      <w:r>
        <w:rPr>
          <w:b/>
        </w:rPr>
        <w:t xml:space="preserve">Mit Ausnahme der oben dargelegten beschränkten Gewährleistung übernimmt Microsoft keine anderen Gewährleistungen oder Garantien und schließt alle anderen ausdrücklichen, konkludenten oder gesetzlichen Gewährleistungen oder Garantien, wie beispielsweise </w:t>
      </w:r>
      <w:r>
        <w:rPr>
          <w:b/>
        </w:rPr>
        <w:t>Gewährleistungen oder Garantien der Qualität, des Eigentums, der Nichtverletzung von Rechten Dritter, der Handelsüblichkeit oder der Eignung für einen bestimmten Zweck aus.</w:t>
      </w:r>
    </w:p>
    <w:p w:rsidR="006514EF" w:rsidRDefault="006514EF">
      <w:pPr>
        <w:pStyle w:val="ProductList-BodyIndented"/>
      </w:pPr>
    </w:p>
    <w:p w:rsidR="006514EF" w:rsidRDefault="00DD50AA">
      <w:pPr>
        <w:pStyle w:val="ProductList-SubClauseHeading"/>
        <w:outlineLvl w:val="3"/>
      </w:pPr>
      <w:r>
        <w:t>Haftungsbeschränkung</w:t>
      </w:r>
    </w:p>
    <w:p w:rsidR="006514EF" w:rsidRDefault="00DD50AA">
      <w:pPr>
        <w:pStyle w:val="ProductList-BodyIndented"/>
      </w:pPr>
      <w:r>
        <w:t>Die Haftung von Microsoft für direkte Schäden ist auf die Beträge, die der Kunde für die Professional Services zahlen musste, beschränkt. Im Fall von kostenlos bereitgestellten Services oder im Fall von Code, den der Kunde ohne gesonderte Zahlung an Micros</w:t>
      </w:r>
      <w:r>
        <w:t xml:space="preserve">oft an Dritte weitervertreiben darf, ist die Haftung von Microsoft auf direkte Schäden bis zu 5.000 US-Dollar begrenzt. </w:t>
      </w:r>
      <w:r>
        <w:rPr>
          <w:b/>
        </w:rPr>
        <w:t>Die Parteien haften in keinem Fall und unabhängig von der Haftungsgrundlage für aus beliebigem Grund entstandene indirekte, zufällige od</w:t>
      </w:r>
      <w:r>
        <w:rPr>
          <w:b/>
        </w:rPr>
        <w:t>er spezielle Schäden, Strafschadenersatz oder Folgeschäden in Zusammenhang mit den Professional Services, einschließlich Schäden aus entgangener Nutzung, entgangenen Gewinnen oder Geschäftsunterbrechungen. Für die Haftung beider Parteien für Verletzungen v</w:t>
      </w:r>
      <w:r>
        <w:rPr>
          <w:b/>
        </w:rPr>
        <w:t>on (1) Vertraulichkeitsverpflichtungen oder von (2) Urheberrechten/gewerblichen Schutzrechten der jeweils anderen Partei gelten keinerlei Beschränkungen oder Ausschlüsse.</w:t>
      </w:r>
    </w:p>
    <w:p w:rsidR="006514EF" w:rsidRDefault="006514EF">
      <w:pPr>
        <w:pStyle w:val="ProductList-BodyIndented"/>
        <w:jc w:val="right"/>
      </w:pPr>
    </w:p>
    <w:tbl>
      <w:tblPr>
        <w:tblStyle w:val="PURTable0"/>
        <w:tblW w:w="0" w:type="dxa"/>
        <w:tblLook w:val="04A0" w:firstRow="1" w:lastRow="0" w:firstColumn="1" w:lastColumn="0" w:noHBand="0" w:noVBand="1"/>
      </w:tblPr>
      <w:tblGrid>
        <w:gridCol w:w="1044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Indented"/>
      </w:pPr>
    </w:p>
    <w:p w:rsidR="006514EF" w:rsidRDefault="00DD50AA">
      <w:pPr>
        <w:pStyle w:val="ProductList-SectionHeading"/>
        <w:pageBreakBefore/>
        <w:outlineLvl w:val="0"/>
      </w:pPr>
      <w:bookmarkStart w:id="414" w:name="_Sec572"/>
      <w:bookmarkEnd w:id="404"/>
      <w:r>
        <w:t>Anhang E – Promotions</w:t>
      </w:r>
      <w:r>
        <w:fldChar w:fldCharType="begin"/>
      </w:r>
      <w:r>
        <w:instrText xml:space="preserve"> TC "</w:instrText>
      </w:r>
      <w:bookmarkStart w:id="415" w:name="_Toc439056387"/>
      <w:r>
        <w:instrText>Anhang E – Promotions</w:instrText>
      </w:r>
      <w:bookmarkEnd w:id="415"/>
      <w:r>
        <w:instrText>" \l 1</w:instrText>
      </w:r>
      <w:r>
        <w:fldChar w:fldCharType="end"/>
      </w:r>
    </w:p>
    <w:p w:rsidR="006514EF" w:rsidRDefault="00DD50AA">
      <w:pPr>
        <w:pStyle w:val="ProductList-OfferingGroupHeading"/>
        <w:outlineLvl w:val="1"/>
      </w:pPr>
      <w:bookmarkStart w:id="416" w:name="_Sec867"/>
      <w:r>
        <w:t>Promotion für System Center Client Management Suite</w:t>
      </w:r>
      <w:bookmarkEnd w:id="416"/>
      <w:r>
        <w:fldChar w:fldCharType="begin"/>
      </w:r>
      <w:r>
        <w:instrText xml:space="preserve"> TC "</w:instrText>
      </w:r>
      <w:bookmarkStart w:id="417" w:name="_Toc439056388"/>
      <w:r>
        <w:instrText>Promotion für System Center Client Management Suite</w:instrText>
      </w:r>
      <w:bookmarkEnd w:id="417"/>
      <w:r>
        <w:instrText>" \l 2</w:instrText>
      </w:r>
      <w:r>
        <w:fldChar w:fldCharType="end"/>
      </w:r>
    </w:p>
    <w:p w:rsidR="006514EF" w:rsidRDefault="00DD50AA">
      <w:pPr>
        <w:pStyle w:val="ProductList-Body"/>
      </w:pPr>
      <w:r>
        <w:t>Die Berechtigung zur Nutzung der System Center C</w:t>
      </w:r>
      <w:r>
        <w:t>lient Management Suite ist in allen Lizenzen für Enterprise CAL Suite und Enterprise CAL Suite Bridge für Office 365 (mit oder ohne Microsoft Intune) enthalten, die bis zum 31. Dezember 2016 bestellt werden.</w:t>
      </w:r>
    </w:p>
    <w:p w:rsidR="006514EF" w:rsidRDefault="00DD50AA">
      <w:pPr>
        <w:pStyle w:val="ProductList-OfferingGroupHeading"/>
        <w:outlineLvl w:val="1"/>
      </w:pPr>
      <w:bookmarkStart w:id="418" w:name="_Sec871"/>
      <w:r>
        <w:t>Azure Compute Capacity Promotion</w:t>
      </w:r>
      <w:bookmarkEnd w:id="418"/>
      <w:r>
        <w:fldChar w:fldCharType="begin"/>
      </w:r>
      <w:r>
        <w:instrText xml:space="preserve"> TC "</w:instrText>
      </w:r>
      <w:bookmarkStart w:id="419" w:name="_Toc439056389"/>
      <w:r>
        <w:instrText>Azure Compu</w:instrText>
      </w:r>
      <w:r>
        <w:instrText>te Capacity Promotion</w:instrText>
      </w:r>
      <w:bookmarkEnd w:id="419"/>
      <w:r>
        <w:instrText>" \l 2</w:instrText>
      </w:r>
      <w:r>
        <w:fldChar w:fldCharType="end"/>
      </w:r>
    </w:p>
    <w:p w:rsidR="006514EF" w:rsidRDefault="00DD50AA">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w:t>
      </w:r>
      <w:r>
        <w:t>der Kunde die Instanzen nach dem Konzernvertrag im letzten Jahr eines Beitritts, so können etwaige bei der Beendigung verbleibende Ansprüche auf einen rechtzeitig verlängerten Beitritt übertragen werden. Wird der Beitritt nicht rechtzeitig verlängert, so v</w:t>
      </w:r>
      <w:r>
        <w:t xml:space="preserve">erfallen alle verbleibenden Ansprüche des Kunden. </w:t>
      </w:r>
    </w:p>
    <w:p w:rsidR="006514EF" w:rsidRDefault="006514EF">
      <w:pPr>
        <w:pStyle w:val="ProductList-Body"/>
        <w:jc w:val="right"/>
      </w:pPr>
    </w:p>
    <w:tbl>
      <w:tblPr>
        <w:tblStyle w:val="PURTable"/>
        <w:tblW w:w="0" w:type="dxa"/>
        <w:tblLook w:val="04A0" w:firstRow="1" w:lastRow="0" w:firstColumn="1" w:lastColumn="0" w:noHBand="0" w:noVBand="1"/>
      </w:tblPr>
      <w:tblGrid>
        <w:gridCol w:w="10800"/>
      </w:tblGrid>
      <w:tr w:rsidR="00651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14EF" w:rsidRDefault="00DD50AA">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6514EF" w:rsidRDefault="006514EF">
      <w:pPr>
        <w:pStyle w:val="ProductList-Body"/>
      </w:pPr>
    </w:p>
    <w:p w:rsidR="006514EF" w:rsidRDefault="006514EF">
      <w:pPr>
        <w:sectPr w:rsidR="006514EF">
          <w:headerReference w:type="default" r:id="rId143"/>
          <w:footerReference w:type="default" r:id="rId144"/>
          <w:type w:val="continuous"/>
          <w:pgSz w:w="12240" w:h="15840" w:code="1"/>
          <w:pgMar w:top="1170" w:right="720" w:bottom="720" w:left="720" w:header="432" w:footer="288" w:gutter="0"/>
          <w:cols w:space="360"/>
        </w:sectPr>
      </w:pPr>
    </w:p>
    <w:bookmarkEnd w:id="414"/>
    <w:p w:rsidR="006514EF" w:rsidRDefault="00DD50AA">
      <w:pPr>
        <w:pStyle w:val="ProductList-SectionHeading"/>
        <w:pageBreakBefore/>
        <w:outlineLvl w:val="0"/>
      </w:pPr>
      <w:r>
        <w:t>Index</w:t>
      </w:r>
      <w:r>
        <w:fldChar w:fldCharType="begin"/>
      </w:r>
      <w:r>
        <w:instrText xml:space="preserve"> TC "</w:instrText>
      </w:r>
      <w:bookmarkStart w:id="420" w:name="_Toc439056390"/>
      <w:r>
        <w:instrText>Index</w:instrText>
      </w:r>
      <w:bookmarkEnd w:id="420"/>
      <w:r>
        <w:instrText>" \l 1</w:instrText>
      </w:r>
      <w:r>
        <w:fldChar w:fldCharType="end"/>
      </w:r>
    </w:p>
    <w:p w:rsidR="006514EF" w:rsidRDefault="006514EF">
      <w:pPr>
        <w:pStyle w:val="ProductList-Body"/>
      </w:pPr>
    </w:p>
    <w:p w:rsidR="006514EF" w:rsidRDefault="006514EF">
      <w:pPr>
        <w:sectPr w:rsidR="006514EF">
          <w:headerReference w:type="default" r:id="rId145"/>
          <w:footerReference w:type="default" r:id="rId146"/>
          <w:type w:val="continuous"/>
          <w:pgSz w:w="12240" w:h="15840" w:code="1"/>
          <w:pgMar w:top="1170" w:right="720" w:bottom="720" w:left="720" w:header="432" w:footer="288" w:gutter="0"/>
          <w:cols w:space="360"/>
        </w:sectPr>
      </w:pPr>
    </w:p>
    <w:p w:rsidR="00B47E3D" w:rsidRDefault="00DD50AA">
      <w:pPr>
        <w:pStyle w:val="ProductList-Body"/>
        <w:rPr>
          <w:noProof/>
        </w:rPr>
        <w:sectPr w:rsidR="00B47E3D" w:rsidSect="00B47E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47E3D" w:rsidRDefault="00B47E3D">
      <w:pPr>
        <w:pStyle w:val="Index1"/>
        <w:tabs>
          <w:tab w:val="right" w:pos="5030"/>
        </w:tabs>
        <w:rPr>
          <w:noProof/>
        </w:rPr>
      </w:pPr>
      <w:r>
        <w:rPr>
          <w:noProof/>
        </w:rPr>
        <w:t>Access 2016, 23</w:t>
      </w:r>
    </w:p>
    <w:p w:rsidR="00B47E3D" w:rsidRDefault="00B47E3D">
      <w:pPr>
        <w:pStyle w:val="Index1"/>
        <w:tabs>
          <w:tab w:val="right" w:pos="5030"/>
        </w:tabs>
        <w:rPr>
          <w:noProof/>
        </w:rPr>
      </w:pPr>
      <w:r>
        <w:rPr>
          <w:noProof/>
        </w:rPr>
        <w:t>Add-On CAL Suite für Windows Small Business Server 2011 Premium, 51</w:t>
      </w:r>
    </w:p>
    <w:p w:rsidR="00B47E3D" w:rsidRDefault="00B47E3D">
      <w:pPr>
        <w:pStyle w:val="Index1"/>
        <w:tabs>
          <w:tab w:val="right" w:pos="5030"/>
        </w:tabs>
        <w:rPr>
          <w:noProof/>
        </w:rPr>
      </w:pPr>
      <w:r>
        <w:rPr>
          <w:noProof/>
        </w:rPr>
        <w:t>Add-On für Azure-Rechteverwaltung, 64</w:t>
      </w:r>
    </w:p>
    <w:p w:rsidR="00B47E3D" w:rsidRDefault="00B47E3D">
      <w:pPr>
        <w:pStyle w:val="Index1"/>
        <w:tabs>
          <w:tab w:val="right" w:pos="5030"/>
        </w:tabs>
        <w:rPr>
          <w:noProof/>
        </w:rPr>
      </w:pPr>
      <w:r>
        <w:rPr>
          <w:noProof/>
        </w:rPr>
        <w:t>Add-On für Exchange Online Plan 1, 64, 66</w:t>
      </w:r>
    </w:p>
    <w:p w:rsidR="00B47E3D" w:rsidRDefault="00B47E3D">
      <w:pPr>
        <w:pStyle w:val="Index1"/>
        <w:tabs>
          <w:tab w:val="right" w:pos="5030"/>
        </w:tabs>
        <w:rPr>
          <w:noProof/>
        </w:rPr>
      </w:pPr>
      <w:r>
        <w:rPr>
          <w:noProof/>
        </w:rPr>
        <w:t>Add-On für Lync Voice für Enterprise Cloud Suite, 58</w:t>
      </w:r>
    </w:p>
    <w:p w:rsidR="00B47E3D" w:rsidRDefault="00B47E3D">
      <w:pPr>
        <w:pStyle w:val="Index1"/>
        <w:tabs>
          <w:tab w:val="right" w:pos="5030"/>
        </w:tabs>
        <w:rPr>
          <w:noProof/>
        </w:rPr>
      </w:pPr>
      <w:r>
        <w:rPr>
          <w:noProof/>
        </w:rPr>
        <w:t>Add-On für Microsoft Intune, 59</w:t>
      </w:r>
    </w:p>
    <w:p w:rsidR="00B47E3D" w:rsidRDefault="00B47E3D">
      <w:pPr>
        <w:pStyle w:val="Index1"/>
        <w:tabs>
          <w:tab w:val="right" w:pos="5030"/>
        </w:tabs>
        <w:rPr>
          <w:noProof/>
        </w:rPr>
      </w:pPr>
      <w:r>
        <w:rPr>
          <w:noProof/>
        </w:rPr>
        <w:t>Add-On für Microsoft Social Engagement Professional EDU, 60</w:t>
      </w:r>
    </w:p>
    <w:p w:rsidR="00B47E3D" w:rsidRDefault="00B47E3D">
      <w:pPr>
        <w:pStyle w:val="Index1"/>
        <w:tabs>
          <w:tab w:val="right" w:pos="5030"/>
        </w:tabs>
        <w:rPr>
          <w:noProof/>
        </w:rPr>
      </w:pPr>
      <w:r>
        <w:rPr>
          <w:noProof/>
        </w:rPr>
        <w:t>Add-On für Office 365 Enterprise E1, E3, 63</w:t>
      </w:r>
    </w:p>
    <w:p w:rsidR="00B47E3D" w:rsidRDefault="00B47E3D">
      <w:pPr>
        <w:pStyle w:val="Index1"/>
        <w:tabs>
          <w:tab w:val="right" w:pos="5030"/>
        </w:tabs>
        <w:rPr>
          <w:noProof/>
        </w:rPr>
      </w:pPr>
      <w:r>
        <w:rPr>
          <w:noProof/>
        </w:rPr>
        <w:t>Add-On für Office 365 Enterprise E3, E4 ohne ProPlus, 63</w:t>
      </w:r>
    </w:p>
    <w:p w:rsidR="00B47E3D" w:rsidRDefault="00B47E3D">
      <w:pPr>
        <w:pStyle w:val="Index1"/>
        <w:tabs>
          <w:tab w:val="right" w:pos="5030"/>
        </w:tabs>
        <w:rPr>
          <w:noProof/>
        </w:rPr>
      </w:pPr>
      <w:r>
        <w:rPr>
          <w:noProof/>
        </w:rPr>
        <w:t>Add-On für Office 365 Enterprise E4, 63</w:t>
      </w:r>
    </w:p>
    <w:p w:rsidR="00B47E3D" w:rsidRDefault="00B47E3D">
      <w:pPr>
        <w:pStyle w:val="Index1"/>
        <w:tabs>
          <w:tab w:val="right" w:pos="5030"/>
        </w:tabs>
        <w:rPr>
          <w:noProof/>
        </w:rPr>
      </w:pPr>
      <w:r>
        <w:rPr>
          <w:noProof/>
        </w:rPr>
        <w:t>Add-On für Office 365 Enterprise E5, 63</w:t>
      </w:r>
    </w:p>
    <w:p w:rsidR="00B47E3D" w:rsidRDefault="00B47E3D">
      <w:pPr>
        <w:pStyle w:val="Index1"/>
        <w:tabs>
          <w:tab w:val="right" w:pos="5030"/>
        </w:tabs>
        <w:rPr>
          <w:noProof/>
        </w:rPr>
      </w:pPr>
      <w:r>
        <w:rPr>
          <w:noProof/>
        </w:rPr>
        <w:t>Add-On für Office 365 Midsize Business, 64</w:t>
      </w:r>
    </w:p>
    <w:p w:rsidR="00B47E3D" w:rsidRDefault="00B47E3D">
      <w:pPr>
        <w:pStyle w:val="Index1"/>
        <w:tabs>
          <w:tab w:val="right" w:pos="5030"/>
        </w:tabs>
        <w:rPr>
          <w:noProof/>
        </w:rPr>
      </w:pPr>
      <w:r>
        <w:rPr>
          <w:noProof/>
        </w:rPr>
        <w:t>Add-On für Operations Management Suite Datacenter Edition, 57</w:t>
      </w:r>
    </w:p>
    <w:p w:rsidR="00B47E3D" w:rsidRDefault="00B47E3D">
      <w:pPr>
        <w:pStyle w:val="Index1"/>
        <w:tabs>
          <w:tab w:val="right" w:pos="5030"/>
        </w:tabs>
        <w:rPr>
          <w:noProof/>
        </w:rPr>
      </w:pPr>
      <w:r>
        <w:rPr>
          <w:noProof/>
        </w:rPr>
        <w:t>Add-On für Operations Management Suite Standard Edition, 57</w:t>
      </w:r>
    </w:p>
    <w:p w:rsidR="00B47E3D" w:rsidRDefault="00B47E3D">
      <w:pPr>
        <w:pStyle w:val="Index1"/>
        <w:tabs>
          <w:tab w:val="right" w:pos="5030"/>
        </w:tabs>
        <w:rPr>
          <w:noProof/>
        </w:rPr>
      </w:pPr>
      <w:r>
        <w:rPr>
          <w:noProof/>
        </w:rPr>
        <w:t>Add-On für SharePoint Online Plan 1, 67</w:t>
      </w:r>
    </w:p>
    <w:p w:rsidR="00B47E3D" w:rsidRDefault="00B47E3D">
      <w:pPr>
        <w:pStyle w:val="Index1"/>
        <w:tabs>
          <w:tab w:val="right" w:pos="5030"/>
        </w:tabs>
        <w:rPr>
          <w:noProof/>
        </w:rPr>
      </w:pPr>
      <w:r>
        <w:rPr>
          <w:noProof/>
        </w:rPr>
        <w:t>Add-On für Skype for Business Online Plan 1, 64, 68</w:t>
      </w:r>
    </w:p>
    <w:p w:rsidR="00B47E3D" w:rsidRDefault="00B47E3D">
      <w:pPr>
        <w:pStyle w:val="Index1"/>
        <w:tabs>
          <w:tab w:val="right" w:pos="5030"/>
        </w:tabs>
        <w:rPr>
          <w:noProof/>
        </w:rPr>
      </w:pPr>
      <w:r>
        <w:rPr>
          <w:noProof/>
        </w:rPr>
        <w:t>Add-On(-AL) für Windows SA pro Nutzer, 41</w:t>
      </w:r>
    </w:p>
    <w:p w:rsidR="00B47E3D" w:rsidRDefault="00B47E3D">
      <w:pPr>
        <w:pStyle w:val="Index1"/>
        <w:tabs>
          <w:tab w:val="right" w:pos="5030"/>
        </w:tabs>
        <w:rPr>
          <w:noProof/>
        </w:rPr>
      </w:pPr>
      <w:r>
        <w:rPr>
          <w:noProof/>
        </w:rPr>
        <w:t>Advanced Threat Protection, 66</w:t>
      </w:r>
    </w:p>
    <w:p w:rsidR="00B47E3D" w:rsidRDefault="00B47E3D">
      <w:pPr>
        <w:pStyle w:val="Index1"/>
        <w:tabs>
          <w:tab w:val="right" w:pos="5030"/>
        </w:tabs>
        <w:rPr>
          <w:noProof/>
        </w:rPr>
      </w:pPr>
      <w:r>
        <w:rPr>
          <w:noProof/>
        </w:rPr>
        <w:t>Apple Macintosh, 42</w:t>
      </w:r>
    </w:p>
    <w:p w:rsidR="00B47E3D" w:rsidRDefault="00B47E3D">
      <w:pPr>
        <w:pStyle w:val="Index1"/>
        <w:tabs>
          <w:tab w:val="right" w:pos="5030"/>
        </w:tabs>
        <w:rPr>
          <w:noProof/>
        </w:rPr>
      </w:pPr>
      <w:r>
        <w:rPr>
          <w:noProof/>
        </w:rPr>
        <w:t>Aufgaben-CAL für Microsoft Dynamics AX, 80</w:t>
      </w:r>
    </w:p>
    <w:p w:rsidR="00B47E3D" w:rsidRDefault="00B47E3D">
      <w:pPr>
        <w:pStyle w:val="Index1"/>
        <w:tabs>
          <w:tab w:val="right" w:pos="5030"/>
        </w:tabs>
        <w:rPr>
          <w:noProof/>
        </w:rPr>
      </w:pPr>
      <w:r>
        <w:rPr>
          <w:noProof/>
        </w:rPr>
        <w:t>Aufgaben-CAL für Microsoft Dynamics AX 2012 R3, 20</w:t>
      </w:r>
    </w:p>
    <w:p w:rsidR="00B47E3D" w:rsidRDefault="00B47E3D">
      <w:pPr>
        <w:pStyle w:val="Index1"/>
        <w:tabs>
          <w:tab w:val="right" w:pos="5030"/>
        </w:tabs>
        <w:rPr>
          <w:noProof/>
        </w:rPr>
      </w:pPr>
      <w:r>
        <w:rPr>
          <w:noProof/>
        </w:rPr>
        <w:t>Azure Active Directory Basic, 56</w:t>
      </w:r>
    </w:p>
    <w:p w:rsidR="00B47E3D" w:rsidRDefault="00B47E3D">
      <w:pPr>
        <w:pStyle w:val="Index1"/>
        <w:tabs>
          <w:tab w:val="right" w:pos="5030"/>
        </w:tabs>
        <w:rPr>
          <w:noProof/>
        </w:rPr>
      </w:pPr>
      <w:r>
        <w:rPr>
          <w:noProof/>
        </w:rPr>
        <w:t>Azure Active Directory Premium, 56</w:t>
      </w:r>
    </w:p>
    <w:p w:rsidR="00B47E3D" w:rsidRDefault="00B47E3D">
      <w:pPr>
        <w:pStyle w:val="Index1"/>
        <w:tabs>
          <w:tab w:val="right" w:pos="5030"/>
        </w:tabs>
        <w:rPr>
          <w:noProof/>
        </w:rPr>
      </w:pPr>
      <w:r>
        <w:rPr>
          <w:noProof/>
        </w:rPr>
        <w:t>Azure RemoteApp, 57</w:t>
      </w:r>
    </w:p>
    <w:p w:rsidR="00B47E3D" w:rsidRDefault="00B47E3D">
      <w:pPr>
        <w:pStyle w:val="Index1"/>
        <w:tabs>
          <w:tab w:val="right" w:pos="5030"/>
        </w:tabs>
        <w:rPr>
          <w:noProof/>
        </w:rPr>
      </w:pPr>
      <w:r>
        <w:rPr>
          <w:noProof/>
        </w:rPr>
        <w:t>Azure-Standortwiederherstellung, 87</w:t>
      </w:r>
    </w:p>
    <w:p w:rsidR="00B47E3D" w:rsidRDefault="00B47E3D">
      <w:pPr>
        <w:pStyle w:val="Index1"/>
        <w:tabs>
          <w:tab w:val="right" w:pos="5030"/>
        </w:tabs>
        <w:rPr>
          <w:noProof/>
        </w:rPr>
      </w:pPr>
      <w:r>
        <w:rPr>
          <w:noProof/>
        </w:rPr>
        <w:t>Bing Maps Asset Management for Windows Europe oder North America, 68</w:t>
      </w:r>
    </w:p>
    <w:p w:rsidR="00B47E3D" w:rsidRDefault="00B47E3D">
      <w:pPr>
        <w:pStyle w:val="Index1"/>
        <w:tabs>
          <w:tab w:val="right" w:pos="5030"/>
        </w:tabs>
        <w:rPr>
          <w:noProof/>
        </w:rPr>
      </w:pPr>
      <w:r>
        <w:rPr>
          <w:noProof/>
        </w:rPr>
        <w:t>Bing Maps Asset Management for Windows Platform Fee Monthly Subscription, 69</w:t>
      </w:r>
    </w:p>
    <w:p w:rsidR="00B47E3D" w:rsidRDefault="00B47E3D">
      <w:pPr>
        <w:pStyle w:val="Index1"/>
        <w:tabs>
          <w:tab w:val="right" w:pos="5030"/>
        </w:tabs>
        <w:rPr>
          <w:noProof/>
        </w:rPr>
      </w:pPr>
      <w:r>
        <w:rPr>
          <w:noProof/>
        </w:rPr>
        <w:t>Bing Maps Enterprise Fee Monthly Subscription, 68</w:t>
      </w:r>
    </w:p>
    <w:p w:rsidR="00B47E3D" w:rsidRDefault="00B47E3D">
      <w:pPr>
        <w:pStyle w:val="Index1"/>
        <w:tabs>
          <w:tab w:val="right" w:pos="5030"/>
        </w:tabs>
        <w:rPr>
          <w:noProof/>
        </w:rPr>
      </w:pPr>
      <w:r>
        <w:rPr>
          <w:noProof/>
        </w:rPr>
        <w:t>Bing Maps Internal Website Usage 100K Transactions Monthly Subscription, 68</w:t>
      </w:r>
    </w:p>
    <w:p w:rsidR="00B47E3D" w:rsidRDefault="00B47E3D">
      <w:pPr>
        <w:pStyle w:val="Index1"/>
        <w:tabs>
          <w:tab w:val="right" w:pos="5030"/>
        </w:tabs>
        <w:rPr>
          <w:noProof/>
        </w:rPr>
      </w:pPr>
      <w:r>
        <w:rPr>
          <w:noProof/>
        </w:rPr>
        <w:t>Bing Maps Internal Website Usage 500K (und höher) Transactions Monthly Subscription, 68</w:t>
      </w:r>
    </w:p>
    <w:p w:rsidR="00B47E3D" w:rsidRDefault="00B47E3D">
      <w:pPr>
        <w:pStyle w:val="Index1"/>
        <w:tabs>
          <w:tab w:val="right" w:pos="5030"/>
        </w:tabs>
        <w:rPr>
          <w:noProof/>
        </w:rPr>
      </w:pPr>
      <w:r>
        <w:rPr>
          <w:noProof/>
        </w:rPr>
        <w:t>Bing Maps Known 5K User Monthly Subscription, 68</w:t>
      </w:r>
    </w:p>
    <w:p w:rsidR="00B47E3D" w:rsidRDefault="00B47E3D">
      <w:pPr>
        <w:pStyle w:val="Index1"/>
        <w:tabs>
          <w:tab w:val="right" w:pos="5030"/>
        </w:tabs>
        <w:rPr>
          <w:noProof/>
        </w:rPr>
      </w:pPr>
      <w:r>
        <w:rPr>
          <w:noProof/>
        </w:rPr>
        <w:t>Bing Maps Known Per User Monthly Subscription, 68</w:t>
      </w:r>
    </w:p>
    <w:p w:rsidR="00B47E3D" w:rsidRDefault="00B47E3D">
      <w:pPr>
        <w:pStyle w:val="Index1"/>
        <w:tabs>
          <w:tab w:val="right" w:pos="5030"/>
        </w:tabs>
        <w:rPr>
          <w:noProof/>
        </w:rPr>
      </w:pPr>
      <w:r>
        <w:rPr>
          <w:noProof/>
        </w:rPr>
        <w:t>Bing Maps Light Known 500 User Monthly Subscription, 68</w:t>
      </w:r>
    </w:p>
    <w:p w:rsidR="00B47E3D" w:rsidRDefault="00B47E3D">
      <w:pPr>
        <w:pStyle w:val="Index1"/>
        <w:tabs>
          <w:tab w:val="right" w:pos="5030"/>
        </w:tabs>
        <w:rPr>
          <w:noProof/>
        </w:rPr>
      </w:pPr>
      <w:r>
        <w:rPr>
          <w:noProof/>
        </w:rPr>
        <w:t>Bing Maps Light Known 5K User Monthly Subscription, 68</w:t>
      </w:r>
    </w:p>
    <w:p w:rsidR="00B47E3D" w:rsidRDefault="00B47E3D">
      <w:pPr>
        <w:pStyle w:val="Index1"/>
        <w:tabs>
          <w:tab w:val="right" w:pos="5030"/>
        </w:tabs>
        <w:rPr>
          <w:noProof/>
        </w:rPr>
      </w:pPr>
      <w:r>
        <w:rPr>
          <w:noProof/>
        </w:rPr>
        <w:t>Bing Maps Public Website Usage 100K Transaction Monthly Subscription, 69</w:t>
      </w:r>
    </w:p>
    <w:p w:rsidR="00B47E3D" w:rsidRDefault="00B47E3D">
      <w:pPr>
        <w:pStyle w:val="Index1"/>
        <w:tabs>
          <w:tab w:val="right" w:pos="5030"/>
        </w:tabs>
        <w:rPr>
          <w:noProof/>
        </w:rPr>
      </w:pPr>
      <w:r>
        <w:rPr>
          <w:noProof/>
        </w:rPr>
        <w:t>Bing Maps Public Website Usage 500K (und höher) Transactions Monthly Subscription, 69</w:t>
      </w:r>
    </w:p>
    <w:p w:rsidR="00B47E3D" w:rsidRDefault="00B47E3D">
      <w:pPr>
        <w:pStyle w:val="Index1"/>
        <w:tabs>
          <w:tab w:val="right" w:pos="5030"/>
        </w:tabs>
        <w:rPr>
          <w:noProof/>
        </w:rPr>
      </w:pPr>
      <w:r>
        <w:rPr>
          <w:noProof/>
        </w:rPr>
        <w:t>BizTalk Server, 85</w:t>
      </w:r>
    </w:p>
    <w:p w:rsidR="00B47E3D" w:rsidRDefault="00B47E3D">
      <w:pPr>
        <w:pStyle w:val="Index1"/>
        <w:tabs>
          <w:tab w:val="right" w:pos="5030"/>
        </w:tabs>
        <w:rPr>
          <w:noProof/>
        </w:rPr>
      </w:pPr>
      <w:r>
        <w:rPr>
          <w:noProof/>
        </w:rPr>
        <w:t>BizTalk Server 2013, 15</w:t>
      </w:r>
    </w:p>
    <w:p w:rsidR="00B47E3D" w:rsidRDefault="00B47E3D">
      <w:pPr>
        <w:pStyle w:val="Index1"/>
        <w:tabs>
          <w:tab w:val="right" w:pos="5030"/>
        </w:tabs>
        <w:rPr>
          <w:noProof/>
        </w:rPr>
      </w:pPr>
      <w:r>
        <w:rPr>
          <w:noProof/>
        </w:rPr>
        <w:t>BizTalk Server 2013 R2 Branch Edition, 15</w:t>
      </w:r>
    </w:p>
    <w:p w:rsidR="00B47E3D" w:rsidRDefault="00B47E3D">
      <w:pPr>
        <w:pStyle w:val="Index1"/>
        <w:tabs>
          <w:tab w:val="right" w:pos="5030"/>
        </w:tabs>
        <w:rPr>
          <w:noProof/>
        </w:rPr>
      </w:pPr>
      <w:r>
        <w:rPr>
          <w:noProof/>
        </w:rPr>
        <w:t>BizTalk Server 2013 R2 Branch IDC, 15</w:t>
      </w:r>
    </w:p>
    <w:p w:rsidR="00B47E3D" w:rsidRDefault="00B47E3D">
      <w:pPr>
        <w:pStyle w:val="Index1"/>
        <w:tabs>
          <w:tab w:val="right" w:pos="5030"/>
        </w:tabs>
        <w:rPr>
          <w:noProof/>
        </w:rPr>
      </w:pPr>
      <w:r>
        <w:rPr>
          <w:noProof/>
        </w:rPr>
        <w:t>BizTalk Server 2013 R2 Developer, 15</w:t>
      </w:r>
    </w:p>
    <w:p w:rsidR="00B47E3D" w:rsidRDefault="00B47E3D">
      <w:pPr>
        <w:pStyle w:val="Index1"/>
        <w:tabs>
          <w:tab w:val="right" w:pos="5030"/>
        </w:tabs>
        <w:rPr>
          <w:noProof/>
        </w:rPr>
      </w:pPr>
      <w:r>
        <w:rPr>
          <w:noProof/>
        </w:rPr>
        <w:t>BizTalk Server 2013 R2 Enterprise Edition, 15</w:t>
      </w:r>
    </w:p>
    <w:p w:rsidR="00B47E3D" w:rsidRDefault="00B47E3D">
      <w:pPr>
        <w:pStyle w:val="Index1"/>
        <w:tabs>
          <w:tab w:val="right" w:pos="5030"/>
        </w:tabs>
        <w:rPr>
          <w:noProof/>
        </w:rPr>
      </w:pPr>
      <w:r>
        <w:rPr>
          <w:noProof/>
        </w:rPr>
        <w:t>BizTalk Server 2013 R2 Standard Edition, 15</w:t>
      </w:r>
    </w:p>
    <w:p w:rsidR="00B47E3D" w:rsidRDefault="00B47E3D">
      <w:pPr>
        <w:pStyle w:val="Index1"/>
        <w:tabs>
          <w:tab w:val="right" w:pos="5030"/>
        </w:tabs>
        <w:rPr>
          <w:noProof/>
        </w:rPr>
      </w:pPr>
      <w:r>
        <w:rPr>
          <w:noProof/>
        </w:rPr>
        <w:t>BizTalk Server 2013 R2 Standard Edition IDC, 15</w:t>
      </w:r>
    </w:p>
    <w:p w:rsidR="00B47E3D" w:rsidRDefault="00B47E3D">
      <w:pPr>
        <w:pStyle w:val="Index1"/>
        <w:tabs>
          <w:tab w:val="right" w:pos="5030"/>
        </w:tabs>
        <w:rPr>
          <w:noProof/>
        </w:rPr>
      </w:pPr>
      <w:r>
        <w:rPr>
          <w:noProof/>
        </w:rPr>
        <w:t>BizTalk Server Branch, 87</w:t>
      </w:r>
    </w:p>
    <w:p w:rsidR="00B47E3D" w:rsidRDefault="00B47E3D">
      <w:pPr>
        <w:pStyle w:val="Index1"/>
        <w:tabs>
          <w:tab w:val="right" w:pos="5030"/>
        </w:tabs>
        <w:rPr>
          <w:noProof/>
        </w:rPr>
      </w:pPr>
      <w:r>
        <w:rPr>
          <w:noProof/>
        </w:rPr>
        <w:t>BizTalk Server Enterprise, 87</w:t>
      </w:r>
    </w:p>
    <w:p w:rsidR="00B47E3D" w:rsidRDefault="00B47E3D">
      <w:pPr>
        <w:pStyle w:val="Index1"/>
        <w:tabs>
          <w:tab w:val="right" w:pos="5030"/>
        </w:tabs>
        <w:rPr>
          <w:noProof/>
        </w:rPr>
      </w:pPr>
      <w:r>
        <w:rPr>
          <w:noProof/>
        </w:rPr>
        <w:t>BizTalk Server Standard, 87</w:t>
      </w:r>
    </w:p>
    <w:p w:rsidR="00B47E3D" w:rsidRDefault="00B47E3D">
      <w:pPr>
        <w:pStyle w:val="Index1"/>
        <w:tabs>
          <w:tab w:val="right" w:pos="5030"/>
        </w:tabs>
        <w:rPr>
          <w:noProof/>
        </w:rPr>
      </w:pPr>
      <w:r>
        <w:rPr>
          <w:noProof/>
        </w:rPr>
        <w:t>Business Productivity Online Deskless Suite, 65</w:t>
      </w:r>
    </w:p>
    <w:p w:rsidR="00B47E3D" w:rsidRDefault="00B47E3D">
      <w:pPr>
        <w:pStyle w:val="Index1"/>
        <w:tabs>
          <w:tab w:val="right" w:pos="5030"/>
        </w:tabs>
        <w:rPr>
          <w:noProof/>
        </w:rPr>
      </w:pPr>
      <w:r>
        <w:rPr>
          <w:noProof/>
        </w:rPr>
        <w:t>CAL für Exchange Server Enterprise 2016, 26</w:t>
      </w:r>
    </w:p>
    <w:p w:rsidR="00B47E3D" w:rsidRDefault="00B47E3D">
      <w:pPr>
        <w:pStyle w:val="Index1"/>
        <w:tabs>
          <w:tab w:val="right" w:pos="5030"/>
        </w:tabs>
        <w:rPr>
          <w:noProof/>
        </w:rPr>
      </w:pPr>
      <w:r>
        <w:rPr>
          <w:noProof/>
        </w:rPr>
        <w:t>CAL für Exchange Server Standard 2016, 26</w:t>
      </w:r>
    </w:p>
    <w:p w:rsidR="00B47E3D" w:rsidRDefault="00B47E3D">
      <w:pPr>
        <w:pStyle w:val="Index1"/>
        <w:tabs>
          <w:tab w:val="right" w:pos="5030"/>
        </w:tabs>
        <w:rPr>
          <w:noProof/>
        </w:rPr>
      </w:pPr>
      <w:r>
        <w:rPr>
          <w:noProof/>
        </w:rPr>
        <w:t>CAL für Microsoft Dynamics AX 2012 R3 Self-Service, 20</w:t>
      </w:r>
    </w:p>
    <w:p w:rsidR="00B47E3D" w:rsidRDefault="00B47E3D">
      <w:pPr>
        <w:pStyle w:val="Index1"/>
        <w:tabs>
          <w:tab w:val="right" w:pos="5030"/>
        </w:tabs>
        <w:rPr>
          <w:noProof/>
        </w:rPr>
      </w:pPr>
      <w:r>
        <w:rPr>
          <w:noProof/>
        </w:rPr>
        <w:t>CAL für Microsoft Dynamics CRM, 80</w:t>
      </w:r>
    </w:p>
    <w:p w:rsidR="00B47E3D" w:rsidRDefault="00B47E3D">
      <w:pPr>
        <w:pStyle w:val="Index1"/>
        <w:tabs>
          <w:tab w:val="right" w:pos="5030"/>
        </w:tabs>
        <w:rPr>
          <w:noProof/>
        </w:rPr>
      </w:pPr>
      <w:r>
        <w:rPr>
          <w:noProof/>
        </w:rPr>
        <w:t>CAL für Microsoft Dynamics CRM 2016 Basic, 21</w:t>
      </w:r>
    </w:p>
    <w:p w:rsidR="00B47E3D" w:rsidRDefault="00B47E3D">
      <w:pPr>
        <w:pStyle w:val="Index1"/>
        <w:tabs>
          <w:tab w:val="right" w:pos="5030"/>
        </w:tabs>
        <w:rPr>
          <w:noProof/>
        </w:rPr>
      </w:pPr>
      <w:r>
        <w:rPr>
          <w:noProof/>
        </w:rPr>
        <w:t>CAL für Microsoft Dynamics CRM 2016 Essentials, 21</w:t>
      </w:r>
    </w:p>
    <w:p w:rsidR="00B47E3D" w:rsidRDefault="00B47E3D">
      <w:pPr>
        <w:pStyle w:val="Index1"/>
        <w:tabs>
          <w:tab w:val="right" w:pos="5030"/>
        </w:tabs>
        <w:rPr>
          <w:noProof/>
        </w:rPr>
      </w:pPr>
      <w:r>
        <w:rPr>
          <w:noProof/>
        </w:rPr>
        <w:t>CAL für Microsoft Dynamics CRM 2016 Professional, 21</w:t>
      </w:r>
    </w:p>
    <w:p w:rsidR="00B47E3D" w:rsidRDefault="00B47E3D">
      <w:pPr>
        <w:pStyle w:val="Index1"/>
        <w:tabs>
          <w:tab w:val="right" w:pos="5030"/>
        </w:tabs>
        <w:rPr>
          <w:noProof/>
        </w:rPr>
      </w:pPr>
      <w:r>
        <w:rPr>
          <w:noProof/>
        </w:rPr>
        <w:t>CAL für Microsoft Dynamics CRM Basic, 59</w:t>
      </w:r>
    </w:p>
    <w:p w:rsidR="00B47E3D" w:rsidRDefault="00B47E3D">
      <w:pPr>
        <w:pStyle w:val="Index1"/>
        <w:tabs>
          <w:tab w:val="right" w:pos="5030"/>
        </w:tabs>
        <w:rPr>
          <w:noProof/>
        </w:rPr>
      </w:pPr>
      <w:r>
        <w:rPr>
          <w:noProof/>
        </w:rPr>
        <w:t>CAL für Microsoft Dynamics CRM Essential, 59</w:t>
      </w:r>
    </w:p>
    <w:p w:rsidR="00B47E3D" w:rsidRDefault="00B47E3D">
      <w:pPr>
        <w:pStyle w:val="Index1"/>
        <w:tabs>
          <w:tab w:val="right" w:pos="5030"/>
        </w:tabs>
        <w:rPr>
          <w:noProof/>
        </w:rPr>
      </w:pPr>
      <w:r>
        <w:rPr>
          <w:noProof/>
        </w:rPr>
        <w:t>CAL für Microsoft Dynamics CRM Professional, 59, 61</w:t>
      </w:r>
    </w:p>
    <w:p w:rsidR="00B47E3D" w:rsidRDefault="00B47E3D">
      <w:pPr>
        <w:pStyle w:val="Index1"/>
        <w:tabs>
          <w:tab w:val="right" w:pos="5030"/>
        </w:tabs>
        <w:rPr>
          <w:noProof/>
        </w:rPr>
      </w:pPr>
      <w:r>
        <w:rPr>
          <w:noProof/>
        </w:rPr>
        <w:t>CAL für Microsoft Identity Manager 2016, 23</w:t>
      </w:r>
    </w:p>
    <w:p w:rsidR="00B47E3D" w:rsidRDefault="00B47E3D">
      <w:pPr>
        <w:pStyle w:val="Index1"/>
        <w:tabs>
          <w:tab w:val="right" w:pos="5030"/>
        </w:tabs>
        <w:rPr>
          <w:noProof/>
        </w:rPr>
      </w:pPr>
      <w:r>
        <w:rPr>
          <w:noProof/>
        </w:rPr>
        <w:t>CAL für Project Server 2013, 27</w:t>
      </w:r>
    </w:p>
    <w:p w:rsidR="00B47E3D" w:rsidRDefault="00B47E3D">
      <w:pPr>
        <w:pStyle w:val="Index1"/>
        <w:tabs>
          <w:tab w:val="right" w:pos="5030"/>
        </w:tabs>
        <w:rPr>
          <w:noProof/>
        </w:rPr>
      </w:pPr>
      <w:r>
        <w:rPr>
          <w:noProof/>
        </w:rPr>
        <w:t>CAL für SharePoint Server 2013 Standard, 28</w:t>
      </w:r>
    </w:p>
    <w:p w:rsidR="00B47E3D" w:rsidRDefault="00B47E3D">
      <w:pPr>
        <w:pStyle w:val="Index1"/>
        <w:tabs>
          <w:tab w:val="right" w:pos="5030"/>
        </w:tabs>
        <w:rPr>
          <w:noProof/>
        </w:rPr>
      </w:pPr>
      <w:r>
        <w:rPr>
          <w:noProof/>
        </w:rPr>
        <w:t>CAL für Skype for Business Plus, 68</w:t>
      </w:r>
    </w:p>
    <w:p w:rsidR="00B47E3D" w:rsidRDefault="00B47E3D">
      <w:pPr>
        <w:pStyle w:val="Index1"/>
        <w:tabs>
          <w:tab w:val="right" w:pos="5030"/>
        </w:tabs>
        <w:rPr>
          <w:noProof/>
        </w:rPr>
      </w:pPr>
      <w:r>
        <w:rPr>
          <w:noProof/>
        </w:rPr>
        <w:t>CAL für Skype for Business Server 2015 Plus, 29</w:t>
      </w:r>
    </w:p>
    <w:p w:rsidR="00B47E3D" w:rsidRDefault="00B47E3D">
      <w:pPr>
        <w:pStyle w:val="Index1"/>
        <w:tabs>
          <w:tab w:val="right" w:pos="5030"/>
        </w:tabs>
        <w:rPr>
          <w:noProof/>
        </w:rPr>
      </w:pPr>
      <w:r>
        <w:rPr>
          <w:noProof/>
        </w:rPr>
        <w:t>CAL für Skype for Business Server 2015 Standard, 29</w:t>
      </w:r>
    </w:p>
    <w:p w:rsidR="00B47E3D" w:rsidRDefault="00B47E3D">
      <w:pPr>
        <w:pStyle w:val="Index1"/>
        <w:tabs>
          <w:tab w:val="right" w:pos="5030"/>
        </w:tabs>
        <w:rPr>
          <w:noProof/>
        </w:rPr>
      </w:pPr>
      <w:r>
        <w:rPr>
          <w:noProof/>
        </w:rPr>
        <w:t>CAL für SQL Server 2014, 32</w:t>
      </w:r>
    </w:p>
    <w:p w:rsidR="00B47E3D" w:rsidRDefault="00B47E3D">
      <w:pPr>
        <w:pStyle w:val="Index1"/>
        <w:tabs>
          <w:tab w:val="right" w:pos="5030"/>
        </w:tabs>
        <w:rPr>
          <w:noProof/>
        </w:rPr>
      </w:pPr>
      <w:r>
        <w:rPr>
          <w:noProof/>
        </w:rPr>
        <w:t>CAL für Visual Studio Team Foundation Server 2015, 40</w:t>
      </w:r>
    </w:p>
    <w:p w:rsidR="00B47E3D" w:rsidRDefault="00B47E3D">
      <w:pPr>
        <w:pStyle w:val="Index1"/>
        <w:tabs>
          <w:tab w:val="right" w:pos="5030"/>
        </w:tabs>
        <w:rPr>
          <w:noProof/>
        </w:rPr>
      </w:pPr>
      <w:r>
        <w:rPr>
          <w:noProof/>
        </w:rPr>
        <w:t>CAL für Windows MultiPoint Server 2012, 47</w:t>
      </w:r>
    </w:p>
    <w:p w:rsidR="00B47E3D" w:rsidRDefault="00B47E3D">
      <w:pPr>
        <w:pStyle w:val="Index1"/>
        <w:tabs>
          <w:tab w:val="right" w:pos="5030"/>
        </w:tabs>
        <w:rPr>
          <w:noProof/>
        </w:rPr>
      </w:pPr>
      <w:r>
        <w:rPr>
          <w:noProof/>
        </w:rPr>
        <w:t>CAL für Windows MultiPoint Server 2012 mit CAL für Windows Server 2012, 47</w:t>
      </w:r>
    </w:p>
    <w:p w:rsidR="00B47E3D" w:rsidRDefault="00B47E3D">
      <w:pPr>
        <w:pStyle w:val="Index1"/>
        <w:tabs>
          <w:tab w:val="right" w:pos="5030"/>
        </w:tabs>
        <w:rPr>
          <w:noProof/>
        </w:rPr>
      </w:pPr>
      <w:r>
        <w:rPr>
          <w:noProof/>
        </w:rPr>
        <w:t>CAL für Windows Server 2012, 48</w:t>
      </w:r>
    </w:p>
    <w:p w:rsidR="00B47E3D" w:rsidRDefault="00B47E3D">
      <w:pPr>
        <w:pStyle w:val="Index1"/>
        <w:tabs>
          <w:tab w:val="right" w:pos="5030"/>
        </w:tabs>
        <w:rPr>
          <w:noProof/>
        </w:rPr>
      </w:pPr>
      <w:r>
        <w:rPr>
          <w:noProof/>
        </w:rPr>
        <w:t>CAL für Windows Server 2012 Active Directory-Rechteverwaltungsdienste, 48</w:t>
      </w:r>
    </w:p>
    <w:p w:rsidR="00B47E3D" w:rsidRDefault="00B47E3D">
      <w:pPr>
        <w:pStyle w:val="Index1"/>
        <w:tabs>
          <w:tab w:val="right" w:pos="5030"/>
        </w:tabs>
        <w:rPr>
          <w:noProof/>
        </w:rPr>
      </w:pPr>
      <w:r>
        <w:rPr>
          <w:noProof/>
        </w:rPr>
        <w:t>CAL für Windows Server 2012-Remotedesktopdienste, 48</w:t>
      </w:r>
    </w:p>
    <w:p w:rsidR="00B47E3D" w:rsidRDefault="00B47E3D">
      <w:pPr>
        <w:pStyle w:val="Index1"/>
        <w:tabs>
          <w:tab w:val="right" w:pos="5030"/>
        </w:tabs>
        <w:rPr>
          <w:noProof/>
        </w:rPr>
      </w:pPr>
      <w:r>
        <w:rPr>
          <w:noProof/>
        </w:rPr>
        <w:t>CAL Suite für Windows Small Business Server 2011, 50</w:t>
      </w:r>
    </w:p>
    <w:p w:rsidR="00B47E3D" w:rsidRDefault="00B47E3D">
      <w:pPr>
        <w:pStyle w:val="Index1"/>
        <w:tabs>
          <w:tab w:val="right" w:pos="5030"/>
        </w:tabs>
        <w:rPr>
          <w:noProof/>
        </w:rPr>
      </w:pPr>
      <w:r>
        <w:rPr>
          <w:noProof/>
        </w:rPr>
        <w:t>CIS Datacenter, 86</w:t>
      </w:r>
    </w:p>
    <w:p w:rsidR="00B47E3D" w:rsidRDefault="00B47E3D">
      <w:pPr>
        <w:pStyle w:val="Index1"/>
        <w:tabs>
          <w:tab w:val="right" w:pos="5030"/>
        </w:tabs>
        <w:rPr>
          <w:noProof/>
        </w:rPr>
      </w:pPr>
      <w:r>
        <w:rPr>
          <w:noProof/>
        </w:rPr>
        <w:t>CIS Standard, 86</w:t>
      </w:r>
    </w:p>
    <w:p w:rsidR="00B47E3D" w:rsidRDefault="00B47E3D">
      <w:pPr>
        <w:pStyle w:val="Index1"/>
        <w:tabs>
          <w:tab w:val="right" w:pos="5030"/>
        </w:tabs>
        <w:rPr>
          <w:noProof/>
        </w:rPr>
      </w:pPr>
      <w:r>
        <w:rPr>
          <w:noProof/>
        </w:rPr>
        <w:t>Client-Management-Lizenz (Client-ML) für System Center 2012 R2 Configuration Manager, 36</w:t>
      </w:r>
    </w:p>
    <w:p w:rsidR="00B47E3D" w:rsidRDefault="00B47E3D">
      <w:pPr>
        <w:pStyle w:val="Index1"/>
        <w:tabs>
          <w:tab w:val="right" w:pos="5030"/>
        </w:tabs>
        <w:rPr>
          <w:noProof/>
        </w:rPr>
      </w:pPr>
      <w:r>
        <w:rPr>
          <w:noProof/>
        </w:rPr>
        <w:t>Client-Management-Lizenz für Advanced Threat Analytics 2016 pro Nutzer, 14</w:t>
      </w:r>
    </w:p>
    <w:p w:rsidR="00B47E3D" w:rsidRDefault="00B47E3D">
      <w:pPr>
        <w:pStyle w:val="Index1"/>
        <w:tabs>
          <w:tab w:val="right" w:pos="5030"/>
        </w:tabs>
        <w:rPr>
          <w:noProof/>
        </w:rPr>
      </w:pPr>
      <w:r>
        <w:rPr>
          <w:noProof/>
        </w:rPr>
        <w:t>Client-Management-Lizenz für Advanced Threat Analytics 2016 pro OSE, 14</w:t>
      </w:r>
    </w:p>
    <w:p w:rsidR="00B47E3D" w:rsidRDefault="00B47E3D">
      <w:pPr>
        <w:pStyle w:val="Index1"/>
        <w:tabs>
          <w:tab w:val="right" w:pos="5030"/>
        </w:tabs>
        <w:rPr>
          <w:noProof/>
        </w:rPr>
      </w:pPr>
      <w:r>
        <w:rPr>
          <w:noProof/>
        </w:rPr>
        <w:t>Client-Management-Lizenz für System Center 2012 R2 Configuration Manager, 36</w:t>
      </w:r>
    </w:p>
    <w:p w:rsidR="00B47E3D" w:rsidRDefault="00B47E3D">
      <w:pPr>
        <w:pStyle w:val="Index1"/>
        <w:tabs>
          <w:tab w:val="right" w:pos="5030"/>
        </w:tabs>
        <w:rPr>
          <w:noProof/>
        </w:rPr>
      </w:pPr>
      <w:r>
        <w:rPr>
          <w:noProof/>
        </w:rPr>
        <w:t>Commerce Server Enterprise, 87</w:t>
      </w:r>
    </w:p>
    <w:p w:rsidR="00B47E3D" w:rsidRDefault="00B47E3D">
      <w:pPr>
        <w:pStyle w:val="Index1"/>
        <w:tabs>
          <w:tab w:val="right" w:pos="5030"/>
        </w:tabs>
        <w:rPr>
          <w:noProof/>
        </w:rPr>
      </w:pPr>
      <w:r>
        <w:rPr>
          <w:noProof/>
        </w:rPr>
        <w:t>Commerce Server Standard, 87</w:t>
      </w:r>
    </w:p>
    <w:p w:rsidR="00B47E3D" w:rsidRDefault="00B47E3D">
      <w:pPr>
        <w:pStyle w:val="Index1"/>
        <w:tabs>
          <w:tab w:val="right" w:pos="5030"/>
        </w:tabs>
        <w:rPr>
          <w:noProof/>
        </w:rPr>
      </w:pPr>
      <w:r>
        <w:rPr>
          <w:noProof/>
        </w:rPr>
        <w:t>Communicator für Mac 2011, 25</w:t>
      </w:r>
    </w:p>
    <w:p w:rsidR="00B47E3D" w:rsidRDefault="00B47E3D">
      <w:pPr>
        <w:pStyle w:val="Index1"/>
        <w:tabs>
          <w:tab w:val="right" w:pos="5030"/>
        </w:tabs>
        <w:rPr>
          <w:noProof/>
        </w:rPr>
      </w:pPr>
      <w:r>
        <w:rPr>
          <w:noProof/>
        </w:rPr>
        <w:t>Core CAL, 37, 55, 63, 81, 87</w:t>
      </w:r>
    </w:p>
    <w:p w:rsidR="00B47E3D" w:rsidRDefault="00B47E3D">
      <w:pPr>
        <w:pStyle w:val="Index1"/>
        <w:tabs>
          <w:tab w:val="right" w:pos="5030"/>
        </w:tabs>
        <w:rPr>
          <w:noProof/>
        </w:rPr>
      </w:pPr>
      <w:r>
        <w:rPr>
          <w:noProof/>
        </w:rPr>
        <w:t>Core CAL Bridge für Office 365, 64</w:t>
      </w:r>
    </w:p>
    <w:p w:rsidR="00B47E3D" w:rsidRDefault="00B47E3D">
      <w:pPr>
        <w:pStyle w:val="Index1"/>
        <w:tabs>
          <w:tab w:val="right" w:pos="5030"/>
        </w:tabs>
        <w:rPr>
          <w:noProof/>
        </w:rPr>
      </w:pPr>
      <w:r>
        <w:rPr>
          <w:noProof/>
        </w:rPr>
        <w:t>Core CAL Suite, 16</w:t>
      </w:r>
    </w:p>
    <w:p w:rsidR="00B47E3D" w:rsidRDefault="00B47E3D">
      <w:pPr>
        <w:pStyle w:val="Index1"/>
        <w:tabs>
          <w:tab w:val="right" w:pos="5030"/>
        </w:tabs>
        <w:rPr>
          <w:noProof/>
        </w:rPr>
      </w:pPr>
      <w:r>
        <w:rPr>
          <w:noProof/>
        </w:rPr>
        <w:t>Core CAL Suite Bridge für Enterprise Mobility Suite, 87</w:t>
      </w:r>
    </w:p>
    <w:p w:rsidR="00B47E3D" w:rsidRDefault="00B47E3D">
      <w:pPr>
        <w:pStyle w:val="Index1"/>
        <w:tabs>
          <w:tab w:val="right" w:pos="5030"/>
        </w:tabs>
        <w:rPr>
          <w:noProof/>
        </w:rPr>
      </w:pPr>
      <w:r>
        <w:rPr>
          <w:noProof/>
        </w:rPr>
        <w:t>Core CAL Suite Bridge für Enterprise Mobility Suite, 16</w:t>
      </w:r>
    </w:p>
    <w:p w:rsidR="00B47E3D" w:rsidRDefault="00B47E3D">
      <w:pPr>
        <w:pStyle w:val="Index1"/>
        <w:tabs>
          <w:tab w:val="right" w:pos="5030"/>
        </w:tabs>
        <w:rPr>
          <w:noProof/>
        </w:rPr>
      </w:pPr>
      <w:r>
        <w:rPr>
          <w:noProof/>
        </w:rPr>
        <w:t>Core CAL Suite Bridge für Microsoft Intune, 16, 87</w:t>
      </w:r>
    </w:p>
    <w:p w:rsidR="00B47E3D" w:rsidRDefault="00B47E3D">
      <w:pPr>
        <w:pStyle w:val="Index1"/>
        <w:tabs>
          <w:tab w:val="right" w:pos="5030"/>
        </w:tabs>
        <w:rPr>
          <w:noProof/>
        </w:rPr>
      </w:pPr>
      <w:r>
        <w:rPr>
          <w:noProof/>
        </w:rPr>
        <w:t>Core CAL Suite Bridge für Office 365, 16, 55, 87</w:t>
      </w:r>
    </w:p>
    <w:p w:rsidR="00B47E3D" w:rsidRDefault="00B47E3D">
      <w:pPr>
        <w:pStyle w:val="Index1"/>
        <w:tabs>
          <w:tab w:val="right" w:pos="5030"/>
        </w:tabs>
        <w:rPr>
          <w:noProof/>
        </w:rPr>
      </w:pPr>
      <w:r>
        <w:rPr>
          <w:noProof/>
        </w:rPr>
        <w:t>Core CAL Suite Bridge für Office 365 und Microsoft Intune, 16, 55, 87</w:t>
      </w:r>
    </w:p>
    <w:p w:rsidR="00B47E3D" w:rsidRDefault="00B47E3D">
      <w:pPr>
        <w:pStyle w:val="Index1"/>
        <w:tabs>
          <w:tab w:val="right" w:pos="5030"/>
        </w:tabs>
        <w:rPr>
          <w:noProof/>
        </w:rPr>
      </w:pPr>
      <w:r>
        <w:rPr>
          <w:noProof/>
        </w:rPr>
        <w:t>Core Infrastructure Server Suite Datacenter, 18, 87</w:t>
      </w:r>
    </w:p>
    <w:p w:rsidR="00B47E3D" w:rsidRDefault="00B47E3D">
      <w:pPr>
        <w:pStyle w:val="Index1"/>
        <w:tabs>
          <w:tab w:val="right" w:pos="5030"/>
        </w:tabs>
        <w:rPr>
          <w:noProof/>
        </w:rPr>
      </w:pPr>
      <w:r>
        <w:rPr>
          <w:noProof/>
        </w:rPr>
        <w:t>Core Infrastructure Server Suite Standard, 17, 87</w:t>
      </w:r>
    </w:p>
    <w:p w:rsidR="00B47E3D" w:rsidRDefault="00B47E3D">
      <w:pPr>
        <w:pStyle w:val="Index1"/>
        <w:tabs>
          <w:tab w:val="right" w:pos="5030"/>
        </w:tabs>
        <w:rPr>
          <w:noProof/>
        </w:rPr>
      </w:pPr>
      <w:r>
        <w:rPr>
          <w:noProof/>
        </w:rPr>
        <w:t>Enhanced Support für Microsoft Social Engagement, 60</w:t>
      </w:r>
    </w:p>
    <w:p w:rsidR="00B47E3D" w:rsidRDefault="00B47E3D">
      <w:pPr>
        <w:pStyle w:val="Index1"/>
        <w:tabs>
          <w:tab w:val="right" w:pos="5030"/>
        </w:tabs>
        <w:rPr>
          <w:noProof/>
        </w:rPr>
      </w:pPr>
      <w:r>
        <w:rPr>
          <w:noProof/>
        </w:rPr>
        <w:t>Enhanced Support für Parature, 61</w:t>
      </w:r>
    </w:p>
    <w:p w:rsidR="00B47E3D" w:rsidRDefault="00B47E3D">
      <w:pPr>
        <w:pStyle w:val="Index1"/>
        <w:tabs>
          <w:tab w:val="right" w:pos="5030"/>
        </w:tabs>
        <w:rPr>
          <w:noProof/>
        </w:rPr>
      </w:pPr>
      <w:r>
        <w:rPr>
          <w:noProof/>
        </w:rPr>
        <w:t>Enterprise CAL, 37, 55, 64, 66, 81, 87</w:t>
      </w:r>
    </w:p>
    <w:p w:rsidR="00B47E3D" w:rsidRDefault="00B47E3D">
      <w:pPr>
        <w:pStyle w:val="Index1"/>
        <w:tabs>
          <w:tab w:val="right" w:pos="5030"/>
        </w:tabs>
        <w:rPr>
          <w:noProof/>
        </w:rPr>
      </w:pPr>
      <w:r>
        <w:rPr>
          <w:noProof/>
        </w:rPr>
        <w:t>Enterprise CAL Bridge für Enterprise Mobility Suite, 16</w:t>
      </w:r>
    </w:p>
    <w:p w:rsidR="00B47E3D" w:rsidRDefault="00B47E3D">
      <w:pPr>
        <w:pStyle w:val="Index1"/>
        <w:tabs>
          <w:tab w:val="right" w:pos="5030"/>
        </w:tabs>
        <w:rPr>
          <w:noProof/>
        </w:rPr>
      </w:pPr>
      <w:r>
        <w:rPr>
          <w:noProof/>
        </w:rPr>
        <w:t>Enterprise CAL Bridge für Enterprise Mobility Suite von SA, 16</w:t>
      </w:r>
    </w:p>
    <w:p w:rsidR="00B47E3D" w:rsidRDefault="00B47E3D">
      <w:pPr>
        <w:pStyle w:val="Index1"/>
        <w:tabs>
          <w:tab w:val="right" w:pos="5030"/>
        </w:tabs>
        <w:rPr>
          <w:noProof/>
        </w:rPr>
      </w:pPr>
      <w:r>
        <w:rPr>
          <w:noProof/>
        </w:rPr>
        <w:t>Enterprise CAL Bridge für Office 365, 64</w:t>
      </w:r>
    </w:p>
    <w:p w:rsidR="00B47E3D" w:rsidRDefault="00B47E3D">
      <w:pPr>
        <w:pStyle w:val="Index1"/>
        <w:tabs>
          <w:tab w:val="right" w:pos="5030"/>
        </w:tabs>
        <w:rPr>
          <w:noProof/>
        </w:rPr>
      </w:pPr>
      <w:r>
        <w:rPr>
          <w:noProof/>
        </w:rPr>
        <w:t>Enterprise CAL für Microsoft Dynamics AX, 80</w:t>
      </w:r>
    </w:p>
    <w:p w:rsidR="00B47E3D" w:rsidRDefault="00B47E3D">
      <w:pPr>
        <w:pStyle w:val="Index1"/>
        <w:tabs>
          <w:tab w:val="right" w:pos="5030"/>
        </w:tabs>
        <w:rPr>
          <w:noProof/>
        </w:rPr>
      </w:pPr>
      <w:r>
        <w:rPr>
          <w:noProof/>
        </w:rPr>
        <w:t>Enterprise CAL für Microsoft Dynamics AX 2012 R3, 20</w:t>
      </w:r>
    </w:p>
    <w:p w:rsidR="00B47E3D" w:rsidRDefault="00B47E3D">
      <w:pPr>
        <w:pStyle w:val="Index1"/>
        <w:tabs>
          <w:tab w:val="right" w:pos="5030"/>
        </w:tabs>
        <w:rPr>
          <w:noProof/>
        </w:rPr>
      </w:pPr>
      <w:r>
        <w:rPr>
          <w:noProof/>
        </w:rPr>
        <w:t>Enterprise CAL für SharePoint Server 2013, 28</w:t>
      </w:r>
    </w:p>
    <w:p w:rsidR="00B47E3D" w:rsidRDefault="00B47E3D">
      <w:pPr>
        <w:pStyle w:val="Index1"/>
        <w:tabs>
          <w:tab w:val="right" w:pos="5030"/>
        </w:tabs>
        <w:rPr>
          <w:noProof/>
        </w:rPr>
      </w:pPr>
      <w:r>
        <w:rPr>
          <w:noProof/>
        </w:rPr>
        <w:t>Enterprise CAL für Skype for Business Server 2015, 29</w:t>
      </w:r>
    </w:p>
    <w:p w:rsidR="00B47E3D" w:rsidRDefault="00B47E3D">
      <w:pPr>
        <w:pStyle w:val="Index1"/>
        <w:tabs>
          <w:tab w:val="right" w:pos="5030"/>
        </w:tabs>
        <w:rPr>
          <w:noProof/>
        </w:rPr>
      </w:pPr>
      <w:r>
        <w:rPr>
          <w:noProof/>
        </w:rPr>
        <w:t>Enterprise CAL Suite, 16, 59</w:t>
      </w:r>
    </w:p>
    <w:p w:rsidR="00B47E3D" w:rsidRDefault="00B47E3D">
      <w:pPr>
        <w:pStyle w:val="Index1"/>
        <w:tabs>
          <w:tab w:val="right" w:pos="5030"/>
        </w:tabs>
        <w:rPr>
          <w:noProof/>
        </w:rPr>
      </w:pPr>
      <w:r>
        <w:rPr>
          <w:noProof/>
        </w:rPr>
        <w:t>Enterprise CAL Suite Bridge für Enterprise Mobility Suite, 87</w:t>
      </w:r>
    </w:p>
    <w:p w:rsidR="00B47E3D" w:rsidRDefault="00B47E3D">
      <w:pPr>
        <w:pStyle w:val="Index1"/>
        <w:tabs>
          <w:tab w:val="right" w:pos="5030"/>
        </w:tabs>
        <w:rPr>
          <w:noProof/>
        </w:rPr>
      </w:pPr>
      <w:r>
        <w:rPr>
          <w:noProof/>
        </w:rPr>
        <w:t>Enterprise CAL Suite Bridge für Microsoft Intune, 16, 87</w:t>
      </w:r>
    </w:p>
    <w:p w:rsidR="00B47E3D" w:rsidRDefault="00B47E3D">
      <w:pPr>
        <w:pStyle w:val="Index1"/>
        <w:tabs>
          <w:tab w:val="right" w:pos="5030"/>
        </w:tabs>
        <w:rPr>
          <w:noProof/>
        </w:rPr>
      </w:pPr>
      <w:r>
        <w:rPr>
          <w:noProof/>
        </w:rPr>
        <w:t>Enterprise CAL Suite Bridge für Office 365, 16, 55, 87</w:t>
      </w:r>
    </w:p>
    <w:p w:rsidR="00B47E3D" w:rsidRDefault="00B47E3D">
      <w:pPr>
        <w:pStyle w:val="Index1"/>
        <w:tabs>
          <w:tab w:val="right" w:pos="5030"/>
        </w:tabs>
        <w:rPr>
          <w:noProof/>
        </w:rPr>
      </w:pPr>
      <w:r>
        <w:rPr>
          <w:noProof/>
        </w:rPr>
        <w:t>Enterprise CAL Suite Bridge für Office 365 aus SA, 16</w:t>
      </w:r>
    </w:p>
    <w:p w:rsidR="00B47E3D" w:rsidRDefault="00B47E3D">
      <w:pPr>
        <w:pStyle w:val="Index1"/>
        <w:tabs>
          <w:tab w:val="right" w:pos="5030"/>
        </w:tabs>
        <w:rPr>
          <w:noProof/>
        </w:rPr>
      </w:pPr>
      <w:r>
        <w:rPr>
          <w:noProof/>
        </w:rPr>
        <w:t>Enterprise CAL Suite Bridge für Office 365 und Microsoft Intune, 16, 55, 87</w:t>
      </w:r>
    </w:p>
    <w:p w:rsidR="00B47E3D" w:rsidRDefault="00B47E3D">
      <w:pPr>
        <w:pStyle w:val="Index1"/>
        <w:tabs>
          <w:tab w:val="right" w:pos="5030"/>
        </w:tabs>
        <w:rPr>
          <w:noProof/>
        </w:rPr>
      </w:pPr>
      <w:r>
        <w:rPr>
          <w:noProof/>
        </w:rPr>
        <w:t>Enterprise Cloud Suite, 58</w:t>
      </w:r>
    </w:p>
    <w:p w:rsidR="00B47E3D" w:rsidRDefault="00B47E3D">
      <w:pPr>
        <w:pStyle w:val="Index1"/>
        <w:tabs>
          <w:tab w:val="right" w:pos="5030"/>
        </w:tabs>
        <w:rPr>
          <w:noProof/>
        </w:rPr>
      </w:pPr>
      <w:r>
        <w:rPr>
          <w:noProof/>
        </w:rPr>
        <w:t>Enterprise Cloud Suite aus SA, 58</w:t>
      </w:r>
    </w:p>
    <w:p w:rsidR="00B47E3D" w:rsidRDefault="00B47E3D">
      <w:pPr>
        <w:pStyle w:val="Index1"/>
        <w:tabs>
          <w:tab w:val="right" w:pos="5030"/>
        </w:tabs>
        <w:rPr>
          <w:noProof/>
        </w:rPr>
      </w:pPr>
      <w:r>
        <w:rPr>
          <w:noProof/>
        </w:rPr>
        <w:t>Enterprise Cloud Suite-Add-On, 58</w:t>
      </w:r>
    </w:p>
    <w:p w:rsidR="00B47E3D" w:rsidRDefault="00B47E3D">
      <w:pPr>
        <w:pStyle w:val="Index1"/>
        <w:tabs>
          <w:tab w:val="right" w:pos="5030"/>
        </w:tabs>
        <w:rPr>
          <w:noProof/>
        </w:rPr>
      </w:pPr>
      <w:r>
        <w:rPr>
          <w:noProof/>
        </w:rPr>
        <w:t>Enterprise Mobility Suite, 17, 55, 58, 64</w:t>
      </w:r>
    </w:p>
    <w:p w:rsidR="00B47E3D" w:rsidRDefault="00B47E3D">
      <w:pPr>
        <w:pStyle w:val="Index1"/>
        <w:tabs>
          <w:tab w:val="right" w:pos="5030"/>
        </w:tabs>
        <w:rPr>
          <w:noProof/>
        </w:rPr>
      </w:pPr>
      <w:r>
        <w:rPr>
          <w:noProof/>
        </w:rPr>
        <w:t>Enterprise Mobility Suite aus SA, 55, 58</w:t>
      </w:r>
    </w:p>
    <w:p w:rsidR="00B47E3D" w:rsidRDefault="00B47E3D">
      <w:pPr>
        <w:pStyle w:val="Index1"/>
        <w:tabs>
          <w:tab w:val="right" w:pos="5030"/>
        </w:tabs>
        <w:rPr>
          <w:noProof/>
        </w:rPr>
      </w:pPr>
      <w:r>
        <w:rPr>
          <w:noProof/>
        </w:rPr>
        <w:t>Enterprise Mobility Suite-Add-On, 55</w:t>
      </w:r>
    </w:p>
    <w:p w:rsidR="00B47E3D" w:rsidRDefault="00B47E3D">
      <w:pPr>
        <w:pStyle w:val="Index1"/>
        <w:tabs>
          <w:tab w:val="right" w:pos="5030"/>
        </w:tabs>
        <w:rPr>
          <w:noProof/>
        </w:rPr>
      </w:pPr>
      <w:r>
        <w:rPr>
          <w:noProof/>
        </w:rPr>
        <w:t>Excel 2016, 23</w:t>
      </w:r>
    </w:p>
    <w:p w:rsidR="00B47E3D" w:rsidRDefault="00B47E3D">
      <w:pPr>
        <w:pStyle w:val="Index1"/>
        <w:tabs>
          <w:tab w:val="right" w:pos="5030"/>
        </w:tabs>
        <w:rPr>
          <w:noProof/>
        </w:rPr>
      </w:pPr>
      <w:r>
        <w:rPr>
          <w:noProof/>
        </w:rPr>
        <w:t>Excel 2016 für Mac, 25</w:t>
      </w:r>
    </w:p>
    <w:p w:rsidR="00B47E3D" w:rsidRDefault="00B47E3D">
      <w:pPr>
        <w:pStyle w:val="Index1"/>
        <w:tabs>
          <w:tab w:val="right" w:pos="5030"/>
        </w:tabs>
        <w:rPr>
          <w:noProof/>
        </w:rPr>
      </w:pPr>
      <w:r>
        <w:rPr>
          <w:noProof/>
        </w:rPr>
        <w:t>Exchange Enterprise CAL mit Diensten, 66</w:t>
      </w:r>
    </w:p>
    <w:p w:rsidR="00B47E3D" w:rsidRDefault="00B47E3D">
      <w:pPr>
        <w:pStyle w:val="Index1"/>
        <w:tabs>
          <w:tab w:val="right" w:pos="5030"/>
        </w:tabs>
        <w:rPr>
          <w:noProof/>
        </w:rPr>
      </w:pPr>
      <w:r>
        <w:rPr>
          <w:noProof/>
        </w:rPr>
        <w:t>Exchange Hosted Archive, 66</w:t>
      </w:r>
    </w:p>
    <w:p w:rsidR="00B47E3D" w:rsidRDefault="00B47E3D">
      <w:pPr>
        <w:pStyle w:val="Index1"/>
        <w:tabs>
          <w:tab w:val="right" w:pos="5030"/>
        </w:tabs>
        <w:rPr>
          <w:noProof/>
        </w:rPr>
      </w:pPr>
      <w:r>
        <w:rPr>
          <w:noProof/>
        </w:rPr>
        <w:t>Exchange Online Kiosk, 66</w:t>
      </w:r>
    </w:p>
    <w:p w:rsidR="00B47E3D" w:rsidRDefault="00B47E3D">
      <w:pPr>
        <w:pStyle w:val="Index1"/>
        <w:tabs>
          <w:tab w:val="right" w:pos="5030"/>
        </w:tabs>
        <w:rPr>
          <w:noProof/>
        </w:rPr>
      </w:pPr>
      <w:r>
        <w:rPr>
          <w:noProof/>
        </w:rPr>
        <w:t>Exchange Online Plan 1, 26, 66</w:t>
      </w:r>
    </w:p>
    <w:p w:rsidR="00B47E3D" w:rsidRDefault="00B47E3D">
      <w:pPr>
        <w:pStyle w:val="Index1"/>
        <w:tabs>
          <w:tab w:val="right" w:pos="5030"/>
        </w:tabs>
        <w:rPr>
          <w:noProof/>
        </w:rPr>
      </w:pPr>
      <w:r>
        <w:rPr>
          <w:noProof/>
        </w:rPr>
        <w:t>Exchange Online Plan 1A für Alumni, 66</w:t>
      </w:r>
    </w:p>
    <w:p w:rsidR="00B47E3D" w:rsidRDefault="00B47E3D">
      <w:pPr>
        <w:pStyle w:val="Index1"/>
        <w:tabs>
          <w:tab w:val="right" w:pos="5030"/>
        </w:tabs>
        <w:rPr>
          <w:noProof/>
        </w:rPr>
      </w:pPr>
      <w:r>
        <w:rPr>
          <w:noProof/>
        </w:rPr>
        <w:t>Exchange Online Plan 2, 26, 66</w:t>
      </w:r>
    </w:p>
    <w:p w:rsidR="00B47E3D" w:rsidRDefault="00B47E3D">
      <w:pPr>
        <w:pStyle w:val="Index1"/>
        <w:tabs>
          <w:tab w:val="right" w:pos="5030"/>
        </w:tabs>
        <w:rPr>
          <w:noProof/>
        </w:rPr>
      </w:pPr>
      <w:r>
        <w:rPr>
          <w:noProof/>
        </w:rPr>
        <w:t>Exchange Online Protection, 16, 66</w:t>
      </w:r>
    </w:p>
    <w:p w:rsidR="00B47E3D" w:rsidRDefault="00B47E3D">
      <w:pPr>
        <w:pStyle w:val="Index1"/>
        <w:tabs>
          <w:tab w:val="right" w:pos="5030"/>
        </w:tabs>
        <w:rPr>
          <w:noProof/>
        </w:rPr>
      </w:pPr>
      <w:r>
        <w:rPr>
          <w:noProof/>
        </w:rPr>
        <w:t>Exchange Online-Archivierung für Exchange Online, 66</w:t>
      </w:r>
    </w:p>
    <w:p w:rsidR="00B47E3D" w:rsidRDefault="00B47E3D">
      <w:pPr>
        <w:pStyle w:val="Index1"/>
        <w:tabs>
          <w:tab w:val="right" w:pos="5030"/>
        </w:tabs>
        <w:rPr>
          <w:noProof/>
        </w:rPr>
      </w:pPr>
      <w:r>
        <w:rPr>
          <w:noProof/>
        </w:rPr>
        <w:t>Exchange Online-Archivierung für Exchange Server, 16, 66</w:t>
      </w:r>
    </w:p>
    <w:p w:rsidR="00B47E3D" w:rsidRDefault="00B47E3D">
      <w:pPr>
        <w:pStyle w:val="Index1"/>
        <w:tabs>
          <w:tab w:val="right" w:pos="5030"/>
        </w:tabs>
        <w:rPr>
          <w:noProof/>
        </w:rPr>
      </w:pPr>
      <w:r>
        <w:rPr>
          <w:noProof/>
        </w:rPr>
        <w:t>Exchange Server, 87</w:t>
      </w:r>
    </w:p>
    <w:p w:rsidR="00B47E3D" w:rsidRDefault="00B47E3D">
      <w:pPr>
        <w:pStyle w:val="Index1"/>
        <w:tabs>
          <w:tab w:val="right" w:pos="5030"/>
        </w:tabs>
        <w:rPr>
          <w:noProof/>
        </w:rPr>
      </w:pPr>
      <w:r>
        <w:rPr>
          <w:noProof/>
        </w:rPr>
        <w:t>Exchange Server 2013, 26</w:t>
      </w:r>
    </w:p>
    <w:p w:rsidR="00B47E3D" w:rsidRDefault="00B47E3D">
      <w:pPr>
        <w:pStyle w:val="Index1"/>
        <w:tabs>
          <w:tab w:val="right" w:pos="5030"/>
        </w:tabs>
        <w:rPr>
          <w:noProof/>
        </w:rPr>
      </w:pPr>
      <w:r>
        <w:rPr>
          <w:noProof/>
        </w:rPr>
        <w:t>Exchange Server Enterprise, 87</w:t>
      </w:r>
    </w:p>
    <w:p w:rsidR="00B47E3D" w:rsidRDefault="00B47E3D">
      <w:pPr>
        <w:pStyle w:val="Index1"/>
        <w:tabs>
          <w:tab w:val="right" w:pos="5030"/>
        </w:tabs>
        <w:rPr>
          <w:noProof/>
        </w:rPr>
      </w:pPr>
      <w:r>
        <w:rPr>
          <w:noProof/>
        </w:rPr>
        <w:t>Exchange Server Enterprise 2016, 26</w:t>
      </w:r>
    </w:p>
    <w:p w:rsidR="00B47E3D" w:rsidRDefault="00B47E3D">
      <w:pPr>
        <w:pStyle w:val="Index1"/>
        <w:tabs>
          <w:tab w:val="right" w:pos="5030"/>
        </w:tabs>
        <w:rPr>
          <w:noProof/>
        </w:rPr>
      </w:pPr>
      <w:r>
        <w:rPr>
          <w:noProof/>
        </w:rPr>
        <w:t>Exchange Server Standard, 87</w:t>
      </w:r>
    </w:p>
    <w:p w:rsidR="00B47E3D" w:rsidRDefault="00B47E3D">
      <w:pPr>
        <w:pStyle w:val="Index1"/>
        <w:tabs>
          <w:tab w:val="right" w:pos="5030"/>
        </w:tabs>
        <w:rPr>
          <w:noProof/>
        </w:rPr>
      </w:pPr>
      <w:r>
        <w:rPr>
          <w:noProof/>
        </w:rPr>
        <w:t>Exchange Server Standard 2016, 26</w:t>
      </w:r>
    </w:p>
    <w:p w:rsidR="00B47E3D" w:rsidRDefault="00B47E3D">
      <w:pPr>
        <w:pStyle w:val="Index1"/>
        <w:tabs>
          <w:tab w:val="right" w:pos="5030"/>
        </w:tabs>
        <w:rPr>
          <w:noProof/>
        </w:rPr>
      </w:pPr>
      <w:r>
        <w:rPr>
          <w:noProof/>
        </w:rPr>
        <w:t>Externer Connector für Microsoft Identity Manager 2016, 23</w:t>
      </w:r>
    </w:p>
    <w:p w:rsidR="00B47E3D" w:rsidRDefault="00B47E3D">
      <w:pPr>
        <w:pStyle w:val="Index1"/>
        <w:tabs>
          <w:tab w:val="right" w:pos="5030"/>
        </w:tabs>
        <w:rPr>
          <w:noProof/>
        </w:rPr>
      </w:pPr>
      <w:r>
        <w:rPr>
          <w:noProof/>
        </w:rPr>
        <w:t>Externer Connector für Windows Server 2012, 48</w:t>
      </w:r>
    </w:p>
    <w:p w:rsidR="00B47E3D" w:rsidRDefault="00B47E3D">
      <w:pPr>
        <w:pStyle w:val="Index1"/>
        <w:tabs>
          <w:tab w:val="right" w:pos="5030"/>
        </w:tabs>
        <w:rPr>
          <w:noProof/>
        </w:rPr>
      </w:pPr>
      <w:r>
        <w:rPr>
          <w:noProof/>
        </w:rPr>
        <w:t>Externer Connector für Windows Server 2012 Active Directory-Rechteverwaltungsdienste, 48</w:t>
      </w:r>
    </w:p>
    <w:p w:rsidR="00B47E3D" w:rsidRDefault="00B47E3D">
      <w:pPr>
        <w:pStyle w:val="Index1"/>
        <w:tabs>
          <w:tab w:val="right" w:pos="5030"/>
        </w:tabs>
        <w:rPr>
          <w:noProof/>
        </w:rPr>
      </w:pPr>
      <w:r>
        <w:rPr>
          <w:noProof/>
        </w:rPr>
        <w:t>Externer Connector für Windows Server 2012-Remotedesktopdienste, 48</w:t>
      </w:r>
    </w:p>
    <w:p w:rsidR="00B47E3D" w:rsidRDefault="00B47E3D">
      <w:pPr>
        <w:pStyle w:val="Index1"/>
        <w:tabs>
          <w:tab w:val="right" w:pos="5030"/>
        </w:tabs>
        <w:rPr>
          <w:noProof/>
        </w:rPr>
      </w:pPr>
      <w:r>
        <w:rPr>
          <w:noProof/>
        </w:rPr>
        <w:t>Forefront Identity Manager 2010 – Windows Live Edition, 19</w:t>
      </w:r>
    </w:p>
    <w:p w:rsidR="00B47E3D" w:rsidRDefault="00B47E3D">
      <w:pPr>
        <w:pStyle w:val="Index1"/>
        <w:tabs>
          <w:tab w:val="right" w:pos="5030"/>
        </w:tabs>
        <w:rPr>
          <w:noProof/>
        </w:rPr>
      </w:pPr>
      <w:r>
        <w:rPr>
          <w:noProof/>
        </w:rPr>
        <w:t>Forefront Identity Manager 2010 R2, 23, 50</w:t>
      </w:r>
    </w:p>
    <w:p w:rsidR="00B47E3D" w:rsidRDefault="00B47E3D">
      <w:pPr>
        <w:pStyle w:val="Index1"/>
        <w:tabs>
          <w:tab w:val="right" w:pos="5030"/>
        </w:tabs>
        <w:rPr>
          <w:noProof/>
        </w:rPr>
      </w:pPr>
      <w:r>
        <w:rPr>
          <w:noProof/>
        </w:rPr>
        <w:t>Forefront Identity Manager 2010 R2 – Windows Live Edition, 19</w:t>
      </w:r>
    </w:p>
    <w:p w:rsidR="00B47E3D" w:rsidRDefault="00B47E3D">
      <w:pPr>
        <w:pStyle w:val="Index1"/>
        <w:tabs>
          <w:tab w:val="right" w:pos="5030"/>
        </w:tabs>
        <w:rPr>
          <w:noProof/>
        </w:rPr>
      </w:pPr>
      <w:r>
        <w:rPr>
          <w:noProof/>
        </w:rPr>
        <w:t>Forefront TMG Enterprise, 87</w:t>
      </w:r>
    </w:p>
    <w:p w:rsidR="00B47E3D" w:rsidRDefault="00B47E3D">
      <w:pPr>
        <w:pStyle w:val="Index1"/>
        <w:tabs>
          <w:tab w:val="right" w:pos="5030"/>
        </w:tabs>
        <w:rPr>
          <w:noProof/>
        </w:rPr>
      </w:pPr>
      <w:r>
        <w:rPr>
          <w:noProof/>
        </w:rPr>
        <w:t>Forefront TMG Standard, 87</w:t>
      </w:r>
    </w:p>
    <w:p w:rsidR="00B47E3D" w:rsidRDefault="00B47E3D">
      <w:pPr>
        <w:pStyle w:val="Index1"/>
        <w:tabs>
          <w:tab w:val="right" w:pos="5030"/>
        </w:tabs>
        <w:rPr>
          <w:noProof/>
        </w:rPr>
      </w:pPr>
      <w:r>
        <w:rPr>
          <w:noProof/>
        </w:rPr>
        <w:t>Forefront United Access Gateway 2010, 17</w:t>
      </w:r>
    </w:p>
    <w:p w:rsidR="00B47E3D" w:rsidRDefault="00B47E3D">
      <w:pPr>
        <w:pStyle w:val="Index1"/>
        <w:tabs>
          <w:tab w:val="right" w:pos="5030"/>
        </w:tabs>
        <w:rPr>
          <w:noProof/>
        </w:rPr>
      </w:pPr>
      <w:r>
        <w:rPr>
          <w:noProof/>
        </w:rPr>
        <w:t>Funktions-CAL für Microsoft Dynamics AX, 80</w:t>
      </w:r>
    </w:p>
    <w:p w:rsidR="00B47E3D" w:rsidRDefault="00B47E3D">
      <w:pPr>
        <w:pStyle w:val="Index1"/>
        <w:tabs>
          <w:tab w:val="right" w:pos="5030"/>
        </w:tabs>
        <w:rPr>
          <w:noProof/>
        </w:rPr>
      </w:pPr>
      <w:r>
        <w:rPr>
          <w:noProof/>
        </w:rPr>
        <w:t>Funktions-CAL für Microsoft Dynamics AX 2012 R3, 20</w:t>
      </w:r>
    </w:p>
    <w:p w:rsidR="00B47E3D" w:rsidRDefault="00B47E3D">
      <w:pPr>
        <w:pStyle w:val="Index1"/>
        <w:tabs>
          <w:tab w:val="right" w:pos="5030"/>
        </w:tabs>
        <w:rPr>
          <w:noProof/>
        </w:rPr>
      </w:pPr>
      <w:r>
        <w:rPr>
          <w:noProof/>
        </w:rPr>
        <w:t>Geräte-CAL für Project Server 2016, 24</w:t>
      </w:r>
    </w:p>
    <w:p w:rsidR="00B47E3D" w:rsidRDefault="00B47E3D">
      <w:pPr>
        <w:pStyle w:val="Index1"/>
        <w:tabs>
          <w:tab w:val="right" w:pos="5030"/>
        </w:tabs>
        <w:rPr>
          <w:noProof/>
        </w:rPr>
      </w:pPr>
      <w:r>
        <w:rPr>
          <w:noProof/>
        </w:rPr>
        <w:t>globalen System Center-Dienstmonitor, 35</w:t>
      </w:r>
    </w:p>
    <w:p w:rsidR="00B47E3D" w:rsidRDefault="00B47E3D">
      <w:pPr>
        <w:pStyle w:val="Index1"/>
        <w:tabs>
          <w:tab w:val="right" w:pos="5030"/>
        </w:tabs>
        <w:rPr>
          <w:noProof/>
        </w:rPr>
      </w:pPr>
      <w:r>
        <w:rPr>
          <w:noProof/>
        </w:rPr>
        <w:t>HPC Pack, 50</w:t>
      </w:r>
    </w:p>
    <w:p w:rsidR="00B47E3D" w:rsidRDefault="00B47E3D">
      <w:pPr>
        <w:pStyle w:val="Index1"/>
        <w:tabs>
          <w:tab w:val="right" w:pos="5030"/>
        </w:tabs>
        <w:rPr>
          <w:noProof/>
        </w:rPr>
      </w:pPr>
      <w:r>
        <w:rPr>
          <w:noProof/>
        </w:rPr>
        <w:t>Importdienst für Office 365, 66</w:t>
      </w:r>
    </w:p>
    <w:p w:rsidR="00B47E3D" w:rsidRDefault="00B47E3D">
      <w:pPr>
        <w:pStyle w:val="Index1"/>
        <w:tabs>
          <w:tab w:val="right" w:pos="5030"/>
        </w:tabs>
        <w:rPr>
          <w:noProof/>
        </w:rPr>
      </w:pPr>
      <w:r>
        <w:rPr>
          <w:noProof/>
        </w:rPr>
        <w:t>Kommerzielle Nutzung für Office Home &amp; Student 2013 RT, 23</w:t>
      </w:r>
    </w:p>
    <w:p w:rsidR="00B47E3D" w:rsidRDefault="00B47E3D">
      <w:pPr>
        <w:pStyle w:val="Index1"/>
        <w:tabs>
          <w:tab w:val="right" w:pos="5030"/>
        </w:tabs>
        <w:rPr>
          <w:noProof/>
        </w:rPr>
      </w:pPr>
      <w:r>
        <w:rPr>
          <w:noProof/>
        </w:rPr>
        <w:t>Live Meeting Professional, 29</w:t>
      </w:r>
    </w:p>
    <w:p w:rsidR="00B47E3D" w:rsidRDefault="00B47E3D">
      <w:pPr>
        <w:pStyle w:val="Index1"/>
        <w:tabs>
          <w:tab w:val="right" w:pos="5030"/>
        </w:tabs>
        <w:rPr>
          <w:noProof/>
        </w:rPr>
      </w:pPr>
      <w:r>
        <w:rPr>
          <w:noProof/>
        </w:rPr>
        <w:t>Live Meeting Standard, 29</w:t>
      </w:r>
    </w:p>
    <w:p w:rsidR="00B47E3D" w:rsidRDefault="00B47E3D">
      <w:pPr>
        <w:pStyle w:val="Index1"/>
        <w:tabs>
          <w:tab w:val="right" w:pos="5030"/>
        </w:tabs>
        <w:rPr>
          <w:noProof/>
        </w:rPr>
      </w:pPr>
      <w:r>
        <w:rPr>
          <w:noProof/>
        </w:rPr>
        <w:t>Lync 2013, 24</w:t>
      </w:r>
    </w:p>
    <w:p w:rsidR="00B47E3D" w:rsidRDefault="00B47E3D">
      <w:pPr>
        <w:pStyle w:val="Index1"/>
        <w:tabs>
          <w:tab w:val="right" w:pos="5030"/>
        </w:tabs>
        <w:rPr>
          <w:noProof/>
        </w:rPr>
      </w:pPr>
      <w:r>
        <w:rPr>
          <w:noProof/>
        </w:rPr>
        <w:t>Lync für Mac 2011, 25, 68</w:t>
      </w:r>
    </w:p>
    <w:p w:rsidR="00B47E3D" w:rsidRDefault="00B47E3D">
      <w:pPr>
        <w:pStyle w:val="Index1"/>
        <w:tabs>
          <w:tab w:val="right" w:pos="5030"/>
        </w:tabs>
        <w:rPr>
          <w:noProof/>
        </w:rPr>
      </w:pPr>
      <w:r>
        <w:rPr>
          <w:noProof/>
        </w:rPr>
        <w:t>Lync Server 2010, 29</w:t>
      </w:r>
    </w:p>
    <w:p w:rsidR="00B47E3D" w:rsidRDefault="00B47E3D">
      <w:pPr>
        <w:pStyle w:val="Index1"/>
        <w:tabs>
          <w:tab w:val="right" w:pos="5030"/>
        </w:tabs>
        <w:rPr>
          <w:noProof/>
        </w:rPr>
      </w:pPr>
      <w:r>
        <w:rPr>
          <w:noProof/>
        </w:rPr>
        <w:t>Lync Server 2013, 29</w:t>
      </w:r>
    </w:p>
    <w:p w:rsidR="00B47E3D" w:rsidRDefault="00B47E3D">
      <w:pPr>
        <w:pStyle w:val="Index1"/>
        <w:tabs>
          <w:tab w:val="right" w:pos="5030"/>
        </w:tabs>
        <w:rPr>
          <w:noProof/>
        </w:rPr>
      </w:pPr>
      <w:r>
        <w:rPr>
          <w:noProof/>
        </w:rPr>
        <w:t>Microsoft Azure Platform-Diensten, 88</w:t>
      </w:r>
    </w:p>
    <w:p w:rsidR="00B47E3D" w:rsidRDefault="00B47E3D">
      <w:pPr>
        <w:pStyle w:val="Index1"/>
        <w:tabs>
          <w:tab w:val="right" w:pos="5030"/>
        </w:tabs>
        <w:rPr>
          <w:noProof/>
        </w:rPr>
      </w:pPr>
      <w:r>
        <w:rPr>
          <w:noProof/>
        </w:rPr>
        <w:t>Microsoft Azure-Dienste, 54</w:t>
      </w:r>
    </w:p>
    <w:p w:rsidR="00B47E3D" w:rsidRDefault="00B47E3D">
      <w:pPr>
        <w:pStyle w:val="Index1"/>
        <w:tabs>
          <w:tab w:val="right" w:pos="5030"/>
        </w:tabs>
        <w:rPr>
          <w:noProof/>
        </w:rPr>
      </w:pPr>
      <w:r>
        <w:rPr>
          <w:noProof/>
        </w:rPr>
        <w:t>Microsoft Azure-Diensten, 87</w:t>
      </w:r>
    </w:p>
    <w:p w:rsidR="00B47E3D" w:rsidRDefault="00B47E3D">
      <w:pPr>
        <w:pStyle w:val="Index1"/>
        <w:tabs>
          <w:tab w:val="right" w:pos="5030"/>
        </w:tabs>
        <w:rPr>
          <w:noProof/>
        </w:rPr>
      </w:pPr>
      <w:r>
        <w:rPr>
          <w:noProof/>
        </w:rPr>
        <w:t>Microsoft Azure-Standortwiederherstellung, 55</w:t>
      </w:r>
    </w:p>
    <w:p w:rsidR="00B47E3D" w:rsidRDefault="00B47E3D">
      <w:pPr>
        <w:pStyle w:val="Index1"/>
        <w:tabs>
          <w:tab w:val="right" w:pos="5030"/>
        </w:tabs>
        <w:rPr>
          <w:noProof/>
        </w:rPr>
      </w:pPr>
      <w:r>
        <w:rPr>
          <w:noProof/>
        </w:rPr>
        <w:t>Microsoft Dynamics AX 2012 R2, 20</w:t>
      </w:r>
    </w:p>
    <w:p w:rsidR="00B47E3D" w:rsidRDefault="00B47E3D">
      <w:pPr>
        <w:pStyle w:val="Index1"/>
        <w:tabs>
          <w:tab w:val="right" w:pos="5030"/>
        </w:tabs>
        <w:rPr>
          <w:noProof/>
        </w:rPr>
      </w:pPr>
      <w:r>
        <w:rPr>
          <w:noProof/>
        </w:rPr>
        <w:t>Microsoft Dynamics AX 2012 R3 Server, 20</w:t>
      </w:r>
    </w:p>
    <w:p w:rsidR="00B47E3D" w:rsidRDefault="00B47E3D">
      <w:pPr>
        <w:pStyle w:val="Index1"/>
        <w:tabs>
          <w:tab w:val="right" w:pos="5030"/>
        </w:tabs>
        <w:rPr>
          <w:noProof/>
        </w:rPr>
      </w:pPr>
      <w:r>
        <w:rPr>
          <w:noProof/>
        </w:rPr>
        <w:t>Microsoft Dynamics AX 2012 R3 Speicherserver, 20</w:t>
      </w:r>
    </w:p>
    <w:p w:rsidR="00B47E3D" w:rsidRDefault="00B47E3D">
      <w:pPr>
        <w:pStyle w:val="Index1"/>
        <w:tabs>
          <w:tab w:val="right" w:pos="5030"/>
        </w:tabs>
        <w:rPr>
          <w:noProof/>
        </w:rPr>
      </w:pPr>
      <w:r>
        <w:rPr>
          <w:noProof/>
        </w:rPr>
        <w:t>Microsoft Dynamics AX 2012 R3 Standard Commerce Server Core, 20</w:t>
      </w:r>
    </w:p>
    <w:p w:rsidR="00B47E3D" w:rsidRDefault="00B47E3D">
      <w:pPr>
        <w:pStyle w:val="Index1"/>
        <w:tabs>
          <w:tab w:val="right" w:pos="5030"/>
        </w:tabs>
        <w:rPr>
          <w:noProof/>
        </w:rPr>
      </w:pPr>
      <w:r>
        <w:rPr>
          <w:noProof/>
        </w:rPr>
        <w:t>Microsoft Dynamics AX Standard Commerce Core Server, 81</w:t>
      </w:r>
    </w:p>
    <w:p w:rsidR="00B47E3D" w:rsidRDefault="00B47E3D">
      <w:pPr>
        <w:pStyle w:val="Index1"/>
        <w:tabs>
          <w:tab w:val="right" w:pos="5030"/>
        </w:tabs>
        <w:rPr>
          <w:noProof/>
        </w:rPr>
      </w:pPr>
      <w:r>
        <w:rPr>
          <w:noProof/>
        </w:rPr>
        <w:t>Microsoft Dynamics AX Store Server, 80</w:t>
      </w:r>
    </w:p>
    <w:p w:rsidR="00B47E3D" w:rsidRDefault="00B47E3D">
      <w:pPr>
        <w:pStyle w:val="Index1"/>
        <w:tabs>
          <w:tab w:val="right" w:pos="5030"/>
        </w:tabs>
        <w:rPr>
          <w:noProof/>
        </w:rPr>
      </w:pPr>
      <w:r>
        <w:rPr>
          <w:noProof/>
        </w:rPr>
        <w:t>Microsoft Dynamics CRM 2013, 21</w:t>
      </w:r>
    </w:p>
    <w:p w:rsidR="00B47E3D" w:rsidRDefault="00B47E3D">
      <w:pPr>
        <w:pStyle w:val="Index1"/>
        <w:tabs>
          <w:tab w:val="right" w:pos="5030"/>
        </w:tabs>
        <w:rPr>
          <w:noProof/>
        </w:rPr>
      </w:pPr>
      <w:r>
        <w:rPr>
          <w:noProof/>
        </w:rPr>
        <w:t>Microsoft Dynamics CRM 2015, 21</w:t>
      </w:r>
    </w:p>
    <w:p w:rsidR="00B47E3D" w:rsidRDefault="00B47E3D">
      <w:pPr>
        <w:pStyle w:val="Index1"/>
        <w:tabs>
          <w:tab w:val="right" w:pos="5030"/>
        </w:tabs>
        <w:rPr>
          <w:noProof/>
        </w:rPr>
      </w:pPr>
      <w:r>
        <w:rPr>
          <w:noProof/>
        </w:rPr>
        <w:t>Microsoft Dynamics CRM Online Basic, 59</w:t>
      </w:r>
    </w:p>
    <w:p w:rsidR="00B47E3D" w:rsidRDefault="00B47E3D">
      <w:pPr>
        <w:pStyle w:val="Index1"/>
        <w:tabs>
          <w:tab w:val="right" w:pos="5030"/>
        </w:tabs>
        <w:rPr>
          <w:noProof/>
        </w:rPr>
      </w:pPr>
      <w:r>
        <w:rPr>
          <w:noProof/>
        </w:rPr>
        <w:t>Microsoft Dynamics CRM Online Basic für SA, 59</w:t>
      </w:r>
    </w:p>
    <w:p w:rsidR="00B47E3D" w:rsidRDefault="00B47E3D">
      <w:pPr>
        <w:pStyle w:val="Index1"/>
        <w:tabs>
          <w:tab w:val="right" w:pos="5030"/>
        </w:tabs>
        <w:rPr>
          <w:noProof/>
        </w:rPr>
      </w:pPr>
      <w:r>
        <w:rPr>
          <w:noProof/>
        </w:rPr>
        <w:t>Microsoft Dynamics CRM Online Enhanced Support, 59</w:t>
      </w:r>
    </w:p>
    <w:p w:rsidR="00B47E3D" w:rsidRDefault="00B47E3D">
      <w:pPr>
        <w:pStyle w:val="Index1"/>
        <w:tabs>
          <w:tab w:val="right" w:pos="5030"/>
        </w:tabs>
        <w:rPr>
          <w:noProof/>
        </w:rPr>
      </w:pPr>
      <w:r>
        <w:rPr>
          <w:noProof/>
        </w:rPr>
        <w:t>Microsoft Dynamics CRM Online Enterprise, 59</w:t>
      </w:r>
    </w:p>
    <w:p w:rsidR="00B47E3D" w:rsidRDefault="00B47E3D">
      <w:pPr>
        <w:pStyle w:val="Index1"/>
        <w:tabs>
          <w:tab w:val="right" w:pos="5030"/>
        </w:tabs>
        <w:rPr>
          <w:noProof/>
        </w:rPr>
      </w:pPr>
      <w:r>
        <w:rPr>
          <w:noProof/>
        </w:rPr>
        <w:t>Microsoft Dynamics CRM Online Enterprise für SA, 59</w:t>
      </w:r>
    </w:p>
    <w:p w:rsidR="00B47E3D" w:rsidRDefault="00B47E3D">
      <w:pPr>
        <w:pStyle w:val="Index1"/>
        <w:tabs>
          <w:tab w:val="right" w:pos="5030"/>
        </w:tabs>
        <w:rPr>
          <w:noProof/>
        </w:rPr>
      </w:pPr>
      <w:r>
        <w:rPr>
          <w:noProof/>
        </w:rPr>
        <w:t>Microsoft Dynamics CRM Online Essential, 59</w:t>
      </w:r>
    </w:p>
    <w:p w:rsidR="00B47E3D" w:rsidRDefault="00B47E3D">
      <w:pPr>
        <w:pStyle w:val="Index1"/>
        <w:tabs>
          <w:tab w:val="right" w:pos="5030"/>
        </w:tabs>
        <w:rPr>
          <w:noProof/>
        </w:rPr>
      </w:pPr>
      <w:r>
        <w:rPr>
          <w:noProof/>
        </w:rPr>
        <w:t>Microsoft Dynamics CRM Online Essential für SA, 59</w:t>
      </w:r>
    </w:p>
    <w:p w:rsidR="00B47E3D" w:rsidRDefault="00B47E3D">
      <w:pPr>
        <w:pStyle w:val="Index1"/>
        <w:tabs>
          <w:tab w:val="right" w:pos="5030"/>
        </w:tabs>
        <w:rPr>
          <w:noProof/>
        </w:rPr>
      </w:pPr>
      <w:r>
        <w:rPr>
          <w:noProof/>
        </w:rPr>
        <w:t>Microsoft Dynamics CRM Online Professional, 59</w:t>
      </w:r>
    </w:p>
    <w:p w:rsidR="00B47E3D" w:rsidRDefault="00B47E3D">
      <w:pPr>
        <w:pStyle w:val="Index1"/>
        <w:tabs>
          <w:tab w:val="right" w:pos="5030"/>
        </w:tabs>
        <w:rPr>
          <w:noProof/>
        </w:rPr>
      </w:pPr>
      <w:r>
        <w:rPr>
          <w:noProof/>
        </w:rPr>
        <w:t>Microsoft Dynamics CRM Online Professional Add-On für Office 365, 59</w:t>
      </w:r>
    </w:p>
    <w:p w:rsidR="00B47E3D" w:rsidRDefault="00B47E3D">
      <w:pPr>
        <w:pStyle w:val="Index1"/>
        <w:tabs>
          <w:tab w:val="right" w:pos="5030"/>
        </w:tabs>
        <w:rPr>
          <w:noProof/>
        </w:rPr>
      </w:pPr>
      <w:r>
        <w:rPr>
          <w:noProof/>
        </w:rPr>
        <w:t>Microsoft Dynamics CRM Online Professional Add-On für Office 365 für SA, 59</w:t>
      </w:r>
    </w:p>
    <w:p w:rsidR="00B47E3D" w:rsidRDefault="00B47E3D">
      <w:pPr>
        <w:pStyle w:val="Index1"/>
        <w:tabs>
          <w:tab w:val="right" w:pos="5030"/>
        </w:tabs>
        <w:rPr>
          <w:noProof/>
        </w:rPr>
      </w:pPr>
      <w:r>
        <w:rPr>
          <w:noProof/>
        </w:rPr>
        <w:t>Microsoft Dynamics CRM Online Professional Direct Support, 59</w:t>
      </w:r>
    </w:p>
    <w:p w:rsidR="00B47E3D" w:rsidRDefault="00B47E3D">
      <w:pPr>
        <w:pStyle w:val="Index1"/>
        <w:tabs>
          <w:tab w:val="right" w:pos="5030"/>
        </w:tabs>
        <w:rPr>
          <w:noProof/>
        </w:rPr>
      </w:pPr>
      <w:r>
        <w:rPr>
          <w:noProof/>
        </w:rPr>
        <w:t>Microsoft Dynamics CRM Online Professional für SA, 59</w:t>
      </w:r>
    </w:p>
    <w:p w:rsidR="00B47E3D" w:rsidRDefault="00B47E3D">
      <w:pPr>
        <w:pStyle w:val="Index1"/>
        <w:tabs>
          <w:tab w:val="right" w:pos="5030"/>
        </w:tabs>
        <w:rPr>
          <w:noProof/>
        </w:rPr>
      </w:pPr>
      <w:r>
        <w:rPr>
          <w:noProof/>
        </w:rPr>
        <w:t>Microsoft Dynamics CRM Server, 87</w:t>
      </w:r>
    </w:p>
    <w:p w:rsidR="00B47E3D" w:rsidRDefault="00B47E3D">
      <w:pPr>
        <w:pStyle w:val="Index1"/>
        <w:tabs>
          <w:tab w:val="right" w:pos="5030"/>
        </w:tabs>
        <w:rPr>
          <w:noProof/>
        </w:rPr>
      </w:pPr>
      <w:r>
        <w:rPr>
          <w:noProof/>
        </w:rPr>
        <w:t>Microsoft Dynamics CRM Server 2011, 80</w:t>
      </w:r>
    </w:p>
    <w:p w:rsidR="00B47E3D" w:rsidRDefault="00B47E3D">
      <w:pPr>
        <w:pStyle w:val="Index1"/>
        <w:tabs>
          <w:tab w:val="right" w:pos="5030"/>
        </w:tabs>
        <w:rPr>
          <w:noProof/>
        </w:rPr>
      </w:pPr>
      <w:r>
        <w:rPr>
          <w:noProof/>
        </w:rPr>
        <w:t>Microsoft Dynamics CRM Server 2013, 80</w:t>
      </w:r>
    </w:p>
    <w:p w:rsidR="00B47E3D" w:rsidRDefault="00B47E3D">
      <w:pPr>
        <w:pStyle w:val="Index1"/>
        <w:tabs>
          <w:tab w:val="right" w:pos="5030"/>
        </w:tabs>
        <w:rPr>
          <w:noProof/>
        </w:rPr>
      </w:pPr>
      <w:r>
        <w:rPr>
          <w:noProof/>
        </w:rPr>
        <w:t>Microsoft Dynamics CRM Server 2015, 80</w:t>
      </w:r>
    </w:p>
    <w:p w:rsidR="00B47E3D" w:rsidRDefault="00B47E3D">
      <w:pPr>
        <w:pStyle w:val="Index1"/>
        <w:tabs>
          <w:tab w:val="right" w:pos="5030"/>
        </w:tabs>
        <w:rPr>
          <w:noProof/>
        </w:rPr>
      </w:pPr>
      <w:r>
        <w:rPr>
          <w:noProof/>
        </w:rPr>
        <w:t>Microsoft Dynamics CRM Server 2016, 21</w:t>
      </w:r>
    </w:p>
    <w:p w:rsidR="00B47E3D" w:rsidRDefault="00B47E3D">
      <w:pPr>
        <w:pStyle w:val="Index1"/>
        <w:tabs>
          <w:tab w:val="right" w:pos="5030"/>
        </w:tabs>
        <w:rPr>
          <w:noProof/>
        </w:rPr>
      </w:pPr>
      <w:r>
        <w:rPr>
          <w:noProof/>
        </w:rPr>
        <w:t>Microsoft Dynamics CRM Workgroup Server, 87</w:t>
      </w:r>
    </w:p>
    <w:p w:rsidR="00B47E3D" w:rsidRDefault="00B47E3D">
      <w:pPr>
        <w:pStyle w:val="Index1"/>
        <w:tabs>
          <w:tab w:val="right" w:pos="5030"/>
        </w:tabs>
        <w:rPr>
          <w:noProof/>
        </w:rPr>
      </w:pPr>
      <w:r>
        <w:rPr>
          <w:noProof/>
        </w:rPr>
        <w:t>Microsoft Dynamics CRM Workgroup Server 2016, 21</w:t>
      </w:r>
    </w:p>
    <w:p w:rsidR="00B47E3D" w:rsidRDefault="00B47E3D">
      <w:pPr>
        <w:pStyle w:val="Index1"/>
        <w:tabs>
          <w:tab w:val="right" w:pos="5030"/>
        </w:tabs>
        <w:rPr>
          <w:noProof/>
        </w:rPr>
      </w:pPr>
      <w:r>
        <w:rPr>
          <w:noProof/>
        </w:rPr>
        <w:t>Microsoft Dynamics Employee Self Service (Nutzer-AL), 59</w:t>
      </w:r>
    </w:p>
    <w:p w:rsidR="00B47E3D" w:rsidRDefault="00B47E3D">
      <w:pPr>
        <w:pStyle w:val="Index1"/>
        <w:tabs>
          <w:tab w:val="right" w:pos="5030"/>
        </w:tabs>
        <w:rPr>
          <w:noProof/>
        </w:rPr>
      </w:pPr>
      <w:r>
        <w:rPr>
          <w:noProof/>
        </w:rPr>
        <w:t>Microsoft Dynamics Marketing Enhanced Support, 60</w:t>
      </w:r>
    </w:p>
    <w:p w:rsidR="00B47E3D" w:rsidRDefault="00B47E3D">
      <w:pPr>
        <w:pStyle w:val="Index1"/>
        <w:tabs>
          <w:tab w:val="right" w:pos="5030"/>
        </w:tabs>
        <w:rPr>
          <w:noProof/>
        </w:rPr>
      </w:pPr>
      <w:r>
        <w:rPr>
          <w:noProof/>
        </w:rPr>
        <w:t>Microsoft Dynamics Marketing Enterprise, 60</w:t>
      </w:r>
    </w:p>
    <w:p w:rsidR="00B47E3D" w:rsidRDefault="00B47E3D">
      <w:pPr>
        <w:pStyle w:val="Index1"/>
        <w:tabs>
          <w:tab w:val="right" w:pos="5030"/>
        </w:tabs>
        <w:rPr>
          <w:noProof/>
        </w:rPr>
      </w:pPr>
      <w:r>
        <w:rPr>
          <w:noProof/>
        </w:rPr>
        <w:t>Microsoft Dynamics Marketing Enterprise Extra Storage, 60</w:t>
      </w:r>
    </w:p>
    <w:p w:rsidR="00B47E3D" w:rsidRDefault="00B47E3D">
      <w:pPr>
        <w:pStyle w:val="Index1"/>
        <w:tabs>
          <w:tab w:val="right" w:pos="5030"/>
        </w:tabs>
        <w:rPr>
          <w:noProof/>
        </w:rPr>
      </w:pPr>
      <w:r>
        <w:rPr>
          <w:noProof/>
        </w:rPr>
        <w:t>Microsoft Dynamics Marketing Extra Messages, 60</w:t>
      </w:r>
    </w:p>
    <w:p w:rsidR="00B47E3D" w:rsidRDefault="00B47E3D">
      <w:pPr>
        <w:pStyle w:val="Index1"/>
        <w:tabs>
          <w:tab w:val="right" w:pos="5030"/>
        </w:tabs>
        <w:rPr>
          <w:noProof/>
        </w:rPr>
      </w:pPr>
      <w:r>
        <w:rPr>
          <w:noProof/>
        </w:rPr>
        <w:t>Microsoft Dynamics Marketing Sales Collaboration, 60</w:t>
      </w:r>
    </w:p>
    <w:p w:rsidR="00B47E3D" w:rsidRDefault="00B47E3D">
      <w:pPr>
        <w:pStyle w:val="Index1"/>
        <w:tabs>
          <w:tab w:val="right" w:pos="5030"/>
        </w:tabs>
        <w:rPr>
          <w:noProof/>
        </w:rPr>
      </w:pPr>
      <w:r>
        <w:rPr>
          <w:noProof/>
        </w:rPr>
        <w:t>Microsoft Dynamics Marketing SMS Credit (Add-On-AL), 60</w:t>
      </w:r>
    </w:p>
    <w:p w:rsidR="00B47E3D" w:rsidRDefault="00B47E3D">
      <w:pPr>
        <w:pStyle w:val="Index1"/>
        <w:tabs>
          <w:tab w:val="right" w:pos="5030"/>
        </w:tabs>
        <w:rPr>
          <w:noProof/>
        </w:rPr>
      </w:pPr>
      <w:r>
        <w:rPr>
          <w:noProof/>
        </w:rPr>
        <w:t>Microsoft Intune, 17, 37, 58</w:t>
      </w:r>
    </w:p>
    <w:p w:rsidR="00B47E3D" w:rsidRDefault="00B47E3D">
      <w:pPr>
        <w:pStyle w:val="Index1"/>
        <w:tabs>
          <w:tab w:val="right" w:pos="5030"/>
        </w:tabs>
        <w:rPr>
          <w:noProof/>
        </w:rPr>
      </w:pPr>
      <w:r>
        <w:rPr>
          <w:noProof/>
        </w:rPr>
        <w:t>Microsoft Learning E-Reference Library, 69</w:t>
      </w:r>
    </w:p>
    <w:p w:rsidR="00B47E3D" w:rsidRDefault="00B47E3D">
      <w:pPr>
        <w:pStyle w:val="Index1"/>
        <w:tabs>
          <w:tab w:val="right" w:pos="5030"/>
        </w:tabs>
        <w:rPr>
          <w:noProof/>
        </w:rPr>
      </w:pPr>
      <w:r>
        <w:rPr>
          <w:noProof/>
        </w:rPr>
        <w:t>Microsoft Learning Imagine Academy, 69</w:t>
      </w:r>
    </w:p>
    <w:p w:rsidR="00B47E3D" w:rsidRDefault="00B47E3D">
      <w:pPr>
        <w:pStyle w:val="Index1"/>
        <w:tabs>
          <w:tab w:val="right" w:pos="5030"/>
        </w:tabs>
        <w:rPr>
          <w:noProof/>
        </w:rPr>
      </w:pPr>
      <w:r>
        <w:rPr>
          <w:noProof/>
        </w:rPr>
        <w:t>Microsoft Learning MOS 500 Exam Site License, 69</w:t>
      </w:r>
    </w:p>
    <w:p w:rsidR="00B47E3D" w:rsidRDefault="00B47E3D">
      <w:pPr>
        <w:pStyle w:val="Index1"/>
        <w:tabs>
          <w:tab w:val="right" w:pos="5030"/>
        </w:tabs>
        <w:rPr>
          <w:noProof/>
        </w:rPr>
      </w:pPr>
      <w:r>
        <w:rPr>
          <w:noProof/>
        </w:rPr>
        <w:t>Microsoft Learning MTA 250 Exam Site License, 69</w:t>
      </w:r>
    </w:p>
    <w:p w:rsidR="00B47E3D" w:rsidRDefault="00B47E3D">
      <w:pPr>
        <w:pStyle w:val="Index1"/>
        <w:tabs>
          <w:tab w:val="right" w:pos="5030"/>
        </w:tabs>
        <w:rPr>
          <w:noProof/>
        </w:rPr>
      </w:pPr>
      <w:r>
        <w:rPr>
          <w:noProof/>
        </w:rPr>
        <w:t>Microsoft Office Audit and Control Management Server 2013, 28</w:t>
      </w:r>
    </w:p>
    <w:p w:rsidR="00B47E3D" w:rsidRDefault="00B47E3D">
      <w:pPr>
        <w:pStyle w:val="Index1"/>
        <w:tabs>
          <w:tab w:val="right" w:pos="5030"/>
        </w:tabs>
        <w:rPr>
          <w:noProof/>
        </w:rPr>
      </w:pPr>
      <w:r>
        <w:rPr>
          <w:noProof/>
        </w:rPr>
        <w:t>Microsoft Social Engagement, 60</w:t>
      </w:r>
    </w:p>
    <w:p w:rsidR="00B47E3D" w:rsidRDefault="00B47E3D">
      <w:pPr>
        <w:pStyle w:val="Index1"/>
        <w:tabs>
          <w:tab w:val="right" w:pos="5030"/>
        </w:tabs>
        <w:rPr>
          <w:noProof/>
        </w:rPr>
      </w:pPr>
      <w:r>
        <w:rPr>
          <w:noProof/>
        </w:rPr>
        <w:t>Microsoft Social Engagement Additional Posts, 60</w:t>
      </w:r>
    </w:p>
    <w:p w:rsidR="00B47E3D" w:rsidRDefault="00B47E3D">
      <w:pPr>
        <w:pStyle w:val="Index1"/>
        <w:tabs>
          <w:tab w:val="right" w:pos="5030"/>
        </w:tabs>
        <w:rPr>
          <w:noProof/>
        </w:rPr>
      </w:pPr>
      <w:r>
        <w:rPr>
          <w:noProof/>
        </w:rPr>
        <w:t>Microsoft Social Engagement Enterprise, 60</w:t>
      </w:r>
    </w:p>
    <w:p w:rsidR="00B47E3D" w:rsidRDefault="00B47E3D">
      <w:pPr>
        <w:pStyle w:val="Index1"/>
        <w:tabs>
          <w:tab w:val="right" w:pos="5030"/>
        </w:tabs>
        <w:rPr>
          <w:noProof/>
        </w:rPr>
      </w:pPr>
      <w:r>
        <w:rPr>
          <w:noProof/>
        </w:rPr>
        <w:t>Microsoft Social Engagement Professional, 60</w:t>
      </w:r>
    </w:p>
    <w:p w:rsidR="00B47E3D" w:rsidRDefault="00B47E3D">
      <w:pPr>
        <w:pStyle w:val="Index1"/>
        <w:tabs>
          <w:tab w:val="right" w:pos="5030"/>
        </w:tabs>
        <w:rPr>
          <w:noProof/>
        </w:rPr>
      </w:pPr>
      <w:r>
        <w:rPr>
          <w:noProof/>
        </w:rPr>
        <w:t>Microsoft Social Engagement Professional Direct Support, 60</w:t>
      </w:r>
    </w:p>
    <w:p w:rsidR="00B47E3D" w:rsidRDefault="00B47E3D">
      <w:pPr>
        <w:pStyle w:val="Index1"/>
        <w:tabs>
          <w:tab w:val="right" w:pos="5030"/>
        </w:tabs>
        <w:rPr>
          <w:noProof/>
        </w:rPr>
      </w:pPr>
      <w:r>
        <w:rPr>
          <w:noProof/>
        </w:rPr>
        <w:t>Microsoft Translator API, 69</w:t>
      </w:r>
    </w:p>
    <w:p w:rsidR="00B47E3D" w:rsidRDefault="00B47E3D">
      <w:pPr>
        <w:pStyle w:val="Index1"/>
        <w:tabs>
          <w:tab w:val="right" w:pos="5030"/>
        </w:tabs>
        <w:rPr>
          <w:noProof/>
        </w:rPr>
      </w:pPr>
      <w:r>
        <w:rPr>
          <w:noProof/>
        </w:rPr>
        <w:t>Microsoft-Azure-Diensten, 88</w:t>
      </w:r>
    </w:p>
    <w:p w:rsidR="00B47E3D" w:rsidRDefault="00B47E3D">
      <w:pPr>
        <w:pStyle w:val="Index1"/>
        <w:tabs>
          <w:tab w:val="right" w:pos="5030"/>
        </w:tabs>
        <w:rPr>
          <w:noProof/>
        </w:rPr>
      </w:pPr>
      <w:r>
        <w:rPr>
          <w:noProof/>
        </w:rPr>
        <w:t>MSDN-Plattformen, 38</w:t>
      </w:r>
    </w:p>
    <w:p w:rsidR="00B47E3D" w:rsidRDefault="00B47E3D">
      <w:pPr>
        <w:pStyle w:val="Index1"/>
        <w:tabs>
          <w:tab w:val="right" w:pos="5030"/>
        </w:tabs>
        <w:rPr>
          <w:noProof/>
        </w:rPr>
      </w:pPr>
      <w:r>
        <w:rPr>
          <w:noProof/>
        </w:rPr>
        <w:t>Multi-Factor Authentication, 58</w:t>
      </w:r>
    </w:p>
    <w:p w:rsidR="00B47E3D" w:rsidRDefault="00B47E3D">
      <w:pPr>
        <w:pStyle w:val="Index1"/>
        <w:tabs>
          <w:tab w:val="right" w:pos="5030"/>
        </w:tabs>
        <w:rPr>
          <w:noProof/>
        </w:rPr>
      </w:pPr>
      <w:r>
        <w:rPr>
          <w:noProof/>
        </w:rPr>
        <w:t>Nutzer-AL, 28</w:t>
      </w:r>
    </w:p>
    <w:p w:rsidR="00B47E3D" w:rsidRDefault="00B47E3D">
      <w:pPr>
        <w:pStyle w:val="Index1"/>
        <w:tabs>
          <w:tab w:val="right" w:pos="5030"/>
        </w:tabs>
        <w:rPr>
          <w:noProof/>
        </w:rPr>
      </w:pPr>
      <w:r>
        <w:rPr>
          <w:noProof/>
        </w:rPr>
        <w:t>Nutzer-AL für Add-On für Microsoft Intune Extra Storage 1 GB, 59</w:t>
      </w:r>
    </w:p>
    <w:p w:rsidR="00B47E3D" w:rsidRDefault="00B47E3D">
      <w:pPr>
        <w:pStyle w:val="Index1"/>
        <w:tabs>
          <w:tab w:val="right" w:pos="5030"/>
        </w:tabs>
        <w:rPr>
          <w:noProof/>
        </w:rPr>
      </w:pPr>
      <w:r>
        <w:rPr>
          <w:noProof/>
        </w:rPr>
        <w:t>Office 2013, 24</w:t>
      </w:r>
    </w:p>
    <w:p w:rsidR="00B47E3D" w:rsidRDefault="00B47E3D">
      <w:pPr>
        <w:pStyle w:val="Index1"/>
        <w:tabs>
          <w:tab w:val="right" w:pos="5030"/>
        </w:tabs>
        <w:rPr>
          <w:noProof/>
        </w:rPr>
      </w:pPr>
      <w:r>
        <w:rPr>
          <w:noProof/>
        </w:rPr>
        <w:t>Office 2016 für Mac Standard, 25</w:t>
      </w:r>
    </w:p>
    <w:p w:rsidR="00B47E3D" w:rsidRDefault="00B47E3D">
      <w:pPr>
        <w:pStyle w:val="Index1"/>
        <w:tabs>
          <w:tab w:val="right" w:pos="5030"/>
        </w:tabs>
        <w:rPr>
          <w:noProof/>
        </w:rPr>
      </w:pPr>
      <w:r>
        <w:rPr>
          <w:noProof/>
        </w:rPr>
        <w:t>Office 365, 24</w:t>
      </w:r>
    </w:p>
    <w:p w:rsidR="00B47E3D" w:rsidRDefault="00B47E3D">
      <w:pPr>
        <w:pStyle w:val="Index1"/>
        <w:tabs>
          <w:tab w:val="right" w:pos="5030"/>
        </w:tabs>
        <w:rPr>
          <w:noProof/>
        </w:rPr>
      </w:pPr>
      <w:r>
        <w:rPr>
          <w:noProof/>
        </w:rPr>
        <w:t>Office 365 Advanced eDiscovery, 66</w:t>
      </w:r>
    </w:p>
    <w:p w:rsidR="00B47E3D" w:rsidRDefault="00B47E3D">
      <w:pPr>
        <w:pStyle w:val="Index1"/>
        <w:tabs>
          <w:tab w:val="right" w:pos="5030"/>
        </w:tabs>
        <w:rPr>
          <w:noProof/>
        </w:rPr>
      </w:pPr>
      <w:r>
        <w:rPr>
          <w:noProof/>
        </w:rPr>
        <w:t>Office 365 Business, 61</w:t>
      </w:r>
    </w:p>
    <w:p w:rsidR="00B47E3D" w:rsidRDefault="00B47E3D">
      <w:pPr>
        <w:pStyle w:val="Index1"/>
        <w:tabs>
          <w:tab w:val="right" w:pos="5030"/>
        </w:tabs>
        <w:rPr>
          <w:noProof/>
        </w:rPr>
      </w:pPr>
      <w:r>
        <w:rPr>
          <w:noProof/>
        </w:rPr>
        <w:t>Office 365 Business Essentials, 63</w:t>
      </w:r>
    </w:p>
    <w:p w:rsidR="00B47E3D" w:rsidRDefault="00B47E3D">
      <w:pPr>
        <w:pStyle w:val="Index1"/>
        <w:tabs>
          <w:tab w:val="right" w:pos="5030"/>
        </w:tabs>
        <w:rPr>
          <w:noProof/>
        </w:rPr>
      </w:pPr>
      <w:r>
        <w:rPr>
          <w:noProof/>
        </w:rPr>
        <w:t>Office 365 Business Premium, 63</w:t>
      </w:r>
    </w:p>
    <w:p w:rsidR="00B47E3D" w:rsidRDefault="00B47E3D">
      <w:pPr>
        <w:pStyle w:val="Index1"/>
        <w:tabs>
          <w:tab w:val="right" w:pos="5030"/>
        </w:tabs>
        <w:rPr>
          <w:noProof/>
        </w:rPr>
      </w:pPr>
      <w:r>
        <w:rPr>
          <w:noProof/>
        </w:rPr>
        <w:t>Office 365 Customer Lockbox, 65</w:t>
      </w:r>
    </w:p>
    <w:p w:rsidR="00B47E3D" w:rsidRDefault="00B47E3D">
      <w:pPr>
        <w:pStyle w:val="Index1"/>
        <w:tabs>
          <w:tab w:val="right" w:pos="5030"/>
        </w:tabs>
        <w:rPr>
          <w:noProof/>
        </w:rPr>
      </w:pPr>
      <w:r>
        <w:rPr>
          <w:noProof/>
        </w:rPr>
        <w:t>Office 365 Delve Analytics, 65</w:t>
      </w:r>
    </w:p>
    <w:p w:rsidR="00B47E3D" w:rsidRDefault="00B47E3D">
      <w:pPr>
        <w:pStyle w:val="Index1"/>
        <w:tabs>
          <w:tab w:val="right" w:pos="5030"/>
        </w:tabs>
        <w:rPr>
          <w:noProof/>
        </w:rPr>
      </w:pPr>
      <w:r>
        <w:rPr>
          <w:noProof/>
        </w:rPr>
        <w:t>Office 365 E3 aus SA, 58</w:t>
      </w:r>
    </w:p>
    <w:p w:rsidR="00B47E3D" w:rsidRDefault="00B47E3D">
      <w:pPr>
        <w:pStyle w:val="Index1"/>
        <w:tabs>
          <w:tab w:val="right" w:pos="5030"/>
        </w:tabs>
        <w:rPr>
          <w:noProof/>
        </w:rPr>
      </w:pPr>
      <w:r>
        <w:rPr>
          <w:noProof/>
        </w:rPr>
        <w:t>Office 365 Education, 63</w:t>
      </w:r>
    </w:p>
    <w:p w:rsidR="00B47E3D" w:rsidRDefault="00B47E3D">
      <w:pPr>
        <w:pStyle w:val="Index1"/>
        <w:tabs>
          <w:tab w:val="right" w:pos="5030"/>
        </w:tabs>
        <w:rPr>
          <w:noProof/>
        </w:rPr>
      </w:pPr>
      <w:r>
        <w:rPr>
          <w:noProof/>
        </w:rPr>
        <w:t>Office 365 Enterprise, 16</w:t>
      </w:r>
    </w:p>
    <w:p w:rsidR="00B47E3D" w:rsidRDefault="00B47E3D">
      <w:pPr>
        <w:pStyle w:val="Index1"/>
        <w:tabs>
          <w:tab w:val="right" w:pos="5030"/>
        </w:tabs>
        <w:rPr>
          <w:noProof/>
        </w:rPr>
      </w:pPr>
      <w:r>
        <w:rPr>
          <w:noProof/>
        </w:rPr>
        <w:t>Office 365 Enterprise E1, 16, 63</w:t>
      </w:r>
    </w:p>
    <w:p w:rsidR="00B47E3D" w:rsidRDefault="00B47E3D">
      <w:pPr>
        <w:pStyle w:val="Index1"/>
        <w:tabs>
          <w:tab w:val="right" w:pos="5030"/>
        </w:tabs>
        <w:rPr>
          <w:noProof/>
        </w:rPr>
      </w:pPr>
      <w:r>
        <w:rPr>
          <w:noProof/>
        </w:rPr>
        <w:t>Office 365 Enterprise E1 und Microsoft Intune, 17</w:t>
      </w:r>
    </w:p>
    <w:p w:rsidR="00B47E3D" w:rsidRDefault="00B47E3D">
      <w:pPr>
        <w:pStyle w:val="Index1"/>
        <w:tabs>
          <w:tab w:val="right" w:pos="5030"/>
        </w:tabs>
        <w:rPr>
          <w:noProof/>
        </w:rPr>
      </w:pPr>
      <w:r>
        <w:rPr>
          <w:noProof/>
        </w:rPr>
        <w:t>Office 365 Enterprise E1 von SA, 63</w:t>
      </w:r>
    </w:p>
    <w:p w:rsidR="00B47E3D" w:rsidRDefault="00B47E3D">
      <w:pPr>
        <w:pStyle w:val="Index1"/>
        <w:tabs>
          <w:tab w:val="right" w:pos="5030"/>
        </w:tabs>
        <w:rPr>
          <w:noProof/>
        </w:rPr>
      </w:pPr>
      <w:r>
        <w:rPr>
          <w:noProof/>
        </w:rPr>
        <w:t>Office 365 Enterprise E3, 16, 17, 58, 63</w:t>
      </w:r>
    </w:p>
    <w:p w:rsidR="00B47E3D" w:rsidRDefault="00B47E3D">
      <w:pPr>
        <w:pStyle w:val="Index1"/>
        <w:tabs>
          <w:tab w:val="right" w:pos="5030"/>
        </w:tabs>
        <w:rPr>
          <w:noProof/>
        </w:rPr>
      </w:pPr>
      <w:r>
        <w:rPr>
          <w:noProof/>
        </w:rPr>
        <w:t>Office 365 Enterprise E3 aus SA, 63</w:t>
      </w:r>
    </w:p>
    <w:p w:rsidR="00B47E3D" w:rsidRDefault="00B47E3D">
      <w:pPr>
        <w:pStyle w:val="Index1"/>
        <w:tabs>
          <w:tab w:val="right" w:pos="5030"/>
        </w:tabs>
        <w:rPr>
          <w:noProof/>
        </w:rPr>
      </w:pPr>
      <w:r>
        <w:rPr>
          <w:noProof/>
        </w:rPr>
        <w:t>Office 365 Enterprise E3 und Microsoft Intune, 17</w:t>
      </w:r>
    </w:p>
    <w:p w:rsidR="00B47E3D" w:rsidRDefault="00B47E3D">
      <w:pPr>
        <w:pStyle w:val="Index1"/>
        <w:tabs>
          <w:tab w:val="right" w:pos="5030"/>
        </w:tabs>
        <w:rPr>
          <w:noProof/>
        </w:rPr>
      </w:pPr>
      <w:r>
        <w:rPr>
          <w:noProof/>
        </w:rPr>
        <w:t>Office 365 Enterprise E4, 17, 63</w:t>
      </w:r>
    </w:p>
    <w:p w:rsidR="00B47E3D" w:rsidRDefault="00B47E3D">
      <w:pPr>
        <w:pStyle w:val="Index1"/>
        <w:tabs>
          <w:tab w:val="right" w:pos="5030"/>
        </w:tabs>
        <w:rPr>
          <w:noProof/>
        </w:rPr>
      </w:pPr>
      <w:r>
        <w:rPr>
          <w:noProof/>
        </w:rPr>
        <w:t>Office 365 Enterprise E4 aus SA, 63</w:t>
      </w:r>
    </w:p>
    <w:p w:rsidR="00B47E3D" w:rsidRDefault="00B47E3D">
      <w:pPr>
        <w:pStyle w:val="Index1"/>
        <w:tabs>
          <w:tab w:val="right" w:pos="5030"/>
        </w:tabs>
        <w:rPr>
          <w:noProof/>
        </w:rPr>
      </w:pPr>
      <w:r>
        <w:rPr>
          <w:noProof/>
        </w:rPr>
        <w:t>Office 365 Enterprise E4 und Microsoft Intune, 17</w:t>
      </w:r>
    </w:p>
    <w:p w:rsidR="00B47E3D" w:rsidRDefault="00B47E3D">
      <w:pPr>
        <w:pStyle w:val="Index1"/>
        <w:tabs>
          <w:tab w:val="right" w:pos="5030"/>
        </w:tabs>
        <w:rPr>
          <w:noProof/>
        </w:rPr>
      </w:pPr>
      <w:r>
        <w:rPr>
          <w:noProof/>
        </w:rPr>
        <w:t>Office 365 Enterprise E5 (Nutzer-AL), 63</w:t>
      </w:r>
    </w:p>
    <w:p w:rsidR="00B47E3D" w:rsidRDefault="00B47E3D">
      <w:pPr>
        <w:pStyle w:val="Index1"/>
        <w:tabs>
          <w:tab w:val="right" w:pos="5030"/>
        </w:tabs>
        <w:rPr>
          <w:noProof/>
        </w:rPr>
      </w:pPr>
      <w:r>
        <w:rPr>
          <w:noProof/>
        </w:rPr>
        <w:t>Office 365 Enterprise E5 aus SA, 63</w:t>
      </w:r>
    </w:p>
    <w:p w:rsidR="00B47E3D" w:rsidRDefault="00B47E3D">
      <w:pPr>
        <w:pStyle w:val="Index1"/>
        <w:tabs>
          <w:tab w:val="right" w:pos="5030"/>
        </w:tabs>
        <w:rPr>
          <w:noProof/>
        </w:rPr>
      </w:pPr>
      <w:r>
        <w:rPr>
          <w:noProof/>
        </w:rPr>
        <w:t>Office 365 Enterprise K1, 63</w:t>
      </w:r>
    </w:p>
    <w:p w:rsidR="00B47E3D" w:rsidRDefault="00B47E3D">
      <w:pPr>
        <w:pStyle w:val="Index1"/>
        <w:tabs>
          <w:tab w:val="right" w:pos="5030"/>
        </w:tabs>
        <w:rPr>
          <w:noProof/>
        </w:rPr>
      </w:pPr>
      <w:r>
        <w:rPr>
          <w:noProof/>
        </w:rPr>
        <w:t>Office 365 Extra File Storage 1 GB, 67</w:t>
      </w:r>
    </w:p>
    <w:p w:rsidR="00B47E3D" w:rsidRDefault="00B47E3D">
      <w:pPr>
        <w:pStyle w:val="Index1"/>
        <w:tabs>
          <w:tab w:val="right" w:pos="5030"/>
        </w:tabs>
        <w:rPr>
          <w:noProof/>
        </w:rPr>
      </w:pPr>
      <w:r>
        <w:rPr>
          <w:noProof/>
        </w:rPr>
        <w:t>Office 365 Midsize Business, 63, 65</w:t>
      </w:r>
    </w:p>
    <w:p w:rsidR="00B47E3D" w:rsidRDefault="00B47E3D">
      <w:pPr>
        <w:pStyle w:val="Index1"/>
        <w:tabs>
          <w:tab w:val="right" w:pos="5030"/>
        </w:tabs>
        <w:rPr>
          <w:noProof/>
        </w:rPr>
      </w:pPr>
      <w:r>
        <w:rPr>
          <w:noProof/>
        </w:rPr>
        <w:t>Office 365 ProPlus, 24, 61, 82</w:t>
      </w:r>
    </w:p>
    <w:p w:rsidR="00B47E3D" w:rsidRDefault="00B47E3D">
      <w:pPr>
        <w:pStyle w:val="Index1"/>
        <w:tabs>
          <w:tab w:val="right" w:pos="5030"/>
        </w:tabs>
        <w:rPr>
          <w:noProof/>
        </w:rPr>
      </w:pPr>
      <w:r>
        <w:rPr>
          <w:noProof/>
        </w:rPr>
        <w:t>Office 365 ProPlus von SA, 61</w:t>
      </w:r>
    </w:p>
    <w:p w:rsidR="00B47E3D" w:rsidRDefault="00B47E3D">
      <w:pPr>
        <w:pStyle w:val="Index1"/>
        <w:tabs>
          <w:tab w:val="right" w:pos="5030"/>
        </w:tabs>
        <w:rPr>
          <w:noProof/>
        </w:rPr>
      </w:pPr>
      <w:r>
        <w:rPr>
          <w:noProof/>
        </w:rPr>
        <w:t>Office für Mac 2011, 25</w:t>
      </w:r>
    </w:p>
    <w:p w:rsidR="00B47E3D" w:rsidRDefault="00B47E3D">
      <w:pPr>
        <w:pStyle w:val="Index1"/>
        <w:tabs>
          <w:tab w:val="right" w:pos="5030"/>
        </w:tabs>
        <w:rPr>
          <w:noProof/>
        </w:rPr>
      </w:pPr>
      <w:r>
        <w:rPr>
          <w:noProof/>
        </w:rPr>
        <w:t>Office für Mac Standard, 80</w:t>
      </w:r>
    </w:p>
    <w:p w:rsidR="00B47E3D" w:rsidRDefault="00B47E3D">
      <w:pPr>
        <w:pStyle w:val="Index1"/>
        <w:tabs>
          <w:tab w:val="right" w:pos="5030"/>
        </w:tabs>
        <w:rPr>
          <w:noProof/>
        </w:rPr>
      </w:pPr>
      <w:r>
        <w:rPr>
          <w:noProof/>
        </w:rPr>
        <w:t>Office Home &amp; Business 2013, 31</w:t>
      </w:r>
    </w:p>
    <w:p w:rsidR="00B47E3D" w:rsidRDefault="00B47E3D">
      <w:pPr>
        <w:pStyle w:val="Index1"/>
        <w:tabs>
          <w:tab w:val="right" w:pos="5030"/>
        </w:tabs>
        <w:rPr>
          <w:noProof/>
        </w:rPr>
      </w:pPr>
      <w:r>
        <w:rPr>
          <w:noProof/>
        </w:rPr>
        <w:t>Office Home &amp; Business 2016, 31</w:t>
      </w:r>
    </w:p>
    <w:p w:rsidR="00B47E3D" w:rsidRDefault="00B47E3D">
      <w:pPr>
        <w:pStyle w:val="Index1"/>
        <w:tabs>
          <w:tab w:val="right" w:pos="5030"/>
        </w:tabs>
        <w:rPr>
          <w:noProof/>
        </w:rPr>
      </w:pPr>
      <w:r>
        <w:rPr>
          <w:noProof/>
        </w:rPr>
        <w:t>Office Multi Language Pack, 62, 65</w:t>
      </w:r>
    </w:p>
    <w:p w:rsidR="00B47E3D" w:rsidRDefault="00B47E3D">
      <w:pPr>
        <w:pStyle w:val="Index1"/>
        <w:tabs>
          <w:tab w:val="right" w:pos="5030"/>
        </w:tabs>
        <w:rPr>
          <w:noProof/>
        </w:rPr>
      </w:pPr>
      <w:r>
        <w:rPr>
          <w:noProof/>
        </w:rPr>
        <w:t>Office Multi Language Pack 2013, 23</w:t>
      </w:r>
    </w:p>
    <w:p w:rsidR="00B47E3D" w:rsidRDefault="00B47E3D">
      <w:pPr>
        <w:pStyle w:val="Index1"/>
        <w:tabs>
          <w:tab w:val="right" w:pos="5030"/>
        </w:tabs>
        <w:rPr>
          <w:noProof/>
        </w:rPr>
      </w:pPr>
      <w:r>
        <w:rPr>
          <w:noProof/>
        </w:rPr>
        <w:t>Office Online, 62</w:t>
      </w:r>
    </w:p>
    <w:p w:rsidR="00B47E3D" w:rsidRDefault="00B47E3D">
      <w:pPr>
        <w:pStyle w:val="Index1"/>
        <w:tabs>
          <w:tab w:val="right" w:pos="5030"/>
        </w:tabs>
        <w:rPr>
          <w:noProof/>
        </w:rPr>
      </w:pPr>
      <w:r>
        <w:rPr>
          <w:noProof/>
        </w:rPr>
        <w:t>Office Online für Office 365, 80</w:t>
      </w:r>
    </w:p>
    <w:p w:rsidR="00B47E3D" w:rsidRDefault="00B47E3D">
      <w:pPr>
        <w:pStyle w:val="Index1"/>
        <w:tabs>
          <w:tab w:val="right" w:pos="5030"/>
        </w:tabs>
        <w:rPr>
          <w:noProof/>
        </w:rPr>
      </w:pPr>
      <w:r>
        <w:rPr>
          <w:noProof/>
        </w:rPr>
        <w:t>Office Personal 2013, 31</w:t>
      </w:r>
    </w:p>
    <w:p w:rsidR="00B47E3D" w:rsidRDefault="00B47E3D">
      <w:pPr>
        <w:pStyle w:val="Index1"/>
        <w:tabs>
          <w:tab w:val="right" w:pos="5030"/>
        </w:tabs>
        <w:rPr>
          <w:noProof/>
        </w:rPr>
      </w:pPr>
      <w:r>
        <w:rPr>
          <w:noProof/>
        </w:rPr>
        <w:t>Office Personal 2016, 31</w:t>
      </w:r>
    </w:p>
    <w:p w:rsidR="00B47E3D" w:rsidRDefault="00B47E3D">
      <w:pPr>
        <w:pStyle w:val="Index1"/>
        <w:tabs>
          <w:tab w:val="right" w:pos="5030"/>
        </w:tabs>
        <w:rPr>
          <w:noProof/>
        </w:rPr>
      </w:pPr>
      <w:r>
        <w:rPr>
          <w:noProof/>
        </w:rPr>
        <w:t>Office Professional 2013, 31</w:t>
      </w:r>
    </w:p>
    <w:p w:rsidR="00B47E3D" w:rsidRDefault="00B47E3D">
      <w:pPr>
        <w:pStyle w:val="Index1"/>
        <w:tabs>
          <w:tab w:val="right" w:pos="5030"/>
        </w:tabs>
        <w:rPr>
          <w:noProof/>
        </w:rPr>
      </w:pPr>
      <w:r>
        <w:rPr>
          <w:noProof/>
        </w:rPr>
        <w:t>Office Professional 2016, 31</w:t>
      </w:r>
    </w:p>
    <w:p w:rsidR="00B47E3D" w:rsidRDefault="00B47E3D">
      <w:pPr>
        <w:pStyle w:val="Index1"/>
        <w:tabs>
          <w:tab w:val="right" w:pos="5030"/>
        </w:tabs>
        <w:rPr>
          <w:noProof/>
        </w:rPr>
      </w:pPr>
      <w:r>
        <w:rPr>
          <w:noProof/>
        </w:rPr>
        <w:t>Office Professional Plus, 62, 64, 80, 87</w:t>
      </w:r>
    </w:p>
    <w:p w:rsidR="00B47E3D" w:rsidRDefault="00B47E3D">
      <w:pPr>
        <w:pStyle w:val="Index1"/>
        <w:tabs>
          <w:tab w:val="right" w:pos="5030"/>
        </w:tabs>
        <w:rPr>
          <w:noProof/>
        </w:rPr>
      </w:pPr>
      <w:r>
        <w:rPr>
          <w:noProof/>
        </w:rPr>
        <w:t>Office Professional Plus 2010, 31</w:t>
      </w:r>
    </w:p>
    <w:p w:rsidR="00B47E3D" w:rsidRDefault="00B47E3D">
      <w:pPr>
        <w:pStyle w:val="Index1"/>
        <w:tabs>
          <w:tab w:val="right" w:pos="5030"/>
        </w:tabs>
        <w:rPr>
          <w:noProof/>
        </w:rPr>
      </w:pPr>
      <w:r>
        <w:rPr>
          <w:noProof/>
        </w:rPr>
        <w:t>Office Professional Plus 2013, 31, 62, 63</w:t>
      </w:r>
    </w:p>
    <w:p w:rsidR="00B47E3D" w:rsidRDefault="00B47E3D">
      <w:pPr>
        <w:pStyle w:val="Index1"/>
        <w:tabs>
          <w:tab w:val="right" w:pos="5030"/>
        </w:tabs>
        <w:rPr>
          <w:noProof/>
        </w:rPr>
      </w:pPr>
      <w:r>
        <w:rPr>
          <w:noProof/>
        </w:rPr>
        <w:t>Office Professional Plus 2016, 23, 31, 39</w:t>
      </w:r>
    </w:p>
    <w:p w:rsidR="00B47E3D" w:rsidRDefault="00B47E3D">
      <w:pPr>
        <w:pStyle w:val="Index1"/>
        <w:tabs>
          <w:tab w:val="right" w:pos="5030"/>
        </w:tabs>
        <w:rPr>
          <w:noProof/>
        </w:rPr>
      </w:pPr>
      <w:r>
        <w:rPr>
          <w:noProof/>
        </w:rPr>
        <w:t>Office Standard, 62, 80, 87</w:t>
      </w:r>
    </w:p>
    <w:p w:rsidR="00B47E3D" w:rsidRDefault="00B47E3D">
      <w:pPr>
        <w:pStyle w:val="Index1"/>
        <w:tabs>
          <w:tab w:val="right" w:pos="5030"/>
        </w:tabs>
        <w:rPr>
          <w:noProof/>
        </w:rPr>
      </w:pPr>
      <w:r>
        <w:rPr>
          <w:noProof/>
        </w:rPr>
        <w:t>Office Standard 2010, 31</w:t>
      </w:r>
    </w:p>
    <w:p w:rsidR="00B47E3D" w:rsidRDefault="00B47E3D">
      <w:pPr>
        <w:pStyle w:val="Index1"/>
        <w:tabs>
          <w:tab w:val="right" w:pos="5030"/>
        </w:tabs>
        <w:rPr>
          <w:noProof/>
        </w:rPr>
      </w:pPr>
      <w:r>
        <w:rPr>
          <w:noProof/>
        </w:rPr>
        <w:t>Office Standard 2013, 31</w:t>
      </w:r>
    </w:p>
    <w:p w:rsidR="00B47E3D" w:rsidRDefault="00B47E3D">
      <w:pPr>
        <w:pStyle w:val="Index1"/>
        <w:tabs>
          <w:tab w:val="right" w:pos="5030"/>
        </w:tabs>
        <w:rPr>
          <w:noProof/>
        </w:rPr>
      </w:pPr>
      <w:r>
        <w:rPr>
          <w:noProof/>
        </w:rPr>
        <w:t>Office Standard 2016, 23, 31</w:t>
      </w:r>
    </w:p>
    <w:p w:rsidR="00B47E3D" w:rsidRDefault="00B47E3D">
      <w:pPr>
        <w:pStyle w:val="Index1"/>
        <w:tabs>
          <w:tab w:val="right" w:pos="5030"/>
        </w:tabs>
        <w:rPr>
          <w:noProof/>
        </w:rPr>
      </w:pPr>
      <w:r>
        <w:rPr>
          <w:noProof/>
        </w:rPr>
        <w:t>OneDrive for Business Plan 1, 67</w:t>
      </w:r>
    </w:p>
    <w:p w:rsidR="00B47E3D" w:rsidRDefault="00B47E3D">
      <w:pPr>
        <w:pStyle w:val="Index1"/>
        <w:tabs>
          <w:tab w:val="right" w:pos="5030"/>
        </w:tabs>
        <w:rPr>
          <w:noProof/>
        </w:rPr>
      </w:pPr>
      <w:r>
        <w:rPr>
          <w:noProof/>
        </w:rPr>
        <w:t>OneDrive for Business Plan 2, 67</w:t>
      </w:r>
    </w:p>
    <w:p w:rsidR="00B47E3D" w:rsidRDefault="00B47E3D">
      <w:pPr>
        <w:pStyle w:val="Index1"/>
        <w:tabs>
          <w:tab w:val="right" w:pos="5030"/>
        </w:tabs>
        <w:rPr>
          <w:noProof/>
        </w:rPr>
      </w:pPr>
      <w:r>
        <w:rPr>
          <w:noProof/>
        </w:rPr>
        <w:t>Outlook 2016, 23</w:t>
      </w:r>
    </w:p>
    <w:p w:rsidR="00B47E3D" w:rsidRDefault="00B47E3D">
      <w:pPr>
        <w:pStyle w:val="Index1"/>
        <w:tabs>
          <w:tab w:val="right" w:pos="5030"/>
        </w:tabs>
        <w:rPr>
          <w:noProof/>
        </w:rPr>
      </w:pPr>
      <w:r>
        <w:rPr>
          <w:noProof/>
        </w:rPr>
        <w:t>Outlook 2016 für Mac, 25</w:t>
      </w:r>
    </w:p>
    <w:p w:rsidR="00B47E3D" w:rsidRDefault="00B47E3D">
      <w:pPr>
        <w:pStyle w:val="Index1"/>
        <w:tabs>
          <w:tab w:val="right" w:pos="5030"/>
        </w:tabs>
        <w:rPr>
          <w:noProof/>
        </w:rPr>
      </w:pPr>
      <w:r>
        <w:rPr>
          <w:noProof/>
        </w:rPr>
        <w:t>Parallel Data Warehouse, 86</w:t>
      </w:r>
    </w:p>
    <w:p w:rsidR="00B47E3D" w:rsidRDefault="00B47E3D">
      <w:pPr>
        <w:pStyle w:val="Index1"/>
        <w:tabs>
          <w:tab w:val="right" w:pos="5030"/>
        </w:tabs>
        <w:rPr>
          <w:noProof/>
        </w:rPr>
      </w:pPr>
      <w:r>
        <w:rPr>
          <w:noProof/>
        </w:rPr>
        <w:t>Parature Additional Departments, 61</w:t>
      </w:r>
    </w:p>
    <w:p w:rsidR="00B47E3D" w:rsidRDefault="00B47E3D">
      <w:pPr>
        <w:pStyle w:val="Index1"/>
        <w:tabs>
          <w:tab w:val="right" w:pos="5030"/>
        </w:tabs>
        <w:rPr>
          <w:noProof/>
        </w:rPr>
      </w:pPr>
      <w:r>
        <w:rPr>
          <w:noProof/>
        </w:rPr>
        <w:t>Parature Additional File Storage, 61</w:t>
      </w:r>
    </w:p>
    <w:p w:rsidR="00B47E3D" w:rsidRDefault="00B47E3D">
      <w:pPr>
        <w:pStyle w:val="Index1"/>
        <w:tabs>
          <w:tab w:val="right" w:pos="5030"/>
        </w:tabs>
        <w:rPr>
          <w:noProof/>
        </w:rPr>
      </w:pPr>
      <w:r>
        <w:rPr>
          <w:noProof/>
        </w:rPr>
        <w:t>Parature Additional Page Views, 61</w:t>
      </w:r>
    </w:p>
    <w:p w:rsidR="00B47E3D" w:rsidRDefault="00B47E3D">
      <w:pPr>
        <w:pStyle w:val="Index1"/>
        <w:tabs>
          <w:tab w:val="right" w:pos="5030"/>
        </w:tabs>
        <w:rPr>
          <w:noProof/>
        </w:rPr>
      </w:pPr>
      <w:r>
        <w:rPr>
          <w:noProof/>
        </w:rPr>
        <w:t>Parature Additional Records, 61</w:t>
      </w:r>
    </w:p>
    <w:p w:rsidR="00B47E3D" w:rsidRDefault="00B47E3D">
      <w:pPr>
        <w:pStyle w:val="Index1"/>
        <w:tabs>
          <w:tab w:val="right" w:pos="5030"/>
        </w:tabs>
        <w:rPr>
          <w:noProof/>
        </w:rPr>
      </w:pPr>
      <w:r>
        <w:rPr>
          <w:noProof/>
        </w:rPr>
        <w:t>Parature Enterprise, 61</w:t>
      </w:r>
    </w:p>
    <w:p w:rsidR="00B47E3D" w:rsidRDefault="00B47E3D">
      <w:pPr>
        <w:pStyle w:val="Index1"/>
        <w:tabs>
          <w:tab w:val="right" w:pos="5030"/>
        </w:tabs>
        <w:rPr>
          <w:noProof/>
        </w:rPr>
      </w:pPr>
      <w:r>
        <w:rPr>
          <w:noProof/>
        </w:rPr>
        <w:t>Power BI Pro, 70</w:t>
      </w:r>
    </w:p>
    <w:p w:rsidR="00B47E3D" w:rsidRDefault="00B47E3D">
      <w:pPr>
        <w:pStyle w:val="Index1"/>
        <w:tabs>
          <w:tab w:val="right" w:pos="5030"/>
        </w:tabs>
        <w:rPr>
          <w:noProof/>
        </w:rPr>
      </w:pPr>
      <w:r>
        <w:rPr>
          <w:noProof/>
        </w:rPr>
        <w:t>Power BI Pro A, 70</w:t>
      </w:r>
    </w:p>
    <w:p w:rsidR="00B47E3D" w:rsidRDefault="00B47E3D">
      <w:pPr>
        <w:pStyle w:val="Index1"/>
        <w:tabs>
          <w:tab w:val="right" w:pos="5030"/>
        </w:tabs>
        <w:rPr>
          <w:noProof/>
        </w:rPr>
      </w:pPr>
      <w:r>
        <w:rPr>
          <w:noProof/>
        </w:rPr>
        <w:t>PowerPoint 2016, 24</w:t>
      </w:r>
    </w:p>
    <w:p w:rsidR="00B47E3D" w:rsidRDefault="00B47E3D">
      <w:pPr>
        <w:pStyle w:val="Index1"/>
        <w:tabs>
          <w:tab w:val="right" w:pos="5030"/>
        </w:tabs>
        <w:rPr>
          <w:noProof/>
        </w:rPr>
      </w:pPr>
      <w:r>
        <w:rPr>
          <w:noProof/>
        </w:rPr>
        <w:t>PowerPoint 2016 für Mac, 25</w:t>
      </w:r>
    </w:p>
    <w:p w:rsidR="00B47E3D" w:rsidRDefault="00B47E3D">
      <w:pPr>
        <w:pStyle w:val="Index1"/>
        <w:tabs>
          <w:tab w:val="right" w:pos="5030"/>
        </w:tabs>
        <w:rPr>
          <w:noProof/>
        </w:rPr>
      </w:pPr>
      <w:r>
        <w:rPr>
          <w:noProof/>
        </w:rPr>
        <w:t>Professional Direct Support für Azure Active, 54</w:t>
      </w:r>
    </w:p>
    <w:p w:rsidR="00B47E3D" w:rsidRDefault="00B47E3D">
      <w:pPr>
        <w:pStyle w:val="Index1"/>
        <w:tabs>
          <w:tab w:val="right" w:pos="5030"/>
        </w:tabs>
        <w:rPr>
          <w:noProof/>
        </w:rPr>
      </w:pPr>
      <w:r>
        <w:rPr>
          <w:noProof/>
        </w:rPr>
        <w:t>Professional Direct Support für Microsoft Dynamics Marketing, 60</w:t>
      </w:r>
    </w:p>
    <w:p w:rsidR="00B47E3D" w:rsidRDefault="00B47E3D">
      <w:pPr>
        <w:pStyle w:val="Index1"/>
        <w:tabs>
          <w:tab w:val="right" w:pos="5030"/>
        </w:tabs>
        <w:rPr>
          <w:noProof/>
        </w:rPr>
      </w:pPr>
      <w:r>
        <w:rPr>
          <w:noProof/>
        </w:rPr>
        <w:t>Professional Direct Support für Parature, 61</w:t>
      </w:r>
    </w:p>
    <w:p w:rsidR="00B47E3D" w:rsidRDefault="00B47E3D">
      <w:pPr>
        <w:pStyle w:val="Index1"/>
        <w:tabs>
          <w:tab w:val="right" w:pos="5030"/>
        </w:tabs>
        <w:rPr>
          <w:noProof/>
        </w:rPr>
      </w:pPr>
      <w:r>
        <w:rPr>
          <w:noProof/>
        </w:rPr>
        <w:t>Project 2010, 27</w:t>
      </w:r>
    </w:p>
    <w:p w:rsidR="00B47E3D" w:rsidRDefault="00B47E3D">
      <w:pPr>
        <w:pStyle w:val="Index1"/>
        <w:tabs>
          <w:tab w:val="right" w:pos="5030"/>
        </w:tabs>
        <w:rPr>
          <w:noProof/>
        </w:rPr>
      </w:pPr>
      <w:r>
        <w:rPr>
          <w:noProof/>
        </w:rPr>
        <w:t>Project Lite, 27, 67</w:t>
      </w:r>
    </w:p>
    <w:p w:rsidR="00B47E3D" w:rsidRDefault="00B47E3D">
      <w:pPr>
        <w:pStyle w:val="Index1"/>
        <w:tabs>
          <w:tab w:val="right" w:pos="5030"/>
        </w:tabs>
        <w:rPr>
          <w:noProof/>
        </w:rPr>
      </w:pPr>
      <w:r>
        <w:rPr>
          <w:noProof/>
        </w:rPr>
        <w:t>Project Online, 27, 67</w:t>
      </w:r>
    </w:p>
    <w:p w:rsidR="00B47E3D" w:rsidRDefault="00B47E3D">
      <w:pPr>
        <w:pStyle w:val="Index1"/>
        <w:tabs>
          <w:tab w:val="right" w:pos="5030"/>
        </w:tabs>
        <w:rPr>
          <w:noProof/>
        </w:rPr>
      </w:pPr>
      <w:r>
        <w:rPr>
          <w:noProof/>
        </w:rPr>
        <w:t>Project Online mit Project Pro für Office 365, 61</w:t>
      </w:r>
    </w:p>
    <w:p w:rsidR="00B47E3D" w:rsidRDefault="00B47E3D">
      <w:pPr>
        <w:pStyle w:val="Index1"/>
        <w:tabs>
          <w:tab w:val="right" w:pos="5030"/>
        </w:tabs>
        <w:rPr>
          <w:noProof/>
        </w:rPr>
      </w:pPr>
      <w:r>
        <w:rPr>
          <w:noProof/>
        </w:rPr>
        <w:t>Project Online mit Project Pro für Office 365 von SA, 61</w:t>
      </w:r>
    </w:p>
    <w:p w:rsidR="00B47E3D" w:rsidRDefault="00B47E3D">
      <w:pPr>
        <w:pStyle w:val="Index1"/>
        <w:tabs>
          <w:tab w:val="right" w:pos="5030"/>
        </w:tabs>
        <w:rPr>
          <w:noProof/>
        </w:rPr>
      </w:pPr>
      <w:r>
        <w:rPr>
          <w:noProof/>
        </w:rPr>
        <w:t>Project Pro für Office 365, 24, 27, 61</w:t>
      </w:r>
    </w:p>
    <w:p w:rsidR="00B47E3D" w:rsidRDefault="00B47E3D">
      <w:pPr>
        <w:pStyle w:val="Index1"/>
        <w:tabs>
          <w:tab w:val="right" w:pos="5030"/>
        </w:tabs>
        <w:rPr>
          <w:noProof/>
        </w:rPr>
      </w:pPr>
      <w:r>
        <w:rPr>
          <w:noProof/>
        </w:rPr>
        <w:t>Project Pro für Office 365 von SA, 61</w:t>
      </w:r>
    </w:p>
    <w:p w:rsidR="00B47E3D" w:rsidRDefault="00B47E3D">
      <w:pPr>
        <w:pStyle w:val="Index1"/>
        <w:tabs>
          <w:tab w:val="right" w:pos="5030"/>
        </w:tabs>
        <w:rPr>
          <w:noProof/>
        </w:rPr>
      </w:pPr>
      <w:r>
        <w:rPr>
          <w:noProof/>
        </w:rPr>
        <w:t>Project Professional, 62, 87</w:t>
      </w:r>
    </w:p>
    <w:p w:rsidR="00B47E3D" w:rsidRDefault="00B47E3D">
      <w:pPr>
        <w:pStyle w:val="Index1"/>
        <w:tabs>
          <w:tab w:val="right" w:pos="5030"/>
        </w:tabs>
        <w:rPr>
          <w:noProof/>
        </w:rPr>
      </w:pPr>
      <w:r>
        <w:rPr>
          <w:noProof/>
        </w:rPr>
        <w:t>Project Professional 2016, 24</w:t>
      </w:r>
    </w:p>
    <w:p w:rsidR="00B47E3D" w:rsidRDefault="00B47E3D">
      <w:pPr>
        <w:pStyle w:val="Index1"/>
        <w:tabs>
          <w:tab w:val="right" w:pos="5030"/>
        </w:tabs>
        <w:rPr>
          <w:noProof/>
        </w:rPr>
      </w:pPr>
      <w:r>
        <w:rPr>
          <w:noProof/>
        </w:rPr>
        <w:t>Project Server 2013, 27</w:t>
      </w:r>
    </w:p>
    <w:p w:rsidR="00B47E3D" w:rsidRDefault="00B47E3D">
      <w:pPr>
        <w:pStyle w:val="Index1"/>
        <w:tabs>
          <w:tab w:val="right" w:pos="5030"/>
        </w:tabs>
        <w:rPr>
          <w:noProof/>
        </w:rPr>
      </w:pPr>
      <w:r>
        <w:rPr>
          <w:noProof/>
        </w:rPr>
        <w:t>Project Server 2016, 24</w:t>
      </w:r>
    </w:p>
    <w:p w:rsidR="00B47E3D" w:rsidRDefault="00B47E3D">
      <w:pPr>
        <w:pStyle w:val="Index1"/>
        <w:tabs>
          <w:tab w:val="right" w:pos="5030"/>
        </w:tabs>
        <w:rPr>
          <w:noProof/>
        </w:rPr>
      </w:pPr>
      <w:r>
        <w:rPr>
          <w:noProof/>
        </w:rPr>
        <w:t>Project Standard, 80</w:t>
      </w:r>
    </w:p>
    <w:p w:rsidR="00B47E3D" w:rsidRDefault="00B47E3D">
      <w:pPr>
        <w:pStyle w:val="Index1"/>
        <w:tabs>
          <w:tab w:val="right" w:pos="5030"/>
        </w:tabs>
        <w:rPr>
          <w:noProof/>
        </w:rPr>
      </w:pPr>
      <w:r>
        <w:rPr>
          <w:noProof/>
        </w:rPr>
        <w:t>Project Standard, 87</w:t>
      </w:r>
    </w:p>
    <w:p w:rsidR="00B47E3D" w:rsidRDefault="00B47E3D">
      <w:pPr>
        <w:pStyle w:val="Index1"/>
        <w:tabs>
          <w:tab w:val="right" w:pos="5030"/>
        </w:tabs>
        <w:rPr>
          <w:noProof/>
        </w:rPr>
      </w:pPr>
      <w:r>
        <w:rPr>
          <w:noProof/>
        </w:rPr>
        <w:t>Project Standard 2016, 24</w:t>
      </w:r>
    </w:p>
    <w:p w:rsidR="00B47E3D" w:rsidRDefault="00B47E3D">
      <w:pPr>
        <w:pStyle w:val="Index1"/>
        <w:tabs>
          <w:tab w:val="right" w:pos="5030"/>
        </w:tabs>
        <w:rPr>
          <w:noProof/>
        </w:rPr>
      </w:pPr>
      <w:r>
        <w:rPr>
          <w:noProof/>
        </w:rPr>
        <w:t>Prüfungsgutscheine für Microsoft Learning MCP 1, 69</w:t>
      </w:r>
    </w:p>
    <w:p w:rsidR="00B47E3D" w:rsidRDefault="00B47E3D">
      <w:pPr>
        <w:pStyle w:val="Index1"/>
        <w:tabs>
          <w:tab w:val="right" w:pos="5030"/>
        </w:tabs>
        <w:rPr>
          <w:noProof/>
        </w:rPr>
      </w:pPr>
      <w:r>
        <w:rPr>
          <w:noProof/>
        </w:rPr>
        <w:t>Prüfungsgutscheine für Microsoft Learning MCP 30, 69</w:t>
      </w:r>
    </w:p>
    <w:p w:rsidR="00B47E3D" w:rsidRDefault="00B47E3D">
      <w:pPr>
        <w:pStyle w:val="Index1"/>
        <w:tabs>
          <w:tab w:val="right" w:pos="5030"/>
        </w:tabs>
        <w:rPr>
          <w:noProof/>
        </w:rPr>
      </w:pPr>
      <w:r>
        <w:rPr>
          <w:noProof/>
        </w:rPr>
        <w:t>Publisher 2016, 24</w:t>
      </w:r>
    </w:p>
    <w:p w:rsidR="00B47E3D" w:rsidRDefault="00B47E3D">
      <w:pPr>
        <w:pStyle w:val="Index1"/>
        <w:tabs>
          <w:tab w:val="right" w:pos="5030"/>
        </w:tabs>
        <w:rPr>
          <w:noProof/>
        </w:rPr>
      </w:pPr>
      <w:r>
        <w:rPr>
          <w:noProof/>
        </w:rPr>
        <w:t>R Server 2016 für Hadoop auf Red Hat, 30</w:t>
      </w:r>
    </w:p>
    <w:p w:rsidR="00B47E3D" w:rsidRDefault="00B47E3D">
      <w:pPr>
        <w:pStyle w:val="Index1"/>
        <w:tabs>
          <w:tab w:val="right" w:pos="5030"/>
        </w:tabs>
        <w:rPr>
          <w:noProof/>
        </w:rPr>
      </w:pPr>
      <w:r>
        <w:rPr>
          <w:noProof/>
        </w:rPr>
        <w:t>R Server 2016 für Red Hat Linux, 30</w:t>
      </w:r>
    </w:p>
    <w:p w:rsidR="00B47E3D" w:rsidRDefault="00B47E3D">
      <w:pPr>
        <w:pStyle w:val="Index1"/>
        <w:tabs>
          <w:tab w:val="right" w:pos="5030"/>
        </w:tabs>
        <w:rPr>
          <w:noProof/>
        </w:rPr>
      </w:pPr>
      <w:r>
        <w:rPr>
          <w:noProof/>
        </w:rPr>
        <w:t>R Server 2016 für SUSE Linux, 30</w:t>
      </w:r>
    </w:p>
    <w:p w:rsidR="00B47E3D" w:rsidRDefault="00B47E3D">
      <w:pPr>
        <w:pStyle w:val="Index1"/>
        <w:tabs>
          <w:tab w:val="right" w:pos="5030"/>
        </w:tabs>
        <w:rPr>
          <w:noProof/>
        </w:rPr>
      </w:pPr>
      <w:r>
        <w:rPr>
          <w:noProof/>
        </w:rPr>
        <w:t>R Server 2016 für Teradata DB, 30</w:t>
      </w:r>
    </w:p>
    <w:p w:rsidR="00B47E3D" w:rsidRDefault="00B47E3D">
      <w:pPr>
        <w:pStyle w:val="Index1"/>
        <w:tabs>
          <w:tab w:val="right" w:pos="5030"/>
        </w:tabs>
        <w:rPr>
          <w:noProof/>
        </w:rPr>
      </w:pPr>
      <w:r>
        <w:rPr>
          <w:noProof/>
        </w:rPr>
        <w:t>Servermanagementlizenz für System Center 2012 Datacenter, 81</w:t>
      </w:r>
    </w:p>
    <w:p w:rsidR="00B47E3D" w:rsidRDefault="00B47E3D">
      <w:pPr>
        <w:pStyle w:val="Index1"/>
        <w:tabs>
          <w:tab w:val="right" w:pos="5030"/>
        </w:tabs>
        <w:rPr>
          <w:noProof/>
        </w:rPr>
      </w:pPr>
      <w:r>
        <w:rPr>
          <w:noProof/>
        </w:rPr>
        <w:t>Server-Management-Lizenz für System Center 2012 R2 Datacenter, 34</w:t>
      </w:r>
    </w:p>
    <w:p w:rsidR="00B47E3D" w:rsidRDefault="00B47E3D">
      <w:pPr>
        <w:pStyle w:val="Index1"/>
        <w:tabs>
          <w:tab w:val="right" w:pos="5030"/>
        </w:tabs>
        <w:rPr>
          <w:noProof/>
        </w:rPr>
      </w:pPr>
      <w:r>
        <w:rPr>
          <w:noProof/>
        </w:rPr>
        <w:t>Server-Management-Lizenz für System Center 2012 Standard, 80</w:t>
      </w:r>
    </w:p>
    <w:p w:rsidR="00B47E3D" w:rsidRDefault="00B47E3D">
      <w:pPr>
        <w:pStyle w:val="Index1"/>
        <w:tabs>
          <w:tab w:val="right" w:pos="5030"/>
        </w:tabs>
        <w:rPr>
          <w:noProof/>
        </w:rPr>
      </w:pPr>
      <w:r>
        <w:rPr>
          <w:noProof/>
        </w:rPr>
        <w:t>SharePoint Online, 80</w:t>
      </w:r>
    </w:p>
    <w:p w:rsidR="00B47E3D" w:rsidRDefault="00B47E3D">
      <w:pPr>
        <w:pStyle w:val="Index1"/>
        <w:tabs>
          <w:tab w:val="right" w:pos="5030"/>
        </w:tabs>
        <w:rPr>
          <w:noProof/>
        </w:rPr>
      </w:pPr>
      <w:r>
        <w:rPr>
          <w:noProof/>
        </w:rPr>
        <w:t>SharePoint Online Plan 1, 67</w:t>
      </w:r>
    </w:p>
    <w:p w:rsidR="00B47E3D" w:rsidRDefault="00B47E3D">
      <w:pPr>
        <w:pStyle w:val="Index1"/>
        <w:tabs>
          <w:tab w:val="right" w:pos="5030"/>
        </w:tabs>
        <w:rPr>
          <w:noProof/>
        </w:rPr>
      </w:pPr>
      <w:r>
        <w:rPr>
          <w:noProof/>
        </w:rPr>
        <w:t>SharePoint Online Plan 2, 28, 67</w:t>
      </w:r>
    </w:p>
    <w:p w:rsidR="00B47E3D" w:rsidRDefault="00B47E3D">
      <w:pPr>
        <w:pStyle w:val="Index1"/>
        <w:tabs>
          <w:tab w:val="right" w:pos="5030"/>
        </w:tabs>
        <w:rPr>
          <w:noProof/>
        </w:rPr>
      </w:pPr>
      <w:r>
        <w:rPr>
          <w:noProof/>
        </w:rPr>
        <w:t>SharePoint Server, 85</w:t>
      </w:r>
    </w:p>
    <w:p w:rsidR="00B47E3D" w:rsidRDefault="00B47E3D">
      <w:pPr>
        <w:pStyle w:val="Index1"/>
        <w:tabs>
          <w:tab w:val="right" w:pos="5030"/>
        </w:tabs>
        <w:rPr>
          <w:noProof/>
        </w:rPr>
      </w:pPr>
      <w:r>
        <w:rPr>
          <w:noProof/>
        </w:rPr>
        <w:t>SharePoint Server 2010, 28</w:t>
      </w:r>
    </w:p>
    <w:p w:rsidR="00B47E3D" w:rsidRDefault="00B47E3D">
      <w:pPr>
        <w:pStyle w:val="Index1"/>
        <w:tabs>
          <w:tab w:val="right" w:pos="5030"/>
        </w:tabs>
        <w:rPr>
          <w:noProof/>
        </w:rPr>
      </w:pPr>
      <w:r>
        <w:rPr>
          <w:noProof/>
        </w:rPr>
        <w:t>SharePoint Server 2013, 28</w:t>
      </w:r>
    </w:p>
    <w:p w:rsidR="00B47E3D" w:rsidRDefault="00B47E3D">
      <w:pPr>
        <w:pStyle w:val="Index1"/>
        <w:tabs>
          <w:tab w:val="right" w:pos="5030"/>
        </w:tabs>
        <w:rPr>
          <w:noProof/>
        </w:rPr>
      </w:pPr>
      <w:r>
        <w:rPr>
          <w:noProof/>
        </w:rPr>
        <w:t>Skype for Business 2016, 24</w:t>
      </w:r>
    </w:p>
    <w:p w:rsidR="00B47E3D" w:rsidRDefault="00B47E3D">
      <w:pPr>
        <w:pStyle w:val="Index1"/>
        <w:tabs>
          <w:tab w:val="right" w:pos="5030"/>
        </w:tabs>
        <w:rPr>
          <w:noProof/>
        </w:rPr>
      </w:pPr>
      <w:r>
        <w:rPr>
          <w:noProof/>
        </w:rPr>
        <w:t>Skype for Business Online Cloud PBX, 68</w:t>
      </w:r>
    </w:p>
    <w:p w:rsidR="00B47E3D" w:rsidRDefault="00B47E3D">
      <w:pPr>
        <w:pStyle w:val="Index1"/>
        <w:tabs>
          <w:tab w:val="right" w:pos="5030"/>
        </w:tabs>
        <w:rPr>
          <w:noProof/>
        </w:rPr>
      </w:pPr>
      <w:r>
        <w:rPr>
          <w:noProof/>
        </w:rPr>
        <w:t>Skype for Business Online Plan 1, 29, 68</w:t>
      </w:r>
    </w:p>
    <w:p w:rsidR="00B47E3D" w:rsidRDefault="00B47E3D">
      <w:pPr>
        <w:pStyle w:val="Index1"/>
        <w:tabs>
          <w:tab w:val="right" w:pos="5030"/>
        </w:tabs>
        <w:rPr>
          <w:noProof/>
        </w:rPr>
      </w:pPr>
      <w:r>
        <w:rPr>
          <w:noProof/>
        </w:rPr>
        <w:t>Skype for Business Online Plan 2, 29, 68</w:t>
      </w:r>
    </w:p>
    <w:p w:rsidR="00B47E3D" w:rsidRDefault="00B47E3D">
      <w:pPr>
        <w:pStyle w:val="Index1"/>
        <w:tabs>
          <w:tab w:val="right" w:pos="5030"/>
        </w:tabs>
        <w:rPr>
          <w:noProof/>
        </w:rPr>
      </w:pPr>
      <w:r>
        <w:rPr>
          <w:noProof/>
        </w:rPr>
        <w:t>Skype for Business Online PSTN Calling, 68</w:t>
      </w:r>
    </w:p>
    <w:p w:rsidR="00B47E3D" w:rsidRDefault="00B47E3D">
      <w:pPr>
        <w:pStyle w:val="Index1"/>
        <w:tabs>
          <w:tab w:val="right" w:pos="5030"/>
        </w:tabs>
        <w:rPr>
          <w:noProof/>
        </w:rPr>
      </w:pPr>
      <w:r>
        <w:rPr>
          <w:noProof/>
        </w:rPr>
        <w:t>Skype for Business Online PSTN Conferencing, 68</w:t>
      </w:r>
    </w:p>
    <w:p w:rsidR="00B47E3D" w:rsidRDefault="00B47E3D">
      <w:pPr>
        <w:pStyle w:val="Index1"/>
        <w:tabs>
          <w:tab w:val="right" w:pos="5030"/>
        </w:tabs>
        <w:rPr>
          <w:noProof/>
        </w:rPr>
      </w:pPr>
      <w:r>
        <w:rPr>
          <w:noProof/>
        </w:rPr>
        <w:t>Skype für Business Server 2015, 29</w:t>
      </w:r>
    </w:p>
    <w:p w:rsidR="00B47E3D" w:rsidRDefault="00B47E3D">
      <w:pPr>
        <w:pStyle w:val="Index1"/>
        <w:tabs>
          <w:tab w:val="right" w:pos="5030"/>
        </w:tabs>
        <w:rPr>
          <w:noProof/>
        </w:rPr>
      </w:pPr>
      <w:r>
        <w:rPr>
          <w:noProof/>
        </w:rPr>
        <w:t>SQL Parallel Data Warehouse, 81, 87</w:t>
      </w:r>
    </w:p>
    <w:p w:rsidR="00B47E3D" w:rsidRDefault="00B47E3D">
      <w:pPr>
        <w:pStyle w:val="Index1"/>
        <w:tabs>
          <w:tab w:val="right" w:pos="5030"/>
        </w:tabs>
        <w:rPr>
          <w:noProof/>
        </w:rPr>
      </w:pPr>
      <w:r>
        <w:rPr>
          <w:noProof/>
        </w:rPr>
        <w:t>SQL Server, 35, 36, 37, 40, 85, 87</w:t>
      </w:r>
    </w:p>
    <w:p w:rsidR="00B47E3D" w:rsidRDefault="00B47E3D">
      <w:pPr>
        <w:pStyle w:val="Index1"/>
        <w:tabs>
          <w:tab w:val="right" w:pos="5030"/>
        </w:tabs>
        <w:rPr>
          <w:noProof/>
        </w:rPr>
      </w:pPr>
      <w:r>
        <w:rPr>
          <w:noProof/>
        </w:rPr>
        <w:t>SQL Server 2008 R2, 32</w:t>
      </w:r>
    </w:p>
    <w:p w:rsidR="00B47E3D" w:rsidRDefault="00B47E3D">
      <w:pPr>
        <w:pStyle w:val="Index1"/>
        <w:tabs>
          <w:tab w:val="right" w:pos="5030"/>
        </w:tabs>
        <w:rPr>
          <w:noProof/>
        </w:rPr>
      </w:pPr>
      <w:r>
        <w:rPr>
          <w:noProof/>
        </w:rPr>
        <w:t>SQL Server 2012, 32</w:t>
      </w:r>
    </w:p>
    <w:p w:rsidR="00B47E3D" w:rsidRDefault="00B47E3D">
      <w:pPr>
        <w:pStyle w:val="Index1"/>
        <w:tabs>
          <w:tab w:val="right" w:pos="5030"/>
        </w:tabs>
        <w:rPr>
          <w:noProof/>
        </w:rPr>
      </w:pPr>
      <w:r>
        <w:rPr>
          <w:noProof/>
        </w:rPr>
        <w:t>SQL Server 2012 Parallel Data Warehouse Developer, 32</w:t>
      </w:r>
    </w:p>
    <w:p w:rsidR="00B47E3D" w:rsidRDefault="00B47E3D">
      <w:pPr>
        <w:pStyle w:val="Index1"/>
        <w:tabs>
          <w:tab w:val="right" w:pos="5030"/>
        </w:tabs>
        <w:rPr>
          <w:noProof/>
        </w:rPr>
      </w:pPr>
      <w:r>
        <w:rPr>
          <w:noProof/>
        </w:rPr>
        <w:t>SQL Server 2014 Business Intelligence, 32</w:t>
      </w:r>
    </w:p>
    <w:p w:rsidR="00B47E3D" w:rsidRDefault="00B47E3D">
      <w:pPr>
        <w:pStyle w:val="Index1"/>
        <w:tabs>
          <w:tab w:val="right" w:pos="5030"/>
        </w:tabs>
        <w:rPr>
          <w:noProof/>
        </w:rPr>
      </w:pPr>
      <w:r>
        <w:rPr>
          <w:noProof/>
        </w:rPr>
        <w:t>SQL Server 2014 Developer, 32</w:t>
      </w:r>
    </w:p>
    <w:p w:rsidR="00B47E3D" w:rsidRDefault="00B47E3D">
      <w:pPr>
        <w:pStyle w:val="Index1"/>
        <w:tabs>
          <w:tab w:val="right" w:pos="5030"/>
        </w:tabs>
        <w:rPr>
          <w:noProof/>
        </w:rPr>
      </w:pPr>
      <w:r>
        <w:rPr>
          <w:noProof/>
        </w:rPr>
        <w:t>SQL Server 2014 Enterprise, 32, 33</w:t>
      </w:r>
    </w:p>
    <w:p w:rsidR="00B47E3D" w:rsidRDefault="00B47E3D">
      <w:pPr>
        <w:pStyle w:val="Index1"/>
        <w:tabs>
          <w:tab w:val="right" w:pos="5030"/>
        </w:tabs>
        <w:rPr>
          <w:noProof/>
        </w:rPr>
      </w:pPr>
      <w:r>
        <w:rPr>
          <w:noProof/>
        </w:rPr>
        <w:t>SQL Server 2014 Enterprise Core, 32</w:t>
      </w:r>
    </w:p>
    <w:p w:rsidR="00B47E3D" w:rsidRDefault="00B47E3D">
      <w:pPr>
        <w:pStyle w:val="Index1"/>
        <w:tabs>
          <w:tab w:val="right" w:pos="5030"/>
        </w:tabs>
        <w:rPr>
          <w:noProof/>
        </w:rPr>
      </w:pPr>
      <w:r>
        <w:rPr>
          <w:noProof/>
        </w:rPr>
        <w:t>SQL Server 2014 Standard, 32</w:t>
      </w:r>
    </w:p>
    <w:p w:rsidR="00B47E3D" w:rsidRDefault="00B47E3D">
      <w:pPr>
        <w:pStyle w:val="Index1"/>
        <w:tabs>
          <w:tab w:val="right" w:pos="5030"/>
        </w:tabs>
        <w:rPr>
          <w:noProof/>
        </w:rPr>
      </w:pPr>
      <w:r>
        <w:rPr>
          <w:noProof/>
        </w:rPr>
        <w:t>SQL Server 2014 Standard Core, 32</w:t>
      </w:r>
    </w:p>
    <w:p w:rsidR="00B47E3D" w:rsidRDefault="00B47E3D">
      <w:pPr>
        <w:pStyle w:val="Index1"/>
        <w:tabs>
          <w:tab w:val="right" w:pos="5030"/>
        </w:tabs>
        <w:rPr>
          <w:noProof/>
        </w:rPr>
      </w:pPr>
      <w:r>
        <w:rPr>
          <w:noProof/>
        </w:rPr>
        <w:t>SQL Server Business Intelligence, 81, 87</w:t>
      </w:r>
    </w:p>
    <w:p w:rsidR="00B47E3D" w:rsidRDefault="00B47E3D">
      <w:pPr>
        <w:pStyle w:val="Index1"/>
        <w:tabs>
          <w:tab w:val="right" w:pos="5030"/>
        </w:tabs>
        <w:rPr>
          <w:noProof/>
        </w:rPr>
      </w:pPr>
      <w:r>
        <w:rPr>
          <w:noProof/>
        </w:rPr>
        <w:t>SQL Server Data Center, 81</w:t>
      </w:r>
    </w:p>
    <w:p w:rsidR="00B47E3D" w:rsidRDefault="00B47E3D">
      <w:pPr>
        <w:pStyle w:val="Index1"/>
        <w:tabs>
          <w:tab w:val="right" w:pos="5030"/>
        </w:tabs>
        <w:rPr>
          <w:noProof/>
        </w:rPr>
      </w:pPr>
      <w:r>
        <w:rPr>
          <w:noProof/>
        </w:rPr>
        <w:t>SQL Server Enterprise, 81, 87</w:t>
      </w:r>
    </w:p>
    <w:p w:rsidR="00B47E3D" w:rsidRDefault="00B47E3D">
      <w:pPr>
        <w:pStyle w:val="Index1"/>
        <w:tabs>
          <w:tab w:val="right" w:pos="5030"/>
        </w:tabs>
        <w:rPr>
          <w:noProof/>
        </w:rPr>
      </w:pPr>
      <w:r>
        <w:rPr>
          <w:noProof/>
        </w:rPr>
        <w:t>SQL Server Parallel Data Warehouse, 32</w:t>
      </w:r>
    </w:p>
    <w:p w:rsidR="00B47E3D" w:rsidRDefault="00B47E3D">
      <w:pPr>
        <w:pStyle w:val="Index1"/>
        <w:tabs>
          <w:tab w:val="right" w:pos="5030"/>
        </w:tabs>
        <w:rPr>
          <w:noProof/>
        </w:rPr>
      </w:pPr>
      <w:r>
        <w:rPr>
          <w:noProof/>
        </w:rPr>
        <w:t>SQL Server Standard, 80, 87</w:t>
      </w:r>
    </w:p>
    <w:p w:rsidR="00B47E3D" w:rsidRDefault="00B47E3D">
      <w:pPr>
        <w:pStyle w:val="Index1"/>
        <w:tabs>
          <w:tab w:val="right" w:pos="5030"/>
        </w:tabs>
        <w:rPr>
          <w:noProof/>
        </w:rPr>
      </w:pPr>
      <w:r>
        <w:rPr>
          <w:noProof/>
        </w:rPr>
        <w:t>SSQL Server Parallel Data Warehouse, 33</w:t>
      </w:r>
    </w:p>
    <w:p w:rsidR="00B47E3D" w:rsidRDefault="00B47E3D">
      <w:pPr>
        <w:pStyle w:val="Index1"/>
        <w:tabs>
          <w:tab w:val="right" w:pos="5030"/>
        </w:tabs>
        <w:rPr>
          <w:noProof/>
        </w:rPr>
      </w:pPr>
      <w:r>
        <w:rPr>
          <w:noProof/>
        </w:rPr>
        <w:t>Standard-Server-Management-Lizenz für System Center 2012 R2, 34</w:t>
      </w:r>
    </w:p>
    <w:p w:rsidR="00B47E3D" w:rsidRDefault="00B47E3D">
      <w:pPr>
        <w:pStyle w:val="Index1"/>
        <w:tabs>
          <w:tab w:val="right" w:pos="5030"/>
        </w:tabs>
        <w:rPr>
          <w:noProof/>
        </w:rPr>
      </w:pPr>
      <w:r>
        <w:rPr>
          <w:noProof/>
        </w:rPr>
        <w:t>Standardsupport für Azure Active, 54</w:t>
      </w:r>
    </w:p>
    <w:p w:rsidR="00B47E3D" w:rsidRDefault="00B47E3D">
      <w:pPr>
        <w:pStyle w:val="Index1"/>
        <w:tabs>
          <w:tab w:val="right" w:pos="5030"/>
        </w:tabs>
        <w:rPr>
          <w:noProof/>
        </w:rPr>
      </w:pPr>
      <w:r>
        <w:rPr>
          <w:noProof/>
        </w:rPr>
        <w:t>System Center 2012, 35, 87</w:t>
      </w:r>
    </w:p>
    <w:p w:rsidR="00B47E3D" w:rsidRDefault="00B47E3D">
      <w:pPr>
        <w:pStyle w:val="Index1"/>
        <w:tabs>
          <w:tab w:val="right" w:pos="5030"/>
        </w:tabs>
        <w:rPr>
          <w:noProof/>
        </w:rPr>
      </w:pPr>
      <w:r>
        <w:rPr>
          <w:noProof/>
        </w:rPr>
        <w:t>System Center 2012 Client Management Suite, 36</w:t>
      </w:r>
    </w:p>
    <w:p w:rsidR="00B47E3D" w:rsidRDefault="00B47E3D">
      <w:pPr>
        <w:pStyle w:val="Index1"/>
        <w:tabs>
          <w:tab w:val="right" w:pos="5030"/>
        </w:tabs>
        <w:rPr>
          <w:noProof/>
        </w:rPr>
      </w:pPr>
      <w:r>
        <w:rPr>
          <w:noProof/>
        </w:rPr>
        <w:t>System Center 2012 Configuration Manager, 36</w:t>
      </w:r>
    </w:p>
    <w:p w:rsidR="00B47E3D" w:rsidRDefault="00B47E3D">
      <w:pPr>
        <w:pStyle w:val="Index1"/>
        <w:tabs>
          <w:tab w:val="right" w:pos="5030"/>
        </w:tabs>
        <w:rPr>
          <w:noProof/>
        </w:rPr>
      </w:pPr>
      <w:r>
        <w:rPr>
          <w:noProof/>
        </w:rPr>
        <w:t>System Center 2012 R2 Client Management Suite, 35</w:t>
      </w:r>
    </w:p>
    <w:p w:rsidR="00B47E3D" w:rsidRDefault="00B47E3D">
      <w:pPr>
        <w:pStyle w:val="Index1"/>
        <w:tabs>
          <w:tab w:val="right" w:pos="5030"/>
        </w:tabs>
        <w:rPr>
          <w:noProof/>
        </w:rPr>
      </w:pPr>
      <w:r>
        <w:rPr>
          <w:noProof/>
        </w:rPr>
        <w:t>System Center 2012 R2 Endpoint Protection, 70</w:t>
      </w:r>
    </w:p>
    <w:p w:rsidR="00B47E3D" w:rsidRDefault="00B47E3D">
      <w:pPr>
        <w:pStyle w:val="Index1"/>
        <w:tabs>
          <w:tab w:val="right" w:pos="5030"/>
        </w:tabs>
        <w:rPr>
          <w:noProof/>
        </w:rPr>
      </w:pPr>
      <w:r>
        <w:rPr>
          <w:noProof/>
        </w:rPr>
        <w:t>System Center Configuration Manager Server 2007 R2, 36</w:t>
      </w:r>
    </w:p>
    <w:p w:rsidR="00B47E3D" w:rsidRDefault="00B47E3D">
      <w:pPr>
        <w:pStyle w:val="Index1"/>
        <w:tabs>
          <w:tab w:val="right" w:pos="5030"/>
        </w:tabs>
        <w:rPr>
          <w:noProof/>
        </w:rPr>
      </w:pPr>
      <w:r>
        <w:rPr>
          <w:noProof/>
        </w:rPr>
        <w:t>System Center Data Protection Manager 2010, 37</w:t>
      </w:r>
    </w:p>
    <w:p w:rsidR="00B47E3D" w:rsidRDefault="00B47E3D">
      <w:pPr>
        <w:pStyle w:val="Index1"/>
        <w:tabs>
          <w:tab w:val="right" w:pos="5030"/>
        </w:tabs>
        <w:rPr>
          <w:noProof/>
        </w:rPr>
      </w:pPr>
      <w:r>
        <w:rPr>
          <w:noProof/>
        </w:rPr>
        <w:t>System Center Datacenter, 19, 86, 87</w:t>
      </w:r>
    </w:p>
    <w:p w:rsidR="00B47E3D" w:rsidRDefault="00B47E3D">
      <w:pPr>
        <w:pStyle w:val="Index1"/>
        <w:tabs>
          <w:tab w:val="right" w:pos="5030"/>
        </w:tabs>
        <w:rPr>
          <w:noProof/>
        </w:rPr>
      </w:pPr>
      <w:r>
        <w:rPr>
          <w:noProof/>
        </w:rPr>
        <w:t>System Center Operation Manager 2007 R2, 37</w:t>
      </w:r>
    </w:p>
    <w:p w:rsidR="00B47E3D" w:rsidRDefault="00B47E3D">
      <w:pPr>
        <w:pStyle w:val="Index1"/>
        <w:tabs>
          <w:tab w:val="right" w:pos="5030"/>
        </w:tabs>
        <w:rPr>
          <w:noProof/>
        </w:rPr>
      </w:pPr>
      <w:r>
        <w:rPr>
          <w:noProof/>
        </w:rPr>
        <w:t>System Center Server Management Suite, 37</w:t>
      </w:r>
    </w:p>
    <w:p w:rsidR="00B47E3D" w:rsidRDefault="00B47E3D">
      <w:pPr>
        <w:pStyle w:val="Index1"/>
        <w:tabs>
          <w:tab w:val="right" w:pos="5030"/>
        </w:tabs>
        <w:rPr>
          <w:noProof/>
        </w:rPr>
      </w:pPr>
      <w:r>
        <w:rPr>
          <w:noProof/>
        </w:rPr>
        <w:t>System Center Service Manager 2010, 38</w:t>
      </w:r>
    </w:p>
    <w:p w:rsidR="00B47E3D" w:rsidRDefault="00B47E3D">
      <w:pPr>
        <w:pStyle w:val="Index1"/>
        <w:tabs>
          <w:tab w:val="right" w:pos="5030"/>
        </w:tabs>
        <w:rPr>
          <w:noProof/>
        </w:rPr>
      </w:pPr>
      <w:r>
        <w:rPr>
          <w:noProof/>
        </w:rPr>
        <w:t>System Center Standard, 18, 86, 87</w:t>
      </w:r>
    </w:p>
    <w:p w:rsidR="00B47E3D" w:rsidRDefault="00B47E3D">
      <w:pPr>
        <w:pStyle w:val="Index1"/>
        <w:tabs>
          <w:tab w:val="right" w:pos="5030"/>
        </w:tabs>
        <w:rPr>
          <w:noProof/>
        </w:rPr>
      </w:pPr>
      <w:r>
        <w:rPr>
          <w:noProof/>
        </w:rPr>
        <w:t>VDI, 38</w:t>
      </w:r>
    </w:p>
    <w:p w:rsidR="00B47E3D" w:rsidRDefault="00B47E3D">
      <w:pPr>
        <w:pStyle w:val="Index1"/>
        <w:tabs>
          <w:tab w:val="right" w:pos="5030"/>
        </w:tabs>
        <w:rPr>
          <w:noProof/>
        </w:rPr>
      </w:pPr>
      <w:r>
        <w:rPr>
          <w:noProof/>
        </w:rPr>
        <w:t>Vermietungsrechte für Office Professional Plus, 30</w:t>
      </w:r>
    </w:p>
    <w:p w:rsidR="00B47E3D" w:rsidRDefault="00B47E3D">
      <w:pPr>
        <w:pStyle w:val="Index1"/>
        <w:tabs>
          <w:tab w:val="right" w:pos="5030"/>
        </w:tabs>
        <w:rPr>
          <w:noProof/>
        </w:rPr>
      </w:pPr>
      <w:r>
        <w:rPr>
          <w:noProof/>
        </w:rPr>
        <w:t>Vermietungsrechte für Office Standard, 30</w:t>
      </w:r>
    </w:p>
    <w:p w:rsidR="00B47E3D" w:rsidRDefault="00B47E3D">
      <w:pPr>
        <w:pStyle w:val="Index1"/>
        <w:tabs>
          <w:tab w:val="right" w:pos="5030"/>
        </w:tabs>
        <w:rPr>
          <w:noProof/>
        </w:rPr>
      </w:pPr>
      <w:r>
        <w:rPr>
          <w:noProof/>
        </w:rPr>
        <w:t>Vermietungsrechte für Windows, 30</w:t>
      </w:r>
    </w:p>
    <w:p w:rsidR="00B47E3D" w:rsidRDefault="00B47E3D">
      <w:pPr>
        <w:pStyle w:val="Index1"/>
        <w:tabs>
          <w:tab w:val="right" w:pos="5030"/>
        </w:tabs>
        <w:rPr>
          <w:noProof/>
        </w:rPr>
      </w:pPr>
      <w:r>
        <w:rPr>
          <w:noProof/>
        </w:rPr>
        <w:t>Visio 2016 Professional, 24</w:t>
      </w:r>
    </w:p>
    <w:p w:rsidR="00B47E3D" w:rsidRDefault="00B47E3D">
      <w:pPr>
        <w:pStyle w:val="Index1"/>
        <w:tabs>
          <w:tab w:val="right" w:pos="5030"/>
        </w:tabs>
        <w:rPr>
          <w:noProof/>
        </w:rPr>
      </w:pPr>
      <w:r>
        <w:rPr>
          <w:noProof/>
        </w:rPr>
        <w:t>Visio 2016 Standard, 24</w:t>
      </w:r>
    </w:p>
    <w:p w:rsidR="00B47E3D" w:rsidRDefault="00B47E3D">
      <w:pPr>
        <w:pStyle w:val="Index1"/>
        <w:tabs>
          <w:tab w:val="right" w:pos="5030"/>
        </w:tabs>
        <w:rPr>
          <w:noProof/>
        </w:rPr>
      </w:pPr>
      <w:r>
        <w:rPr>
          <w:noProof/>
        </w:rPr>
        <w:t>Visio Pro für Office 365, 24, 61</w:t>
      </w:r>
    </w:p>
    <w:p w:rsidR="00B47E3D" w:rsidRDefault="00B47E3D">
      <w:pPr>
        <w:pStyle w:val="Index1"/>
        <w:tabs>
          <w:tab w:val="right" w:pos="5030"/>
        </w:tabs>
        <w:rPr>
          <w:noProof/>
        </w:rPr>
      </w:pPr>
      <w:r>
        <w:rPr>
          <w:noProof/>
        </w:rPr>
        <w:t>Visio Pro für Office 365 von SA, 61</w:t>
      </w:r>
    </w:p>
    <w:p w:rsidR="00B47E3D" w:rsidRDefault="00B47E3D">
      <w:pPr>
        <w:pStyle w:val="Index1"/>
        <w:tabs>
          <w:tab w:val="right" w:pos="5030"/>
        </w:tabs>
        <w:rPr>
          <w:noProof/>
        </w:rPr>
      </w:pPr>
      <w:r>
        <w:rPr>
          <w:noProof/>
        </w:rPr>
        <w:t>Visio Professional, 62, 87</w:t>
      </w:r>
    </w:p>
    <w:p w:rsidR="00B47E3D" w:rsidRDefault="00B47E3D">
      <w:pPr>
        <w:pStyle w:val="Index1"/>
        <w:tabs>
          <w:tab w:val="right" w:pos="5030"/>
        </w:tabs>
        <w:rPr>
          <w:noProof/>
        </w:rPr>
      </w:pPr>
      <w:r>
        <w:rPr>
          <w:noProof/>
        </w:rPr>
        <w:t>Visio Standard, 80, 87</w:t>
      </w:r>
    </w:p>
    <w:p w:rsidR="00B47E3D" w:rsidRDefault="00B47E3D">
      <w:pPr>
        <w:pStyle w:val="Index1"/>
        <w:tabs>
          <w:tab w:val="right" w:pos="5030"/>
        </w:tabs>
        <w:rPr>
          <w:noProof/>
        </w:rPr>
      </w:pPr>
      <w:r>
        <w:rPr>
          <w:noProof/>
        </w:rPr>
        <w:t>Visual Studio 2013, 38</w:t>
      </w:r>
    </w:p>
    <w:p w:rsidR="00B47E3D" w:rsidRDefault="00B47E3D">
      <w:pPr>
        <w:pStyle w:val="Index1"/>
        <w:tabs>
          <w:tab w:val="right" w:pos="5030"/>
        </w:tabs>
        <w:rPr>
          <w:noProof/>
        </w:rPr>
      </w:pPr>
      <w:r>
        <w:rPr>
          <w:noProof/>
        </w:rPr>
        <w:t>Visual Studio Enterprise 2015 mit MSDN, 38</w:t>
      </w:r>
    </w:p>
    <w:p w:rsidR="00B47E3D" w:rsidRDefault="00B47E3D">
      <w:pPr>
        <w:pStyle w:val="Index1"/>
        <w:tabs>
          <w:tab w:val="right" w:pos="5030"/>
        </w:tabs>
        <w:rPr>
          <w:noProof/>
        </w:rPr>
      </w:pPr>
      <w:r>
        <w:rPr>
          <w:noProof/>
        </w:rPr>
        <w:t>Visual Studio Enterprise mit MSDN, 81, 87</w:t>
      </w:r>
    </w:p>
    <w:p w:rsidR="00B47E3D" w:rsidRDefault="00B47E3D">
      <w:pPr>
        <w:pStyle w:val="Index1"/>
        <w:tabs>
          <w:tab w:val="right" w:pos="5030"/>
        </w:tabs>
        <w:rPr>
          <w:noProof/>
        </w:rPr>
      </w:pPr>
      <w:r>
        <w:rPr>
          <w:noProof/>
        </w:rPr>
        <w:t>Visual Studio Professional 2015, 38</w:t>
      </w:r>
    </w:p>
    <w:p w:rsidR="00B47E3D" w:rsidRDefault="00B47E3D">
      <w:pPr>
        <w:pStyle w:val="Index1"/>
        <w:tabs>
          <w:tab w:val="right" w:pos="5030"/>
        </w:tabs>
        <w:rPr>
          <w:noProof/>
        </w:rPr>
      </w:pPr>
      <w:r>
        <w:rPr>
          <w:noProof/>
        </w:rPr>
        <w:t>Visual Studio Professional 2015 mit MSDN, 38</w:t>
      </w:r>
    </w:p>
    <w:p w:rsidR="00B47E3D" w:rsidRDefault="00B47E3D">
      <w:pPr>
        <w:pStyle w:val="Index1"/>
        <w:tabs>
          <w:tab w:val="right" w:pos="5030"/>
        </w:tabs>
        <w:rPr>
          <w:noProof/>
        </w:rPr>
      </w:pPr>
      <w:r>
        <w:rPr>
          <w:noProof/>
        </w:rPr>
        <w:t>Visual Studio Professional mit MSDN, 80, 87</w:t>
      </w:r>
    </w:p>
    <w:p w:rsidR="00B47E3D" w:rsidRDefault="00B47E3D">
      <w:pPr>
        <w:pStyle w:val="Index1"/>
        <w:tabs>
          <w:tab w:val="right" w:pos="5030"/>
        </w:tabs>
        <w:rPr>
          <w:noProof/>
        </w:rPr>
      </w:pPr>
      <w:r>
        <w:rPr>
          <w:noProof/>
        </w:rPr>
        <w:t>Visual Studio Team Foundation Server 2015 mit SQL Server 2014-Technologie, 40</w:t>
      </w:r>
    </w:p>
    <w:p w:rsidR="00B47E3D" w:rsidRDefault="00B47E3D">
      <w:pPr>
        <w:pStyle w:val="Index1"/>
        <w:tabs>
          <w:tab w:val="right" w:pos="5030"/>
        </w:tabs>
        <w:rPr>
          <w:noProof/>
        </w:rPr>
      </w:pPr>
      <w:r>
        <w:rPr>
          <w:noProof/>
        </w:rPr>
        <w:t>Visual Studio Test Professional 2015 mit MSDN, 38</w:t>
      </w:r>
    </w:p>
    <w:p w:rsidR="00B47E3D" w:rsidRDefault="00B47E3D">
      <w:pPr>
        <w:pStyle w:val="Index1"/>
        <w:tabs>
          <w:tab w:val="right" w:pos="5030"/>
        </w:tabs>
        <w:rPr>
          <w:noProof/>
        </w:rPr>
      </w:pPr>
      <w:r>
        <w:rPr>
          <w:noProof/>
        </w:rPr>
        <w:t>Visual Studio Test Professional mit MSDN, 80, 87</w:t>
      </w:r>
    </w:p>
    <w:p w:rsidR="00B47E3D" w:rsidRDefault="00B47E3D">
      <w:pPr>
        <w:pStyle w:val="Index1"/>
        <w:tabs>
          <w:tab w:val="right" w:pos="5030"/>
        </w:tabs>
        <w:rPr>
          <w:noProof/>
        </w:rPr>
      </w:pPr>
      <w:r>
        <w:rPr>
          <w:noProof/>
        </w:rPr>
        <w:t>Windows 10, 31</w:t>
      </w:r>
    </w:p>
    <w:p w:rsidR="00B47E3D" w:rsidRDefault="00B47E3D">
      <w:pPr>
        <w:pStyle w:val="Index1"/>
        <w:tabs>
          <w:tab w:val="right" w:pos="5030"/>
        </w:tabs>
        <w:rPr>
          <w:noProof/>
        </w:rPr>
      </w:pPr>
      <w:r>
        <w:rPr>
          <w:noProof/>
        </w:rPr>
        <w:t>Windows 10, 31</w:t>
      </w:r>
    </w:p>
    <w:p w:rsidR="00B47E3D" w:rsidRDefault="00B47E3D">
      <w:pPr>
        <w:pStyle w:val="Index1"/>
        <w:tabs>
          <w:tab w:val="right" w:pos="5030"/>
        </w:tabs>
        <w:rPr>
          <w:noProof/>
        </w:rPr>
      </w:pPr>
      <w:r>
        <w:rPr>
          <w:noProof/>
        </w:rPr>
        <w:t>Windows 10 Education-Upgrade (pro Gerät), 41</w:t>
      </w:r>
    </w:p>
    <w:p w:rsidR="00B47E3D" w:rsidRDefault="00B47E3D">
      <w:pPr>
        <w:pStyle w:val="Index1"/>
        <w:tabs>
          <w:tab w:val="right" w:pos="5030"/>
        </w:tabs>
        <w:rPr>
          <w:noProof/>
        </w:rPr>
      </w:pPr>
      <w:r>
        <w:rPr>
          <w:noProof/>
        </w:rPr>
        <w:t>Windows 10 Enterprise LTSB-Upgrade, 41</w:t>
      </w:r>
    </w:p>
    <w:p w:rsidR="00B47E3D" w:rsidRDefault="00B47E3D">
      <w:pPr>
        <w:pStyle w:val="Index1"/>
        <w:tabs>
          <w:tab w:val="right" w:pos="5030"/>
        </w:tabs>
        <w:rPr>
          <w:noProof/>
        </w:rPr>
      </w:pPr>
      <w:r>
        <w:rPr>
          <w:noProof/>
        </w:rPr>
        <w:t>Windows 10 Enterprise Software Assurance pro Nutzer, 41</w:t>
      </w:r>
    </w:p>
    <w:p w:rsidR="00B47E3D" w:rsidRDefault="00B47E3D">
      <w:pPr>
        <w:pStyle w:val="Index1"/>
        <w:tabs>
          <w:tab w:val="right" w:pos="5030"/>
        </w:tabs>
        <w:rPr>
          <w:noProof/>
        </w:rPr>
      </w:pPr>
      <w:r>
        <w:rPr>
          <w:noProof/>
        </w:rPr>
        <w:t>Windows 10 Enterprise Software Assurance pro Nutzer aus SA, 41</w:t>
      </w:r>
    </w:p>
    <w:p w:rsidR="00B47E3D" w:rsidRDefault="00B47E3D">
      <w:pPr>
        <w:pStyle w:val="Index1"/>
        <w:tabs>
          <w:tab w:val="right" w:pos="5030"/>
        </w:tabs>
        <w:rPr>
          <w:noProof/>
        </w:rPr>
      </w:pPr>
      <w:r>
        <w:rPr>
          <w:noProof/>
        </w:rPr>
        <w:t>Windows 10 IoT Enterprise, 42</w:t>
      </w:r>
    </w:p>
    <w:p w:rsidR="00B47E3D" w:rsidRDefault="00B47E3D">
      <w:pPr>
        <w:pStyle w:val="Index1"/>
        <w:tabs>
          <w:tab w:val="right" w:pos="5030"/>
        </w:tabs>
        <w:rPr>
          <w:noProof/>
        </w:rPr>
      </w:pPr>
      <w:r>
        <w:rPr>
          <w:noProof/>
        </w:rPr>
        <w:t>Windows 10 Mobile Enterprise (pro Gerät), 41</w:t>
      </w:r>
    </w:p>
    <w:p w:rsidR="00B47E3D" w:rsidRDefault="00B47E3D">
      <w:pPr>
        <w:pStyle w:val="Index1"/>
        <w:tabs>
          <w:tab w:val="right" w:pos="5030"/>
        </w:tabs>
        <w:rPr>
          <w:noProof/>
        </w:rPr>
      </w:pPr>
      <w:r>
        <w:rPr>
          <w:noProof/>
        </w:rPr>
        <w:t>Windows 10 Pro-Upgrade, 41</w:t>
      </w:r>
    </w:p>
    <w:p w:rsidR="00B47E3D" w:rsidRDefault="00B47E3D">
      <w:pPr>
        <w:pStyle w:val="Index1"/>
        <w:tabs>
          <w:tab w:val="right" w:pos="5030"/>
        </w:tabs>
        <w:rPr>
          <w:noProof/>
        </w:rPr>
      </w:pPr>
      <w:r>
        <w:rPr>
          <w:noProof/>
        </w:rPr>
        <w:t>Windows 2000 Professional for Embedded Systems, 42</w:t>
      </w:r>
    </w:p>
    <w:p w:rsidR="00B47E3D" w:rsidRDefault="00B47E3D">
      <w:pPr>
        <w:pStyle w:val="Index1"/>
        <w:tabs>
          <w:tab w:val="right" w:pos="5030"/>
        </w:tabs>
        <w:rPr>
          <w:noProof/>
        </w:rPr>
      </w:pPr>
      <w:r>
        <w:rPr>
          <w:noProof/>
        </w:rPr>
        <w:t>Windows 7, 31, 42</w:t>
      </w:r>
    </w:p>
    <w:p w:rsidR="00B47E3D" w:rsidRDefault="00B47E3D">
      <w:pPr>
        <w:pStyle w:val="Index1"/>
        <w:tabs>
          <w:tab w:val="right" w:pos="5030"/>
        </w:tabs>
        <w:rPr>
          <w:noProof/>
        </w:rPr>
      </w:pPr>
      <w:r>
        <w:rPr>
          <w:noProof/>
        </w:rPr>
        <w:t>Windows 7 Professional for Embedded Systems, 42</w:t>
      </w:r>
    </w:p>
    <w:p w:rsidR="00B47E3D" w:rsidRDefault="00B47E3D">
      <w:pPr>
        <w:pStyle w:val="Index1"/>
        <w:tabs>
          <w:tab w:val="right" w:pos="5030"/>
        </w:tabs>
        <w:rPr>
          <w:noProof/>
        </w:rPr>
      </w:pPr>
      <w:r>
        <w:rPr>
          <w:noProof/>
        </w:rPr>
        <w:t>Windows 7 Ultimate for Embedded Systems, 42</w:t>
      </w:r>
    </w:p>
    <w:p w:rsidR="00B47E3D" w:rsidRDefault="00B47E3D">
      <w:pPr>
        <w:pStyle w:val="Index1"/>
        <w:tabs>
          <w:tab w:val="right" w:pos="5030"/>
        </w:tabs>
        <w:rPr>
          <w:noProof/>
        </w:rPr>
      </w:pPr>
      <w:r>
        <w:rPr>
          <w:noProof/>
        </w:rPr>
        <w:t>Windows 8, 31</w:t>
      </w:r>
    </w:p>
    <w:p w:rsidR="00B47E3D" w:rsidRDefault="00B47E3D">
      <w:pPr>
        <w:pStyle w:val="Index1"/>
        <w:tabs>
          <w:tab w:val="right" w:pos="5030"/>
        </w:tabs>
        <w:rPr>
          <w:noProof/>
        </w:rPr>
      </w:pPr>
      <w:r>
        <w:rPr>
          <w:noProof/>
        </w:rPr>
        <w:t>Windows 8.1, 31, 41</w:t>
      </w:r>
    </w:p>
    <w:p w:rsidR="00B47E3D" w:rsidRDefault="00B47E3D">
      <w:pPr>
        <w:pStyle w:val="Index1"/>
        <w:tabs>
          <w:tab w:val="right" w:pos="5030"/>
        </w:tabs>
        <w:rPr>
          <w:noProof/>
        </w:rPr>
      </w:pPr>
      <w:r>
        <w:rPr>
          <w:noProof/>
        </w:rPr>
        <w:t>Windows 8.1 Enterprise Sideloading, 41</w:t>
      </w:r>
    </w:p>
    <w:p w:rsidR="00B47E3D" w:rsidRDefault="00B47E3D">
      <w:pPr>
        <w:pStyle w:val="Index1"/>
        <w:tabs>
          <w:tab w:val="right" w:pos="5030"/>
        </w:tabs>
        <w:rPr>
          <w:noProof/>
        </w:rPr>
      </w:pPr>
      <w:r>
        <w:rPr>
          <w:noProof/>
        </w:rPr>
        <w:t>Windows 8.1 Enterprise Upgrade und SA pro Nutzer (aus SA), 58</w:t>
      </w:r>
    </w:p>
    <w:p w:rsidR="00B47E3D" w:rsidRDefault="00B47E3D">
      <w:pPr>
        <w:pStyle w:val="Index1"/>
        <w:tabs>
          <w:tab w:val="right" w:pos="5030"/>
        </w:tabs>
        <w:rPr>
          <w:noProof/>
        </w:rPr>
      </w:pPr>
      <w:r>
        <w:rPr>
          <w:noProof/>
        </w:rPr>
        <w:t>Windows Companion-Abonnement, 44</w:t>
      </w:r>
    </w:p>
    <w:p w:rsidR="00B47E3D" w:rsidRDefault="00B47E3D">
      <w:pPr>
        <w:pStyle w:val="Index1"/>
        <w:tabs>
          <w:tab w:val="right" w:pos="5030"/>
        </w:tabs>
        <w:rPr>
          <w:noProof/>
        </w:rPr>
      </w:pPr>
      <w:r>
        <w:rPr>
          <w:noProof/>
        </w:rPr>
        <w:t>Windows Embedded 2009, 42</w:t>
      </w:r>
    </w:p>
    <w:p w:rsidR="00B47E3D" w:rsidRDefault="00B47E3D">
      <w:pPr>
        <w:pStyle w:val="Index1"/>
        <w:tabs>
          <w:tab w:val="right" w:pos="5030"/>
        </w:tabs>
        <w:rPr>
          <w:noProof/>
        </w:rPr>
      </w:pPr>
      <w:r>
        <w:rPr>
          <w:noProof/>
        </w:rPr>
        <w:t>Windows Embedded 8 Standard, 42</w:t>
      </w:r>
    </w:p>
    <w:p w:rsidR="00B47E3D" w:rsidRDefault="00B47E3D">
      <w:pPr>
        <w:pStyle w:val="Index1"/>
        <w:tabs>
          <w:tab w:val="right" w:pos="5030"/>
        </w:tabs>
        <w:rPr>
          <w:noProof/>
        </w:rPr>
      </w:pPr>
      <w:r>
        <w:rPr>
          <w:noProof/>
        </w:rPr>
        <w:t>Windows Embedded 8 Standard Enterprise Kit (100 Pack), 41</w:t>
      </w:r>
    </w:p>
    <w:p w:rsidR="00B47E3D" w:rsidRDefault="00B47E3D">
      <w:pPr>
        <w:pStyle w:val="Index1"/>
        <w:tabs>
          <w:tab w:val="right" w:pos="5030"/>
        </w:tabs>
        <w:rPr>
          <w:noProof/>
        </w:rPr>
      </w:pPr>
      <w:r>
        <w:rPr>
          <w:noProof/>
        </w:rPr>
        <w:t>Windows Embedded 8 und 8.1 Industry Retail, 42</w:t>
      </w:r>
    </w:p>
    <w:p w:rsidR="00B47E3D" w:rsidRDefault="00B47E3D">
      <w:pPr>
        <w:pStyle w:val="Index1"/>
        <w:tabs>
          <w:tab w:val="right" w:pos="5030"/>
        </w:tabs>
        <w:rPr>
          <w:noProof/>
        </w:rPr>
      </w:pPr>
      <w:r>
        <w:rPr>
          <w:noProof/>
        </w:rPr>
        <w:t>Windows Embedded 8.1 Industry, 41</w:t>
      </w:r>
    </w:p>
    <w:p w:rsidR="00B47E3D" w:rsidRDefault="00B47E3D">
      <w:pPr>
        <w:pStyle w:val="Index1"/>
        <w:tabs>
          <w:tab w:val="right" w:pos="5030"/>
        </w:tabs>
        <w:rPr>
          <w:noProof/>
        </w:rPr>
      </w:pPr>
      <w:r>
        <w:rPr>
          <w:noProof/>
        </w:rPr>
        <w:t>Windows Embedded 8/8.1 Industry Pro, 42</w:t>
      </w:r>
    </w:p>
    <w:p w:rsidR="00B47E3D" w:rsidRDefault="00B47E3D">
      <w:pPr>
        <w:pStyle w:val="Index1"/>
        <w:tabs>
          <w:tab w:val="right" w:pos="5030"/>
        </w:tabs>
        <w:rPr>
          <w:noProof/>
        </w:rPr>
      </w:pPr>
      <w:r>
        <w:rPr>
          <w:noProof/>
        </w:rPr>
        <w:t>Windows Embedded 8/8.1 Pro, 42</w:t>
      </w:r>
    </w:p>
    <w:p w:rsidR="00B47E3D" w:rsidRDefault="00B47E3D">
      <w:pPr>
        <w:pStyle w:val="Index1"/>
        <w:tabs>
          <w:tab w:val="right" w:pos="5030"/>
        </w:tabs>
        <w:rPr>
          <w:noProof/>
        </w:rPr>
      </w:pPr>
      <w:r>
        <w:rPr>
          <w:noProof/>
        </w:rPr>
        <w:t>Windows Embedded for Point of Service, 42</w:t>
      </w:r>
    </w:p>
    <w:p w:rsidR="00B47E3D" w:rsidRDefault="00B47E3D">
      <w:pPr>
        <w:pStyle w:val="Index1"/>
        <w:tabs>
          <w:tab w:val="right" w:pos="5030"/>
        </w:tabs>
        <w:rPr>
          <w:noProof/>
        </w:rPr>
      </w:pPr>
      <w:r>
        <w:rPr>
          <w:noProof/>
        </w:rPr>
        <w:t>Windows Embedded POSReady 2009, 42</w:t>
      </w:r>
    </w:p>
    <w:p w:rsidR="00B47E3D" w:rsidRDefault="00B47E3D">
      <w:pPr>
        <w:pStyle w:val="Index1"/>
        <w:tabs>
          <w:tab w:val="right" w:pos="5030"/>
        </w:tabs>
        <w:rPr>
          <w:noProof/>
        </w:rPr>
      </w:pPr>
      <w:r>
        <w:rPr>
          <w:noProof/>
        </w:rPr>
        <w:t>Windows Embedded POSReady 7, 42</w:t>
      </w:r>
    </w:p>
    <w:p w:rsidR="00B47E3D" w:rsidRDefault="00B47E3D">
      <w:pPr>
        <w:pStyle w:val="Index1"/>
        <w:tabs>
          <w:tab w:val="right" w:pos="5030"/>
        </w:tabs>
        <w:rPr>
          <w:noProof/>
        </w:rPr>
      </w:pPr>
      <w:r>
        <w:rPr>
          <w:noProof/>
        </w:rPr>
        <w:t>Windows Embedded POSReady 7 Pro, 42</w:t>
      </w:r>
    </w:p>
    <w:p w:rsidR="00B47E3D" w:rsidRDefault="00B47E3D">
      <w:pPr>
        <w:pStyle w:val="Index1"/>
        <w:tabs>
          <w:tab w:val="right" w:pos="5030"/>
        </w:tabs>
        <w:rPr>
          <w:noProof/>
        </w:rPr>
      </w:pPr>
      <w:r>
        <w:rPr>
          <w:noProof/>
        </w:rPr>
        <w:t>Windows Embedded Standard 7, 42</w:t>
      </w:r>
    </w:p>
    <w:p w:rsidR="00B47E3D" w:rsidRDefault="00B47E3D">
      <w:pPr>
        <w:pStyle w:val="Index1"/>
        <w:tabs>
          <w:tab w:val="right" w:pos="5030"/>
        </w:tabs>
        <w:rPr>
          <w:noProof/>
        </w:rPr>
      </w:pPr>
      <w:r>
        <w:rPr>
          <w:noProof/>
        </w:rPr>
        <w:t>Windows HPC Server, 50</w:t>
      </w:r>
    </w:p>
    <w:p w:rsidR="00B47E3D" w:rsidRDefault="00B47E3D">
      <w:pPr>
        <w:pStyle w:val="Index1"/>
        <w:tabs>
          <w:tab w:val="right" w:pos="5030"/>
        </w:tabs>
        <w:rPr>
          <w:noProof/>
        </w:rPr>
      </w:pPr>
      <w:r>
        <w:rPr>
          <w:noProof/>
        </w:rPr>
        <w:t>Windows MultiPoint Server 2011, 47</w:t>
      </w:r>
    </w:p>
    <w:p w:rsidR="00B47E3D" w:rsidRDefault="00B47E3D">
      <w:pPr>
        <w:pStyle w:val="Index1"/>
        <w:tabs>
          <w:tab w:val="right" w:pos="5030"/>
        </w:tabs>
        <w:rPr>
          <w:noProof/>
        </w:rPr>
      </w:pPr>
      <w:r>
        <w:rPr>
          <w:noProof/>
        </w:rPr>
        <w:t>Windows MultiPoint Server 2012 Premium, 47</w:t>
      </w:r>
    </w:p>
    <w:p w:rsidR="00B47E3D" w:rsidRDefault="00B47E3D">
      <w:pPr>
        <w:pStyle w:val="Index1"/>
        <w:tabs>
          <w:tab w:val="right" w:pos="5030"/>
        </w:tabs>
        <w:rPr>
          <w:noProof/>
        </w:rPr>
      </w:pPr>
      <w:r>
        <w:rPr>
          <w:noProof/>
        </w:rPr>
        <w:t>Windows MultiPoint Server 2012 Premium mit CAL für Windows MultiPoint Server 2012 (5 Clients), 47</w:t>
      </w:r>
    </w:p>
    <w:p w:rsidR="00B47E3D" w:rsidRDefault="00B47E3D">
      <w:pPr>
        <w:pStyle w:val="Index1"/>
        <w:tabs>
          <w:tab w:val="right" w:pos="5030"/>
        </w:tabs>
        <w:rPr>
          <w:noProof/>
        </w:rPr>
      </w:pPr>
      <w:r>
        <w:rPr>
          <w:noProof/>
        </w:rPr>
        <w:t>Windows MultiPoint Server 2012 Premium mit CAL für Windows MultiPoint Server 2012 (5 Clients) mit CAL für Windows Server 2012 (5 Clients), 47</w:t>
      </w:r>
    </w:p>
    <w:p w:rsidR="00B47E3D" w:rsidRDefault="00B47E3D">
      <w:pPr>
        <w:pStyle w:val="Index1"/>
        <w:tabs>
          <w:tab w:val="right" w:pos="5030"/>
        </w:tabs>
        <w:rPr>
          <w:noProof/>
        </w:rPr>
      </w:pPr>
      <w:r>
        <w:rPr>
          <w:noProof/>
        </w:rPr>
        <w:t>Windows MultiPoint Server 2012 Standard, 47</w:t>
      </w:r>
    </w:p>
    <w:p w:rsidR="00B47E3D" w:rsidRDefault="00B47E3D">
      <w:pPr>
        <w:pStyle w:val="Index1"/>
        <w:tabs>
          <w:tab w:val="right" w:pos="5030"/>
        </w:tabs>
        <w:rPr>
          <w:noProof/>
        </w:rPr>
      </w:pPr>
      <w:r>
        <w:rPr>
          <w:noProof/>
        </w:rPr>
        <w:t>Windows SA pro Nutzer, 58</w:t>
      </w:r>
    </w:p>
    <w:p w:rsidR="00B47E3D" w:rsidRDefault="00B47E3D">
      <w:pPr>
        <w:pStyle w:val="Index1"/>
        <w:tabs>
          <w:tab w:val="right" w:pos="5030"/>
        </w:tabs>
        <w:rPr>
          <w:noProof/>
        </w:rPr>
      </w:pPr>
      <w:r>
        <w:rPr>
          <w:noProof/>
        </w:rPr>
        <w:t>Windows Server, 87</w:t>
      </w:r>
    </w:p>
    <w:p w:rsidR="00B47E3D" w:rsidRDefault="00B47E3D">
      <w:pPr>
        <w:pStyle w:val="Index1"/>
        <w:tabs>
          <w:tab w:val="right" w:pos="5030"/>
        </w:tabs>
        <w:rPr>
          <w:noProof/>
        </w:rPr>
      </w:pPr>
      <w:r>
        <w:rPr>
          <w:noProof/>
        </w:rPr>
        <w:t>Windows Server 2008, 48</w:t>
      </w:r>
    </w:p>
    <w:p w:rsidR="00B47E3D" w:rsidRDefault="00B47E3D">
      <w:pPr>
        <w:pStyle w:val="Index1"/>
        <w:tabs>
          <w:tab w:val="right" w:pos="5030"/>
        </w:tabs>
        <w:rPr>
          <w:noProof/>
        </w:rPr>
      </w:pPr>
      <w:r>
        <w:rPr>
          <w:noProof/>
        </w:rPr>
        <w:t>Windows Server 2008 R2 Enterprise, 18</w:t>
      </w:r>
    </w:p>
    <w:p w:rsidR="00B47E3D" w:rsidRDefault="00B47E3D">
      <w:pPr>
        <w:pStyle w:val="Index1"/>
        <w:tabs>
          <w:tab w:val="right" w:pos="5030"/>
        </w:tabs>
        <w:rPr>
          <w:noProof/>
        </w:rPr>
      </w:pPr>
      <w:r>
        <w:rPr>
          <w:noProof/>
        </w:rPr>
        <w:t>Windows Server 2012, 48</w:t>
      </w:r>
    </w:p>
    <w:p w:rsidR="00B47E3D" w:rsidRDefault="00B47E3D">
      <w:pPr>
        <w:pStyle w:val="Index1"/>
        <w:tabs>
          <w:tab w:val="right" w:pos="5030"/>
        </w:tabs>
        <w:rPr>
          <w:noProof/>
        </w:rPr>
      </w:pPr>
      <w:r>
        <w:rPr>
          <w:noProof/>
        </w:rPr>
        <w:t>Windows Server 2012 R2 Datacenter, 48</w:t>
      </w:r>
    </w:p>
    <w:p w:rsidR="00B47E3D" w:rsidRDefault="00B47E3D">
      <w:pPr>
        <w:pStyle w:val="Index1"/>
        <w:tabs>
          <w:tab w:val="right" w:pos="5030"/>
        </w:tabs>
        <w:rPr>
          <w:noProof/>
        </w:rPr>
      </w:pPr>
      <w:r>
        <w:rPr>
          <w:noProof/>
        </w:rPr>
        <w:t>Windows Server 2012 R2 Essentials, 48</w:t>
      </w:r>
    </w:p>
    <w:p w:rsidR="00B47E3D" w:rsidRDefault="00B47E3D">
      <w:pPr>
        <w:pStyle w:val="Index1"/>
        <w:tabs>
          <w:tab w:val="right" w:pos="5030"/>
        </w:tabs>
        <w:rPr>
          <w:noProof/>
        </w:rPr>
      </w:pPr>
      <w:r>
        <w:rPr>
          <w:noProof/>
        </w:rPr>
        <w:t>Windows Server 2012 R2 Standard, 48</w:t>
      </w:r>
    </w:p>
    <w:p w:rsidR="00B47E3D" w:rsidRDefault="00B47E3D">
      <w:pPr>
        <w:pStyle w:val="Index1"/>
        <w:tabs>
          <w:tab w:val="right" w:pos="5030"/>
        </w:tabs>
        <w:rPr>
          <w:noProof/>
        </w:rPr>
      </w:pPr>
      <w:r>
        <w:rPr>
          <w:noProof/>
        </w:rPr>
        <w:t>Windows Server Data Center, 81</w:t>
      </w:r>
    </w:p>
    <w:p w:rsidR="00B47E3D" w:rsidRDefault="00B47E3D">
      <w:pPr>
        <w:pStyle w:val="Index1"/>
        <w:tabs>
          <w:tab w:val="right" w:pos="5030"/>
        </w:tabs>
        <w:rPr>
          <w:noProof/>
        </w:rPr>
      </w:pPr>
      <w:r>
        <w:rPr>
          <w:noProof/>
        </w:rPr>
        <w:t>Windows Server Datacenter, 19, 86, 87</w:t>
      </w:r>
    </w:p>
    <w:p w:rsidR="00B47E3D" w:rsidRDefault="00B47E3D">
      <w:pPr>
        <w:pStyle w:val="Index1"/>
        <w:tabs>
          <w:tab w:val="right" w:pos="5030"/>
        </w:tabs>
        <w:rPr>
          <w:noProof/>
        </w:rPr>
      </w:pPr>
      <w:r>
        <w:rPr>
          <w:noProof/>
        </w:rPr>
        <w:t>Windows Server Enterprise, 50, 81</w:t>
      </w:r>
    </w:p>
    <w:p w:rsidR="00B47E3D" w:rsidRDefault="00B47E3D">
      <w:pPr>
        <w:pStyle w:val="Index1"/>
        <w:tabs>
          <w:tab w:val="right" w:pos="5030"/>
        </w:tabs>
        <w:rPr>
          <w:noProof/>
        </w:rPr>
      </w:pPr>
      <w:r>
        <w:rPr>
          <w:noProof/>
        </w:rPr>
        <w:t>Windows Server für Itanium-basierte Systeme, 50</w:t>
      </w:r>
    </w:p>
    <w:p w:rsidR="00B47E3D" w:rsidRDefault="00B47E3D">
      <w:pPr>
        <w:pStyle w:val="Index1"/>
        <w:tabs>
          <w:tab w:val="right" w:pos="5030"/>
        </w:tabs>
        <w:rPr>
          <w:noProof/>
        </w:rPr>
      </w:pPr>
      <w:r>
        <w:rPr>
          <w:noProof/>
        </w:rPr>
        <w:t>Windows Server HPC Edition, 50</w:t>
      </w:r>
    </w:p>
    <w:p w:rsidR="00B47E3D" w:rsidRDefault="00B47E3D">
      <w:pPr>
        <w:pStyle w:val="Index1"/>
        <w:tabs>
          <w:tab w:val="right" w:pos="5030"/>
        </w:tabs>
        <w:rPr>
          <w:noProof/>
        </w:rPr>
      </w:pPr>
      <w:r>
        <w:rPr>
          <w:noProof/>
        </w:rPr>
        <w:t>Windows Server Standard, 18, 80, 86, 87</w:t>
      </w:r>
    </w:p>
    <w:p w:rsidR="00B47E3D" w:rsidRDefault="00B47E3D">
      <w:pPr>
        <w:pStyle w:val="Index1"/>
        <w:tabs>
          <w:tab w:val="right" w:pos="5030"/>
        </w:tabs>
        <w:rPr>
          <w:noProof/>
        </w:rPr>
      </w:pPr>
      <w:r>
        <w:rPr>
          <w:noProof/>
        </w:rPr>
        <w:t>Windows Small Business Server, 50</w:t>
      </w:r>
    </w:p>
    <w:p w:rsidR="00B47E3D" w:rsidRDefault="00B47E3D">
      <w:pPr>
        <w:pStyle w:val="Index1"/>
        <w:tabs>
          <w:tab w:val="right" w:pos="5030"/>
        </w:tabs>
        <w:rPr>
          <w:noProof/>
        </w:rPr>
      </w:pPr>
      <w:r>
        <w:rPr>
          <w:noProof/>
        </w:rPr>
        <w:t>Windows Small Business Server 2008, 51</w:t>
      </w:r>
    </w:p>
    <w:p w:rsidR="00B47E3D" w:rsidRDefault="00B47E3D">
      <w:pPr>
        <w:pStyle w:val="Index1"/>
        <w:tabs>
          <w:tab w:val="right" w:pos="5030"/>
        </w:tabs>
        <w:rPr>
          <w:noProof/>
        </w:rPr>
      </w:pPr>
      <w:r>
        <w:rPr>
          <w:noProof/>
        </w:rPr>
        <w:t>Windows Virtual Desktop Access, 41</w:t>
      </w:r>
    </w:p>
    <w:p w:rsidR="00B47E3D" w:rsidRDefault="00B47E3D">
      <w:pPr>
        <w:pStyle w:val="Index1"/>
        <w:tabs>
          <w:tab w:val="right" w:pos="5030"/>
        </w:tabs>
        <w:rPr>
          <w:noProof/>
        </w:rPr>
      </w:pPr>
      <w:r>
        <w:rPr>
          <w:noProof/>
        </w:rPr>
        <w:t>Windows Vista, 31, 42</w:t>
      </w:r>
    </w:p>
    <w:p w:rsidR="00B47E3D" w:rsidRDefault="00B47E3D">
      <w:pPr>
        <w:pStyle w:val="Index1"/>
        <w:tabs>
          <w:tab w:val="right" w:pos="5030"/>
        </w:tabs>
        <w:rPr>
          <w:noProof/>
        </w:rPr>
      </w:pPr>
      <w:r>
        <w:rPr>
          <w:noProof/>
        </w:rPr>
        <w:t>Windows Vista Business for Embedded Systems, 42</w:t>
      </w:r>
    </w:p>
    <w:p w:rsidR="00B47E3D" w:rsidRDefault="00B47E3D">
      <w:pPr>
        <w:pStyle w:val="Index1"/>
        <w:tabs>
          <w:tab w:val="right" w:pos="5030"/>
        </w:tabs>
        <w:rPr>
          <w:noProof/>
        </w:rPr>
      </w:pPr>
      <w:r>
        <w:rPr>
          <w:noProof/>
        </w:rPr>
        <w:t>Windows Vista Ultimate for Embedded Systems, 42</w:t>
      </w:r>
    </w:p>
    <w:p w:rsidR="00B47E3D" w:rsidRDefault="00B47E3D">
      <w:pPr>
        <w:pStyle w:val="Index1"/>
        <w:tabs>
          <w:tab w:val="right" w:pos="5030"/>
        </w:tabs>
        <w:rPr>
          <w:noProof/>
        </w:rPr>
      </w:pPr>
      <w:r>
        <w:rPr>
          <w:noProof/>
        </w:rPr>
        <w:t>Windows XP, 42</w:t>
      </w:r>
    </w:p>
    <w:p w:rsidR="00B47E3D" w:rsidRDefault="00B47E3D">
      <w:pPr>
        <w:pStyle w:val="Index1"/>
        <w:tabs>
          <w:tab w:val="right" w:pos="5030"/>
        </w:tabs>
        <w:rPr>
          <w:noProof/>
        </w:rPr>
      </w:pPr>
      <w:r>
        <w:rPr>
          <w:noProof/>
        </w:rPr>
        <w:t>Windows XP Embedded, 42</w:t>
      </w:r>
    </w:p>
    <w:p w:rsidR="00B47E3D" w:rsidRDefault="00B47E3D">
      <w:pPr>
        <w:pStyle w:val="Index1"/>
        <w:tabs>
          <w:tab w:val="right" w:pos="5030"/>
        </w:tabs>
        <w:rPr>
          <w:noProof/>
        </w:rPr>
      </w:pPr>
      <w:r>
        <w:rPr>
          <w:noProof/>
        </w:rPr>
        <w:t>Windows XP Professional for Embedded Systems, 42</w:t>
      </w:r>
    </w:p>
    <w:p w:rsidR="00B47E3D" w:rsidRDefault="00B47E3D">
      <w:pPr>
        <w:pStyle w:val="Index1"/>
        <w:tabs>
          <w:tab w:val="right" w:pos="5030"/>
        </w:tabs>
        <w:rPr>
          <w:noProof/>
        </w:rPr>
      </w:pPr>
      <w:r>
        <w:rPr>
          <w:noProof/>
        </w:rPr>
        <w:t>Word 2016, 24</w:t>
      </w:r>
    </w:p>
    <w:p w:rsidR="00B47E3D" w:rsidRDefault="00B47E3D">
      <w:pPr>
        <w:pStyle w:val="Index1"/>
        <w:tabs>
          <w:tab w:val="right" w:pos="5030"/>
        </w:tabs>
        <w:rPr>
          <w:noProof/>
        </w:rPr>
      </w:pPr>
      <w:r>
        <w:rPr>
          <w:noProof/>
        </w:rPr>
        <w:t>Word 2016 für Mac, 25</w:t>
      </w:r>
    </w:p>
    <w:p w:rsidR="00B47E3D" w:rsidRDefault="00B47E3D">
      <w:pPr>
        <w:pStyle w:val="Index1"/>
        <w:tabs>
          <w:tab w:val="right" w:pos="5030"/>
        </w:tabs>
        <w:rPr>
          <w:noProof/>
        </w:rPr>
      </w:pPr>
      <w:r>
        <w:rPr>
          <w:noProof/>
        </w:rPr>
        <w:t>Work at Home für Office Professional Plus 2016, 24</w:t>
      </w:r>
    </w:p>
    <w:p w:rsidR="00B47E3D" w:rsidRDefault="00B47E3D">
      <w:pPr>
        <w:pStyle w:val="Index1"/>
        <w:tabs>
          <w:tab w:val="right" w:pos="5030"/>
        </w:tabs>
        <w:rPr>
          <w:noProof/>
        </w:rPr>
      </w:pPr>
      <w:r>
        <w:rPr>
          <w:noProof/>
        </w:rPr>
        <w:t>Work-at-Home-Lizenz für Mac 2016, 25</w:t>
      </w:r>
    </w:p>
    <w:p w:rsidR="00B47E3D" w:rsidRDefault="00B47E3D">
      <w:pPr>
        <w:pStyle w:val="Index1"/>
        <w:tabs>
          <w:tab w:val="right" w:pos="5030"/>
        </w:tabs>
        <w:rPr>
          <w:noProof/>
        </w:rPr>
      </w:pPr>
      <w:r>
        <w:rPr>
          <w:noProof/>
        </w:rPr>
        <w:t>Work-at-Home-Lizenz für Office Standard 2016, 24</w:t>
      </w:r>
    </w:p>
    <w:p w:rsidR="00B47E3D" w:rsidRDefault="00B47E3D">
      <w:pPr>
        <w:pStyle w:val="Index1"/>
        <w:tabs>
          <w:tab w:val="right" w:pos="5030"/>
        </w:tabs>
        <w:rPr>
          <w:noProof/>
        </w:rPr>
      </w:pPr>
      <w:r>
        <w:rPr>
          <w:noProof/>
        </w:rPr>
        <w:t>Yammer, 22</w:t>
      </w:r>
    </w:p>
    <w:p w:rsidR="00B47E3D" w:rsidRDefault="00B47E3D">
      <w:pPr>
        <w:pStyle w:val="Index1"/>
        <w:tabs>
          <w:tab w:val="right" w:pos="5030"/>
        </w:tabs>
        <w:rPr>
          <w:noProof/>
        </w:rPr>
      </w:pPr>
      <w:r>
        <w:rPr>
          <w:noProof/>
        </w:rPr>
        <w:t>Yammer Enterprise, 70</w:t>
      </w:r>
    </w:p>
    <w:p w:rsidR="00B47E3D" w:rsidRDefault="00B47E3D">
      <w:pPr>
        <w:pStyle w:val="Index1"/>
        <w:tabs>
          <w:tab w:val="right" w:pos="5030"/>
        </w:tabs>
        <w:rPr>
          <w:noProof/>
        </w:rPr>
      </w:pPr>
      <w:r>
        <w:rPr>
          <w:noProof/>
        </w:rPr>
        <w:t>Zusätzliche Aufgaben-CAL für Microsoft Dynamics AX 2012 R3, 20</w:t>
      </w:r>
    </w:p>
    <w:p w:rsidR="00B47E3D" w:rsidRDefault="00B47E3D">
      <w:pPr>
        <w:pStyle w:val="Index1"/>
        <w:tabs>
          <w:tab w:val="right" w:pos="5030"/>
        </w:tabs>
        <w:rPr>
          <w:noProof/>
        </w:rPr>
      </w:pPr>
      <w:r>
        <w:rPr>
          <w:noProof/>
        </w:rPr>
        <w:t>Zusätzliche CAL für Microsoft Dynamics CRM 2016 Basic, 21</w:t>
      </w:r>
    </w:p>
    <w:p w:rsidR="00B47E3D" w:rsidRDefault="00B47E3D">
      <w:pPr>
        <w:pStyle w:val="Index1"/>
        <w:tabs>
          <w:tab w:val="right" w:pos="5030"/>
        </w:tabs>
        <w:rPr>
          <w:noProof/>
        </w:rPr>
      </w:pPr>
      <w:r>
        <w:rPr>
          <w:noProof/>
        </w:rPr>
        <w:t>Zusätzliche CAL für Microsoft Dynamics CRM 2016 Professional, 21</w:t>
      </w:r>
    </w:p>
    <w:p w:rsidR="00B47E3D" w:rsidRDefault="00B47E3D">
      <w:pPr>
        <w:pStyle w:val="Index1"/>
        <w:tabs>
          <w:tab w:val="right" w:pos="5030"/>
        </w:tabs>
        <w:rPr>
          <w:noProof/>
        </w:rPr>
      </w:pPr>
      <w:r>
        <w:rPr>
          <w:noProof/>
        </w:rPr>
        <w:t>Zusätzliche CAL für Microsoft Dynamics CRM Basic, 59</w:t>
      </w:r>
    </w:p>
    <w:p w:rsidR="00B47E3D" w:rsidRDefault="00B47E3D">
      <w:pPr>
        <w:pStyle w:val="Index1"/>
        <w:tabs>
          <w:tab w:val="right" w:pos="5030"/>
        </w:tabs>
        <w:rPr>
          <w:noProof/>
        </w:rPr>
      </w:pPr>
      <w:r>
        <w:rPr>
          <w:noProof/>
        </w:rPr>
        <w:t>Zusätzliche CAL für Microsoft Dynamics CRM Professional, 59</w:t>
      </w:r>
    </w:p>
    <w:p w:rsidR="00B47E3D" w:rsidRDefault="00B47E3D">
      <w:pPr>
        <w:pStyle w:val="Index1"/>
        <w:tabs>
          <w:tab w:val="right" w:pos="5030"/>
        </w:tabs>
        <w:rPr>
          <w:noProof/>
        </w:rPr>
      </w:pPr>
      <w:r>
        <w:rPr>
          <w:noProof/>
        </w:rPr>
        <w:t>Zusätzliche Enterprise CAL für Microsoft Dynamics AX 2012 R3, 20</w:t>
      </w:r>
    </w:p>
    <w:p w:rsidR="00B47E3D" w:rsidRDefault="00B47E3D">
      <w:pPr>
        <w:pStyle w:val="Index1"/>
        <w:tabs>
          <w:tab w:val="right" w:pos="5030"/>
        </w:tabs>
        <w:rPr>
          <w:noProof/>
        </w:rPr>
      </w:pPr>
      <w:r>
        <w:rPr>
          <w:noProof/>
        </w:rPr>
        <w:t>Zusätzliche Funktions-CAL für Microsoft Dynamics AX 2012 R3, 20</w:t>
      </w:r>
    </w:p>
    <w:p w:rsidR="00B47E3D" w:rsidRDefault="00B47E3D">
      <w:pPr>
        <w:pStyle w:val="Index1"/>
        <w:tabs>
          <w:tab w:val="right" w:pos="5030"/>
        </w:tabs>
        <w:rPr>
          <w:noProof/>
        </w:rPr>
      </w:pPr>
      <w:r>
        <w:rPr>
          <w:noProof/>
        </w:rPr>
        <w:t>Zusätzliche Nichtproduktionsinstanz für Microsoft Dynamics CRM Online, 59</w:t>
      </w:r>
    </w:p>
    <w:p w:rsidR="00B47E3D" w:rsidRDefault="00B47E3D">
      <w:pPr>
        <w:pStyle w:val="Index1"/>
        <w:tabs>
          <w:tab w:val="right" w:pos="5030"/>
        </w:tabs>
        <w:rPr>
          <w:noProof/>
        </w:rPr>
      </w:pPr>
      <w:r>
        <w:rPr>
          <w:noProof/>
        </w:rPr>
        <w:t>Zusätzliche Produktionsinstanz für Microsoft Dynamics CRM Online, 59</w:t>
      </w:r>
    </w:p>
    <w:p w:rsidR="00B47E3D" w:rsidRDefault="00B47E3D">
      <w:pPr>
        <w:pStyle w:val="Index1"/>
        <w:tabs>
          <w:tab w:val="right" w:pos="5030"/>
        </w:tabs>
        <w:rPr>
          <w:noProof/>
        </w:rPr>
      </w:pPr>
      <w:r>
        <w:rPr>
          <w:noProof/>
        </w:rPr>
        <w:t>Zusatzspeicher für Microsoft Dynamics CRM Online, 59</w:t>
      </w:r>
    </w:p>
    <w:p w:rsidR="00B47E3D" w:rsidRDefault="00B47E3D">
      <w:pPr>
        <w:pStyle w:val="ProductList-Body"/>
        <w:rPr>
          <w:noProof/>
        </w:rPr>
        <w:sectPr w:rsidR="00B47E3D" w:rsidSect="00B47E3D">
          <w:type w:val="continuous"/>
          <w:pgSz w:w="12240" w:h="15840" w:code="1"/>
          <w:pgMar w:top="1170" w:right="720" w:bottom="720" w:left="720" w:header="432" w:footer="288" w:gutter="0"/>
          <w:cols w:num="2" w:space="720"/>
        </w:sectPr>
      </w:pPr>
    </w:p>
    <w:p w:rsidR="006514EF" w:rsidRDefault="00DD50AA">
      <w:pPr>
        <w:pStyle w:val="ProductList-Body"/>
        <w:sectPr w:rsidR="006514EF" w:rsidSect="00B47E3D">
          <w:type w:val="continuous"/>
          <w:pgSz w:w="12240" w:h="15840" w:code="1"/>
          <w:pgMar w:top="1170" w:right="720" w:bottom="720" w:left="720" w:header="432" w:footer="288" w:gutter="0"/>
          <w:cols w:num="2" w:space="360"/>
        </w:sectPr>
      </w:pPr>
      <w:r>
        <w:fldChar w:fldCharType="end"/>
      </w:r>
    </w:p>
    <w:p w:rsidR="006514EF" w:rsidRDefault="006514EF">
      <w:pPr>
        <w:pStyle w:val="ProductList-Body"/>
      </w:pPr>
    </w:p>
    <w:sectPr w:rsidR="006514E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0AA" w:rsidRDefault="00DD50AA" w:rsidP="007C7D4D">
      <w:pPr>
        <w:spacing w:after="0"/>
      </w:pPr>
      <w:r>
        <w:separator/>
      </w:r>
    </w:p>
    <w:p w:rsidR="00DD50AA" w:rsidRDefault="00DD50AA"/>
  </w:endnote>
  <w:endnote w:type="continuationSeparator" w:id="0">
    <w:p w:rsidR="00DD50AA" w:rsidRDefault="00DD50AA" w:rsidP="007C7D4D">
      <w:pPr>
        <w:spacing w:after="0"/>
      </w:pPr>
      <w:r>
        <w:continuationSeparator/>
      </w:r>
    </w:p>
    <w:p w:rsidR="00DD50AA" w:rsidRDefault="00DD50AA"/>
  </w:endnote>
  <w:endnote w:type="continuationNotice" w:id="1">
    <w:p w:rsidR="00DD50AA" w:rsidRDefault="00DD50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844">
            <w:r>
              <w:rPr>
                <w:color w:val="00467F"/>
                <w:u w:val="single"/>
              </w:rPr>
              <w:t>Index</w:t>
            </w:r>
          </w:hyperlink>
        </w:p>
      </w:tc>
    </w:tr>
  </w:tbl>
  <w:p w:rsidR="006514EF" w:rsidRDefault="006514E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14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14EF" w:rsidRDefault="00DD50AA">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14EF" w:rsidRDefault="006514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14EF" w:rsidRDefault="00DD50AA">
          <w:pPr>
            <w:pStyle w:val="PURFooterText"/>
            <w:jc w:val="center"/>
          </w:pPr>
          <w:hyperlink w:anchor="_Sec844">
            <w:r>
              <w:rPr>
                <w:color w:val="00467F"/>
                <w:u w:val="single"/>
              </w:rPr>
              <w:t>Index</w:t>
            </w:r>
          </w:hyperlink>
        </w:p>
      </w:tc>
    </w:tr>
  </w:tbl>
  <w:p w:rsidR="006514EF" w:rsidRDefault="006514E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0AA" w:rsidRDefault="00DD50AA" w:rsidP="007C7D4D">
      <w:pPr>
        <w:spacing w:after="0"/>
      </w:pPr>
      <w:r>
        <w:separator/>
      </w:r>
    </w:p>
    <w:p w:rsidR="00DD50AA" w:rsidRDefault="00DD50AA"/>
  </w:footnote>
  <w:footnote w:type="continuationSeparator" w:id="0">
    <w:p w:rsidR="00DD50AA" w:rsidRDefault="00DD50AA" w:rsidP="007C7D4D">
      <w:pPr>
        <w:spacing w:after="0"/>
      </w:pPr>
      <w:r>
        <w:continuationSeparator/>
      </w:r>
    </w:p>
    <w:p w:rsidR="00DD50AA" w:rsidRDefault="00DD50AA"/>
  </w:footnote>
  <w:footnote w:type="continuationNotice" w:id="1">
    <w:p w:rsidR="00DD50AA" w:rsidRDefault="00DD50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5AB" w:rsidRDefault="00F335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411C6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411C6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411C6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6514EF">
      <w:tc>
        <w:tcPr>
          <w:tcW w:w="8440" w:type="dxa"/>
        </w:tcPr>
        <w:p w:rsidR="006514EF" w:rsidRDefault="00DD50AA">
          <w:pPr>
            <w:pStyle w:val="PURHeaderText"/>
          </w:pPr>
          <w:r>
            <w:t>Produktbestimmungen für Microsoft-Volumenlize</w:t>
          </w:r>
          <w:r>
            <w:t>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6514EF">
      <w:tc>
        <w:tcPr>
          <w:tcW w:w="8440" w:type="dxa"/>
        </w:tcPr>
        <w:p w:rsidR="006514EF" w:rsidRDefault="00DD50AA">
          <w:pPr>
            <w:pStyle w:val="PURHeaderText"/>
          </w:pPr>
          <w:r>
            <w:t>Produktbestimmungen für Microsoft-Volumenlizenzierung (Deutsch, Januar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rsidR="00F335AB">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514EF">
      <w:tc>
        <w:tcPr>
          <w:tcW w:w="8440" w:type="dxa"/>
        </w:tcPr>
        <w:p w:rsidR="006514EF" w:rsidRDefault="00DD50AA">
          <w:pPr>
            <w:pStyle w:val="PURHeaderText"/>
          </w:pPr>
          <w:r>
            <w:t>Produktbestimmungen für Microsoft-Volumenlizenzierung (Deutsch, Ja</w:t>
          </w:r>
          <w:r>
            <w:t>nuar 2016)</w:t>
          </w:r>
        </w:p>
      </w:tc>
      <w:tc>
        <w:tcPr>
          <w:tcW w:w="3680" w:type="dxa"/>
        </w:tcPr>
        <w:p w:rsidR="006514EF" w:rsidRDefault="00DD50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849D0"/>
    <w:multiLevelType w:val="multilevel"/>
    <w:tmpl w:val="E550C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5778B"/>
    <w:multiLevelType w:val="multilevel"/>
    <w:tmpl w:val="DB4C7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FB0E75"/>
    <w:multiLevelType w:val="multilevel"/>
    <w:tmpl w:val="B2481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D13B5"/>
    <w:multiLevelType w:val="multilevel"/>
    <w:tmpl w:val="927C3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CF0761"/>
    <w:multiLevelType w:val="multilevel"/>
    <w:tmpl w:val="8C38C9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4C3434"/>
    <w:multiLevelType w:val="multilevel"/>
    <w:tmpl w:val="D270D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011BFA"/>
    <w:multiLevelType w:val="multilevel"/>
    <w:tmpl w:val="11D47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FC2467"/>
    <w:multiLevelType w:val="multilevel"/>
    <w:tmpl w:val="64A2F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5D35D9"/>
    <w:multiLevelType w:val="multilevel"/>
    <w:tmpl w:val="FB188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E741AA"/>
    <w:multiLevelType w:val="multilevel"/>
    <w:tmpl w:val="8ECEE2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E55457"/>
    <w:multiLevelType w:val="multilevel"/>
    <w:tmpl w:val="96FCE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BF5A65"/>
    <w:multiLevelType w:val="multilevel"/>
    <w:tmpl w:val="5B261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374557"/>
    <w:multiLevelType w:val="multilevel"/>
    <w:tmpl w:val="BED23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3C7E0C"/>
    <w:multiLevelType w:val="multilevel"/>
    <w:tmpl w:val="E7289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7D0481"/>
    <w:multiLevelType w:val="multilevel"/>
    <w:tmpl w:val="14CC1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1B2EA0"/>
    <w:multiLevelType w:val="multilevel"/>
    <w:tmpl w:val="B3123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DD126B"/>
    <w:multiLevelType w:val="multilevel"/>
    <w:tmpl w:val="AB9E5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0F1174"/>
    <w:multiLevelType w:val="multilevel"/>
    <w:tmpl w:val="8BEEA6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686219"/>
    <w:multiLevelType w:val="multilevel"/>
    <w:tmpl w:val="601C8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4C7F2D"/>
    <w:multiLevelType w:val="multilevel"/>
    <w:tmpl w:val="6D248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6F4E88"/>
    <w:multiLevelType w:val="multilevel"/>
    <w:tmpl w:val="D772B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E6371A"/>
    <w:multiLevelType w:val="multilevel"/>
    <w:tmpl w:val="4E581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D4342F"/>
    <w:multiLevelType w:val="multilevel"/>
    <w:tmpl w:val="5720EF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8416C5"/>
    <w:multiLevelType w:val="multilevel"/>
    <w:tmpl w:val="6C765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837640"/>
    <w:multiLevelType w:val="multilevel"/>
    <w:tmpl w:val="A90E2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D7DE4"/>
    <w:multiLevelType w:val="multilevel"/>
    <w:tmpl w:val="D8560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22D61"/>
    <w:multiLevelType w:val="multilevel"/>
    <w:tmpl w:val="567E7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33699"/>
    <w:multiLevelType w:val="multilevel"/>
    <w:tmpl w:val="A8E4C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4509A7"/>
    <w:multiLevelType w:val="multilevel"/>
    <w:tmpl w:val="09D20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314EB8"/>
    <w:multiLevelType w:val="multilevel"/>
    <w:tmpl w:val="59266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E14B85"/>
    <w:multiLevelType w:val="multilevel"/>
    <w:tmpl w:val="FD1A8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232045"/>
    <w:multiLevelType w:val="multilevel"/>
    <w:tmpl w:val="686443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4C159B"/>
    <w:multiLevelType w:val="multilevel"/>
    <w:tmpl w:val="1A9AF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D96309"/>
    <w:multiLevelType w:val="multilevel"/>
    <w:tmpl w:val="53DC8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B56042"/>
    <w:multiLevelType w:val="multilevel"/>
    <w:tmpl w:val="38ACA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B76C8A"/>
    <w:multiLevelType w:val="multilevel"/>
    <w:tmpl w:val="62C0C3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494470"/>
    <w:multiLevelType w:val="multilevel"/>
    <w:tmpl w:val="A04C3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554E63"/>
    <w:multiLevelType w:val="multilevel"/>
    <w:tmpl w:val="DAC08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BB4D7D"/>
    <w:multiLevelType w:val="multilevel"/>
    <w:tmpl w:val="15166D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7F5EF9"/>
    <w:multiLevelType w:val="multilevel"/>
    <w:tmpl w:val="6046C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523BC"/>
    <w:multiLevelType w:val="multilevel"/>
    <w:tmpl w:val="2FC057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A75853"/>
    <w:multiLevelType w:val="multilevel"/>
    <w:tmpl w:val="5B6A4B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CC3B4D"/>
    <w:multiLevelType w:val="multilevel"/>
    <w:tmpl w:val="8794D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4C51DD"/>
    <w:multiLevelType w:val="multilevel"/>
    <w:tmpl w:val="C5888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265669"/>
    <w:multiLevelType w:val="multilevel"/>
    <w:tmpl w:val="8CCA9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F6764D"/>
    <w:multiLevelType w:val="multilevel"/>
    <w:tmpl w:val="97447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D6A06"/>
    <w:multiLevelType w:val="multilevel"/>
    <w:tmpl w:val="7C680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275DD"/>
    <w:multiLevelType w:val="multilevel"/>
    <w:tmpl w:val="DC880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FA7B30"/>
    <w:multiLevelType w:val="multilevel"/>
    <w:tmpl w:val="73447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9"/>
  </w:num>
  <w:num w:numId="3">
    <w:abstractNumId w:val="42"/>
  </w:num>
  <w:num w:numId="4">
    <w:abstractNumId w:val="38"/>
  </w:num>
  <w:num w:numId="5">
    <w:abstractNumId w:val="46"/>
  </w:num>
  <w:num w:numId="6">
    <w:abstractNumId w:val="49"/>
  </w:num>
  <w:num w:numId="7">
    <w:abstractNumId w:val="35"/>
  </w:num>
  <w:num w:numId="8">
    <w:abstractNumId w:val="18"/>
  </w:num>
  <w:num w:numId="9">
    <w:abstractNumId w:val="28"/>
  </w:num>
  <w:num w:numId="10">
    <w:abstractNumId w:val="2"/>
  </w:num>
  <w:num w:numId="11">
    <w:abstractNumId w:val="21"/>
  </w:num>
  <w:num w:numId="12">
    <w:abstractNumId w:val="20"/>
  </w:num>
  <w:num w:numId="13">
    <w:abstractNumId w:val="47"/>
  </w:num>
  <w:num w:numId="14">
    <w:abstractNumId w:val="8"/>
  </w:num>
  <w:num w:numId="15">
    <w:abstractNumId w:val="10"/>
  </w:num>
  <w:num w:numId="16">
    <w:abstractNumId w:val="6"/>
  </w:num>
  <w:num w:numId="17">
    <w:abstractNumId w:val="39"/>
  </w:num>
  <w:num w:numId="18">
    <w:abstractNumId w:val="9"/>
  </w:num>
  <w:num w:numId="19">
    <w:abstractNumId w:val="23"/>
  </w:num>
  <w:num w:numId="20">
    <w:abstractNumId w:val="27"/>
  </w:num>
  <w:num w:numId="21">
    <w:abstractNumId w:val="1"/>
  </w:num>
  <w:num w:numId="22">
    <w:abstractNumId w:val="33"/>
  </w:num>
  <w:num w:numId="23">
    <w:abstractNumId w:val="43"/>
  </w:num>
  <w:num w:numId="24">
    <w:abstractNumId w:val="15"/>
  </w:num>
  <w:num w:numId="25">
    <w:abstractNumId w:val="3"/>
  </w:num>
  <w:num w:numId="26">
    <w:abstractNumId w:val="45"/>
  </w:num>
  <w:num w:numId="27">
    <w:abstractNumId w:val="40"/>
  </w:num>
  <w:num w:numId="28">
    <w:abstractNumId w:val="25"/>
  </w:num>
  <w:num w:numId="29">
    <w:abstractNumId w:val="50"/>
  </w:num>
  <w:num w:numId="30">
    <w:abstractNumId w:val="48"/>
  </w:num>
  <w:num w:numId="31">
    <w:abstractNumId w:val="32"/>
  </w:num>
  <w:num w:numId="32">
    <w:abstractNumId w:val="30"/>
  </w:num>
  <w:num w:numId="33">
    <w:abstractNumId w:val="4"/>
  </w:num>
  <w:num w:numId="34">
    <w:abstractNumId w:val="5"/>
  </w:num>
  <w:num w:numId="35">
    <w:abstractNumId w:val="13"/>
  </w:num>
  <w:num w:numId="36">
    <w:abstractNumId w:val="26"/>
  </w:num>
  <w:num w:numId="37">
    <w:abstractNumId w:val="7"/>
  </w:num>
  <w:num w:numId="38">
    <w:abstractNumId w:val="0"/>
  </w:num>
  <w:num w:numId="39">
    <w:abstractNumId w:val="24"/>
  </w:num>
  <w:num w:numId="40">
    <w:abstractNumId w:val="12"/>
  </w:num>
  <w:num w:numId="41">
    <w:abstractNumId w:val="31"/>
  </w:num>
  <w:num w:numId="42">
    <w:abstractNumId w:val="11"/>
  </w:num>
  <w:num w:numId="43">
    <w:abstractNumId w:val="44"/>
  </w:num>
  <w:num w:numId="44">
    <w:abstractNumId w:val="17"/>
  </w:num>
  <w:num w:numId="45">
    <w:abstractNumId w:val="14"/>
  </w:num>
  <w:num w:numId="46">
    <w:abstractNumId w:val="19"/>
  </w:num>
  <w:num w:numId="47">
    <w:abstractNumId w:val="36"/>
  </w:num>
  <w:num w:numId="48">
    <w:abstractNumId w:val="41"/>
  </w:num>
  <w:num w:numId="49">
    <w:abstractNumId w:val="22"/>
  </w:num>
  <w:num w:numId="50">
    <w:abstractNumId w:val="37"/>
  </w:num>
  <w:num w:numId="51">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DvkaPsJ+XjvnEURj/yFs7HwQAzk6wW+5qIVWYrA+RzF+C0jaI0uHRNrmn9exJhW2VeMSoODuoe7jQPt8zDPZw==" w:salt="JwmaYaBhm5Px0DuqdTEbF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C60"/>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4EF"/>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47E3D"/>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0AA"/>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5AB"/>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FEC8A-3714-4803-937B-3E30FFB3BB0F}">
  <ds:schemaRefs>
    <ds:schemaRef ds:uri="http://schemas.openxmlformats.org/officeDocument/2006/bibliography"/>
  </ds:schemaRefs>
</ds:datastoreItem>
</file>

<file path=customXml/itemProps2.xml><?xml version="1.0" encoding="utf-8"?>
<ds:datastoreItem xmlns:ds="http://schemas.openxmlformats.org/officeDocument/2006/customXml" ds:itemID="{A77B8D20-FA4D-4CDB-894F-917FA1B0F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106325</Words>
  <Characters>606056</Characters>
  <Application>Microsoft Office Word</Application>
  <DocSecurity>8</DocSecurity>
  <Lines>5050</Lines>
  <Paragraphs>1421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2015-12-28T17:02:00Z</dcterms:created>
  <dcterms:modified xsi:type="dcterms:W3CDTF">2015-12-28T17:02:00Z</dcterms:modified>
</cp:coreProperties>
</file>